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B6B75" w14:textId="77777777" w:rsidR="00CC6401" w:rsidRPr="007770E8" w:rsidRDefault="00CC6401" w:rsidP="00CC6401">
      <w:pPr>
        <w:snapToGrid w:val="0"/>
        <w:spacing w:after="120"/>
      </w:pPr>
      <w:bookmarkStart w:id="0" w:name="_Hlk170228688"/>
      <w:bookmarkEnd w:id="0"/>
      <w:r w:rsidRPr="00FB4478">
        <w:rPr>
          <w:noProof/>
        </w:rPr>
        <w:drawing>
          <wp:inline distT="0" distB="0" distL="0" distR="0" wp14:anchorId="1A9D46A4" wp14:editId="1EABD13B">
            <wp:extent cx="1731010" cy="760095"/>
            <wp:effectExtent l="0" t="0" r="2540" b="1905"/>
            <wp:docPr id="1417382013"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09714965" name="Picture 7">
                      <a:extLst>
                        <a:ext uri="{C183D7F6-B498-43B3-948B-1728B52AA6E4}">
                          <adec:decorative xmlns:adec="http://schemas.microsoft.com/office/drawing/2017/decorative" val="1"/>
                        </a:ext>
                      </a:extLst>
                    </pic:cNvPr>
                    <pic:cNvPicPr/>
                  </pic:nvPicPr>
                  <pic:blipFill>
                    <a:blip r:embed="rId12"/>
                    <a:stretch>
                      <a:fillRect/>
                    </a:stretch>
                  </pic:blipFill>
                  <pic:spPr>
                    <a:xfrm>
                      <a:off x="0" y="0"/>
                      <a:ext cx="1731010" cy="760095"/>
                    </a:xfrm>
                    <a:prstGeom prst="rect">
                      <a:avLst/>
                    </a:prstGeom>
                  </pic:spPr>
                </pic:pic>
              </a:graphicData>
            </a:graphic>
          </wp:inline>
        </w:drawing>
      </w:r>
    </w:p>
    <w:p w14:paraId="7971D0D3" w14:textId="77777777" w:rsidR="00CC6401" w:rsidRPr="007770E8" w:rsidRDefault="00CC6401" w:rsidP="00A07969">
      <w:pPr>
        <w:snapToGrid w:val="0"/>
        <w:spacing w:before="3480" w:after="120"/>
        <w:jc w:val="center"/>
        <w:rPr>
          <w:rFonts w:ascii="Franklin Gothic Book" w:eastAsia="Calibri" w:hAnsi="Franklin Gothic Book" w:cs="Calibri"/>
          <w:b/>
          <w:bCs/>
          <w:color w:val="5C52A3"/>
          <w:sz w:val="44"/>
          <w:szCs w:val="44"/>
        </w:rPr>
      </w:pPr>
      <w:r w:rsidRPr="007770E8">
        <w:rPr>
          <w:rFonts w:ascii="Franklin Gothic Book" w:eastAsia="Times New Roman" w:hAnsi="Franklin Gothic Book"/>
          <w:b/>
          <w:bCs/>
          <w:color w:val="5C52A3"/>
          <w:sz w:val="44"/>
          <w:szCs w:val="44"/>
        </w:rPr>
        <w:t>Australian Humanitarian Partnership’s Activations on Food Security and Livelihoods in Ethiopia and Kenya</w:t>
      </w:r>
    </w:p>
    <w:p w14:paraId="5CA770B0" w14:textId="77777777" w:rsidR="00CC6401" w:rsidRPr="007770E8" w:rsidRDefault="00CC6401" w:rsidP="00A07969">
      <w:pPr>
        <w:snapToGrid w:val="0"/>
        <w:spacing w:before="1200" w:after="120"/>
        <w:jc w:val="center"/>
        <w:rPr>
          <w:rFonts w:ascii="Franklin Gothic Book" w:eastAsia="Times New Roman" w:hAnsi="Franklin Gothic Book" w:cs="Calibri"/>
          <w:b/>
          <w:bCs/>
          <w:color w:val="5C52A3"/>
          <w:spacing w:val="5"/>
          <w:kern w:val="28"/>
          <w:sz w:val="36"/>
          <w:szCs w:val="36"/>
        </w:rPr>
      </w:pPr>
      <w:r w:rsidRPr="007770E8">
        <w:rPr>
          <w:rFonts w:ascii="Franklin Gothic Book" w:eastAsia="Times New Roman" w:hAnsi="Franklin Gothic Book" w:cs="Calibri"/>
          <w:b/>
          <w:bCs/>
          <w:color w:val="5C52A3"/>
          <w:spacing w:val="5"/>
          <w:kern w:val="28"/>
          <w:sz w:val="36"/>
          <w:szCs w:val="36"/>
        </w:rPr>
        <w:t>Final Report</w:t>
      </w:r>
    </w:p>
    <w:p w14:paraId="73F91324" w14:textId="6A106180" w:rsidR="00CC6401" w:rsidRDefault="00CC6401" w:rsidP="00A07969">
      <w:pPr>
        <w:snapToGrid w:val="0"/>
        <w:spacing w:before="1200" w:after="120"/>
        <w:jc w:val="center"/>
        <w:rPr>
          <w:rFonts w:ascii="Franklin Gothic Book" w:eastAsia="Times New Roman" w:hAnsi="Franklin Gothic Book" w:cs="Calibri"/>
          <w:b/>
          <w:color w:val="5C52A3"/>
          <w:spacing w:val="5"/>
          <w:kern w:val="28"/>
          <w:sz w:val="36"/>
          <w:szCs w:val="36"/>
        </w:rPr>
      </w:pPr>
      <w:r>
        <w:rPr>
          <w:rFonts w:ascii="Franklin Gothic Book" w:eastAsia="Times New Roman" w:hAnsi="Franklin Gothic Book" w:cs="Calibri"/>
          <w:b/>
          <w:color w:val="5C52A3"/>
          <w:spacing w:val="5"/>
          <w:kern w:val="28"/>
          <w:sz w:val="36"/>
          <w:szCs w:val="36"/>
        </w:rPr>
        <w:t>August 14</w:t>
      </w:r>
      <w:r w:rsidRPr="007770E8">
        <w:rPr>
          <w:rFonts w:ascii="Franklin Gothic Book" w:eastAsia="Times New Roman" w:hAnsi="Franklin Gothic Book" w:cs="Calibri"/>
          <w:b/>
          <w:color w:val="5C52A3"/>
          <w:spacing w:val="5"/>
          <w:kern w:val="28"/>
          <w:sz w:val="36"/>
          <w:szCs w:val="36"/>
        </w:rPr>
        <w:t>, 2024</w:t>
      </w:r>
    </w:p>
    <w:p w14:paraId="11796E1A" w14:textId="77777777" w:rsidR="00CC6401" w:rsidRDefault="00CC6401">
      <w:pPr>
        <w:spacing w:before="0" w:after="0" w:line="240" w:lineRule="auto"/>
        <w:rPr>
          <w:rFonts w:ascii="Franklin Gothic Book" w:eastAsia="Times New Roman" w:hAnsi="Franklin Gothic Book" w:cs="Calibri"/>
          <w:b/>
          <w:color w:val="5C52A3"/>
          <w:spacing w:val="5"/>
          <w:kern w:val="28"/>
          <w:sz w:val="36"/>
          <w:szCs w:val="36"/>
        </w:rPr>
      </w:pPr>
      <w:r>
        <w:rPr>
          <w:rFonts w:ascii="Franklin Gothic Book" w:eastAsia="Times New Roman" w:hAnsi="Franklin Gothic Book" w:cs="Calibri"/>
          <w:b/>
          <w:color w:val="5C52A3"/>
          <w:spacing w:val="5"/>
          <w:kern w:val="28"/>
          <w:sz w:val="36"/>
          <w:szCs w:val="36"/>
        </w:rPr>
        <w:br w:type="page"/>
      </w:r>
    </w:p>
    <w:p w14:paraId="5637815B" w14:textId="7CD148BA" w:rsidR="00CC6401" w:rsidRPr="00B14B5F" w:rsidRDefault="00CC6401" w:rsidP="00CC6401">
      <w:pPr>
        <w:spacing w:before="0" w:after="160" w:line="259" w:lineRule="auto"/>
        <w:rPr>
          <w:sz w:val="20"/>
          <w:szCs w:val="20"/>
        </w:rPr>
      </w:pPr>
      <w:r w:rsidRPr="00B14B5F">
        <w:rPr>
          <w:b/>
          <w:bCs/>
          <w:color w:val="5C52A3"/>
          <w:sz w:val="20"/>
          <w:szCs w:val="20"/>
        </w:rPr>
        <w:lastRenderedPageBreak/>
        <w:t>Submitted by:</w:t>
      </w:r>
      <w:r w:rsidR="00B14B5F">
        <w:rPr>
          <w:sz w:val="20"/>
          <w:szCs w:val="20"/>
        </w:rPr>
        <w:tab/>
      </w:r>
      <w:r w:rsidRPr="00B14B5F">
        <w:rPr>
          <w:sz w:val="20"/>
          <w:szCs w:val="20"/>
        </w:rPr>
        <w:t xml:space="preserve">Policy Research Institute, </w:t>
      </w:r>
      <w:proofErr w:type="spellStart"/>
      <w:r w:rsidRPr="00B14B5F">
        <w:rPr>
          <w:sz w:val="20"/>
          <w:szCs w:val="20"/>
        </w:rPr>
        <w:t>Sarl</w:t>
      </w:r>
      <w:proofErr w:type="spellEnd"/>
      <w:r w:rsidRPr="00B14B5F">
        <w:rPr>
          <w:sz w:val="20"/>
          <w:szCs w:val="20"/>
        </w:rPr>
        <w:t xml:space="preserve"> (PRI)</w:t>
      </w:r>
    </w:p>
    <w:p w14:paraId="2A6A5926" w14:textId="77777777" w:rsidR="00CC6401" w:rsidRPr="00B14B5F" w:rsidRDefault="00CC6401" w:rsidP="00CC6401">
      <w:pPr>
        <w:spacing w:before="0" w:after="160" w:line="259" w:lineRule="auto"/>
        <w:rPr>
          <w:sz w:val="20"/>
          <w:szCs w:val="20"/>
        </w:rPr>
      </w:pPr>
      <w:r w:rsidRPr="00B14B5F">
        <w:rPr>
          <w:b/>
          <w:bCs/>
          <w:color w:val="5C52A3"/>
          <w:sz w:val="20"/>
          <w:szCs w:val="20"/>
        </w:rPr>
        <w:t>Registration #:</w:t>
      </w:r>
      <w:r w:rsidRPr="00B14B5F">
        <w:rPr>
          <w:sz w:val="20"/>
          <w:szCs w:val="20"/>
        </w:rPr>
        <w:tab/>
        <w:t>CHF-467.113.214</w:t>
      </w:r>
    </w:p>
    <w:p w14:paraId="4CEADF85" w14:textId="03E003BB" w:rsidR="00CC6401" w:rsidRPr="00B14B5F" w:rsidRDefault="00CC6401" w:rsidP="00CC6401">
      <w:pPr>
        <w:spacing w:before="0" w:after="160" w:line="259" w:lineRule="auto"/>
        <w:rPr>
          <w:sz w:val="20"/>
          <w:szCs w:val="20"/>
        </w:rPr>
      </w:pPr>
      <w:r w:rsidRPr="00B14B5F">
        <w:rPr>
          <w:b/>
          <w:bCs/>
          <w:color w:val="5C52A3"/>
          <w:sz w:val="20"/>
          <w:szCs w:val="20"/>
        </w:rPr>
        <w:t>Phone:</w:t>
      </w:r>
      <w:r w:rsidRPr="00B14B5F">
        <w:rPr>
          <w:sz w:val="20"/>
          <w:szCs w:val="20"/>
        </w:rPr>
        <w:tab/>
      </w:r>
      <w:r w:rsidRPr="00B14B5F">
        <w:rPr>
          <w:sz w:val="20"/>
          <w:szCs w:val="20"/>
        </w:rPr>
        <w:tab/>
        <w:t>+41 78 790 9311</w:t>
      </w:r>
    </w:p>
    <w:p w14:paraId="698DCD8D" w14:textId="77777777" w:rsidR="00CC6401" w:rsidRPr="00CC48A4" w:rsidRDefault="00CC6401" w:rsidP="00CC6401">
      <w:pPr>
        <w:spacing w:before="0" w:after="160" w:line="259" w:lineRule="auto"/>
        <w:rPr>
          <w:sz w:val="20"/>
          <w:szCs w:val="20"/>
        </w:rPr>
      </w:pPr>
      <w:r w:rsidRPr="00B14B5F">
        <w:rPr>
          <w:b/>
          <w:bCs/>
          <w:color w:val="5C52A3"/>
          <w:sz w:val="20"/>
          <w:szCs w:val="20"/>
        </w:rPr>
        <w:t>Email:</w:t>
      </w:r>
      <w:r w:rsidRPr="00B14B5F">
        <w:rPr>
          <w:sz w:val="20"/>
          <w:szCs w:val="20"/>
        </w:rPr>
        <w:tab/>
      </w:r>
      <w:r w:rsidRPr="00B14B5F">
        <w:rPr>
          <w:sz w:val="20"/>
          <w:szCs w:val="20"/>
        </w:rPr>
        <w:tab/>
      </w:r>
      <w:r w:rsidRPr="00B14B5F">
        <w:rPr>
          <w:sz w:val="20"/>
          <w:szCs w:val="20"/>
        </w:rPr>
        <w:tab/>
      </w:r>
      <w:hyperlink r:id="rId13" w:history="1">
        <w:r w:rsidRPr="00CC48A4">
          <w:rPr>
            <w:rStyle w:val="Hyperlink"/>
            <w:sz w:val="20"/>
            <w:szCs w:val="20"/>
            <w:u w:val="none"/>
          </w:rPr>
          <w:t>admin@pri.swiss</w:t>
        </w:r>
      </w:hyperlink>
    </w:p>
    <w:p w14:paraId="1070572D" w14:textId="1C004EC4" w:rsidR="00CC6401" w:rsidRPr="00CC48A4" w:rsidRDefault="00CC6401" w:rsidP="00CC6401">
      <w:pPr>
        <w:spacing w:before="0" w:after="160" w:line="259" w:lineRule="auto"/>
        <w:rPr>
          <w:sz w:val="20"/>
          <w:szCs w:val="20"/>
        </w:rPr>
      </w:pPr>
      <w:r w:rsidRPr="00CC48A4">
        <w:rPr>
          <w:b/>
          <w:bCs/>
          <w:color w:val="5C52A3"/>
          <w:sz w:val="20"/>
          <w:szCs w:val="20"/>
        </w:rPr>
        <w:t>Web:</w:t>
      </w:r>
      <w:r w:rsidRPr="00CC48A4">
        <w:rPr>
          <w:sz w:val="20"/>
          <w:szCs w:val="20"/>
        </w:rPr>
        <w:tab/>
      </w:r>
      <w:r w:rsidRPr="00CC48A4">
        <w:rPr>
          <w:sz w:val="20"/>
          <w:szCs w:val="20"/>
        </w:rPr>
        <w:tab/>
      </w:r>
      <w:r w:rsidRPr="00CC48A4">
        <w:rPr>
          <w:sz w:val="20"/>
          <w:szCs w:val="20"/>
        </w:rPr>
        <w:tab/>
      </w:r>
      <w:hyperlink r:id="rId14" w:history="1">
        <w:r w:rsidRPr="00CC48A4">
          <w:rPr>
            <w:rStyle w:val="Hyperlink"/>
            <w:sz w:val="20"/>
            <w:szCs w:val="20"/>
            <w:u w:val="none"/>
          </w:rPr>
          <w:t>www.pri.swiss</w:t>
        </w:r>
      </w:hyperlink>
    </w:p>
    <w:p w14:paraId="40CD2121" w14:textId="77777777" w:rsidR="00CC6401" w:rsidRDefault="00CC6401" w:rsidP="00CC6401">
      <w:pPr>
        <w:spacing w:before="0" w:after="0" w:line="240" w:lineRule="auto"/>
      </w:pPr>
      <w:r>
        <w:br w:type="page"/>
      </w:r>
    </w:p>
    <w:p w14:paraId="0E0B6C93" w14:textId="77777777" w:rsidR="00B562BB" w:rsidRDefault="00CC6401" w:rsidP="00CC6401">
      <w:pPr>
        <w:spacing w:before="0" w:after="160" w:line="259" w:lineRule="auto"/>
        <w:rPr>
          <w:b/>
          <w:bCs/>
          <w:color w:val="5C52A3"/>
          <w:sz w:val="24"/>
          <w:szCs w:val="32"/>
        </w:rPr>
      </w:pPr>
      <w:r w:rsidRPr="006673AB">
        <w:rPr>
          <w:b/>
          <w:bCs/>
          <w:color w:val="5C52A3"/>
          <w:sz w:val="24"/>
          <w:szCs w:val="32"/>
        </w:rPr>
        <w:lastRenderedPageBreak/>
        <w:t>Authors</w:t>
      </w:r>
    </w:p>
    <w:p w14:paraId="3FE53AAC" w14:textId="5BA6189F" w:rsidR="00CC6401" w:rsidRPr="00F53A2D" w:rsidRDefault="00CC6401" w:rsidP="00CC6401">
      <w:pPr>
        <w:spacing w:before="0" w:after="160" w:line="259" w:lineRule="auto"/>
        <w:rPr>
          <w:sz w:val="20"/>
          <w:szCs w:val="20"/>
        </w:rPr>
      </w:pPr>
      <w:r w:rsidRPr="00F53A2D">
        <w:rPr>
          <w:sz w:val="20"/>
          <w:szCs w:val="20"/>
        </w:rPr>
        <w:t xml:space="preserve">Basil </w:t>
      </w:r>
      <w:proofErr w:type="spellStart"/>
      <w:r w:rsidRPr="00F53A2D">
        <w:rPr>
          <w:sz w:val="20"/>
          <w:szCs w:val="20"/>
        </w:rPr>
        <w:t>Kandyomunda</w:t>
      </w:r>
      <w:proofErr w:type="spellEnd"/>
      <w:r w:rsidRPr="00F53A2D">
        <w:rPr>
          <w:sz w:val="20"/>
          <w:szCs w:val="20"/>
        </w:rPr>
        <w:t>, MSc, MA.  Team Leader</w:t>
      </w:r>
    </w:p>
    <w:p w14:paraId="5808A8F5" w14:textId="77777777" w:rsidR="00CC6401" w:rsidRPr="00F53A2D" w:rsidRDefault="00CC6401" w:rsidP="00CC6401">
      <w:pPr>
        <w:spacing w:before="0" w:after="160" w:line="259" w:lineRule="auto"/>
        <w:rPr>
          <w:sz w:val="20"/>
          <w:szCs w:val="20"/>
        </w:rPr>
      </w:pPr>
      <w:r w:rsidRPr="00F53A2D">
        <w:rPr>
          <w:sz w:val="20"/>
          <w:szCs w:val="20"/>
        </w:rPr>
        <w:t xml:space="preserve">Solomon </w:t>
      </w:r>
      <w:proofErr w:type="spellStart"/>
      <w:r w:rsidRPr="00F53A2D">
        <w:rPr>
          <w:sz w:val="20"/>
          <w:szCs w:val="20"/>
        </w:rPr>
        <w:t>Tiruneh</w:t>
      </w:r>
      <w:proofErr w:type="spellEnd"/>
      <w:r w:rsidRPr="00F53A2D">
        <w:rPr>
          <w:sz w:val="20"/>
          <w:szCs w:val="20"/>
        </w:rPr>
        <w:t xml:space="preserve"> Abebe, MSc. Team Member</w:t>
      </w:r>
    </w:p>
    <w:p w14:paraId="5F469BFD" w14:textId="77777777" w:rsidR="00CC6401" w:rsidRPr="00F53A2D" w:rsidRDefault="00CC6401" w:rsidP="00CC6401">
      <w:pPr>
        <w:spacing w:before="0" w:after="160" w:line="259" w:lineRule="auto"/>
        <w:rPr>
          <w:sz w:val="20"/>
          <w:szCs w:val="20"/>
        </w:rPr>
      </w:pPr>
      <w:r w:rsidRPr="00F53A2D">
        <w:rPr>
          <w:sz w:val="20"/>
          <w:szCs w:val="20"/>
        </w:rPr>
        <w:t>Ananda S. Millard, PhD. Quality Assurer</w:t>
      </w:r>
    </w:p>
    <w:p w14:paraId="32DB22B6" w14:textId="77777777" w:rsidR="00CC6401" w:rsidRPr="007770E8" w:rsidRDefault="00CC6401" w:rsidP="00CC6401">
      <w:pPr>
        <w:spacing w:before="0" w:after="160" w:line="259" w:lineRule="auto"/>
        <w:rPr>
          <w:b/>
          <w:bCs/>
          <w:color w:val="5C52A3"/>
          <w:sz w:val="24"/>
          <w:szCs w:val="32"/>
        </w:rPr>
      </w:pPr>
      <w:r w:rsidRPr="007770E8">
        <w:rPr>
          <w:b/>
          <w:bCs/>
          <w:color w:val="5C52A3"/>
          <w:sz w:val="24"/>
          <w:szCs w:val="32"/>
        </w:rPr>
        <w:t>Evaluation team</w:t>
      </w:r>
    </w:p>
    <w:p w14:paraId="1BCF65E1" w14:textId="77777777" w:rsidR="00CC6401" w:rsidRPr="007770E8" w:rsidRDefault="00CC6401" w:rsidP="00CC6401">
      <w:pPr>
        <w:spacing w:before="0" w:after="160" w:line="259" w:lineRule="auto"/>
        <w:rPr>
          <w:b/>
          <w:bCs/>
          <w:color w:val="5C52A3"/>
          <w:sz w:val="20"/>
          <w:szCs w:val="20"/>
        </w:rPr>
      </w:pPr>
      <w:r w:rsidRPr="007770E8">
        <w:rPr>
          <w:b/>
          <w:bCs/>
          <w:color w:val="5C52A3"/>
          <w:sz w:val="20"/>
          <w:szCs w:val="20"/>
        </w:rPr>
        <w:t xml:space="preserve">Core </w:t>
      </w:r>
      <w:proofErr w:type="gramStart"/>
      <w:r w:rsidRPr="007770E8">
        <w:rPr>
          <w:b/>
          <w:bCs/>
          <w:color w:val="5C52A3"/>
          <w:sz w:val="20"/>
          <w:szCs w:val="20"/>
        </w:rPr>
        <w:t>team</w:t>
      </w:r>
      <w:proofErr w:type="gramEnd"/>
    </w:p>
    <w:p w14:paraId="7E842055" w14:textId="77777777" w:rsidR="00CC6401" w:rsidRPr="00F53A2D" w:rsidRDefault="00CC6401" w:rsidP="00CC6401">
      <w:pPr>
        <w:pStyle w:val="ListParagraph"/>
        <w:numPr>
          <w:ilvl w:val="0"/>
          <w:numId w:val="38"/>
        </w:numPr>
        <w:spacing w:after="160" w:line="259" w:lineRule="auto"/>
        <w:rPr>
          <w:rFonts w:ascii="Verdana" w:hAnsi="Verdana"/>
          <w:sz w:val="20"/>
          <w:szCs w:val="20"/>
        </w:rPr>
      </w:pPr>
      <w:r w:rsidRPr="00F53A2D">
        <w:rPr>
          <w:rFonts w:ascii="Verdana" w:hAnsi="Verdana"/>
          <w:sz w:val="20"/>
          <w:szCs w:val="20"/>
        </w:rPr>
        <w:t xml:space="preserve">Basil </w:t>
      </w:r>
      <w:proofErr w:type="spellStart"/>
      <w:r w:rsidRPr="00F53A2D">
        <w:rPr>
          <w:rFonts w:ascii="Verdana" w:hAnsi="Verdana"/>
          <w:sz w:val="20"/>
          <w:szCs w:val="20"/>
        </w:rPr>
        <w:t>Kandyomunda</w:t>
      </w:r>
      <w:proofErr w:type="spellEnd"/>
      <w:r w:rsidRPr="00F53A2D">
        <w:rPr>
          <w:rFonts w:ascii="Verdana" w:hAnsi="Verdana"/>
          <w:sz w:val="20"/>
          <w:szCs w:val="20"/>
        </w:rPr>
        <w:t>, MSc., MA.  Team Leader</w:t>
      </w:r>
    </w:p>
    <w:p w14:paraId="2DD9548A" w14:textId="77777777" w:rsidR="00CC6401" w:rsidRPr="00F53A2D" w:rsidRDefault="00CC6401" w:rsidP="00CC6401">
      <w:pPr>
        <w:pStyle w:val="ListParagraph"/>
        <w:numPr>
          <w:ilvl w:val="0"/>
          <w:numId w:val="38"/>
        </w:numPr>
        <w:spacing w:after="160" w:line="259" w:lineRule="auto"/>
        <w:rPr>
          <w:rFonts w:ascii="Verdana" w:hAnsi="Verdana"/>
          <w:sz w:val="20"/>
          <w:szCs w:val="20"/>
        </w:rPr>
      </w:pPr>
      <w:r w:rsidRPr="00F53A2D">
        <w:rPr>
          <w:rFonts w:ascii="Verdana" w:hAnsi="Verdana"/>
          <w:sz w:val="20"/>
          <w:szCs w:val="20"/>
        </w:rPr>
        <w:t xml:space="preserve">Solomon </w:t>
      </w:r>
      <w:proofErr w:type="spellStart"/>
      <w:r w:rsidRPr="00F53A2D">
        <w:rPr>
          <w:rFonts w:ascii="Verdana" w:hAnsi="Verdana"/>
          <w:sz w:val="20"/>
          <w:szCs w:val="20"/>
        </w:rPr>
        <w:t>Tiruneh</w:t>
      </w:r>
      <w:proofErr w:type="spellEnd"/>
      <w:r w:rsidRPr="00F53A2D">
        <w:rPr>
          <w:rFonts w:ascii="Verdana" w:hAnsi="Verdana"/>
          <w:sz w:val="20"/>
          <w:szCs w:val="20"/>
        </w:rPr>
        <w:t xml:space="preserve"> Abebe, MSc. Team Member</w:t>
      </w:r>
    </w:p>
    <w:p w14:paraId="058D0F1F" w14:textId="77777777" w:rsidR="00CC6401" w:rsidRPr="00F53A2D" w:rsidRDefault="00CC6401" w:rsidP="00CC6401">
      <w:pPr>
        <w:pStyle w:val="ListParagraph"/>
        <w:numPr>
          <w:ilvl w:val="0"/>
          <w:numId w:val="38"/>
        </w:numPr>
        <w:spacing w:after="160" w:line="259" w:lineRule="auto"/>
        <w:rPr>
          <w:rFonts w:ascii="Verdana" w:hAnsi="Verdana"/>
          <w:sz w:val="20"/>
          <w:szCs w:val="20"/>
        </w:rPr>
      </w:pPr>
      <w:r w:rsidRPr="00F53A2D">
        <w:rPr>
          <w:rFonts w:ascii="Verdana" w:hAnsi="Verdana"/>
          <w:sz w:val="20"/>
          <w:szCs w:val="20"/>
        </w:rPr>
        <w:t>Ananda S. Millard, PhD. Quality Assurer</w:t>
      </w:r>
    </w:p>
    <w:p w14:paraId="0F89DBB3" w14:textId="77777777" w:rsidR="00CC6401" w:rsidRPr="007770E8" w:rsidRDefault="00CC6401" w:rsidP="00CC6401">
      <w:pPr>
        <w:spacing w:before="0" w:after="160" w:line="259" w:lineRule="auto"/>
        <w:rPr>
          <w:b/>
          <w:bCs/>
          <w:color w:val="5C52A3"/>
          <w:sz w:val="20"/>
          <w:szCs w:val="20"/>
        </w:rPr>
      </w:pPr>
      <w:r w:rsidRPr="007770E8">
        <w:rPr>
          <w:b/>
          <w:bCs/>
          <w:color w:val="5C52A3"/>
          <w:sz w:val="20"/>
          <w:szCs w:val="20"/>
        </w:rPr>
        <w:t>Research Assistants</w:t>
      </w:r>
    </w:p>
    <w:p w14:paraId="36BE27C9" w14:textId="77777777" w:rsidR="00CC6401" w:rsidRPr="00F53A2D" w:rsidRDefault="00CC6401" w:rsidP="00CC6401">
      <w:pPr>
        <w:pStyle w:val="ListParagraph"/>
        <w:numPr>
          <w:ilvl w:val="0"/>
          <w:numId w:val="39"/>
        </w:numPr>
        <w:spacing w:after="120" w:line="259" w:lineRule="auto"/>
        <w:rPr>
          <w:rFonts w:ascii="Verdana" w:eastAsia="Times New Roman" w:hAnsi="Verdana"/>
          <w:sz w:val="20"/>
          <w:szCs w:val="20"/>
        </w:rPr>
      </w:pPr>
      <w:r w:rsidRPr="00F53A2D">
        <w:rPr>
          <w:rFonts w:ascii="Verdana" w:eastAsia="Times New Roman" w:hAnsi="Verdana"/>
          <w:sz w:val="20"/>
          <w:szCs w:val="20"/>
        </w:rPr>
        <w:t xml:space="preserve">Mr. </w:t>
      </w:r>
      <w:proofErr w:type="spellStart"/>
      <w:r w:rsidRPr="00F53A2D">
        <w:rPr>
          <w:rFonts w:ascii="Verdana" w:eastAsia="Times New Roman" w:hAnsi="Verdana"/>
          <w:sz w:val="20"/>
          <w:szCs w:val="20"/>
        </w:rPr>
        <w:t>Tsegay</w:t>
      </w:r>
      <w:proofErr w:type="spellEnd"/>
      <w:r w:rsidRPr="00F53A2D">
        <w:rPr>
          <w:rFonts w:ascii="Verdana" w:eastAsia="Times New Roman" w:hAnsi="Verdana"/>
          <w:sz w:val="20"/>
          <w:szCs w:val="20"/>
        </w:rPr>
        <w:t xml:space="preserve"> </w:t>
      </w:r>
      <w:proofErr w:type="spellStart"/>
      <w:r w:rsidRPr="00F53A2D">
        <w:rPr>
          <w:rFonts w:ascii="Verdana" w:eastAsia="Times New Roman" w:hAnsi="Verdana"/>
          <w:sz w:val="20"/>
          <w:szCs w:val="20"/>
        </w:rPr>
        <w:t>Gebreselassie</w:t>
      </w:r>
      <w:proofErr w:type="spellEnd"/>
    </w:p>
    <w:p w14:paraId="380927FB" w14:textId="77777777" w:rsidR="00CC6401" w:rsidRPr="00F53A2D" w:rsidRDefault="00CC6401" w:rsidP="00CC6401">
      <w:pPr>
        <w:pStyle w:val="ListParagraph"/>
        <w:numPr>
          <w:ilvl w:val="0"/>
          <w:numId w:val="39"/>
        </w:numPr>
        <w:spacing w:after="120" w:line="259" w:lineRule="auto"/>
        <w:rPr>
          <w:rFonts w:ascii="Verdana" w:eastAsia="Times New Roman" w:hAnsi="Verdana"/>
          <w:sz w:val="20"/>
          <w:szCs w:val="20"/>
        </w:rPr>
      </w:pPr>
      <w:r w:rsidRPr="00F53A2D">
        <w:rPr>
          <w:rFonts w:ascii="Verdana" w:eastAsia="Times New Roman" w:hAnsi="Verdana"/>
          <w:sz w:val="20"/>
          <w:szCs w:val="20"/>
        </w:rPr>
        <w:t xml:space="preserve">Mr. Adey </w:t>
      </w:r>
      <w:proofErr w:type="spellStart"/>
      <w:r w:rsidRPr="00F53A2D">
        <w:rPr>
          <w:rFonts w:ascii="Verdana" w:eastAsia="Times New Roman" w:hAnsi="Verdana"/>
          <w:sz w:val="20"/>
          <w:szCs w:val="20"/>
        </w:rPr>
        <w:t>Gebre</w:t>
      </w:r>
      <w:proofErr w:type="spellEnd"/>
    </w:p>
    <w:p w14:paraId="524F997B" w14:textId="77777777" w:rsidR="00CC6401" w:rsidRPr="00F53A2D" w:rsidRDefault="00CC6401" w:rsidP="00CC6401">
      <w:pPr>
        <w:pStyle w:val="ListParagraph"/>
        <w:numPr>
          <w:ilvl w:val="0"/>
          <w:numId w:val="39"/>
        </w:numPr>
        <w:spacing w:after="120" w:line="259" w:lineRule="auto"/>
        <w:rPr>
          <w:rFonts w:ascii="Verdana" w:eastAsia="Times New Roman" w:hAnsi="Verdana"/>
          <w:sz w:val="20"/>
          <w:szCs w:val="20"/>
        </w:rPr>
      </w:pPr>
      <w:r w:rsidRPr="00F53A2D">
        <w:rPr>
          <w:rFonts w:ascii="Verdana" w:eastAsia="Times New Roman" w:hAnsi="Verdana"/>
          <w:sz w:val="20"/>
          <w:szCs w:val="20"/>
        </w:rPr>
        <w:t>Mr. Abdirahman Mahad</w:t>
      </w:r>
    </w:p>
    <w:p w14:paraId="52BFE098" w14:textId="77777777" w:rsidR="00CC6401" w:rsidRPr="00F53A2D" w:rsidRDefault="00CC6401" w:rsidP="00CC6401">
      <w:pPr>
        <w:pStyle w:val="ListParagraph"/>
        <w:numPr>
          <w:ilvl w:val="0"/>
          <w:numId w:val="39"/>
        </w:numPr>
        <w:spacing w:after="120" w:line="259" w:lineRule="auto"/>
        <w:rPr>
          <w:rFonts w:ascii="Verdana" w:eastAsia="Times New Roman" w:hAnsi="Verdana"/>
          <w:sz w:val="20"/>
          <w:szCs w:val="20"/>
        </w:rPr>
      </w:pPr>
      <w:r w:rsidRPr="00F53A2D">
        <w:rPr>
          <w:rFonts w:ascii="Verdana" w:eastAsia="Times New Roman" w:hAnsi="Verdana"/>
          <w:sz w:val="20"/>
          <w:szCs w:val="20"/>
        </w:rPr>
        <w:t xml:space="preserve">Mr. </w:t>
      </w:r>
      <w:proofErr w:type="spellStart"/>
      <w:r w:rsidRPr="00F53A2D">
        <w:rPr>
          <w:rFonts w:ascii="Verdana" w:eastAsia="Times New Roman" w:hAnsi="Verdana"/>
          <w:sz w:val="20"/>
          <w:szCs w:val="20"/>
        </w:rPr>
        <w:t>Haleke</w:t>
      </w:r>
      <w:proofErr w:type="spellEnd"/>
      <w:r w:rsidRPr="00F53A2D">
        <w:rPr>
          <w:rFonts w:ascii="Verdana" w:eastAsia="Times New Roman" w:hAnsi="Verdana"/>
          <w:sz w:val="20"/>
          <w:szCs w:val="20"/>
        </w:rPr>
        <w:t xml:space="preserve"> </w:t>
      </w:r>
      <w:proofErr w:type="spellStart"/>
      <w:r w:rsidRPr="00F53A2D">
        <w:rPr>
          <w:rFonts w:ascii="Verdana" w:eastAsia="Times New Roman" w:hAnsi="Verdana"/>
          <w:sz w:val="20"/>
          <w:szCs w:val="20"/>
        </w:rPr>
        <w:t>Doyo</w:t>
      </w:r>
      <w:proofErr w:type="spellEnd"/>
    </w:p>
    <w:p w14:paraId="26180A0D" w14:textId="77777777" w:rsidR="00CC6401" w:rsidRPr="00F53A2D" w:rsidRDefault="00CC6401" w:rsidP="00CC6401">
      <w:pPr>
        <w:pStyle w:val="ListParagraph"/>
        <w:numPr>
          <w:ilvl w:val="0"/>
          <w:numId w:val="39"/>
        </w:numPr>
        <w:spacing w:after="120" w:line="259" w:lineRule="auto"/>
        <w:rPr>
          <w:rFonts w:ascii="Verdana" w:eastAsia="Times New Roman" w:hAnsi="Verdana"/>
          <w:sz w:val="20"/>
          <w:szCs w:val="20"/>
        </w:rPr>
      </w:pPr>
      <w:r w:rsidRPr="00F53A2D">
        <w:rPr>
          <w:rFonts w:ascii="Verdana" w:eastAsia="Times New Roman" w:hAnsi="Verdana"/>
          <w:sz w:val="20"/>
          <w:szCs w:val="20"/>
        </w:rPr>
        <w:t xml:space="preserve">Mr. Mohammed </w:t>
      </w:r>
      <w:proofErr w:type="spellStart"/>
      <w:r w:rsidRPr="00F53A2D">
        <w:rPr>
          <w:rFonts w:ascii="Verdana" w:eastAsia="Times New Roman" w:hAnsi="Verdana"/>
          <w:sz w:val="20"/>
          <w:szCs w:val="20"/>
        </w:rPr>
        <w:t>Jemaneh</w:t>
      </w:r>
      <w:proofErr w:type="spellEnd"/>
    </w:p>
    <w:p w14:paraId="03465E9B" w14:textId="77777777" w:rsidR="00CC6401" w:rsidRPr="00F53A2D" w:rsidRDefault="00CC6401" w:rsidP="00CC6401">
      <w:pPr>
        <w:pStyle w:val="ListParagraph"/>
        <w:numPr>
          <w:ilvl w:val="0"/>
          <w:numId w:val="39"/>
        </w:numPr>
        <w:spacing w:after="120" w:line="259" w:lineRule="auto"/>
        <w:rPr>
          <w:rFonts w:ascii="Verdana" w:eastAsia="Times New Roman" w:hAnsi="Verdana"/>
          <w:sz w:val="20"/>
          <w:szCs w:val="20"/>
        </w:rPr>
      </w:pPr>
      <w:r w:rsidRPr="00F53A2D">
        <w:rPr>
          <w:rFonts w:ascii="Verdana" w:eastAsia="Times New Roman" w:hAnsi="Verdana"/>
          <w:sz w:val="20"/>
          <w:szCs w:val="20"/>
        </w:rPr>
        <w:t xml:space="preserve">Ms. </w:t>
      </w:r>
      <w:proofErr w:type="spellStart"/>
      <w:r w:rsidRPr="00F53A2D">
        <w:rPr>
          <w:rFonts w:ascii="Verdana" w:eastAsia="Times New Roman" w:hAnsi="Verdana"/>
          <w:sz w:val="20"/>
          <w:szCs w:val="20"/>
        </w:rPr>
        <w:t>Kadigaa</w:t>
      </w:r>
      <w:proofErr w:type="spellEnd"/>
      <w:r w:rsidRPr="00F53A2D">
        <w:rPr>
          <w:rFonts w:ascii="Verdana" w:eastAsia="Times New Roman" w:hAnsi="Verdana"/>
          <w:sz w:val="20"/>
          <w:szCs w:val="20"/>
        </w:rPr>
        <w:t xml:space="preserve"> Ali</w:t>
      </w:r>
    </w:p>
    <w:p w14:paraId="3DA81788" w14:textId="77777777" w:rsidR="00CC6401" w:rsidRPr="00F53A2D" w:rsidRDefault="00CC6401" w:rsidP="00CC6401">
      <w:pPr>
        <w:pStyle w:val="ListParagraph"/>
        <w:numPr>
          <w:ilvl w:val="0"/>
          <w:numId w:val="39"/>
        </w:numPr>
        <w:spacing w:after="120" w:line="259" w:lineRule="auto"/>
        <w:rPr>
          <w:rFonts w:ascii="Verdana" w:eastAsia="Times New Roman" w:hAnsi="Verdana"/>
          <w:sz w:val="20"/>
          <w:szCs w:val="20"/>
        </w:rPr>
      </w:pPr>
      <w:r w:rsidRPr="00F53A2D">
        <w:rPr>
          <w:rFonts w:ascii="Verdana" w:eastAsia="Times New Roman" w:hAnsi="Verdana"/>
          <w:sz w:val="20"/>
          <w:szCs w:val="20"/>
        </w:rPr>
        <w:t xml:space="preserve">Ms. Anna Roman </w:t>
      </w:r>
      <w:proofErr w:type="spellStart"/>
      <w:r w:rsidRPr="00F53A2D">
        <w:rPr>
          <w:rFonts w:ascii="Verdana" w:eastAsia="Times New Roman" w:hAnsi="Verdana"/>
          <w:sz w:val="20"/>
          <w:szCs w:val="20"/>
        </w:rPr>
        <w:t>Manuele</w:t>
      </w:r>
      <w:proofErr w:type="spellEnd"/>
    </w:p>
    <w:p w14:paraId="749B9139" w14:textId="77777777" w:rsidR="00CC6401" w:rsidRPr="00F53A2D" w:rsidRDefault="00CC6401" w:rsidP="00CC6401">
      <w:pPr>
        <w:pStyle w:val="ListParagraph"/>
        <w:numPr>
          <w:ilvl w:val="0"/>
          <w:numId w:val="39"/>
        </w:numPr>
        <w:spacing w:after="120" w:line="259" w:lineRule="auto"/>
        <w:rPr>
          <w:rFonts w:ascii="Verdana" w:eastAsia="Times New Roman" w:hAnsi="Verdana"/>
          <w:sz w:val="20"/>
          <w:szCs w:val="20"/>
        </w:rPr>
      </w:pPr>
      <w:r w:rsidRPr="00F53A2D">
        <w:rPr>
          <w:rFonts w:ascii="Verdana" w:eastAsia="Times New Roman" w:hAnsi="Verdana"/>
          <w:sz w:val="20"/>
          <w:szCs w:val="20"/>
        </w:rPr>
        <w:t xml:space="preserve">Ms. </w:t>
      </w:r>
      <w:proofErr w:type="spellStart"/>
      <w:r w:rsidRPr="00F53A2D">
        <w:rPr>
          <w:rFonts w:ascii="Verdana" w:eastAsia="Times New Roman" w:hAnsi="Verdana"/>
          <w:sz w:val="20"/>
          <w:szCs w:val="20"/>
        </w:rPr>
        <w:t>Bishar</w:t>
      </w:r>
      <w:proofErr w:type="spellEnd"/>
      <w:r w:rsidRPr="00F53A2D">
        <w:rPr>
          <w:rFonts w:ascii="Verdana" w:eastAsia="Times New Roman" w:hAnsi="Verdana"/>
          <w:sz w:val="20"/>
          <w:szCs w:val="20"/>
        </w:rPr>
        <w:t xml:space="preserve"> Hassan</w:t>
      </w:r>
    </w:p>
    <w:p w14:paraId="0F1F403B" w14:textId="77777777" w:rsidR="00CC6401" w:rsidRPr="00F53A2D" w:rsidRDefault="00CC6401" w:rsidP="00CC6401">
      <w:pPr>
        <w:pStyle w:val="ListParagraph"/>
        <w:numPr>
          <w:ilvl w:val="0"/>
          <w:numId w:val="39"/>
        </w:numPr>
        <w:spacing w:after="120" w:line="259" w:lineRule="auto"/>
        <w:rPr>
          <w:rFonts w:ascii="Verdana" w:eastAsia="Times New Roman" w:hAnsi="Verdana"/>
          <w:sz w:val="20"/>
          <w:szCs w:val="20"/>
        </w:rPr>
      </w:pPr>
      <w:r w:rsidRPr="00F53A2D">
        <w:rPr>
          <w:rFonts w:ascii="Verdana" w:eastAsia="Times New Roman" w:hAnsi="Verdana"/>
          <w:sz w:val="20"/>
          <w:szCs w:val="20"/>
        </w:rPr>
        <w:t>Mr. Kinuthia Francis Kariuki</w:t>
      </w:r>
    </w:p>
    <w:p w14:paraId="3CEFC91D" w14:textId="77777777" w:rsidR="00CC6401" w:rsidRPr="00F53A2D" w:rsidRDefault="00CC6401" w:rsidP="00CC6401">
      <w:pPr>
        <w:pStyle w:val="ListParagraph"/>
        <w:numPr>
          <w:ilvl w:val="0"/>
          <w:numId w:val="39"/>
        </w:numPr>
        <w:spacing w:after="120" w:line="259" w:lineRule="auto"/>
        <w:rPr>
          <w:rFonts w:ascii="Verdana" w:eastAsia="Times New Roman" w:hAnsi="Verdana"/>
          <w:sz w:val="20"/>
          <w:szCs w:val="20"/>
        </w:rPr>
      </w:pPr>
      <w:r w:rsidRPr="00F53A2D">
        <w:rPr>
          <w:rFonts w:ascii="Verdana" w:eastAsia="Times New Roman" w:hAnsi="Verdana"/>
          <w:sz w:val="20"/>
          <w:szCs w:val="20"/>
        </w:rPr>
        <w:t xml:space="preserve">Ms. Fatuma Adan </w:t>
      </w:r>
      <w:proofErr w:type="spellStart"/>
      <w:r w:rsidRPr="00F53A2D">
        <w:rPr>
          <w:rFonts w:ascii="Verdana" w:eastAsia="Times New Roman" w:hAnsi="Verdana"/>
          <w:sz w:val="20"/>
          <w:szCs w:val="20"/>
        </w:rPr>
        <w:t>Galmagar</w:t>
      </w:r>
      <w:proofErr w:type="spellEnd"/>
    </w:p>
    <w:p w14:paraId="5603216B" w14:textId="77777777" w:rsidR="00CC6401" w:rsidRPr="00F53A2D" w:rsidRDefault="00CC6401" w:rsidP="00CC6401">
      <w:pPr>
        <w:pStyle w:val="ListParagraph"/>
        <w:numPr>
          <w:ilvl w:val="0"/>
          <w:numId w:val="39"/>
        </w:numPr>
        <w:spacing w:after="120" w:line="259" w:lineRule="auto"/>
        <w:rPr>
          <w:rFonts w:ascii="Verdana" w:eastAsia="Times New Roman" w:hAnsi="Verdana"/>
          <w:sz w:val="20"/>
          <w:szCs w:val="20"/>
        </w:rPr>
      </w:pPr>
      <w:r w:rsidRPr="00F53A2D">
        <w:rPr>
          <w:rFonts w:ascii="Verdana" w:eastAsia="Times New Roman" w:hAnsi="Verdana"/>
          <w:sz w:val="20"/>
          <w:szCs w:val="20"/>
        </w:rPr>
        <w:t xml:space="preserve">Mr. </w:t>
      </w:r>
      <w:proofErr w:type="spellStart"/>
      <w:r w:rsidRPr="00F53A2D">
        <w:rPr>
          <w:rFonts w:ascii="Verdana" w:eastAsia="Times New Roman" w:hAnsi="Verdana"/>
          <w:sz w:val="20"/>
          <w:szCs w:val="20"/>
        </w:rPr>
        <w:t>Abdulmalik</w:t>
      </w:r>
      <w:proofErr w:type="spellEnd"/>
      <w:r w:rsidRPr="00F53A2D">
        <w:rPr>
          <w:rFonts w:ascii="Verdana" w:eastAsia="Times New Roman" w:hAnsi="Verdana"/>
          <w:sz w:val="20"/>
          <w:szCs w:val="20"/>
        </w:rPr>
        <w:t xml:space="preserve"> Masai</w:t>
      </w:r>
    </w:p>
    <w:p w14:paraId="50656A48" w14:textId="0965DE34" w:rsidR="00CC6401" w:rsidRPr="00E37881" w:rsidRDefault="00CC6401" w:rsidP="00E37881">
      <w:pPr>
        <w:pStyle w:val="ListParagraph"/>
        <w:numPr>
          <w:ilvl w:val="0"/>
          <w:numId w:val="39"/>
        </w:numPr>
        <w:spacing w:after="160" w:line="259" w:lineRule="auto"/>
        <w:rPr>
          <w:rFonts w:ascii="Verdana" w:hAnsi="Verdana"/>
          <w:sz w:val="20"/>
          <w:szCs w:val="20"/>
        </w:rPr>
      </w:pPr>
      <w:r w:rsidRPr="00F53A2D">
        <w:rPr>
          <w:rFonts w:ascii="Verdana" w:eastAsia="Times New Roman" w:hAnsi="Verdana"/>
          <w:sz w:val="20"/>
          <w:szCs w:val="20"/>
        </w:rPr>
        <w:t xml:space="preserve">Ms. Rapha </w:t>
      </w:r>
      <w:proofErr w:type="spellStart"/>
      <w:r w:rsidRPr="00F53A2D">
        <w:rPr>
          <w:rFonts w:ascii="Verdana" w:eastAsia="Times New Roman" w:hAnsi="Verdana"/>
          <w:sz w:val="20"/>
          <w:szCs w:val="20"/>
        </w:rPr>
        <w:t>Chemonmenyu</w:t>
      </w:r>
      <w:proofErr w:type="spellEnd"/>
      <w:r w:rsidRPr="00F53A2D">
        <w:rPr>
          <w:rFonts w:ascii="Verdana" w:eastAsia="Times New Roman" w:hAnsi="Verdana"/>
          <w:sz w:val="20"/>
          <w:szCs w:val="20"/>
        </w:rPr>
        <w:t xml:space="preserve"> </w:t>
      </w:r>
      <w:proofErr w:type="spellStart"/>
      <w:r w:rsidRPr="00F53A2D">
        <w:rPr>
          <w:rFonts w:ascii="Verdana" w:eastAsia="Times New Roman" w:hAnsi="Verdana"/>
          <w:sz w:val="20"/>
          <w:szCs w:val="20"/>
        </w:rPr>
        <w:t>Krong</w:t>
      </w:r>
      <w:proofErr w:type="spellEnd"/>
    </w:p>
    <w:p w14:paraId="5DAB26D1" w14:textId="77777777" w:rsidR="00CC6401" w:rsidRPr="007770E8" w:rsidRDefault="00CC6401" w:rsidP="00E37881">
      <w:pPr>
        <w:spacing w:after="160" w:line="259" w:lineRule="auto"/>
      </w:pPr>
      <w:r w:rsidRPr="007770E8">
        <w:rPr>
          <w:b/>
          <w:bCs/>
          <w:color w:val="5C52A3"/>
          <w:sz w:val="24"/>
          <w:szCs w:val="32"/>
        </w:rPr>
        <w:t>Disclaimer</w:t>
      </w:r>
    </w:p>
    <w:p w14:paraId="4D8A31E3" w14:textId="77777777" w:rsidR="00CC6401" w:rsidRPr="00AD3798" w:rsidRDefault="00CC6401" w:rsidP="00CC6401">
      <w:pPr>
        <w:tabs>
          <w:tab w:val="left" w:pos="0"/>
        </w:tabs>
        <w:autoSpaceDE w:val="0"/>
        <w:autoSpaceDN w:val="0"/>
        <w:adjustRightInd w:val="0"/>
        <w:rPr>
          <w:rFonts w:cs="Arial"/>
          <w:color w:val="231F20"/>
          <w:sz w:val="20"/>
          <w:szCs w:val="20"/>
          <w:lang w:eastAsia="nb-NO" w:bidi="en-US"/>
        </w:rPr>
      </w:pPr>
      <w:r w:rsidRPr="00AD3798">
        <w:rPr>
          <w:rFonts w:cs="Arial"/>
          <w:color w:val="231F20"/>
          <w:sz w:val="20"/>
          <w:szCs w:val="20"/>
          <w:lang w:eastAsia="nb-NO" w:bidi="en-US"/>
        </w:rPr>
        <w:t>The views and opinions expressed in this evaluation report do not necessarily represent the official policy or position of the Australian Government or Australian Humanitarian Partnership partners.</w:t>
      </w:r>
    </w:p>
    <w:p w14:paraId="67EE52D4" w14:textId="68162F3C" w:rsidR="00F81814" w:rsidRPr="00E37881" w:rsidRDefault="00CC6401" w:rsidP="00E37881">
      <w:pPr>
        <w:jc w:val="both"/>
        <w:rPr>
          <w:sz w:val="20"/>
          <w:szCs w:val="20"/>
        </w:rPr>
      </w:pPr>
      <w:r w:rsidRPr="00AD3798">
        <w:rPr>
          <w:sz w:val="20"/>
          <w:szCs w:val="20"/>
        </w:rPr>
        <w:t xml:space="preserve">Policy Research Institute (PRI), </w:t>
      </w:r>
      <w:proofErr w:type="spellStart"/>
      <w:r w:rsidRPr="00AD3798">
        <w:rPr>
          <w:sz w:val="20"/>
          <w:szCs w:val="20"/>
        </w:rPr>
        <w:t>Sarl</w:t>
      </w:r>
      <w:proofErr w:type="spellEnd"/>
      <w:r w:rsidR="00F81814">
        <w:rPr>
          <w:color w:val="443D79"/>
        </w:rPr>
        <w:br w:type="page"/>
      </w:r>
    </w:p>
    <w:p w14:paraId="0D082F6C" w14:textId="5564BD2B" w:rsidR="005757E8" w:rsidRPr="00E37881" w:rsidRDefault="00CC6401" w:rsidP="00B562BB">
      <w:pPr>
        <w:pStyle w:val="Heading1"/>
        <w:spacing w:before="0" w:after="240"/>
        <w:rPr>
          <w:rFonts w:ascii="Verdana" w:hAnsi="Verdana"/>
          <w:sz w:val="24"/>
          <w:szCs w:val="24"/>
        </w:rPr>
      </w:pPr>
      <w:bookmarkStart w:id="1" w:name="_Toc181278005"/>
      <w:r w:rsidRPr="005757E8">
        <w:rPr>
          <w:rFonts w:ascii="Verdana" w:hAnsi="Verdana"/>
          <w:sz w:val="24"/>
          <w:szCs w:val="24"/>
        </w:rPr>
        <w:lastRenderedPageBreak/>
        <w:t>Acknowledgements</w:t>
      </w:r>
      <w:bookmarkEnd w:id="1"/>
    </w:p>
    <w:p w14:paraId="459F600B" w14:textId="27986420" w:rsidR="000525D1" w:rsidRPr="000525D1" w:rsidRDefault="00CC6401" w:rsidP="00B94254">
      <w:pPr>
        <w:spacing w:before="0" w:line="240" w:lineRule="auto"/>
        <w:rPr>
          <w:sz w:val="20"/>
          <w:szCs w:val="20"/>
        </w:rPr>
      </w:pPr>
      <w:r w:rsidRPr="000525D1">
        <w:rPr>
          <w:sz w:val="20"/>
          <w:szCs w:val="20"/>
        </w:rPr>
        <w:t xml:space="preserve">We would like to thank Australian Humanitarian Partnership (AHP) for entrusting us with this assignment and for working closely with us throughout the evaluation process. Although many individuals helped us in this journey and not all of them are named here, permit us to extend our </w:t>
      </w:r>
      <w:proofErr w:type="gramStart"/>
      <w:r w:rsidRPr="000525D1">
        <w:rPr>
          <w:sz w:val="20"/>
          <w:szCs w:val="20"/>
        </w:rPr>
        <w:t>particular appreciation</w:t>
      </w:r>
      <w:proofErr w:type="gramEnd"/>
      <w:r w:rsidRPr="000525D1">
        <w:rPr>
          <w:sz w:val="20"/>
          <w:szCs w:val="20"/>
        </w:rPr>
        <w:t xml:space="preserve"> to: Ms. Laura Holbeck, Rachael Murray and the entire team from the AHP Support Unit for working with us throughout this assignment. We are also indebted to the team from Plan International Australia and Oxfam Australia and their counterparts in Ethiopia and Kenya (Plan International Ethiopia (PIE); and Oxfam offices in Ethiopia and Kenya respectively) for coordinating the field data collection related activities.</w:t>
      </w:r>
    </w:p>
    <w:p w14:paraId="69E06A7A" w14:textId="77777777" w:rsidR="00CC6401" w:rsidRPr="000525D1" w:rsidRDefault="00CC6401" w:rsidP="00CC6401">
      <w:pPr>
        <w:spacing w:before="0" w:after="160" w:line="259" w:lineRule="auto"/>
        <w:rPr>
          <w:sz w:val="20"/>
          <w:szCs w:val="20"/>
        </w:rPr>
      </w:pPr>
      <w:r w:rsidRPr="000525D1">
        <w:rPr>
          <w:sz w:val="20"/>
          <w:szCs w:val="20"/>
        </w:rPr>
        <w:t xml:space="preserve">We would like to stress our appreciation to all the individual stakeholders in Kenya and Ethiopia who agreed to share their experiences, </w:t>
      </w:r>
      <w:proofErr w:type="gramStart"/>
      <w:r w:rsidRPr="000525D1">
        <w:rPr>
          <w:sz w:val="20"/>
          <w:szCs w:val="20"/>
        </w:rPr>
        <w:t>insights</w:t>
      </w:r>
      <w:proofErr w:type="gramEnd"/>
      <w:r w:rsidRPr="000525D1">
        <w:rPr>
          <w:sz w:val="20"/>
          <w:szCs w:val="20"/>
        </w:rPr>
        <w:t xml:space="preserve"> and perspectives, either remotely or through face-to-face interviews, group discussions and/or surveys. These perspectives are the foundation for this evaluation, and without them, our work would not have been possible. We thank you all.</w:t>
      </w:r>
    </w:p>
    <w:p w14:paraId="4483C07E" w14:textId="3BC1F92D" w:rsidR="00CC6401" w:rsidRPr="00B562BB" w:rsidRDefault="00CC6401" w:rsidP="00CC6401">
      <w:pPr>
        <w:spacing w:before="0" w:after="120" w:line="259" w:lineRule="auto"/>
        <w:jc w:val="both"/>
        <w:rPr>
          <w:sz w:val="20"/>
          <w:szCs w:val="20"/>
        </w:rPr>
      </w:pPr>
      <w:r w:rsidRPr="000525D1">
        <w:rPr>
          <w:sz w:val="20"/>
          <w:szCs w:val="20"/>
        </w:rPr>
        <w:t xml:space="preserve">Policy Research Institute (PRI), </w:t>
      </w:r>
      <w:proofErr w:type="spellStart"/>
      <w:r w:rsidRPr="000525D1">
        <w:rPr>
          <w:sz w:val="20"/>
          <w:szCs w:val="20"/>
        </w:rPr>
        <w:t>Sarl</w:t>
      </w:r>
      <w:proofErr w:type="spellEnd"/>
      <w:r w:rsidRPr="000525D1">
        <w:rPr>
          <w:sz w:val="20"/>
          <w:szCs w:val="20"/>
        </w:rPr>
        <w:t>.</w:t>
      </w:r>
    </w:p>
    <w:p w14:paraId="7ED3BA95" w14:textId="77777777" w:rsidR="008A74BC" w:rsidRDefault="00CC6401" w:rsidP="00CC6401">
      <w:pPr>
        <w:pStyle w:val="Heading1"/>
        <w:spacing w:before="0" w:after="120" w:line="259" w:lineRule="auto"/>
        <w:rPr>
          <w:lang w:val="en-GB"/>
        </w:rPr>
      </w:pPr>
      <w:r w:rsidRPr="007770E8">
        <w:rPr>
          <w:lang w:val="en-GB"/>
        </w:rPr>
        <w:br w:type="page"/>
      </w:r>
    </w:p>
    <w:sdt>
      <w:sdtPr>
        <w:rPr>
          <w:rFonts w:ascii="Verdana" w:eastAsia="Verdana" w:hAnsi="Verdana" w:cs="Times New Roman"/>
          <w:color w:val="000000"/>
          <w:sz w:val="18"/>
          <w:szCs w:val="22"/>
          <w:lang w:val="en-GB"/>
        </w:rPr>
        <w:id w:val="-269398671"/>
        <w:docPartObj>
          <w:docPartGallery w:val="Table of Contents"/>
          <w:docPartUnique/>
        </w:docPartObj>
      </w:sdtPr>
      <w:sdtEndPr>
        <w:rPr>
          <w:b/>
          <w:bCs/>
          <w:noProof/>
          <w:color w:val="000000" w:themeColor="text1"/>
          <w:szCs w:val="18"/>
        </w:rPr>
      </w:sdtEndPr>
      <w:sdtContent>
        <w:p w14:paraId="07B5B9BC" w14:textId="744E394C" w:rsidR="00CC2891" w:rsidRPr="00EB23FA" w:rsidRDefault="00CC2891">
          <w:pPr>
            <w:pStyle w:val="TOCHeading"/>
            <w:rPr>
              <w:rStyle w:val="Heading1Char"/>
              <w:rFonts w:ascii="Verdana" w:eastAsiaTheme="majorEastAsia" w:hAnsi="Verdana"/>
              <w:sz w:val="28"/>
              <w:szCs w:val="28"/>
            </w:rPr>
          </w:pPr>
          <w:r w:rsidRPr="00EB23FA">
            <w:rPr>
              <w:rStyle w:val="Heading1Char"/>
              <w:rFonts w:ascii="Verdana" w:eastAsiaTheme="majorEastAsia" w:hAnsi="Verdana"/>
              <w:sz w:val="28"/>
              <w:szCs w:val="28"/>
            </w:rPr>
            <w:t>Contents</w:t>
          </w:r>
        </w:p>
        <w:p w14:paraId="6537D0DA" w14:textId="08457376" w:rsidR="003A1176" w:rsidRDefault="00CC2891">
          <w:pPr>
            <w:pStyle w:val="TOC1"/>
            <w:rPr>
              <w:rFonts w:asciiTheme="minorHAnsi" w:eastAsiaTheme="minorEastAsia" w:hAnsiTheme="minorHAnsi" w:cstheme="minorBidi"/>
              <w:noProof/>
              <w:color w:val="auto"/>
              <w:kern w:val="2"/>
              <w:sz w:val="24"/>
              <w:szCs w:val="24"/>
              <w:lang w:val="en-AU" w:eastAsia="en-AU"/>
              <w14:ligatures w14:val="standardContextual"/>
            </w:rPr>
          </w:pPr>
          <w:r>
            <w:fldChar w:fldCharType="begin"/>
          </w:r>
          <w:r>
            <w:instrText xml:space="preserve"> TOC \o "1-3" \h \z \u </w:instrText>
          </w:r>
          <w:r>
            <w:fldChar w:fldCharType="separate"/>
          </w:r>
          <w:hyperlink w:anchor="_Toc181278005" w:history="1">
            <w:r w:rsidR="003A1176" w:rsidRPr="003337C5">
              <w:rPr>
                <w:rStyle w:val="Hyperlink"/>
                <w:noProof/>
              </w:rPr>
              <w:t>Acknowledgements</w:t>
            </w:r>
            <w:r w:rsidR="003A1176">
              <w:rPr>
                <w:noProof/>
                <w:webHidden/>
              </w:rPr>
              <w:tab/>
            </w:r>
            <w:r w:rsidR="003A1176">
              <w:rPr>
                <w:noProof/>
                <w:webHidden/>
              </w:rPr>
              <w:fldChar w:fldCharType="begin"/>
            </w:r>
            <w:r w:rsidR="003A1176">
              <w:rPr>
                <w:noProof/>
                <w:webHidden/>
              </w:rPr>
              <w:instrText xml:space="preserve"> PAGEREF _Toc181278005 \h </w:instrText>
            </w:r>
            <w:r w:rsidR="003A1176">
              <w:rPr>
                <w:noProof/>
                <w:webHidden/>
              </w:rPr>
            </w:r>
            <w:r w:rsidR="003A1176">
              <w:rPr>
                <w:noProof/>
                <w:webHidden/>
              </w:rPr>
              <w:fldChar w:fldCharType="separate"/>
            </w:r>
            <w:r w:rsidR="00E12207">
              <w:rPr>
                <w:noProof/>
                <w:webHidden/>
              </w:rPr>
              <w:t>iv</w:t>
            </w:r>
            <w:r w:rsidR="003A1176">
              <w:rPr>
                <w:noProof/>
                <w:webHidden/>
              </w:rPr>
              <w:fldChar w:fldCharType="end"/>
            </w:r>
          </w:hyperlink>
        </w:p>
        <w:p w14:paraId="29542C1D" w14:textId="1090F796" w:rsidR="003A1176" w:rsidRDefault="00234B5F">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1278006" w:history="1">
            <w:r w:rsidR="003A1176" w:rsidRPr="003337C5">
              <w:rPr>
                <w:rStyle w:val="Hyperlink"/>
                <w:noProof/>
              </w:rPr>
              <w:t>Acronyms</w:t>
            </w:r>
            <w:r w:rsidR="003A1176">
              <w:rPr>
                <w:noProof/>
                <w:webHidden/>
              </w:rPr>
              <w:tab/>
            </w:r>
            <w:r w:rsidR="003A1176">
              <w:rPr>
                <w:noProof/>
                <w:webHidden/>
              </w:rPr>
              <w:fldChar w:fldCharType="begin"/>
            </w:r>
            <w:r w:rsidR="003A1176">
              <w:rPr>
                <w:noProof/>
                <w:webHidden/>
              </w:rPr>
              <w:instrText xml:space="preserve"> PAGEREF _Toc181278006 \h </w:instrText>
            </w:r>
            <w:r w:rsidR="003A1176">
              <w:rPr>
                <w:noProof/>
                <w:webHidden/>
              </w:rPr>
            </w:r>
            <w:r w:rsidR="003A1176">
              <w:rPr>
                <w:noProof/>
                <w:webHidden/>
              </w:rPr>
              <w:fldChar w:fldCharType="separate"/>
            </w:r>
            <w:r w:rsidR="00E12207">
              <w:rPr>
                <w:noProof/>
                <w:webHidden/>
              </w:rPr>
              <w:t>viii</w:t>
            </w:r>
            <w:r w:rsidR="003A1176">
              <w:rPr>
                <w:noProof/>
                <w:webHidden/>
              </w:rPr>
              <w:fldChar w:fldCharType="end"/>
            </w:r>
          </w:hyperlink>
        </w:p>
        <w:p w14:paraId="1D2D241D" w14:textId="59E9691E" w:rsidR="003A1176" w:rsidRDefault="00234B5F">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1278007" w:history="1">
            <w:r w:rsidR="003A1176" w:rsidRPr="003337C5">
              <w:rPr>
                <w:rStyle w:val="Hyperlink"/>
                <w:b/>
                <w:caps/>
                <w:noProof/>
                <w:lang w:eastAsia="zh-TW"/>
              </w:rPr>
              <w:t xml:space="preserve">Executive </w:t>
            </w:r>
            <w:r w:rsidR="003A1176" w:rsidRPr="003337C5">
              <w:rPr>
                <w:rStyle w:val="Hyperlink"/>
                <w:b/>
                <w:caps/>
                <w:noProof/>
                <w:lang w:val="en-AU" w:eastAsia="zh-TW"/>
              </w:rPr>
              <w:t>Summary</w:t>
            </w:r>
            <w:r w:rsidR="003A1176">
              <w:rPr>
                <w:noProof/>
                <w:webHidden/>
              </w:rPr>
              <w:tab/>
            </w:r>
            <w:r w:rsidR="003A1176">
              <w:rPr>
                <w:noProof/>
                <w:webHidden/>
              </w:rPr>
              <w:fldChar w:fldCharType="begin"/>
            </w:r>
            <w:r w:rsidR="003A1176">
              <w:rPr>
                <w:noProof/>
                <w:webHidden/>
              </w:rPr>
              <w:instrText xml:space="preserve"> PAGEREF _Toc181278007 \h </w:instrText>
            </w:r>
            <w:r w:rsidR="003A1176">
              <w:rPr>
                <w:noProof/>
                <w:webHidden/>
              </w:rPr>
            </w:r>
            <w:r w:rsidR="003A1176">
              <w:rPr>
                <w:noProof/>
                <w:webHidden/>
              </w:rPr>
              <w:fldChar w:fldCharType="separate"/>
            </w:r>
            <w:r w:rsidR="00E12207">
              <w:rPr>
                <w:noProof/>
                <w:webHidden/>
              </w:rPr>
              <w:t>ix</w:t>
            </w:r>
            <w:r w:rsidR="003A1176">
              <w:rPr>
                <w:noProof/>
                <w:webHidden/>
              </w:rPr>
              <w:fldChar w:fldCharType="end"/>
            </w:r>
          </w:hyperlink>
        </w:p>
        <w:p w14:paraId="67CF1C43" w14:textId="41BB61D0" w:rsidR="003A1176" w:rsidRDefault="00234B5F">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1278008" w:history="1">
            <w:r w:rsidR="003A1176" w:rsidRPr="003337C5">
              <w:rPr>
                <w:rStyle w:val="Hyperlink"/>
                <w:noProof/>
              </w:rPr>
              <w:t>1.0 Introduction and Background</w:t>
            </w:r>
            <w:r w:rsidR="003A1176">
              <w:rPr>
                <w:noProof/>
                <w:webHidden/>
              </w:rPr>
              <w:tab/>
            </w:r>
            <w:r w:rsidR="003A1176">
              <w:rPr>
                <w:noProof/>
                <w:webHidden/>
              </w:rPr>
              <w:fldChar w:fldCharType="begin"/>
            </w:r>
            <w:r w:rsidR="003A1176">
              <w:rPr>
                <w:noProof/>
                <w:webHidden/>
              </w:rPr>
              <w:instrText xml:space="preserve"> PAGEREF _Toc181278008 \h </w:instrText>
            </w:r>
            <w:r w:rsidR="003A1176">
              <w:rPr>
                <w:noProof/>
                <w:webHidden/>
              </w:rPr>
            </w:r>
            <w:r w:rsidR="003A1176">
              <w:rPr>
                <w:noProof/>
                <w:webHidden/>
              </w:rPr>
              <w:fldChar w:fldCharType="separate"/>
            </w:r>
            <w:r w:rsidR="00E12207">
              <w:rPr>
                <w:noProof/>
                <w:webHidden/>
              </w:rPr>
              <w:t>1</w:t>
            </w:r>
            <w:r w:rsidR="003A1176">
              <w:rPr>
                <w:noProof/>
                <w:webHidden/>
              </w:rPr>
              <w:fldChar w:fldCharType="end"/>
            </w:r>
          </w:hyperlink>
        </w:p>
        <w:p w14:paraId="0F7C2B3B" w14:textId="7B632258"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09" w:history="1">
            <w:r w:rsidR="003A1176" w:rsidRPr="003337C5">
              <w:rPr>
                <w:rStyle w:val="Hyperlink"/>
                <w:noProof/>
              </w:rPr>
              <w:t>1.1 Introduction</w:t>
            </w:r>
            <w:r w:rsidR="003A1176">
              <w:rPr>
                <w:noProof/>
                <w:webHidden/>
              </w:rPr>
              <w:tab/>
            </w:r>
            <w:r w:rsidR="003A1176">
              <w:rPr>
                <w:noProof/>
                <w:webHidden/>
              </w:rPr>
              <w:fldChar w:fldCharType="begin"/>
            </w:r>
            <w:r w:rsidR="003A1176">
              <w:rPr>
                <w:noProof/>
                <w:webHidden/>
              </w:rPr>
              <w:instrText xml:space="preserve"> PAGEREF _Toc181278009 \h </w:instrText>
            </w:r>
            <w:r w:rsidR="003A1176">
              <w:rPr>
                <w:noProof/>
                <w:webHidden/>
              </w:rPr>
            </w:r>
            <w:r w:rsidR="003A1176">
              <w:rPr>
                <w:noProof/>
                <w:webHidden/>
              </w:rPr>
              <w:fldChar w:fldCharType="separate"/>
            </w:r>
            <w:r w:rsidR="00E12207">
              <w:rPr>
                <w:noProof/>
                <w:webHidden/>
              </w:rPr>
              <w:t>1</w:t>
            </w:r>
            <w:r w:rsidR="003A1176">
              <w:rPr>
                <w:noProof/>
                <w:webHidden/>
              </w:rPr>
              <w:fldChar w:fldCharType="end"/>
            </w:r>
          </w:hyperlink>
        </w:p>
        <w:p w14:paraId="299337B3" w14:textId="32E5DE4C"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10" w:history="1">
            <w:r w:rsidR="003A1176" w:rsidRPr="003337C5">
              <w:rPr>
                <w:rStyle w:val="Hyperlink"/>
                <w:noProof/>
              </w:rPr>
              <w:t>1.2 Brief Background on the project context</w:t>
            </w:r>
            <w:r w:rsidR="003A1176">
              <w:rPr>
                <w:noProof/>
                <w:webHidden/>
              </w:rPr>
              <w:tab/>
            </w:r>
            <w:r w:rsidR="003A1176">
              <w:rPr>
                <w:noProof/>
                <w:webHidden/>
              </w:rPr>
              <w:fldChar w:fldCharType="begin"/>
            </w:r>
            <w:r w:rsidR="003A1176">
              <w:rPr>
                <w:noProof/>
                <w:webHidden/>
              </w:rPr>
              <w:instrText xml:space="preserve"> PAGEREF _Toc181278010 \h </w:instrText>
            </w:r>
            <w:r w:rsidR="003A1176">
              <w:rPr>
                <w:noProof/>
                <w:webHidden/>
              </w:rPr>
            </w:r>
            <w:r w:rsidR="003A1176">
              <w:rPr>
                <w:noProof/>
                <w:webHidden/>
              </w:rPr>
              <w:fldChar w:fldCharType="separate"/>
            </w:r>
            <w:r w:rsidR="00E12207">
              <w:rPr>
                <w:noProof/>
                <w:webHidden/>
              </w:rPr>
              <w:t>1</w:t>
            </w:r>
            <w:r w:rsidR="003A1176">
              <w:rPr>
                <w:noProof/>
                <w:webHidden/>
              </w:rPr>
              <w:fldChar w:fldCharType="end"/>
            </w:r>
          </w:hyperlink>
        </w:p>
        <w:p w14:paraId="0FCC8986" w14:textId="7C62C11E"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11" w:history="1">
            <w:r w:rsidR="003A1176" w:rsidRPr="003337C5">
              <w:rPr>
                <w:rStyle w:val="Hyperlink"/>
                <w:noProof/>
              </w:rPr>
              <w:t>1.3 The AHP Horn of Africa FSL Interventions</w:t>
            </w:r>
            <w:r w:rsidR="003A1176">
              <w:rPr>
                <w:noProof/>
                <w:webHidden/>
              </w:rPr>
              <w:tab/>
            </w:r>
            <w:r w:rsidR="003A1176">
              <w:rPr>
                <w:noProof/>
                <w:webHidden/>
              </w:rPr>
              <w:fldChar w:fldCharType="begin"/>
            </w:r>
            <w:r w:rsidR="003A1176">
              <w:rPr>
                <w:noProof/>
                <w:webHidden/>
              </w:rPr>
              <w:instrText xml:space="preserve"> PAGEREF _Toc181278011 \h </w:instrText>
            </w:r>
            <w:r w:rsidR="003A1176">
              <w:rPr>
                <w:noProof/>
                <w:webHidden/>
              </w:rPr>
            </w:r>
            <w:r w:rsidR="003A1176">
              <w:rPr>
                <w:noProof/>
                <w:webHidden/>
              </w:rPr>
              <w:fldChar w:fldCharType="separate"/>
            </w:r>
            <w:r w:rsidR="00E12207">
              <w:rPr>
                <w:noProof/>
                <w:webHidden/>
              </w:rPr>
              <w:t>2</w:t>
            </w:r>
            <w:r w:rsidR="003A1176">
              <w:rPr>
                <w:noProof/>
                <w:webHidden/>
              </w:rPr>
              <w:fldChar w:fldCharType="end"/>
            </w:r>
          </w:hyperlink>
        </w:p>
        <w:p w14:paraId="34C495B3" w14:textId="195AA9E6"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12" w:history="1">
            <w:r w:rsidR="003A1176" w:rsidRPr="003337C5">
              <w:rPr>
                <w:rStyle w:val="Hyperlink"/>
                <w:noProof/>
              </w:rPr>
              <w:t>1.3.1 Multi-sectoral Emergency Response in Conflict and Drought-affected areas of Tigray, Afar and Amhara Regions, Ethiopia (Oxfam Ethiopia Consortium)</w:t>
            </w:r>
            <w:r w:rsidR="003A1176">
              <w:rPr>
                <w:noProof/>
                <w:webHidden/>
              </w:rPr>
              <w:tab/>
            </w:r>
            <w:r w:rsidR="003A1176">
              <w:rPr>
                <w:noProof/>
                <w:webHidden/>
              </w:rPr>
              <w:fldChar w:fldCharType="begin"/>
            </w:r>
            <w:r w:rsidR="003A1176">
              <w:rPr>
                <w:noProof/>
                <w:webHidden/>
              </w:rPr>
              <w:instrText xml:space="preserve"> PAGEREF _Toc181278012 \h </w:instrText>
            </w:r>
            <w:r w:rsidR="003A1176">
              <w:rPr>
                <w:noProof/>
                <w:webHidden/>
              </w:rPr>
            </w:r>
            <w:r w:rsidR="003A1176">
              <w:rPr>
                <w:noProof/>
                <w:webHidden/>
              </w:rPr>
              <w:fldChar w:fldCharType="separate"/>
            </w:r>
            <w:r w:rsidR="00E12207">
              <w:rPr>
                <w:noProof/>
                <w:webHidden/>
              </w:rPr>
              <w:t>2</w:t>
            </w:r>
            <w:r w:rsidR="003A1176">
              <w:rPr>
                <w:noProof/>
                <w:webHidden/>
              </w:rPr>
              <w:fldChar w:fldCharType="end"/>
            </w:r>
          </w:hyperlink>
        </w:p>
        <w:p w14:paraId="74AFBA75" w14:textId="64D7FBF6"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13" w:history="1">
            <w:r w:rsidR="003A1176" w:rsidRPr="003337C5">
              <w:rPr>
                <w:rStyle w:val="Hyperlink"/>
                <w:noProof/>
              </w:rPr>
              <w:t>1.3.2 AHP Food Crisis Activation - Ethiopia (Plan International Ethiopia Consortium)</w:t>
            </w:r>
            <w:r w:rsidR="003A1176">
              <w:rPr>
                <w:noProof/>
                <w:webHidden/>
              </w:rPr>
              <w:tab/>
            </w:r>
            <w:r w:rsidR="003A1176">
              <w:rPr>
                <w:noProof/>
                <w:webHidden/>
              </w:rPr>
              <w:fldChar w:fldCharType="begin"/>
            </w:r>
            <w:r w:rsidR="003A1176">
              <w:rPr>
                <w:noProof/>
                <w:webHidden/>
              </w:rPr>
              <w:instrText xml:space="preserve"> PAGEREF _Toc181278013 \h </w:instrText>
            </w:r>
            <w:r w:rsidR="003A1176">
              <w:rPr>
                <w:noProof/>
                <w:webHidden/>
              </w:rPr>
            </w:r>
            <w:r w:rsidR="003A1176">
              <w:rPr>
                <w:noProof/>
                <w:webHidden/>
              </w:rPr>
              <w:fldChar w:fldCharType="separate"/>
            </w:r>
            <w:r w:rsidR="00E12207">
              <w:rPr>
                <w:noProof/>
                <w:webHidden/>
              </w:rPr>
              <w:t>3</w:t>
            </w:r>
            <w:r w:rsidR="003A1176">
              <w:rPr>
                <w:noProof/>
                <w:webHidden/>
              </w:rPr>
              <w:fldChar w:fldCharType="end"/>
            </w:r>
          </w:hyperlink>
        </w:p>
        <w:p w14:paraId="149110D2" w14:textId="65E2F46E"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14" w:history="1">
            <w:r w:rsidR="003A1176" w:rsidRPr="003337C5">
              <w:rPr>
                <w:rStyle w:val="Hyperlink"/>
                <w:noProof/>
              </w:rPr>
              <w:t>1.3.3 Integrated Drought Response in Marsabit and Turkana-Kenya (2023/2024) (Oxfam Australia – Kenya Consortium)</w:t>
            </w:r>
            <w:r w:rsidR="003A1176">
              <w:rPr>
                <w:noProof/>
                <w:webHidden/>
              </w:rPr>
              <w:tab/>
            </w:r>
            <w:r w:rsidR="003A1176">
              <w:rPr>
                <w:noProof/>
                <w:webHidden/>
              </w:rPr>
              <w:fldChar w:fldCharType="begin"/>
            </w:r>
            <w:r w:rsidR="003A1176">
              <w:rPr>
                <w:noProof/>
                <w:webHidden/>
              </w:rPr>
              <w:instrText xml:space="preserve"> PAGEREF _Toc181278014 \h </w:instrText>
            </w:r>
            <w:r w:rsidR="003A1176">
              <w:rPr>
                <w:noProof/>
                <w:webHidden/>
              </w:rPr>
            </w:r>
            <w:r w:rsidR="003A1176">
              <w:rPr>
                <w:noProof/>
                <w:webHidden/>
              </w:rPr>
              <w:fldChar w:fldCharType="separate"/>
            </w:r>
            <w:r w:rsidR="00E12207">
              <w:rPr>
                <w:noProof/>
                <w:webHidden/>
              </w:rPr>
              <w:t>4</w:t>
            </w:r>
            <w:r w:rsidR="003A1176">
              <w:rPr>
                <w:noProof/>
                <w:webHidden/>
              </w:rPr>
              <w:fldChar w:fldCharType="end"/>
            </w:r>
          </w:hyperlink>
        </w:p>
        <w:p w14:paraId="1C3EF493" w14:textId="624BC579"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15" w:history="1">
            <w:r w:rsidR="003A1176" w:rsidRPr="003337C5">
              <w:rPr>
                <w:rStyle w:val="Hyperlink"/>
                <w:noProof/>
              </w:rPr>
              <w:t>1.4 Objectives of the evaluation</w:t>
            </w:r>
            <w:r w:rsidR="003A1176">
              <w:rPr>
                <w:noProof/>
                <w:webHidden/>
              </w:rPr>
              <w:tab/>
            </w:r>
            <w:r w:rsidR="003A1176">
              <w:rPr>
                <w:noProof/>
                <w:webHidden/>
              </w:rPr>
              <w:fldChar w:fldCharType="begin"/>
            </w:r>
            <w:r w:rsidR="003A1176">
              <w:rPr>
                <w:noProof/>
                <w:webHidden/>
              </w:rPr>
              <w:instrText xml:space="preserve"> PAGEREF _Toc181278015 \h </w:instrText>
            </w:r>
            <w:r w:rsidR="003A1176">
              <w:rPr>
                <w:noProof/>
                <w:webHidden/>
              </w:rPr>
            </w:r>
            <w:r w:rsidR="003A1176">
              <w:rPr>
                <w:noProof/>
                <w:webHidden/>
              </w:rPr>
              <w:fldChar w:fldCharType="separate"/>
            </w:r>
            <w:r w:rsidR="00E12207">
              <w:rPr>
                <w:noProof/>
                <w:webHidden/>
              </w:rPr>
              <w:t>7</w:t>
            </w:r>
            <w:r w:rsidR="003A1176">
              <w:rPr>
                <w:noProof/>
                <w:webHidden/>
              </w:rPr>
              <w:fldChar w:fldCharType="end"/>
            </w:r>
          </w:hyperlink>
        </w:p>
        <w:p w14:paraId="36396C4B" w14:textId="736A4C37" w:rsidR="003A1176" w:rsidRDefault="00234B5F">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1278016" w:history="1">
            <w:r w:rsidR="003A1176" w:rsidRPr="003337C5">
              <w:rPr>
                <w:rStyle w:val="Hyperlink"/>
                <w:noProof/>
              </w:rPr>
              <w:t>2.0. Methodology</w:t>
            </w:r>
            <w:r w:rsidR="003A1176">
              <w:rPr>
                <w:noProof/>
                <w:webHidden/>
              </w:rPr>
              <w:tab/>
            </w:r>
            <w:r w:rsidR="003A1176">
              <w:rPr>
                <w:noProof/>
                <w:webHidden/>
              </w:rPr>
              <w:fldChar w:fldCharType="begin"/>
            </w:r>
            <w:r w:rsidR="003A1176">
              <w:rPr>
                <w:noProof/>
                <w:webHidden/>
              </w:rPr>
              <w:instrText xml:space="preserve"> PAGEREF _Toc181278016 \h </w:instrText>
            </w:r>
            <w:r w:rsidR="003A1176">
              <w:rPr>
                <w:noProof/>
                <w:webHidden/>
              </w:rPr>
            </w:r>
            <w:r w:rsidR="003A1176">
              <w:rPr>
                <w:noProof/>
                <w:webHidden/>
              </w:rPr>
              <w:fldChar w:fldCharType="separate"/>
            </w:r>
            <w:r w:rsidR="00E12207">
              <w:rPr>
                <w:noProof/>
                <w:webHidden/>
              </w:rPr>
              <w:t>8</w:t>
            </w:r>
            <w:r w:rsidR="003A1176">
              <w:rPr>
                <w:noProof/>
                <w:webHidden/>
              </w:rPr>
              <w:fldChar w:fldCharType="end"/>
            </w:r>
          </w:hyperlink>
        </w:p>
        <w:p w14:paraId="53FC3843" w14:textId="20E00540"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17" w:history="1">
            <w:r w:rsidR="003A1176" w:rsidRPr="003337C5">
              <w:rPr>
                <w:rStyle w:val="Hyperlink"/>
                <w:noProof/>
              </w:rPr>
              <w:t>2.1. Approach and methodology</w:t>
            </w:r>
            <w:r w:rsidR="003A1176">
              <w:rPr>
                <w:noProof/>
                <w:webHidden/>
              </w:rPr>
              <w:tab/>
            </w:r>
            <w:r w:rsidR="003A1176">
              <w:rPr>
                <w:noProof/>
                <w:webHidden/>
              </w:rPr>
              <w:fldChar w:fldCharType="begin"/>
            </w:r>
            <w:r w:rsidR="003A1176">
              <w:rPr>
                <w:noProof/>
                <w:webHidden/>
              </w:rPr>
              <w:instrText xml:space="preserve"> PAGEREF _Toc181278017 \h </w:instrText>
            </w:r>
            <w:r w:rsidR="003A1176">
              <w:rPr>
                <w:noProof/>
                <w:webHidden/>
              </w:rPr>
            </w:r>
            <w:r w:rsidR="003A1176">
              <w:rPr>
                <w:noProof/>
                <w:webHidden/>
              </w:rPr>
              <w:fldChar w:fldCharType="separate"/>
            </w:r>
            <w:r w:rsidR="00E12207">
              <w:rPr>
                <w:noProof/>
                <w:webHidden/>
              </w:rPr>
              <w:t>8</w:t>
            </w:r>
            <w:r w:rsidR="003A1176">
              <w:rPr>
                <w:noProof/>
                <w:webHidden/>
              </w:rPr>
              <w:fldChar w:fldCharType="end"/>
            </w:r>
          </w:hyperlink>
        </w:p>
        <w:p w14:paraId="0E0732F7" w14:textId="23E82892"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18" w:history="1">
            <w:r w:rsidR="003A1176" w:rsidRPr="003337C5">
              <w:rPr>
                <w:rStyle w:val="Hyperlink"/>
                <w:noProof/>
              </w:rPr>
              <w:t>2.2 Evaluation Questions</w:t>
            </w:r>
            <w:r w:rsidR="003A1176">
              <w:rPr>
                <w:noProof/>
                <w:webHidden/>
              </w:rPr>
              <w:tab/>
            </w:r>
            <w:r w:rsidR="003A1176">
              <w:rPr>
                <w:noProof/>
                <w:webHidden/>
              </w:rPr>
              <w:fldChar w:fldCharType="begin"/>
            </w:r>
            <w:r w:rsidR="003A1176">
              <w:rPr>
                <w:noProof/>
                <w:webHidden/>
              </w:rPr>
              <w:instrText xml:space="preserve"> PAGEREF _Toc181278018 \h </w:instrText>
            </w:r>
            <w:r w:rsidR="003A1176">
              <w:rPr>
                <w:noProof/>
                <w:webHidden/>
              </w:rPr>
            </w:r>
            <w:r w:rsidR="003A1176">
              <w:rPr>
                <w:noProof/>
                <w:webHidden/>
              </w:rPr>
              <w:fldChar w:fldCharType="separate"/>
            </w:r>
            <w:r w:rsidR="00E12207">
              <w:rPr>
                <w:noProof/>
                <w:webHidden/>
              </w:rPr>
              <w:t>8</w:t>
            </w:r>
            <w:r w:rsidR="003A1176">
              <w:rPr>
                <w:noProof/>
                <w:webHidden/>
              </w:rPr>
              <w:fldChar w:fldCharType="end"/>
            </w:r>
          </w:hyperlink>
        </w:p>
        <w:p w14:paraId="453AF24A" w14:textId="74D6A6C2"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19" w:history="1">
            <w:r w:rsidR="003A1176" w:rsidRPr="003337C5">
              <w:rPr>
                <w:rStyle w:val="Hyperlink"/>
                <w:noProof/>
              </w:rPr>
              <w:t>2.3 Sampling Strategy</w:t>
            </w:r>
            <w:r w:rsidR="003A1176">
              <w:rPr>
                <w:noProof/>
                <w:webHidden/>
              </w:rPr>
              <w:tab/>
            </w:r>
            <w:r w:rsidR="003A1176">
              <w:rPr>
                <w:noProof/>
                <w:webHidden/>
              </w:rPr>
              <w:fldChar w:fldCharType="begin"/>
            </w:r>
            <w:r w:rsidR="003A1176">
              <w:rPr>
                <w:noProof/>
                <w:webHidden/>
              </w:rPr>
              <w:instrText xml:space="preserve"> PAGEREF _Toc181278019 \h </w:instrText>
            </w:r>
            <w:r w:rsidR="003A1176">
              <w:rPr>
                <w:noProof/>
                <w:webHidden/>
              </w:rPr>
            </w:r>
            <w:r w:rsidR="003A1176">
              <w:rPr>
                <w:noProof/>
                <w:webHidden/>
              </w:rPr>
              <w:fldChar w:fldCharType="separate"/>
            </w:r>
            <w:r w:rsidR="00E12207">
              <w:rPr>
                <w:noProof/>
                <w:webHidden/>
              </w:rPr>
              <w:t>8</w:t>
            </w:r>
            <w:r w:rsidR="003A1176">
              <w:rPr>
                <w:noProof/>
                <w:webHidden/>
              </w:rPr>
              <w:fldChar w:fldCharType="end"/>
            </w:r>
          </w:hyperlink>
        </w:p>
        <w:p w14:paraId="016DE272" w14:textId="3BF6A17C"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20" w:history="1">
            <w:r w:rsidR="003A1176" w:rsidRPr="003337C5">
              <w:rPr>
                <w:rStyle w:val="Hyperlink"/>
                <w:noProof/>
              </w:rPr>
              <w:t>2.4 Data Collection Methods</w:t>
            </w:r>
            <w:r w:rsidR="003A1176">
              <w:rPr>
                <w:noProof/>
                <w:webHidden/>
              </w:rPr>
              <w:tab/>
            </w:r>
            <w:r w:rsidR="003A1176">
              <w:rPr>
                <w:noProof/>
                <w:webHidden/>
              </w:rPr>
              <w:fldChar w:fldCharType="begin"/>
            </w:r>
            <w:r w:rsidR="003A1176">
              <w:rPr>
                <w:noProof/>
                <w:webHidden/>
              </w:rPr>
              <w:instrText xml:space="preserve"> PAGEREF _Toc181278020 \h </w:instrText>
            </w:r>
            <w:r w:rsidR="003A1176">
              <w:rPr>
                <w:noProof/>
                <w:webHidden/>
              </w:rPr>
            </w:r>
            <w:r w:rsidR="003A1176">
              <w:rPr>
                <w:noProof/>
                <w:webHidden/>
              </w:rPr>
              <w:fldChar w:fldCharType="separate"/>
            </w:r>
            <w:r w:rsidR="00E12207">
              <w:rPr>
                <w:noProof/>
                <w:webHidden/>
              </w:rPr>
              <w:t>11</w:t>
            </w:r>
            <w:r w:rsidR="003A1176">
              <w:rPr>
                <w:noProof/>
                <w:webHidden/>
              </w:rPr>
              <w:fldChar w:fldCharType="end"/>
            </w:r>
          </w:hyperlink>
        </w:p>
        <w:p w14:paraId="6F94CF8E" w14:textId="076372B4"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21" w:history="1">
            <w:r w:rsidR="003A1176" w:rsidRPr="003337C5">
              <w:rPr>
                <w:rStyle w:val="Hyperlink"/>
                <w:noProof/>
              </w:rPr>
              <w:t>2.5 Data Analysis</w:t>
            </w:r>
            <w:r w:rsidR="003A1176">
              <w:rPr>
                <w:noProof/>
                <w:webHidden/>
              </w:rPr>
              <w:tab/>
            </w:r>
            <w:r w:rsidR="003A1176">
              <w:rPr>
                <w:noProof/>
                <w:webHidden/>
              </w:rPr>
              <w:fldChar w:fldCharType="begin"/>
            </w:r>
            <w:r w:rsidR="003A1176">
              <w:rPr>
                <w:noProof/>
                <w:webHidden/>
              </w:rPr>
              <w:instrText xml:space="preserve"> PAGEREF _Toc181278021 \h </w:instrText>
            </w:r>
            <w:r w:rsidR="003A1176">
              <w:rPr>
                <w:noProof/>
                <w:webHidden/>
              </w:rPr>
            </w:r>
            <w:r w:rsidR="003A1176">
              <w:rPr>
                <w:noProof/>
                <w:webHidden/>
              </w:rPr>
              <w:fldChar w:fldCharType="separate"/>
            </w:r>
            <w:r w:rsidR="00E12207">
              <w:rPr>
                <w:noProof/>
                <w:webHidden/>
              </w:rPr>
              <w:t>12</w:t>
            </w:r>
            <w:r w:rsidR="003A1176">
              <w:rPr>
                <w:noProof/>
                <w:webHidden/>
              </w:rPr>
              <w:fldChar w:fldCharType="end"/>
            </w:r>
          </w:hyperlink>
        </w:p>
        <w:p w14:paraId="3AEB77DE" w14:textId="2BDDCA1A"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22" w:history="1">
            <w:r w:rsidR="003A1176" w:rsidRPr="003337C5">
              <w:rPr>
                <w:rStyle w:val="Hyperlink"/>
                <w:noProof/>
              </w:rPr>
              <w:t>2.6 Diversity and Inclusivity</w:t>
            </w:r>
            <w:r w:rsidR="003A1176">
              <w:rPr>
                <w:noProof/>
                <w:webHidden/>
              </w:rPr>
              <w:tab/>
            </w:r>
            <w:r w:rsidR="003A1176">
              <w:rPr>
                <w:noProof/>
                <w:webHidden/>
              </w:rPr>
              <w:fldChar w:fldCharType="begin"/>
            </w:r>
            <w:r w:rsidR="003A1176">
              <w:rPr>
                <w:noProof/>
                <w:webHidden/>
              </w:rPr>
              <w:instrText xml:space="preserve"> PAGEREF _Toc181278022 \h </w:instrText>
            </w:r>
            <w:r w:rsidR="003A1176">
              <w:rPr>
                <w:noProof/>
                <w:webHidden/>
              </w:rPr>
            </w:r>
            <w:r w:rsidR="003A1176">
              <w:rPr>
                <w:noProof/>
                <w:webHidden/>
              </w:rPr>
              <w:fldChar w:fldCharType="separate"/>
            </w:r>
            <w:r w:rsidR="00E12207">
              <w:rPr>
                <w:noProof/>
                <w:webHidden/>
              </w:rPr>
              <w:t>12</w:t>
            </w:r>
            <w:r w:rsidR="003A1176">
              <w:rPr>
                <w:noProof/>
                <w:webHidden/>
              </w:rPr>
              <w:fldChar w:fldCharType="end"/>
            </w:r>
          </w:hyperlink>
        </w:p>
        <w:p w14:paraId="766259A2" w14:textId="064A65E4"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23" w:history="1">
            <w:r w:rsidR="003A1176" w:rsidRPr="003337C5">
              <w:rPr>
                <w:rStyle w:val="Hyperlink"/>
                <w:noProof/>
              </w:rPr>
              <w:t>2.7 Ethical Considerations</w:t>
            </w:r>
            <w:r w:rsidR="003A1176">
              <w:rPr>
                <w:noProof/>
                <w:webHidden/>
              </w:rPr>
              <w:tab/>
            </w:r>
            <w:r w:rsidR="003A1176">
              <w:rPr>
                <w:noProof/>
                <w:webHidden/>
              </w:rPr>
              <w:fldChar w:fldCharType="begin"/>
            </w:r>
            <w:r w:rsidR="003A1176">
              <w:rPr>
                <w:noProof/>
                <w:webHidden/>
              </w:rPr>
              <w:instrText xml:space="preserve"> PAGEREF _Toc181278023 \h </w:instrText>
            </w:r>
            <w:r w:rsidR="003A1176">
              <w:rPr>
                <w:noProof/>
                <w:webHidden/>
              </w:rPr>
            </w:r>
            <w:r w:rsidR="003A1176">
              <w:rPr>
                <w:noProof/>
                <w:webHidden/>
              </w:rPr>
              <w:fldChar w:fldCharType="separate"/>
            </w:r>
            <w:r w:rsidR="00E12207">
              <w:rPr>
                <w:noProof/>
                <w:webHidden/>
              </w:rPr>
              <w:t>12</w:t>
            </w:r>
            <w:r w:rsidR="003A1176">
              <w:rPr>
                <w:noProof/>
                <w:webHidden/>
              </w:rPr>
              <w:fldChar w:fldCharType="end"/>
            </w:r>
          </w:hyperlink>
        </w:p>
        <w:p w14:paraId="3615A1D3" w14:textId="428AB19F"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24" w:history="1">
            <w:r w:rsidR="003A1176" w:rsidRPr="003337C5">
              <w:rPr>
                <w:rStyle w:val="Hyperlink"/>
                <w:noProof/>
              </w:rPr>
              <w:t>2.8 Logistics</w:t>
            </w:r>
            <w:r w:rsidR="003A1176">
              <w:rPr>
                <w:noProof/>
                <w:webHidden/>
              </w:rPr>
              <w:tab/>
            </w:r>
            <w:r w:rsidR="003A1176">
              <w:rPr>
                <w:noProof/>
                <w:webHidden/>
              </w:rPr>
              <w:fldChar w:fldCharType="begin"/>
            </w:r>
            <w:r w:rsidR="003A1176">
              <w:rPr>
                <w:noProof/>
                <w:webHidden/>
              </w:rPr>
              <w:instrText xml:space="preserve"> PAGEREF _Toc181278024 \h </w:instrText>
            </w:r>
            <w:r w:rsidR="003A1176">
              <w:rPr>
                <w:noProof/>
                <w:webHidden/>
              </w:rPr>
            </w:r>
            <w:r w:rsidR="003A1176">
              <w:rPr>
                <w:noProof/>
                <w:webHidden/>
              </w:rPr>
              <w:fldChar w:fldCharType="separate"/>
            </w:r>
            <w:r w:rsidR="00E12207">
              <w:rPr>
                <w:noProof/>
                <w:webHidden/>
              </w:rPr>
              <w:t>12</w:t>
            </w:r>
            <w:r w:rsidR="003A1176">
              <w:rPr>
                <w:noProof/>
                <w:webHidden/>
              </w:rPr>
              <w:fldChar w:fldCharType="end"/>
            </w:r>
          </w:hyperlink>
        </w:p>
        <w:p w14:paraId="76EDECCC" w14:textId="052600AD"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25" w:history="1">
            <w:r w:rsidR="003A1176" w:rsidRPr="003337C5">
              <w:rPr>
                <w:rStyle w:val="Hyperlink"/>
                <w:noProof/>
              </w:rPr>
              <w:t>2.9 Quality Assurance</w:t>
            </w:r>
            <w:r w:rsidR="003A1176">
              <w:rPr>
                <w:noProof/>
                <w:webHidden/>
              </w:rPr>
              <w:tab/>
            </w:r>
            <w:r w:rsidR="003A1176">
              <w:rPr>
                <w:noProof/>
                <w:webHidden/>
              </w:rPr>
              <w:fldChar w:fldCharType="begin"/>
            </w:r>
            <w:r w:rsidR="003A1176">
              <w:rPr>
                <w:noProof/>
                <w:webHidden/>
              </w:rPr>
              <w:instrText xml:space="preserve"> PAGEREF _Toc181278025 \h </w:instrText>
            </w:r>
            <w:r w:rsidR="003A1176">
              <w:rPr>
                <w:noProof/>
                <w:webHidden/>
              </w:rPr>
            </w:r>
            <w:r w:rsidR="003A1176">
              <w:rPr>
                <w:noProof/>
                <w:webHidden/>
              </w:rPr>
              <w:fldChar w:fldCharType="separate"/>
            </w:r>
            <w:r w:rsidR="00E12207">
              <w:rPr>
                <w:noProof/>
                <w:webHidden/>
              </w:rPr>
              <w:t>12</w:t>
            </w:r>
            <w:r w:rsidR="003A1176">
              <w:rPr>
                <w:noProof/>
                <w:webHidden/>
              </w:rPr>
              <w:fldChar w:fldCharType="end"/>
            </w:r>
          </w:hyperlink>
        </w:p>
        <w:p w14:paraId="20A24373" w14:textId="26892272"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26" w:history="1">
            <w:r w:rsidR="003A1176" w:rsidRPr="003337C5">
              <w:rPr>
                <w:rStyle w:val="Hyperlink"/>
                <w:noProof/>
              </w:rPr>
              <w:t>2.10 Limitations and Responses</w:t>
            </w:r>
            <w:r w:rsidR="003A1176">
              <w:rPr>
                <w:noProof/>
                <w:webHidden/>
              </w:rPr>
              <w:tab/>
            </w:r>
            <w:r w:rsidR="003A1176">
              <w:rPr>
                <w:noProof/>
                <w:webHidden/>
              </w:rPr>
              <w:fldChar w:fldCharType="begin"/>
            </w:r>
            <w:r w:rsidR="003A1176">
              <w:rPr>
                <w:noProof/>
                <w:webHidden/>
              </w:rPr>
              <w:instrText xml:space="preserve"> PAGEREF _Toc181278026 \h </w:instrText>
            </w:r>
            <w:r w:rsidR="003A1176">
              <w:rPr>
                <w:noProof/>
                <w:webHidden/>
              </w:rPr>
            </w:r>
            <w:r w:rsidR="003A1176">
              <w:rPr>
                <w:noProof/>
                <w:webHidden/>
              </w:rPr>
              <w:fldChar w:fldCharType="separate"/>
            </w:r>
            <w:r w:rsidR="00E12207">
              <w:rPr>
                <w:noProof/>
                <w:webHidden/>
              </w:rPr>
              <w:t>12</w:t>
            </w:r>
            <w:r w:rsidR="003A1176">
              <w:rPr>
                <w:noProof/>
                <w:webHidden/>
              </w:rPr>
              <w:fldChar w:fldCharType="end"/>
            </w:r>
          </w:hyperlink>
        </w:p>
        <w:p w14:paraId="0C0257A4" w14:textId="77A0DBF6" w:rsidR="003A1176" w:rsidRDefault="00234B5F">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1278027" w:history="1">
            <w:r w:rsidR="003A1176" w:rsidRPr="003337C5">
              <w:rPr>
                <w:rStyle w:val="Hyperlink"/>
                <w:noProof/>
              </w:rPr>
              <w:t>3.0 Findings</w:t>
            </w:r>
            <w:r w:rsidR="003A1176">
              <w:rPr>
                <w:noProof/>
                <w:webHidden/>
              </w:rPr>
              <w:tab/>
            </w:r>
            <w:r w:rsidR="003A1176">
              <w:rPr>
                <w:noProof/>
                <w:webHidden/>
              </w:rPr>
              <w:fldChar w:fldCharType="begin"/>
            </w:r>
            <w:r w:rsidR="003A1176">
              <w:rPr>
                <w:noProof/>
                <w:webHidden/>
              </w:rPr>
              <w:instrText xml:space="preserve"> PAGEREF _Toc181278027 \h </w:instrText>
            </w:r>
            <w:r w:rsidR="003A1176">
              <w:rPr>
                <w:noProof/>
                <w:webHidden/>
              </w:rPr>
            </w:r>
            <w:r w:rsidR="003A1176">
              <w:rPr>
                <w:noProof/>
                <w:webHidden/>
              </w:rPr>
              <w:fldChar w:fldCharType="separate"/>
            </w:r>
            <w:r w:rsidR="00E12207">
              <w:rPr>
                <w:noProof/>
                <w:webHidden/>
              </w:rPr>
              <w:t>13</w:t>
            </w:r>
            <w:r w:rsidR="003A1176">
              <w:rPr>
                <w:noProof/>
                <w:webHidden/>
              </w:rPr>
              <w:fldChar w:fldCharType="end"/>
            </w:r>
          </w:hyperlink>
        </w:p>
        <w:p w14:paraId="50E8DF48" w14:textId="4A1BBE4A"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28" w:history="1">
            <w:r w:rsidR="003A1176" w:rsidRPr="003337C5">
              <w:rPr>
                <w:rStyle w:val="Hyperlink"/>
                <w:noProof/>
              </w:rPr>
              <w:t>3.1 Relevance</w:t>
            </w:r>
            <w:r w:rsidR="003A1176">
              <w:rPr>
                <w:noProof/>
                <w:webHidden/>
              </w:rPr>
              <w:tab/>
            </w:r>
            <w:r w:rsidR="003A1176">
              <w:rPr>
                <w:noProof/>
                <w:webHidden/>
              </w:rPr>
              <w:fldChar w:fldCharType="begin"/>
            </w:r>
            <w:r w:rsidR="003A1176">
              <w:rPr>
                <w:noProof/>
                <w:webHidden/>
              </w:rPr>
              <w:instrText xml:space="preserve"> PAGEREF _Toc181278028 \h </w:instrText>
            </w:r>
            <w:r w:rsidR="003A1176">
              <w:rPr>
                <w:noProof/>
                <w:webHidden/>
              </w:rPr>
            </w:r>
            <w:r w:rsidR="003A1176">
              <w:rPr>
                <w:noProof/>
                <w:webHidden/>
              </w:rPr>
              <w:fldChar w:fldCharType="separate"/>
            </w:r>
            <w:r w:rsidR="00E12207">
              <w:rPr>
                <w:noProof/>
                <w:webHidden/>
              </w:rPr>
              <w:t>13</w:t>
            </w:r>
            <w:r w:rsidR="003A1176">
              <w:rPr>
                <w:noProof/>
                <w:webHidden/>
              </w:rPr>
              <w:fldChar w:fldCharType="end"/>
            </w:r>
          </w:hyperlink>
        </w:p>
        <w:p w14:paraId="10CAA98C" w14:textId="77A5A14E"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29" w:history="1">
            <w:r w:rsidR="003A1176" w:rsidRPr="003337C5">
              <w:rPr>
                <w:rStyle w:val="Hyperlink"/>
                <w:noProof/>
              </w:rPr>
              <w:t>EQ 1. Were the FSL interventions tailored to the specific needs of the intended participants?</w:t>
            </w:r>
            <w:r w:rsidR="003A1176">
              <w:rPr>
                <w:noProof/>
                <w:webHidden/>
              </w:rPr>
              <w:tab/>
            </w:r>
            <w:r w:rsidR="003A1176">
              <w:rPr>
                <w:noProof/>
                <w:webHidden/>
              </w:rPr>
              <w:fldChar w:fldCharType="begin"/>
            </w:r>
            <w:r w:rsidR="003A1176">
              <w:rPr>
                <w:noProof/>
                <w:webHidden/>
              </w:rPr>
              <w:instrText xml:space="preserve"> PAGEREF _Toc181278029 \h </w:instrText>
            </w:r>
            <w:r w:rsidR="003A1176">
              <w:rPr>
                <w:noProof/>
                <w:webHidden/>
              </w:rPr>
            </w:r>
            <w:r w:rsidR="003A1176">
              <w:rPr>
                <w:noProof/>
                <w:webHidden/>
              </w:rPr>
              <w:fldChar w:fldCharType="separate"/>
            </w:r>
            <w:r w:rsidR="00E12207">
              <w:rPr>
                <w:noProof/>
                <w:webHidden/>
              </w:rPr>
              <w:t>13</w:t>
            </w:r>
            <w:r w:rsidR="003A1176">
              <w:rPr>
                <w:noProof/>
                <w:webHidden/>
              </w:rPr>
              <w:fldChar w:fldCharType="end"/>
            </w:r>
          </w:hyperlink>
        </w:p>
        <w:p w14:paraId="49D711E9" w14:textId="2E4BD5E2"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30" w:history="1">
            <w:r w:rsidR="003A1176" w:rsidRPr="003337C5">
              <w:rPr>
                <w:rStyle w:val="Hyperlink"/>
                <w:noProof/>
              </w:rPr>
              <w:t>EQ 2. How did the interventions adapt to changes in the context?</w:t>
            </w:r>
            <w:r w:rsidR="003A1176">
              <w:rPr>
                <w:noProof/>
                <w:webHidden/>
              </w:rPr>
              <w:tab/>
            </w:r>
            <w:r w:rsidR="003A1176">
              <w:rPr>
                <w:noProof/>
                <w:webHidden/>
              </w:rPr>
              <w:fldChar w:fldCharType="begin"/>
            </w:r>
            <w:r w:rsidR="003A1176">
              <w:rPr>
                <w:noProof/>
                <w:webHidden/>
              </w:rPr>
              <w:instrText xml:space="preserve"> PAGEREF _Toc181278030 \h </w:instrText>
            </w:r>
            <w:r w:rsidR="003A1176">
              <w:rPr>
                <w:noProof/>
                <w:webHidden/>
              </w:rPr>
            </w:r>
            <w:r w:rsidR="003A1176">
              <w:rPr>
                <w:noProof/>
                <w:webHidden/>
              </w:rPr>
              <w:fldChar w:fldCharType="separate"/>
            </w:r>
            <w:r w:rsidR="00E12207">
              <w:rPr>
                <w:noProof/>
                <w:webHidden/>
              </w:rPr>
              <w:t>14</w:t>
            </w:r>
            <w:r w:rsidR="003A1176">
              <w:rPr>
                <w:noProof/>
                <w:webHidden/>
              </w:rPr>
              <w:fldChar w:fldCharType="end"/>
            </w:r>
          </w:hyperlink>
        </w:p>
        <w:p w14:paraId="5AD6FE5F" w14:textId="4E3446F8"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31" w:history="1">
            <w:r w:rsidR="003A1176" w:rsidRPr="003337C5">
              <w:rPr>
                <w:rStyle w:val="Hyperlink"/>
                <w:noProof/>
              </w:rPr>
              <w:t>3.2 Coherence</w:t>
            </w:r>
            <w:r w:rsidR="003A1176">
              <w:rPr>
                <w:noProof/>
                <w:webHidden/>
              </w:rPr>
              <w:tab/>
            </w:r>
            <w:r w:rsidR="003A1176">
              <w:rPr>
                <w:noProof/>
                <w:webHidden/>
              </w:rPr>
              <w:fldChar w:fldCharType="begin"/>
            </w:r>
            <w:r w:rsidR="003A1176">
              <w:rPr>
                <w:noProof/>
                <w:webHidden/>
              </w:rPr>
              <w:instrText xml:space="preserve"> PAGEREF _Toc181278031 \h </w:instrText>
            </w:r>
            <w:r w:rsidR="003A1176">
              <w:rPr>
                <w:noProof/>
                <w:webHidden/>
              </w:rPr>
            </w:r>
            <w:r w:rsidR="003A1176">
              <w:rPr>
                <w:noProof/>
                <w:webHidden/>
              </w:rPr>
              <w:fldChar w:fldCharType="separate"/>
            </w:r>
            <w:r w:rsidR="00E12207">
              <w:rPr>
                <w:noProof/>
                <w:webHidden/>
              </w:rPr>
              <w:t>15</w:t>
            </w:r>
            <w:r w:rsidR="003A1176">
              <w:rPr>
                <w:noProof/>
                <w:webHidden/>
              </w:rPr>
              <w:fldChar w:fldCharType="end"/>
            </w:r>
          </w:hyperlink>
        </w:p>
        <w:p w14:paraId="04E95D7B" w14:textId="7C3436DA"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32" w:history="1">
            <w:r w:rsidR="003A1176" w:rsidRPr="003337C5">
              <w:rPr>
                <w:rStyle w:val="Hyperlink"/>
                <w:noProof/>
              </w:rPr>
              <w:t>EQ 3. How well did the interventions coordinate with humanitarian platforms and relevant clusters?</w:t>
            </w:r>
            <w:r w:rsidR="003A1176">
              <w:rPr>
                <w:noProof/>
                <w:webHidden/>
              </w:rPr>
              <w:tab/>
            </w:r>
            <w:r w:rsidR="003A1176">
              <w:rPr>
                <w:noProof/>
                <w:webHidden/>
              </w:rPr>
              <w:fldChar w:fldCharType="begin"/>
            </w:r>
            <w:r w:rsidR="003A1176">
              <w:rPr>
                <w:noProof/>
                <w:webHidden/>
              </w:rPr>
              <w:instrText xml:space="preserve"> PAGEREF _Toc181278032 \h </w:instrText>
            </w:r>
            <w:r w:rsidR="003A1176">
              <w:rPr>
                <w:noProof/>
                <w:webHidden/>
              </w:rPr>
            </w:r>
            <w:r w:rsidR="003A1176">
              <w:rPr>
                <w:noProof/>
                <w:webHidden/>
              </w:rPr>
              <w:fldChar w:fldCharType="separate"/>
            </w:r>
            <w:r w:rsidR="00E12207">
              <w:rPr>
                <w:noProof/>
                <w:webHidden/>
              </w:rPr>
              <w:t>15</w:t>
            </w:r>
            <w:r w:rsidR="003A1176">
              <w:rPr>
                <w:noProof/>
                <w:webHidden/>
              </w:rPr>
              <w:fldChar w:fldCharType="end"/>
            </w:r>
          </w:hyperlink>
        </w:p>
        <w:p w14:paraId="07B3D86E" w14:textId="41CA0A7E"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33" w:history="1">
            <w:r w:rsidR="003A1176" w:rsidRPr="003337C5">
              <w:rPr>
                <w:rStyle w:val="Hyperlink"/>
                <w:noProof/>
              </w:rPr>
              <w:t>3.3 Effectiveness</w:t>
            </w:r>
            <w:r w:rsidR="003A1176">
              <w:rPr>
                <w:noProof/>
                <w:webHidden/>
              </w:rPr>
              <w:tab/>
            </w:r>
            <w:r w:rsidR="003A1176">
              <w:rPr>
                <w:noProof/>
                <w:webHidden/>
              </w:rPr>
              <w:fldChar w:fldCharType="begin"/>
            </w:r>
            <w:r w:rsidR="003A1176">
              <w:rPr>
                <w:noProof/>
                <w:webHidden/>
              </w:rPr>
              <w:instrText xml:space="preserve"> PAGEREF _Toc181278033 \h </w:instrText>
            </w:r>
            <w:r w:rsidR="003A1176">
              <w:rPr>
                <w:noProof/>
                <w:webHidden/>
              </w:rPr>
            </w:r>
            <w:r w:rsidR="003A1176">
              <w:rPr>
                <w:noProof/>
                <w:webHidden/>
              </w:rPr>
              <w:fldChar w:fldCharType="separate"/>
            </w:r>
            <w:r w:rsidR="00E12207">
              <w:rPr>
                <w:noProof/>
                <w:webHidden/>
              </w:rPr>
              <w:t>16</w:t>
            </w:r>
            <w:r w:rsidR="003A1176">
              <w:rPr>
                <w:noProof/>
                <w:webHidden/>
              </w:rPr>
              <w:fldChar w:fldCharType="end"/>
            </w:r>
          </w:hyperlink>
        </w:p>
        <w:p w14:paraId="1982B5E7" w14:textId="06D489FD"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34" w:history="1">
            <w:r w:rsidR="003A1176" w:rsidRPr="003337C5">
              <w:rPr>
                <w:rStyle w:val="Hyperlink"/>
                <w:noProof/>
              </w:rPr>
              <w:t>EQ 4. Did the FSL interventions yield results for women, men, girls, and boys?</w:t>
            </w:r>
            <w:r w:rsidR="003A1176">
              <w:rPr>
                <w:noProof/>
                <w:webHidden/>
              </w:rPr>
              <w:tab/>
            </w:r>
            <w:r w:rsidR="003A1176">
              <w:rPr>
                <w:noProof/>
                <w:webHidden/>
              </w:rPr>
              <w:fldChar w:fldCharType="begin"/>
            </w:r>
            <w:r w:rsidR="003A1176">
              <w:rPr>
                <w:noProof/>
                <w:webHidden/>
              </w:rPr>
              <w:instrText xml:space="preserve"> PAGEREF _Toc181278034 \h </w:instrText>
            </w:r>
            <w:r w:rsidR="003A1176">
              <w:rPr>
                <w:noProof/>
                <w:webHidden/>
              </w:rPr>
            </w:r>
            <w:r w:rsidR="003A1176">
              <w:rPr>
                <w:noProof/>
                <w:webHidden/>
              </w:rPr>
              <w:fldChar w:fldCharType="separate"/>
            </w:r>
            <w:r w:rsidR="00E12207">
              <w:rPr>
                <w:noProof/>
                <w:webHidden/>
              </w:rPr>
              <w:t>16</w:t>
            </w:r>
            <w:r w:rsidR="003A1176">
              <w:rPr>
                <w:noProof/>
                <w:webHidden/>
              </w:rPr>
              <w:fldChar w:fldCharType="end"/>
            </w:r>
          </w:hyperlink>
        </w:p>
        <w:p w14:paraId="46890C66" w14:textId="006C8B1E"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35" w:history="1">
            <w:r w:rsidR="003A1176" w:rsidRPr="003337C5">
              <w:rPr>
                <w:rStyle w:val="Hyperlink"/>
                <w:rFonts w:eastAsia="Cambria"/>
                <w:noProof/>
              </w:rPr>
              <w:t>EQ 5. How were the outcomes for women, girls, and people with disabilities achieved?</w:t>
            </w:r>
            <w:r w:rsidR="003A1176">
              <w:rPr>
                <w:noProof/>
                <w:webHidden/>
              </w:rPr>
              <w:tab/>
            </w:r>
            <w:r w:rsidR="003A1176">
              <w:rPr>
                <w:noProof/>
                <w:webHidden/>
              </w:rPr>
              <w:fldChar w:fldCharType="begin"/>
            </w:r>
            <w:r w:rsidR="003A1176">
              <w:rPr>
                <w:noProof/>
                <w:webHidden/>
              </w:rPr>
              <w:instrText xml:space="preserve"> PAGEREF _Toc181278035 \h </w:instrText>
            </w:r>
            <w:r w:rsidR="003A1176">
              <w:rPr>
                <w:noProof/>
                <w:webHidden/>
              </w:rPr>
            </w:r>
            <w:r w:rsidR="003A1176">
              <w:rPr>
                <w:noProof/>
                <w:webHidden/>
              </w:rPr>
              <w:fldChar w:fldCharType="separate"/>
            </w:r>
            <w:r w:rsidR="00E12207">
              <w:rPr>
                <w:noProof/>
                <w:webHidden/>
              </w:rPr>
              <w:t>18</w:t>
            </w:r>
            <w:r w:rsidR="003A1176">
              <w:rPr>
                <w:noProof/>
                <w:webHidden/>
              </w:rPr>
              <w:fldChar w:fldCharType="end"/>
            </w:r>
          </w:hyperlink>
        </w:p>
        <w:p w14:paraId="12AD88B6" w14:textId="21E8BF0E"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36" w:history="1">
            <w:r w:rsidR="003A1176" w:rsidRPr="003337C5">
              <w:rPr>
                <w:rStyle w:val="Hyperlink"/>
                <w:noProof/>
              </w:rPr>
              <w:t>EQ 6. Were there varied outcomes for marginalised groups, including women, girls, and people with disabilities?</w:t>
            </w:r>
            <w:r w:rsidR="003A1176">
              <w:rPr>
                <w:noProof/>
                <w:webHidden/>
              </w:rPr>
              <w:tab/>
            </w:r>
            <w:r w:rsidR="003A1176">
              <w:rPr>
                <w:noProof/>
                <w:webHidden/>
              </w:rPr>
              <w:fldChar w:fldCharType="begin"/>
            </w:r>
            <w:r w:rsidR="003A1176">
              <w:rPr>
                <w:noProof/>
                <w:webHidden/>
              </w:rPr>
              <w:instrText xml:space="preserve"> PAGEREF _Toc181278036 \h </w:instrText>
            </w:r>
            <w:r w:rsidR="003A1176">
              <w:rPr>
                <w:noProof/>
                <w:webHidden/>
              </w:rPr>
            </w:r>
            <w:r w:rsidR="003A1176">
              <w:rPr>
                <w:noProof/>
                <w:webHidden/>
              </w:rPr>
              <w:fldChar w:fldCharType="separate"/>
            </w:r>
            <w:r w:rsidR="00E12207">
              <w:rPr>
                <w:noProof/>
                <w:webHidden/>
              </w:rPr>
              <w:t>19</w:t>
            </w:r>
            <w:r w:rsidR="003A1176">
              <w:rPr>
                <w:noProof/>
                <w:webHidden/>
              </w:rPr>
              <w:fldChar w:fldCharType="end"/>
            </w:r>
          </w:hyperlink>
        </w:p>
        <w:p w14:paraId="266277EC" w14:textId="2E80717B"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37" w:history="1">
            <w:r w:rsidR="003A1176" w:rsidRPr="003337C5">
              <w:rPr>
                <w:rStyle w:val="Hyperlink"/>
                <w:noProof/>
              </w:rPr>
              <w:t>EQ 7. Were the project components integrated with each other in a way that supported the achievement of desired outcomes for women, girls and people with disabilities?</w:t>
            </w:r>
            <w:r w:rsidR="003A1176">
              <w:rPr>
                <w:noProof/>
                <w:webHidden/>
              </w:rPr>
              <w:tab/>
            </w:r>
            <w:r w:rsidR="003A1176">
              <w:rPr>
                <w:noProof/>
                <w:webHidden/>
              </w:rPr>
              <w:fldChar w:fldCharType="begin"/>
            </w:r>
            <w:r w:rsidR="003A1176">
              <w:rPr>
                <w:noProof/>
                <w:webHidden/>
              </w:rPr>
              <w:instrText xml:space="preserve"> PAGEREF _Toc181278037 \h </w:instrText>
            </w:r>
            <w:r w:rsidR="003A1176">
              <w:rPr>
                <w:noProof/>
                <w:webHidden/>
              </w:rPr>
            </w:r>
            <w:r w:rsidR="003A1176">
              <w:rPr>
                <w:noProof/>
                <w:webHidden/>
              </w:rPr>
              <w:fldChar w:fldCharType="separate"/>
            </w:r>
            <w:r w:rsidR="00E12207">
              <w:rPr>
                <w:noProof/>
                <w:webHidden/>
              </w:rPr>
              <w:t>20</w:t>
            </w:r>
            <w:r w:rsidR="003A1176">
              <w:rPr>
                <w:noProof/>
                <w:webHidden/>
              </w:rPr>
              <w:fldChar w:fldCharType="end"/>
            </w:r>
          </w:hyperlink>
        </w:p>
        <w:p w14:paraId="2A9F6F5A" w14:textId="0B37B991"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38" w:history="1">
            <w:r w:rsidR="003A1176" w:rsidRPr="003337C5">
              <w:rPr>
                <w:rStyle w:val="Hyperlink"/>
                <w:rFonts w:cs="Calibri"/>
                <w:noProof/>
              </w:rPr>
              <w:t>EQ 8. What factors, such as socio-cultural aspects and government policies, influenced or hindered progress in achieving FSL outcomes?</w:t>
            </w:r>
            <w:r w:rsidR="003A1176">
              <w:rPr>
                <w:noProof/>
                <w:webHidden/>
              </w:rPr>
              <w:tab/>
            </w:r>
            <w:r w:rsidR="003A1176">
              <w:rPr>
                <w:noProof/>
                <w:webHidden/>
              </w:rPr>
              <w:fldChar w:fldCharType="begin"/>
            </w:r>
            <w:r w:rsidR="003A1176">
              <w:rPr>
                <w:noProof/>
                <w:webHidden/>
              </w:rPr>
              <w:instrText xml:space="preserve"> PAGEREF _Toc181278038 \h </w:instrText>
            </w:r>
            <w:r w:rsidR="003A1176">
              <w:rPr>
                <w:noProof/>
                <w:webHidden/>
              </w:rPr>
            </w:r>
            <w:r w:rsidR="003A1176">
              <w:rPr>
                <w:noProof/>
                <w:webHidden/>
              </w:rPr>
              <w:fldChar w:fldCharType="separate"/>
            </w:r>
            <w:r w:rsidR="00E12207">
              <w:rPr>
                <w:noProof/>
                <w:webHidden/>
              </w:rPr>
              <w:t>21</w:t>
            </w:r>
            <w:r w:rsidR="003A1176">
              <w:rPr>
                <w:noProof/>
                <w:webHidden/>
              </w:rPr>
              <w:fldChar w:fldCharType="end"/>
            </w:r>
          </w:hyperlink>
        </w:p>
        <w:p w14:paraId="417FA8A3" w14:textId="13815F06"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39" w:history="1">
            <w:r w:rsidR="003A1176" w:rsidRPr="003337C5">
              <w:rPr>
                <w:rStyle w:val="Hyperlink"/>
                <w:rFonts w:cs="Calibri"/>
                <w:noProof/>
              </w:rPr>
              <w:t>EQ 9. To what extent did the interventions provide protection for drought-affected individuals, and how effective were referral pathways and psychosocial support?</w:t>
            </w:r>
            <w:r w:rsidR="003A1176">
              <w:rPr>
                <w:noProof/>
                <w:webHidden/>
              </w:rPr>
              <w:tab/>
            </w:r>
            <w:r w:rsidR="003A1176">
              <w:rPr>
                <w:noProof/>
                <w:webHidden/>
              </w:rPr>
              <w:fldChar w:fldCharType="begin"/>
            </w:r>
            <w:r w:rsidR="003A1176">
              <w:rPr>
                <w:noProof/>
                <w:webHidden/>
              </w:rPr>
              <w:instrText xml:space="preserve"> PAGEREF _Toc181278039 \h </w:instrText>
            </w:r>
            <w:r w:rsidR="003A1176">
              <w:rPr>
                <w:noProof/>
                <w:webHidden/>
              </w:rPr>
            </w:r>
            <w:r w:rsidR="003A1176">
              <w:rPr>
                <w:noProof/>
                <w:webHidden/>
              </w:rPr>
              <w:fldChar w:fldCharType="separate"/>
            </w:r>
            <w:r w:rsidR="00E12207">
              <w:rPr>
                <w:noProof/>
                <w:webHidden/>
              </w:rPr>
              <w:t>22</w:t>
            </w:r>
            <w:r w:rsidR="003A1176">
              <w:rPr>
                <w:noProof/>
                <w:webHidden/>
              </w:rPr>
              <w:fldChar w:fldCharType="end"/>
            </w:r>
          </w:hyperlink>
        </w:p>
        <w:p w14:paraId="59753FFE" w14:textId="56928A45"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40" w:history="1">
            <w:r w:rsidR="003A1176" w:rsidRPr="003337C5">
              <w:rPr>
                <w:rStyle w:val="Hyperlink"/>
                <w:noProof/>
              </w:rPr>
              <w:t>3.4 Efficiency</w:t>
            </w:r>
            <w:r w:rsidR="003A1176">
              <w:rPr>
                <w:noProof/>
                <w:webHidden/>
              </w:rPr>
              <w:tab/>
            </w:r>
            <w:r w:rsidR="003A1176">
              <w:rPr>
                <w:noProof/>
                <w:webHidden/>
              </w:rPr>
              <w:fldChar w:fldCharType="begin"/>
            </w:r>
            <w:r w:rsidR="003A1176">
              <w:rPr>
                <w:noProof/>
                <w:webHidden/>
              </w:rPr>
              <w:instrText xml:space="preserve"> PAGEREF _Toc181278040 \h </w:instrText>
            </w:r>
            <w:r w:rsidR="003A1176">
              <w:rPr>
                <w:noProof/>
                <w:webHidden/>
              </w:rPr>
            </w:r>
            <w:r w:rsidR="003A1176">
              <w:rPr>
                <w:noProof/>
                <w:webHidden/>
              </w:rPr>
              <w:fldChar w:fldCharType="separate"/>
            </w:r>
            <w:r w:rsidR="00E12207">
              <w:rPr>
                <w:noProof/>
                <w:webHidden/>
              </w:rPr>
              <w:t>23</w:t>
            </w:r>
            <w:r w:rsidR="003A1176">
              <w:rPr>
                <w:noProof/>
                <w:webHidden/>
              </w:rPr>
              <w:fldChar w:fldCharType="end"/>
            </w:r>
          </w:hyperlink>
        </w:p>
        <w:p w14:paraId="0224D7C2" w14:textId="121E5369"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41" w:history="1">
            <w:r w:rsidR="003A1176" w:rsidRPr="003337C5">
              <w:rPr>
                <w:rStyle w:val="Hyperlink"/>
                <w:rFonts w:cs="Calibri"/>
                <w:noProof/>
              </w:rPr>
              <w:t>EQ 10: How efficiently and promptly were the FSL interventions delivered?</w:t>
            </w:r>
            <w:r w:rsidR="003A1176">
              <w:rPr>
                <w:noProof/>
                <w:webHidden/>
              </w:rPr>
              <w:tab/>
            </w:r>
            <w:r w:rsidR="003A1176">
              <w:rPr>
                <w:noProof/>
                <w:webHidden/>
              </w:rPr>
              <w:fldChar w:fldCharType="begin"/>
            </w:r>
            <w:r w:rsidR="003A1176">
              <w:rPr>
                <w:noProof/>
                <w:webHidden/>
              </w:rPr>
              <w:instrText xml:space="preserve"> PAGEREF _Toc181278041 \h </w:instrText>
            </w:r>
            <w:r w:rsidR="003A1176">
              <w:rPr>
                <w:noProof/>
                <w:webHidden/>
              </w:rPr>
            </w:r>
            <w:r w:rsidR="003A1176">
              <w:rPr>
                <w:noProof/>
                <w:webHidden/>
              </w:rPr>
              <w:fldChar w:fldCharType="separate"/>
            </w:r>
            <w:r w:rsidR="00E12207">
              <w:rPr>
                <w:noProof/>
                <w:webHidden/>
              </w:rPr>
              <w:t>23</w:t>
            </w:r>
            <w:r w:rsidR="003A1176">
              <w:rPr>
                <w:noProof/>
                <w:webHidden/>
              </w:rPr>
              <w:fldChar w:fldCharType="end"/>
            </w:r>
          </w:hyperlink>
        </w:p>
        <w:p w14:paraId="5A75D0D7" w14:textId="3905158E"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42" w:history="1">
            <w:r w:rsidR="003A1176" w:rsidRPr="003337C5">
              <w:rPr>
                <w:rStyle w:val="Hyperlink"/>
                <w:noProof/>
              </w:rPr>
              <w:t>3.5 Impact</w:t>
            </w:r>
            <w:r w:rsidR="003A1176">
              <w:rPr>
                <w:noProof/>
                <w:webHidden/>
              </w:rPr>
              <w:tab/>
            </w:r>
            <w:r w:rsidR="003A1176">
              <w:rPr>
                <w:noProof/>
                <w:webHidden/>
              </w:rPr>
              <w:fldChar w:fldCharType="begin"/>
            </w:r>
            <w:r w:rsidR="003A1176">
              <w:rPr>
                <w:noProof/>
                <w:webHidden/>
              </w:rPr>
              <w:instrText xml:space="preserve"> PAGEREF _Toc181278042 \h </w:instrText>
            </w:r>
            <w:r w:rsidR="003A1176">
              <w:rPr>
                <w:noProof/>
                <w:webHidden/>
              </w:rPr>
            </w:r>
            <w:r w:rsidR="003A1176">
              <w:rPr>
                <w:noProof/>
                <w:webHidden/>
              </w:rPr>
              <w:fldChar w:fldCharType="separate"/>
            </w:r>
            <w:r w:rsidR="00E12207">
              <w:rPr>
                <w:noProof/>
                <w:webHidden/>
              </w:rPr>
              <w:t>25</w:t>
            </w:r>
            <w:r w:rsidR="003A1176">
              <w:rPr>
                <w:noProof/>
                <w:webHidden/>
              </w:rPr>
              <w:fldChar w:fldCharType="end"/>
            </w:r>
          </w:hyperlink>
        </w:p>
        <w:p w14:paraId="74D9BE1E" w14:textId="36F8A68A"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43" w:history="1">
            <w:r w:rsidR="003A1176" w:rsidRPr="003337C5">
              <w:rPr>
                <w:rStyle w:val="Hyperlink"/>
                <w:noProof/>
              </w:rPr>
              <w:t>EQ 11: What medium-term effects (outcomes) have the FSL interventions had on participants' lives?</w:t>
            </w:r>
            <w:r w:rsidR="003A1176">
              <w:rPr>
                <w:noProof/>
                <w:webHidden/>
              </w:rPr>
              <w:tab/>
            </w:r>
            <w:r w:rsidR="003A1176">
              <w:rPr>
                <w:noProof/>
                <w:webHidden/>
              </w:rPr>
              <w:fldChar w:fldCharType="begin"/>
            </w:r>
            <w:r w:rsidR="003A1176">
              <w:rPr>
                <w:noProof/>
                <w:webHidden/>
              </w:rPr>
              <w:instrText xml:space="preserve"> PAGEREF _Toc181278043 \h </w:instrText>
            </w:r>
            <w:r w:rsidR="003A1176">
              <w:rPr>
                <w:noProof/>
                <w:webHidden/>
              </w:rPr>
            </w:r>
            <w:r w:rsidR="003A1176">
              <w:rPr>
                <w:noProof/>
                <w:webHidden/>
              </w:rPr>
              <w:fldChar w:fldCharType="separate"/>
            </w:r>
            <w:r w:rsidR="00E12207">
              <w:rPr>
                <w:noProof/>
                <w:webHidden/>
              </w:rPr>
              <w:t>25</w:t>
            </w:r>
            <w:r w:rsidR="003A1176">
              <w:rPr>
                <w:noProof/>
                <w:webHidden/>
              </w:rPr>
              <w:fldChar w:fldCharType="end"/>
            </w:r>
          </w:hyperlink>
        </w:p>
        <w:p w14:paraId="605F78F6" w14:textId="52E47AE0"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44" w:history="1">
            <w:r w:rsidR="003A1176" w:rsidRPr="003337C5">
              <w:rPr>
                <w:rStyle w:val="Hyperlink"/>
                <w:rFonts w:cs="Calibri"/>
                <w:noProof/>
              </w:rPr>
              <w:t>EQ 12. Were there any unintended positive or negative outcomes from the interventions?</w:t>
            </w:r>
            <w:r w:rsidR="003A1176">
              <w:rPr>
                <w:noProof/>
                <w:webHidden/>
              </w:rPr>
              <w:tab/>
            </w:r>
            <w:r w:rsidR="003A1176">
              <w:rPr>
                <w:noProof/>
                <w:webHidden/>
              </w:rPr>
              <w:fldChar w:fldCharType="begin"/>
            </w:r>
            <w:r w:rsidR="003A1176">
              <w:rPr>
                <w:noProof/>
                <w:webHidden/>
              </w:rPr>
              <w:instrText xml:space="preserve"> PAGEREF _Toc181278044 \h </w:instrText>
            </w:r>
            <w:r w:rsidR="003A1176">
              <w:rPr>
                <w:noProof/>
                <w:webHidden/>
              </w:rPr>
            </w:r>
            <w:r w:rsidR="003A1176">
              <w:rPr>
                <w:noProof/>
                <w:webHidden/>
              </w:rPr>
              <w:fldChar w:fldCharType="separate"/>
            </w:r>
            <w:r w:rsidR="00E12207">
              <w:rPr>
                <w:noProof/>
                <w:webHidden/>
              </w:rPr>
              <w:t>26</w:t>
            </w:r>
            <w:r w:rsidR="003A1176">
              <w:rPr>
                <w:noProof/>
                <w:webHidden/>
              </w:rPr>
              <w:fldChar w:fldCharType="end"/>
            </w:r>
          </w:hyperlink>
        </w:p>
        <w:p w14:paraId="49B05D25" w14:textId="52538CF4"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45" w:history="1">
            <w:r w:rsidR="003A1176" w:rsidRPr="003337C5">
              <w:rPr>
                <w:rStyle w:val="Hyperlink"/>
                <w:noProof/>
              </w:rPr>
              <w:t>3.6 Sustainability</w:t>
            </w:r>
            <w:r w:rsidR="003A1176">
              <w:rPr>
                <w:noProof/>
                <w:webHidden/>
              </w:rPr>
              <w:tab/>
            </w:r>
            <w:r w:rsidR="003A1176">
              <w:rPr>
                <w:noProof/>
                <w:webHidden/>
              </w:rPr>
              <w:fldChar w:fldCharType="begin"/>
            </w:r>
            <w:r w:rsidR="003A1176">
              <w:rPr>
                <w:noProof/>
                <w:webHidden/>
              </w:rPr>
              <w:instrText xml:space="preserve"> PAGEREF _Toc181278045 \h </w:instrText>
            </w:r>
            <w:r w:rsidR="003A1176">
              <w:rPr>
                <w:noProof/>
                <w:webHidden/>
              </w:rPr>
            </w:r>
            <w:r w:rsidR="003A1176">
              <w:rPr>
                <w:noProof/>
                <w:webHidden/>
              </w:rPr>
              <w:fldChar w:fldCharType="separate"/>
            </w:r>
            <w:r w:rsidR="00E12207">
              <w:rPr>
                <w:noProof/>
                <w:webHidden/>
              </w:rPr>
              <w:t>26</w:t>
            </w:r>
            <w:r w:rsidR="003A1176">
              <w:rPr>
                <w:noProof/>
                <w:webHidden/>
              </w:rPr>
              <w:fldChar w:fldCharType="end"/>
            </w:r>
          </w:hyperlink>
        </w:p>
        <w:p w14:paraId="0DF21DE0" w14:textId="26FBF5DE"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46" w:history="1">
            <w:r w:rsidR="003A1176" w:rsidRPr="003337C5">
              <w:rPr>
                <w:rStyle w:val="Hyperlink"/>
                <w:rFonts w:cs="Calibri"/>
                <w:noProof/>
              </w:rPr>
              <w:t>EQ 13. How successfully have the interventions integrated emergency response with long-term livelihood and capacity-building efforts?</w:t>
            </w:r>
            <w:r w:rsidR="003A1176">
              <w:rPr>
                <w:noProof/>
                <w:webHidden/>
              </w:rPr>
              <w:tab/>
            </w:r>
            <w:r w:rsidR="003A1176">
              <w:rPr>
                <w:noProof/>
                <w:webHidden/>
              </w:rPr>
              <w:fldChar w:fldCharType="begin"/>
            </w:r>
            <w:r w:rsidR="003A1176">
              <w:rPr>
                <w:noProof/>
                <w:webHidden/>
              </w:rPr>
              <w:instrText xml:space="preserve"> PAGEREF _Toc181278046 \h </w:instrText>
            </w:r>
            <w:r w:rsidR="003A1176">
              <w:rPr>
                <w:noProof/>
                <w:webHidden/>
              </w:rPr>
            </w:r>
            <w:r w:rsidR="003A1176">
              <w:rPr>
                <w:noProof/>
                <w:webHidden/>
              </w:rPr>
              <w:fldChar w:fldCharType="separate"/>
            </w:r>
            <w:r w:rsidR="00E12207">
              <w:rPr>
                <w:noProof/>
                <w:webHidden/>
              </w:rPr>
              <w:t>26</w:t>
            </w:r>
            <w:r w:rsidR="003A1176">
              <w:rPr>
                <w:noProof/>
                <w:webHidden/>
              </w:rPr>
              <w:fldChar w:fldCharType="end"/>
            </w:r>
          </w:hyperlink>
        </w:p>
        <w:p w14:paraId="1C70CE27" w14:textId="5DDA6AFE"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47" w:history="1">
            <w:r w:rsidR="003A1176" w:rsidRPr="003337C5">
              <w:rPr>
                <w:rStyle w:val="Hyperlink"/>
                <w:noProof/>
              </w:rPr>
              <w:t>3.7 Synergies</w:t>
            </w:r>
            <w:r w:rsidR="003A1176">
              <w:rPr>
                <w:noProof/>
                <w:webHidden/>
              </w:rPr>
              <w:tab/>
            </w:r>
            <w:r w:rsidR="003A1176">
              <w:rPr>
                <w:noProof/>
                <w:webHidden/>
              </w:rPr>
              <w:fldChar w:fldCharType="begin"/>
            </w:r>
            <w:r w:rsidR="003A1176">
              <w:rPr>
                <w:noProof/>
                <w:webHidden/>
              </w:rPr>
              <w:instrText xml:space="preserve"> PAGEREF _Toc181278047 \h </w:instrText>
            </w:r>
            <w:r w:rsidR="003A1176">
              <w:rPr>
                <w:noProof/>
                <w:webHidden/>
              </w:rPr>
            </w:r>
            <w:r w:rsidR="003A1176">
              <w:rPr>
                <w:noProof/>
                <w:webHidden/>
              </w:rPr>
              <w:fldChar w:fldCharType="separate"/>
            </w:r>
            <w:r w:rsidR="00E12207">
              <w:rPr>
                <w:noProof/>
                <w:webHidden/>
              </w:rPr>
              <w:t>28</w:t>
            </w:r>
            <w:r w:rsidR="003A1176">
              <w:rPr>
                <w:noProof/>
                <w:webHidden/>
              </w:rPr>
              <w:fldChar w:fldCharType="end"/>
            </w:r>
          </w:hyperlink>
        </w:p>
        <w:p w14:paraId="2EA1755A" w14:textId="51C85F88"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48" w:history="1">
            <w:r w:rsidR="003A1176" w:rsidRPr="003337C5">
              <w:rPr>
                <w:rStyle w:val="Hyperlink"/>
                <w:rFonts w:cs="Calibri"/>
                <w:noProof/>
              </w:rPr>
              <w:t>EQ 14. How have other interventions (WASH, protection) complemented the FSL interventions in Ethiopia and Kenya?</w:t>
            </w:r>
            <w:r w:rsidR="003A1176">
              <w:rPr>
                <w:noProof/>
                <w:webHidden/>
              </w:rPr>
              <w:tab/>
            </w:r>
            <w:r w:rsidR="003A1176">
              <w:rPr>
                <w:noProof/>
                <w:webHidden/>
              </w:rPr>
              <w:fldChar w:fldCharType="begin"/>
            </w:r>
            <w:r w:rsidR="003A1176">
              <w:rPr>
                <w:noProof/>
                <w:webHidden/>
              </w:rPr>
              <w:instrText xml:space="preserve"> PAGEREF _Toc181278048 \h </w:instrText>
            </w:r>
            <w:r w:rsidR="003A1176">
              <w:rPr>
                <w:noProof/>
                <w:webHidden/>
              </w:rPr>
            </w:r>
            <w:r w:rsidR="003A1176">
              <w:rPr>
                <w:noProof/>
                <w:webHidden/>
              </w:rPr>
              <w:fldChar w:fldCharType="separate"/>
            </w:r>
            <w:r w:rsidR="00E12207">
              <w:rPr>
                <w:noProof/>
                <w:webHidden/>
              </w:rPr>
              <w:t>28</w:t>
            </w:r>
            <w:r w:rsidR="003A1176">
              <w:rPr>
                <w:noProof/>
                <w:webHidden/>
              </w:rPr>
              <w:fldChar w:fldCharType="end"/>
            </w:r>
          </w:hyperlink>
        </w:p>
        <w:p w14:paraId="031FC69B" w14:textId="74C89CAC"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49" w:history="1">
            <w:r w:rsidR="003A1176" w:rsidRPr="003337C5">
              <w:rPr>
                <w:rStyle w:val="Hyperlink"/>
                <w:noProof/>
              </w:rPr>
              <w:t>3.8 Inclusion and Diversity</w:t>
            </w:r>
            <w:r w:rsidR="003A1176">
              <w:rPr>
                <w:noProof/>
                <w:webHidden/>
              </w:rPr>
              <w:tab/>
            </w:r>
            <w:r w:rsidR="003A1176">
              <w:rPr>
                <w:noProof/>
                <w:webHidden/>
              </w:rPr>
              <w:fldChar w:fldCharType="begin"/>
            </w:r>
            <w:r w:rsidR="003A1176">
              <w:rPr>
                <w:noProof/>
                <w:webHidden/>
              </w:rPr>
              <w:instrText xml:space="preserve"> PAGEREF _Toc181278049 \h </w:instrText>
            </w:r>
            <w:r w:rsidR="003A1176">
              <w:rPr>
                <w:noProof/>
                <w:webHidden/>
              </w:rPr>
            </w:r>
            <w:r w:rsidR="003A1176">
              <w:rPr>
                <w:noProof/>
                <w:webHidden/>
              </w:rPr>
              <w:fldChar w:fldCharType="separate"/>
            </w:r>
            <w:r w:rsidR="00E12207">
              <w:rPr>
                <w:noProof/>
                <w:webHidden/>
              </w:rPr>
              <w:t>28</w:t>
            </w:r>
            <w:r w:rsidR="003A1176">
              <w:rPr>
                <w:noProof/>
                <w:webHidden/>
              </w:rPr>
              <w:fldChar w:fldCharType="end"/>
            </w:r>
          </w:hyperlink>
        </w:p>
        <w:p w14:paraId="7512D1AB" w14:textId="1B44724D"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50" w:history="1">
            <w:r w:rsidR="003A1176" w:rsidRPr="003337C5">
              <w:rPr>
                <w:rStyle w:val="Hyperlink"/>
                <w:rFonts w:cs="Calibri"/>
                <w:noProof/>
              </w:rPr>
              <w:t>EQ 15. Were affected communities content with the targeting of intervention participants?</w:t>
            </w:r>
            <w:r w:rsidR="003A1176">
              <w:rPr>
                <w:noProof/>
                <w:webHidden/>
              </w:rPr>
              <w:tab/>
            </w:r>
            <w:r w:rsidR="003A1176">
              <w:rPr>
                <w:noProof/>
                <w:webHidden/>
              </w:rPr>
              <w:fldChar w:fldCharType="begin"/>
            </w:r>
            <w:r w:rsidR="003A1176">
              <w:rPr>
                <w:noProof/>
                <w:webHidden/>
              </w:rPr>
              <w:instrText xml:space="preserve"> PAGEREF _Toc181278050 \h </w:instrText>
            </w:r>
            <w:r w:rsidR="003A1176">
              <w:rPr>
                <w:noProof/>
                <w:webHidden/>
              </w:rPr>
            </w:r>
            <w:r w:rsidR="003A1176">
              <w:rPr>
                <w:noProof/>
                <w:webHidden/>
              </w:rPr>
              <w:fldChar w:fldCharType="separate"/>
            </w:r>
            <w:r w:rsidR="00E12207">
              <w:rPr>
                <w:noProof/>
                <w:webHidden/>
              </w:rPr>
              <w:t>29</w:t>
            </w:r>
            <w:r w:rsidR="003A1176">
              <w:rPr>
                <w:noProof/>
                <w:webHidden/>
              </w:rPr>
              <w:fldChar w:fldCharType="end"/>
            </w:r>
          </w:hyperlink>
        </w:p>
        <w:p w14:paraId="6E027126" w14:textId="12169705"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51" w:history="1">
            <w:r w:rsidR="003A1176" w:rsidRPr="003337C5">
              <w:rPr>
                <w:rStyle w:val="Hyperlink"/>
                <w:noProof/>
              </w:rPr>
              <w:t>3.9 Accountability to Affected People</w:t>
            </w:r>
            <w:r w:rsidR="003A1176">
              <w:rPr>
                <w:noProof/>
                <w:webHidden/>
              </w:rPr>
              <w:tab/>
            </w:r>
            <w:r w:rsidR="003A1176">
              <w:rPr>
                <w:noProof/>
                <w:webHidden/>
              </w:rPr>
              <w:fldChar w:fldCharType="begin"/>
            </w:r>
            <w:r w:rsidR="003A1176">
              <w:rPr>
                <w:noProof/>
                <w:webHidden/>
              </w:rPr>
              <w:instrText xml:space="preserve"> PAGEREF _Toc181278051 \h </w:instrText>
            </w:r>
            <w:r w:rsidR="003A1176">
              <w:rPr>
                <w:noProof/>
                <w:webHidden/>
              </w:rPr>
            </w:r>
            <w:r w:rsidR="003A1176">
              <w:rPr>
                <w:noProof/>
                <w:webHidden/>
              </w:rPr>
              <w:fldChar w:fldCharType="separate"/>
            </w:r>
            <w:r w:rsidR="00E12207">
              <w:rPr>
                <w:noProof/>
                <w:webHidden/>
              </w:rPr>
              <w:t>29</w:t>
            </w:r>
            <w:r w:rsidR="003A1176">
              <w:rPr>
                <w:noProof/>
                <w:webHidden/>
              </w:rPr>
              <w:fldChar w:fldCharType="end"/>
            </w:r>
          </w:hyperlink>
        </w:p>
        <w:p w14:paraId="6EBBC274" w14:textId="29B5D0F1"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52" w:history="1">
            <w:r w:rsidR="003A1176" w:rsidRPr="003337C5">
              <w:rPr>
                <w:rStyle w:val="Hyperlink"/>
                <w:rFonts w:cs="Calibri"/>
                <w:noProof/>
              </w:rPr>
              <w:t>EQ 16. How did communication and feedback mechanisms influence the design and implementation of the interventions?</w:t>
            </w:r>
            <w:r w:rsidR="003A1176">
              <w:rPr>
                <w:noProof/>
                <w:webHidden/>
              </w:rPr>
              <w:tab/>
            </w:r>
            <w:r w:rsidR="003A1176">
              <w:rPr>
                <w:noProof/>
                <w:webHidden/>
              </w:rPr>
              <w:fldChar w:fldCharType="begin"/>
            </w:r>
            <w:r w:rsidR="003A1176">
              <w:rPr>
                <w:noProof/>
                <w:webHidden/>
              </w:rPr>
              <w:instrText xml:space="preserve"> PAGEREF _Toc181278052 \h </w:instrText>
            </w:r>
            <w:r w:rsidR="003A1176">
              <w:rPr>
                <w:noProof/>
                <w:webHidden/>
              </w:rPr>
            </w:r>
            <w:r w:rsidR="003A1176">
              <w:rPr>
                <w:noProof/>
                <w:webHidden/>
              </w:rPr>
              <w:fldChar w:fldCharType="separate"/>
            </w:r>
            <w:r w:rsidR="00E12207">
              <w:rPr>
                <w:noProof/>
                <w:webHidden/>
              </w:rPr>
              <w:t>29</w:t>
            </w:r>
            <w:r w:rsidR="003A1176">
              <w:rPr>
                <w:noProof/>
                <w:webHidden/>
              </w:rPr>
              <w:fldChar w:fldCharType="end"/>
            </w:r>
          </w:hyperlink>
        </w:p>
        <w:p w14:paraId="341FBB87" w14:textId="5C761E30"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53" w:history="1">
            <w:r w:rsidR="003A1176" w:rsidRPr="003337C5">
              <w:rPr>
                <w:rStyle w:val="Hyperlink"/>
                <w:noProof/>
              </w:rPr>
              <w:t>3.10 Localisation</w:t>
            </w:r>
            <w:r w:rsidR="003A1176">
              <w:rPr>
                <w:noProof/>
                <w:webHidden/>
              </w:rPr>
              <w:tab/>
            </w:r>
            <w:r w:rsidR="003A1176">
              <w:rPr>
                <w:noProof/>
                <w:webHidden/>
              </w:rPr>
              <w:fldChar w:fldCharType="begin"/>
            </w:r>
            <w:r w:rsidR="003A1176">
              <w:rPr>
                <w:noProof/>
                <w:webHidden/>
              </w:rPr>
              <w:instrText xml:space="preserve"> PAGEREF _Toc181278053 \h </w:instrText>
            </w:r>
            <w:r w:rsidR="003A1176">
              <w:rPr>
                <w:noProof/>
                <w:webHidden/>
              </w:rPr>
            </w:r>
            <w:r w:rsidR="003A1176">
              <w:rPr>
                <w:noProof/>
                <w:webHidden/>
              </w:rPr>
              <w:fldChar w:fldCharType="separate"/>
            </w:r>
            <w:r w:rsidR="00E12207">
              <w:rPr>
                <w:noProof/>
                <w:webHidden/>
              </w:rPr>
              <w:t>31</w:t>
            </w:r>
            <w:r w:rsidR="003A1176">
              <w:rPr>
                <w:noProof/>
                <w:webHidden/>
              </w:rPr>
              <w:fldChar w:fldCharType="end"/>
            </w:r>
          </w:hyperlink>
        </w:p>
        <w:p w14:paraId="4069E65C" w14:textId="73B09AA3"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54" w:history="1">
            <w:r w:rsidR="003A1176" w:rsidRPr="003337C5">
              <w:rPr>
                <w:rStyle w:val="Hyperlink"/>
                <w:rFonts w:cs="Calibri"/>
                <w:noProof/>
              </w:rPr>
              <w:t>EQ 17. To what extent have the interventions utilised local systems and enhanced local leadership, coordination, and capacity?</w:t>
            </w:r>
            <w:r w:rsidR="003A1176">
              <w:rPr>
                <w:noProof/>
                <w:webHidden/>
              </w:rPr>
              <w:tab/>
            </w:r>
            <w:r w:rsidR="003A1176">
              <w:rPr>
                <w:noProof/>
                <w:webHidden/>
              </w:rPr>
              <w:fldChar w:fldCharType="begin"/>
            </w:r>
            <w:r w:rsidR="003A1176">
              <w:rPr>
                <w:noProof/>
                <w:webHidden/>
              </w:rPr>
              <w:instrText xml:space="preserve"> PAGEREF _Toc181278054 \h </w:instrText>
            </w:r>
            <w:r w:rsidR="003A1176">
              <w:rPr>
                <w:noProof/>
                <w:webHidden/>
              </w:rPr>
            </w:r>
            <w:r w:rsidR="003A1176">
              <w:rPr>
                <w:noProof/>
                <w:webHidden/>
              </w:rPr>
              <w:fldChar w:fldCharType="separate"/>
            </w:r>
            <w:r w:rsidR="00E12207">
              <w:rPr>
                <w:noProof/>
                <w:webHidden/>
              </w:rPr>
              <w:t>31</w:t>
            </w:r>
            <w:r w:rsidR="003A1176">
              <w:rPr>
                <w:noProof/>
                <w:webHidden/>
              </w:rPr>
              <w:fldChar w:fldCharType="end"/>
            </w:r>
          </w:hyperlink>
        </w:p>
        <w:p w14:paraId="39B739BA" w14:textId="13896BC7"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55" w:history="1">
            <w:r w:rsidR="003A1176" w:rsidRPr="003337C5">
              <w:rPr>
                <w:rStyle w:val="Hyperlink"/>
                <w:noProof/>
              </w:rPr>
              <w:t>EQ 18. What are the anticipated benefits of localisation, the likely risks and possible intersection/clash with other outcomes?</w:t>
            </w:r>
            <w:r w:rsidR="003A1176">
              <w:rPr>
                <w:noProof/>
                <w:webHidden/>
              </w:rPr>
              <w:tab/>
            </w:r>
            <w:r w:rsidR="003A1176">
              <w:rPr>
                <w:noProof/>
                <w:webHidden/>
              </w:rPr>
              <w:fldChar w:fldCharType="begin"/>
            </w:r>
            <w:r w:rsidR="003A1176">
              <w:rPr>
                <w:noProof/>
                <w:webHidden/>
              </w:rPr>
              <w:instrText xml:space="preserve"> PAGEREF _Toc181278055 \h </w:instrText>
            </w:r>
            <w:r w:rsidR="003A1176">
              <w:rPr>
                <w:noProof/>
                <w:webHidden/>
              </w:rPr>
            </w:r>
            <w:r w:rsidR="003A1176">
              <w:rPr>
                <w:noProof/>
                <w:webHidden/>
              </w:rPr>
              <w:fldChar w:fldCharType="separate"/>
            </w:r>
            <w:r w:rsidR="00E12207">
              <w:rPr>
                <w:noProof/>
                <w:webHidden/>
              </w:rPr>
              <w:t>32</w:t>
            </w:r>
            <w:r w:rsidR="003A1176">
              <w:rPr>
                <w:noProof/>
                <w:webHidden/>
              </w:rPr>
              <w:fldChar w:fldCharType="end"/>
            </w:r>
          </w:hyperlink>
        </w:p>
        <w:p w14:paraId="452E7A66" w14:textId="6E73C8AF"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56" w:history="1">
            <w:r w:rsidR="003A1176" w:rsidRPr="003337C5">
              <w:rPr>
                <w:rStyle w:val="Hyperlink"/>
                <w:rFonts w:cstheme="majorHAnsi"/>
                <w:noProof/>
              </w:rPr>
              <w:t>3.11 Climate Change</w:t>
            </w:r>
            <w:r w:rsidR="003A1176">
              <w:rPr>
                <w:noProof/>
                <w:webHidden/>
              </w:rPr>
              <w:tab/>
            </w:r>
            <w:r w:rsidR="003A1176">
              <w:rPr>
                <w:noProof/>
                <w:webHidden/>
              </w:rPr>
              <w:fldChar w:fldCharType="begin"/>
            </w:r>
            <w:r w:rsidR="003A1176">
              <w:rPr>
                <w:noProof/>
                <w:webHidden/>
              </w:rPr>
              <w:instrText xml:space="preserve"> PAGEREF _Toc181278056 \h </w:instrText>
            </w:r>
            <w:r w:rsidR="003A1176">
              <w:rPr>
                <w:noProof/>
                <w:webHidden/>
              </w:rPr>
            </w:r>
            <w:r w:rsidR="003A1176">
              <w:rPr>
                <w:noProof/>
                <w:webHidden/>
              </w:rPr>
              <w:fldChar w:fldCharType="separate"/>
            </w:r>
            <w:r w:rsidR="00E12207">
              <w:rPr>
                <w:noProof/>
                <w:webHidden/>
              </w:rPr>
              <w:t>33</w:t>
            </w:r>
            <w:r w:rsidR="003A1176">
              <w:rPr>
                <w:noProof/>
                <w:webHidden/>
              </w:rPr>
              <w:fldChar w:fldCharType="end"/>
            </w:r>
          </w:hyperlink>
        </w:p>
        <w:p w14:paraId="231A6F20" w14:textId="0686EE89"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57" w:history="1">
            <w:r w:rsidR="003A1176" w:rsidRPr="003337C5">
              <w:rPr>
                <w:rStyle w:val="Hyperlink"/>
                <w:rFonts w:cs="Calibri"/>
                <w:noProof/>
              </w:rPr>
              <w:t>EQ 19. How have the interventions contributed to increased resilience in the face of climate change?</w:t>
            </w:r>
            <w:r w:rsidR="003A1176">
              <w:rPr>
                <w:noProof/>
                <w:webHidden/>
              </w:rPr>
              <w:tab/>
            </w:r>
            <w:r w:rsidR="003A1176">
              <w:rPr>
                <w:noProof/>
                <w:webHidden/>
              </w:rPr>
              <w:fldChar w:fldCharType="begin"/>
            </w:r>
            <w:r w:rsidR="003A1176">
              <w:rPr>
                <w:noProof/>
                <w:webHidden/>
              </w:rPr>
              <w:instrText xml:space="preserve"> PAGEREF _Toc181278057 \h </w:instrText>
            </w:r>
            <w:r w:rsidR="003A1176">
              <w:rPr>
                <w:noProof/>
                <w:webHidden/>
              </w:rPr>
            </w:r>
            <w:r w:rsidR="003A1176">
              <w:rPr>
                <w:noProof/>
                <w:webHidden/>
              </w:rPr>
              <w:fldChar w:fldCharType="separate"/>
            </w:r>
            <w:r w:rsidR="00E12207">
              <w:rPr>
                <w:noProof/>
                <w:webHidden/>
              </w:rPr>
              <w:t>33</w:t>
            </w:r>
            <w:r w:rsidR="003A1176">
              <w:rPr>
                <w:noProof/>
                <w:webHidden/>
              </w:rPr>
              <w:fldChar w:fldCharType="end"/>
            </w:r>
          </w:hyperlink>
        </w:p>
        <w:p w14:paraId="4825F0D2" w14:textId="451F347C" w:rsidR="003A1176" w:rsidRDefault="00234B5F">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1278058" w:history="1">
            <w:r w:rsidR="003A1176" w:rsidRPr="003337C5">
              <w:rPr>
                <w:rStyle w:val="Hyperlink"/>
                <w:noProof/>
              </w:rPr>
              <w:t>4.0. Emerging Lessons</w:t>
            </w:r>
            <w:r w:rsidR="003A1176">
              <w:rPr>
                <w:noProof/>
                <w:webHidden/>
              </w:rPr>
              <w:tab/>
            </w:r>
            <w:r w:rsidR="003A1176">
              <w:rPr>
                <w:noProof/>
                <w:webHidden/>
              </w:rPr>
              <w:fldChar w:fldCharType="begin"/>
            </w:r>
            <w:r w:rsidR="003A1176">
              <w:rPr>
                <w:noProof/>
                <w:webHidden/>
              </w:rPr>
              <w:instrText xml:space="preserve"> PAGEREF _Toc181278058 \h </w:instrText>
            </w:r>
            <w:r w:rsidR="003A1176">
              <w:rPr>
                <w:noProof/>
                <w:webHidden/>
              </w:rPr>
            </w:r>
            <w:r w:rsidR="003A1176">
              <w:rPr>
                <w:noProof/>
                <w:webHidden/>
              </w:rPr>
              <w:fldChar w:fldCharType="separate"/>
            </w:r>
            <w:r w:rsidR="00E12207">
              <w:rPr>
                <w:noProof/>
                <w:webHidden/>
              </w:rPr>
              <w:t>33</w:t>
            </w:r>
            <w:r w:rsidR="003A1176">
              <w:rPr>
                <w:noProof/>
                <w:webHidden/>
              </w:rPr>
              <w:fldChar w:fldCharType="end"/>
            </w:r>
          </w:hyperlink>
        </w:p>
        <w:p w14:paraId="72948C17" w14:textId="7B027F08" w:rsidR="003A1176" w:rsidRDefault="00234B5F">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1278059" w:history="1">
            <w:r w:rsidR="003A1176" w:rsidRPr="003337C5">
              <w:rPr>
                <w:rStyle w:val="Hyperlink"/>
                <w:noProof/>
              </w:rPr>
              <w:t>5. Conclusions and Recommendations</w:t>
            </w:r>
            <w:r w:rsidR="003A1176">
              <w:rPr>
                <w:noProof/>
                <w:webHidden/>
              </w:rPr>
              <w:tab/>
            </w:r>
            <w:r w:rsidR="003A1176">
              <w:rPr>
                <w:noProof/>
                <w:webHidden/>
              </w:rPr>
              <w:fldChar w:fldCharType="begin"/>
            </w:r>
            <w:r w:rsidR="003A1176">
              <w:rPr>
                <w:noProof/>
                <w:webHidden/>
              </w:rPr>
              <w:instrText xml:space="preserve"> PAGEREF _Toc181278059 \h </w:instrText>
            </w:r>
            <w:r w:rsidR="003A1176">
              <w:rPr>
                <w:noProof/>
                <w:webHidden/>
              </w:rPr>
            </w:r>
            <w:r w:rsidR="003A1176">
              <w:rPr>
                <w:noProof/>
                <w:webHidden/>
              </w:rPr>
              <w:fldChar w:fldCharType="separate"/>
            </w:r>
            <w:r w:rsidR="00E12207">
              <w:rPr>
                <w:noProof/>
                <w:webHidden/>
              </w:rPr>
              <w:t>35</w:t>
            </w:r>
            <w:r w:rsidR="003A1176">
              <w:rPr>
                <w:noProof/>
                <w:webHidden/>
              </w:rPr>
              <w:fldChar w:fldCharType="end"/>
            </w:r>
          </w:hyperlink>
        </w:p>
        <w:p w14:paraId="47CF4C76" w14:textId="5AC66A49"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60" w:history="1">
            <w:r w:rsidR="003A1176" w:rsidRPr="003337C5">
              <w:rPr>
                <w:rStyle w:val="Hyperlink"/>
                <w:noProof/>
              </w:rPr>
              <w:t>5.1 Conclusions</w:t>
            </w:r>
            <w:r w:rsidR="003A1176">
              <w:rPr>
                <w:noProof/>
                <w:webHidden/>
              </w:rPr>
              <w:tab/>
            </w:r>
            <w:r w:rsidR="003A1176">
              <w:rPr>
                <w:noProof/>
                <w:webHidden/>
              </w:rPr>
              <w:fldChar w:fldCharType="begin"/>
            </w:r>
            <w:r w:rsidR="003A1176">
              <w:rPr>
                <w:noProof/>
                <w:webHidden/>
              </w:rPr>
              <w:instrText xml:space="preserve"> PAGEREF _Toc181278060 \h </w:instrText>
            </w:r>
            <w:r w:rsidR="003A1176">
              <w:rPr>
                <w:noProof/>
                <w:webHidden/>
              </w:rPr>
            </w:r>
            <w:r w:rsidR="003A1176">
              <w:rPr>
                <w:noProof/>
                <w:webHidden/>
              </w:rPr>
              <w:fldChar w:fldCharType="separate"/>
            </w:r>
            <w:r w:rsidR="00E12207">
              <w:rPr>
                <w:noProof/>
                <w:webHidden/>
              </w:rPr>
              <w:t>35</w:t>
            </w:r>
            <w:r w:rsidR="003A1176">
              <w:rPr>
                <w:noProof/>
                <w:webHidden/>
              </w:rPr>
              <w:fldChar w:fldCharType="end"/>
            </w:r>
          </w:hyperlink>
        </w:p>
        <w:p w14:paraId="76B51950" w14:textId="2A98ABE6"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61" w:history="1">
            <w:r w:rsidR="003A1176" w:rsidRPr="003337C5">
              <w:rPr>
                <w:rStyle w:val="Hyperlink"/>
                <w:noProof/>
              </w:rPr>
              <w:t>5.2. Recommendations</w:t>
            </w:r>
            <w:r w:rsidR="003A1176">
              <w:rPr>
                <w:noProof/>
                <w:webHidden/>
              </w:rPr>
              <w:tab/>
            </w:r>
            <w:r w:rsidR="003A1176">
              <w:rPr>
                <w:noProof/>
                <w:webHidden/>
              </w:rPr>
              <w:fldChar w:fldCharType="begin"/>
            </w:r>
            <w:r w:rsidR="003A1176">
              <w:rPr>
                <w:noProof/>
                <w:webHidden/>
              </w:rPr>
              <w:instrText xml:space="preserve"> PAGEREF _Toc181278061 \h </w:instrText>
            </w:r>
            <w:r w:rsidR="003A1176">
              <w:rPr>
                <w:noProof/>
                <w:webHidden/>
              </w:rPr>
            </w:r>
            <w:r w:rsidR="003A1176">
              <w:rPr>
                <w:noProof/>
                <w:webHidden/>
              </w:rPr>
              <w:fldChar w:fldCharType="separate"/>
            </w:r>
            <w:r w:rsidR="00E12207">
              <w:rPr>
                <w:noProof/>
                <w:webHidden/>
              </w:rPr>
              <w:t>36</w:t>
            </w:r>
            <w:r w:rsidR="003A1176">
              <w:rPr>
                <w:noProof/>
                <w:webHidden/>
              </w:rPr>
              <w:fldChar w:fldCharType="end"/>
            </w:r>
          </w:hyperlink>
        </w:p>
        <w:p w14:paraId="1C991916" w14:textId="5484EA06" w:rsidR="003A1176" w:rsidRDefault="00234B5F">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1278062" w:history="1">
            <w:r w:rsidR="003A1176" w:rsidRPr="003337C5">
              <w:rPr>
                <w:rStyle w:val="Hyperlink"/>
                <w:noProof/>
              </w:rPr>
              <w:t>Bibliography</w:t>
            </w:r>
            <w:r w:rsidR="003A1176">
              <w:rPr>
                <w:noProof/>
                <w:webHidden/>
              </w:rPr>
              <w:tab/>
            </w:r>
            <w:r w:rsidR="003A1176">
              <w:rPr>
                <w:noProof/>
                <w:webHidden/>
              </w:rPr>
              <w:fldChar w:fldCharType="begin"/>
            </w:r>
            <w:r w:rsidR="003A1176">
              <w:rPr>
                <w:noProof/>
                <w:webHidden/>
              </w:rPr>
              <w:instrText xml:space="preserve"> PAGEREF _Toc181278062 \h </w:instrText>
            </w:r>
            <w:r w:rsidR="003A1176">
              <w:rPr>
                <w:noProof/>
                <w:webHidden/>
              </w:rPr>
            </w:r>
            <w:r w:rsidR="003A1176">
              <w:rPr>
                <w:noProof/>
                <w:webHidden/>
              </w:rPr>
              <w:fldChar w:fldCharType="separate"/>
            </w:r>
            <w:r w:rsidR="00E12207">
              <w:rPr>
                <w:noProof/>
                <w:webHidden/>
              </w:rPr>
              <w:t>37</w:t>
            </w:r>
            <w:r w:rsidR="003A1176">
              <w:rPr>
                <w:noProof/>
                <w:webHidden/>
              </w:rPr>
              <w:fldChar w:fldCharType="end"/>
            </w:r>
          </w:hyperlink>
        </w:p>
        <w:p w14:paraId="386420C2" w14:textId="2EF28F10" w:rsidR="003A1176" w:rsidRDefault="00234B5F">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1278063" w:history="1">
            <w:r w:rsidR="003A1176" w:rsidRPr="003337C5">
              <w:rPr>
                <w:rStyle w:val="Hyperlink"/>
                <w:noProof/>
              </w:rPr>
              <w:t>6.0 Annexes</w:t>
            </w:r>
            <w:r w:rsidR="003A1176">
              <w:rPr>
                <w:noProof/>
                <w:webHidden/>
              </w:rPr>
              <w:tab/>
            </w:r>
            <w:r w:rsidR="003A1176">
              <w:rPr>
                <w:noProof/>
                <w:webHidden/>
              </w:rPr>
              <w:fldChar w:fldCharType="begin"/>
            </w:r>
            <w:r w:rsidR="003A1176">
              <w:rPr>
                <w:noProof/>
                <w:webHidden/>
              </w:rPr>
              <w:instrText xml:space="preserve"> PAGEREF _Toc181278063 \h </w:instrText>
            </w:r>
            <w:r w:rsidR="003A1176">
              <w:rPr>
                <w:noProof/>
                <w:webHidden/>
              </w:rPr>
            </w:r>
            <w:r w:rsidR="003A1176">
              <w:rPr>
                <w:noProof/>
                <w:webHidden/>
              </w:rPr>
              <w:fldChar w:fldCharType="separate"/>
            </w:r>
            <w:r w:rsidR="00E12207">
              <w:rPr>
                <w:noProof/>
                <w:webHidden/>
              </w:rPr>
              <w:t>39</w:t>
            </w:r>
            <w:r w:rsidR="003A1176">
              <w:rPr>
                <w:noProof/>
                <w:webHidden/>
              </w:rPr>
              <w:fldChar w:fldCharType="end"/>
            </w:r>
          </w:hyperlink>
        </w:p>
        <w:p w14:paraId="74497C0E" w14:textId="21D31033"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64" w:history="1">
            <w:r w:rsidR="003A1176" w:rsidRPr="003337C5">
              <w:rPr>
                <w:rStyle w:val="Hyperlink"/>
                <w:noProof/>
              </w:rPr>
              <w:t>Annex 1 Terms of Reference</w:t>
            </w:r>
            <w:r w:rsidR="003A1176">
              <w:rPr>
                <w:noProof/>
                <w:webHidden/>
              </w:rPr>
              <w:tab/>
            </w:r>
            <w:r w:rsidR="003A1176">
              <w:rPr>
                <w:noProof/>
                <w:webHidden/>
              </w:rPr>
              <w:fldChar w:fldCharType="begin"/>
            </w:r>
            <w:r w:rsidR="003A1176">
              <w:rPr>
                <w:noProof/>
                <w:webHidden/>
              </w:rPr>
              <w:instrText xml:space="preserve"> PAGEREF _Toc181278064 \h </w:instrText>
            </w:r>
            <w:r w:rsidR="003A1176">
              <w:rPr>
                <w:noProof/>
                <w:webHidden/>
              </w:rPr>
            </w:r>
            <w:r w:rsidR="003A1176">
              <w:rPr>
                <w:noProof/>
                <w:webHidden/>
              </w:rPr>
              <w:fldChar w:fldCharType="separate"/>
            </w:r>
            <w:r w:rsidR="00E12207">
              <w:rPr>
                <w:noProof/>
                <w:webHidden/>
              </w:rPr>
              <w:t>39</w:t>
            </w:r>
            <w:r w:rsidR="003A1176">
              <w:rPr>
                <w:noProof/>
                <w:webHidden/>
              </w:rPr>
              <w:fldChar w:fldCharType="end"/>
            </w:r>
          </w:hyperlink>
        </w:p>
        <w:p w14:paraId="42290D29" w14:textId="20359DA4"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65" w:history="1">
            <w:r w:rsidR="003A1176" w:rsidRPr="003337C5">
              <w:rPr>
                <w:rStyle w:val="Hyperlink"/>
                <w:noProof/>
              </w:rPr>
              <w:t>Annex 2 Thematic case studies</w:t>
            </w:r>
            <w:r w:rsidR="003A1176">
              <w:rPr>
                <w:noProof/>
                <w:webHidden/>
              </w:rPr>
              <w:tab/>
            </w:r>
            <w:r w:rsidR="003A1176">
              <w:rPr>
                <w:noProof/>
                <w:webHidden/>
              </w:rPr>
              <w:fldChar w:fldCharType="begin"/>
            </w:r>
            <w:r w:rsidR="003A1176">
              <w:rPr>
                <w:noProof/>
                <w:webHidden/>
              </w:rPr>
              <w:instrText xml:space="preserve"> PAGEREF _Toc181278065 \h </w:instrText>
            </w:r>
            <w:r w:rsidR="003A1176">
              <w:rPr>
                <w:noProof/>
                <w:webHidden/>
              </w:rPr>
            </w:r>
            <w:r w:rsidR="003A1176">
              <w:rPr>
                <w:noProof/>
                <w:webHidden/>
              </w:rPr>
              <w:fldChar w:fldCharType="separate"/>
            </w:r>
            <w:r w:rsidR="00E12207">
              <w:rPr>
                <w:noProof/>
                <w:webHidden/>
              </w:rPr>
              <w:t>50</w:t>
            </w:r>
            <w:r w:rsidR="003A1176">
              <w:rPr>
                <w:noProof/>
                <w:webHidden/>
              </w:rPr>
              <w:fldChar w:fldCharType="end"/>
            </w:r>
          </w:hyperlink>
        </w:p>
        <w:p w14:paraId="3BEAC346" w14:textId="74BFA7AC"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66" w:history="1">
            <w:r w:rsidR="003A1176" w:rsidRPr="003337C5">
              <w:rPr>
                <w:rStyle w:val="Hyperlink"/>
                <w:noProof/>
              </w:rPr>
              <w:t>Case Study 1: Food Security in the Horn of Africa</w:t>
            </w:r>
            <w:r w:rsidR="003A1176">
              <w:rPr>
                <w:noProof/>
                <w:webHidden/>
              </w:rPr>
              <w:tab/>
            </w:r>
            <w:r w:rsidR="003A1176">
              <w:rPr>
                <w:noProof/>
                <w:webHidden/>
              </w:rPr>
              <w:fldChar w:fldCharType="begin"/>
            </w:r>
            <w:r w:rsidR="003A1176">
              <w:rPr>
                <w:noProof/>
                <w:webHidden/>
              </w:rPr>
              <w:instrText xml:space="preserve"> PAGEREF _Toc181278066 \h </w:instrText>
            </w:r>
            <w:r w:rsidR="003A1176">
              <w:rPr>
                <w:noProof/>
                <w:webHidden/>
              </w:rPr>
            </w:r>
            <w:r w:rsidR="003A1176">
              <w:rPr>
                <w:noProof/>
                <w:webHidden/>
              </w:rPr>
              <w:fldChar w:fldCharType="separate"/>
            </w:r>
            <w:r w:rsidR="00E12207">
              <w:rPr>
                <w:noProof/>
                <w:webHidden/>
              </w:rPr>
              <w:t>50</w:t>
            </w:r>
            <w:r w:rsidR="003A1176">
              <w:rPr>
                <w:noProof/>
                <w:webHidden/>
              </w:rPr>
              <w:fldChar w:fldCharType="end"/>
            </w:r>
          </w:hyperlink>
        </w:p>
        <w:p w14:paraId="3852250E" w14:textId="1A98BBF2"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67" w:history="1">
            <w:r w:rsidR="003A1176" w:rsidRPr="003337C5">
              <w:rPr>
                <w:rStyle w:val="Hyperlink"/>
                <w:noProof/>
              </w:rPr>
              <w:t>Case Study 2: Water, Sanitation, and Hygiene (WASH) Intervention in the Horn of Africa</w:t>
            </w:r>
            <w:r w:rsidR="003A1176">
              <w:rPr>
                <w:noProof/>
                <w:webHidden/>
              </w:rPr>
              <w:tab/>
            </w:r>
            <w:r w:rsidR="003A1176">
              <w:rPr>
                <w:noProof/>
                <w:webHidden/>
              </w:rPr>
              <w:fldChar w:fldCharType="begin"/>
            </w:r>
            <w:r w:rsidR="003A1176">
              <w:rPr>
                <w:noProof/>
                <w:webHidden/>
              </w:rPr>
              <w:instrText xml:space="preserve"> PAGEREF _Toc181278067 \h </w:instrText>
            </w:r>
            <w:r w:rsidR="003A1176">
              <w:rPr>
                <w:noProof/>
                <w:webHidden/>
              </w:rPr>
            </w:r>
            <w:r w:rsidR="003A1176">
              <w:rPr>
                <w:noProof/>
                <w:webHidden/>
              </w:rPr>
              <w:fldChar w:fldCharType="separate"/>
            </w:r>
            <w:r w:rsidR="00E12207">
              <w:rPr>
                <w:noProof/>
                <w:webHidden/>
              </w:rPr>
              <w:t>52</w:t>
            </w:r>
            <w:r w:rsidR="003A1176">
              <w:rPr>
                <w:noProof/>
                <w:webHidden/>
              </w:rPr>
              <w:fldChar w:fldCharType="end"/>
            </w:r>
          </w:hyperlink>
        </w:p>
        <w:p w14:paraId="42644EA5" w14:textId="61049DEC"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68" w:history="1">
            <w:r w:rsidR="003A1176" w:rsidRPr="003337C5">
              <w:rPr>
                <w:rStyle w:val="Hyperlink"/>
                <w:noProof/>
              </w:rPr>
              <w:t>Case Study 3: Gender-Based Violence (GBV) and Protection in the Horn of Africa</w:t>
            </w:r>
            <w:r w:rsidR="003A1176">
              <w:rPr>
                <w:noProof/>
                <w:webHidden/>
              </w:rPr>
              <w:tab/>
            </w:r>
            <w:r w:rsidR="003A1176">
              <w:rPr>
                <w:noProof/>
                <w:webHidden/>
              </w:rPr>
              <w:fldChar w:fldCharType="begin"/>
            </w:r>
            <w:r w:rsidR="003A1176">
              <w:rPr>
                <w:noProof/>
                <w:webHidden/>
              </w:rPr>
              <w:instrText xml:space="preserve"> PAGEREF _Toc181278068 \h </w:instrText>
            </w:r>
            <w:r w:rsidR="003A1176">
              <w:rPr>
                <w:noProof/>
                <w:webHidden/>
              </w:rPr>
            </w:r>
            <w:r w:rsidR="003A1176">
              <w:rPr>
                <w:noProof/>
                <w:webHidden/>
              </w:rPr>
              <w:fldChar w:fldCharType="separate"/>
            </w:r>
            <w:r w:rsidR="00E12207">
              <w:rPr>
                <w:noProof/>
                <w:webHidden/>
              </w:rPr>
              <w:t>55</w:t>
            </w:r>
            <w:r w:rsidR="003A1176">
              <w:rPr>
                <w:noProof/>
                <w:webHidden/>
              </w:rPr>
              <w:fldChar w:fldCharType="end"/>
            </w:r>
          </w:hyperlink>
        </w:p>
        <w:p w14:paraId="1D29F180" w14:textId="6C582DAB"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69" w:history="1">
            <w:r w:rsidR="003A1176" w:rsidRPr="003337C5">
              <w:rPr>
                <w:rStyle w:val="Hyperlink"/>
                <w:noProof/>
              </w:rPr>
              <w:t>Annex 3. Contribution analysis</w:t>
            </w:r>
            <w:r w:rsidR="003A1176">
              <w:rPr>
                <w:noProof/>
                <w:webHidden/>
              </w:rPr>
              <w:tab/>
            </w:r>
            <w:r w:rsidR="003A1176">
              <w:rPr>
                <w:noProof/>
                <w:webHidden/>
              </w:rPr>
              <w:fldChar w:fldCharType="begin"/>
            </w:r>
            <w:r w:rsidR="003A1176">
              <w:rPr>
                <w:noProof/>
                <w:webHidden/>
              </w:rPr>
              <w:instrText xml:space="preserve"> PAGEREF _Toc181278069 \h </w:instrText>
            </w:r>
            <w:r w:rsidR="003A1176">
              <w:rPr>
                <w:noProof/>
                <w:webHidden/>
              </w:rPr>
            </w:r>
            <w:r w:rsidR="003A1176">
              <w:rPr>
                <w:noProof/>
                <w:webHidden/>
              </w:rPr>
              <w:fldChar w:fldCharType="separate"/>
            </w:r>
            <w:r w:rsidR="00E12207">
              <w:rPr>
                <w:noProof/>
                <w:webHidden/>
              </w:rPr>
              <w:t>58</w:t>
            </w:r>
            <w:r w:rsidR="003A1176">
              <w:rPr>
                <w:noProof/>
                <w:webHidden/>
              </w:rPr>
              <w:fldChar w:fldCharType="end"/>
            </w:r>
          </w:hyperlink>
        </w:p>
        <w:p w14:paraId="6D228201" w14:textId="37E3B0DD"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70" w:history="1">
            <w:r w:rsidR="003A1176" w:rsidRPr="003337C5">
              <w:rPr>
                <w:rStyle w:val="Hyperlink"/>
                <w:noProof/>
              </w:rPr>
              <w:t>Annex 4 Evaluation Schedule</w:t>
            </w:r>
            <w:r w:rsidR="003A1176">
              <w:rPr>
                <w:noProof/>
                <w:webHidden/>
              </w:rPr>
              <w:tab/>
            </w:r>
            <w:r w:rsidR="003A1176">
              <w:rPr>
                <w:noProof/>
                <w:webHidden/>
              </w:rPr>
              <w:fldChar w:fldCharType="begin"/>
            </w:r>
            <w:r w:rsidR="003A1176">
              <w:rPr>
                <w:noProof/>
                <w:webHidden/>
              </w:rPr>
              <w:instrText xml:space="preserve"> PAGEREF _Toc181278070 \h </w:instrText>
            </w:r>
            <w:r w:rsidR="003A1176">
              <w:rPr>
                <w:noProof/>
                <w:webHidden/>
              </w:rPr>
            </w:r>
            <w:r w:rsidR="003A1176">
              <w:rPr>
                <w:noProof/>
                <w:webHidden/>
              </w:rPr>
              <w:fldChar w:fldCharType="separate"/>
            </w:r>
            <w:r w:rsidR="00E12207">
              <w:rPr>
                <w:noProof/>
                <w:webHidden/>
              </w:rPr>
              <w:t>61</w:t>
            </w:r>
            <w:r w:rsidR="003A1176">
              <w:rPr>
                <w:noProof/>
                <w:webHidden/>
              </w:rPr>
              <w:fldChar w:fldCharType="end"/>
            </w:r>
          </w:hyperlink>
        </w:p>
        <w:p w14:paraId="5FE25DA4" w14:textId="2D513ADD"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71" w:history="1">
            <w:r w:rsidR="003A1176" w:rsidRPr="003337C5">
              <w:rPr>
                <w:rStyle w:val="Hyperlink"/>
                <w:noProof/>
              </w:rPr>
              <w:t>Annex 5 Data Collection Tools</w:t>
            </w:r>
            <w:r w:rsidR="003A1176">
              <w:rPr>
                <w:noProof/>
                <w:webHidden/>
              </w:rPr>
              <w:tab/>
            </w:r>
            <w:r w:rsidR="003A1176">
              <w:rPr>
                <w:noProof/>
                <w:webHidden/>
              </w:rPr>
              <w:fldChar w:fldCharType="begin"/>
            </w:r>
            <w:r w:rsidR="003A1176">
              <w:rPr>
                <w:noProof/>
                <w:webHidden/>
              </w:rPr>
              <w:instrText xml:space="preserve"> PAGEREF _Toc181278071 \h </w:instrText>
            </w:r>
            <w:r w:rsidR="003A1176">
              <w:rPr>
                <w:noProof/>
                <w:webHidden/>
              </w:rPr>
            </w:r>
            <w:r w:rsidR="003A1176">
              <w:rPr>
                <w:noProof/>
                <w:webHidden/>
              </w:rPr>
              <w:fldChar w:fldCharType="separate"/>
            </w:r>
            <w:r w:rsidR="00E12207">
              <w:rPr>
                <w:noProof/>
                <w:webHidden/>
              </w:rPr>
              <w:t>62</w:t>
            </w:r>
            <w:r w:rsidR="003A1176">
              <w:rPr>
                <w:noProof/>
                <w:webHidden/>
              </w:rPr>
              <w:fldChar w:fldCharType="end"/>
            </w:r>
          </w:hyperlink>
        </w:p>
        <w:p w14:paraId="0A2F5165" w14:textId="49A95B54"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72" w:history="1">
            <w:r w:rsidR="003A1176" w:rsidRPr="003337C5">
              <w:rPr>
                <w:rStyle w:val="Hyperlink"/>
                <w:rFonts w:cs="Calibri"/>
                <w:noProof/>
              </w:rPr>
              <w:t>A 5.1 Key Informant Interview checklist</w:t>
            </w:r>
            <w:r w:rsidR="003A1176">
              <w:rPr>
                <w:noProof/>
                <w:webHidden/>
              </w:rPr>
              <w:tab/>
            </w:r>
            <w:r w:rsidR="003A1176">
              <w:rPr>
                <w:noProof/>
                <w:webHidden/>
              </w:rPr>
              <w:fldChar w:fldCharType="begin"/>
            </w:r>
            <w:r w:rsidR="003A1176">
              <w:rPr>
                <w:noProof/>
                <w:webHidden/>
              </w:rPr>
              <w:instrText xml:space="preserve"> PAGEREF _Toc181278072 \h </w:instrText>
            </w:r>
            <w:r w:rsidR="003A1176">
              <w:rPr>
                <w:noProof/>
                <w:webHidden/>
              </w:rPr>
            </w:r>
            <w:r w:rsidR="003A1176">
              <w:rPr>
                <w:noProof/>
                <w:webHidden/>
              </w:rPr>
              <w:fldChar w:fldCharType="separate"/>
            </w:r>
            <w:r w:rsidR="00E12207">
              <w:rPr>
                <w:noProof/>
                <w:webHidden/>
              </w:rPr>
              <w:t>62</w:t>
            </w:r>
            <w:r w:rsidR="003A1176">
              <w:rPr>
                <w:noProof/>
                <w:webHidden/>
              </w:rPr>
              <w:fldChar w:fldCharType="end"/>
            </w:r>
          </w:hyperlink>
        </w:p>
        <w:p w14:paraId="545249FC" w14:textId="5D4EC5EC"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73" w:history="1">
            <w:r w:rsidR="003A1176" w:rsidRPr="003337C5">
              <w:rPr>
                <w:rStyle w:val="Hyperlink"/>
                <w:noProof/>
              </w:rPr>
              <w:t>A.5.2 FGDs with project beneficiaries Checklist</w:t>
            </w:r>
            <w:r w:rsidR="003A1176">
              <w:rPr>
                <w:noProof/>
                <w:webHidden/>
              </w:rPr>
              <w:tab/>
            </w:r>
            <w:r w:rsidR="003A1176">
              <w:rPr>
                <w:noProof/>
                <w:webHidden/>
              </w:rPr>
              <w:fldChar w:fldCharType="begin"/>
            </w:r>
            <w:r w:rsidR="003A1176">
              <w:rPr>
                <w:noProof/>
                <w:webHidden/>
              </w:rPr>
              <w:instrText xml:space="preserve"> PAGEREF _Toc181278073 \h </w:instrText>
            </w:r>
            <w:r w:rsidR="003A1176">
              <w:rPr>
                <w:noProof/>
                <w:webHidden/>
              </w:rPr>
            </w:r>
            <w:r w:rsidR="003A1176">
              <w:rPr>
                <w:noProof/>
                <w:webHidden/>
              </w:rPr>
              <w:fldChar w:fldCharType="separate"/>
            </w:r>
            <w:r w:rsidR="00E12207">
              <w:rPr>
                <w:noProof/>
                <w:webHidden/>
              </w:rPr>
              <w:t>63</w:t>
            </w:r>
            <w:r w:rsidR="003A1176">
              <w:rPr>
                <w:noProof/>
                <w:webHidden/>
              </w:rPr>
              <w:fldChar w:fldCharType="end"/>
            </w:r>
          </w:hyperlink>
        </w:p>
        <w:p w14:paraId="73ED2E85" w14:textId="5E4D0145"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74" w:history="1">
            <w:r w:rsidR="003A1176" w:rsidRPr="003337C5">
              <w:rPr>
                <w:rStyle w:val="Hyperlink"/>
                <w:noProof/>
              </w:rPr>
              <w:t>A.5.3 FGDs with project Implementation staff Checklist</w:t>
            </w:r>
            <w:r w:rsidR="003A1176">
              <w:rPr>
                <w:noProof/>
                <w:webHidden/>
              </w:rPr>
              <w:tab/>
            </w:r>
            <w:r w:rsidR="003A1176">
              <w:rPr>
                <w:noProof/>
                <w:webHidden/>
              </w:rPr>
              <w:fldChar w:fldCharType="begin"/>
            </w:r>
            <w:r w:rsidR="003A1176">
              <w:rPr>
                <w:noProof/>
                <w:webHidden/>
              </w:rPr>
              <w:instrText xml:space="preserve"> PAGEREF _Toc181278074 \h </w:instrText>
            </w:r>
            <w:r w:rsidR="003A1176">
              <w:rPr>
                <w:noProof/>
                <w:webHidden/>
              </w:rPr>
            </w:r>
            <w:r w:rsidR="003A1176">
              <w:rPr>
                <w:noProof/>
                <w:webHidden/>
              </w:rPr>
              <w:fldChar w:fldCharType="separate"/>
            </w:r>
            <w:r w:rsidR="00E12207">
              <w:rPr>
                <w:noProof/>
                <w:webHidden/>
              </w:rPr>
              <w:t>63</w:t>
            </w:r>
            <w:r w:rsidR="003A1176">
              <w:rPr>
                <w:noProof/>
                <w:webHidden/>
              </w:rPr>
              <w:fldChar w:fldCharType="end"/>
            </w:r>
          </w:hyperlink>
        </w:p>
        <w:p w14:paraId="6D1EACAF" w14:textId="4F8CCCD4"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75" w:history="1">
            <w:r w:rsidR="003A1176" w:rsidRPr="003337C5">
              <w:rPr>
                <w:rStyle w:val="Hyperlink"/>
                <w:rFonts w:cs="Calibri"/>
                <w:noProof/>
              </w:rPr>
              <w:t>A.5.4 Survey Questionnaire for Project Beneficiaries</w:t>
            </w:r>
            <w:r w:rsidR="003A1176">
              <w:rPr>
                <w:noProof/>
                <w:webHidden/>
              </w:rPr>
              <w:tab/>
            </w:r>
            <w:r w:rsidR="003A1176">
              <w:rPr>
                <w:noProof/>
                <w:webHidden/>
              </w:rPr>
              <w:fldChar w:fldCharType="begin"/>
            </w:r>
            <w:r w:rsidR="003A1176">
              <w:rPr>
                <w:noProof/>
                <w:webHidden/>
              </w:rPr>
              <w:instrText xml:space="preserve"> PAGEREF _Toc181278075 \h </w:instrText>
            </w:r>
            <w:r w:rsidR="003A1176">
              <w:rPr>
                <w:noProof/>
                <w:webHidden/>
              </w:rPr>
            </w:r>
            <w:r w:rsidR="003A1176">
              <w:rPr>
                <w:noProof/>
                <w:webHidden/>
              </w:rPr>
              <w:fldChar w:fldCharType="separate"/>
            </w:r>
            <w:r w:rsidR="00E12207">
              <w:rPr>
                <w:noProof/>
                <w:webHidden/>
              </w:rPr>
              <w:t>64</w:t>
            </w:r>
            <w:r w:rsidR="003A1176">
              <w:rPr>
                <w:noProof/>
                <w:webHidden/>
              </w:rPr>
              <w:fldChar w:fldCharType="end"/>
            </w:r>
          </w:hyperlink>
        </w:p>
        <w:p w14:paraId="4CD3A5E4" w14:textId="072894C3" w:rsidR="003A1176" w:rsidRDefault="00234B5F">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181278076" w:history="1">
            <w:r w:rsidR="003A1176" w:rsidRPr="003337C5">
              <w:rPr>
                <w:rStyle w:val="Hyperlink"/>
                <w:rFonts w:cs="Calibri"/>
                <w:noProof/>
              </w:rPr>
              <w:t>A</w:t>
            </w:r>
            <w:r w:rsidR="003A1176" w:rsidRPr="003337C5">
              <w:rPr>
                <w:rStyle w:val="Hyperlink"/>
                <w:rFonts w:cs="Calibri"/>
                <w:bCs/>
                <w:noProof/>
              </w:rPr>
              <w:t>.5.5 Survey Questionnaire for Technical Staff Involved in Project Interventions</w:t>
            </w:r>
            <w:r w:rsidR="003A1176">
              <w:rPr>
                <w:noProof/>
                <w:webHidden/>
              </w:rPr>
              <w:tab/>
            </w:r>
            <w:r w:rsidR="003A1176">
              <w:rPr>
                <w:noProof/>
                <w:webHidden/>
              </w:rPr>
              <w:fldChar w:fldCharType="begin"/>
            </w:r>
            <w:r w:rsidR="003A1176">
              <w:rPr>
                <w:noProof/>
                <w:webHidden/>
              </w:rPr>
              <w:instrText xml:space="preserve"> PAGEREF _Toc181278076 \h </w:instrText>
            </w:r>
            <w:r w:rsidR="003A1176">
              <w:rPr>
                <w:noProof/>
                <w:webHidden/>
              </w:rPr>
            </w:r>
            <w:r w:rsidR="003A1176">
              <w:rPr>
                <w:noProof/>
                <w:webHidden/>
              </w:rPr>
              <w:fldChar w:fldCharType="separate"/>
            </w:r>
            <w:r w:rsidR="00E12207">
              <w:rPr>
                <w:noProof/>
                <w:webHidden/>
              </w:rPr>
              <w:t>67</w:t>
            </w:r>
            <w:r w:rsidR="003A1176">
              <w:rPr>
                <w:noProof/>
                <w:webHidden/>
              </w:rPr>
              <w:fldChar w:fldCharType="end"/>
            </w:r>
          </w:hyperlink>
        </w:p>
        <w:p w14:paraId="6E900074" w14:textId="3CBBA31B" w:rsidR="003A1176" w:rsidRDefault="00234B5F">
          <w:pPr>
            <w:pStyle w:val="TOC2"/>
            <w:rPr>
              <w:rFonts w:asciiTheme="minorHAnsi" w:eastAsiaTheme="minorEastAsia" w:hAnsiTheme="minorHAnsi" w:cstheme="minorBidi"/>
              <w:noProof/>
              <w:color w:val="auto"/>
              <w:kern w:val="2"/>
              <w:sz w:val="24"/>
              <w:szCs w:val="24"/>
              <w:lang w:val="en-AU" w:eastAsia="en-AU"/>
              <w14:ligatures w14:val="standardContextual"/>
            </w:rPr>
          </w:pPr>
          <w:hyperlink w:anchor="_Toc181278077" w:history="1">
            <w:r w:rsidR="003A1176" w:rsidRPr="003337C5">
              <w:rPr>
                <w:rStyle w:val="Hyperlink"/>
                <w:noProof/>
              </w:rPr>
              <w:t>Annex 6 Lists of Interview respondents</w:t>
            </w:r>
            <w:r w:rsidR="003A1176">
              <w:rPr>
                <w:noProof/>
                <w:webHidden/>
              </w:rPr>
              <w:tab/>
            </w:r>
            <w:r w:rsidR="003A1176">
              <w:rPr>
                <w:noProof/>
                <w:webHidden/>
              </w:rPr>
              <w:fldChar w:fldCharType="begin"/>
            </w:r>
            <w:r w:rsidR="003A1176">
              <w:rPr>
                <w:noProof/>
                <w:webHidden/>
              </w:rPr>
              <w:instrText xml:space="preserve"> PAGEREF _Toc181278077 \h </w:instrText>
            </w:r>
            <w:r w:rsidR="003A1176">
              <w:rPr>
                <w:noProof/>
                <w:webHidden/>
              </w:rPr>
            </w:r>
            <w:r w:rsidR="003A1176">
              <w:rPr>
                <w:noProof/>
                <w:webHidden/>
              </w:rPr>
              <w:fldChar w:fldCharType="separate"/>
            </w:r>
            <w:r w:rsidR="00E12207">
              <w:rPr>
                <w:noProof/>
                <w:webHidden/>
              </w:rPr>
              <w:t>72</w:t>
            </w:r>
            <w:r w:rsidR="003A1176">
              <w:rPr>
                <w:noProof/>
                <w:webHidden/>
              </w:rPr>
              <w:fldChar w:fldCharType="end"/>
            </w:r>
          </w:hyperlink>
        </w:p>
        <w:p w14:paraId="61A316CB" w14:textId="256E602C" w:rsidR="00CC2891" w:rsidRDefault="00CC2891">
          <w:r>
            <w:rPr>
              <w:b/>
              <w:bCs/>
              <w:noProof/>
            </w:rPr>
            <w:fldChar w:fldCharType="end"/>
          </w:r>
        </w:p>
      </w:sdtContent>
    </w:sdt>
    <w:p w14:paraId="636F5D88" w14:textId="04180297" w:rsidR="00CC6401" w:rsidRPr="00A4536F" w:rsidRDefault="00CC6401" w:rsidP="00CC6401">
      <w:pPr>
        <w:rPr>
          <w:b/>
          <w:bCs/>
          <w:szCs w:val="18"/>
        </w:rPr>
      </w:pPr>
      <w:r w:rsidRPr="00A4536F">
        <w:rPr>
          <w:b/>
          <w:bCs/>
          <w:szCs w:val="18"/>
        </w:rPr>
        <w:t>List of Tables</w:t>
      </w:r>
    </w:p>
    <w:p w14:paraId="66F54EA0" w14:textId="211DD005" w:rsidR="00EC1395" w:rsidRPr="00A4536F" w:rsidRDefault="069ED565" w:rsidP="460E68A0">
      <w:pPr>
        <w:pStyle w:val="TableofFigures"/>
        <w:rPr>
          <w:rFonts w:eastAsiaTheme="minorEastAsia" w:cs="Calibri"/>
          <w:color w:val="auto"/>
          <w:kern w:val="2"/>
          <w:sz w:val="18"/>
          <w:szCs w:val="18"/>
          <w:lang w:eastAsia="zh-TW"/>
          <w14:ligatures w14:val="standardContextual"/>
        </w:rPr>
      </w:pPr>
      <w:r w:rsidRPr="00A4536F">
        <w:rPr>
          <w:rFonts w:cs="Calibri"/>
          <w:color w:val="auto"/>
          <w:sz w:val="18"/>
          <w:szCs w:val="18"/>
        </w:rPr>
        <w:t>Table 1: AHP Evaluation Sample Matrix……………………………………………………………………………………</w:t>
      </w:r>
      <w:r w:rsidR="00563515">
        <w:rPr>
          <w:rFonts w:cs="Calibri"/>
          <w:color w:val="auto"/>
          <w:sz w:val="18"/>
          <w:szCs w:val="18"/>
        </w:rPr>
        <w:t>…</w:t>
      </w:r>
      <w:r w:rsidRPr="00A4536F">
        <w:rPr>
          <w:rFonts w:cs="Calibri"/>
          <w:color w:val="auto"/>
          <w:sz w:val="18"/>
          <w:szCs w:val="18"/>
        </w:rPr>
        <w:t>………</w:t>
      </w:r>
      <w:r w:rsidR="00EC1395" w:rsidRPr="00A4536F">
        <w:rPr>
          <w:rFonts w:cs="Calibri"/>
          <w:color w:val="auto"/>
          <w:sz w:val="18"/>
          <w:szCs w:val="18"/>
        </w:rPr>
        <w:fldChar w:fldCharType="begin"/>
      </w:r>
      <w:r w:rsidR="00EC1395" w:rsidRPr="00A4536F">
        <w:rPr>
          <w:rFonts w:cs="Calibri"/>
          <w:color w:val="auto"/>
          <w:sz w:val="18"/>
          <w:szCs w:val="18"/>
        </w:rPr>
        <w:instrText xml:space="preserve"> PAGEREF _Toc170415432 \h </w:instrText>
      </w:r>
      <w:r w:rsidR="00EC1395" w:rsidRPr="00A4536F">
        <w:rPr>
          <w:rFonts w:cs="Calibri"/>
          <w:color w:val="auto"/>
          <w:sz w:val="18"/>
          <w:szCs w:val="18"/>
        </w:rPr>
      </w:r>
      <w:r w:rsidR="00EC1395" w:rsidRPr="00A4536F">
        <w:rPr>
          <w:rFonts w:cs="Calibri"/>
          <w:color w:val="auto"/>
          <w:sz w:val="18"/>
          <w:szCs w:val="18"/>
        </w:rPr>
        <w:fldChar w:fldCharType="separate"/>
      </w:r>
      <w:r w:rsidR="00E12207">
        <w:rPr>
          <w:rFonts w:cs="Calibri"/>
          <w:noProof/>
          <w:color w:val="auto"/>
          <w:sz w:val="18"/>
          <w:szCs w:val="18"/>
        </w:rPr>
        <w:t>9</w:t>
      </w:r>
      <w:r w:rsidR="00EC1395" w:rsidRPr="00A4536F">
        <w:rPr>
          <w:rFonts w:cs="Calibri"/>
          <w:color w:val="auto"/>
          <w:sz w:val="18"/>
          <w:szCs w:val="18"/>
        </w:rPr>
        <w:fldChar w:fldCharType="end"/>
      </w:r>
    </w:p>
    <w:p w14:paraId="6BD646E2" w14:textId="25FBACC2" w:rsidR="00EC1395" w:rsidRPr="00A4536F" w:rsidRDefault="00234B5F" w:rsidP="460E68A0">
      <w:pPr>
        <w:pStyle w:val="TableofFigures"/>
        <w:rPr>
          <w:rFonts w:eastAsiaTheme="minorEastAsia" w:cs="Calibri"/>
          <w:color w:val="auto"/>
          <w:kern w:val="2"/>
          <w:sz w:val="18"/>
          <w:szCs w:val="18"/>
          <w:lang w:eastAsia="zh-TW"/>
          <w14:ligatures w14:val="standardContextual"/>
        </w:rPr>
      </w:pPr>
      <w:hyperlink w:anchor="_Toc170415433" w:history="1">
        <w:r w:rsidR="069ED565" w:rsidRPr="00A4536F">
          <w:rPr>
            <w:rStyle w:val="Hyperlink"/>
            <w:rFonts w:cs="Calibri"/>
            <w:color w:val="auto"/>
            <w:sz w:val="18"/>
            <w:szCs w:val="18"/>
            <w:u w:val="none"/>
          </w:rPr>
          <w:t>Table 2: Key informants Interviews by category, by region………………………………………</w:t>
        </w:r>
        <w:r w:rsidR="00563515">
          <w:rPr>
            <w:rStyle w:val="Hyperlink"/>
            <w:rFonts w:cs="Calibri"/>
            <w:color w:val="auto"/>
            <w:sz w:val="18"/>
            <w:szCs w:val="18"/>
            <w:u w:val="none"/>
          </w:rPr>
          <w:t>.</w:t>
        </w:r>
        <w:r w:rsidR="069ED565" w:rsidRPr="00A4536F">
          <w:rPr>
            <w:rStyle w:val="Hyperlink"/>
            <w:rFonts w:cs="Calibri"/>
            <w:color w:val="auto"/>
            <w:sz w:val="18"/>
            <w:szCs w:val="18"/>
            <w:u w:val="none"/>
          </w:rPr>
          <w:t>……………………</w:t>
        </w:r>
        <w:r w:rsidR="00EC1395" w:rsidRPr="00A4536F">
          <w:rPr>
            <w:rFonts w:cs="Calibri"/>
            <w:color w:val="auto"/>
            <w:sz w:val="18"/>
            <w:szCs w:val="18"/>
          </w:rPr>
          <w:fldChar w:fldCharType="begin"/>
        </w:r>
        <w:r w:rsidR="00EC1395" w:rsidRPr="00A4536F">
          <w:rPr>
            <w:rFonts w:cs="Calibri"/>
            <w:color w:val="auto"/>
            <w:sz w:val="18"/>
            <w:szCs w:val="18"/>
          </w:rPr>
          <w:instrText xml:space="preserve"> PAGEREF _Toc170415433 \h </w:instrText>
        </w:r>
        <w:r w:rsidR="00EC1395" w:rsidRPr="00A4536F">
          <w:rPr>
            <w:rFonts w:cs="Calibri"/>
            <w:color w:val="auto"/>
            <w:sz w:val="18"/>
            <w:szCs w:val="18"/>
          </w:rPr>
        </w:r>
        <w:r w:rsidR="00EC1395" w:rsidRPr="00A4536F">
          <w:rPr>
            <w:rFonts w:cs="Calibri"/>
            <w:color w:val="auto"/>
            <w:sz w:val="18"/>
            <w:szCs w:val="18"/>
          </w:rPr>
          <w:fldChar w:fldCharType="separate"/>
        </w:r>
        <w:r w:rsidR="00E12207">
          <w:rPr>
            <w:rFonts w:cs="Calibri"/>
            <w:noProof/>
            <w:color w:val="auto"/>
            <w:sz w:val="18"/>
            <w:szCs w:val="18"/>
          </w:rPr>
          <w:t>10</w:t>
        </w:r>
        <w:r w:rsidR="00EC1395" w:rsidRPr="00A4536F">
          <w:rPr>
            <w:rFonts w:cs="Calibri"/>
            <w:color w:val="auto"/>
            <w:sz w:val="18"/>
            <w:szCs w:val="18"/>
          </w:rPr>
          <w:fldChar w:fldCharType="end"/>
        </w:r>
      </w:hyperlink>
    </w:p>
    <w:p w14:paraId="166A487C" w14:textId="241D5DB1" w:rsidR="00EC1395" w:rsidRPr="00A4536F" w:rsidRDefault="00234B5F" w:rsidP="460E68A0">
      <w:pPr>
        <w:pStyle w:val="TableofFigures"/>
        <w:rPr>
          <w:rFonts w:eastAsiaTheme="minorEastAsia" w:cs="Calibri"/>
          <w:color w:val="auto"/>
          <w:kern w:val="2"/>
          <w:sz w:val="18"/>
          <w:szCs w:val="18"/>
          <w:lang w:eastAsia="zh-TW"/>
          <w14:ligatures w14:val="standardContextual"/>
        </w:rPr>
      </w:pPr>
      <w:hyperlink w:anchor="_Toc170415434" w:history="1">
        <w:r w:rsidR="069ED565" w:rsidRPr="00A4536F">
          <w:rPr>
            <w:rStyle w:val="Hyperlink"/>
            <w:rFonts w:cs="Calibri"/>
            <w:color w:val="auto"/>
            <w:sz w:val="18"/>
            <w:szCs w:val="18"/>
            <w:u w:val="none"/>
          </w:rPr>
          <w:t>Table 3: Number of participants in FGDs and number of FGDs conducted by project region in parenthesis………………………………………………………………………………………………………………………………………….</w:t>
        </w:r>
        <w:r w:rsidR="00EC1395" w:rsidRPr="00A4536F">
          <w:rPr>
            <w:rFonts w:cs="Calibri"/>
            <w:color w:val="auto"/>
            <w:sz w:val="18"/>
            <w:szCs w:val="18"/>
          </w:rPr>
          <w:fldChar w:fldCharType="begin"/>
        </w:r>
        <w:r w:rsidR="00EC1395" w:rsidRPr="00A4536F">
          <w:rPr>
            <w:rFonts w:cs="Calibri"/>
            <w:color w:val="auto"/>
            <w:sz w:val="18"/>
            <w:szCs w:val="18"/>
          </w:rPr>
          <w:instrText xml:space="preserve"> PAGEREF _Toc170415434 \h </w:instrText>
        </w:r>
        <w:r w:rsidR="00EC1395" w:rsidRPr="00A4536F">
          <w:rPr>
            <w:rFonts w:cs="Calibri"/>
            <w:color w:val="auto"/>
            <w:sz w:val="18"/>
            <w:szCs w:val="18"/>
          </w:rPr>
        </w:r>
        <w:r w:rsidR="00EC1395" w:rsidRPr="00A4536F">
          <w:rPr>
            <w:rFonts w:cs="Calibri"/>
            <w:color w:val="auto"/>
            <w:sz w:val="18"/>
            <w:szCs w:val="18"/>
          </w:rPr>
          <w:fldChar w:fldCharType="separate"/>
        </w:r>
        <w:r w:rsidR="00E12207">
          <w:rPr>
            <w:rFonts w:cs="Calibri"/>
            <w:noProof/>
            <w:color w:val="auto"/>
            <w:sz w:val="18"/>
            <w:szCs w:val="18"/>
          </w:rPr>
          <w:t>10</w:t>
        </w:r>
        <w:r w:rsidR="00EC1395" w:rsidRPr="00A4536F">
          <w:rPr>
            <w:rFonts w:cs="Calibri"/>
            <w:color w:val="auto"/>
            <w:sz w:val="18"/>
            <w:szCs w:val="18"/>
          </w:rPr>
          <w:fldChar w:fldCharType="end"/>
        </w:r>
      </w:hyperlink>
    </w:p>
    <w:p w14:paraId="066B849B" w14:textId="36ED9A16" w:rsidR="00EC1395" w:rsidRDefault="069ED565" w:rsidP="00EC1395">
      <w:pPr>
        <w:pStyle w:val="TableofFigures"/>
        <w:rPr>
          <w:rFonts w:cs="Calibri"/>
          <w:color w:val="auto"/>
          <w:sz w:val="18"/>
          <w:szCs w:val="18"/>
        </w:rPr>
      </w:pPr>
      <w:r w:rsidRPr="00A4536F">
        <w:rPr>
          <w:rFonts w:cs="Calibri"/>
          <w:color w:val="auto"/>
          <w:sz w:val="18"/>
          <w:szCs w:val="18"/>
        </w:rPr>
        <w:t>Table 4: Survey for</w:t>
      </w:r>
      <w:r w:rsidR="497BB0F5" w:rsidRPr="00A4536F">
        <w:rPr>
          <w:rFonts w:cs="Calibri"/>
          <w:color w:val="auto"/>
          <w:sz w:val="18"/>
          <w:szCs w:val="18"/>
        </w:rPr>
        <w:t xml:space="preserve"> </w:t>
      </w:r>
      <w:r w:rsidRPr="00A4536F">
        <w:rPr>
          <w:rFonts w:cs="Calibri"/>
          <w:color w:val="auto"/>
          <w:sz w:val="18"/>
          <w:szCs w:val="18"/>
        </w:rPr>
        <w:t>Beneficiaries………………………………………………………………………………………………</w:t>
      </w:r>
      <w:r w:rsidR="00563515">
        <w:rPr>
          <w:rFonts w:cs="Calibri"/>
          <w:color w:val="auto"/>
          <w:sz w:val="18"/>
          <w:szCs w:val="18"/>
        </w:rPr>
        <w:t>.</w:t>
      </w:r>
      <w:r w:rsidRPr="00A4536F">
        <w:rPr>
          <w:rFonts w:cs="Calibri"/>
          <w:color w:val="auto"/>
          <w:sz w:val="18"/>
          <w:szCs w:val="18"/>
        </w:rPr>
        <w:t>………</w:t>
      </w:r>
      <w:r w:rsidR="00EC1395" w:rsidRPr="00A4536F">
        <w:rPr>
          <w:rFonts w:cs="Calibri"/>
          <w:color w:val="auto"/>
          <w:sz w:val="18"/>
          <w:szCs w:val="18"/>
        </w:rPr>
        <w:fldChar w:fldCharType="begin"/>
      </w:r>
      <w:r w:rsidR="00EC1395" w:rsidRPr="00A4536F">
        <w:rPr>
          <w:rFonts w:cs="Calibri"/>
          <w:color w:val="auto"/>
          <w:sz w:val="18"/>
          <w:szCs w:val="18"/>
        </w:rPr>
        <w:instrText xml:space="preserve"> PAGEREF _Toc170415435 \h </w:instrText>
      </w:r>
      <w:r w:rsidR="00EC1395" w:rsidRPr="00A4536F">
        <w:rPr>
          <w:rFonts w:cs="Calibri"/>
          <w:color w:val="auto"/>
          <w:sz w:val="18"/>
          <w:szCs w:val="18"/>
        </w:rPr>
      </w:r>
      <w:r w:rsidR="00EC1395" w:rsidRPr="00A4536F">
        <w:rPr>
          <w:rFonts w:cs="Calibri"/>
          <w:color w:val="auto"/>
          <w:sz w:val="18"/>
          <w:szCs w:val="18"/>
        </w:rPr>
        <w:fldChar w:fldCharType="separate"/>
      </w:r>
      <w:r w:rsidR="00E12207">
        <w:rPr>
          <w:rFonts w:cs="Calibri"/>
          <w:noProof/>
          <w:color w:val="auto"/>
          <w:sz w:val="18"/>
          <w:szCs w:val="18"/>
        </w:rPr>
        <w:t>11</w:t>
      </w:r>
      <w:r w:rsidR="00EC1395" w:rsidRPr="00A4536F">
        <w:rPr>
          <w:rFonts w:cs="Calibri"/>
          <w:color w:val="auto"/>
          <w:sz w:val="18"/>
          <w:szCs w:val="18"/>
        </w:rPr>
        <w:fldChar w:fldCharType="end"/>
      </w:r>
    </w:p>
    <w:p w14:paraId="061602A6" w14:textId="35270ED8" w:rsidR="00043F39" w:rsidRDefault="00234B5F" w:rsidP="460E68A0">
      <w:pPr>
        <w:pStyle w:val="Footer"/>
        <w:rPr>
          <w:rFonts w:cs="Calibri"/>
          <w:color w:val="auto"/>
        </w:rPr>
      </w:pPr>
      <w:hyperlink w:anchor="_Toc170415435">
        <w:r w:rsidR="06AE83E9" w:rsidRPr="460E68A0">
          <w:rPr>
            <w:rStyle w:val="Hyperlink"/>
            <w:rFonts w:cs="Calibri"/>
            <w:color w:val="auto"/>
            <w:u w:val="none"/>
          </w:rPr>
          <w:t xml:space="preserve">Table 5: </w:t>
        </w:r>
        <w:r w:rsidR="39A49D69" w:rsidRPr="460E68A0">
          <w:rPr>
            <w:rStyle w:val="Hyperlink"/>
            <w:rFonts w:cs="Calibri"/>
            <w:color w:val="auto"/>
            <w:u w:val="none"/>
          </w:rPr>
          <w:t>Beneficiary satisfaction with project communication and feedback</w:t>
        </w:r>
        <w:r w:rsidR="00983F9C">
          <w:rPr>
            <w:rStyle w:val="Hyperlink"/>
            <w:rFonts w:cs="Calibri"/>
            <w:color w:val="auto"/>
            <w:u w:val="none"/>
          </w:rPr>
          <w:t xml:space="preserve"> </w:t>
        </w:r>
        <w:r w:rsidR="39A49D69" w:rsidRPr="460E68A0">
          <w:rPr>
            <w:rStyle w:val="Hyperlink"/>
            <w:rFonts w:cs="Calibri"/>
            <w:color w:val="auto"/>
            <w:u w:val="none"/>
          </w:rPr>
          <w:t>measures…………</w:t>
        </w:r>
        <w:proofErr w:type="gramStart"/>
        <w:r w:rsidR="39A49D69" w:rsidRPr="460E68A0">
          <w:rPr>
            <w:rStyle w:val="Hyperlink"/>
            <w:rFonts w:cs="Calibri"/>
            <w:color w:val="auto"/>
            <w:u w:val="none"/>
          </w:rPr>
          <w:t>…</w:t>
        </w:r>
        <w:r w:rsidR="00563515">
          <w:rPr>
            <w:rStyle w:val="Hyperlink"/>
            <w:rFonts w:cs="Calibri"/>
            <w:color w:val="auto"/>
            <w:u w:val="none"/>
          </w:rPr>
          <w:t>.</w:t>
        </w:r>
        <w:r w:rsidR="00983F9C">
          <w:rPr>
            <w:rStyle w:val="Hyperlink"/>
            <w:rFonts w:cs="Calibri"/>
            <w:color w:val="auto"/>
            <w:u w:val="none"/>
          </w:rPr>
          <w:t>.</w:t>
        </w:r>
        <w:proofErr w:type="gramEnd"/>
        <w:r w:rsidR="39A49D69" w:rsidRPr="460E68A0">
          <w:rPr>
            <w:rStyle w:val="Hyperlink"/>
            <w:rFonts w:cs="Calibri"/>
            <w:color w:val="auto"/>
            <w:u w:val="none"/>
          </w:rPr>
          <w:t>…</w:t>
        </w:r>
        <w:r w:rsidR="39064EEC" w:rsidRPr="460E68A0">
          <w:rPr>
            <w:rStyle w:val="Hyperlink"/>
            <w:rFonts w:cs="Calibri"/>
            <w:color w:val="auto"/>
            <w:u w:val="none"/>
          </w:rPr>
          <w:t>.</w:t>
        </w:r>
        <w:r w:rsidR="39A49D69" w:rsidRPr="460E68A0">
          <w:rPr>
            <w:rFonts w:cs="Calibri"/>
            <w:color w:val="auto"/>
          </w:rPr>
          <w:t>30</w:t>
        </w:r>
      </w:hyperlink>
    </w:p>
    <w:p w14:paraId="4F57D978" w14:textId="3B31708F" w:rsidR="000525D1" w:rsidRPr="00043F39" w:rsidRDefault="39A49D69" w:rsidP="00B94254">
      <w:pPr>
        <w:pStyle w:val="Footer"/>
        <w:spacing w:after="240"/>
      </w:pPr>
      <w:r w:rsidRPr="460E68A0">
        <w:rPr>
          <w:rFonts w:cs="Calibri"/>
          <w:color w:val="auto"/>
        </w:rPr>
        <w:t>Table 6: Effectiveness of FSL project supporting and using local systems……………………………………</w:t>
      </w:r>
      <w:r w:rsidR="00563515">
        <w:rPr>
          <w:rFonts w:cs="Calibri"/>
          <w:color w:val="auto"/>
        </w:rPr>
        <w:t>…</w:t>
      </w:r>
      <w:r w:rsidR="2705E1A7" w:rsidRPr="460E68A0">
        <w:rPr>
          <w:rFonts w:cs="Calibri"/>
          <w:color w:val="auto"/>
        </w:rPr>
        <w:t>31</w:t>
      </w:r>
    </w:p>
    <w:p w14:paraId="6085148F" w14:textId="77777777" w:rsidR="00EC1395" w:rsidRPr="00A4536F" w:rsidRDefault="00EC1395" w:rsidP="00EC1395">
      <w:pPr>
        <w:rPr>
          <w:rFonts w:cs="Calibri"/>
          <w:b/>
          <w:bCs/>
          <w:color w:val="auto"/>
          <w:szCs w:val="18"/>
        </w:rPr>
      </w:pPr>
      <w:r w:rsidRPr="00A4536F">
        <w:rPr>
          <w:rFonts w:cs="Calibri"/>
          <w:b/>
          <w:bCs/>
          <w:color w:val="auto"/>
          <w:szCs w:val="18"/>
        </w:rPr>
        <w:t>List of Figures</w:t>
      </w:r>
    </w:p>
    <w:p w14:paraId="6C728CFC" w14:textId="456F2792" w:rsidR="00EC1395" w:rsidRPr="00A4536F" w:rsidRDefault="00EC1395" w:rsidP="460E68A0">
      <w:pPr>
        <w:pStyle w:val="TableofFigures"/>
        <w:rPr>
          <w:rFonts w:eastAsiaTheme="minorEastAsia" w:cs="Calibri"/>
          <w:noProof/>
          <w:color w:val="auto"/>
          <w:kern w:val="2"/>
          <w:sz w:val="18"/>
          <w:szCs w:val="18"/>
          <w:lang w:eastAsia="zh-TW"/>
          <w14:ligatures w14:val="standardContextual"/>
        </w:rPr>
      </w:pPr>
      <w:r w:rsidRPr="00A4536F">
        <w:rPr>
          <w:rFonts w:cs="Calibri"/>
          <w:b/>
          <w:bCs/>
          <w:color w:val="auto"/>
          <w:sz w:val="18"/>
          <w:szCs w:val="18"/>
        </w:rPr>
        <w:fldChar w:fldCharType="begin"/>
      </w:r>
      <w:r w:rsidRPr="00A4536F">
        <w:rPr>
          <w:rFonts w:cs="Calibri"/>
          <w:b/>
          <w:bCs/>
          <w:color w:val="auto"/>
          <w:sz w:val="18"/>
          <w:szCs w:val="18"/>
        </w:rPr>
        <w:instrText xml:space="preserve"> TOC \h \z \c "Figure" </w:instrText>
      </w:r>
      <w:r w:rsidRPr="00A4536F">
        <w:rPr>
          <w:rFonts w:cs="Calibri"/>
          <w:b/>
          <w:bCs/>
          <w:color w:val="auto"/>
          <w:sz w:val="18"/>
          <w:szCs w:val="18"/>
        </w:rPr>
        <w:fldChar w:fldCharType="separate"/>
      </w:r>
      <w:hyperlink w:anchor="_Toc170415437" w:history="1">
        <w:r w:rsidR="069ED565" w:rsidRPr="00A4536F">
          <w:rPr>
            <w:rStyle w:val="Hyperlink"/>
            <w:rFonts w:cs="Calibri"/>
            <w:noProof/>
            <w:color w:val="auto"/>
            <w:sz w:val="18"/>
            <w:szCs w:val="18"/>
          </w:rPr>
          <w:t>Figure 1: Map of Ethiopia showing target regions and implementing organisations…………………………</w:t>
        </w:r>
        <w:r w:rsidRPr="00A4536F">
          <w:rPr>
            <w:rFonts w:cs="Calibri"/>
            <w:noProof/>
            <w:color w:val="auto"/>
            <w:sz w:val="18"/>
            <w:szCs w:val="18"/>
          </w:rPr>
          <w:tab/>
        </w:r>
        <w:r w:rsidRPr="00A4536F">
          <w:rPr>
            <w:rFonts w:cs="Calibri"/>
            <w:noProof/>
            <w:color w:val="auto"/>
            <w:sz w:val="18"/>
            <w:szCs w:val="18"/>
          </w:rPr>
          <w:fldChar w:fldCharType="begin"/>
        </w:r>
        <w:r w:rsidRPr="00A4536F">
          <w:rPr>
            <w:rFonts w:cs="Calibri"/>
            <w:noProof/>
            <w:color w:val="auto"/>
            <w:sz w:val="18"/>
            <w:szCs w:val="18"/>
          </w:rPr>
          <w:instrText xml:space="preserve"> PAGEREF _Toc170415437 \h </w:instrText>
        </w:r>
        <w:r w:rsidRPr="00A4536F">
          <w:rPr>
            <w:rFonts w:cs="Calibri"/>
            <w:noProof/>
            <w:color w:val="auto"/>
            <w:sz w:val="18"/>
            <w:szCs w:val="18"/>
          </w:rPr>
        </w:r>
        <w:r w:rsidRPr="00A4536F">
          <w:rPr>
            <w:rFonts w:cs="Calibri"/>
            <w:noProof/>
            <w:color w:val="auto"/>
            <w:sz w:val="18"/>
            <w:szCs w:val="18"/>
          </w:rPr>
          <w:fldChar w:fldCharType="separate"/>
        </w:r>
        <w:r w:rsidR="00E12207">
          <w:rPr>
            <w:rFonts w:cs="Calibri"/>
            <w:noProof/>
            <w:color w:val="auto"/>
            <w:sz w:val="18"/>
            <w:szCs w:val="18"/>
          </w:rPr>
          <w:t>6</w:t>
        </w:r>
        <w:r w:rsidRPr="00A4536F">
          <w:rPr>
            <w:rFonts w:cs="Calibri"/>
            <w:noProof/>
            <w:color w:val="auto"/>
            <w:sz w:val="18"/>
            <w:szCs w:val="18"/>
          </w:rPr>
          <w:fldChar w:fldCharType="end"/>
        </w:r>
      </w:hyperlink>
    </w:p>
    <w:p w14:paraId="019793FD" w14:textId="4AC6826E" w:rsidR="00EC1395" w:rsidRPr="00A4536F" w:rsidRDefault="00234B5F" w:rsidP="00EC1395">
      <w:pPr>
        <w:pStyle w:val="TableofFigures"/>
        <w:rPr>
          <w:rFonts w:eastAsiaTheme="minorEastAsia" w:cs="Calibri"/>
          <w:noProof/>
          <w:color w:val="auto"/>
          <w:kern w:val="2"/>
          <w:sz w:val="18"/>
          <w:szCs w:val="18"/>
          <w:lang w:eastAsia="zh-TW"/>
          <w14:ligatures w14:val="standardContextual"/>
        </w:rPr>
      </w:pPr>
      <w:hyperlink w:anchor="_Toc170415438" w:history="1">
        <w:r w:rsidR="00EC1395" w:rsidRPr="00A4536F">
          <w:rPr>
            <w:rStyle w:val="Hyperlink"/>
            <w:rFonts w:cs="Calibri"/>
            <w:noProof/>
            <w:color w:val="auto"/>
            <w:sz w:val="18"/>
            <w:szCs w:val="18"/>
          </w:rPr>
          <w:t>Figure 2: Map of Kenya showing intervention sites…………………………………………………………………………….</w:t>
        </w:r>
        <w:r w:rsidR="00EC1395" w:rsidRPr="00A4536F">
          <w:rPr>
            <w:rFonts w:cs="Calibri"/>
            <w:noProof/>
            <w:color w:val="auto"/>
            <w:sz w:val="18"/>
            <w:szCs w:val="18"/>
          </w:rPr>
          <w:tab/>
        </w:r>
        <w:r w:rsidR="00EC1395" w:rsidRPr="00A4536F">
          <w:rPr>
            <w:rFonts w:cs="Calibri"/>
            <w:noProof/>
            <w:color w:val="auto"/>
            <w:sz w:val="18"/>
            <w:szCs w:val="18"/>
          </w:rPr>
          <w:fldChar w:fldCharType="begin"/>
        </w:r>
        <w:r w:rsidR="00EC1395" w:rsidRPr="00A4536F">
          <w:rPr>
            <w:rFonts w:cs="Calibri"/>
            <w:noProof/>
            <w:color w:val="auto"/>
            <w:sz w:val="18"/>
            <w:szCs w:val="18"/>
          </w:rPr>
          <w:instrText xml:space="preserve"> PAGEREF _Toc170415438 \h </w:instrText>
        </w:r>
        <w:r w:rsidR="00EC1395" w:rsidRPr="00A4536F">
          <w:rPr>
            <w:rFonts w:cs="Calibri"/>
            <w:noProof/>
            <w:color w:val="auto"/>
            <w:sz w:val="18"/>
            <w:szCs w:val="18"/>
          </w:rPr>
        </w:r>
        <w:r w:rsidR="00EC1395" w:rsidRPr="00A4536F">
          <w:rPr>
            <w:rFonts w:cs="Calibri"/>
            <w:noProof/>
            <w:color w:val="auto"/>
            <w:sz w:val="18"/>
            <w:szCs w:val="18"/>
          </w:rPr>
          <w:fldChar w:fldCharType="separate"/>
        </w:r>
        <w:r w:rsidR="00E12207">
          <w:rPr>
            <w:rFonts w:cs="Calibri"/>
            <w:noProof/>
            <w:color w:val="auto"/>
            <w:sz w:val="18"/>
            <w:szCs w:val="18"/>
          </w:rPr>
          <w:t>7</w:t>
        </w:r>
        <w:r w:rsidR="00EC1395" w:rsidRPr="00A4536F">
          <w:rPr>
            <w:rFonts w:cs="Calibri"/>
            <w:noProof/>
            <w:color w:val="auto"/>
            <w:sz w:val="18"/>
            <w:szCs w:val="18"/>
          </w:rPr>
          <w:fldChar w:fldCharType="end"/>
        </w:r>
      </w:hyperlink>
    </w:p>
    <w:p w14:paraId="176BFD6B" w14:textId="19CCCE7B" w:rsidR="00CC6401" w:rsidRPr="007770E8" w:rsidRDefault="00EC1395" w:rsidP="00B94254">
      <w:pPr>
        <w:pStyle w:val="TableofFigures"/>
        <w:rPr>
          <w:b/>
          <w:bCs/>
          <w:szCs w:val="18"/>
        </w:rPr>
      </w:pPr>
      <w:r w:rsidRPr="00A4536F">
        <w:rPr>
          <w:rFonts w:cs="Calibri"/>
          <w:b/>
          <w:bCs/>
          <w:color w:val="auto"/>
          <w:sz w:val="18"/>
          <w:szCs w:val="18"/>
        </w:rPr>
        <w:fldChar w:fldCharType="end"/>
      </w:r>
      <w:r w:rsidR="00CC6401" w:rsidRPr="007770E8">
        <w:rPr>
          <w:b/>
          <w:bCs/>
          <w:szCs w:val="18"/>
        </w:rPr>
        <w:br w:type="page"/>
      </w:r>
    </w:p>
    <w:p w14:paraId="24E5AFFD" w14:textId="0EAB764A" w:rsidR="00EC1395" w:rsidRPr="00D3046B" w:rsidRDefault="00CC6401" w:rsidP="00EC1395">
      <w:pPr>
        <w:pStyle w:val="Heading1"/>
        <w:spacing w:before="0" w:after="120" w:line="259" w:lineRule="auto"/>
        <w:rPr>
          <w:rFonts w:cs="Calibri"/>
          <w:b w:val="0"/>
          <w:bCs/>
          <w:color w:val="auto"/>
          <w:sz w:val="20"/>
          <w:szCs w:val="20"/>
        </w:rPr>
      </w:pPr>
      <w:bookmarkStart w:id="2" w:name="_Toc181278006"/>
      <w:r w:rsidRPr="007770E8">
        <w:rPr>
          <w:rFonts w:ascii="Verdana" w:hAnsi="Verdana"/>
          <w:color w:val="443D79"/>
          <w:lang w:val="en-GB"/>
        </w:rPr>
        <w:lastRenderedPageBreak/>
        <w:t>Acronyms</w:t>
      </w:r>
      <w:bookmarkStart w:id="3" w:name="_Hlk133854971"/>
      <w:bookmarkEnd w:id="2"/>
    </w:p>
    <w:p w14:paraId="16A2A724" w14:textId="66513FAE" w:rsidR="0060651D" w:rsidRPr="00A4536F" w:rsidRDefault="0060651D" w:rsidP="00DD643B">
      <w:pPr>
        <w:spacing w:before="0" w:after="0" w:line="240" w:lineRule="auto"/>
        <w:rPr>
          <w:rFonts w:cs="Calibri"/>
          <w:szCs w:val="18"/>
          <w:lang w:eastAsia="zh-TW"/>
        </w:rPr>
      </w:pPr>
      <w:r w:rsidRPr="00A4536F">
        <w:rPr>
          <w:rFonts w:cs="Calibri"/>
          <w:szCs w:val="18"/>
          <w:lang w:eastAsia="zh-TW"/>
        </w:rPr>
        <w:t>AAP</w:t>
      </w:r>
      <w:r w:rsidRPr="00A4536F">
        <w:rPr>
          <w:rFonts w:cs="Calibri"/>
          <w:szCs w:val="18"/>
          <w:lang w:eastAsia="zh-TW"/>
        </w:rPr>
        <w:tab/>
      </w:r>
      <w:r w:rsidR="00DD643B" w:rsidRPr="00A4536F">
        <w:rPr>
          <w:rFonts w:cs="Calibri"/>
          <w:szCs w:val="18"/>
          <w:lang w:eastAsia="zh-TW"/>
        </w:rPr>
        <w:tab/>
      </w:r>
      <w:r w:rsidRPr="00A4536F">
        <w:rPr>
          <w:rFonts w:cs="Calibri"/>
          <w:szCs w:val="18"/>
          <w:lang w:eastAsia="zh-TW"/>
        </w:rPr>
        <w:t>Accountability to Affected Persons</w:t>
      </w:r>
    </w:p>
    <w:p w14:paraId="64F4EECE" w14:textId="5604D778" w:rsidR="0060651D" w:rsidRPr="00A4536F" w:rsidRDefault="0060651D" w:rsidP="0060651D">
      <w:pPr>
        <w:spacing w:before="0" w:after="0" w:line="240" w:lineRule="auto"/>
        <w:rPr>
          <w:rFonts w:eastAsiaTheme="minorEastAsia" w:cs="Calibri"/>
          <w:color w:val="auto"/>
          <w:szCs w:val="18"/>
          <w:lang w:eastAsia="en-GB"/>
        </w:rPr>
      </w:pPr>
      <w:r w:rsidRPr="00A4536F">
        <w:rPr>
          <w:rFonts w:cs="Calibri"/>
          <w:szCs w:val="18"/>
          <w:lang w:eastAsia="zh-TW"/>
        </w:rPr>
        <w:t>AHN</w:t>
      </w:r>
      <w:r w:rsidRPr="00A4536F">
        <w:rPr>
          <w:rFonts w:cs="Calibri"/>
          <w:szCs w:val="18"/>
          <w:lang w:eastAsia="zh-TW"/>
        </w:rPr>
        <w:tab/>
      </w:r>
      <w:r w:rsidR="00DD643B" w:rsidRPr="00A4536F">
        <w:rPr>
          <w:rFonts w:cs="Calibri"/>
          <w:szCs w:val="18"/>
          <w:lang w:eastAsia="zh-TW"/>
        </w:rPr>
        <w:tab/>
      </w:r>
      <w:r w:rsidRPr="00A4536F">
        <w:rPr>
          <w:rFonts w:eastAsiaTheme="minorEastAsia" w:cs="Calibri"/>
          <w:color w:val="auto"/>
          <w:szCs w:val="18"/>
          <w:lang w:eastAsia="en-GB"/>
        </w:rPr>
        <w:t>ASAL Humanitarian Network</w:t>
      </w:r>
    </w:p>
    <w:p w14:paraId="19C176B8" w14:textId="12CAE798" w:rsidR="0060651D" w:rsidRPr="00A4536F" w:rsidRDefault="0060651D" w:rsidP="0060651D">
      <w:pPr>
        <w:spacing w:before="0" w:after="0" w:line="240" w:lineRule="auto"/>
        <w:rPr>
          <w:rFonts w:eastAsiaTheme="minorEastAsia" w:cs="Calibri"/>
          <w:color w:val="auto"/>
          <w:szCs w:val="18"/>
          <w:lang w:eastAsia="en-GB"/>
        </w:rPr>
      </w:pPr>
      <w:r w:rsidRPr="00A4536F">
        <w:rPr>
          <w:rFonts w:eastAsiaTheme="minorEastAsia" w:cs="Calibri"/>
          <w:color w:val="auto"/>
          <w:szCs w:val="18"/>
          <w:lang w:eastAsia="en-GB"/>
        </w:rPr>
        <w:t>A</w:t>
      </w:r>
      <w:r w:rsidR="007F15A0" w:rsidRPr="00A4536F">
        <w:rPr>
          <w:rFonts w:eastAsiaTheme="minorEastAsia" w:cs="Calibri"/>
          <w:color w:val="auto"/>
          <w:szCs w:val="18"/>
          <w:lang w:eastAsia="en-GB"/>
        </w:rPr>
        <w:t>HP</w:t>
      </w:r>
      <w:r w:rsidR="007F15A0" w:rsidRPr="00A4536F">
        <w:rPr>
          <w:rFonts w:eastAsiaTheme="minorEastAsia" w:cs="Calibri"/>
          <w:color w:val="auto"/>
          <w:szCs w:val="18"/>
          <w:lang w:eastAsia="en-GB"/>
        </w:rPr>
        <w:tab/>
      </w:r>
      <w:r w:rsidR="00DD643B" w:rsidRPr="00A4536F">
        <w:rPr>
          <w:rFonts w:eastAsiaTheme="minorEastAsia" w:cs="Calibri"/>
          <w:color w:val="auto"/>
          <w:szCs w:val="18"/>
          <w:lang w:eastAsia="en-GB"/>
        </w:rPr>
        <w:tab/>
      </w:r>
      <w:r w:rsidR="007F15A0" w:rsidRPr="00A4536F">
        <w:rPr>
          <w:rFonts w:eastAsiaTheme="minorEastAsia" w:cs="Calibri"/>
          <w:color w:val="auto"/>
          <w:szCs w:val="18"/>
          <w:lang w:eastAsia="en-GB"/>
        </w:rPr>
        <w:t>Australian Humanitarian Partnership</w:t>
      </w:r>
    </w:p>
    <w:p w14:paraId="0D89FFE2" w14:textId="0D237343" w:rsidR="007F15A0" w:rsidRPr="00A4536F" w:rsidRDefault="007F15A0" w:rsidP="0060651D">
      <w:pPr>
        <w:spacing w:before="0" w:after="0" w:line="240" w:lineRule="auto"/>
        <w:rPr>
          <w:rFonts w:eastAsiaTheme="minorEastAsia" w:cs="Calibri"/>
          <w:color w:val="auto"/>
          <w:szCs w:val="18"/>
          <w:lang w:eastAsia="en-GB"/>
        </w:rPr>
      </w:pPr>
      <w:r w:rsidRPr="00A4536F">
        <w:rPr>
          <w:rFonts w:eastAsiaTheme="minorEastAsia" w:cs="Calibri"/>
          <w:color w:val="auto"/>
          <w:szCs w:val="18"/>
          <w:lang w:eastAsia="en-GB"/>
        </w:rPr>
        <w:t>ANE</w:t>
      </w:r>
      <w:r w:rsidRPr="00A4536F">
        <w:rPr>
          <w:rFonts w:eastAsiaTheme="minorEastAsia" w:cs="Calibri"/>
          <w:color w:val="auto"/>
          <w:szCs w:val="18"/>
          <w:lang w:eastAsia="en-GB"/>
        </w:rPr>
        <w:tab/>
      </w:r>
      <w:r w:rsidR="00DD643B" w:rsidRPr="00A4536F">
        <w:rPr>
          <w:rFonts w:eastAsiaTheme="minorEastAsia" w:cs="Calibri"/>
          <w:color w:val="auto"/>
          <w:szCs w:val="18"/>
          <w:lang w:eastAsia="en-GB"/>
        </w:rPr>
        <w:tab/>
      </w:r>
      <w:r w:rsidRPr="00A4536F">
        <w:rPr>
          <w:rFonts w:eastAsiaTheme="minorEastAsia" w:cs="Calibri"/>
          <w:color w:val="auto"/>
          <w:szCs w:val="18"/>
          <w:lang w:eastAsia="en-GB"/>
        </w:rPr>
        <w:t>Action for Needy Ethiopia</w:t>
      </w:r>
    </w:p>
    <w:p w14:paraId="3576A9C9" w14:textId="240977EE" w:rsidR="007F15A0" w:rsidRPr="00A4536F" w:rsidRDefault="007F15A0" w:rsidP="0060651D">
      <w:pPr>
        <w:spacing w:before="0" w:after="0" w:line="240" w:lineRule="auto"/>
        <w:rPr>
          <w:rFonts w:eastAsiaTheme="minorEastAsia" w:cs="Calibri"/>
          <w:color w:val="auto"/>
          <w:szCs w:val="18"/>
          <w:lang w:eastAsia="en-GB"/>
        </w:rPr>
      </w:pPr>
      <w:r w:rsidRPr="00A4536F">
        <w:rPr>
          <w:rFonts w:eastAsiaTheme="minorEastAsia" w:cs="Calibri"/>
          <w:color w:val="auto"/>
          <w:szCs w:val="18"/>
          <w:lang w:eastAsia="en-GB"/>
        </w:rPr>
        <w:t>APDA</w:t>
      </w:r>
      <w:r w:rsidRPr="00A4536F">
        <w:rPr>
          <w:rFonts w:eastAsiaTheme="minorEastAsia" w:cs="Calibri"/>
          <w:color w:val="auto"/>
          <w:szCs w:val="18"/>
          <w:lang w:eastAsia="en-GB"/>
        </w:rPr>
        <w:tab/>
      </w:r>
      <w:r w:rsidR="00DD643B" w:rsidRPr="00A4536F">
        <w:rPr>
          <w:rFonts w:eastAsiaTheme="minorEastAsia" w:cs="Calibri"/>
          <w:color w:val="auto"/>
          <w:szCs w:val="18"/>
          <w:lang w:eastAsia="en-GB"/>
        </w:rPr>
        <w:tab/>
      </w:r>
      <w:r w:rsidRPr="00A4536F">
        <w:rPr>
          <w:rFonts w:eastAsiaTheme="minorEastAsia" w:cs="Calibri"/>
          <w:color w:val="auto"/>
          <w:szCs w:val="18"/>
          <w:lang w:eastAsia="en-GB"/>
        </w:rPr>
        <w:t>Afar Pastoralist Development Association</w:t>
      </w:r>
    </w:p>
    <w:p w14:paraId="2E44247E" w14:textId="1A4AADD8" w:rsidR="007F15A0" w:rsidRPr="00A4536F" w:rsidRDefault="007F15A0" w:rsidP="0060651D">
      <w:pPr>
        <w:spacing w:before="0" w:after="0" w:line="240" w:lineRule="auto"/>
        <w:rPr>
          <w:rFonts w:eastAsiaTheme="minorEastAsia" w:cs="Calibri"/>
          <w:color w:val="auto"/>
          <w:szCs w:val="18"/>
          <w:lang w:eastAsia="en-GB"/>
        </w:rPr>
      </w:pPr>
      <w:r w:rsidRPr="00A4536F">
        <w:rPr>
          <w:rFonts w:eastAsiaTheme="minorEastAsia" w:cs="Calibri"/>
          <w:color w:val="auto"/>
          <w:szCs w:val="18"/>
          <w:lang w:eastAsia="en-GB"/>
        </w:rPr>
        <w:t>ASAL</w:t>
      </w:r>
      <w:r w:rsidRPr="00A4536F">
        <w:rPr>
          <w:rFonts w:eastAsiaTheme="minorEastAsia" w:cs="Calibri"/>
          <w:color w:val="auto"/>
          <w:szCs w:val="18"/>
          <w:lang w:eastAsia="en-GB"/>
        </w:rPr>
        <w:tab/>
      </w:r>
      <w:r w:rsidR="00DD643B" w:rsidRPr="00A4536F">
        <w:rPr>
          <w:rFonts w:eastAsiaTheme="minorEastAsia" w:cs="Calibri"/>
          <w:color w:val="auto"/>
          <w:szCs w:val="18"/>
          <w:lang w:eastAsia="en-GB"/>
        </w:rPr>
        <w:tab/>
      </w:r>
      <w:r w:rsidRPr="00A4536F">
        <w:rPr>
          <w:rFonts w:eastAsiaTheme="minorEastAsia" w:cs="Calibri"/>
          <w:color w:val="auto"/>
          <w:szCs w:val="18"/>
          <w:lang w:eastAsia="en-GB"/>
        </w:rPr>
        <w:t>Arid and Semi-Arid Lands</w:t>
      </w:r>
    </w:p>
    <w:p w14:paraId="79EB2DA8" w14:textId="3DFBFCC7" w:rsidR="007F15A0" w:rsidRPr="00A4536F" w:rsidRDefault="007F15A0" w:rsidP="0060651D">
      <w:pPr>
        <w:spacing w:before="0" w:after="0" w:line="240" w:lineRule="auto"/>
        <w:rPr>
          <w:rFonts w:eastAsiaTheme="minorEastAsia" w:cs="Calibri"/>
          <w:color w:val="auto"/>
          <w:szCs w:val="18"/>
          <w:lang w:eastAsia="en-GB"/>
        </w:rPr>
      </w:pPr>
      <w:r w:rsidRPr="00A4536F">
        <w:rPr>
          <w:rFonts w:eastAsiaTheme="minorEastAsia" w:cs="Calibri"/>
          <w:color w:val="auto"/>
          <w:szCs w:val="18"/>
          <w:lang w:eastAsia="en-GB"/>
        </w:rPr>
        <w:t>AUD</w:t>
      </w:r>
      <w:r w:rsidRPr="00A4536F">
        <w:rPr>
          <w:rFonts w:eastAsiaTheme="minorEastAsia" w:cs="Calibri"/>
          <w:color w:val="auto"/>
          <w:szCs w:val="18"/>
          <w:lang w:eastAsia="en-GB"/>
        </w:rPr>
        <w:tab/>
      </w:r>
      <w:r w:rsidR="00DD643B" w:rsidRPr="00A4536F">
        <w:rPr>
          <w:rFonts w:eastAsiaTheme="minorEastAsia" w:cs="Calibri"/>
          <w:color w:val="auto"/>
          <w:szCs w:val="18"/>
          <w:lang w:eastAsia="en-GB"/>
        </w:rPr>
        <w:tab/>
      </w:r>
      <w:r w:rsidRPr="00A4536F">
        <w:rPr>
          <w:rFonts w:eastAsiaTheme="minorEastAsia" w:cs="Calibri"/>
          <w:color w:val="auto"/>
          <w:szCs w:val="18"/>
          <w:lang w:eastAsia="en-GB"/>
        </w:rPr>
        <w:t>Australian Dollars</w:t>
      </w:r>
    </w:p>
    <w:p w14:paraId="2826B00A" w14:textId="071D38CF" w:rsidR="007F15A0" w:rsidRPr="00A4536F" w:rsidRDefault="007F15A0" w:rsidP="0060651D">
      <w:pPr>
        <w:spacing w:before="0" w:after="0" w:line="240" w:lineRule="auto"/>
        <w:rPr>
          <w:rFonts w:eastAsiaTheme="minorEastAsia" w:cs="Calibri"/>
          <w:color w:val="auto"/>
          <w:szCs w:val="18"/>
          <w:lang w:eastAsia="en-GB"/>
        </w:rPr>
      </w:pPr>
      <w:r w:rsidRPr="00A4536F">
        <w:rPr>
          <w:rFonts w:eastAsiaTheme="minorEastAsia" w:cs="Calibri"/>
          <w:color w:val="auto"/>
          <w:szCs w:val="18"/>
          <w:lang w:eastAsia="en-GB"/>
        </w:rPr>
        <w:t>CFRM</w:t>
      </w:r>
      <w:r w:rsidRPr="00A4536F">
        <w:rPr>
          <w:rFonts w:eastAsiaTheme="minorEastAsia" w:cs="Calibri"/>
          <w:color w:val="auto"/>
          <w:szCs w:val="18"/>
          <w:lang w:eastAsia="en-GB"/>
        </w:rPr>
        <w:tab/>
      </w:r>
      <w:r w:rsidR="00DD643B" w:rsidRPr="00A4536F">
        <w:rPr>
          <w:rFonts w:eastAsiaTheme="minorEastAsia" w:cs="Calibri"/>
          <w:color w:val="auto"/>
          <w:szCs w:val="18"/>
          <w:lang w:eastAsia="en-GB"/>
        </w:rPr>
        <w:tab/>
      </w:r>
      <w:r w:rsidRPr="00A4536F">
        <w:rPr>
          <w:rFonts w:eastAsiaTheme="minorEastAsia" w:cs="Calibri"/>
          <w:color w:val="auto"/>
          <w:szCs w:val="18"/>
          <w:lang w:eastAsia="en-GB"/>
        </w:rPr>
        <w:t>Complaints Feedback and Response Mechanism</w:t>
      </w:r>
    </w:p>
    <w:p w14:paraId="6FF113D2" w14:textId="071920DD" w:rsidR="007F15A0" w:rsidRPr="00A4536F" w:rsidRDefault="007F15A0" w:rsidP="0060651D">
      <w:pPr>
        <w:spacing w:before="0" w:after="0" w:line="240" w:lineRule="auto"/>
        <w:rPr>
          <w:rFonts w:eastAsiaTheme="minorEastAsia" w:cs="Calibri"/>
          <w:color w:val="auto"/>
          <w:szCs w:val="18"/>
          <w:lang w:eastAsia="en-GB"/>
        </w:rPr>
      </w:pPr>
      <w:r w:rsidRPr="00A4536F">
        <w:rPr>
          <w:rFonts w:eastAsiaTheme="minorEastAsia" w:cs="Calibri"/>
          <w:color w:val="auto"/>
          <w:szCs w:val="18"/>
          <w:lang w:eastAsia="en-GB"/>
        </w:rPr>
        <w:t>CHV</w:t>
      </w:r>
      <w:r w:rsidRPr="00A4536F">
        <w:rPr>
          <w:rFonts w:eastAsiaTheme="minorEastAsia" w:cs="Calibri"/>
          <w:color w:val="auto"/>
          <w:szCs w:val="18"/>
          <w:lang w:eastAsia="en-GB"/>
        </w:rPr>
        <w:tab/>
      </w:r>
      <w:r w:rsidR="00DD643B" w:rsidRPr="00A4536F">
        <w:rPr>
          <w:rFonts w:eastAsiaTheme="minorEastAsia" w:cs="Calibri"/>
          <w:color w:val="auto"/>
          <w:szCs w:val="18"/>
          <w:lang w:eastAsia="en-GB"/>
        </w:rPr>
        <w:tab/>
      </w:r>
      <w:r w:rsidRPr="00A4536F">
        <w:rPr>
          <w:rFonts w:eastAsiaTheme="minorEastAsia" w:cs="Calibri"/>
          <w:color w:val="auto"/>
          <w:szCs w:val="18"/>
          <w:lang w:eastAsia="en-GB"/>
        </w:rPr>
        <w:t>Community Health Volunteers</w:t>
      </w:r>
    </w:p>
    <w:p w14:paraId="069983C9" w14:textId="6A0E7295" w:rsidR="007F15A0" w:rsidRPr="00A4536F" w:rsidRDefault="007F15A0" w:rsidP="0060651D">
      <w:pPr>
        <w:spacing w:before="0" w:after="0" w:line="240" w:lineRule="auto"/>
        <w:rPr>
          <w:rFonts w:eastAsiaTheme="minorEastAsia" w:cs="Calibri"/>
          <w:color w:val="auto"/>
          <w:szCs w:val="18"/>
          <w:lang w:eastAsia="en-GB"/>
        </w:rPr>
      </w:pPr>
      <w:r w:rsidRPr="00A4536F">
        <w:rPr>
          <w:rFonts w:eastAsiaTheme="minorEastAsia" w:cs="Calibri"/>
          <w:color w:val="auto"/>
          <w:szCs w:val="18"/>
          <w:lang w:eastAsia="en-GB"/>
        </w:rPr>
        <w:t>CLTS</w:t>
      </w:r>
      <w:r w:rsidRPr="00A4536F">
        <w:rPr>
          <w:rFonts w:eastAsiaTheme="minorEastAsia" w:cs="Calibri"/>
          <w:color w:val="auto"/>
          <w:szCs w:val="18"/>
          <w:lang w:eastAsia="en-GB"/>
        </w:rPr>
        <w:tab/>
      </w:r>
      <w:r w:rsidR="00DD643B" w:rsidRPr="00A4536F">
        <w:rPr>
          <w:rFonts w:eastAsiaTheme="minorEastAsia" w:cs="Calibri"/>
          <w:color w:val="auto"/>
          <w:szCs w:val="18"/>
          <w:lang w:eastAsia="en-GB"/>
        </w:rPr>
        <w:tab/>
      </w:r>
      <w:r w:rsidRPr="00A4536F">
        <w:rPr>
          <w:rFonts w:eastAsiaTheme="minorEastAsia" w:cs="Calibri"/>
          <w:color w:val="auto"/>
          <w:szCs w:val="18"/>
          <w:lang w:eastAsia="en-GB"/>
        </w:rPr>
        <w:t>Community-led Total Sanitation</w:t>
      </w:r>
    </w:p>
    <w:p w14:paraId="200FBED2" w14:textId="474EB617" w:rsidR="007F15A0" w:rsidRPr="00A4536F" w:rsidRDefault="007F15A0" w:rsidP="0060651D">
      <w:pPr>
        <w:spacing w:before="0" w:after="0" w:line="240" w:lineRule="auto"/>
        <w:rPr>
          <w:rFonts w:eastAsiaTheme="minorEastAsia" w:cs="Calibri"/>
          <w:color w:val="auto"/>
          <w:szCs w:val="18"/>
          <w:lang w:eastAsia="en-GB"/>
        </w:rPr>
      </w:pPr>
      <w:r w:rsidRPr="00A4536F">
        <w:rPr>
          <w:rFonts w:eastAsiaTheme="minorEastAsia" w:cs="Calibri"/>
          <w:color w:val="auto"/>
          <w:szCs w:val="18"/>
          <w:lang w:eastAsia="en-GB"/>
        </w:rPr>
        <w:t>CMAM</w:t>
      </w:r>
      <w:r w:rsidRPr="00A4536F">
        <w:rPr>
          <w:rFonts w:eastAsiaTheme="minorEastAsia" w:cs="Calibri"/>
          <w:color w:val="auto"/>
          <w:szCs w:val="18"/>
          <w:lang w:eastAsia="en-GB"/>
        </w:rPr>
        <w:tab/>
      </w:r>
      <w:r w:rsidR="00DD643B" w:rsidRPr="00A4536F">
        <w:rPr>
          <w:rFonts w:eastAsiaTheme="minorEastAsia" w:cs="Calibri"/>
          <w:color w:val="auto"/>
          <w:szCs w:val="18"/>
          <w:lang w:eastAsia="en-GB"/>
        </w:rPr>
        <w:tab/>
      </w:r>
      <w:r w:rsidRPr="00A4536F">
        <w:rPr>
          <w:rFonts w:eastAsiaTheme="minorEastAsia" w:cs="Calibri"/>
          <w:color w:val="auto"/>
          <w:szCs w:val="18"/>
          <w:lang w:eastAsia="en-GB"/>
        </w:rPr>
        <w:t>Community Management of Acute Malnutrition</w:t>
      </w:r>
    </w:p>
    <w:p w14:paraId="0C3B900D" w14:textId="31AC62C7" w:rsidR="0060651D" w:rsidRPr="00A4536F" w:rsidRDefault="007F15A0" w:rsidP="0060651D">
      <w:pPr>
        <w:spacing w:before="0" w:after="0" w:line="240" w:lineRule="auto"/>
        <w:rPr>
          <w:rFonts w:eastAsiaTheme="minorEastAsia" w:cs="Calibri"/>
          <w:color w:val="auto"/>
          <w:szCs w:val="18"/>
          <w:lang w:eastAsia="en-GB"/>
        </w:rPr>
      </w:pPr>
      <w:r w:rsidRPr="00A4536F">
        <w:rPr>
          <w:rFonts w:eastAsiaTheme="minorEastAsia" w:cs="Calibri"/>
          <w:color w:val="auto"/>
          <w:szCs w:val="18"/>
          <w:lang w:eastAsia="en-GB"/>
        </w:rPr>
        <w:t>DAC</w:t>
      </w:r>
      <w:r w:rsidRPr="00A4536F">
        <w:rPr>
          <w:rFonts w:eastAsiaTheme="minorEastAsia" w:cs="Calibri"/>
          <w:color w:val="auto"/>
          <w:szCs w:val="18"/>
          <w:lang w:eastAsia="en-GB"/>
        </w:rPr>
        <w:tab/>
      </w:r>
      <w:r w:rsidR="00DD643B" w:rsidRPr="00A4536F">
        <w:rPr>
          <w:rFonts w:eastAsiaTheme="minorEastAsia" w:cs="Calibri"/>
          <w:color w:val="auto"/>
          <w:szCs w:val="18"/>
          <w:lang w:eastAsia="en-GB"/>
        </w:rPr>
        <w:tab/>
      </w:r>
      <w:r w:rsidRPr="00A4536F">
        <w:rPr>
          <w:rFonts w:eastAsiaTheme="minorEastAsia" w:cs="Calibri"/>
          <w:color w:val="auto"/>
          <w:szCs w:val="18"/>
          <w:lang w:eastAsia="en-GB"/>
        </w:rPr>
        <w:t>Development Assistance Committee</w:t>
      </w:r>
    </w:p>
    <w:p w14:paraId="2CCE7FA9" w14:textId="3D563EA4" w:rsidR="007F15A0" w:rsidRPr="00A4536F" w:rsidRDefault="007F15A0" w:rsidP="0060651D">
      <w:pPr>
        <w:spacing w:before="0" w:after="0" w:line="240" w:lineRule="auto"/>
        <w:rPr>
          <w:rFonts w:cs="Calibri"/>
          <w:szCs w:val="18"/>
          <w:lang w:eastAsia="zh-TW"/>
        </w:rPr>
      </w:pPr>
      <w:r w:rsidRPr="00A4536F">
        <w:rPr>
          <w:rFonts w:cs="Calibri"/>
          <w:szCs w:val="18"/>
          <w:lang w:eastAsia="zh-TW"/>
        </w:rPr>
        <w:t>DFAT</w:t>
      </w:r>
      <w:r w:rsidRPr="00A4536F">
        <w:rPr>
          <w:rFonts w:cs="Calibri"/>
          <w:szCs w:val="18"/>
          <w:lang w:eastAsia="zh-TW"/>
        </w:rPr>
        <w:tab/>
      </w:r>
      <w:r w:rsidR="00DD643B" w:rsidRPr="00A4536F">
        <w:rPr>
          <w:rFonts w:cs="Calibri"/>
          <w:szCs w:val="18"/>
          <w:lang w:eastAsia="zh-TW"/>
        </w:rPr>
        <w:tab/>
      </w:r>
      <w:r w:rsidRPr="00A4536F">
        <w:rPr>
          <w:rFonts w:cs="Calibri"/>
          <w:szCs w:val="18"/>
          <w:lang w:eastAsia="zh-TW"/>
        </w:rPr>
        <w:t>Department of Foreign Affairs and Trade</w:t>
      </w:r>
    </w:p>
    <w:p w14:paraId="180F1F00" w14:textId="30ADE4F5" w:rsidR="007F15A0" w:rsidRPr="00A4536F" w:rsidRDefault="007F15A0" w:rsidP="0060651D">
      <w:pPr>
        <w:spacing w:before="0" w:after="0" w:line="240" w:lineRule="auto"/>
        <w:rPr>
          <w:rFonts w:cs="Calibri"/>
          <w:szCs w:val="18"/>
          <w:lang w:eastAsia="zh-TW"/>
        </w:rPr>
      </w:pPr>
      <w:r w:rsidRPr="00A4536F">
        <w:rPr>
          <w:rFonts w:cs="Calibri"/>
          <w:szCs w:val="18"/>
          <w:lang w:eastAsia="zh-TW"/>
        </w:rPr>
        <w:t>FAO</w:t>
      </w:r>
      <w:r w:rsidRPr="00A4536F">
        <w:rPr>
          <w:rFonts w:cs="Calibri"/>
          <w:szCs w:val="18"/>
          <w:lang w:eastAsia="zh-TW"/>
        </w:rPr>
        <w:tab/>
      </w:r>
      <w:r w:rsidR="00DD643B" w:rsidRPr="00A4536F">
        <w:rPr>
          <w:rFonts w:cs="Calibri"/>
          <w:szCs w:val="18"/>
          <w:lang w:eastAsia="zh-TW"/>
        </w:rPr>
        <w:tab/>
      </w:r>
      <w:r w:rsidRPr="00A4536F">
        <w:rPr>
          <w:rFonts w:cs="Calibri"/>
          <w:szCs w:val="18"/>
          <w:lang w:eastAsia="zh-TW"/>
        </w:rPr>
        <w:t>Food and Agriculture Organisation</w:t>
      </w:r>
    </w:p>
    <w:p w14:paraId="1DC204E4" w14:textId="1A355A81" w:rsidR="007F15A0" w:rsidRPr="00A4536F" w:rsidRDefault="007F15A0" w:rsidP="0060651D">
      <w:pPr>
        <w:spacing w:before="0" w:after="0" w:line="240" w:lineRule="auto"/>
        <w:rPr>
          <w:rFonts w:cs="Calibri"/>
          <w:szCs w:val="18"/>
          <w:lang w:eastAsia="zh-TW"/>
        </w:rPr>
      </w:pPr>
      <w:r w:rsidRPr="00A4536F">
        <w:rPr>
          <w:rFonts w:cs="Calibri"/>
          <w:szCs w:val="18"/>
          <w:lang w:eastAsia="zh-TW"/>
        </w:rPr>
        <w:t>FCS</w:t>
      </w:r>
      <w:r w:rsidRPr="00A4536F">
        <w:rPr>
          <w:rFonts w:cs="Calibri"/>
          <w:szCs w:val="18"/>
          <w:lang w:eastAsia="zh-TW"/>
        </w:rPr>
        <w:tab/>
      </w:r>
      <w:r w:rsidR="00DD643B" w:rsidRPr="00A4536F">
        <w:rPr>
          <w:rFonts w:cs="Calibri"/>
          <w:szCs w:val="18"/>
          <w:lang w:eastAsia="zh-TW"/>
        </w:rPr>
        <w:tab/>
      </w:r>
      <w:r w:rsidRPr="00A4536F">
        <w:rPr>
          <w:rFonts w:cs="Calibri"/>
          <w:szCs w:val="18"/>
          <w:lang w:eastAsia="zh-TW"/>
        </w:rPr>
        <w:t>Food Consumption Score</w:t>
      </w:r>
    </w:p>
    <w:p w14:paraId="0B32FBC4" w14:textId="25A356C2" w:rsidR="007F15A0" w:rsidRPr="00A4536F" w:rsidRDefault="007F15A0" w:rsidP="0060651D">
      <w:pPr>
        <w:spacing w:before="0" w:after="0" w:line="240" w:lineRule="auto"/>
        <w:rPr>
          <w:rFonts w:cs="Calibri"/>
          <w:szCs w:val="18"/>
          <w:lang w:eastAsia="zh-TW"/>
        </w:rPr>
      </w:pPr>
      <w:r w:rsidRPr="00A4536F">
        <w:rPr>
          <w:rFonts w:cs="Calibri"/>
          <w:szCs w:val="18"/>
          <w:lang w:eastAsia="zh-TW"/>
        </w:rPr>
        <w:t>FEWS NET</w:t>
      </w:r>
      <w:r w:rsidRPr="00A4536F">
        <w:rPr>
          <w:rFonts w:cs="Calibri"/>
          <w:szCs w:val="18"/>
          <w:lang w:eastAsia="zh-TW"/>
        </w:rPr>
        <w:tab/>
      </w:r>
      <w:r w:rsidR="00BF7529" w:rsidRPr="00A4536F">
        <w:rPr>
          <w:rFonts w:cs="Calibri"/>
          <w:szCs w:val="18"/>
          <w:lang w:eastAsia="zh-TW"/>
        </w:rPr>
        <w:t>Famine Early Warning Systems Network</w:t>
      </w:r>
    </w:p>
    <w:p w14:paraId="7E8E68D0" w14:textId="1697F3C0" w:rsidR="00BF7529" w:rsidRPr="00A4536F" w:rsidRDefault="00BF7529" w:rsidP="0060651D">
      <w:pPr>
        <w:spacing w:before="0" w:after="0" w:line="240" w:lineRule="auto"/>
        <w:rPr>
          <w:rFonts w:cs="Calibri"/>
          <w:szCs w:val="18"/>
          <w:lang w:eastAsia="zh-TW"/>
        </w:rPr>
      </w:pPr>
      <w:r w:rsidRPr="00A4536F">
        <w:rPr>
          <w:rFonts w:cs="Calibri"/>
          <w:szCs w:val="18"/>
          <w:lang w:eastAsia="zh-TW"/>
        </w:rPr>
        <w:t>FGD</w:t>
      </w:r>
      <w:r w:rsidRPr="00A4536F">
        <w:rPr>
          <w:rFonts w:cs="Calibri"/>
          <w:szCs w:val="18"/>
          <w:lang w:eastAsia="zh-TW"/>
        </w:rPr>
        <w:tab/>
      </w:r>
      <w:r w:rsidRPr="00A4536F">
        <w:rPr>
          <w:rFonts w:cs="Calibri"/>
          <w:szCs w:val="18"/>
          <w:lang w:eastAsia="zh-TW"/>
        </w:rPr>
        <w:tab/>
        <w:t>Facilitated Group Discussion</w:t>
      </w:r>
    </w:p>
    <w:p w14:paraId="5A9799D1" w14:textId="38117B25" w:rsidR="00BF7529" w:rsidRPr="00A4536F" w:rsidRDefault="00BF7529" w:rsidP="0060651D">
      <w:pPr>
        <w:spacing w:before="0" w:after="0" w:line="240" w:lineRule="auto"/>
        <w:rPr>
          <w:rFonts w:cs="Calibri"/>
          <w:szCs w:val="18"/>
          <w:lang w:eastAsia="zh-TW"/>
        </w:rPr>
      </w:pPr>
      <w:r w:rsidRPr="00A4536F">
        <w:rPr>
          <w:rFonts w:cs="Calibri"/>
          <w:szCs w:val="18"/>
          <w:lang w:eastAsia="zh-TW"/>
        </w:rPr>
        <w:t>FSL</w:t>
      </w:r>
      <w:r w:rsidRPr="00A4536F">
        <w:rPr>
          <w:rFonts w:cs="Calibri"/>
          <w:szCs w:val="18"/>
          <w:lang w:eastAsia="zh-TW"/>
        </w:rPr>
        <w:tab/>
      </w:r>
      <w:r w:rsidRPr="00A4536F">
        <w:rPr>
          <w:rFonts w:cs="Calibri"/>
          <w:szCs w:val="18"/>
          <w:lang w:eastAsia="zh-TW"/>
        </w:rPr>
        <w:tab/>
        <w:t>Food Security and Livelihoods</w:t>
      </w:r>
    </w:p>
    <w:p w14:paraId="4AEDE53E" w14:textId="662F28CE" w:rsidR="00BF7529" w:rsidRPr="00A4536F" w:rsidRDefault="00BF7529" w:rsidP="0060651D">
      <w:pPr>
        <w:spacing w:before="0" w:after="0" w:line="240" w:lineRule="auto"/>
        <w:rPr>
          <w:rFonts w:cs="Calibri"/>
          <w:szCs w:val="18"/>
          <w:lang w:eastAsia="zh-TW"/>
        </w:rPr>
      </w:pPr>
      <w:r w:rsidRPr="00A4536F">
        <w:rPr>
          <w:rFonts w:cs="Calibri"/>
          <w:szCs w:val="18"/>
          <w:lang w:eastAsia="zh-TW"/>
        </w:rPr>
        <w:t>GBV</w:t>
      </w:r>
      <w:r w:rsidRPr="00A4536F">
        <w:rPr>
          <w:rFonts w:cs="Calibri"/>
          <w:szCs w:val="18"/>
          <w:lang w:eastAsia="zh-TW"/>
        </w:rPr>
        <w:tab/>
      </w:r>
      <w:r w:rsidRPr="00A4536F">
        <w:rPr>
          <w:rFonts w:cs="Calibri"/>
          <w:szCs w:val="18"/>
          <w:lang w:eastAsia="zh-TW"/>
        </w:rPr>
        <w:tab/>
        <w:t>Gender Based Violence</w:t>
      </w:r>
    </w:p>
    <w:p w14:paraId="5AFDFD7C" w14:textId="31DBD3CF" w:rsidR="00BF7529" w:rsidRPr="00A4536F" w:rsidRDefault="00BF7529" w:rsidP="0060651D">
      <w:pPr>
        <w:spacing w:before="0" w:after="0" w:line="240" w:lineRule="auto"/>
        <w:rPr>
          <w:rFonts w:cs="Calibri"/>
          <w:szCs w:val="18"/>
          <w:lang w:eastAsia="zh-TW"/>
        </w:rPr>
      </w:pPr>
      <w:r w:rsidRPr="00A4536F">
        <w:rPr>
          <w:rFonts w:cs="Calibri"/>
          <w:szCs w:val="18"/>
          <w:lang w:eastAsia="zh-TW"/>
        </w:rPr>
        <w:t>HDDS</w:t>
      </w:r>
      <w:r w:rsidRPr="00A4536F">
        <w:rPr>
          <w:rFonts w:cs="Calibri"/>
          <w:szCs w:val="18"/>
          <w:lang w:eastAsia="zh-TW"/>
        </w:rPr>
        <w:tab/>
      </w:r>
      <w:r w:rsidRPr="00A4536F">
        <w:rPr>
          <w:rFonts w:cs="Calibri"/>
          <w:szCs w:val="18"/>
          <w:lang w:eastAsia="zh-TW"/>
        </w:rPr>
        <w:tab/>
        <w:t>Household Dietary Diversity Score</w:t>
      </w:r>
    </w:p>
    <w:p w14:paraId="56E3088F" w14:textId="2A1F640D" w:rsidR="00BF7529" w:rsidRPr="00A4536F" w:rsidRDefault="00BF7529" w:rsidP="0060651D">
      <w:pPr>
        <w:spacing w:before="0" w:after="0" w:line="240" w:lineRule="auto"/>
        <w:rPr>
          <w:rFonts w:cs="Calibri"/>
          <w:szCs w:val="18"/>
          <w:lang w:eastAsia="zh-TW"/>
        </w:rPr>
      </w:pPr>
      <w:r w:rsidRPr="00A4536F">
        <w:rPr>
          <w:rFonts w:cs="Calibri"/>
          <w:szCs w:val="18"/>
          <w:lang w:eastAsia="zh-TW"/>
        </w:rPr>
        <w:t>ICT</w:t>
      </w:r>
      <w:r w:rsidRPr="00A4536F">
        <w:rPr>
          <w:rFonts w:cs="Calibri"/>
          <w:szCs w:val="18"/>
          <w:lang w:eastAsia="zh-TW"/>
        </w:rPr>
        <w:tab/>
      </w:r>
      <w:r w:rsidRPr="00A4536F">
        <w:rPr>
          <w:rFonts w:cs="Calibri"/>
          <w:szCs w:val="18"/>
          <w:lang w:eastAsia="zh-TW"/>
        </w:rPr>
        <w:tab/>
        <w:t>Information and Communication Technology</w:t>
      </w:r>
      <w:r w:rsidRPr="00A4536F">
        <w:rPr>
          <w:rFonts w:cs="Calibri"/>
          <w:szCs w:val="18"/>
          <w:lang w:eastAsia="zh-TW"/>
        </w:rPr>
        <w:tab/>
      </w:r>
      <w:r w:rsidRPr="00A4536F">
        <w:rPr>
          <w:rFonts w:cs="Calibri"/>
          <w:szCs w:val="18"/>
          <w:lang w:eastAsia="zh-TW"/>
        </w:rPr>
        <w:tab/>
      </w:r>
    </w:p>
    <w:p w14:paraId="79A0AFE2" w14:textId="36350B82" w:rsidR="00BF7529" w:rsidRPr="00A4536F" w:rsidRDefault="00BF7529" w:rsidP="0060651D">
      <w:pPr>
        <w:spacing w:before="0" w:after="0" w:line="240" w:lineRule="auto"/>
        <w:rPr>
          <w:rFonts w:cs="Calibri"/>
          <w:szCs w:val="18"/>
          <w:lang w:eastAsia="zh-TW"/>
        </w:rPr>
      </w:pPr>
      <w:r w:rsidRPr="00A4536F">
        <w:rPr>
          <w:rFonts w:cs="Calibri"/>
          <w:szCs w:val="18"/>
          <w:lang w:eastAsia="zh-TW"/>
        </w:rPr>
        <w:t>IDMC</w:t>
      </w:r>
      <w:r w:rsidRPr="00A4536F">
        <w:rPr>
          <w:rFonts w:cs="Calibri"/>
          <w:szCs w:val="18"/>
          <w:lang w:eastAsia="zh-TW"/>
        </w:rPr>
        <w:tab/>
      </w:r>
      <w:r w:rsidRPr="00A4536F">
        <w:rPr>
          <w:rFonts w:cs="Calibri"/>
          <w:szCs w:val="18"/>
          <w:lang w:eastAsia="zh-TW"/>
        </w:rPr>
        <w:tab/>
        <w:t>Internal Displacement Monitoring Centre</w:t>
      </w:r>
    </w:p>
    <w:p w14:paraId="2E1A39E7" w14:textId="6B9BA26B" w:rsidR="00BF7529" w:rsidRPr="00A4536F" w:rsidRDefault="00BF7529" w:rsidP="0060651D">
      <w:pPr>
        <w:spacing w:before="0" w:after="0" w:line="240" w:lineRule="auto"/>
        <w:rPr>
          <w:rFonts w:cs="Calibri"/>
          <w:szCs w:val="18"/>
          <w:lang w:eastAsia="zh-TW"/>
        </w:rPr>
      </w:pPr>
      <w:r w:rsidRPr="00A4536F">
        <w:rPr>
          <w:rFonts w:cs="Calibri"/>
          <w:szCs w:val="18"/>
          <w:lang w:eastAsia="zh-TW"/>
        </w:rPr>
        <w:t>IPC</w:t>
      </w:r>
      <w:r w:rsidRPr="00A4536F">
        <w:rPr>
          <w:rFonts w:cs="Calibri"/>
          <w:szCs w:val="18"/>
          <w:lang w:eastAsia="zh-TW"/>
        </w:rPr>
        <w:tab/>
      </w:r>
      <w:r w:rsidRPr="00A4536F">
        <w:rPr>
          <w:rFonts w:cs="Calibri"/>
          <w:szCs w:val="18"/>
          <w:lang w:eastAsia="zh-TW"/>
        </w:rPr>
        <w:tab/>
        <w:t>Integrated Food Security Phase Classification</w:t>
      </w:r>
      <w:r w:rsidRPr="00A4536F">
        <w:rPr>
          <w:rFonts w:cs="Calibri"/>
          <w:szCs w:val="18"/>
          <w:lang w:eastAsia="zh-TW"/>
        </w:rPr>
        <w:tab/>
      </w:r>
    </w:p>
    <w:p w14:paraId="02A1E58D" w14:textId="5CD91C4E" w:rsidR="00BF7529" w:rsidRPr="00A4536F" w:rsidRDefault="00BF7529" w:rsidP="0060651D">
      <w:pPr>
        <w:spacing w:before="0" w:after="0" w:line="240" w:lineRule="auto"/>
        <w:rPr>
          <w:rFonts w:cs="Calibri"/>
          <w:szCs w:val="18"/>
          <w:lang w:eastAsia="zh-TW"/>
        </w:rPr>
      </w:pPr>
      <w:r w:rsidRPr="00A4536F">
        <w:rPr>
          <w:rFonts w:cs="Calibri"/>
          <w:szCs w:val="18"/>
          <w:lang w:eastAsia="zh-TW"/>
        </w:rPr>
        <w:t>KPIs</w:t>
      </w:r>
      <w:r w:rsidRPr="00A4536F">
        <w:rPr>
          <w:rFonts w:cs="Calibri"/>
          <w:szCs w:val="18"/>
          <w:lang w:eastAsia="zh-TW"/>
        </w:rPr>
        <w:tab/>
      </w:r>
      <w:r w:rsidRPr="00A4536F">
        <w:rPr>
          <w:rFonts w:cs="Calibri"/>
          <w:szCs w:val="18"/>
          <w:lang w:eastAsia="zh-TW"/>
        </w:rPr>
        <w:tab/>
        <w:t>Key Performance Indicator</w:t>
      </w:r>
    </w:p>
    <w:p w14:paraId="0E6E94EE" w14:textId="793CC1F4" w:rsidR="00BF7529" w:rsidRPr="00A4536F" w:rsidRDefault="00BF7529" w:rsidP="0060651D">
      <w:pPr>
        <w:spacing w:before="0" w:after="0" w:line="240" w:lineRule="auto"/>
        <w:rPr>
          <w:rFonts w:cs="Calibri"/>
          <w:szCs w:val="18"/>
          <w:lang w:eastAsia="zh-TW"/>
        </w:rPr>
      </w:pPr>
      <w:r w:rsidRPr="00A4536F">
        <w:rPr>
          <w:rFonts w:cs="Calibri"/>
          <w:szCs w:val="18"/>
          <w:lang w:eastAsia="zh-TW"/>
        </w:rPr>
        <w:t>MAM</w:t>
      </w:r>
      <w:r w:rsidRPr="00A4536F">
        <w:rPr>
          <w:rFonts w:cs="Calibri"/>
          <w:szCs w:val="18"/>
          <w:lang w:eastAsia="zh-TW"/>
        </w:rPr>
        <w:tab/>
      </w:r>
      <w:r w:rsidRPr="00A4536F">
        <w:rPr>
          <w:rFonts w:cs="Calibri"/>
          <w:szCs w:val="18"/>
          <w:lang w:eastAsia="zh-TW"/>
        </w:rPr>
        <w:tab/>
        <w:t>Moderate Acute Malnutrition</w:t>
      </w:r>
    </w:p>
    <w:p w14:paraId="05521320" w14:textId="66DB6064" w:rsidR="00BF7529" w:rsidRPr="00A4536F" w:rsidRDefault="00BF7529" w:rsidP="0060651D">
      <w:pPr>
        <w:spacing w:before="0" w:after="0" w:line="240" w:lineRule="auto"/>
        <w:rPr>
          <w:rFonts w:cs="Calibri"/>
          <w:szCs w:val="18"/>
          <w:lang w:eastAsia="zh-TW"/>
        </w:rPr>
      </w:pPr>
      <w:r w:rsidRPr="00A4536F">
        <w:rPr>
          <w:rFonts w:cs="Calibri"/>
          <w:szCs w:val="18"/>
          <w:lang w:eastAsia="zh-TW"/>
        </w:rPr>
        <w:t>MEB</w:t>
      </w:r>
      <w:r w:rsidRPr="00A4536F">
        <w:rPr>
          <w:rFonts w:cs="Calibri"/>
          <w:szCs w:val="18"/>
          <w:lang w:eastAsia="zh-TW"/>
        </w:rPr>
        <w:tab/>
      </w:r>
      <w:r w:rsidRPr="00A4536F">
        <w:rPr>
          <w:rFonts w:cs="Calibri"/>
          <w:szCs w:val="18"/>
          <w:lang w:eastAsia="zh-TW"/>
        </w:rPr>
        <w:tab/>
        <w:t>Minimum Expenditure Basket</w:t>
      </w:r>
    </w:p>
    <w:p w14:paraId="7017E104" w14:textId="1D1615A6" w:rsidR="00BF7529" w:rsidRPr="00A4536F" w:rsidRDefault="00BF7529" w:rsidP="0060651D">
      <w:pPr>
        <w:spacing w:before="0" w:after="0" w:line="240" w:lineRule="auto"/>
        <w:rPr>
          <w:rFonts w:cs="Calibri"/>
          <w:szCs w:val="18"/>
          <w:lang w:eastAsia="zh-TW"/>
        </w:rPr>
      </w:pPr>
      <w:r w:rsidRPr="00A4536F">
        <w:rPr>
          <w:rFonts w:cs="Calibri"/>
          <w:szCs w:val="18"/>
          <w:lang w:eastAsia="zh-TW"/>
        </w:rPr>
        <w:t>MHM</w:t>
      </w:r>
      <w:r w:rsidRPr="00A4536F">
        <w:rPr>
          <w:rFonts w:cs="Calibri"/>
          <w:szCs w:val="18"/>
          <w:lang w:eastAsia="zh-TW"/>
        </w:rPr>
        <w:tab/>
      </w:r>
      <w:r w:rsidRPr="00A4536F">
        <w:rPr>
          <w:rFonts w:cs="Calibri"/>
          <w:szCs w:val="18"/>
          <w:lang w:eastAsia="zh-TW"/>
        </w:rPr>
        <w:tab/>
        <w:t>Menstrual Hygiene Management</w:t>
      </w:r>
    </w:p>
    <w:p w14:paraId="5E46429D" w14:textId="668D3FF8" w:rsidR="00BF7529" w:rsidRPr="00A4536F" w:rsidRDefault="00BF7529" w:rsidP="0060651D">
      <w:pPr>
        <w:spacing w:before="0" w:after="0" w:line="240" w:lineRule="auto"/>
        <w:rPr>
          <w:rFonts w:cs="Calibri"/>
          <w:szCs w:val="18"/>
          <w:lang w:eastAsia="zh-TW"/>
        </w:rPr>
      </w:pPr>
      <w:r w:rsidRPr="00A4536F">
        <w:rPr>
          <w:rFonts w:cs="Calibri"/>
          <w:szCs w:val="18"/>
          <w:lang w:eastAsia="zh-TW"/>
        </w:rPr>
        <w:t>MPCA</w:t>
      </w:r>
      <w:r w:rsidRPr="00A4536F">
        <w:rPr>
          <w:rFonts w:cs="Calibri"/>
          <w:szCs w:val="18"/>
          <w:lang w:eastAsia="zh-TW"/>
        </w:rPr>
        <w:tab/>
      </w:r>
      <w:r w:rsidRPr="00A4536F">
        <w:rPr>
          <w:rFonts w:cs="Calibri"/>
          <w:szCs w:val="18"/>
          <w:lang w:eastAsia="zh-TW"/>
        </w:rPr>
        <w:tab/>
        <w:t>Multi-purpose Cash Assistance</w:t>
      </w:r>
    </w:p>
    <w:p w14:paraId="2C00785F" w14:textId="334D25CC" w:rsidR="00BF7529" w:rsidRPr="00A4536F" w:rsidRDefault="00BF7529" w:rsidP="0060651D">
      <w:pPr>
        <w:spacing w:before="0" w:after="0" w:line="240" w:lineRule="auto"/>
        <w:rPr>
          <w:rFonts w:cs="Calibri"/>
          <w:szCs w:val="18"/>
          <w:lang w:eastAsia="zh-TW"/>
        </w:rPr>
      </w:pPr>
      <w:r w:rsidRPr="00A4536F">
        <w:rPr>
          <w:rFonts w:cs="Calibri"/>
          <w:szCs w:val="18"/>
          <w:lang w:eastAsia="zh-TW"/>
        </w:rPr>
        <w:t>NDMA</w:t>
      </w:r>
      <w:r w:rsidRPr="00A4536F">
        <w:rPr>
          <w:rFonts w:cs="Calibri"/>
          <w:szCs w:val="18"/>
          <w:lang w:eastAsia="zh-TW"/>
        </w:rPr>
        <w:tab/>
      </w:r>
      <w:r w:rsidRPr="00A4536F">
        <w:rPr>
          <w:rFonts w:cs="Calibri"/>
          <w:szCs w:val="18"/>
          <w:lang w:eastAsia="zh-TW"/>
        </w:rPr>
        <w:tab/>
        <w:t>National Drought Management Authority</w:t>
      </w:r>
    </w:p>
    <w:p w14:paraId="3FBF8A5A" w14:textId="5DCABD37" w:rsidR="00BF7529" w:rsidRPr="00A4536F" w:rsidRDefault="00BF7529" w:rsidP="0060651D">
      <w:pPr>
        <w:spacing w:before="0" w:after="0" w:line="240" w:lineRule="auto"/>
        <w:rPr>
          <w:rFonts w:cs="Calibri"/>
          <w:szCs w:val="18"/>
          <w:lang w:eastAsia="zh-TW"/>
        </w:rPr>
      </w:pPr>
      <w:r w:rsidRPr="00A4536F">
        <w:rPr>
          <w:rFonts w:cs="Calibri"/>
          <w:szCs w:val="18"/>
          <w:lang w:eastAsia="zh-TW"/>
        </w:rPr>
        <w:t>NDOC</w:t>
      </w:r>
      <w:r w:rsidRPr="00A4536F">
        <w:rPr>
          <w:rFonts w:cs="Calibri"/>
          <w:szCs w:val="18"/>
          <w:lang w:eastAsia="zh-TW"/>
        </w:rPr>
        <w:tab/>
      </w:r>
      <w:r w:rsidRPr="00A4536F">
        <w:rPr>
          <w:rFonts w:cs="Calibri"/>
          <w:szCs w:val="18"/>
          <w:lang w:eastAsia="zh-TW"/>
        </w:rPr>
        <w:tab/>
        <w:t>National Disaster Operations Centre</w:t>
      </w:r>
    </w:p>
    <w:p w14:paraId="67BD8C8C" w14:textId="0EF9DCFA" w:rsidR="00BF7529" w:rsidRPr="00A4536F" w:rsidRDefault="00BF7529" w:rsidP="0060651D">
      <w:pPr>
        <w:spacing w:before="0" w:after="0" w:line="240" w:lineRule="auto"/>
        <w:rPr>
          <w:rFonts w:cs="Calibri"/>
          <w:szCs w:val="18"/>
          <w:lang w:eastAsia="zh-TW"/>
        </w:rPr>
      </w:pPr>
      <w:r w:rsidRPr="00A4536F">
        <w:rPr>
          <w:rFonts w:cs="Calibri"/>
          <w:szCs w:val="18"/>
          <w:lang w:eastAsia="zh-TW"/>
        </w:rPr>
        <w:t>NDRMC</w:t>
      </w:r>
      <w:r w:rsidRPr="00A4536F">
        <w:rPr>
          <w:rFonts w:cs="Calibri"/>
          <w:szCs w:val="18"/>
          <w:lang w:eastAsia="zh-TW"/>
        </w:rPr>
        <w:tab/>
      </w:r>
      <w:r w:rsidRPr="00A4536F">
        <w:rPr>
          <w:rFonts w:cs="Calibri"/>
          <w:szCs w:val="18"/>
          <w:lang w:eastAsia="zh-TW"/>
        </w:rPr>
        <w:tab/>
        <w:t>National Disaster Risk Management Commission</w:t>
      </w:r>
    </w:p>
    <w:p w14:paraId="4D214808" w14:textId="05B8AD72" w:rsidR="00BF7529" w:rsidRPr="00A4536F" w:rsidRDefault="00BF7529" w:rsidP="0060651D">
      <w:pPr>
        <w:spacing w:before="0" w:after="0" w:line="240" w:lineRule="auto"/>
        <w:rPr>
          <w:rFonts w:cs="Calibri"/>
          <w:szCs w:val="18"/>
          <w:lang w:eastAsia="zh-TW"/>
        </w:rPr>
      </w:pPr>
      <w:r w:rsidRPr="00A4536F">
        <w:rPr>
          <w:rFonts w:cs="Calibri"/>
          <w:szCs w:val="18"/>
          <w:lang w:eastAsia="zh-TW"/>
        </w:rPr>
        <w:t>NFIs</w:t>
      </w:r>
      <w:r w:rsidRPr="00A4536F">
        <w:rPr>
          <w:rFonts w:cs="Calibri"/>
          <w:szCs w:val="18"/>
          <w:lang w:eastAsia="zh-TW"/>
        </w:rPr>
        <w:tab/>
      </w:r>
      <w:r w:rsidRPr="00A4536F">
        <w:rPr>
          <w:rFonts w:cs="Calibri"/>
          <w:szCs w:val="18"/>
          <w:lang w:eastAsia="zh-TW"/>
        </w:rPr>
        <w:tab/>
        <w:t>Non-Food Items</w:t>
      </w:r>
    </w:p>
    <w:p w14:paraId="49F6532A" w14:textId="49460276" w:rsidR="00BF7529" w:rsidRPr="00A4536F" w:rsidRDefault="00BF7529" w:rsidP="0060651D">
      <w:pPr>
        <w:spacing w:before="0" w:after="0" w:line="240" w:lineRule="auto"/>
        <w:rPr>
          <w:rFonts w:cs="Calibri"/>
          <w:szCs w:val="18"/>
          <w:lang w:eastAsia="zh-TW"/>
        </w:rPr>
      </w:pPr>
      <w:r w:rsidRPr="00A4536F">
        <w:rPr>
          <w:rFonts w:cs="Calibri"/>
          <w:szCs w:val="18"/>
          <w:lang w:eastAsia="zh-TW"/>
        </w:rPr>
        <w:t>OCHA</w:t>
      </w:r>
      <w:r w:rsidRPr="00A4536F">
        <w:rPr>
          <w:rFonts w:cs="Calibri"/>
          <w:szCs w:val="18"/>
          <w:lang w:eastAsia="zh-TW"/>
        </w:rPr>
        <w:tab/>
      </w:r>
      <w:r w:rsidRPr="00A4536F">
        <w:rPr>
          <w:rFonts w:cs="Calibri"/>
          <w:szCs w:val="18"/>
          <w:lang w:eastAsia="zh-TW"/>
        </w:rPr>
        <w:tab/>
        <w:t>United Nations Office for the Coordination of Humanitarian Affairs</w:t>
      </w:r>
    </w:p>
    <w:p w14:paraId="54DE8123" w14:textId="50FCE805" w:rsidR="00BF7529" w:rsidRPr="00A4536F" w:rsidRDefault="00BF7529" w:rsidP="0060651D">
      <w:pPr>
        <w:spacing w:before="0" w:after="0" w:line="240" w:lineRule="auto"/>
        <w:rPr>
          <w:rFonts w:cs="Calibri"/>
          <w:szCs w:val="18"/>
          <w:lang w:eastAsia="zh-TW"/>
        </w:rPr>
      </w:pPr>
      <w:r w:rsidRPr="00A4536F">
        <w:rPr>
          <w:rFonts w:cs="Calibri"/>
          <w:szCs w:val="18"/>
          <w:lang w:eastAsia="zh-TW"/>
        </w:rPr>
        <w:t>ODF</w:t>
      </w:r>
      <w:r w:rsidRPr="00A4536F">
        <w:rPr>
          <w:rFonts w:cs="Calibri"/>
          <w:szCs w:val="18"/>
          <w:lang w:eastAsia="zh-TW"/>
        </w:rPr>
        <w:tab/>
      </w:r>
      <w:r w:rsidRPr="00A4536F">
        <w:rPr>
          <w:rFonts w:cs="Calibri"/>
          <w:szCs w:val="18"/>
          <w:lang w:eastAsia="zh-TW"/>
        </w:rPr>
        <w:tab/>
        <w:t>Open Defecation Free</w:t>
      </w:r>
    </w:p>
    <w:p w14:paraId="5BEE4173" w14:textId="309F9129" w:rsidR="00BF7529" w:rsidRPr="00A4536F" w:rsidRDefault="00BF7529" w:rsidP="0060651D">
      <w:pPr>
        <w:spacing w:before="0" w:after="0" w:line="240" w:lineRule="auto"/>
        <w:rPr>
          <w:rFonts w:cs="Calibri"/>
          <w:szCs w:val="18"/>
          <w:lang w:eastAsia="zh-TW"/>
        </w:rPr>
      </w:pPr>
      <w:r w:rsidRPr="00A4536F">
        <w:rPr>
          <w:rFonts w:cs="Calibri"/>
          <w:szCs w:val="18"/>
          <w:lang w:eastAsia="zh-TW"/>
        </w:rPr>
        <w:t>OECD</w:t>
      </w:r>
      <w:r w:rsidRPr="00A4536F">
        <w:rPr>
          <w:rFonts w:cs="Calibri"/>
          <w:szCs w:val="18"/>
          <w:lang w:eastAsia="zh-TW"/>
        </w:rPr>
        <w:tab/>
      </w:r>
      <w:r w:rsidRPr="00A4536F">
        <w:rPr>
          <w:rFonts w:cs="Calibri"/>
          <w:szCs w:val="18"/>
          <w:lang w:eastAsia="zh-TW"/>
        </w:rPr>
        <w:tab/>
        <w:t>Organisation for Economic Co-operation and Development</w:t>
      </w:r>
    </w:p>
    <w:p w14:paraId="698CC5D5" w14:textId="115A89E5" w:rsidR="00BF7529" w:rsidRPr="00A4536F" w:rsidRDefault="00BF7529" w:rsidP="0060651D">
      <w:pPr>
        <w:spacing w:before="0" w:after="0" w:line="240" w:lineRule="auto"/>
        <w:rPr>
          <w:rFonts w:cs="Calibri"/>
          <w:szCs w:val="18"/>
          <w:lang w:eastAsia="zh-TW"/>
        </w:rPr>
      </w:pPr>
      <w:r w:rsidRPr="00A4536F">
        <w:rPr>
          <w:rFonts w:cs="Calibri"/>
          <w:szCs w:val="18"/>
          <w:lang w:eastAsia="zh-TW"/>
        </w:rPr>
        <w:t>OTP</w:t>
      </w:r>
      <w:r w:rsidRPr="00A4536F">
        <w:rPr>
          <w:rFonts w:cs="Calibri"/>
          <w:szCs w:val="18"/>
          <w:lang w:eastAsia="zh-TW"/>
        </w:rPr>
        <w:tab/>
      </w:r>
      <w:r w:rsidRPr="00A4536F">
        <w:rPr>
          <w:rFonts w:cs="Calibri"/>
          <w:szCs w:val="18"/>
          <w:lang w:eastAsia="zh-TW"/>
        </w:rPr>
        <w:tab/>
        <w:t>Outpatient Therapeutic Programme</w:t>
      </w:r>
    </w:p>
    <w:p w14:paraId="23F677D4" w14:textId="3D5F0C03" w:rsidR="00BF7529" w:rsidRPr="00A4536F" w:rsidRDefault="00BF7529" w:rsidP="0060651D">
      <w:pPr>
        <w:spacing w:before="0" w:after="0" w:line="240" w:lineRule="auto"/>
        <w:rPr>
          <w:rFonts w:cs="Calibri"/>
          <w:szCs w:val="18"/>
          <w:lang w:eastAsia="zh-TW"/>
        </w:rPr>
      </w:pPr>
      <w:r w:rsidRPr="00A4536F">
        <w:rPr>
          <w:rFonts w:cs="Calibri"/>
          <w:szCs w:val="18"/>
          <w:lang w:eastAsia="zh-TW"/>
        </w:rPr>
        <w:t>PDM</w:t>
      </w:r>
      <w:r w:rsidRPr="00A4536F">
        <w:rPr>
          <w:rFonts w:cs="Calibri"/>
          <w:szCs w:val="18"/>
          <w:lang w:eastAsia="zh-TW"/>
        </w:rPr>
        <w:tab/>
      </w:r>
      <w:r w:rsidRPr="00A4536F">
        <w:rPr>
          <w:rFonts w:cs="Calibri"/>
          <w:szCs w:val="18"/>
          <w:lang w:eastAsia="zh-TW"/>
        </w:rPr>
        <w:tab/>
        <w:t>Post Distribution Monitoring</w:t>
      </w:r>
    </w:p>
    <w:p w14:paraId="37004D30" w14:textId="68DEFDF3" w:rsidR="00BF7529" w:rsidRPr="00A4536F" w:rsidRDefault="009857B1" w:rsidP="0060651D">
      <w:pPr>
        <w:spacing w:before="0" w:after="0" w:line="240" w:lineRule="auto"/>
        <w:rPr>
          <w:rFonts w:cs="Calibri"/>
          <w:szCs w:val="18"/>
          <w:lang w:eastAsia="zh-TW"/>
        </w:rPr>
      </w:pPr>
      <w:r w:rsidRPr="00A4536F">
        <w:rPr>
          <w:rFonts w:cs="Calibri"/>
          <w:szCs w:val="18"/>
          <w:lang w:eastAsia="zh-TW"/>
        </w:rPr>
        <w:t>PIA</w:t>
      </w:r>
      <w:r w:rsidRPr="00A4536F">
        <w:rPr>
          <w:rFonts w:cs="Calibri"/>
          <w:szCs w:val="18"/>
          <w:lang w:eastAsia="zh-TW"/>
        </w:rPr>
        <w:tab/>
      </w:r>
      <w:r w:rsidRPr="00A4536F">
        <w:rPr>
          <w:rFonts w:cs="Calibri"/>
          <w:szCs w:val="18"/>
          <w:lang w:eastAsia="zh-TW"/>
        </w:rPr>
        <w:tab/>
        <w:t>Plan International Australia</w:t>
      </w:r>
    </w:p>
    <w:p w14:paraId="3BC11755" w14:textId="7B5F6839" w:rsidR="009857B1" w:rsidRPr="00A4536F" w:rsidRDefault="009857B1" w:rsidP="0060651D">
      <w:pPr>
        <w:spacing w:before="0" w:after="0" w:line="240" w:lineRule="auto"/>
        <w:rPr>
          <w:rFonts w:cs="Calibri"/>
          <w:szCs w:val="18"/>
          <w:lang w:eastAsia="zh-TW"/>
        </w:rPr>
      </w:pPr>
      <w:r w:rsidRPr="00A4536F">
        <w:rPr>
          <w:rFonts w:cs="Calibri"/>
          <w:szCs w:val="18"/>
          <w:lang w:eastAsia="zh-TW"/>
        </w:rPr>
        <w:t>PIADO</w:t>
      </w:r>
      <w:r w:rsidRPr="00A4536F">
        <w:rPr>
          <w:rFonts w:cs="Calibri"/>
          <w:szCs w:val="18"/>
          <w:lang w:eastAsia="zh-TW"/>
        </w:rPr>
        <w:tab/>
      </w:r>
      <w:r w:rsidRPr="00A4536F">
        <w:rPr>
          <w:rFonts w:cs="Calibri"/>
          <w:szCs w:val="18"/>
          <w:lang w:eastAsia="zh-TW"/>
        </w:rPr>
        <w:tab/>
        <w:t>Pastoralist in Action Development Organisation</w:t>
      </w:r>
    </w:p>
    <w:p w14:paraId="43944238" w14:textId="2FB2244F" w:rsidR="009857B1" w:rsidRPr="00A4536F" w:rsidRDefault="009857B1" w:rsidP="0060651D">
      <w:pPr>
        <w:spacing w:before="0" w:after="0" w:line="240" w:lineRule="auto"/>
        <w:rPr>
          <w:rFonts w:cs="Calibri"/>
          <w:szCs w:val="18"/>
          <w:lang w:eastAsia="zh-TW"/>
        </w:rPr>
      </w:pPr>
      <w:r w:rsidRPr="00A4536F">
        <w:rPr>
          <w:rFonts w:cs="Calibri"/>
          <w:szCs w:val="18"/>
          <w:lang w:eastAsia="zh-TW"/>
        </w:rPr>
        <w:t>PACIDA</w:t>
      </w:r>
      <w:r w:rsidRPr="00A4536F">
        <w:rPr>
          <w:rFonts w:cs="Calibri"/>
          <w:szCs w:val="18"/>
          <w:lang w:eastAsia="zh-TW"/>
        </w:rPr>
        <w:tab/>
      </w:r>
      <w:r w:rsidRPr="00A4536F">
        <w:rPr>
          <w:rFonts w:cs="Calibri"/>
          <w:szCs w:val="18"/>
          <w:lang w:eastAsia="zh-TW"/>
        </w:rPr>
        <w:tab/>
        <w:t>Pastoralist Community Initiative and Development Assistance</w:t>
      </w:r>
    </w:p>
    <w:p w14:paraId="6738B5C3" w14:textId="73D5AC96" w:rsidR="009857B1" w:rsidRPr="00A4536F" w:rsidRDefault="009857B1" w:rsidP="0060651D">
      <w:pPr>
        <w:spacing w:before="0" w:after="0" w:line="240" w:lineRule="auto"/>
        <w:rPr>
          <w:rFonts w:cs="Calibri"/>
          <w:szCs w:val="18"/>
          <w:lang w:eastAsia="zh-TW"/>
        </w:rPr>
      </w:pPr>
      <w:r w:rsidRPr="00A4536F">
        <w:rPr>
          <w:rFonts w:cs="Calibri"/>
          <w:szCs w:val="18"/>
          <w:lang w:eastAsia="zh-TW"/>
        </w:rPr>
        <w:t>PIE</w:t>
      </w:r>
      <w:r w:rsidRPr="00A4536F">
        <w:rPr>
          <w:rFonts w:cs="Calibri"/>
          <w:szCs w:val="18"/>
          <w:lang w:eastAsia="zh-TW"/>
        </w:rPr>
        <w:tab/>
      </w:r>
      <w:r w:rsidRPr="00A4536F">
        <w:rPr>
          <w:rFonts w:cs="Calibri"/>
          <w:szCs w:val="18"/>
          <w:lang w:eastAsia="zh-TW"/>
        </w:rPr>
        <w:tab/>
        <w:t>Plan International Ethiopia</w:t>
      </w:r>
    </w:p>
    <w:p w14:paraId="4325EE21" w14:textId="7A35ED70" w:rsidR="009857B1" w:rsidRPr="00A4536F" w:rsidRDefault="009857B1" w:rsidP="0060651D">
      <w:pPr>
        <w:spacing w:before="0" w:after="0" w:line="240" w:lineRule="auto"/>
        <w:rPr>
          <w:rFonts w:cs="Calibri"/>
          <w:szCs w:val="18"/>
          <w:lang w:eastAsia="zh-TW"/>
        </w:rPr>
      </w:pPr>
      <w:r w:rsidRPr="00A4536F">
        <w:rPr>
          <w:rFonts w:cs="Calibri"/>
          <w:szCs w:val="18"/>
          <w:lang w:eastAsia="zh-TW"/>
        </w:rPr>
        <w:t>PRI</w:t>
      </w:r>
      <w:r w:rsidRPr="00A4536F">
        <w:rPr>
          <w:rFonts w:cs="Calibri"/>
          <w:szCs w:val="18"/>
          <w:lang w:eastAsia="zh-TW"/>
        </w:rPr>
        <w:tab/>
      </w:r>
      <w:r w:rsidRPr="00A4536F">
        <w:rPr>
          <w:rFonts w:cs="Calibri"/>
          <w:szCs w:val="18"/>
          <w:lang w:eastAsia="zh-TW"/>
        </w:rPr>
        <w:tab/>
        <w:t>Policy Research Institute</w:t>
      </w:r>
    </w:p>
    <w:p w14:paraId="03FEC81F" w14:textId="7F7DC6AB" w:rsidR="009857B1" w:rsidRPr="00A4536F" w:rsidRDefault="009857B1" w:rsidP="0060651D">
      <w:pPr>
        <w:spacing w:before="0" w:after="0" w:line="240" w:lineRule="auto"/>
        <w:rPr>
          <w:rFonts w:cs="Calibri"/>
          <w:szCs w:val="18"/>
          <w:lang w:eastAsia="zh-TW"/>
        </w:rPr>
      </w:pPr>
      <w:r w:rsidRPr="00A4536F">
        <w:rPr>
          <w:rFonts w:cs="Calibri"/>
          <w:szCs w:val="18"/>
          <w:lang w:eastAsia="zh-TW"/>
        </w:rPr>
        <w:t>PSS</w:t>
      </w:r>
      <w:r w:rsidRPr="00A4536F">
        <w:rPr>
          <w:rFonts w:cs="Calibri"/>
          <w:szCs w:val="18"/>
          <w:lang w:eastAsia="zh-TW"/>
        </w:rPr>
        <w:tab/>
      </w:r>
      <w:r w:rsidRPr="00A4536F">
        <w:rPr>
          <w:rFonts w:cs="Calibri"/>
          <w:szCs w:val="18"/>
          <w:lang w:eastAsia="zh-TW"/>
        </w:rPr>
        <w:tab/>
        <w:t>Psychosocial Support</w:t>
      </w:r>
    </w:p>
    <w:p w14:paraId="609C713F" w14:textId="0595E071" w:rsidR="009857B1" w:rsidRPr="00A4536F" w:rsidRDefault="009857B1" w:rsidP="0060651D">
      <w:pPr>
        <w:spacing w:before="0" w:after="0" w:line="240" w:lineRule="auto"/>
        <w:rPr>
          <w:rFonts w:cs="Calibri"/>
          <w:szCs w:val="18"/>
          <w:lang w:eastAsia="zh-TW"/>
        </w:rPr>
      </w:pPr>
      <w:r w:rsidRPr="00A4536F">
        <w:rPr>
          <w:rFonts w:cs="Calibri"/>
          <w:szCs w:val="18"/>
          <w:lang w:eastAsia="zh-TW"/>
        </w:rPr>
        <w:t>QA</w:t>
      </w:r>
      <w:r w:rsidRPr="00A4536F">
        <w:rPr>
          <w:rFonts w:cs="Calibri"/>
          <w:szCs w:val="18"/>
          <w:lang w:eastAsia="zh-TW"/>
        </w:rPr>
        <w:tab/>
      </w:r>
      <w:r w:rsidRPr="00A4536F">
        <w:rPr>
          <w:rFonts w:cs="Calibri"/>
          <w:szCs w:val="18"/>
          <w:lang w:eastAsia="zh-TW"/>
        </w:rPr>
        <w:tab/>
        <w:t>Quality Assurance</w:t>
      </w:r>
    </w:p>
    <w:p w14:paraId="03964B60" w14:textId="403BAC51" w:rsidR="009857B1" w:rsidRPr="00A4536F" w:rsidRDefault="009857B1" w:rsidP="0060651D">
      <w:pPr>
        <w:spacing w:before="0" w:after="0" w:line="240" w:lineRule="auto"/>
        <w:rPr>
          <w:rFonts w:cs="Calibri"/>
          <w:szCs w:val="18"/>
          <w:lang w:eastAsia="zh-TW"/>
        </w:rPr>
      </w:pPr>
      <w:r w:rsidRPr="00A4536F">
        <w:rPr>
          <w:rFonts w:cs="Calibri"/>
          <w:szCs w:val="18"/>
          <w:lang w:eastAsia="zh-TW"/>
        </w:rPr>
        <w:t>RCSI</w:t>
      </w:r>
      <w:r w:rsidRPr="00A4536F">
        <w:rPr>
          <w:rFonts w:cs="Calibri"/>
          <w:szCs w:val="18"/>
          <w:lang w:eastAsia="zh-TW"/>
        </w:rPr>
        <w:tab/>
      </w:r>
      <w:r w:rsidRPr="00A4536F">
        <w:rPr>
          <w:rFonts w:cs="Calibri"/>
          <w:szCs w:val="18"/>
          <w:lang w:eastAsia="zh-TW"/>
        </w:rPr>
        <w:tab/>
        <w:t>Reduced Coping Strategies Index</w:t>
      </w:r>
    </w:p>
    <w:p w14:paraId="7A91ABBB" w14:textId="74C0E591" w:rsidR="009857B1" w:rsidRPr="00A4536F" w:rsidRDefault="009857B1" w:rsidP="0060651D">
      <w:pPr>
        <w:spacing w:before="0" w:after="0" w:line="240" w:lineRule="auto"/>
        <w:rPr>
          <w:rFonts w:cs="Calibri"/>
          <w:szCs w:val="18"/>
          <w:lang w:eastAsia="zh-TW"/>
        </w:rPr>
      </w:pPr>
      <w:r w:rsidRPr="00A4536F">
        <w:rPr>
          <w:rFonts w:cs="Calibri"/>
          <w:szCs w:val="18"/>
          <w:lang w:eastAsia="zh-TW"/>
        </w:rPr>
        <w:t>REST</w:t>
      </w:r>
      <w:r w:rsidRPr="00A4536F">
        <w:rPr>
          <w:rFonts w:cs="Calibri"/>
          <w:szCs w:val="18"/>
          <w:lang w:eastAsia="zh-TW"/>
        </w:rPr>
        <w:tab/>
      </w:r>
      <w:r w:rsidRPr="00A4536F">
        <w:rPr>
          <w:rFonts w:cs="Calibri"/>
          <w:szCs w:val="18"/>
          <w:lang w:eastAsia="zh-TW"/>
        </w:rPr>
        <w:tab/>
        <w:t>Relief Society of Tigray</w:t>
      </w:r>
    </w:p>
    <w:p w14:paraId="0E9F2078" w14:textId="166BB9AB" w:rsidR="009857B1" w:rsidRPr="00A4536F" w:rsidRDefault="009857B1" w:rsidP="0060651D">
      <w:pPr>
        <w:spacing w:before="0" w:after="0" w:line="240" w:lineRule="auto"/>
        <w:rPr>
          <w:rFonts w:cs="Calibri"/>
          <w:szCs w:val="18"/>
          <w:lang w:eastAsia="zh-TW"/>
        </w:rPr>
      </w:pPr>
      <w:r w:rsidRPr="00A4536F">
        <w:rPr>
          <w:rFonts w:cs="Calibri"/>
          <w:szCs w:val="18"/>
          <w:lang w:eastAsia="zh-TW"/>
        </w:rPr>
        <w:t>RBM</w:t>
      </w:r>
      <w:r w:rsidRPr="00A4536F">
        <w:rPr>
          <w:rFonts w:cs="Calibri"/>
          <w:szCs w:val="18"/>
          <w:lang w:eastAsia="zh-TW"/>
        </w:rPr>
        <w:tab/>
      </w:r>
      <w:r w:rsidRPr="00A4536F">
        <w:rPr>
          <w:rFonts w:cs="Calibri"/>
          <w:szCs w:val="18"/>
          <w:lang w:eastAsia="zh-TW"/>
        </w:rPr>
        <w:tab/>
        <w:t>Result Based Management</w:t>
      </w:r>
    </w:p>
    <w:p w14:paraId="55315D39" w14:textId="13BAF242" w:rsidR="009857B1" w:rsidRPr="00A4536F" w:rsidRDefault="009857B1" w:rsidP="0060651D">
      <w:pPr>
        <w:spacing w:before="0" w:after="0" w:line="240" w:lineRule="auto"/>
        <w:rPr>
          <w:rFonts w:cs="Calibri"/>
          <w:szCs w:val="18"/>
          <w:lang w:eastAsia="zh-TW"/>
        </w:rPr>
      </w:pPr>
      <w:r w:rsidRPr="00A4536F">
        <w:rPr>
          <w:rFonts w:cs="Calibri"/>
          <w:szCs w:val="18"/>
          <w:lang w:eastAsia="zh-TW"/>
        </w:rPr>
        <w:t>SAM</w:t>
      </w:r>
      <w:r w:rsidRPr="00A4536F">
        <w:rPr>
          <w:rFonts w:cs="Calibri"/>
          <w:szCs w:val="18"/>
          <w:lang w:eastAsia="zh-TW"/>
        </w:rPr>
        <w:tab/>
      </w:r>
      <w:r w:rsidRPr="00A4536F">
        <w:rPr>
          <w:rFonts w:cs="Calibri"/>
          <w:szCs w:val="18"/>
          <w:lang w:eastAsia="zh-TW"/>
        </w:rPr>
        <w:tab/>
        <w:t>Severe Acute Malnutrition</w:t>
      </w:r>
    </w:p>
    <w:p w14:paraId="0B51A72C" w14:textId="36C39090" w:rsidR="009857B1" w:rsidRPr="00A4536F" w:rsidRDefault="009857B1" w:rsidP="0060651D">
      <w:pPr>
        <w:spacing w:before="0" w:after="0" w:line="240" w:lineRule="auto"/>
        <w:rPr>
          <w:rFonts w:cs="Calibri"/>
          <w:szCs w:val="18"/>
          <w:lang w:eastAsia="zh-TW"/>
        </w:rPr>
      </w:pPr>
      <w:r w:rsidRPr="00A4536F">
        <w:rPr>
          <w:rFonts w:cs="Calibri"/>
          <w:szCs w:val="18"/>
          <w:lang w:eastAsia="zh-TW"/>
        </w:rPr>
        <w:t>SCIE</w:t>
      </w:r>
      <w:r w:rsidRPr="00A4536F">
        <w:rPr>
          <w:rFonts w:cs="Calibri"/>
          <w:szCs w:val="18"/>
          <w:lang w:eastAsia="zh-TW"/>
        </w:rPr>
        <w:tab/>
      </w:r>
      <w:r w:rsidRPr="00A4536F">
        <w:rPr>
          <w:rFonts w:cs="Calibri"/>
          <w:szCs w:val="18"/>
          <w:lang w:eastAsia="zh-TW"/>
        </w:rPr>
        <w:tab/>
        <w:t>Save the Children International Ethiopia</w:t>
      </w:r>
    </w:p>
    <w:p w14:paraId="6071D61E" w14:textId="744ED8BC" w:rsidR="009857B1" w:rsidRPr="00A4536F" w:rsidRDefault="009857B1" w:rsidP="0060651D">
      <w:pPr>
        <w:spacing w:before="0" w:after="0" w:line="240" w:lineRule="auto"/>
        <w:rPr>
          <w:rFonts w:cs="Calibri"/>
          <w:szCs w:val="18"/>
          <w:lang w:eastAsia="zh-TW"/>
        </w:rPr>
      </w:pPr>
      <w:r w:rsidRPr="00A4536F">
        <w:rPr>
          <w:rFonts w:cs="Calibri"/>
          <w:szCs w:val="18"/>
          <w:lang w:eastAsia="zh-TW"/>
        </w:rPr>
        <w:t>SND</w:t>
      </w:r>
      <w:r w:rsidRPr="00A4536F">
        <w:rPr>
          <w:rFonts w:cs="Calibri"/>
          <w:szCs w:val="18"/>
          <w:lang w:eastAsia="zh-TW"/>
        </w:rPr>
        <w:tab/>
      </w:r>
      <w:r w:rsidRPr="00A4536F">
        <w:rPr>
          <w:rFonts w:cs="Calibri"/>
          <w:szCs w:val="18"/>
          <w:lang w:eastAsia="zh-TW"/>
        </w:rPr>
        <w:tab/>
        <w:t>Strategies for Northern Development</w:t>
      </w:r>
    </w:p>
    <w:p w14:paraId="4341E82A" w14:textId="4DEEBAC5" w:rsidR="009857B1" w:rsidRPr="00A4536F" w:rsidRDefault="009857B1" w:rsidP="0060651D">
      <w:pPr>
        <w:spacing w:before="0" w:after="0" w:line="240" w:lineRule="auto"/>
        <w:rPr>
          <w:rFonts w:cs="Calibri"/>
          <w:szCs w:val="18"/>
          <w:lang w:eastAsia="zh-TW"/>
        </w:rPr>
      </w:pPr>
      <w:r w:rsidRPr="00A4536F">
        <w:rPr>
          <w:rFonts w:cs="Calibri"/>
          <w:szCs w:val="18"/>
          <w:lang w:eastAsia="zh-TW"/>
        </w:rPr>
        <w:t>TUPADO</w:t>
      </w:r>
      <w:r w:rsidRPr="00A4536F">
        <w:rPr>
          <w:rFonts w:cs="Calibri"/>
          <w:szCs w:val="18"/>
          <w:lang w:eastAsia="zh-TW"/>
        </w:rPr>
        <w:tab/>
        <w:t>Turkana Pastoralist Development Organisation</w:t>
      </w:r>
    </w:p>
    <w:p w14:paraId="2C523766" w14:textId="74B8D6E7" w:rsidR="009857B1" w:rsidRPr="00A4536F" w:rsidRDefault="009857B1" w:rsidP="0060651D">
      <w:pPr>
        <w:spacing w:before="0" w:after="0" w:line="240" w:lineRule="auto"/>
        <w:rPr>
          <w:rFonts w:cs="Calibri"/>
          <w:szCs w:val="18"/>
          <w:lang w:eastAsia="zh-TW"/>
        </w:rPr>
      </w:pPr>
      <w:r w:rsidRPr="00A4536F">
        <w:rPr>
          <w:rFonts w:cs="Calibri"/>
          <w:szCs w:val="18"/>
          <w:lang w:eastAsia="zh-TW"/>
        </w:rPr>
        <w:t>UFE</w:t>
      </w:r>
      <w:r w:rsidRPr="00A4536F">
        <w:rPr>
          <w:rFonts w:cs="Calibri"/>
          <w:szCs w:val="18"/>
          <w:lang w:eastAsia="zh-TW"/>
        </w:rPr>
        <w:tab/>
      </w:r>
      <w:r w:rsidRPr="00A4536F">
        <w:rPr>
          <w:rFonts w:cs="Calibri"/>
          <w:szCs w:val="18"/>
          <w:lang w:eastAsia="zh-TW"/>
        </w:rPr>
        <w:tab/>
        <w:t>Utilisation Focused Evaluation</w:t>
      </w:r>
    </w:p>
    <w:p w14:paraId="578BF237" w14:textId="0A8CC8B9" w:rsidR="009857B1" w:rsidRPr="00A4536F" w:rsidRDefault="009857B1" w:rsidP="0060651D">
      <w:pPr>
        <w:spacing w:before="0" w:after="0" w:line="240" w:lineRule="auto"/>
        <w:rPr>
          <w:rFonts w:cs="Calibri"/>
          <w:szCs w:val="18"/>
          <w:lang w:eastAsia="zh-TW"/>
        </w:rPr>
      </w:pPr>
      <w:r w:rsidRPr="00A4536F">
        <w:rPr>
          <w:rFonts w:cs="Calibri"/>
          <w:szCs w:val="18"/>
          <w:lang w:eastAsia="zh-TW"/>
        </w:rPr>
        <w:t>UN OCHA</w:t>
      </w:r>
      <w:r w:rsidRPr="00A4536F">
        <w:rPr>
          <w:rFonts w:cs="Calibri"/>
          <w:szCs w:val="18"/>
          <w:lang w:eastAsia="zh-TW"/>
        </w:rPr>
        <w:tab/>
        <w:t>United Nations Office for the Coordination of Humanitarian Affairs</w:t>
      </w:r>
    </w:p>
    <w:p w14:paraId="4801CC06" w14:textId="77777777" w:rsidR="00DD643B" w:rsidRPr="00A4536F" w:rsidRDefault="009857B1" w:rsidP="0060651D">
      <w:pPr>
        <w:spacing w:before="0" w:after="0" w:line="240" w:lineRule="auto"/>
        <w:rPr>
          <w:rFonts w:cs="Calibri"/>
          <w:szCs w:val="18"/>
          <w:lang w:eastAsia="zh-TW"/>
        </w:rPr>
      </w:pPr>
      <w:r w:rsidRPr="00A4536F">
        <w:rPr>
          <w:rFonts w:cs="Calibri"/>
          <w:szCs w:val="18"/>
          <w:lang w:eastAsia="zh-TW"/>
        </w:rPr>
        <w:t>WASH</w:t>
      </w:r>
      <w:r w:rsidRPr="00A4536F">
        <w:rPr>
          <w:rFonts w:cs="Calibri"/>
          <w:szCs w:val="18"/>
          <w:lang w:eastAsia="zh-TW"/>
        </w:rPr>
        <w:tab/>
      </w:r>
      <w:r w:rsidRPr="00A4536F">
        <w:rPr>
          <w:rFonts w:cs="Calibri"/>
          <w:szCs w:val="18"/>
          <w:lang w:eastAsia="zh-TW"/>
        </w:rPr>
        <w:tab/>
        <w:t>Water Sanitation and Hygiene</w:t>
      </w:r>
    </w:p>
    <w:p w14:paraId="5DBB0329" w14:textId="6B25A712" w:rsidR="00CB026A" w:rsidRDefault="009857B1" w:rsidP="0060651D">
      <w:pPr>
        <w:spacing w:before="0" w:after="0" w:line="240" w:lineRule="auto"/>
        <w:rPr>
          <w:rFonts w:cs="Calibri"/>
          <w:szCs w:val="18"/>
          <w:lang w:eastAsia="zh-TW"/>
        </w:rPr>
      </w:pPr>
      <w:r w:rsidRPr="00A4536F">
        <w:rPr>
          <w:rFonts w:cs="Calibri"/>
          <w:szCs w:val="18"/>
          <w:lang w:eastAsia="zh-TW"/>
        </w:rPr>
        <w:t>WE-Action</w:t>
      </w:r>
      <w:r w:rsidRPr="00A4536F">
        <w:rPr>
          <w:rFonts w:cs="Calibri"/>
          <w:szCs w:val="18"/>
          <w:lang w:eastAsia="zh-TW"/>
        </w:rPr>
        <w:tab/>
        <w:t xml:space="preserve">Women Empowerment </w:t>
      </w:r>
      <w:r w:rsidR="00CB026A">
        <w:rPr>
          <w:rFonts w:cs="Calibri"/>
          <w:szCs w:val="18"/>
          <w:lang w:eastAsia="zh-TW"/>
        </w:rPr>
        <w:t>–</w:t>
      </w:r>
      <w:r w:rsidRPr="00A4536F">
        <w:rPr>
          <w:rFonts w:cs="Calibri"/>
          <w:szCs w:val="18"/>
          <w:lang w:eastAsia="zh-TW"/>
        </w:rPr>
        <w:t xml:space="preserve"> Action</w:t>
      </w:r>
    </w:p>
    <w:p w14:paraId="4FB8D98A" w14:textId="77777777" w:rsidR="00CB026A" w:rsidRDefault="00CB026A">
      <w:pPr>
        <w:spacing w:before="0" w:after="0" w:line="240" w:lineRule="auto"/>
        <w:rPr>
          <w:rFonts w:cs="Calibri"/>
          <w:szCs w:val="18"/>
          <w:lang w:eastAsia="zh-TW"/>
        </w:rPr>
      </w:pPr>
      <w:r>
        <w:rPr>
          <w:rFonts w:cs="Calibri"/>
          <w:szCs w:val="18"/>
          <w:lang w:eastAsia="zh-TW"/>
        </w:rPr>
        <w:br w:type="page"/>
      </w:r>
    </w:p>
    <w:p w14:paraId="63FFDA59" w14:textId="77777777" w:rsidR="009F7603" w:rsidRPr="009F7603" w:rsidRDefault="009F7603" w:rsidP="009F7603">
      <w:pPr>
        <w:keepNext/>
        <w:keepLines/>
        <w:widowControl w:val="0"/>
        <w:autoSpaceDE w:val="0"/>
        <w:autoSpaceDN w:val="0"/>
        <w:adjustRightInd w:val="0"/>
        <w:spacing w:before="0" w:after="120"/>
        <w:outlineLvl w:val="0"/>
        <w:rPr>
          <w:rFonts w:eastAsia="Times New Roman"/>
          <w:b/>
          <w:caps/>
          <w:color w:val="5C52A3"/>
          <w:sz w:val="32"/>
          <w:szCs w:val="32"/>
          <w:lang w:eastAsia="zh-TW"/>
        </w:rPr>
      </w:pPr>
      <w:bookmarkStart w:id="4" w:name="_Toc181278007"/>
      <w:bookmarkStart w:id="5" w:name="_Toc174559863"/>
      <w:r w:rsidRPr="009F7603">
        <w:rPr>
          <w:rFonts w:eastAsia="Times New Roman"/>
          <w:b/>
          <w:caps/>
          <w:color w:val="5C52A3"/>
          <w:sz w:val="32"/>
          <w:szCs w:val="32"/>
          <w:lang w:eastAsia="zh-TW"/>
        </w:rPr>
        <w:lastRenderedPageBreak/>
        <w:t xml:space="preserve">Executive </w:t>
      </w:r>
      <w:r w:rsidRPr="009F7603">
        <w:rPr>
          <w:rFonts w:eastAsia="Times New Roman"/>
          <w:b/>
          <w:caps/>
          <w:color w:val="5C52A3"/>
          <w:sz w:val="32"/>
          <w:szCs w:val="32"/>
          <w:lang w:val="en-AU" w:eastAsia="zh-TW"/>
        </w:rPr>
        <w:t>Summary</w:t>
      </w:r>
      <w:bookmarkEnd w:id="4"/>
    </w:p>
    <w:p w14:paraId="65F8133B" w14:textId="77777777" w:rsidR="009F7603" w:rsidRPr="009F7603" w:rsidRDefault="009F7603" w:rsidP="009F7603">
      <w:pPr>
        <w:spacing w:before="0" w:after="120"/>
        <w:rPr>
          <w:b/>
          <w:bCs/>
          <w:szCs w:val="18"/>
        </w:rPr>
      </w:pPr>
      <w:r w:rsidRPr="009F7603">
        <w:rPr>
          <w:b/>
          <w:bCs/>
          <w:szCs w:val="18"/>
        </w:rPr>
        <w:t xml:space="preserve">Introduction </w:t>
      </w:r>
    </w:p>
    <w:p w14:paraId="7906A588" w14:textId="77777777" w:rsidR="009F7603" w:rsidRPr="009F7603" w:rsidRDefault="009F7603" w:rsidP="009F7603">
      <w:pPr>
        <w:spacing w:before="0" w:after="120"/>
        <w:rPr>
          <w:b/>
          <w:bCs/>
          <w:szCs w:val="18"/>
        </w:rPr>
      </w:pPr>
      <w:r w:rsidRPr="009F7603">
        <w:rPr>
          <w:szCs w:val="18"/>
        </w:rPr>
        <w:t xml:space="preserve">This is a report of the Australian Humanitarian Partnership (AHP) Horn of Africa Food Security and Livelihood (FSL) Activations evaluation of the three FSL projects in Ethiopia and Kenya. The FSL activations interventions were funded by the Australian Government through the Department of Foreign Affairs and Trade (DFAT). The implementation of the three activations projects in Ethiopia and Kenya was done through three consortia led by Plan International Australia (PIA) and Oxfam Australia and each working in partnership with local organisations. The evaluation was conducted by Policy Research Institute (PRI), </w:t>
      </w:r>
      <w:proofErr w:type="spellStart"/>
      <w:r w:rsidRPr="009F7603">
        <w:rPr>
          <w:szCs w:val="18"/>
        </w:rPr>
        <w:t>Sarl</w:t>
      </w:r>
      <w:proofErr w:type="spellEnd"/>
      <w:r w:rsidRPr="009F7603">
        <w:rPr>
          <w:szCs w:val="18"/>
        </w:rPr>
        <w:t xml:space="preserve"> from December 2023 to May 2024. It aims </w:t>
      </w:r>
      <w:r w:rsidRPr="009F7603">
        <w:rPr>
          <w:szCs w:val="20"/>
        </w:rPr>
        <w:t xml:space="preserve">to develop cross-cutting lessons, including success stories, on food security and livelihoods </w:t>
      </w:r>
      <w:proofErr w:type="gramStart"/>
      <w:r w:rsidRPr="009F7603">
        <w:rPr>
          <w:szCs w:val="20"/>
        </w:rPr>
        <w:t>in order to</w:t>
      </w:r>
      <w:proofErr w:type="gramEnd"/>
      <w:r w:rsidRPr="009F7603">
        <w:rPr>
          <w:szCs w:val="20"/>
        </w:rPr>
        <w:t xml:space="preserve"> innovate and feed into AHP and broader sector learning for specific responses and broader strategies. </w:t>
      </w:r>
    </w:p>
    <w:p w14:paraId="0F095037" w14:textId="77777777" w:rsidR="009F7603" w:rsidRPr="009F7603" w:rsidRDefault="009F7603" w:rsidP="009F7603">
      <w:pPr>
        <w:spacing w:before="0" w:after="120"/>
        <w:rPr>
          <w:szCs w:val="18"/>
        </w:rPr>
      </w:pPr>
      <w:r w:rsidRPr="009F7603">
        <w:rPr>
          <w:szCs w:val="18"/>
        </w:rPr>
        <w:t>The evaluation's primary objectives are to:</w:t>
      </w:r>
    </w:p>
    <w:p w14:paraId="7357008E" w14:textId="77777777" w:rsidR="009F7603" w:rsidRPr="009F7603" w:rsidRDefault="009F7603" w:rsidP="00D41C74">
      <w:pPr>
        <w:numPr>
          <w:ilvl w:val="0"/>
          <w:numId w:val="55"/>
        </w:numPr>
        <w:spacing w:before="0" w:after="120"/>
        <w:contextualSpacing/>
        <w:rPr>
          <w:rFonts w:eastAsia="Calibri"/>
          <w:color w:val="auto"/>
          <w:szCs w:val="18"/>
        </w:rPr>
      </w:pPr>
      <w:r w:rsidRPr="009F7603">
        <w:rPr>
          <w:rFonts w:eastAsia="Calibri"/>
          <w:color w:val="auto"/>
          <w:szCs w:val="18"/>
        </w:rPr>
        <w:t>Assess the relevance, coherence, effectiveness, efficiency, and impact as well as the long-term viability of the FSL interventions.</w:t>
      </w:r>
    </w:p>
    <w:p w14:paraId="6BBD38BA" w14:textId="77777777" w:rsidR="009F7603" w:rsidRPr="009F7603" w:rsidRDefault="009F7603" w:rsidP="00D41C74">
      <w:pPr>
        <w:numPr>
          <w:ilvl w:val="0"/>
          <w:numId w:val="55"/>
        </w:numPr>
        <w:spacing w:before="0" w:after="120"/>
        <w:contextualSpacing/>
        <w:rPr>
          <w:rFonts w:eastAsia="Calibri"/>
          <w:color w:val="auto"/>
          <w:szCs w:val="18"/>
        </w:rPr>
      </w:pPr>
      <w:r w:rsidRPr="009F7603">
        <w:rPr>
          <w:rFonts w:eastAsia="Calibri"/>
          <w:color w:val="auto"/>
          <w:szCs w:val="18"/>
        </w:rPr>
        <w:t>Analyse how successful the Water, Sanitation and Hygiene (WASH) and protection interventions complemented the FSL interventions.</w:t>
      </w:r>
    </w:p>
    <w:p w14:paraId="55361C33" w14:textId="77777777" w:rsidR="009F7603" w:rsidRPr="009F7603" w:rsidRDefault="009F7603" w:rsidP="00D41C74">
      <w:pPr>
        <w:numPr>
          <w:ilvl w:val="0"/>
          <w:numId w:val="55"/>
        </w:numPr>
        <w:spacing w:before="0" w:after="120"/>
        <w:contextualSpacing/>
        <w:rPr>
          <w:rFonts w:eastAsia="Calibri"/>
          <w:color w:val="auto"/>
          <w:szCs w:val="18"/>
        </w:rPr>
      </w:pPr>
      <w:r w:rsidRPr="009F7603">
        <w:rPr>
          <w:rFonts w:eastAsia="Calibri"/>
          <w:color w:val="auto"/>
          <w:szCs w:val="18"/>
        </w:rPr>
        <w:t>Determine the extent to which interventions have effectively addressed the needs of marginalised groups, such as people with disabilities.</w:t>
      </w:r>
    </w:p>
    <w:p w14:paraId="17E4A845" w14:textId="77777777" w:rsidR="009F7603" w:rsidRPr="009F7603" w:rsidRDefault="009F7603" w:rsidP="00D41C74">
      <w:pPr>
        <w:numPr>
          <w:ilvl w:val="0"/>
          <w:numId w:val="55"/>
        </w:numPr>
        <w:spacing w:before="0" w:after="120"/>
        <w:contextualSpacing/>
        <w:rPr>
          <w:rFonts w:eastAsia="Calibri"/>
          <w:color w:val="auto"/>
          <w:szCs w:val="18"/>
        </w:rPr>
      </w:pPr>
      <w:r w:rsidRPr="009F7603">
        <w:rPr>
          <w:rFonts w:eastAsia="Calibri"/>
          <w:color w:val="auto"/>
          <w:szCs w:val="18"/>
        </w:rPr>
        <w:t>Evaluate how much the planning and implementation processes have been shaped by the target beneficiaries (accountability).</w:t>
      </w:r>
    </w:p>
    <w:p w14:paraId="3A182D71" w14:textId="77777777" w:rsidR="009F7603" w:rsidRPr="009F7603" w:rsidRDefault="009F7603" w:rsidP="00D41C74">
      <w:pPr>
        <w:numPr>
          <w:ilvl w:val="0"/>
          <w:numId w:val="55"/>
        </w:numPr>
        <w:spacing w:before="0" w:after="120"/>
        <w:contextualSpacing/>
        <w:rPr>
          <w:rFonts w:eastAsia="Calibri"/>
          <w:color w:val="auto"/>
          <w:szCs w:val="18"/>
        </w:rPr>
      </w:pPr>
      <w:r w:rsidRPr="009F7603">
        <w:rPr>
          <w:rFonts w:eastAsia="Calibri"/>
          <w:color w:val="auto"/>
          <w:szCs w:val="18"/>
        </w:rPr>
        <w:t xml:space="preserve">Determine the extent to which implementation partners have utilised local systems for planning, coordination, and implementation of FSL interventions (localisation). </w:t>
      </w:r>
    </w:p>
    <w:p w14:paraId="06376FFB" w14:textId="328FEB62" w:rsidR="00D30E82" w:rsidRPr="003F768F" w:rsidRDefault="009F7603" w:rsidP="007744B5">
      <w:pPr>
        <w:numPr>
          <w:ilvl w:val="0"/>
          <w:numId w:val="55"/>
        </w:numPr>
        <w:spacing w:before="0" w:after="0" w:line="240" w:lineRule="auto"/>
        <w:contextualSpacing/>
        <w:rPr>
          <w:rFonts w:eastAsia="Calibri"/>
          <w:color w:val="auto"/>
          <w:szCs w:val="18"/>
        </w:rPr>
      </w:pPr>
      <w:r w:rsidRPr="009F7603">
        <w:rPr>
          <w:rFonts w:eastAsia="Calibri"/>
          <w:color w:val="auto"/>
          <w:szCs w:val="18"/>
        </w:rPr>
        <w:t>Analyse the extent to which FSL interventions have improved the resilience of target populations in relation to climate change.</w:t>
      </w:r>
    </w:p>
    <w:p w14:paraId="18067BF1" w14:textId="77777777" w:rsidR="006209A4" w:rsidRDefault="009F7603" w:rsidP="006209A4">
      <w:pPr>
        <w:spacing w:line="240" w:lineRule="auto"/>
        <w:rPr>
          <w:b/>
          <w:bCs/>
          <w:szCs w:val="18"/>
        </w:rPr>
      </w:pPr>
      <w:r w:rsidRPr="009F7603">
        <w:rPr>
          <w:b/>
          <w:bCs/>
          <w:szCs w:val="18"/>
        </w:rPr>
        <w:t>Overview of the AHP Activations in the Horn of Africa</w:t>
      </w:r>
    </w:p>
    <w:p w14:paraId="33B7A91C" w14:textId="752498CA" w:rsidR="009F7603" w:rsidRPr="009F7603" w:rsidRDefault="009F7603" w:rsidP="006209A4">
      <w:pPr>
        <w:spacing w:line="240" w:lineRule="auto"/>
        <w:rPr>
          <w:szCs w:val="18"/>
        </w:rPr>
      </w:pPr>
      <w:r w:rsidRPr="009F7603">
        <w:rPr>
          <w:szCs w:val="18"/>
        </w:rPr>
        <w:t>The AHP activations in the Horn of Africa focused on providing emergency nutrition services and food security and livelihoods support to affected populations in Ethiopia and Kenya. Protection was a cross-cutting outcome for each activation. However, each of the three projects had distinct intended outcomes:</w:t>
      </w:r>
    </w:p>
    <w:p w14:paraId="27DF64A6" w14:textId="77777777" w:rsidR="009F7603" w:rsidRPr="009F7603" w:rsidRDefault="009F7603" w:rsidP="00372A45">
      <w:pPr>
        <w:spacing w:before="0" w:after="120"/>
        <w:rPr>
          <w:szCs w:val="18"/>
          <w:u w:val="single"/>
        </w:rPr>
      </w:pPr>
      <w:r w:rsidRPr="009F7603">
        <w:rPr>
          <w:szCs w:val="18"/>
          <w:u w:val="single"/>
        </w:rPr>
        <w:t>Oxfam Australia Consortium in Ethiopia</w:t>
      </w:r>
    </w:p>
    <w:p w14:paraId="4025071A" w14:textId="77777777" w:rsidR="009F7603" w:rsidRPr="009F7603" w:rsidRDefault="009F7603" w:rsidP="00D41C74">
      <w:pPr>
        <w:numPr>
          <w:ilvl w:val="0"/>
          <w:numId w:val="56"/>
        </w:numPr>
        <w:spacing w:before="0" w:after="120"/>
        <w:contextualSpacing/>
        <w:rPr>
          <w:rFonts w:eastAsia="Calibri"/>
          <w:color w:val="auto"/>
          <w:szCs w:val="18"/>
        </w:rPr>
      </w:pPr>
      <w:r w:rsidRPr="009F7603">
        <w:rPr>
          <w:rFonts w:eastAsia="Calibri"/>
          <w:b/>
          <w:bCs/>
          <w:color w:val="auto"/>
          <w:szCs w:val="18"/>
        </w:rPr>
        <w:t>Increased Access to Quality Emergency Nutrition Services</w:t>
      </w:r>
      <w:r w:rsidRPr="009F7603">
        <w:rPr>
          <w:rFonts w:eastAsia="Calibri"/>
          <w:color w:val="auto"/>
          <w:szCs w:val="18"/>
        </w:rPr>
        <w:t>: Prevent, identify, and treat acute malnutrition among infants, children, and pregnant and lactating mothers in Tigray, Afar, and Amhara Regions.</w:t>
      </w:r>
    </w:p>
    <w:p w14:paraId="678E3F45" w14:textId="77777777" w:rsidR="009F7603" w:rsidRPr="009F7603" w:rsidRDefault="009F7603" w:rsidP="00D41C74">
      <w:pPr>
        <w:numPr>
          <w:ilvl w:val="0"/>
          <w:numId w:val="56"/>
        </w:numPr>
        <w:spacing w:before="0" w:after="120"/>
        <w:contextualSpacing/>
        <w:rPr>
          <w:rFonts w:eastAsia="Calibri"/>
          <w:color w:val="auto"/>
          <w:szCs w:val="18"/>
        </w:rPr>
      </w:pPr>
      <w:r w:rsidRPr="009F7603">
        <w:rPr>
          <w:rFonts w:eastAsia="Calibri"/>
          <w:b/>
          <w:bCs/>
          <w:color w:val="auto"/>
          <w:szCs w:val="18"/>
        </w:rPr>
        <w:t>Improved Food Security and Livelihoods</w:t>
      </w:r>
      <w:r w:rsidRPr="009F7603">
        <w:rPr>
          <w:rFonts w:eastAsia="Calibri"/>
          <w:color w:val="auto"/>
          <w:szCs w:val="18"/>
        </w:rPr>
        <w:t>: Enhance access to food security and livelihoods for conflict and drought-affected households in Tigray, Afar, and Amhara Regions.</w:t>
      </w:r>
    </w:p>
    <w:p w14:paraId="61479D2F" w14:textId="78A9A225" w:rsidR="007744B5" w:rsidRPr="006209A4" w:rsidRDefault="009F7603" w:rsidP="006209A4">
      <w:pPr>
        <w:numPr>
          <w:ilvl w:val="0"/>
          <w:numId w:val="56"/>
        </w:numPr>
        <w:spacing w:before="0" w:after="0"/>
        <w:contextualSpacing/>
        <w:rPr>
          <w:szCs w:val="18"/>
          <w:u w:val="single"/>
        </w:rPr>
      </w:pPr>
      <w:r w:rsidRPr="009F7603">
        <w:rPr>
          <w:rFonts w:eastAsia="Calibri"/>
          <w:b/>
          <w:bCs/>
          <w:color w:val="auto"/>
          <w:szCs w:val="18"/>
        </w:rPr>
        <w:t>Enhanced Protection</w:t>
      </w:r>
      <w:r w:rsidRPr="009F7603">
        <w:rPr>
          <w:rFonts w:eastAsia="Calibri"/>
          <w:color w:val="auto"/>
          <w:szCs w:val="18"/>
        </w:rPr>
        <w:t>: Provide improved protection for conflict and drought-affected women, men, boys, and girls in Tigray, Afar, and Amhara Regions.</w:t>
      </w:r>
    </w:p>
    <w:p w14:paraId="0EA9C140" w14:textId="3DCFEC59" w:rsidR="00372A45" w:rsidRPr="009F7603" w:rsidRDefault="009F7603" w:rsidP="006209A4">
      <w:pPr>
        <w:rPr>
          <w:szCs w:val="18"/>
          <w:u w:val="single"/>
        </w:rPr>
      </w:pPr>
      <w:r w:rsidRPr="009F7603">
        <w:rPr>
          <w:szCs w:val="18"/>
          <w:u w:val="single"/>
        </w:rPr>
        <w:t>Plan International Australia Consortium in Ethiopia</w:t>
      </w:r>
    </w:p>
    <w:p w14:paraId="4756A938" w14:textId="77777777" w:rsidR="009F7603" w:rsidRPr="009F7603" w:rsidRDefault="009F7603" w:rsidP="00D41C74">
      <w:pPr>
        <w:numPr>
          <w:ilvl w:val="0"/>
          <w:numId w:val="58"/>
        </w:numPr>
        <w:spacing w:before="0" w:after="0"/>
        <w:contextualSpacing/>
        <w:rPr>
          <w:rFonts w:eastAsia="Calibri"/>
          <w:color w:val="auto"/>
          <w:szCs w:val="18"/>
        </w:rPr>
      </w:pPr>
      <w:r w:rsidRPr="009F7603">
        <w:rPr>
          <w:rFonts w:eastAsia="Calibri"/>
          <w:b/>
          <w:bCs/>
          <w:color w:val="auto"/>
          <w:szCs w:val="18"/>
        </w:rPr>
        <w:t>Increased Access to Emergency Nutrition Services</w:t>
      </w:r>
      <w:r w:rsidRPr="009F7603">
        <w:rPr>
          <w:rFonts w:eastAsia="Calibri"/>
          <w:color w:val="auto"/>
          <w:szCs w:val="18"/>
        </w:rPr>
        <w:t xml:space="preserve">: Deliver emergency curative and preventive nutrition services for children under five, pregnant and lactating women, elders, and caretakers in </w:t>
      </w:r>
      <w:proofErr w:type="spellStart"/>
      <w:r w:rsidRPr="009F7603">
        <w:rPr>
          <w:rFonts w:eastAsia="Calibri"/>
          <w:color w:val="auto"/>
          <w:szCs w:val="18"/>
        </w:rPr>
        <w:t>Yabello</w:t>
      </w:r>
      <w:proofErr w:type="spellEnd"/>
      <w:r w:rsidRPr="009F7603">
        <w:rPr>
          <w:rFonts w:eastAsia="Calibri"/>
          <w:color w:val="auto"/>
          <w:szCs w:val="18"/>
        </w:rPr>
        <w:t xml:space="preserve"> and </w:t>
      </w:r>
      <w:proofErr w:type="spellStart"/>
      <w:r w:rsidRPr="009F7603">
        <w:rPr>
          <w:rFonts w:eastAsia="Calibri"/>
          <w:color w:val="auto"/>
          <w:szCs w:val="18"/>
        </w:rPr>
        <w:t>Gomole</w:t>
      </w:r>
      <w:proofErr w:type="spellEnd"/>
      <w:r w:rsidRPr="009F7603">
        <w:rPr>
          <w:rFonts w:eastAsia="Calibri"/>
          <w:color w:val="auto"/>
          <w:szCs w:val="18"/>
        </w:rPr>
        <w:t xml:space="preserve"> woredas,</w:t>
      </w:r>
      <w:r w:rsidRPr="009F7603">
        <w:rPr>
          <w:rFonts w:eastAsia="Calibri"/>
          <w:color w:val="auto"/>
          <w:szCs w:val="18"/>
          <w:vertAlign w:val="superscript"/>
        </w:rPr>
        <w:footnoteReference w:id="2"/>
      </w:r>
      <w:r w:rsidRPr="009F7603">
        <w:rPr>
          <w:rFonts w:eastAsia="Calibri"/>
          <w:color w:val="auto"/>
          <w:szCs w:val="18"/>
        </w:rPr>
        <w:t xml:space="preserve"> </w:t>
      </w:r>
      <w:proofErr w:type="spellStart"/>
      <w:r w:rsidRPr="009F7603">
        <w:rPr>
          <w:rFonts w:eastAsia="Calibri"/>
          <w:color w:val="auto"/>
          <w:szCs w:val="18"/>
        </w:rPr>
        <w:t>Borena</w:t>
      </w:r>
      <w:proofErr w:type="spellEnd"/>
      <w:r w:rsidRPr="009F7603">
        <w:rPr>
          <w:rFonts w:eastAsia="Calibri"/>
          <w:color w:val="auto"/>
          <w:szCs w:val="18"/>
        </w:rPr>
        <w:t xml:space="preserve"> Zone, Oromia Region.</w:t>
      </w:r>
    </w:p>
    <w:p w14:paraId="62A6A80D" w14:textId="77777777" w:rsidR="009F7603" w:rsidRPr="009F7603" w:rsidRDefault="009F7603" w:rsidP="00D41C74">
      <w:pPr>
        <w:numPr>
          <w:ilvl w:val="0"/>
          <w:numId w:val="58"/>
        </w:numPr>
        <w:spacing w:before="0" w:after="120"/>
        <w:contextualSpacing/>
        <w:rPr>
          <w:rFonts w:eastAsia="Calibri"/>
          <w:color w:val="auto"/>
          <w:szCs w:val="18"/>
        </w:rPr>
      </w:pPr>
      <w:r w:rsidRPr="009F7603">
        <w:rPr>
          <w:rFonts w:eastAsia="Calibri"/>
          <w:b/>
          <w:bCs/>
          <w:color w:val="auto"/>
          <w:szCs w:val="18"/>
        </w:rPr>
        <w:lastRenderedPageBreak/>
        <w:t>Enhanced Resilience for At-Risk Groups</w:t>
      </w:r>
      <w:r w:rsidRPr="009F7603">
        <w:rPr>
          <w:rFonts w:eastAsia="Calibri"/>
          <w:color w:val="auto"/>
          <w:szCs w:val="18"/>
        </w:rPr>
        <w:t xml:space="preserve">: Support women, adolescent girls, women-headed households, people with disabilities, and the elderly in meeting immediate needs and improving food security and livelihoods in </w:t>
      </w:r>
      <w:proofErr w:type="spellStart"/>
      <w:r w:rsidRPr="009F7603">
        <w:rPr>
          <w:rFonts w:eastAsia="Calibri"/>
          <w:color w:val="auto"/>
          <w:szCs w:val="18"/>
        </w:rPr>
        <w:t>Borena</w:t>
      </w:r>
      <w:proofErr w:type="spellEnd"/>
      <w:r w:rsidRPr="009F7603">
        <w:rPr>
          <w:rFonts w:eastAsia="Calibri"/>
          <w:color w:val="auto"/>
          <w:szCs w:val="18"/>
        </w:rPr>
        <w:t xml:space="preserve"> Zone, Oromia Region, and Tigray Region.</w:t>
      </w:r>
    </w:p>
    <w:p w14:paraId="6554A5AE" w14:textId="43460A42" w:rsidR="00911149" w:rsidRPr="006209A4" w:rsidRDefault="009F7603" w:rsidP="00C834AD">
      <w:pPr>
        <w:numPr>
          <w:ilvl w:val="0"/>
          <w:numId w:val="58"/>
        </w:numPr>
        <w:spacing w:before="0" w:after="0"/>
        <w:contextualSpacing/>
        <w:rPr>
          <w:rFonts w:eastAsia="Calibri"/>
          <w:color w:val="auto"/>
          <w:szCs w:val="18"/>
        </w:rPr>
      </w:pPr>
      <w:r w:rsidRPr="009F7603">
        <w:rPr>
          <w:rFonts w:eastAsia="Calibri"/>
          <w:b/>
          <w:bCs/>
          <w:color w:val="auto"/>
          <w:szCs w:val="18"/>
        </w:rPr>
        <w:t>Improved Purchasing Power and Nutritional Outcomes</w:t>
      </w:r>
      <w:r w:rsidRPr="009F7603">
        <w:rPr>
          <w:rFonts w:eastAsia="Calibri"/>
          <w:color w:val="auto"/>
          <w:szCs w:val="18"/>
        </w:rPr>
        <w:t>: Enhance the purchasing power and nutritional outcomes of chronically food-insecure households to meet immediate needs and avoid negative coping strategies in Somali Region.</w:t>
      </w:r>
    </w:p>
    <w:p w14:paraId="46074B4E" w14:textId="37CE3DCF" w:rsidR="00C834AD" w:rsidRPr="009F7603" w:rsidRDefault="009F7603" w:rsidP="006209A4">
      <w:pPr>
        <w:spacing w:line="240" w:lineRule="auto"/>
        <w:rPr>
          <w:szCs w:val="18"/>
          <w:u w:val="single"/>
        </w:rPr>
      </w:pPr>
      <w:r w:rsidRPr="009F7603">
        <w:rPr>
          <w:szCs w:val="18"/>
          <w:u w:val="single"/>
        </w:rPr>
        <w:t>Oxfam Australia Consortium in Kenya</w:t>
      </w:r>
    </w:p>
    <w:p w14:paraId="7D0880B2" w14:textId="77777777" w:rsidR="009F7603" w:rsidRPr="009F7603" w:rsidRDefault="009F7603" w:rsidP="00D41C74">
      <w:pPr>
        <w:numPr>
          <w:ilvl w:val="0"/>
          <w:numId w:val="57"/>
        </w:numPr>
        <w:spacing w:before="0" w:after="0" w:line="240" w:lineRule="auto"/>
        <w:contextualSpacing/>
        <w:rPr>
          <w:rFonts w:eastAsia="Calibri"/>
          <w:color w:val="auto"/>
          <w:szCs w:val="18"/>
        </w:rPr>
      </w:pPr>
      <w:r w:rsidRPr="009F7603">
        <w:rPr>
          <w:rFonts w:eastAsia="Calibri"/>
          <w:b/>
          <w:bCs/>
          <w:color w:val="auto"/>
          <w:szCs w:val="18"/>
        </w:rPr>
        <w:t>Improved Food Security</w:t>
      </w:r>
      <w:r w:rsidRPr="009F7603">
        <w:rPr>
          <w:rFonts w:eastAsia="Calibri"/>
          <w:color w:val="auto"/>
          <w:szCs w:val="18"/>
        </w:rPr>
        <w:t>: Provide multi-purpose cash assistance to improve food security for 1,500 households (9,800 participants, including 3,080 women, 2,590 girls, 980 men, and 3,150 boys).</w:t>
      </w:r>
    </w:p>
    <w:p w14:paraId="4A3E2021" w14:textId="77777777" w:rsidR="009F7603" w:rsidRPr="009F7603" w:rsidRDefault="009F7603" w:rsidP="00D41C74">
      <w:pPr>
        <w:numPr>
          <w:ilvl w:val="0"/>
          <w:numId w:val="57"/>
        </w:numPr>
        <w:spacing w:before="0" w:after="120"/>
        <w:contextualSpacing/>
        <w:rPr>
          <w:rFonts w:eastAsia="Calibri"/>
          <w:color w:val="auto"/>
          <w:szCs w:val="18"/>
        </w:rPr>
      </w:pPr>
      <w:r w:rsidRPr="009F7603">
        <w:rPr>
          <w:rFonts w:eastAsia="Calibri"/>
          <w:b/>
          <w:bCs/>
          <w:color w:val="auto"/>
          <w:szCs w:val="18"/>
        </w:rPr>
        <w:t>Enhanced WASH Access</w:t>
      </w:r>
      <w:r w:rsidRPr="009F7603">
        <w:rPr>
          <w:rFonts w:eastAsia="Calibri"/>
          <w:color w:val="auto"/>
          <w:szCs w:val="18"/>
        </w:rPr>
        <w:t xml:space="preserve">: Improve access to safe water and WASH-related information to prevent diseases for 6,100 households (41,600 participants: 12,957 women, 10,059 girls, 6,763 men, and 11,821 boys) in </w:t>
      </w:r>
      <w:proofErr w:type="spellStart"/>
      <w:r w:rsidRPr="009F7603">
        <w:rPr>
          <w:rFonts w:eastAsia="Calibri"/>
          <w:color w:val="auto"/>
          <w:szCs w:val="18"/>
        </w:rPr>
        <w:t>Marsabit</w:t>
      </w:r>
      <w:proofErr w:type="spellEnd"/>
      <w:r w:rsidRPr="009F7603">
        <w:rPr>
          <w:rFonts w:eastAsia="Calibri"/>
          <w:color w:val="auto"/>
          <w:szCs w:val="18"/>
        </w:rPr>
        <w:t xml:space="preserve"> and Turkana Counties.</w:t>
      </w:r>
    </w:p>
    <w:p w14:paraId="4C636861" w14:textId="77777777" w:rsidR="009F7603" w:rsidRPr="009F7603" w:rsidRDefault="009F7603" w:rsidP="00D41C74">
      <w:pPr>
        <w:numPr>
          <w:ilvl w:val="0"/>
          <w:numId w:val="57"/>
        </w:numPr>
        <w:spacing w:before="0" w:after="120"/>
        <w:contextualSpacing/>
        <w:rPr>
          <w:rFonts w:eastAsia="Calibri"/>
          <w:color w:val="auto"/>
          <w:szCs w:val="18"/>
        </w:rPr>
      </w:pPr>
      <w:r w:rsidRPr="009F7603">
        <w:rPr>
          <w:rFonts w:eastAsia="Calibri"/>
          <w:b/>
          <w:bCs/>
          <w:color w:val="auto"/>
          <w:szCs w:val="18"/>
        </w:rPr>
        <w:t>Protection Against Gender-Based Violence</w:t>
      </w:r>
      <w:r w:rsidRPr="009F7603">
        <w:rPr>
          <w:rFonts w:eastAsia="Calibri"/>
          <w:color w:val="auto"/>
          <w:szCs w:val="18"/>
        </w:rPr>
        <w:t>: Protect 2,917 households (5,090 women, 4,033 girls, 4,303 men, and 4,074 boys) against gender-based violence and drought-induced protection risks, and support survivors in accessing protection services.</w:t>
      </w:r>
    </w:p>
    <w:p w14:paraId="4AFF3EDD" w14:textId="55462CBB" w:rsidR="00911149" w:rsidRPr="006209A4" w:rsidRDefault="009F7603" w:rsidP="009F7603">
      <w:pPr>
        <w:numPr>
          <w:ilvl w:val="0"/>
          <w:numId w:val="57"/>
        </w:numPr>
        <w:spacing w:before="0" w:after="120"/>
        <w:contextualSpacing/>
        <w:rPr>
          <w:rFonts w:eastAsia="Calibri"/>
          <w:color w:val="auto"/>
          <w:szCs w:val="18"/>
        </w:rPr>
      </w:pPr>
      <w:r w:rsidRPr="009F7603">
        <w:rPr>
          <w:rFonts w:eastAsia="Calibri"/>
          <w:b/>
          <w:bCs/>
          <w:color w:val="auto"/>
          <w:szCs w:val="18"/>
        </w:rPr>
        <w:t>Effective Coordination and Localisation</w:t>
      </w:r>
      <w:r w:rsidRPr="009F7603">
        <w:rPr>
          <w:rFonts w:eastAsia="Calibri"/>
          <w:color w:val="auto"/>
          <w:szCs w:val="18"/>
        </w:rPr>
        <w:t>: Ensure effective coordination, complementarity, and localisation of the humanitarian response.</w:t>
      </w:r>
    </w:p>
    <w:p w14:paraId="54E1F2C8" w14:textId="77777777" w:rsidR="006209A4" w:rsidRDefault="009F7603" w:rsidP="006209A4">
      <w:pPr>
        <w:spacing w:after="120"/>
        <w:rPr>
          <w:b/>
          <w:bCs/>
          <w:szCs w:val="18"/>
        </w:rPr>
      </w:pPr>
      <w:r w:rsidRPr="009F7603">
        <w:rPr>
          <w:b/>
          <w:bCs/>
          <w:szCs w:val="18"/>
        </w:rPr>
        <w:t xml:space="preserve">Methodology </w:t>
      </w:r>
    </w:p>
    <w:p w14:paraId="38618D6A" w14:textId="4359536A" w:rsidR="009F7603" w:rsidRPr="009F7603" w:rsidRDefault="009F7603" w:rsidP="009F7603">
      <w:pPr>
        <w:spacing w:before="0" w:after="120"/>
        <w:rPr>
          <w:szCs w:val="18"/>
        </w:rPr>
      </w:pPr>
      <w:r w:rsidRPr="009F7603">
        <w:rPr>
          <w:szCs w:val="18"/>
        </w:rPr>
        <w:t xml:space="preserve">The evaluation employed a combination of Utilisation Focused Evaluation (UFE) and Result Based Management (RBM), particularly the </w:t>
      </w:r>
      <w:proofErr w:type="spellStart"/>
      <w:r w:rsidRPr="009F7603">
        <w:rPr>
          <w:szCs w:val="18"/>
        </w:rPr>
        <w:t>Logframe</w:t>
      </w:r>
      <w:proofErr w:type="spellEnd"/>
      <w:r w:rsidRPr="009F7603">
        <w:rPr>
          <w:szCs w:val="18"/>
        </w:rPr>
        <w:t xml:space="preserve"> Analysis approaches. The former</w:t>
      </w:r>
      <w:proofErr w:type="gramStart"/>
      <w:r w:rsidRPr="009F7603">
        <w:rPr>
          <w:szCs w:val="18"/>
        </w:rPr>
        <w:t>, in particular, ensured</w:t>
      </w:r>
      <w:proofErr w:type="gramEnd"/>
      <w:r w:rsidRPr="009F7603">
        <w:rPr>
          <w:szCs w:val="18"/>
        </w:rPr>
        <w:t xml:space="preserve"> participation (in the evaluation process) of the client (DFAT) and the grantee partner organisations in Australia (Plan International and Oxfam), and lead implementing organisations in the AHP Consortiums in Kenya and Ethiopia. </w:t>
      </w:r>
    </w:p>
    <w:p w14:paraId="117AEFF5" w14:textId="77777777" w:rsidR="009F7603" w:rsidRPr="009F7603" w:rsidRDefault="009F7603" w:rsidP="009F7603">
      <w:pPr>
        <w:spacing w:before="0" w:after="120"/>
        <w:rPr>
          <w:szCs w:val="18"/>
        </w:rPr>
      </w:pPr>
      <w:r w:rsidRPr="009F7603">
        <w:rPr>
          <w:szCs w:val="18"/>
        </w:rPr>
        <w:t xml:space="preserve">Data collection methods included key informant interviews with diverse stakeholders, facilitated group discussions, surveys for beneficiaries and duty bearers, and document reviews. </w:t>
      </w:r>
    </w:p>
    <w:p w14:paraId="34543251" w14:textId="77777777" w:rsidR="009F7603" w:rsidRPr="009F7603" w:rsidRDefault="009F7603" w:rsidP="009F7603">
      <w:pPr>
        <w:spacing w:before="0" w:after="120"/>
        <w:rPr>
          <w:szCs w:val="18"/>
        </w:rPr>
      </w:pPr>
      <w:r w:rsidRPr="009F7603">
        <w:rPr>
          <w:szCs w:val="18"/>
        </w:rPr>
        <w:t>Several challenges, including language barriers, limited respondent availability, and logistical constraints impacted data collection in certain instances. However, efforts were made to mitigate these challenges and ensure comprehensive insights into the projects' performance.</w:t>
      </w:r>
    </w:p>
    <w:p w14:paraId="1D1B1CA1" w14:textId="77777777" w:rsidR="009F7603" w:rsidRPr="009F7603" w:rsidRDefault="009F7603" w:rsidP="009F7603">
      <w:pPr>
        <w:spacing w:before="0" w:after="120"/>
        <w:rPr>
          <w:b/>
          <w:bCs/>
          <w:szCs w:val="18"/>
        </w:rPr>
      </w:pPr>
      <w:r w:rsidRPr="009F7603">
        <w:rPr>
          <w:b/>
          <w:bCs/>
          <w:szCs w:val="18"/>
        </w:rPr>
        <w:t xml:space="preserve">Key Findings </w:t>
      </w:r>
    </w:p>
    <w:p w14:paraId="3425FFBE" w14:textId="77777777" w:rsidR="009F7603" w:rsidRPr="009F7603" w:rsidRDefault="009F7603" w:rsidP="009F7603">
      <w:pPr>
        <w:spacing w:before="0" w:after="120"/>
        <w:rPr>
          <w:szCs w:val="18"/>
        </w:rPr>
      </w:pPr>
      <w:r w:rsidRPr="009F7603">
        <w:rPr>
          <w:szCs w:val="18"/>
        </w:rPr>
        <w:t>The evaluation uncovered several key findings that shed light on the success and areas for improvement in the FSL interventions:</w:t>
      </w:r>
    </w:p>
    <w:p w14:paraId="30D0D8CB" w14:textId="77777777" w:rsidR="009F7603" w:rsidRPr="009F7603" w:rsidRDefault="009F7603" w:rsidP="009F7603">
      <w:pPr>
        <w:spacing w:before="0" w:after="120"/>
        <w:rPr>
          <w:szCs w:val="18"/>
        </w:rPr>
      </w:pPr>
      <w:r w:rsidRPr="009F7603">
        <w:rPr>
          <w:b/>
          <w:bCs/>
          <w:szCs w:val="18"/>
        </w:rPr>
        <w:t>Relevance</w:t>
      </w:r>
      <w:r w:rsidRPr="009F7603">
        <w:rPr>
          <w:szCs w:val="18"/>
        </w:rPr>
        <w:t xml:space="preserve">: The evaluation of FSL interventions in Ethiopia and Kenya reveals a tailored approach to meet community needs. In Ethiopia, interventions addressed food insecurity and livelihood challenges among pastoralist and </w:t>
      </w:r>
      <w:proofErr w:type="spellStart"/>
      <w:r w:rsidRPr="009F7603">
        <w:rPr>
          <w:szCs w:val="18"/>
        </w:rPr>
        <w:t>agro</w:t>
      </w:r>
      <w:proofErr w:type="spellEnd"/>
      <w:r w:rsidRPr="009F7603">
        <w:rPr>
          <w:szCs w:val="18"/>
        </w:rPr>
        <w:t xml:space="preserve">-pastoralist communities in drought and conflict-affected regions. In Kenya, similar efforts targeted communities facing prolonged drought and conflict in </w:t>
      </w:r>
      <w:proofErr w:type="spellStart"/>
      <w:r w:rsidRPr="009F7603">
        <w:rPr>
          <w:szCs w:val="18"/>
        </w:rPr>
        <w:t>Marsabit</w:t>
      </w:r>
      <w:proofErr w:type="spellEnd"/>
      <w:r w:rsidRPr="009F7603">
        <w:rPr>
          <w:szCs w:val="18"/>
        </w:rPr>
        <w:t xml:space="preserve"> and Turkana. Rigorous consultations and participatory processes ensured alignment with local needs, emphasising vulnerable groups' inclusion. Flexibility was evident in adjusting interventions to changing contexts, such as hyperinflation, water scarcity, and climate challenges. Stakeholder collaboration enhanced program relevance, exemplified by initiatives like kitchen gardening and livestock support. Overall, the FSL interventions demonstrated adaptability and responsiveness, vital for addressing complex humanitarian challenges.</w:t>
      </w:r>
    </w:p>
    <w:p w14:paraId="5719A322" w14:textId="77777777" w:rsidR="009F7603" w:rsidRPr="009F7603" w:rsidRDefault="009F7603" w:rsidP="009F7603">
      <w:pPr>
        <w:spacing w:before="0" w:after="120"/>
        <w:rPr>
          <w:szCs w:val="18"/>
        </w:rPr>
      </w:pPr>
      <w:r w:rsidRPr="009F7603">
        <w:rPr>
          <w:b/>
          <w:bCs/>
          <w:szCs w:val="18"/>
        </w:rPr>
        <w:t>Coherence:</w:t>
      </w:r>
      <w:r w:rsidRPr="009F7603">
        <w:rPr>
          <w:szCs w:val="18"/>
        </w:rPr>
        <w:t xml:space="preserve"> The AHP FSL interventions in Ethiopia and Kenya were localised and aligned with regional and county-level government-led coordination mechanisms such as inter-sectoral committees and technical working groups. Despite the absence of traditional humanitarian coordination platforms, these structures ensured efficient resource use and prevented duplication. This adaptability and alignment with existing coordination structures enhanced the FSL interventions' relevance and impact on targeted beneficiaries and communities.</w:t>
      </w:r>
    </w:p>
    <w:p w14:paraId="1736D905" w14:textId="77777777" w:rsidR="00120B7C" w:rsidRDefault="009F7603" w:rsidP="009F7603">
      <w:pPr>
        <w:spacing w:before="0" w:after="120"/>
        <w:rPr>
          <w:szCs w:val="18"/>
        </w:rPr>
      </w:pPr>
      <w:r w:rsidRPr="009F7603">
        <w:rPr>
          <w:b/>
          <w:bCs/>
          <w:szCs w:val="18"/>
        </w:rPr>
        <w:t>Effectiveness:</w:t>
      </w:r>
      <w:r w:rsidRPr="009F7603">
        <w:rPr>
          <w:szCs w:val="18"/>
        </w:rPr>
        <w:t xml:space="preserve"> The AHP FSL interventions generated expected results across diverse groups, including women, men, </w:t>
      </w:r>
      <w:proofErr w:type="gramStart"/>
      <w:r w:rsidRPr="009F7603">
        <w:rPr>
          <w:szCs w:val="18"/>
        </w:rPr>
        <w:t>girls</w:t>
      </w:r>
      <w:proofErr w:type="gramEnd"/>
      <w:r w:rsidRPr="009F7603">
        <w:rPr>
          <w:szCs w:val="18"/>
        </w:rPr>
        <w:t xml:space="preserve"> and boys. Particularly for marginalised groups like women, girls, and </w:t>
      </w:r>
      <w:r w:rsidRPr="009F7603">
        <w:rPr>
          <w:szCs w:val="18"/>
        </w:rPr>
        <w:lastRenderedPageBreak/>
        <w:t xml:space="preserve">people with disabilities, the outcomes were significant, showcasing improved livelihood opportunities, access to resources, and socioeconomic empowerment. </w:t>
      </w:r>
    </w:p>
    <w:p w14:paraId="0BD4223F" w14:textId="31F17589" w:rsidR="009F7603" w:rsidRPr="009F7603" w:rsidRDefault="009F7603" w:rsidP="009F7603">
      <w:pPr>
        <w:spacing w:before="0" w:after="120"/>
        <w:rPr>
          <w:szCs w:val="18"/>
        </w:rPr>
      </w:pPr>
      <w:r w:rsidRPr="009F7603">
        <w:rPr>
          <w:szCs w:val="18"/>
        </w:rPr>
        <w:t>Transparency and accountability, local presence of implementing staff, community participation in planning, stakeholder involvement with feedback mechanisms, experienced and committed implementation partners, use of technology like Mobile Money Platforms, a needs-based approach, and community-government collaboration for sustainability played a key role in the success of the intervention as they fostered trust, participation, responsiveness to community needs, and efficient implementation, contributing to positive outcomes in FSL interventions.</w:t>
      </w:r>
    </w:p>
    <w:p w14:paraId="643287F4" w14:textId="77777777" w:rsidR="009F7603" w:rsidRPr="009F7603" w:rsidRDefault="009F7603" w:rsidP="009F7603">
      <w:pPr>
        <w:spacing w:before="0" w:after="120"/>
        <w:rPr>
          <w:szCs w:val="18"/>
        </w:rPr>
      </w:pPr>
      <w:r w:rsidRPr="009F7603">
        <w:rPr>
          <w:szCs w:val="18"/>
        </w:rPr>
        <w:t xml:space="preserve">However, in some areas, various factors hindered the progress of some of the FSL interventions, particularly agriculture and protection. These include limited staff presence on the ground in </w:t>
      </w:r>
      <w:proofErr w:type="spellStart"/>
      <w:r w:rsidRPr="009F7603">
        <w:rPr>
          <w:szCs w:val="18"/>
        </w:rPr>
        <w:t>Borena</w:t>
      </w:r>
      <w:proofErr w:type="spellEnd"/>
      <w:r w:rsidRPr="009F7603">
        <w:rPr>
          <w:szCs w:val="18"/>
        </w:rPr>
        <w:t xml:space="preserve">, Ethiopia, cultural barriers like elders' authority in handling of gender-based violence (GBV) cases in Turkana, hostile climates affecting agriculture in all target regions, untimely distribution of resources in </w:t>
      </w:r>
      <w:proofErr w:type="spellStart"/>
      <w:r w:rsidRPr="009F7603">
        <w:rPr>
          <w:szCs w:val="18"/>
        </w:rPr>
        <w:t>Borena</w:t>
      </w:r>
      <w:proofErr w:type="spellEnd"/>
      <w:r w:rsidRPr="009F7603">
        <w:rPr>
          <w:szCs w:val="18"/>
        </w:rPr>
        <w:t>, and poor infrastructure causing transportation and communication challenges in most of the target areas.</w:t>
      </w:r>
    </w:p>
    <w:p w14:paraId="019676E8" w14:textId="77777777" w:rsidR="009F7603" w:rsidRPr="009F7603" w:rsidRDefault="009F7603" w:rsidP="009F7603">
      <w:pPr>
        <w:spacing w:before="0" w:after="120"/>
        <w:rPr>
          <w:szCs w:val="18"/>
        </w:rPr>
      </w:pPr>
      <w:r w:rsidRPr="009F7603">
        <w:rPr>
          <w:szCs w:val="18"/>
        </w:rPr>
        <w:t>In terms of protection for drought-affected individuals, the interventions were effective in providing immediate assistance and establishing robust referral pathways. Psychosocial support mechanisms were also in place, enhancing resilience and coping strategies among the affected populations. However, challenges remain, such as lack of trust in the formal structures like the police, underreporting of cases of GBV, lack of availability and accessibility of psychosocial and mental health services in remote areas, and non-supportive cultural norms that discourage formal reporting, amongst others.</w:t>
      </w:r>
    </w:p>
    <w:p w14:paraId="045C5EE7" w14:textId="77777777" w:rsidR="009F7603" w:rsidRPr="009F7603" w:rsidRDefault="009F7603" w:rsidP="009F7603">
      <w:pPr>
        <w:spacing w:before="0" w:after="120"/>
        <w:ind w:left="-3"/>
        <w:rPr>
          <w:szCs w:val="18"/>
        </w:rPr>
      </w:pPr>
      <w:r w:rsidRPr="009F7603">
        <w:rPr>
          <w:b/>
          <w:bCs/>
          <w:szCs w:val="18"/>
        </w:rPr>
        <w:t xml:space="preserve">Efficiency: </w:t>
      </w:r>
      <w:r w:rsidRPr="009F7603">
        <w:rPr>
          <w:szCs w:val="18"/>
        </w:rPr>
        <w:t xml:space="preserve">The evaluation found that the FSL interventions in Ethiopia and Kenya were, by and large, managed efficiently. The evaluation has noted factors contributing to this success, to include transparent procurement practices, timely supply of items and cash assistance, and efficient budget utilisation, ensuring resources were directed appropriately. However, challenges such as delays in seed distribution, limited community engagement in planning, logistical barriers affecting transportation and project outcomes, and delays in delivering WASH activities, specifically in </w:t>
      </w:r>
      <w:proofErr w:type="spellStart"/>
      <w:r w:rsidRPr="009F7603">
        <w:rPr>
          <w:szCs w:val="18"/>
        </w:rPr>
        <w:t>Borena</w:t>
      </w:r>
      <w:proofErr w:type="spellEnd"/>
      <w:r w:rsidRPr="009F7603">
        <w:rPr>
          <w:szCs w:val="18"/>
        </w:rPr>
        <w:t xml:space="preserve"> area, were identified as areas for improvement.</w:t>
      </w:r>
    </w:p>
    <w:p w14:paraId="66B1755F" w14:textId="77777777" w:rsidR="009F7603" w:rsidRPr="009F7603" w:rsidRDefault="009F7603" w:rsidP="009F7603">
      <w:pPr>
        <w:spacing w:before="0" w:after="120"/>
        <w:rPr>
          <w:szCs w:val="18"/>
        </w:rPr>
      </w:pPr>
      <w:r w:rsidRPr="009F7603">
        <w:rPr>
          <w:b/>
          <w:bCs/>
          <w:szCs w:val="18"/>
        </w:rPr>
        <w:t>Impact:</w:t>
      </w:r>
      <w:r w:rsidRPr="009F7603">
        <w:rPr>
          <w:szCs w:val="18"/>
        </w:rPr>
        <w:t xml:space="preserve"> Tailored interventions, especially cash assistance, have been pivotal in driving positive change across diverse areas, such as livelihoods, community stability, and psychosocial well-being. These tailored approaches not only have the potential to foster economic stability and resilience but also restore dignity and promote self-sufficiency among beneficiaries.</w:t>
      </w:r>
    </w:p>
    <w:p w14:paraId="40F09E5A" w14:textId="77777777" w:rsidR="009F7603" w:rsidRPr="009F7603" w:rsidRDefault="009F7603" w:rsidP="009F7603">
      <w:pPr>
        <w:spacing w:before="0" w:after="120"/>
        <w:rPr>
          <w:szCs w:val="18"/>
        </w:rPr>
      </w:pPr>
      <w:r w:rsidRPr="009F7603">
        <w:rPr>
          <w:b/>
          <w:bCs/>
          <w:szCs w:val="18"/>
        </w:rPr>
        <w:t>Sustainability</w:t>
      </w:r>
      <w:r w:rsidRPr="009F7603">
        <w:rPr>
          <w:szCs w:val="18"/>
        </w:rPr>
        <w:t>: The FSL interventions have taken a two-pronged approach: addressing the immediate emergency needs, while also promoting sustainable strategies to build resilience. The multi-purpose cash transfer intervention has allowed beneficiaries to meet immediate needs and to invest in long-term livelihoods. This includes restocking herds, diversifying livelihoods with drought-resistant seeds and livestock, starting small businesses, and investing in kitchen gardens. All three FSL projects have largely engaged communities in planning and implementation of the FSL response, which promotes community buy-in. However, challenges such as ongoing drought in water-stressed areas raise concerns about long-term sustainability. This is because most of the agricultural related interventions initiated as part of the FSL intervention are affected by drought conditions, and other initiatives to promote economic empowerment at household level are still in their infancy. Therefore, once the cash transfers cease, the affected populations are likely to recede to the same vulnerable situation they were in. Hence the need for follow-on interventions to consolidate the gains of the current initiatives while at the same time addressing the longer-term development needs of these communities amidst the persistent harsh climatic conditions.</w:t>
      </w:r>
    </w:p>
    <w:p w14:paraId="69F7BF4E" w14:textId="77777777" w:rsidR="009F7603" w:rsidRPr="009F7603" w:rsidRDefault="009F7603" w:rsidP="009F7603">
      <w:pPr>
        <w:spacing w:before="0" w:after="120"/>
        <w:rPr>
          <w:szCs w:val="18"/>
        </w:rPr>
      </w:pPr>
      <w:r w:rsidRPr="009F7603">
        <w:rPr>
          <w:b/>
          <w:bCs/>
          <w:szCs w:val="18"/>
        </w:rPr>
        <w:t>Synergy:</w:t>
      </w:r>
      <w:r w:rsidRPr="009F7603">
        <w:rPr>
          <w:szCs w:val="18"/>
        </w:rPr>
        <w:t xml:space="preserve"> The FSL-integrated and coordinated approaches enhanced outcomes. For example, the multi-purpose cash transfers allowed beneficiaries to address immediate needs while investing in future livelihoods. Promotion of WASH activities not only improved health outcomes but also supported FSL sustainability, as healthier individuals are more productive. Protection interventions focused on awareness-raising and psychosocial support, contributing to reduced incidents of violence and improved well-being. Challenges include limited coordination among interventions, </w:t>
      </w:r>
      <w:r w:rsidRPr="009F7603">
        <w:rPr>
          <w:szCs w:val="18"/>
        </w:rPr>
        <w:lastRenderedPageBreak/>
        <w:t>especially in remote areas, and resource allocation discrepancies, emphasising the need for strategic planning and collaboration for sustained impact.</w:t>
      </w:r>
    </w:p>
    <w:p w14:paraId="607300A8" w14:textId="77777777" w:rsidR="009F7603" w:rsidRPr="009F7603" w:rsidRDefault="009F7603" w:rsidP="009F7603">
      <w:pPr>
        <w:spacing w:before="0" w:after="120"/>
        <w:rPr>
          <w:szCs w:val="18"/>
        </w:rPr>
      </w:pPr>
      <w:r w:rsidRPr="009F7603">
        <w:rPr>
          <w:b/>
          <w:bCs/>
          <w:szCs w:val="18"/>
        </w:rPr>
        <w:t>Inclusion and Diversity</w:t>
      </w:r>
      <w:r w:rsidRPr="009F7603">
        <w:rPr>
          <w:szCs w:val="18"/>
        </w:rPr>
        <w:t>: Although FSL has a strong inclusion focus, the evaluation found that the intervention did not include specific strategies or practices to address the unique needs of people with disabilities to ensure effective inclusion. For example, even when such individuals were included, equity principles and adaptations were not applied in multi-purpose cash transfer calculations, or in the procurement and distribution of non-food items.</w:t>
      </w:r>
    </w:p>
    <w:p w14:paraId="36ED0765" w14:textId="77777777" w:rsidR="009F7603" w:rsidRPr="009F7603" w:rsidRDefault="009F7603" w:rsidP="009F7603">
      <w:pPr>
        <w:spacing w:before="0" w:after="120"/>
        <w:rPr>
          <w:szCs w:val="18"/>
        </w:rPr>
      </w:pPr>
      <w:r w:rsidRPr="009F7603">
        <w:rPr>
          <w:b/>
          <w:bCs/>
          <w:szCs w:val="18"/>
        </w:rPr>
        <w:t>Accountability to Affected Persons</w:t>
      </w:r>
      <w:r w:rsidRPr="009F7603">
        <w:rPr>
          <w:szCs w:val="18"/>
        </w:rPr>
        <w:t>: Communication and feedback mechanisms played a crucial role in ensuring accountability to affected people with disabilities throughout the intervention design and implementation process.</w:t>
      </w:r>
    </w:p>
    <w:p w14:paraId="3E4189C7" w14:textId="77777777" w:rsidR="009F7603" w:rsidRPr="009F7603" w:rsidRDefault="009F7603" w:rsidP="009F7603">
      <w:pPr>
        <w:spacing w:before="0" w:after="120"/>
        <w:rPr>
          <w:szCs w:val="18"/>
        </w:rPr>
      </w:pPr>
      <w:r w:rsidRPr="009F7603">
        <w:rPr>
          <w:b/>
          <w:bCs/>
          <w:szCs w:val="18"/>
        </w:rPr>
        <w:t>Localisation:</w:t>
      </w:r>
      <w:r w:rsidRPr="009F7603">
        <w:rPr>
          <w:szCs w:val="18"/>
        </w:rPr>
        <w:t xml:space="preserve"> The FSL interventions effectively utilised local systems and leadership structures for planning, </w:t>
      </w:r>
      <w:proofErr w:type="gramStart"/>
      <w:r w:rsidRPr="009F7603">
        <w:rPr>
          <w:szCs w:val="18"/>
        </w:rPr>
        <w:t>coordination</w:t>
      </w:r>
      <w:proofErr w:type="gramEnd"/>
      <w:r w:rsidRPr="009F7603">
        <w:rPr>
          <w:szCs w:val="18"/>
        </w:rPr>
        <w:t xml:space="preserve"> and implementation, ensuring community engagement and ownership. This has facilitated trust, </w:t>
      </w:r>
      <w:proofErr w:type="gramStart"/>
      <w:r w:rsidRPr="009F7603">
        <w:rPr>
          <w:szCs w:val="18"/>
        </w:rPr>
        <w:t>transparency</w:t>
      </w:r>
      <w:proofErr w:type="gramEnd"/>
      <w:r w:rsidRPr="009F7603">
        <w:rPr>
          <w:szCs w:val="18"/>
        </w:rPr>
        <w:t xml:space="preserve"> and community buy-in. Collaboration with government sectors at various levels provided technical expertise in implementation of most of the activities, such as WASH, </w:t>
      </w:r>
      <w:proofErr w:type="gramStart"/>
      <w:r w:rsidRPr="009F7603">
        <w:rPr>
          <w:szCs w:val="18"/>
        </w:rPr>
        <w:t>agriculture</w:t>
      </w:r>
      <w:proofErr w:type="gramEnd"/>
      <w:r w:rsidRPr="009F7603">
        <w:rPr>
          <w:szCs w:val="18"/>
        </w:rPr>
        <w:t xml:space="preserve"> and protection, enhancing project sustainability, integration and ownership. However, the participation of government staff is contingent on availability of funding for the implementing organisations to pay their allowances. </w:t>
      </w:r>
    </w:p>
    <w:p w14:paraId="734F7A32" w14:textId="77777777" w:rsidR="009F7603" w:rsidRPr="009F7603" w:rsidRDefault="009F7603" w:rsidP="009F7603">
      <w:pPr>
        <w:spacing w:before="0" w:after="120"/>
        <w:rPr>
          <w:szCs w:val="18"/>
        </w:rPr>
      </w:pPr>
      <w:r w:rsidRPr="009F7603">
        <w:rPr>
          <w:b/>
          <w:bCs/>
          <w:szCs w:val="18"/>
        </w:rPr>
        <w:t>Climate Resilience:</w:t>
      </w:r>
      <w:r w:rsidRPr="009F7603">
        <w:rPr>
          <w:szCs w:val="18"/>
        </w:rPr>
        <w:t xml:space="preserve"> The FSL interventions aimed to enhance community resilience in the face of climate change through various strategies. Diversifying livelihoods beyond traditional agriculture and improving water management are good examples of reducing vulnerability to climate shocks; they also contribute to building resilience. Increased climate change awareness was noted. </w:t>
      </w:r>
    </w:p>
    <w:p w14:paraId="4B0FC760" w14:textId="1A5954E6" w:rsidR="009F7603" w:rsidRPr="009F7603" w:rsidRDefault="009F7603" w:rsidP="00374576">
      <w:pPr>
        <w:spacing w:before="0" w:after="120"/>
        <w:rPr>
          <w:b/>
          <w:bCs/>
        </w:rPr>
      </w:pPr>
      <w:bookmarkStart w:id="6" w:name="_Hlk176206337"/>
      <w:r w:rsidRPr="009F7603">
        <w:rPr>
          <w:b/>
          <w:bCs/>
        </w:rPr>
        <w:t>Recommendations for AHP partners</w:t>
      </w:r>
    </w:p>
    <w:p w14:paraId="01D3D88E" w14:textId="3B292B66" w:rsidR="00AC6C4A" w:rsidRPr="009F7603" w:rsidRDefault="00AC6C4A" w:rsidP="00D41C74">
      <w:pPr>
        <w:numPr>
          <w:ilvl w:val="0"/>
          <w:numId w:val="75"/>
        </w:numPr>
        <w:snapToGrid w:val="0"/>
        <w:spacing w:before="0" w:after="120"/>
        <w:rPr>
          <w:rFonts w:eastAsia="Calibri"/>
          <w:color w:val="auto"/>
          <w:szCs w:val="18"/>
        </w:rPr>
      </w:pPr>
      <w:r>
        <w:rPr>
          <w:rFonts w:eastAsia="Calibri"/>
          <w:color w:val="auto"/>
          <w:szCs w:val="18"/>
        </w:rPr>
        <w:t>For</w:t>
      </w:r>
      <w:r w:rsidRPr="009F7603">
        <w:rPr>
          <w:rFonts w:eastAsia="Calibri"/>
          <w:color w:val="auto"/>
          <w:szCs w:val="18"/>
        </w:rPr>
        <w:t xml:space="preserve"> AHP partners and country-level consortium leads</w:t>
      </w:r>
      <w:r>
        <w:rPr>
          <w:rFonts w:eastAsia="Calibri"/>
          <w:color w:val="auto"/>
          <w:szCs w:val="18"/>
        </w:rPr>
        <w:t xml:space="preserve">, </w:t>
      </w:r>
      <w:r w:rsidRPr="009F7603">
        <w:rPr>
          <w:rFonts w:eastAsia="Calibri"/>
          <w:color w:val="auto"/>
          <w:szCs w:val="18"/>
        </w:rPr>
        <w:t>explore how to connect local and regional-level coordination mechanisms with national-level humanitarian coordination efforts so that they can learn from the field and influence national-level humanitarian policy.</w:t>
      </w:r>
    </w:p>
    <w:p w14:paraId="05706034" w14:textId="3703509E" w:rsidR="008022A9" w:rsidRPr="009F7603" w:rsidRDefault="008022A9" w:rsidP="00D41C74">
      <w:pPr>
        <w:numPr>
          <w:ilvl w:val="0"/>
          <w:numId w:val="75"/>
        </w:numPr>
        <w:snapToGrid w:val="0"/>
        <w:spacing w:before="0" w:after="120"/>
        <w:rPr>
          <w:rFonts w:ascii="Calibri" w:eastAsia="Calibri" w:hAnsi="Calibri"/>
          <w:color w:val="auto"/>
          <w:sz w:val="22"/>
          <w:szCs w:val="18"/>
        </w:rPr>
      </w:pPr>
      <w:r>
        <w:rPr>
          <w:rFonts w:ascii="Calibri" w:eastAsia="Calibri" w:hAnsi="Calibri"/>
          <w:color w:val="auto"/>
          <w:sz w:val="22"/>
          <w:szCs w:val="18"/>
        </w:rPr>
        <w:t>For i</w:t>
      </w:r>
      <w:r w:rsidRPr="009F7603">
        <w:rPr>
          <w:rFonts w:ascii="Calibri" w:eastAsia="Calibri" w:hAnsi="Calibri"/>
          <w:color w:val="auto"/>
          <w:sz w:val="22"/>
          <w:szCs w:val="18"/>
        </w:rPr>
        <w:t>mplementing partners, whenever possible, identify local solutions and suppliers to ensure improved efficiency and to mitigate logistical challenges.</w:t>
      </w:r>
    </w:p>
    <w:p w14:paraId="2C3D8579" w14:textId="2D1C9234" w:rsidR="00D17389" w:rsidRPr="009F7603" w:rsidRDefault="00D17389" w:rsidP="00D41C74">
      <w:pPr>
        <w:numPr>
          <w:ilvl w:val="0"/>
          <w:numId w:val="75"/>
        </w:numPr>
        <w:snapToGrid w:val="0"/>
        <w:spacing w:before="0" w:after="120"/>
        <w:rPr>
          <w:rFonts w:eastAsia="Calibri"/>
          <w:color w:val="auto"/>
          <w:szCs w:val="18"/>
          <w:shd w:val="clear" w:color="auto" w:fill="FFFFFF"/>
        </w:rPr>
      </w:pPr>
      <w:r>
        <w:rPr>
          <w:rFonts w:eastAsia="Calibri"/>
          <w:color w:val="auto"/>
          <w:szCs w:val="18"/>
          <w:shd w:val="clear" w:color="auto" w:fill="FFFFFF"/>
        </w:rPr>
        <w:t>For i</w:t>
      </w:r>
      <w:r w:rsidRPr="009F7603">
        <w:rPr>
          <w:rFonts w:eastAsia="Calibri"/>
          <w:color w:val="auto"/>
          <w:szCs w:val="18"/>
          <w:shd w:val="clear" w:color="auto" w:fill="FFFFFF"/>
        </w:rPr>
        <w:t>mplementation partners and consortium leads</w:t>
      </w:r>
      <w:r>
        <w:rPr>
          <w:rFonts w:eastAsia="Calibri"/>
          <w:color w:val="auto"/>
          <w:szCs w:val="18"/>
          <w:shd w:val="clear" w:color="auto" w:fill="FFFFFF"/>
        </w:rPr>
        <w:t>,</w:t>
      </w:r>
      <w:r w:rsidRPr="009F7603">
        <w:rPr>
          <w:rFonts w:eastAsia="Calibri"/>
          <w:color w:val="auto"/>
          <w:szCs w:val="18"/>
          <w:shd w:val="clear" w:color="auto" w:fill="FFFFFF"/>
        </w:rPr>
        <w:t xml:space="preserve"> strengthen collaboration with organisations of people</w:t>
      </w:r>
      <w:r w:rsidRPr="009F7603" w:rsidDel="002836D9">
        <w:rPr>
          <w:rFonts w:eastAsia="Calibri"/>
          <w:color w:val="auto"/>
          <w:szCs w:val="18"/>
          <w:shd w:val="clear" w:color="auto" w:fill="FFFFFF"/>
        </w:rPr>
        <w:t xml:space="preserve"> </w:t>
      </w:r>
      <w:r w:rsidRPr="009F7603">
        <w:rPr>
          <w:rFonts w:eastAsia="Calibri"/>
          <w:color w:val="auto"/>
          <w:szCs w:val="18"/>
          <w:shd w:val="clear" w:color="auto" w:fill="FFFFFF"/>
        </w:rPr>
        <w:t>with disabilities while at the same time strengthening capacity of implementing organisations staff to plan and implement strategies that can ensure meaningful inclusion of people</w:t>
      </w:r>
      <w:r w:rsidRPr="009F7603" w:rsidDel="002836D9">
        <w:rPr>
          <w:rFonts w:eastAsia="Calibri"/>
          <w:color w:val="auto"/>
          <w:szCs w:val="18"/>
          <w:shd w:val="clear" w:color="auto" w:fill="FFFFFF"/>
        </w:rPr>
        <w:t xml:space="preserve"> </w:t>
      </w:r>
      <w:r w:rsidRPr="009F7603">
        <w:rPr>
          <w:rFonts w:eastAsia="Calibri"/>
          <w:color w:val="auto"/>
          <w:szCs w:val="18"/>
          <w:shd w:val="clear" w:color="auto" w:fill="FFFFFF"/>
        </w:rPr>
        <w:t>with disabilities.</w:t>
      </w:r>
    </w:p>
    <w:p w14:paraId="3760876A" w14:textId="43505CCB" w:rsidR="009F7603" w:rsidRPr="009F7603" w:rsidRDefault="00A97F1C" w:rsidP="00D41C74">
      <w:pPr>
        <w:numPr>
          <w:ilvl w:val="0"/>
          <w:numId w:val="75"/>
        </w:numPr>
        <w:spacing w:before="0" w:after="120"/>
        <w:rPr>
          <w:rFonts w:eastAsia="Calibri"/>
          <w:color w:val="auto"/>
          <w:szCs w:val="18"/>
        </w:rPr>
      </w:pPr>
      <w:r>
        <w:rPr>
          <w:rFonts w:eastAsia="Calibri"/>
          <w:color w:val="auto"/>
          <w:szCs w:val="18"/>
        </w:rPr>
        <w:t>For AHP partners, to</w:t>
      </w:r>
      <w:r w:rsidR="009F7603" w:rsidRPr="009F7603">
        <w:rPr>
          <w:rFonts w:eastAsia="Calibri"/>
          <w:color w:val="auto"/>
          <w:szCs w:val="18"/>
        </w:rPr>
        <w:t xml:space="preserve"> improve consistency in data collection, monitoring and evaluation, reporting, and learning</w:t>
      </w:r>
      <w:r w:rsidR="001B1FE8">
        <w:rPr>
          <w:rFonts w:eastAsia="Calibri"/>
          <w:color w:val="auto"/>
          <w:szCs w:val="18"/>
        </w:rPr>
        <w:t xml:space="preserve"> for the response</w:t>
      </w:r>
      <w:r w:rsidR="009F7603" w:rsidRPr="009F7603">
        <w:rPr>
          <w:rFonts w:eastAsia="Calibri"/>
          <w:color w:val="auto"/>
          <w:szCs w:val="18"/>
        </w:rPr>
        <w:t>, establish a centralised digital platform that integrates data from all implementing partners and stakeholders. This platform should include standardised data collection tools, real-time monitoring dashboards, and automated reporting functionalities.</w:t>
      </w:r>
    </w:p>
    <w:p w14:paraId="37BA995D" w14:textId="239135DB" w:rsidR="009F7603" w:rsidRPr="009F7603" w:rsidRDefault="009F7603" w:rsidP="00D41C74">
      <w:pPr>
        <w:numPr>
          <w:ilvl w:val="0"/>
          <w:numId w:val="75"/>
        </w:numPr>
        <w:snapToGrid w:val="0"/>
        <w:spacing w:before="0" w:after="120"/>
        <w:contextualSpacing/>
        <w:rPr>
          <w:rFonts w:eastAsia="Calibri"/>
          <w:color w:val="auto"/>
          <w:szCs w:val="18"/>
        </w:rPr>
      </w:pPr>
      <w:r w:rsidRPr="009F7603">
        <w:rPr>
          <w:rFonts w:eastAsia="Calibri"/>
          <w:color w:val="auto"/>
          <w:szCs w:val="18"/>
        </w:rPr>
        <w:t xml:space="preserve">Implementing partners should consider utilising short term funding opportunities like the one evaluated to promote government integration of FSL interventions into existing government programmes. This approach will help to </w:t>
      </w:r>
      <w:r w:rsidR="00E27241">
        <w:rPr>
          <w:rFonts w:eastAsia="Calibri"/>
          <w:color w:val="auto"/>
          <w:szCs w:val="18"/>
        </w:rPr>
        <w:t>link</w:t>
      </w:r>
      <w:r w:rsidRPr="009F7603">
        <w:rPr>
          <w:rFonts w:eastAsia="Calibri"/>
          <w:color w:val="auto"/>
          <w:szCs w:val="18"/>
        </w:rPr>
        <w:t xml:space="preserve"> short-term humanitarian aid and longer-term development efforts</w:t>
      </w:r>
      <w:r w:rsidR="00E27241">
        <w:rPr>
          <w:rFonts w:eastAsia="Calibri"/>
          <w:color w:val="auto"/>
          <w:szCs w:val="18"/>
        </w:rPr>
        <w:t xml:space="preserve"> where possible</w:t>
      </w:r>
      <w:r w:rsidRPr="009F7603">
        <w:rPr>
          <w:rFonts w:eastAsia="Calibri"/>
          <w:color w:val="auto"/>
          <w:szCs w:val="18"/>
        </w:rPr>
        <w:t>, ensuring that immediate lifesaving interventions are followed with, or contribute to, more sustainable development and enhanced resilience.</w:t>
      </w:r>
    </w:p>
    <w:p w14:paraId="2CFE14BA" w14:textId="5FBA4AC8" w:rsidR="009F7603" w:rsidRPr="009F7603" w:rsidRDefault="009F7603" w:rsidP="00120B7C">
      <w:pPr>
        <w:spacing w:after="120"/>
        <w:rPr>
          <w:bCs/>
        </w:rPr>
      </w:pPr>
      <w:r w:rsidRPr="009F7603">
        <w:rPr>
          <w:b/>
          <w:bCs/>
        </w:rPr>
        <w:t>Recommendations for DFAT</w:t>
      </w:r>
    </w:p>
    <w:p w14:paraId="2A6DEF53" w14:textId="39FE90EF" w:rsidR="009F7603" w:rsidRPr="003E0A7C" w:rsidRDefault="009F7603" w:rsidP="00D41C74">
      <w:pPr>
        <w:pStyle w:val="ListParagraph"/>
        <w:numPr>
          <w:ilvl w:val="0"/>
          <w:numId w:val="76"/>
        </w:numPr>
        <w:spacing w:after="120"/>
        <w:rPr>
          <w:rFonts w:ascii="Verdana" w:hAnsi="Verdana"/>
          <w:sz w:val="18"/>
          <w:szCs w:val="18"/>
        </w:rPr>
      </w:pPr>
      <w:r w:rsidRPr="003E0A7C">
        <w:rPr>
          <w:rFonts w:ascii="Verdana" w:hAnsi="Verdana"/>
          <w:sz w:val="18"/>
          <w:szCs w:val="18"/>
        </w:rPr>
        <w:t>Where possible identify opportunities where humanitarian funding</w:t>
      </w:r>
      <w:r w:rsidR="00DC4672" w:rsidRPr="003E0A7C">
        <w:rPr>
          <w:rFonts w:ascii="Verdana" w:hAnsi="Verdana"/>
          <w:sz w:val="18"/>
          <w:szCs w:val="18"/>
        </w:rPr>
        <w:t>,</w:t>
      </w:r>
      <w:r w:rsidRPr="003E0A7C">
        <w:rPr>
          <w:rFonts w:ascii="Verdana" w:hAnsi="Verdana"/>
          <w:sz w:val="18"/>
          <w:szCs w:val="18"/>
        </w:rPr>
        <w:t xml:space="preserve"> as a </w:t>
      </w:r>
      <w:proofErr w:type="gramStart"/>
      <w:r w:rsidRPr="003E0A7C">
        <w:rPr>
          <w:rFonts w:ascii="Verdana" w:hAnsi="Verdana"/>
          <w:sz w:val="18"/>
          <w:szCs w:val="18"/>
        </w:rPr>
        <w:t>short term</w:t>
      </w:r>
      <w:proofErr w:type="gramEnd"/>
      <w:r w:rsidRPr="003E0A7C">
        <w:rPr>
          <w:rFonts w:ascii="Verdana" w:hAnsi="Verdana"/>
          <w:sz w:val="18"/>
          <w:szCs w:val="18"/>
        </w:rPr>
        <w:t xml:space="preserve"> life saving effort, can be integrated or added to efforts that are more development oriented. This could serve to capitalize on and consolidate gains made through humanitarian funding. Specifically, this could include:</w:t>
      </w:r>
    </w:p>
    <w:p w14:paraId="56830F21" w14:textId="5325B466" w:rsidR="009F7603" w:rsidRPr="009F7603" w:rsidRDefault="009F7603" w:rsidP="00D41C74">
      <w:pPr>
        <w:numPr>
          <w:ilvl w:val="0"/>
          <w:numId w:val="74"/>
        </w:numPr>
        <w:spacing w:before="0" w:after="120"/>
        <w:contextualSpacing/>
        <w:rPr>
          <w:rFonts w:eastAsia="Calibri"/>
          <w:color w:val="auto"/>
          <w:szCs w:val="18"/>
        </w:rPr>
      </w:pPr>
      <w:r w:rsidRPr="009F7603">
        <w:rPr>
          <w:rFonts w:eastAsia="Calibri"/>
          <w:color w:val="auto"/>
          <w:szCs w:val="18"/>
        </w:rPr>
        <w:t>Encouraging partners to critically assess their interventions and seek funding</w:t>
      </w:r>
      <w:r w:rsidR="00852D7A">
        <w:rPr>
          <w:rFonts w:eastAsia="Calibri"/>
          <w:color w:val="auto"/>
          <w:szCs w:val="18"/>
        </w:rPr>
        <w:t>, including info</w:t>
      </w:r>
      <w:r w:rsidR="007A0277">
        <w:rPr>
          <w:rFonts w:eastAsia="Calibri"/>
          <w:color w:val="auto"/>
          <w:szCs w:val="18"/>
        </w:rPr>
        <w:t xml:space="preserve">rming partners of opportunities outside the humanitarian budget lines where available </w:t>
      </w:r>
      <w:r w:rsidR="007A0277">
        <w:rPr>
          <w:rFonts w:eastAsia="Calibri"/>
          <w:color w:val="auto"/>
          <w:szCs w:val="18"/>
        </w:rPr>
        <w:lastRenderedPageBreak/>
        <w:t>and within DFAT’s control,</w:t>
      </w:r>
      <w:r w:rsidRPr="009F7603">
        <w:rPr>
          <w:rFonts w:eastAsia="Calibri"/>
          <w:color w:val="auto"/>
          <w:szCs w:val="18"/>
        </w:rPr>
        <w:t xml:space="preserve"> to continue elements which can benefit from longer term implementation.</w:t>
      </w:r>
    </w:p>
    <w:p w14:paraId="7CE845DE" w14:textId="49F3D0C6" w:rsidR="009F7603" w:rsidRPr="009F7603" w:rsidRDefault="009F7603" w:rsidP="00D41C74">
      <w:pPr>
        <w:numPr>
          <w:ilvl w:val="0"/>
          <w:numId w:val="74"/>
        </w:numPr>
        <w:spacing w:before="0" w:after="120"/>
        <w:contextualSpacing/>
        <w:rPr>
          <w:rFonts w:eastAsia="Calibri"/>
          <w:color w:val="auto"/>
          <w:szCs w:val="18"/>
        </w:rPr>
      </w:pPr>
      <w:r w:rsidRPr="009F7603">
        <w:rPr>
          <w:rFonts w:eastAsia="Calibri"/>
          <w:color w:val="auto"/>
          <w:szCs w:val="18"/>
        </w:rPr>
        <w:t>Encourag</w:t>
      </w:r>
      <w:r w:rsidR="00C87A45">
        <w:rPr>
          <w:rFonts w:eastAsia="Calibri"/>
          <w:color w:val="auto"/>
          <w:szCs w:val="18"/>
        </w:rPr>
        <w:t>ing</w:t>
      </w:r>
      <w:r w:rsidRPr="009F7603">
        <w:rPr>
          <w:rFonts w:eastAsia="Calibri"/>
          <w:color w:val="auto"/>
          <w:szCs w:val="18"/>
        </w:rPr>
        <w:t xml:space="preserve"> partners to engage with government</w:t>
      </w:r>
      <w:r w:rsidR="00C87A45">
        <w:rPr>
          <w:rFonts w:eastAsia="Calibri"/>
          <w:color w:val="auto"/>
          <w:szCs w:val="18"/>
        </w:rPr>
        <w:t xml:space="preserve"> on options</w:t>
      </w:r>
      <w:r w:rsidRPr="009F7603">
        <w:rPr>
          <w:rFonts w:eastAsia="Calibri"/>
          <w:color w:val="auto"/>
          <w:szCs w:val="18"/>
        </w:rPr>
        <w:t xml:space="preserve"> to absorb intervention elements </w:t>
      </w:r>
      <w:r w:rsidR="00FC3899">
        <w:rPr>
          <w:rFonts w:eastAsia="Calibri"/>
          <w:color w:val="auto"/>
          <w:szCs w:val="18"/>
        </w:rPr>
        <w:t>into</w:t>
      </w:r>
      <w:r w:rsidRPr="009F7603">
        <w:rPr>
          <w:rFonts w:eastAsia="Calibri"/>
          <w:color w:val="auto"/>
          <w:szCs w:val="18"/>
        </w:rPr>
        <w:t xml:space="preserve"> longer term development, or resilience building efforts. </w:t>
      </w:r>
    </w:p>
    <w:p w14:paraId="30842E61" w14:textId="0685BC45" w:rsidR="009F7603" w:rsidRPr="00903CED" w:rsidRDefault="009F7603" w:rsidP="00D41C74">
      <w:pPr>
        <w:pStyle w:val="ListParagraph"/>
        <w:numPr>
          <w:ilvl w:val="0"/>
          <w:numId w:val="76"/>
        </w:numPr>
        <w:spacing w:after="120"/>
        <w:rPr>
          <w:rFonts w:ascii="Verdana" w:hAnsi="Verdana"/>
          <w:sz w:val="18"/>
          <w:szCs w:val="18"/>
        </w:rPr>
      </w:pPr>
      <w:r w:rsidRPr="00903CED">
        <w:rPr>
          <w:rFonts w:ascii="Verdana" w:hAnsi="Verdana"/>
          <w:sz w:val="18"/>
          <w:szCs w:val="18"/>
        </w:rPr>
        <w:t>Contribute to</w:t>
      </w:r>
      <w:r w:rsidR="00925DE6">
        <w:rPr>
          <w:rFonts w:ascii="Verdana" w:hAnsi="Verdana"/>
          <w:sz w:val="18"/>
          <w:szCs w:val="18"/>
        </w:rPr>
        <w:t xml:space="preserve"> and support</w:t>
      </w:r>
      <w:r w:rsidRPr="00903CED">
        <w:rPr>
          <w:rFonts w:ascii="Verdana" w:hAnsi="Verdana"/>
          <w:sz w:val="18"/>
          <w:szCs w:val="18"/>
        </w:rPr>
        <w:t xml:space="preserve"> local and regional coordination</w:t>
      </w:r>
      <w:r w:rsidR="00925DE6">
        <w:rPr>
          <w:rFonts w:ascii="Verdana" w:hAnsi="Verdana"/>
          <w:sz w:val="18"/>
          <w:szCs w:val="18"/>
        </w:rPr>
        <w:t xml:space="preserve"> where possible to</w:t>
      </w:r>
      <w:r w:rsidRPr="00903CED">
        <w:rPr>
          <w:rFonts w:ascii="Verdana" w:hAnsi="Verdana"/>
          <w:sz w:val="18"/>
          <w:szCs w:val="18"/>
        </w:rPr>
        <w:t xml:space="preserve"> help promote the inclusion of field experiences into national-level humanitarian policy discussions.</w:t>
      </w:r>
    </w:p>
    <w:bookmarkEnd w:id="5"/>
    <w:bookmarkEnd w:id="6"/>
    <w:p w14:paraId="34CBF836" w14:textId="77777777" w:rsidR="00315466" w:rsidRPr="00A4536F" w:rsidRDefault="00315466" w:rsidP="00E4398D">
      <w:pPr>
        <w:pStyle w:val="ListParagraph"/>
        <w:adjustRightInd w:val="0"/>
        <w:snapToGrid w:val="0"/>
        <w:spacing w:after="120"/>
        <w:ind w:left="714"/>
        <w:contextualSpacing w:val="0"/>
        <w:rPr>
          <w:rFonts w:ascii="Verdana" w:hAnsi="Verdana" w:cs="Calibri"/>
          <w:sz w:val="18"/>
          <w:szCs w:val="18"/>
        </w:rPr>
        <w:sectPr w:rsidR="00315466" w:rsidRPr="00A4536F" w:rsidSect="00FD41AB">
          <w:headerReference w:type="default" r:id="rId15"/>
          <w:footerReference w:type="default" r:id="rId16"/>
          <w:pgSz w:w="11907" w:h="16839"/>
          <w:pgMar w:top="1440" w:right="1440" w:bottom="1440" w:left="1440" w:header="0" w:footer="737" w:gutter="0"/>
          <w:pgNumType w:fmt="lowerRoman" w:start="1"/>
          <w:cols w:space="720"/>
          <w:titlePg/>
          <w:docGrid w:linePitch="360"/>
        </w:sectPr>
      </w:pPr>
    </w:p>
    <w:p w14:paraId="38A1E362" w14:textId="77777777" w:rsidR="00315466" w:rsidRPr="00AF04BB" w:rsidRDefault="001D4E15" w:rsidP="00031544">
      <w:pPr>
        <w:pStyle w:val="Heading1"/>
        <w:spacing w:after="240" w:line="276" w:lineRule="auto"/>
        <w:rPr>
          <w:rFonts w:ascii="Verdana" w:hAnsi="Verdana"/>
          <w:sz w:val="28"/>
          <w:szCs w:val="28"/>
        </w:rPr>
      </w:pPr>
      <w:bookmarkStart w:id="7" w:name="_Toc164286953"/>
      <w:bookmarkStart w:id="8" w:name="_Toc164323991"/>
      <w:bookmarkStart w:id="9" w:name="_Toc164324316"/>
      <w:bookmarkStart w:id="10" w:name="_Toc174559864"/>
      <w:bookmarkStart w:id="11" w:name="_Toc181278008"/>
      <w:r w:rsidRPr="00AF04BB">
        <w:rPr>
          <w:rFonts w:ascii="Verdana" w:hAnsi="Verdana"/>
          <w:sz w:val="28"/>
          <w:szCs w:val="28"/>
        </w:rPr>
        <w:lastRenderedPageBreak/>
        <w:t>1.0 Introduction and Background</w:t>
      </w:r>
      <w:bookmarkEnd w:id="7"/>
      <w:bookmarkEnd w:id="8"/>
      <w:bookmarkEnd w:id="9"/>
      <w:bookmarkEnd w:id="10"/>
      <w:bookmarkEnd w:id="11"/>
    </w:p>
    <w:p w14:paraId="09E72F70" w14:textId="4EAD5FCB" w:rsidR="00692113" w:rsidRPr="00120B7C" w:rsidRDefault="001D4E15" w:rsidP="00120B7C">
      <w:pPr>
        <w:pStyle w:val="Heading2"/>
        <w:spacing w:after="240" w:line="240" w:lineRule="auto"/>
        <w:rPr>
          <w:rFonts w:ascii="Verdana" w:hAnsi="Verdana"/>
          <w:sz w:val="24"/>
          <w:szCs w:val="24"/>
        </w:rPr>
      </w:pPr>
      <w:bookmarkStart w:id="12" w:name="_Toc164324317"/>
      <w:bookmarkStart w:id="13" w:name="_Toc164323992"/>
      <w:bookmarkStart w:id="14" w:name="_Toc164286954"/>
      <w:bookmarkStart w:id="15" w:name="_Toc174559865"/>
      <w:bookmarkStart w:id="16" w:name="_Toc181278009"/>
      <w:r w:rsidRPr="00AF04BB">
        <w:rPr>
          <w:rFonts w:ascii="Verdana" w:hAnsi="Verdana"/>
          <w:sz w:val="24"/>
          <w:szCs w:val="24"/>
        </w:rPr>
        <w:t>1.1 Introduction</w:t>
      </w:r>
      <w:bookmarkEnd w:id="12"/>
      <w:bookmarkEnd w:id="13"/>
      <w:bookmarkEnd w:id="14"/>
      <w:bookmarkEnd w:id="15"/>
      <w:bookmarkEnd w:id="16"/>
    </w:p>
    <w:p w14:paraId="5F77CA3B" w14:textId="0FF6789C" w:rsidR="00B86049" w:rsidRPr="00011CDA" w:rsidRDefault="001D4E15" w:rsidP="00B86049">
      <w:pPr>
        <w:snapToGrid w:val="0"/>
        <w:spacing w:before="0" w:after="0" w:line="240" w:lineRule="auto"/>
        <w:rPr>
          <w:rFonts w:cs="Calibri"/>
          <w:b/>
          <w:color w:val="auto"/>
          <w:szCs w:val="18"/>
        </w:rPr>
      </w:pPr>
      <w:r w:rsidRPr="00A4536F">
        <w:rPr>
          <w:rFonts w:cs="Calibri"/>
          <w:color w:val="auto"/>
          <w:szCs w:val="18"/>
        </w:rPr>
        <w:t xml:space="preserve">This is a report for a real-time evaluation of the Australian Humanitarian Partnership (AHP) Horn of Africa Food Security and Livelihood (FSL) Activations, commissioned by the AHP Support Unit and conducted by Policy Research Institute (PRI), </w:t>
      </w:r>
      <w:proofErr w:type="spellStart"/>
      <w:r w:rsidRPr="00A4536F">
        <w:rPr>
          <w:rFonts w:cs="Calibri"/>
          <w:color w:val="auto"/>
          <w:szCs w:val="18"/>
        </w:rPr>
        <w:t>Sarl</w:t>
      </w:r>
      <w:proofErr w:type="spellEnd"/>
      <w:r w:rsidRPr="00A4536F">
        <w:rPr>
          <w:rFonts w:cs="Calibri"/>
          <w:color w:val="auto"/>
          <w:szCs w:val="18"/>
        </w:rPr>
        <w:t xml:space="preserve"> between the months of December 2023 and May 2024. </w:t>
      </w:r>
      <w:r w:rsidRPr="00A4536F">
        <w:rPr>
          <w:rFonts w:eastAsia="SimSun" w:cs="Calibri"/>
          <w:color w:val="auto"/>
          <w:szCs w:val="18"/>
          <w:shd w:val="clear" w:color="auto" w:fill="FFFFFF"/>
        </w:rPr>
        <w:t>This evaluation covers three FSL projects implemented in Ethiopia and Kenya funded by the Department of Foreign Affairs and Trade (DFAT) of the Australian Government. In Ethiopia, Plan International Australia (PIA) leads one consortium including</w:t>
      </w:r>
      <w:r w:rsidRPr="00A4536F">
        <w:rPr>
          <w:rFonts w:cs="Calibri"/>
          <w:color w:val="auto"/>
          <w:szCs w:val="18"/>
        </w:rPr>
        <w:t xml:space="preserve"> Plan International Ethiopia (PIE), Action for Needy Ethiopia (ANE), Save the Children International Ethiopia (SCIE) (supported by Save the Children Australia), and Pastoralist in Action Development Organisation (PIADO).</w:t>
      </w:r>
      <w:r w:rsidRPr="00A4536F">
        <w:rPr>
          <w:rFonts w:eastAsia="SimSun" w:cs="Calibri"/>
          <w:color w:val="auto"/>
          <w:szCs w:val="18"/>
          <w:shd w:val="clear" w:color="auto" w:fill="FFFFFF"/>
        </w:rPr>
        <w:t xml:space="preserve"> Oxfam Australia leads the other consortium in Ethiopia including </w:t>
      </w:r>
      <w:r w:rsidRPr="00A4536F">
        <w:rPr>
          <w:rFonts w:cs="Calibri"/>
          <w:color w:val="auto"/>
          <w:szCs w:val="18"/>
        </w:rPr>
        <w:t>Relief Society of Tigray (REST), Afar Pastoralist Development Association (APDA) and Women Empowerment – Action (WE-Action)</w:t>
      </w:r>
      <w:r w:rsidRPr="00A4536F">
        <w:rPr>
          <w:rFonts w:eastAsia="SimSun" w:cs="Calibri"/>
          <w:color w:val="auto"/>
          <w:szCs w:val="18"/>
          <w:shd w:val="clear" w:color="auto" w:fill="FFFFFF"/>
        </w:rPr>
        <w:t>. In Kenya, Oxfam Australia through</w:t>
      </w:r>
      <w:r w:rsidRPr="00A4536F">
        <w:rPr>
          <w:rFonts w:cs="Calibri"/>
          <w:color w:val="auto"/>
          <w:szCs w:val="18"/>
        </w:rPr>
        <w:t xml:space="preserve"> its national affiliate (Oxfam in Kenya) leads the other consortium involving three independent national organisations including Strategies for Northern Development (SND), Pastoralist Community Initiative and Development Assistance (PACIDA), and Turkana Pastoralist Development Organisation (TUPADO) working under the umbrella of the Arid and Semi-arid Lands Humanitarian Network (AHN).</w:t>
      </w:r>
      <w:r w:rsidRPr="00A4536F">
        <w:rPr>
          <w:rFonts w:eastAsia="SimSun" w:cs="Calibri"/>
          <w:color w:val="auto"/>
          <w:szCs w:val="18"/>
          <w:shd w:val="clear" w:color="auto" w:fill="FFFFFF"/>
        </w:rPr>
        <w:t xml:space="preserve"> </w:t>
      </w:r>
      <w:r w:rsidRPr="00A4536F">
        <w:rPr>
          <w:rStyle w:val="CommentReference"/>
          <w:rFonts w:cs="Calibri"/>
          <w:color w:val="auto"/>
        </w:rPr>
        <w:t xml:space="preserve"> </w:t>
      </w:r>
    </w:p>
    <w:p w14:paraId="60E7DA96" w14:textId="258AF8CE" w:rsidR="00315466" w:rsidRDefault="001D4E15" w:rsidP="00011CDA">
      <w:pPr>
        <w:snapToGrid w:val="0"/>
        <w:spacing w:line="240" w:lineRule="auto"/>
        <w:rPr>
          <w:rFonts w:eastAsia="SimSun" w:cs="Calibri"/>
          <w:color w:val="auto"/>
          <w:szCs w:val="18"/>
          <w:shd w:val="clear" w:color="auto" w:fill="FFFFFF"/>
        </w:rPr>
      </w:pPr>
      <w:r w:rsidRPr="00A4536F">
        <w:rPr>
          <w:rFonts w:eastAsia="SimSun" w:cs="Calibri"/>
          <w:color w:val="auto"/>
          <w:szCs w:val="18"/>
          <w:shd w:val="clear" w:color="auto" w:fill="FFFFFF"/>
        </w:rPr>
        <w:t>The evaluation team was composed of two core team members, twelve research assistants (including eight from Ethiopia and two from Kenya) and a quality assurer. Field data collection took place between 5 and 24 March, 2024. </w:t>
      </w:r>
    </w:p>
    <w:p w14:paraId="46628B1C" w14:textId="61C2CB1C" w:rsidR="00B86049" w:rsidRPr="00A4536F" w:rsidRDefault="001D4E15" w:rsidP="00E4398D">
      <w:pPr>
        <w:snapToGrid w:val="0"/>
        <w:spacing w:before="0" w:after="120"/>
        <w:rPr>
          <w:rStyle w:val="CommentReference"/>
          <w:rFonts w:cs="Calibri"/>
          <w:color w:val="auto"/>
        </w:rPr>
      </w:pPr>
      <w:r w:rsidRPr="00A4536F">
        <w:rPr>
          <w:rStyle w:val="CommentReference"/>
          <w:rFonts w:cs="Calibri"/>
          <w:color w:val="auto"/>
        </w:rPr>
        <w:t xml:space="preserve">This report is organised in five sections, namely, 1. Introduction and Background; 2. Methods and Limitations; 3. Findings; 4. Emerging Lessons; and 5. Conclusion and Recommendations. These sections are followed by five annexes: Annex 1: Terms of Reference; Annex 2: Thematic Case Studies; Annex 3: Evaluation Schedule; Annex 4: Data Collection Tools; and Annex 5: Lists of names of participants. </w:t>
      </w:r>
    </w:p>
    <w:p w14:paraId="1EC9A6D4" w14:textId="5ED53D92" w:rsidR="00692113" w:rsidRPr="00120B7C" w:rsidRDefault="001D4E15" w:rsidP="00120B7C">
      <w:pPr>
        <w:pStyle w:val="Heading2"/>
        <w:spacing w:before="0" w:after="240" w:line="240" w:lineRule="auto"/>
        <w:rPr>
          <w:rFonts w:ascii="Verdana" w:hAnsi="Verdana"/>
          <w:sz w:val="24"/>
          <w:szCs w:val="24"/>
        </w:rPr>
      </w:pPr>
      <w:bookmarkStart w:id="17" w:name="_1.2_Brief_Background"/>
      <w:bookmarkStart w:id="18" w:name="_Toc164323993"/>
      <w:bookmarkStart w:id="19" w:name="_Toc164286955"/>
      <w:bookmarkStart w:id="20" w:name="_Toc164324318"/>
      <w:bookmarkStart w:id="21" w:name="_Toc174559866"/>
      <w:bookmarkStart w:id="22" w:name="_Toc181278010"/>
      <w:bookmarkEnd w:id="17"/>
      <w:r w:rsidRPr="009B2FD0">
        <w:rPr>
          <w:rFonts w:ascii="Verdana" w:hAnsi="Verdana"/>
          <w:sz w:val="24"/>
          <w:szCs w:val="24"/>
        </w:rPr>
        <w:t>1.2 Brief Background on the project context</w:t>
      </w:r>
      <w:bookmarkEnd w:id="18"/>
      <w:bookmarkEnd w:id="19"/>
      <w:bookmarkEnd w:id="20"/>
      <w:bookmarkEnd w:id="21"/>
      <w:bookmarkEnd w:id="22"/>
    </w:p>
    <w:p w14:paraId="68B91E3A" w14:textId="0E69CB2E" w:rsidR="00983F9C" w:rsidRDefault="001D4E15" w:rsidP="00011CDA">
      <w:pPr>
        <w:snapToGrid w:val="0"/>
        <w:spacing w:before="0" w:line="240" w:lineRule="auto"/>
        <w:rPr>
          <w:rFonts w:cs="Calibri"/>
          <w:color w:val="auto"/>
          <w:szCs w:val="18"/>
        </w:rPr>
      </w:pPr>
      <w:bookmarkStart w:id="23" w:name="_Toc56136702"/>
      <w:r w:rsidRPr="00A4536F">
        <w:rPr>
          <w:rFonts w:cs="Calibri"/>
          <w:color w:val="auto"/>
          <w:szCs w:val="18"/>
        </w:rPr>
        <w:t>Ethiopia has been grappling with a severe and multifaceted humanitarian crisis, encompassing conflict in the North, prolonged drought in the South, a refugee crisis in the West, and widespread displacements, impacting over 21 million people. Economic vulnerabilities, exacerbated by devalued currency, foreign currency deficits, hyperinflation, and fuel shortages, have plunged the country into a precarious political, social, and economic crisis</w:t>
      </w:r>
      <w:r w:rsidRPr="00A4536F">
        <w:rPr>
          <w:rStyle w:val="FootnoteReference"/>
          <w:rFonts w:cs="Calibri"/>
          <w:color w:val="auto"/>
          <w:szCs w:val="18"/>
        </w:rPr>
        <w:footnoteReference w:id="3"/>
      </w:r>
      <w:r w:rsidRPr="00A4536F">
        <w:rPr>
          <w:rFonts w:cs="Calibri"/>
          <w:color w:val="auto"/>
          <w:szCs w:val="18"/>
        </w:rPr>
        <w:t>.</w:t>
      </w:r>
      <w:r w:rsidRPr="00A4536F">
        <w:rPr>
          <w:rFonts w:eastAsia="SimSun" w:cs="Calibri"/>
          <w:color w:val="auto"/>
          <w:szCs w:val="18"/>
          <w:shd w:val="clear" w:color="auto" w:fill="FFFFFF"/>
        </w:rPr>
        <w:t xml:space="preserve"> As a result, there was severe food insecurity, extensive crop losses, malnutrition, and an increase in gender-based violence, especially in Tigray. </w:t>
      </w:r>
      <w:r w:rsidRPr="00A4536F">
        <w:rPr>
          <w:rFonts w:cs="Calibri"/>
          <w:color w:val="auto"/>
          <w:szCs w:val="18"/>
        </w:rPr>
        <w:t xml:space="preserve"> Classified as a 'very high risk' country by the INFORM Risk 2023 index,</w:t>
      </w:r>
      <w:r w:rsidRPr="00A4536F">
        <w:rPr>
          <w:rStyle w:val="FootnoteReference"/>
          <w:rFonts w:cs="Calibri"/>
          <w:color w:val="auto"/>
          <w:szCs w:val="18"/>
        </w:rPr>
        <w:footnoteReference w:id="4"/>
      </w:r>
      <w:r w:rsidRPr="00A4536F">
        <w:rPr>
          <w:rFonts w:cs="Calibri"/>
          <w:color w:val="auto"/>
          <w:szCs w:val="18"/>
        </w:rPr>
        <w:t xml:space="preserve"> Ethiopia has required assistance, particularly in conflict-affected regions like Tigray, Afar, and Amhara, where 9.4 million people have been in immediate need</w:t>
      </w:r>
      <w:r w:rsidRPr="00A4536F">
        <w:rPr>
          <w:rStyle w:val="FootnoteReference"/>
          <w:rFonts w:cs="Calibri"/>
          <w:color w:val="auto"/>
          <w:szCs w:val="18"/>
        </w:rPr>
        <w:footnoteReference w:id="5"/>
      </w:r>
      <w:r w:rsidRPr="00A4536F">
        <w:rPr>
          <w:rFonts w:cs="Calibri"/>
          <w:color w:val="auto"/>
          <w:szCs w:val="18"/>
        </w:rPr>
        <w:t xml:space="preserve">. </w:t>
      </w:r>
    </w:p>
    <w:p w14:paraId="39F21455" w14:textId="33CD5EC3" w:rsidR="00315466" w:rsidRPr="00A4536F" w:rsidRDefault="001D4E15" w:rsidP="00E4398D">
      <w:pPr>
        <w:snapToGrid w:val="0"/>
        <w:spacing w:before="0" w:after="120"/>
        <w:rPr>
          <w:rFonts w:cs="Calibri"/>
          <w:color w:val="auto"/>
          <w:szCs w:val="18"/>
        </w:rPr>
      </w:pPr>
      <w:r w:rsidRPr="00A4536F">
        <w:rPr>
          <w:rFonts w:cs="Calibri"/>
          <w:color w:val="auto"/>
          <w:szCs w:val="18"/>
        </w:rPr>
        <w:t xml:space="preserve">Kenya has been experiencing its worst drought in over 40 years, affecting 4.4 million people in Arid and Semi-Arid Lands (ASALs). Food insecurity has been driven by consecutive below-average rainy seasons and compounded by conflict and insecurity in ASAL counties. The Integrated Food Security Phase Classification (IPC) report anticipated an increase in food-insecure individuals to 5.4 million between March and June 2023. </w:t>
      </w:r>
      <w:proofErr w:type="spellStart"/>
      <w:r w:rsidRPr="00A4536F">
        <w:rPr>
          <w:rFonts w:cs="Calibri"/>
          <w:color w:val="auto"/>
          <w:szCs w:val="18"/>
        </w:rPr>
        <w:t>Marsabit</w:t>
      </w:r>
      <w:proofErr w:type="spellEnd"/>
      <w:r w:rsidRPr="00A4536F">
        <w:rPr>
          <w:rFonts w:cs="Calibri"/>
          <w:color w:val="auto"/>
          <w:szCs w:val="18"/>
        </w:rPr>
        <w:t xml:space="preserve"> County is highly susceptible, with more than half of its population experiencing severe food insecurity and 15% in emergency situations.</w:t>
      </w:r>
      <w:r w:rsidRPr="00A4536F">
        <w:rPr>
          <w:rStyle w:val="FootnoteReference"/>
          <w:rFonts w:cs="Calibri"/>
          <w:color w:val="auto"/>
          <w:szCs w:val="18"/>
        </w:rPr>
        <w:footnoteReference w:id="6"/>
      </w:r>
      <w:r w:rsidRPr="00A4536F">
        <w:rPr>
          <w:rFonts w:cs="Calibri"/>
          <w:color w:val="auto"/>
          <w:szCs w:val="18"/>
        </w:rPr>
        <w:t xml:space="preserve"> Nutrition levels are critical in various sub-counties, emphasising the urgent need for comprehensive intervention.</w:t>
      </w:r>
    </w:p>
    <w:p w14:paraId="1702C464" w14:textId="410BEF96" w:rsidR="00315466" w:rsidRPr="00120B7C" w:rsidRDefault="001D4E15" w:rsidP="00120B7C">
      <w:pPr>
        <w:pStyle w:val="Heading2"/>
        <w:spacing w:before="0" w:after="240" w:line="240" w:lineRule="auto"/>
        <w:rPr>
          <w:rFonts w:ascii="Verdana" w:eastAsia="Verdana" w:hAnsi="Verdana" w:cs="Calibri"/>
          <w:b w:val="0"/>
          <w:color w:val="auto"/>
          <w:sz w:val="24"/>
          <w:szCs w:val="24"/>
        </w:rPr>
      </w:pPr>
      <w:bookmarkStart w:id="24" w:name="_1.3_The_AHP"/>
      <w:bookmarkStart w:id="25" w:name="_Toc174559867"/>
      <w:bookmarkStart w:id="26" w:name="_Toc181278011"/>
      <w:bookmarkEnd w:id="24"/>
      <w:r w:rsidRPr="009B2FD0">
        <w:rPr>
          <w:rFonts w:ascii="Verdana" w:hAnsi="Verdana"/>
          <w:sz w:val="24"/>
          <w:szCs w:val="24"/>
        </w:rPr>
        <w:lastRenderedPageBreak/>
        <w:t xml:space="preserve">1.3 The </w:t>
      </w:r>
      <w:bookmarkEnd w:id="23"/>
      <w:r w:rsidRPr="009B2FD0">
        <w:rPr>
          <w:rFonts w:ascii="Verdana" w:hAnsi="Verdana"/>
          <w:sz w:val="24"/>
          <w:szCs w:val="24"/>
        </w:rPr>
        <w:t>AHP Horn of Africa FSL Interventions</w:t>
      </w:r>
      <w:bookmarkEnd w:id="25"/>
      <w:bookmarkEnd w:id="26"/>
    </w:p>
    <w:p w14:paraId="6034FD0E" w14:textId="77777777" w:rsidR="00315466" w:rsidRPr="00A4536F" w:rsidRDefault="001D4E15" w:rsidP="001026DE">
      <w:pPr>
        <w:snapToGrid w:val="0"/>
        <w:spacing w:before="0" w:after="0" w:line="240" w:lineRule="auto"/>
        <w:rPr>
          <w:rFonts w:cs="Calibri"/>
          <w:color w:val="auto"/>
          <w:szCs w:val="18"/>
        </w:rPr>
      </w:pPr>
      <w:r w:rsidRPr="00A4536F">
        <w:rPr>
          <w:rFonts w:cs="Calibri"/>
          <w:color w:val="auto"/>
          <w:szCs w:val="18"/>
        </w:rPr>
        <w:t>This subsection provides briefs on each of the three projects that constitute the AHP Horn of Africa FSL Interventions and what each planned to accomplish.</w:t>
      </w:r>
    </w:p>
    <w:p w14:paraId="7F0150E9" w14:textId="18AA34D0" w:rsidR="00D12BCF" w:rsidRPr="00F62370" w:rsidRDefault="001647F6" w:rsidP="00F62370">
      <w:pPr>
        <w:pStyle w:val="Heading3"/>
        <w:spacing w:before="240" w:after="240"/>
        <w:rPr>
          <w:rFonts w:ascii="Verdana" w:hAnsi="Verdana"/>
          <w:color w:val="auto"/>
          <w:sz w:val="20"/>
          <w:szCs w:val="20"/>
        </w:rPr>
      </w:pPr>
      <w:bookmarkStart w:id="27" w:name="_Toc181278012"/>
      <w:r w:rsidRPr="00D12BCF">
        <w:rPr>
          <w:rFonts w:ascii="Verdana" w:hAnsi="Verdana"/>
          <w:color w:val="auto"/>
          <w:sz w:val="20"/>
          <w:szCs w:val="20"/>
        </w:rPr>
        <w:t xml:space="preserve">1.3.1 </w:t>
      </w:r>
      <w:r w:rsidR="001D4E15" w:rsidRPr="00D12BCF">
        <w:rPr>
          <w:rFonts w:ascii="Verdana" w:hAnsi="Verdana"/>
          <w:color w:val="auto"/>
          <w:sz w:val="20"/>
          <w:szCs w:val="20"/>
        </w:rPr>
        <w:t>Multi-sectoral Emergency Response in Conflict and Drought-affected areas of Tigray, Afar and Amhara Regions, Ethiopia (Oxfam Ethiopia Consortium)</w:t>
      </w:r>
      <w:bookmarkEnd w:id="27"/>
    </w:p>
    <w:p w14:paraId="3F1EDAF9" w14:textId="2D531F1A" w:rsidR="001D5297" w:rsidRPr="00A4536F" w:rsidRDefault="001D4E15" w:rsidP="00011CDA">
      <w:pPr>
        <w:snapToGrid w:val="0"/>
        <w:spacing w:before="0" w:line="240" w:lineRule="auto"/>
        <w:ind w:left="-6" w:right="58" w:hanging="11"/>
        <w:rPr>
          <w:rFonts w:cs="Calibri"/>
          <w:color w:val="auto"/>
          <w:szCs w:val="18"/>
        </w:rPr>
      </w:pPr>
      <w:r w:rsidRPr="00A4536F">
        <w:rPr>
          <w:rFonts w:cs="Calibri"/>
          <w:color w:val="auto"/>
          <w:szCs w:val="18"/>
        </w:rPr>
        <w:t xml:space="preserve">In Ethiopia, the Oxfam project, with a budget of AUD 5 million, commenced in April 2023 and was due to end by 30 March 2024. The project has been implemented through several partners working in specific woredas in Tigray, Afar and Amhara regions.  In </w:t>
      </w:r>
      <w:proofErr w:type="spellStart"/>
      <w:r w:rsidRPr="00A4536F">
        <w:rPr>
          <w:rFonts w:cs="Calibri"/>
          <w:color w:val="auto"/>
          <w:szCs w:val="18"/>
        </w:rPr>
        <w:t>Adigrat</w:t>
      </w:r>
      <w:proofErr w:type="spellEnd"/>
      <w:r w:rsidRPr="00A4536F">
        <w:rPr>
          <w:rFonts w:cs="Calibri"/>
          <w:color w:val="auto"/>
          <w:szCs w:val="18"/>
        </w:rPr>
        <w:t xml:space="preserve"> Town of Eastern-Tigray Region activities have been implemented by REST, while in </w:t>
      </w:r>
      <w:proofErr w:type="spellStart"/>
      <w:r w:rsidRPr="00A4536F">
        <w:rPr>
          <w:rFonts w:cs="Calibri"/>
          <w:color w:val="auto"/>
          <w:szCs w:val="18"/>
        </w:rPr>
        <w:t>Kilaalu</w:t>
      </w:r>
      <w:proofErr w:type="spellEnd"/>
      <w:r w:rsidRPr="00A4536F">
        <w:rPr>
          <w:rFonts w:cs="Calibri"/>
          <w:color w:val="auto"/>
          <w:szCs w:val="18"/>
        </w:rPr>
        <w:t xml:space="preserve"> and </w:t>
      </w:r>
      <w:proofErr w:type="spellStart"/>
      <w:r w:rsidRPr="00A4536F">
        <w:rPr>
          <w:rFonts w:cs="Calibri"/>
          <w:color w:val="auto"/>
          <w:szCs w:val="18"/>
        </w:rPr>
        <w:t>Sibeeba</w:t>
      </w:r>
      <w:proofErr w:type="spellEnd"/>
      <w:r w:rsidRPr="00A4536F">
        <w:rPr>
          <w:rFonts w:cs="Calibri"/>
          <w:color w:val="auto"/>
          <w:szCs w:val="18"/>
        </w:rPr>
        <w:t xml:space="preserve"> districts of Zone-6 activities have been implemented by APDA. In </w:t>
      </w:r>
      <w:proofErr w:type="spellStart"/>
      <w:r w:rsidRPr="00A4536F">
        <w:rPr>
          <w:rFonts w:cs="Calibri"/>
          <w:color w:val="auto"/>
          <w:szCs w:val="18"/>
        </w:rPr>
        <w:t>Waghimra</w:t>
      </w:r>
      <w:proofErr w:type="spellEnd"/>
      <w:r w:rsidRPr="00A4536F">
        <w:rPr>
          <w:rFonts w:cs="Calibri"/>
          <w:color w:val="auto"/>
          <w:szCs w:val="18"/>
        </w:rPr>
        <w:t xml:space="preserve"> Zone of Amhara, activities have been implemented by Women Empowerment </w:t>
      </w:r>
      <w:r w:rsidRPr="00A4536F">
        <w:rPr>
          <w:rFonts w:eastAsia="Segoe UI" w:cs="Calibri"/>
          <w:color w:val="auto"/>
          <w:szCs w:val="18"/>
        </w:rPr>
        <w:t>–</w:t>
      </w:r>
      <w:r w:rsidRPr="00A4536F">
        <w:rPr>
          <w:rFonts w:cs="Calibri"/>
          <w:color w:val="auto"/>
          <w:szCs w:val="18"/>
        </w:rPr>
        <w:t xml:space="preserve"> Action (WE-Action).</w:t>
      </w:r>
    </w:p>
    <w:p w14:paraId="4B6E331B" w14:textId="77777777" w:rsidR="00315466" w:rsidRPr="00A4536F" w:rsidRDefault="001D4E15" w:rsidP="00E4398D">
      <w:pPr>
        <w:snapToGrid w:val="0"/>
        <w:spacing w:before="0" w:after="120"/>
        <w:ind w:left="-6" w:right="58" w:hanging="11"/>
        <w:rPr>
          <w:rFonts w:cs="Calibri"/>
          <w:color w:val="auto"/>
          <w:szCs w:val="18"/>
        </w:rPr>
      </w:pPr>
      <w:r w:rsidRPr="00A4536F">
        <w:rPr>
          <w:rFonts w:cs="Calibri"/>
          <w:color w:val="auto"/>
          <w:szCs w:val="18"/>
        </w:rPr>
        <w:t xml:space="preserve">The project has aimed to identify and address immediate needs through nutritional screening, treatment, and immediate food/cash assistance. The project also includes early recovery interventions, such as livelihood restoration, aimed at promoting resilience and sustaining the long-term needs of the communities. Protection activities aimed to ensure that the most vulnerable and hard-to-reach communities secured access to lifesaving services and enjoyed safety, </w:t>
      </w:r>
      <w:proofErr w:type="gramStart"/>
      <w:r w:rsidRPr="00A4536F">
        <w:rPr>
          <w:rFonts w:cs="Calibri"/>
          <w:color w:val="auto"/>
          <w:szCs w:val="18"/>
        </w:rPr>
        <w:t>dignity</w:t>
      </w:r>
      <w:proofErr w:type="gramEnd"/>
      <w:r w:rsidRPr="00A4536F">
        <w:rPr>
          <w:rFonts w:cs="Calibri"/>
          <w:color w:val="auto"/>
          <w:szCs w:val="18"/>
        </w:rPr>
        <w:t xml:space="preserve"> and human rights. The project targeted the most vulnerable segments of the population, particularly women, children, the elderly, and </w:t>
      </w:r>
      <w:r w:rsidRPr="00A4536F">
        <w:rPr>
          <w:rFonts w:cs="Calibri"/>
          <w:color w:val="auto"/>
          <w:szCs w:val="18"/>
          <w:shd w:val="clear" w:color="auto" w:fill="FFFFFF"/>
        </w:rPr>
        <w:t>people</w:t>
      </w:r>
      <w:r w:rsidRPr="00A4536F">
        <w:rPr>
          <w:rFonts w:cs="Calibri"/>
          <w:color w:val="auto"/>
          <w:szCs w:val="18"/>
        </w:rPr>
        <w:t xml:space="preserve"> with disabilities. Table 1 below shows the planned project outcomes and activities pursued by the Oxfam Consortium in Ethiopia.</w:t>
      </w:r>
    </w:p>
    <w:p w14:paraId="7E1B247F" w14:textId="0B0F74A3" w:rsidR="00E13585" w:rsidRPr="00B934EB" w:rsidRDefault="00E13585" w:rsidP="00E13585">
      <w:pPr>
        <w:snapToGrid w:val="0"/>
        <w:spacing w:before="0" w:after="120"/>
        <w:rPr>
          <w:rFonts w:cs="Calibri"/>
          <w:b/>
          <w:bCs/>
          <w:color w:val="auto"/>
          <w:szCs w:val="18"/>
        </w:rPr>
      </w:pPr>
      <w:r w:rsidRPr="00B934EB">
        <w:rPr>
          <w:rFonts w:cs="Calibri"/>
          <w:b/>
          <w:bCs/>
          <w:color w:val="auto"/>
          <w:szCs w:val="18"/>
        </w:rPr>
        <w:t>Oxfam Ethiopia Consortium expected Project Outcomes and Corresponding Activities</w:t>
      </w:r>
    </w:p>
    <w:p w14:paraId="4E19FC8E" w14:textId="4200CDCE" w:rsidR="00E13585" w:rsidRPr="00A4536F" w:rsidRDefault="00E13585" w:rsidP="00E13585">
      <w:pPr>
        <w:snapToGrid w:val="0"/>
        <w:spacing w:before="0" w:after="120"/>
        <w:rPr>
          <w:rFonts w:cs="Calibri"/>
          <w:color w:val="auto"/>
          <w:szCs w:val="18"/>
        </w:rPr>
      </w:pPr>
      <w:r w:rsidRPr="00B934EB">
        <w:rPr>
          <w:rFonts w:cs="Calibri"/>
          <w:b/>
          <w:bCs/>
          <w:color w:val="auto"/>
          <w:szCs w:val="18"/>
        </w:rPr>
        <w:t>Outcome 1:</w:t>
      </w:r>
      <w:r w:rsidRPr="00A4536F">
        <w:rPr>
          <w:rFonts w:cs="Calibri"/>
          <w:b/>
          <w:bCs/>
          <w:color w:val="auto"/>
          <w:szCs w:val="18"/>
        </w:rPr>
        <w:t xml:space="preserve"> </w:t>
      </w:r>
      <w:r w:rsidRPr="00A4536F">
        <w:rPr>
          <w:rFonts w:cs="Calibri"/>
          <w:color w:val="auto"/>
          <w:szCs w:val="18"/>
        </w:rPr>
        <w:t>Increased access to quality emergency nutrition services to prevent, identify and treat acute malnourished cases among infants, children, pregnant and lactating mothers in Tigray, Afar and Amhara Regions, Ethiopia.</w:t>
      </w:r>
    </w:p>
    <w:p w14:paraId="67D259FD" w14:textId="419ABA5E" w:rsidR="00E13585" w:rsidRPr="00B934EB" w:rsidRDefault="00E13585" w:rsidP="00E13585">
      <w:pPr>
        <w:snapToGrid w:val="0"/>
        <w:spacing w:before="0" w:after="120"/>
        <w:rPr>
          <w:rFonts w:cs="Calibri"/>
          <w:b/>
          <w:bCs/>
          <w:color w:val="auto"/>
          <w:szCs w:val="18"/>
        </w:rPr>
      </w:pPr>
      <w:r w:rsidRPr="00B934EB">
        <w:rPr>
          <w:rFonts w:cs="Calibri"/>
          <w:b/>
          <w:bCs/>
          <w:color w:val="auto"/>
          <w:szCs w:val="18"/>
        </w:rPr>
        <w:t xml:space="preserve">Activities: </w:t>
      </w:r>
    </w:p>
    <w:p w14:paraId="0EBFD225" w14:textId="77777777" w:rsidR="00E13585" w:rsidRPr="00A4536F" w:rsidRDefault="00E13585" w:rsidP="00D41C74">
      <w:pPr>
        <w:pStyle w:val="ListParagraph"/>
        <w:numPr>
          <w:ilvl w:val="0"/>
          <w:numId w:val="59"/>
        </w:numPr>
        <w:snapToGrid w:val="0"/>
        <w:spacing w:after="120"/>
        <w:ind w:left="363" w:hanging="357"/>
        <w:rPr>
          <w:rFonts w:ascii="Verdana" w:eastAsia="Times New Roman" w:hAnsi="Verdana" w:cs="Calibri"/>
          <w:sz w:val="18"/>
          <w:szCs w:val="18"/>
        </w:rPr>
      </w:pPr>
      <w:r w:rsidRPr="00A4536F">
        <w:rPr>
          <w:rFonts w:ascii="Verdana" w:eastAsia="Times New Roman" w:hAnsi="Verdana" w:cs="Calibri"/>
          <w:sz w:val="18"/>
          <w:szCs w:val="18"/>
        </w:rPr>
        <w:t xml:space="preserve">Screen children, pregnant and lactating mothers for malnutrition in Afar. </w:t>
      </w:r>
    </w:p>
    <w:p w14:paraId="6FED97FA" w14:textId="77777777" w:rsidR="00E13585" w:rsidRPr="00A4536F" w:rsidRDefault="00E13585" w:rsidP="00D41C74">
      <w:pPr>
        <w:pStyle w:val="ListParagraph"/>
        <w:numPr>
          <w:ilvl w:val="0"/>
          <w:numId w:val="59"/>
        </w:numPr>
        <w:snapToGrid w:val="0"/>
        <w:spacing w:after="120"/>
        <w:ind w:hanging="357"/>
        <w:rPr>
          <w:rFonts w:ascii="Verdana" w:eastAsia="Times New Roman" w:hAnsi="Verdana" w:cs="Calibri"/>
          <w:sz w:val="18"/>
          <w:szCs w:val="18"/>
        </w:rPr>
      </w:pPr>
      <w:r w:rsidRPr="00A4536F">
        <w:rPr>
          <w:rFonts w:ascii="Verdana" w:eastAsia="Times New Roman" w:hAnsi="Verdana" w:cs="Calibri"/>
          <w:sz w:val="18"/>
          <w:szCs w:val="18"/>
        </w:rPr>
        <w:t>Raise awareness about improved nutritional and dietary practices in targeted households.</w:t>
      </w:r>
    </w:p>
    <w:p w14:paraId="2CE3E181" w14:textId="77777777" w:rsidR="00E13585" w:rsidRPr="00A4536F" w:rsidRDefault="00E13585" w:rsidP="00D41C74">
      <w:pPr>
        <w:pStyle w:val="ListParagraph"/>
        <w:numPr>
          <w:ilvl w:val="0"/>
          <w:numId w:val="59"/>
        </w:numPr>
        <w:snapToGrid w:val="0"/>
        <w:spacing w:after="120"/>
        <w:ind w:hanging="357"/>
        <w:rPr>
          <w:rFonts w:ascii="Verdana" w:eastAsia="Times New Roman" w:hAnsi="Verdana" w:cs="Calibri"/>
          <w:sz w:val="18"/>
          <w:szCs w:val="18"/>
        </w:rPr>
      </w:pPr>
      <w:r w:rsidRPr="00A4536F">
        <w:rPr>
          <w:rFonts w:ascii="Verdana" w:eastAsia="Times New Roman" w:hAnsi="Verdana" w:cs="Calibri"/>
          <w:sz w:val="18"/>
          <w:szCs w:val="18"/>
        </w:rPr>
        <w:t>Provide drought resilient vegetable seeds to improve their dietary diversity in targeted households in Amhara.</w:t>
      </w:r>
    </w:p>
    <w:p w14:paraId="685E658F" w14:textId="3D4ECD48" w:rsidR="00E13585" w:rsidRPr="00A4536F" w:rsidRDefault="00E13585" w:rsidP="00D41C74">
      <w:pPr>
        <w:pStyle w:val="ListParagraph"/>
        <w:numPr>
          <w:ilvl w:val="0"/>
          <w:numId w:val="59"/>
        </w:numPr>
        <w:snapToGrid w:val="0"/>
        <w:spacing w:after="120"/>
        <w:ind w:hanging="357"/>
        <w:rPr>
          <w:rFonts w:ascii="Verdana" w:eastAsia="Times New Roman" w:hAnsi="Verdana" w:cs="Calibri"/>
          <w:sz w:val="18"/>
          <w:szCs w:val="18"/>
        </w:rPr>
      </w:pPr>
      <w:r w:rsidRPr="00A4536F">
        <w:rPr>
          <w:rFonts w:ascii="Verdana" w:eastAsia="Times New Roman" w:hAnsi="Verdana" w:cs="Calibri"/>
          <w:sz w:val="18"/>
          <w:szCs w:val="18"/>
        </w:rPr>
        <w:t>Provide food and/or cash assistance for 3 months to targeted households in Tigray and Afar.</w:t>
      </w:r>
    </w:p>
    <w:p w14:paraId="386F9198" w14:textId="007C310D" w:rsidR="00E13585" w:rsidRPr="00A4536F" w:rsidRDefault="00E13585" w:rsidP="00E13585">
      <w:pPr>
        <w:snapToGrid w:val="0"/>
        <w:spacing w:after="120"/>
        <w:ind w:left="3"/>
        <w:rPr>
          <w:rFonts w:eastAsia="Times New Roman" w:cs="Calibri"/>
          <w:color w:val="auto"/>
          <w:szCs w:val="18"/>
        </w:rPr>
      </w:pPr>
      <w:r w:rsidRPr="00B934EB">
        <w:rPr>
          <w:rFonts w:cs="Calibri"/>
          <w:b/>
          <w:bCs/>
          <w:color w:val="auto"/>
          <w:szCs w:val="18"/>
        </w:rPr>
        <w:t>Outcome 2:</w:t>
      </w:r>
      <w:r w:rsidRPr="00A4536F">
        <w:rPr>
          <w:rFonts w:cs="Calibri"/>
          <w:b/>
          <w:bCs/>
          <w:color w:val="auto"/>
          <w:szCs w:val="18"/>
        </w:rPr>
        <w:t xml:space="preserve"> </w:t>
      </w:r>
      <w:r w:rsidRPr="00A4536F">
        <w:rPr>
          <w:rFonts w:eastAsia="Times New Roman" w:cs="Calibri"/>
          <w:color w:val="auto"/>
          <w:szCs w:val="18"/>
        </w:rPr>
        <w:t xml:space="preserve">Conflict and drought affected households in Tigray, Afar and Amhara have improved access to food security and </w:t>
      </w:r>
      <w:proofErr w:type="gramStart"/>
      <w:r w:rsidRPr="00A4536F">
        <w:rPr>
          <w:rFonts w:eastAsia="Times New Roman" w:cs="Calibri"/>
          <w:color w:val="auto"/>
          <w:szCs w:val="18"/>
        </w:rPr>
        <w:t>livelihoods</w:t>
      </w:r>
      <w:proofErr w:type="gramEnd"/>
    </w:p>
    <w:p w14:paraId="3EAB86D4" w14:textId="10178773" w:rsidR="00E13585" w:rsidRPr="00B934EB" w:rsidRDefault="00E13585" w:rsidP="00E13585">
      <w:pPr>
        <w:snapToGrid w:val="0"/>
        <w:spacing w:after="120"/>
        <w:ind w:left="3"/>
        <w:rPr>
          <w:rFonts w:eastAsia="Times New Roman" w:cs="Calibri"/>
          <w:color w:val="auto"/>
          <w:szCs w:val="18"/>
        </w:rPr>
      </w:pPr>
      <w:r w:rsidRPr="00B934EB">
        <w:rPr>
          <w:rFonts w:cs="Calibri"/>
          <w:b/>
          <w:bCs/>
          <w:color w:val="auto"/>
          <w:szCs w:val="18"/>
        </w:rPr>
        <w:t>Activities:</w:t>
      </w:r>
      <w:r w:rsidRPr="00B934EB">
        <w:rPr>
          <w:rFonts w:eastAsia="Times New Roman" w:cs="Calibri"/>
          <w:color w:val="auto"/>
          <w:szCs w:val="18"/>
        </w:rPr>
        <w:t xml:space="preserve"> </w:t>
      </w:r>
    </w:p>
    <w:p w14:paraId="1DB233DE" w14:textId="77777777" w:rsidR="00E13585" w:rsidRPr="00A4536F" w:rsidRDefault="00E13585" w:rsidP="00D41C74">
      <w:pPr>
        <w:pStyle w:val="ListParagraph"/>
        <w:numPr>
          <w:ilvl w:val="0"/>
          <w:numId w:val="60"/>
        </w:numPr>
        <w:snapToGrid w:val="0"/>
        <w:spacing w:after="120"/>
        <w:ind w:hanging="357"/>
        <w:rPr>
          <w:rFonts w:ascii="Verdana" w:eastAsia="Times New Roman" w:hAnsi="Verdana" w:cs="Calibri"/>
          <w:sz w:val="18"/>
          <w:szCs w:val="18"/>
        </w:rPr>
      </w:pPr>
      <w:r w:rsidRPr="00A4536F">
        <w:rPr>
          <w:rFonts w:ascii="Verdana" w:eastAsia="Times New Roman" w:hAnsi="Verdana" w:cs="Calibri"/>
          <w:sz w:val="18"/>
          <w:szCs w:val="18"/>
        </w:rPr>
        <w:t>Supply targeted households with small ruminants in Amhara.</w:t>
      </w:r>
    </w:p>
    <w:p w14:paraId="587C8B09" w14:textId="77777777" w:rsidR="00E13585" w:rsidRPr="00A4536F" w:rsidRDefault="00E13585" w:rsidP="00D41C74">
      <w:pPr>
        <w:pStyle w:val="ListParagraph"/>
        <w:numPr>
          <w:ilvl w:val="0"/>
          <w:numId w:val="60"/>
        </w:numPr>
        <w:snapToGrid w:val="0"/>
        <w:spacing w:after="120"/>
        <w:ind w:hanging="357"/>
        <w:rPr>
          <w:rFonts w:ascii="Verdana" w:eastAsia="Times New Roman" w:hAnsi="Verdana" w:cs="Calibri"/>
          <w:sz w:val="18"/>
          <w:szCs w:val="18"/>
        </w:rPr>
      </w:pPr>
      <w:r w:rsidRPr="00A4536F">
        <w:rPr>
          <w:rFonts w:ascii="Verdana" w:eastAsia="Times New Roman" w:hAnsi="Verdana" w:cs="Calibri"/>
          <w:sz w:val="18"/>
          <w:szCs w:val="18"/>
        </w:rPr>
        <w:t>Rehabilitate of agricultural infrastructure and</w:t>
      </w:r>
      <w:r w:rsidRPr="00A4536F">
        <w:rPr>
          <w:rFonts w:ascii="Verdana" w:eastAsia="Times New Roman" w:hAnsi="Verdana" w:cs="Calibri"/>
          <w:sz w:val="18"/>
          <w:szCs w:val="18"/>
        </w:rPr>
        <w:br/>
        <w:t>facilities in Afar.</w:t>
      </w:r>
    </w:p>
    <w:p w14:paraId="3CEECBBC" w14:textId="77777777" w:rsidR="00E13585" w:rsidRPr="00A4536F" w:rsidRDefault="00E13585" w:rsidP="00D41C74">
      <w:pPr>
        <w:pStyle w:val="ListParagraph"/>
        <w:numPr>
          <w:ilvl w:val="0"/>
          <w:numId w:val="60"/>
        </w:numPr>
        <w:snapToGrid w:val="0"/>
        <w:spacing w:after="120"/>
        <w:ind w:hanging="357"/>
        <w:rPr>
          <w:rFonts w:ascii="Verdana" w:hAnsi="Verdana" w:cs="Calibri"/>
          <w:sz w:val="18"/>
          <w:szCs w:val="18"/>
        </w:rPr>
      </w:pPr>
      <w:r w:rsidRPr="00A4536F">
        <w:rPr>
          <w:rFonts w:ascii="Verdana" w:eastAsia="Times New Roman" w:hAnsi="Verdana" w:cs="Calibri"/>
          <w:sz w:val="18"/>
          <w:szCs w:val="18"/>
        </w:rPr>
        <w:t>Provide support to Cooperatives with capacity-building and input provisions in Afar and Tigray.</w:t>
      </w:r>
    </w:p>
    <w:p w14:paraId="2F55FADF" w14:textId="2BAD1D64" w:rsidR="00E13585" w:rsidRPr="00A4536F" w:rsidRDefault="00E13585" w:rsidP="00911734">
      <w:pPr>
        <w:snapToGrid w:val="0"/>
        <w:spacing w:after="120"/>
        <w:ind w:left="3"/>
        <w:rPr>
          <w:rFonts w:eastAsia="Times New Roman" w:cs="Calibri"/>
          <w:color w:val="auto"/>
          <w:szCs w:val="18"/>
        </w:rPr>
      </w:pPr>
      <w:r w:rsidRPr="00B934EB">
        <w:rPr>
          <w:rFonts w:eastAsia="Times New Roman" w:cs="Calibri"/>
          <w:b/>
          <w:bCs/>
          <w:color w:val="auto"/>
          <w:szCs w:val="18"/>
        </w:rPr>
        <w:t>Outcome 3:</w:t>
      </w:r>
      <w:r w:rsidRPr="00A4536F">
        <w:rPr>
          <w:rFonts w:eastAsia="Times New Roman" w:cs="Calibri"/>
          <w:b/>
          <w:bCs/>
          <w:color w:val="auto"/>
          <w:szCs w:val="18"/>
        </w:rPr>
        <w:t xml:space="preserve"> </w:t>
      </w:r>
      <w:r w:rsidR="00911734" w:rsidRPr="00A4536F">
        <w:rPr>
          <w:rFonts w:eastAsia="Times New Roman" w:cs="Calibri"/>
          <w:b/>
          <w:bCs/>
          <w:color w:val="auto"/>
          <w:szCs w:val="18"/>
        </w:rPr>
        <w:t xml:space="preserve"> </w:t>
      </w:r>
      <w:r w:rsidRPr="00A4536F">
        <w:rPr>
          <w:rFonts w:eastAsia="Times New Roman" w:cs="Calibri"/>
          <w:color w:val="auto"/>
          <w:szCs w:val="18"/>
        </w:rPr>
        <w:t xml:space="preserve">Improved protection for conflict and drought-affected women, men, </w:t>
      </w:r>
      <w:proofErr w:type="gramStart"/>
      <w:r w:rsidRPr="00A4536F">
        <w:rPr>
          <w:rFonts w:eastAsia="Times New Roman" w:cs="Calibri"/>
          <w:color w:val="auto"/>
          <w:szCs w:val="18"/>
        </w:rPr>
        <w:t>boys</w:t>
      </w:r>
      <w:proofErr w:type="gramEnd"/>
      <w:r w:rsidRPr="00A4536F">
        <w:rPr>
          <w:rFonts w:eastAsia="Times New Roman" w:cs="Calibri"/>
          <w:color w:val="auto"/>
          <w:szCs w:val="18"/>
        </w:rPr>
        <w:t xml:space="preserve"> and girls in Tigray, Afar and Amhara.</w:t>
      </w:r>
    </w:p>
    <w:p w14:paraId="4EB3DB0C" w14:textId="190F708D" w:rsidR="00911734" w:rsidRPr="00B934EB" w:rsidRDefault="00911734" w:rsidP="00911734">
      <w:pPr>
        <w:snapToGrid w:val="0"/>
        <w:spacing w:after="120"/>
        <w:ind w:left="3"/>
        <w:rPr>
          <w:rFonts w:eastAsia="Times New Roman" w:cs="Calibri"/>
          <w:b/>
          <w:bCs/>
          <w:color w:val="auto"/>
          <w:szCs w:val="18"/>
        </w:rPr>
      </w:pPr>
      <w:r w:rsidRPr="00B934EB">
        <w:rPr>
          <w:rFonts w:eastAsia="Times New Roman" w:cs="Calibri"/>
          <w:b/>
          <w:bCs/>
          <w:color w:val="auto"/>
          <w:szCs w:val="18"/>
        </w:rPr>
        <w:t>Activities</w:t>
      </w:r>
    </w:p>
    <w:p w14:paraId="74078600" w14:textId="77777777" w:rsidR="00911734" w:rsidRPr="00A4536F" w:rsidRDefault="00911734" w:rsidP="00D41C74">
      <w:pPr>
        <w:pStyle w:val="ListParagraph"/>
        <w:numPr>
          <w:ilvl w:val="0"/>
          <w:numId w:val="61"/>
        </w:numPr>
        <w:snapToGrid w:val="0"/>
        <w:spacing w:after="120"/>
        <w:ind w:hanging="357"/>
        <w:rPr>
          <w:rFonts w:ascii="Verdana" w:eastAsia="Times New Roman" w:hAnsi="Verdana" w:cs="Calibri"/>
          <w:sz w:val="18"/>
          <w:szCs w:val="18"/>
        </w:rPr>
      </w:pPr>
      <w:r w:rsidRPr="00A4536F">
        <w:rPr>
          <w:rFonts w:ascii="Verdana" w:eastAsia="Times New Roman" w:hAnsi="Verdana" w:cs="Calibri"/>
          <w:sz w:val="18"/>
          <w:szCs w:val="18"/>
        </w:rPr>
        <w:t xml:space="preserve">Identify and refer protection cases. </w:t>
      </w:r>
    </w:p>
    <w:p w14:paraId="5FAC9E2B" w14:textId="77777777" w:rsidR="00911734" w:rsidRPr="00A4536F" w:rsidRDefault="00911734" w:rsidP="00D41C74">
      <w:pPr>
        <w:pStyle w:val="ListParagraph"/>
        <w:numPr>
          <w:ilvl w:val="0"/>
          <w:numId w:val="61"/>
        </w:numPr>
        <w:snapToGrid w:val="0"/>
        <w:spacing w:after="120"/>
        <w:ind w:hanging="357"/>
        <w:rPr>
          <w:rFonts w:ascii="Verdana" w:eastAsia="Times New Roman" w:hAnsi="Verdana" w:cs="Calibri"/>
          <w:sz w:val="18"/>
          <w:szCs w:val="18"/>
        </w:rPr>
      </w:pPr>
      <w:r w:rsidRPr="00A4536F">
        <w:rPr>
          <w:rFonts w:ascii="Verdana" w:eastAsia="Times New Roman" w:hAnsi="Verdana" w:cs="Calibri"/>
          <w:sz w:val="18"/>
          <w:szCs w:val="18"/>
        </w:rPr>
        <w:t xml:space="preserve">Conduct community awareness sessions on protection issues. </w:t>
      </w:r>
    </w:p>
    <w:p w14:paraId="7C633ACC" w14:textId="77777777" w:rsidR="00911734" w:rsidRPr="00A4536F" w:rsidRDefault="00911734" w:rsidP="00D41C74">
      <w:pPr>
        <w:pStyle w:val="ListParagraph"/>
        <w:numPr>
          <w:ilvl w:val="0"/>
          <w:numId w:val="61"/>
        </w:numPr>
        <w:snapToGrid w:val="0"/>
        <w:spacing w:after="120"/>
        <w:ind w:hanging="357"/>
        <w:rPr>
          <w:rFonts w:ascii="Verdana" w:eastAsia="Times New Roman" w:hAnsi="Verdana" w:cs="Calibri"/>
          <w:sz w:val="18"/>
          <w:szCs w:val="18"/>
        </w:rPr>
      </w:pPr>
      <w:r w:rsidRPr="00A4536F">
        <w:rPr>
          <w:rFonts w:ascii="Verdana" w:eastAsia="Times New Roman" w:hAnsi="Verdana" w:cs="Calibri"/>
          <w:sz w:val="18"/>
          <w:szCs w:val="18"/>
        </w:rPr>
        <w:t xml:space="preserve">Provide dignity kits to women and adolescent girls. </w:t>
      </w:r>
    </w:p>
    <w:p w14:paraId="6B322FF1" w14:textId="6CCB0F1F" w:rsidR="00133CF0" w:rsidRPr="00A4536F" w:rsidRDefault="00911734" w:rsidP="00D41C74">
      <w:pPr>
        <w:pStyle w:val="ListParagraph"/>
        <w:numPr>
          <w:ilvl w:val="0"/>
          <w:numId w:val="61"/>
        </w:numPr>
        <w:snapToGrid w:val="0"/>
        <w:spacing w:after="120"/>
        <w:ind w:hanging="357"/>
        <w:rPr>
          <w:rFonts w:ascii="Verdana" w:eastAsia="Times New Roman" w:hAnsi="Verdana" w:cs="Calibri"/>
          <w:sz w:val="18"/>
          <w:szCs w:val="18"/>
        </w:rPr>
      </w:pPr>
      <w:r w:rsidRPr="00A4536F">
        <w:rPr>
          <w:rFonts w:ascii="Verdana" w:eastAsia="Times New Roman" w:hAnsi="Verdana" w:cs="Calibri"/>
          <w:sz w:val="18"/>
          <w:szCs w:val="18"/>
        </w:rPr>
        <w:t xml:space="preserve">Train individuals (e.g. protection actors, service providers, leaders, etc.) on various protection, </w:t>
      </w:r>
      <w:proofErr w:type="gramStart"/>
      <w:r w:rsidRPr="00A4536F">
        <w:rPr>
          <w:rFonts w:ascii="Verdana" w:eastAsia="Times New Roman" w:hAnsi="Verdana" w:cs="Calibri"/>
          <w:sz w:val="18"/>
          <w:szCs w:val="18"/>
        </w:rPr>
        <w:t>prevention</w:t>
      </w:r>
      <w:proofErr w:type="gramEnd"/>
      <w:r w:rsidRPr="00A4536F">
        <w:rPr>
          <w:rFonts w:ascii="Verdana" w:eastAsia="Times New Roman" w:hAnsi="Verdana" w:cs="Calibri"/>
          <w:sz w:val="18"/>
          <w:szCs w:val="18"/>
        </w:rPr>
        <w:t xml:space="preserve"> and response issues.</w:t>
      </w:r>
    </w:p>
    <w:p w14:paraId="3B98C93F" w14:textId="75683AB2" w:rsidR="00315466" w:rsidRDefault="00B53203" w:rsidP="00F62370">
      <w:pPr>
        <w:pStyle w:val="Heading3"/>
        <w:spacing w:before="240" w:after="240"/>
        <w:rPr>
          <w:rFonts w:ascii="Verdana" w:hAnsi="Verdana"/>
          <w:color w:val="auto"/>
          <w:sz w:val="20"/>
          <w:szCs w:val="20"/>
        </w:rPr>
      </w:pPr>
      <w:bookmarkStart w:id="28" w:name="_Toc181278013"/>
      <w:r w:rsidRPr="00021A9A">
        <w:rPr>
          <w:rFonts w:ascii="Verdana" w:hAnsi="Verdana"/>
          <w:color w:val="auto"/>
          <w:sz w:val="20"/>
          <w:szCs w:val="20"/>
        </w:rPr>
        <w:lastRenderedPageBreak/>
        <w:t xml:space="preserve">1.3.2 </w:t>
      </w:r>
      <w:r w:rsidR="001D4E15" w:rsidRPr="00021A9A">
        <w:rPr>
          <w:rFonts w:ascii="Verdana" w:hAnsi="Verdana"/>
          <w:color w:val="auto"/>
          <w:sz w:val="20"/>
          <w:szCs w:val="20"/>
        </w:rPr>
        <w:t>AHP Food Crisis Activation - Ethiopia (Plan International Ethiopia Consortium)</w:t>
      </w:r>
      <w:bookmarkEnd w:id="28"/>
    </w:p>
    <w:p w14:paraId="0B2A000E" w14:textId="504ACDD5" w:rsidR="00202D15" w:rsidRPr="00F62370" w:rsidRDefault="001D4E15" w:rsidP="001D5297">
      <w:pPr>
        <w:snapToGrid w:val="0"/>
        <w:spacing w:before="0" w:after="0" w:line="240" w:lineRule="auto"/>
        <w:rPr>
          <w:rFonts w:cs="Calibri"/>
          <w:color w:val="auto"/>
          <w:szCs w:val="18"/>
        </w:rPr>
      </w:pPr>
      <w:r w:rsidRPr="00A4536F">
        <w:rPr>
          <w:rFonts w:cs="Calibri"/>
          <w:color w:val="auto"/>
          <w:szCs w:val="18"/>
        </w:rPr>
        <w:t>Plan International Australia's project in Ethiopia, with a budget of AUD 5 million, commenced in July 2023 and was expected to conclude in June 2024. The project activities have been implemented by several organisations, including PIE</w:t>
      </w:r>
      <w:r w:rsidRPr="00A4536F">
        <w:rPr>
          <w:rStyle w:val="FootnoteReference"/>
          <w:rFonts w:cs="Calibri"/>
          <w:color w:val="auto"/>
          <w:szCs w:val="18"/>
        </w:rPr>
        <w:footnoteReference w:id="7"/>
      </w:r>
      <w:r w:rsidRPr="00A4536F">
        <w:rPr>
          <w:rFonts w:cs="Calibri"/>
          <w:color w:val="auto"/>
          <w:szCs w:val="18"/>
        </w:rPr>
        <w:t>, ANE, SCIE, and PIADO. The project has been implemented in Ganta-</w:t>
      </w:r>
      <w:proofErr w:type="spellStart"/>
      <w:r w:rsidRPr="00A4536F">
        <w:rPr>
          <w:rFonts w:cs="Calibri"/>
          <w:color w:val="auto"/>
          <w:szCs w:val="18"/>
        </w:rPr>
        <w:t>Afeshum</w:t>
      </w:r>
      <w:proofErr w:type="spellEnd"/>
      <w:r w:rsidRPr="00A4536F">
        <w:rPr>
          <w:rFonts w:cs="Calibri"/>
          <w:color w:val="auto"/>
          <w:szCs w:val="18"/>
        </w:rPr>
        <w:t xml:space="preserve">, </w:t>
      </w:r>
      <w:proofErr w:type="spellStart"/>
      <w:r w:rsidRPr="00A4536F">
        <w:rPr>
          <w:rFonts w:cs="Calibri"/>
          <w:color w:val="auto"/>
          <w:szCs w:val="18"/>
        </w:rPr>
        <w:t>Gulomekeda</w:t>
      </w:r>
      <w:proofErr w:type="spellEnd"/>
      <w:r w:rsidRPr="00A4536F">
        <w:rPr>
          <w:rFonts w:cs="Calibri"/>
          <w:color w:val="auto"/>
          <w:szCs w:val="18"/>
        </w:rPr>
        <w:t xml:space="preserve">, </w:t>
      </w:r>
      <w:proofErr w:type="spellStart"/>
      <w:r w:rsidRPr="00A4536F">
        <w:rPr>
          <w:rFonts w:cs="Calibri"/>
          <w:color w:val="auto"/>
          <w:szCs w:val="18"/>
        </w:rPr>
        <w:t>Borena</w:t>
      </w:r>
      <w:proofErr w:type="spellEnd"/>
      <w:r w:rsidRPr="00A4536F">
        <w:rPr>
          <w:rFonts w:cs="Calibri"/>
          <w:color w:val="auto"/>
          <w:szCs w:val="18"/>
        </w:rPr>
        <w:t xml:space="preserve"> Zone (</w:t>
      </w:r>
      <w:proofErr w:type="spellStart"/>
      <w:r w:rsidRPr="00A4536F">
        <w:rPr>
          <w:rStyle w:val="cf01"/>
          <w:rFonts w:ascii="Verdana" w:eastAsiaTheme="majorEastAsia" w:hAnsi="Verdana" w:cs="Calibri"/>
          <w:color w:val="auto"/>
        </w:rPr>
        <w:t>Yabello</w:t>
      </w:r>
      <w:proofErr w:type="spellEnd"/>
      <w:r w:rsidRPr="00A4536F">
        <w:rPr>
          <w:rStyle w:val="cf01"/>
          <w:rFonts w:ascii="Verdana" w:eastAsiaTheme="majorEastAsia" w:hAnsi="Verdana" w:cs="Calibri"/>
          <w:color w:val="auto"/>
        </w:rPr>
        <w:t xml:space="preserve"> </w:t>
      </w:r>
      <w:r w:rsidRPr="00A4536F">
        <w:rPr>
          <w:rStyle w:val="cf01"/>
          <w:rFonts w:ascii="Verdana" w:hAnsi="Verdana" w:cs="Calibri"/>
          <w:color w:val="auto"/>
        </w:rPr>
        <w:t xml:space="preserve">and </w:t>
      </w:r>
      <w:proofErr w:type="spellStart"/>
      <w:r w:rsidRPr="00A4536F">
        <w:rPr>
          <w:rStyle w:val="cf01"/>
          <w:rFonts w:ascii="Verdana" w:eastAsiaTheme="majorEastAsia" w:hAnsi="Verdana" w:cs="Calibri"/>
          <w:color w:val="auto"/>
        </w:rPr>
        <w:t>Gomole</w:t>
      </w:r>
      <w:proofErr w:type="spellEnd"/>
      <w:r w:rsidRPr="00A4536F">
        <w:rPr>
          <w:rStyle w:val="cf01"/>
          <w:rFonts w:ascii="Verdana" w:eastAsiaTheme="majorEastAsia" w:hAnsi="Verdana" w:cs="Calibri"/>
          <w:color w:val="auto"/>
        </w:rPr>
        <w:t xml:space="preserve"> </w:t>
      </w:r>
      <w:r w:rsidRPr="00A4536F">
        <w:rPr>
          <w:rStyle w:val="cf01"/>
          <w:rFonts w:ascii="Verdana" w:hAnsi="Verdana" w:cs="Calibri"/>
          <w:color w:val="auto"/>
        </w:rPr>
        <w:t>districts)</w:t>
      </w:r>
      <w:r w:rsidRPr="00A4536F">
        <w:rPr>
          <w:rFonts w:cs="Calibri"/>
          <w:color w:val="auto"/>
          <w:szCs w:val="18"/>
        </w:rPr>
        <w:t xml:space="preserve"> Moyale, and </w:t>
      </w:r>
      <w:proofErr w:type="spellStart"/>
      <w:r w:rsidRPr="00A4536F">
        <w:rPr>
          <w:rFonts w:cs="Calibri"/>
          <w:color w:val="auto"/>
          <w:szCs w:val="18"/>
        </w:rPr>
        <w:t>Qadaduma</w:t>
      </w:r>
      <w:proofErr w:type="spellEnd"/>
      <w:r w:rsidRPr="00A4536F">
        <w:rPr>
          <w:rFonts w:cs="Calibri"/>
          <w:color w:val="auto"/>
          <w:szCs w:val="18"/>
        </w:rPr>
        <w:t xml:space="preserve"> districts. The project focused on food security through the provision of improved crop seeds, dairy goat restocking, pullet support, pasture enclosure, pond rehabilitation, nutrition support, and cash programming to address income gaps for vulnerable households, with a focus on child protection. Table 2 below shows the project planned outcomes and activities pursued by the Plan International consortium in Ethiopia.</w:t>
      </w:r>
    </w:p>
    <w:p w14:paraId="1EF2E8C1" w14:textId="6BCF3286" w:rsidR="001D5297" w:rsidRPr="00B934EB" w:rsidRDefault="004041DF" w:rsidP="00F62370">
      <w:pPr>
        <w:snapToGrid w:val="0"/>
        <w:spacing w:line="240" w:lineRule="auto"/>
        <w:rPr>
          <w:rFonts w:cs="Calibri"/>
          <w:b/>
          <w:bCs/>
          <w:color w:val="auto"/>
          <w:szCs w:val="18"/>
        </w:rPr>
      </w:pPr>
      <w:r w:rsidRPr="00B934EB">
        <w:rPr>
          <w:rFonts w:cs="Calibri"/>
          <w:b/>
          <w:bCs/>
          <w:color w:val="auto"/>
          <w:szCs w:val="18"/>
        </w:rPr>
        <w:t>Plan International Ethiopia Consortium expected Project Outcomes and Corresponding Activities</w:t>
      </w:r>
    </w:p>
    <w:p w14:paraId="6E9280AF" w14:textId="2C378206" w:rsidR="001D5297" w:rsidRPr="00A4536F" w:rsidRDefault="004041DF" w:rsidP="00F62370">
      <w:pPr>
        <w:snapToGrid w:val="0"/>
        <w:spacing w:before="0" w:after="0" w:line="240" w:lineRule="auto"/>
        <w:ind w:left="357" w:right="14" w:hanging="357"/>
        <w:contextualSpacing/>
        <w:rPr>
          <w:rFonts w:cs="Calibri"/>
          <w:color w:val="auto"/>
          <w:szCs w:val="18"/>
        </w:rPr>
      </w:pPr>
      <w:r w:rsidRPr="00A4536F">
        <w:rPr>
          <w:rFonts w:cs="Calibri"/>
          <w:b/>
          <w:bCs/>
          <w:color w:val="auto"/>
          <w:szCs w:val="18"/>
        </w:rPr>
        <w:t>Outcome 1</w:t>
      </w:r>
      <w:r w:rsidR="007B6E07" w:rsidRPr="00A4536F">
        <w:rPr>
          <w:rFonts w:cs="Calibri"/>
          <w:b/>
          <w:bCs/>
          <w:color w:val="auto"/>
          <w:szCs w:val="18"/>
        </w:rPr>
        <w:t xml:space="preserve">: </w:t>
      </w:r>
      <w:r w:rsidR="007B6E07" w:rsidRPr="00A4536F">
        <w:rPr>
          <w:rFonts w:cs="Calibri"/>
          <w:color w:val="auto"/>
          <w:szCs w:val="18"/>
        </w:rPr>
        <w:t xml:space="preserve">Increased access to emergency curative and preventive nutrition services for drought-affected children under five years of age, pregnant and lactating women, elders, and mothers/caretakers of children under two years of age in </w:t>
      </w:r>
      <w:proofErr w:type="spellStart"/>
      <w:r w:rsidR="007B6E07" w:rsidRPr="00A4536F">
        <w:rPr>
          <w:rFonts w:cs="Calibri"/>
          <w:color w:val="auto"/>
          <w:szCs w:val="18"/>
        </w:rPr>
        <w:t>Yabello</w:t>
      </w:r>
      <w:proofErr w:type="spellEnd"/>
      <w:r w:rsidR="007B6E07" w:rsidRPr="00A4536F">
        <w:rPr>
          <w:rFonts w:cs="Calibri"/>
          <w:color w:val="auto"/>
          <w:szCs w:val="18"/>
        </w:rPr>
        <w:t xml:space="preserve"> and </w:t>
      </w:r>
      <w:proofErr w:type="spellStart"/>
      <w:r w:rsidR="007B6E07" w:rsidRPr="00A4536F">
        <w:rPr>
          <w:rFonts w:cs="Calibri"/>
          <w:color w:val="auto"/>
          <w:szCs w:val="18"/>
        </w:rPr>
        <w:t>Gomole</w:t>
      </w:r>
      <w:proofErr w:type="spellEnd"/>
      <w:r w:rsidR="007B6E07" w:rsidRPr="00A4536F">
        <w:rPr>
          <w:rFonts w:cs="Calibri"/>
          <w:color w:val="auto"/>
          <w:szCs w:val="18"/>
        </w:rPr>
        <w:t xml:space="preserve"> woredas of </w:t>
      </w:r>
      <w:proofErr w:type="spellStart"/>
      <w:r w:rsidR="007B6E07" w:rsidRPr="00A4536F">
        <w:rPr>
          <w:rFonts w:cs="Calibri"/>
          <w:color w:val="auto"/>
          <w:szCs w:val="18"/>
        </w:rPr>
        <w:t>Borena</w:t>
      </w:r>
      <w:proofErr w:type="spellEnd"/>
      <w:r w:rsidR="007B6E07" w:rsidRPr="00A4536F">
        <w:rPr>
          <w:rFonts w:cs="Calibri"/>
          <w:color w:val="auto"/>
          <w:szCs w:val="18"/>
        </w:rPr>
        <w:t xml:space="preserve"> Zone, Oromia Region.</w:t>
      </w:r>
    </w:p>
    <w:p w14:paraId="166C389B" w14:textId="276B4D90" w:rsidR="001D5297" w:rsidRPr="00A4536F" w:rsidRDefault="007B6E07" w:rsidP="00F62370">
      <w:pPr>
        <w:snapToGrid w:val="0"/>
        <w:spacing w:line="240" w:lineRule="auto"/>
        <w:rPr>
          <w:rFonts w:cs="Calibri"/>
          <w:b/>
          <w:bCs/>
          <w:color w:val="auto"/>
          <w:szCs w:val="18"/>
        </w:rPr>
      </w:pPr>
      <w:r w:rsidRPr="00A4536F">
        <w:rPr>
          <w:rFonts w:cs="Calibri"/>
          <w:b/>
          <w:bCs/>
          <w:color w:val="auto"/>
          <w:szCs w:val="18"/>
        </w:rPr>
        <w:t xml:space="preserve">Activities: </w:t>
      </w:r>
    </w:p>
    <w:p w14:paraId="6C1E1619" w14:textId="77777777" w:rsidR="007B6E07" w:rsidRPr="00A4536F" w:rsidRDefault="007B6E07" w:rsidP="00D41C74">
      <w:pPr>
        <w:pStyle w:val="ListParagraph"/>
        <w:numPr>
          <w:ilvl w:val="0"/>
          <w:numId w:val="62"/>
        </w:numPr>
        <w:snapToGrid w:val="0"/>
        <w:spacing w:after="0" w:line="240" w:lineRule="auto"/>
        <w:ind w:hanging="357"/>
        <w:rPr>
          <w:rFonts w:ascii="Verdana" w:hAnsi="Verdana" w:cs="Calibri"/>
          <w:sz w:val="18"/>
          <w:szCs w:val="18"/>
        </w:rPr>
      </w:pPr>
      <w:r w:rsidRPr="00A4536F">
        <w:rPr>
          <w:rFonts w:ascii="Verdana" w:hAnsi="Verdana" w:cs="Calibri"/>
          <w:sz w:val="18"/>
          <w:szCs w:val="18"/>
        </w:rPr>
        <w:t>Identify and treat the Under-5s and pregnant and lactating women suffering from acute malnutrition.</w:t>
      </w:r>
    </w:p>
    <w:p w14:paraId="59429B31" w14:textId="77777777" w:rsidR="007B6E07" w:rsidRPr="00A4536F" w:rsidRDefault="007B6E07" w:rsidP="00D41C74">
      <w:pPr>
        <w:pStyle w:val="ListParagraph"/>
        <w:numPr>
          <w:ilvl w:val="0"/>
          <w:numId w:val="62"/>
        </w:numPr>
        <w:snapToGrid w:val="0"/>
        <w:spacing w:after="120"/>
        <w:ind w:hanging="357"/>
        <w:rPr>
          <w:rFonts w:ascii="Verdana" w:hAnsi="Verdana" w:cs="Calibri"/>
          <w:sz w:val="18"/>
          <w:szCs w:val="18"/>
        </w:rPr>
      </w:pPr>
      <w:r w:rsidRPr="00A4536F">
        <w:rPr>
          <w:rFonts w:ascii="Verdana" w:hAnsi="Verdana" w:cs="Calibri"/>
          <w:sz w:val="18"/>
          <w:szCs w:val="18"/>
        </w:rPr>
        <w:t>Enhance the capacity of the local health system for sustainable community-based management of acute malnutrition.</w:t>
      </w:r>
    </w:p>
    <w:p w14:paraId="6B488608" w14:textId="77777777" w:rsidR="007B6E07" w:rsidRPr="00A4536F" w:rsidRDefault="007B6E07" w:rsidP="00D41C74">
      <w:pPr>
        <w:pStyle w:val="ListParagraph"/>
        <w:numPr>
          <w:ilvl w:val="0"/>
          <w:numId w:val="62"/>
        </w:numPr>
        <w:snapToGrid w:val="0"/>
        <w:spacing w:after="120"/>
        <w:ind w:hanging="357"/>
        <w:rPr>
          <w:rFonts w:ascii="Verdana" w:hAnsi="Verdana" w:cs="Calibri"/>
          <w:sz w:val="18"/>
          <w:szCs w:val="18"/>
        </w:rPr>
      </w:pPr>
      <w:r w:rsidRPr="00A4536F">
        <w:rPr>
          <w:rFonts w:ascii="Verdana" w:hAnsi="Verdana" w:cs="Calibri"/>
          <w:sz w:val="18"/>
          <w:szCs w:val="18"/>
        </w:rPr>
        <w:t>Increase access to preventive nutrition services through the provision of micro-nutrient supplementation to Under-5s and pregnant and lactating women, and promotion of Maternal and Infant and Young Children Feeding practices.</w:t>
      </w:r>
    </w:p>
    <w:p w14:paraId="584ADBF0" w14:textId="77777777" w:rsidR="007B6E07" w:rsidRPr="00A4536F" w:rsidRDefault="007B6E07" w:rsidP="00D41C74">
      <w:pPr>
        <w:pStyle w:val="ListParagraph"/>
        <w:numPr>
          <w:ilvl w:val="0"/>
          <w:numId w:val="62"/>
        </w:numPr>
        <w:snapToGrid w:val="0"/>
        <w:spacing w:after="120"/>
        <w:ind w:hanging="357"/>
        <w:rPr>
          <w:rFonts w:ascii="Verdana" w:hAnsi="Verdana" w:cs="Calibri"/>
          <w:sz w:val="18"/>
          <w:szCs w:val="18"/>
        </w:rPr>
      </w:pPr>
      <w:r w:rsidRPr="00A4536F">
        <w:rPr>
          <w:rFonts w:ascii="Verdana" w:hAnsi="Verdana" w:cs="Calibri"/>
          <w:sz w:val="18"/>
          <w:szCs w:val="18"/>
        </w:rPr>
        <w:t>Support routine nutrition screening.</w:t>
      </w:r>
    </w:p>
    <w:p w14:paraId="199932BC" w14:textId="77777777" w:rsidR="007B6E07" w:rsidRPr="00A4536F" w:rsidRDefault="007B6E07" w:rsidP="00D41C74">
      <w:pPr>
        <w:pStyle w:val="ListParagraph"/>
        <w:numPr>
          <w:ilvl w:val="0"/>
          <w:numId w:val="62"/>
        </w:numPr>
        <w:snapToGrid w:val="0"/>
        <w:spacing w:after="120"/>
        <w:ind w:hanging="357"/>
        <w:rPr>
          <w:rFonts w:ascii="Verdana" w:hAnsi="Verdana" w:cs="Calibri"/>
          <w:sz w:val="18"/>
          <w:szCs w:val="18"/>
        </w:rPr>
      </w:pPr>
      <w:r w:rsidRPr="00A4536F">
        <w:rPr>
          <w:rFonts w:ascii="Verdana" w:hAnsi="Verdana" w:cs="Calibri"/>
          <w:sz w:val="18"/>
          <w:szCs w:val="18"/>
        </w:rPr>
        <w:t>Orient mothers/caretakers on nutrition screening.</w:t>
      </w:r>
    </w:p>
    <w:p w14:paraId="06C5FAA5" w14:textId="15DEA629" w:rsidR="004041DF" w:rsidRPr="00A4536F" w:rsidRDefault="007B6E07" w:rsidP="00D41C74">
      <w:pPr>
        <w:pStyle w:val="ListParagraph"/>
        <w:numPr>
          <w:ilvl w:val="0"/>
          <w:numId w:val="62"/>
        </w:numPr>
        <w:snapToGrid w:val="0"/>
        <w:spacing w:after="120"/>
        <w:ind w:hanging="357"/>
        <w:rPr>
          <w:rFonts w:ascii="Verdana" w:hAnsi="Verdana" w:cs="Calibri"/>
          <w:sz w:val="18"/>
          <w:szCs w:val="18"/>
        </w:rPr>
      </w:pPr>
      <w:r w:rsidRPr="00A4536F">
        <w:rPr>
          <w:rFonts w:ascii="Verdana" w:hAnsi="Verdana" w:cs="Calibri"/>
          <w:sz w:val="18"/>
          <w:szCs w:val="18"/>
        </w:rPr>
        <w:t>Establish and support Mother-to-Mother and Father-to-Father Support Groups.</w:t>
      </w:r>
    </w:p>
    <w:p w14:paraId="41C047D3" w14:textId="77777777" w:rsidR="00EC3AE3" w:rsidRDefault="00481E18" w:rsidP="00616CBE">
      <w:pPr>
        <w:snapToGrid w:val="0"/>
        <w:spacing w:after="120"/>
        <w:ind w:left="426" w:hanging="426"/>
        <w:rPr>
          <w:rFonts w:cs="Calibri"/>
          <w:color w:val="auto"/>
          <w:szCs w:val="18"/>
        </w:rPr>
      </w:pPr>
      <w:r w:rsidRPr="00A4536F">
        <w:rPr>
          <w:rFonts w:cs="Calibri"/>
          <w:b/>
          <w:bCs/>
          <w:color w:val="auto"/>
          <w:szCs w:val="18"/>
        </w:rPr>
        <w:t>Outcome 2:</w:t>
      </w:r>
      <w:r w:rsidRPr="00A4536F">
        <w:rPr>
          <w:rFonts w:cs="Calibri"/>
          <w:color w:val="auto"/>
          <w:szCs w:val="18"/>
        </w:rPr>
        <w:t xml:space="preserve"> Enhanced resilience of at-risk groups including women, pregnant and lactating women (which may include adolescent girls), and women-headed households, girls and boys, adolescent girls and boys, people with disabilities and the elderly impacted by the food crisis -- through meeting their immediate needs, food security and livelihoods support (</w:t>
      </w:r>
      <w:proofErr w:type="spellStart"/>
      <w:r w:rsidRPr="00A4536F">
        <w:rPr>
          <w:rFonts w:cs="Calibri"/>
          <w:color w:val="auto"/>
          <w:szCs w:val="18"/>
        </w:rPr>
        <w:t>Borena</w:t>
      </w:r>
      <w:proofErr w:type="spellEnd"/>
      <w:r w:rsidRPr="00A4536F">
        <w:rPr>
          <w:rFonts w:cs="Calibri"/>
          <w:color w:val="auto"/>
          <w:szCs w:val="18"/>
        </w:rPr>
        <w:t xml:space="preserve"> zone, Oromia region, and Tigray Region).</w:t>
      </w:r>
    </w:p>
    <w:p w14:paraId="578DD425" w14:textId="61958FF3" w:rsidR="00481E18" w:rsidRPr="00A4536F" w:rsidRDefault="00481E18" w:rsidP="0007090D">
      <w:pPr>
        <w:snapToGrid w:val="0"/>
        <w:spacing w:after="120"/>
        <w:ind w:left="3"/>
        <w:rPr>
          <w:rFonts w:cs="Calibri"/>
          <w:color w:val="auto"/>
          <w:szCs w:val="18"/>
        </w:rPr>
      </w:pPr>
      <w:r w:rsidRPr="00A4536F">
        <w:rPr>
          <w:rFonts w:cs="Calibri"/>
          <w:b/>
          <w:bCs/>
          <w:color w:val="auto"/>
          <w:szCs w:val="18"/>
        </w:rPr>
        <w:t>Activities:</w:t>
      </w:r>
      <w:r w:rsidRPr="00A4536F">
        <w:rPr>
          <w:rFonts w:cs="Calibri"/>
          <w:color w:val="auto"/>
          <w:szCs w:val="18"/>
        </w:rPr>
        <w:t xml:space="preserve"> </w:t>
      </w:r>
    </w:p>
    <w:p w14:paraId="6EEC8B0D" w14:textId="77777777" w:rsidR="00481E18" w:rsidRPr="00A4536F" w:rsidRDefault="00481E18" w:rsidP="00D41C74">
      <w:pPr>
        <w:pStyle w:val="ListParagraph"/>
        <w:numPr>
          <w:ilvl w:val="0"/>
          <w:numId w:val="63"/>
        </w:numPr>
        <w:snapToGrid w:val="0"/>
        <w:spacing w:after="120"/>
        <w:ind w:hanging="357"/>
        <w:rPr>
          <w:rFonts w:ascii="Verdana" w:hAnsi="Verdana" w:cs="Calibri"/>
          <w:sz w:val="18"/>
          <w:szCs w:val="18"/>
        </w:rPr>
      </w:pPr>
      <w:r w:rsidRPr="00A4536F">
        <w:rPr>
          <w:rFonts w:ascii="Verdana" w:hAnsi="Verdana" w:cs="Calibri"/>
          <w:sz w:val="18"/>
          <w:szCs w:val="18"/>
        </w:rPr>
        <w:t xml:space="preserve">Support vulnerable households and individuals, such as pregnant and lactating women, internally displaced persons, households fostering unaccompanied children and children with special needs, separated children, </w:t>
      </w:r>
      <w:r w:rsidRPr="00A4536F">
        <w:rPr>
          <w:rFonts w:ascii="Verdana" w:hAnsi="Verdana" w:cs="Calibri"/>
          <w:sz w:val="18"/>
          <w:szCs w:val="18"/>
          <w:shd w:val="clear" w:color="auto" w:fill="FFFFFF"/>
        </w:rPr>
        <w:t>people</w:t>
      </w:r>
      <w:r w:rsidRPr="00A4536F">
        <w:rPr>
          <w:rFonts w:ascii="Verdana" w:hAnsi="Verdana" w:cs="Calibri"/>
          <w:sz w:val="18"/>
          <w:szCs w:val="18"/>
        </w:rPr>
        <w:t xml:space="preserve"> with disabilities, female-headed households with U5 children, and the elderly with multi-purpose cash transfers for household and livelihoods support. </w:t>
      </w:r>
    </w:p>
    <w:p w14:paraId="039F72FA" w14:textId="77777777" w:rsidR="00481E18" w:rsidRPr="00A4536F" w:rsidRDefault="00481E18" w:rsidP="00D41C74">
      <w:pPr>
        <w:pStyle w:val="ListParagraph"/>
        <w:numPr>
          <w:ilvl w:val="0"/>
          <w:numId w:val="63"/>
        </w:numPr>
        <w:snapToGrid w:val="0"/>
        <w:spacing w:after="120"/>
        <w:ind w:hanging="357"/>
        <w:rPr>
          <w:rFonts w:ascii="Verdana" w:hAnsi="Verdana" w:cs="Calibri"/>
          <w:sz w:val="18"/>
          <w:szCs w:val="18"/>
        </w:rPr>
      </w:pPr>
      <w:r w:rsidRPr="00A4536F">
        <w:rPr>
          <w:rFonts w:ascii="Verdana" w:hAnsi="Verdana" w:cs="Calibri"/>
          <w:sz w:val="18"/>
          <w:szCs w:val="18"/>
        </w:rPr>
        <w:t xml:space="preserve">Support vulnerable households with conditional cash support for implementation of cash-for-work activities that focus on rehabilitation of community assets and resources - such as ponds and pasture enclosures/Kallo. </w:t>
      </w:r>
    </w:p>
    <w:p w14:paraId="170AA109" w14:textId="77777777" w:rsidR="00481E18" w:rsidRPr="00A4536F" w:rsidRDefault="00481E18" w:rsidP="00D41C74">
      <w:pPr>
        <w:pStyle w:val="ListParagraph"/>
        <w:numPr>
          <w:ilvl w:val="0"/>
          <w:numId w:val="63"/>
        </w:numPr>
        <w:snapToGrid w:val="0"/>
        <w:spacing w:after="120"/>
        <w:ind w:hanging="357"/>
        <w:rPr>
          <w:rFonts w:ascii="Verdana" w:hAnsi="Verdana" w:cs="Calibri"/>
          <w:sz w:val="18"/>
          <w:szCs w:val="18"/>
        </w:rPr>
      </w:pPr>
      <w:r w:rsidRPr="00A4536F">
        <w:rPr>
          <w:rFonts w:ascii="Verdana" w:hAnsi="Verdana" w:cs="Calibri"/>
          <w:sz w:val="18"/>
          <w:szCs w:val="18"/>
        </w:rPr>
        <w:t xml:space="preserve">Restock small ruminants, specifically dairy </w:t>
      </w:r>
      <w:proofErr w:type="gramStart"/>
      <w:r w:rsidRPr="00A4536F">
        <w:rPr>
          <w:rFonts w:ascii="Verdana" w:hAnsi="Verdana" w:cs="Calibri"/>
          <w:sz w:val="18"/>
          <w:szCs w:val="18"/>
        </w:rPr>
        <w:t>goats</w:t>
      </w:r>
      <w:proofErr w:type="gramEnd"/>
      <w:r w:rsidRPr="00A4536F">
        <w:rPr>
          <w:rFonts w:ascii="Verdana" w:hAnsi="Verdana" w:cs="Calibri"/>
          <w:sz w:val="18"/>
          <w:szCs w:val="18"/>
        </w:rPr>
        <w:t xml:space="preserve"> and pullets, in vulnerable households, particularly those headed by females and families/households which included </w:t>
      </w:r>
      <w:r w:rsidRPr="00A4536F">
        <w:rPr>
          <w:rFonts w:ascii="Verdana" w:hAnsi="Verdana" w:cs="Calibri"/>
          <w:sz w:val="18"/>
          <w:szCs w:val="18"/>
          <w:shd w:val="clear" w:color="auto" w:fill="FFFFFF"/>
        </w:rPr>
        <w:t>people</w:t>
      </w:r>
      <w:r w:rsidRPr="00A4536F">
        <w:rPr>
          <w:rFonts w:ascii="Verdana" w:hAnsi="Verdana" w:cs="Calibri"/>
          <w:sz w:val="18"/>
          <w:szCs w:val="18"/>
        </w:rPr>
        <w:t xml:space="preserve"> with disabilities.  </w:t>
      </w:r>
    </w:p>
    <w:p w14:paraId="2E20C7B2" w14:textId="77777777" w:rsidR="00BB3486" w:rsidRPr="00A4536F" w:rsidRDefault="00481E18" w:rsidP="00D41C74">
      <w:pPr>
        <w:pStyle w:val="ListParagraph"/>
        <w:numPr>
          <w:ilvl w:val="0"/>
          <w:numId w:val="63"/>
        </w:numPr>
        <w:snapToGrid w:val="0"/>
        <w:spacing w:after="120"/>
        <w:ind w:hanging="357"/>
        <w:rPr>
          <w:rFonts w:ascii="Verdana" w:hAnsi="Verdana" w:cs="Calibri"/>
          <w:sz w:val="18"/>
          <w:szCs w:val="18"/>
        </w:rPr>
      </w:pPr>
      <w:r w:rsidRPr="00A4536F">
        <w:rPr>
          <w:rFonts w:ascii="Verdana" w:hAnsi="Verdana" w:cs="Calibri"/>
          <w:sz w:val="18"/>
          <w:szCs w:val="18"/>
        </w:rPr>
        <w:t xml:space="preserve">Support farming communities and </w:t>
      </w:r>
      <w:proofErr w:type="spellStart"/>
      <w:r w:rsidRPr="00A4536F">
        <w:rPr>
          <w:rFonts w:ascii="Verdana" w:hAnsi="Verdana" w:cs="Calibri"/>
          <w:sz w:val="18"/>
          <w:szCs w:val="18"/>
        </w:rPr>
        <w:t>agro</w:t>
      </w:r>
      <w:proofErr w:type="spellEnd"/>
      <w:r w:rsidRPr="00A4536F">
        <w:rPr>
          <w:rFonts w:ascii="Verdana" w:hAnsi="Verdana" w:cs="Calibri"/>
          <w:sz w:val="18"/>
          <w:szCs w:val="18"/>
        </w:rPr>
        <w:t xml:space="preserve">-pastoralist households with early maturing and drought-resistant improved crop and vegetable seeds. </w:t>
      </w:r>
    </w:p>
    <w:p w14:paraId="181569F6" w14:textId="0DA92C9A" w:rsidR="00481E18" w:rsidRPr="00A4536F" w:rsidRDefault="00481E18" w:rsidP="00D41C74">
      <w:pPr>
        <w:pStyle w:val="ListParagraph"/>
        <w:numPr>
          <w:ilvl w:val="0"/>
          <w:numId w:val="63"/>
        </w:numPr>
        <w:snapToGrid w:val="0"/>
        <w:spacing w:after="120"/>
        <w:ind w:hanging="357"/>
        <w:rPr>
          <w:rFonts w:ascii="Verdana" w:hAnsi="Verdana" w:cs="Calibri"/>
          <w:sz w:val="18"/>
          <w:szCs w:val="18"/>
        </w:rPr>
      </w:pPr>
      <w:r w:rsidRPr="00A4536F">
        <w:rPr>
          <w:rFonts w:ascii="Verdana" w:hAnsi="Verdana" w:cs="Calibri"/>
          <w:sz w:val="18"/>
          <w:szCs w:val="18"/>
        </w:rPr>
        <w:t xml:space="preserve">Build capacity on agronomic practices, animal feeding and cash management, Early Warning Systems, Disaster Risk Reduction and Drought Cycle Management concepts, etc. </w:t>
      </w:r>
    </w:p>
    <w:p w14:paraId="351CF23A" w14:textId="77777777" w:rsidR="00D52F15" w:rsidRDefault="00BB3486" w:rsidP="00616CBE">
      <w:pPr>
        <w:snapToGrid w:val="0"/>
        <w:spacing w:after="120"/>
        <w:ind w:left="426" w:hanging="426"/>
        <w:contextualSpacing/>
        <w:rPr>
          <w:rFonts w:cs="Calibri"/>
          <w:color w:val="auto"/>
          <w:szCs w:val="18"/>
        </w:rPr>
      </w:pPr>
      <w:r w:rsidRPr="00A4536F">
        <w:rPr>
          <w:rFonts w:cs="Calibri"/>
          <w:b/>
          <w:bCs/>
          <w:color w:val="auto"/>
          <w:szCs w:val="18"/>
        </w:rPr>
        <w:lastRenderedPageBreak/>
        <w:t>Outcome 3:</w:t>
      </w:r>
      <w:r w:rsidRPr="00A4536F">
        <w:rPr>
          <w:rFonts w:cs="Calibri"/>
          <w:color w:val="auto"/>
          <w:szCs w:val="18"/>
        </w:rPr>
        <w:t xml:space="preserve"> Improved purchasing power and nutritional outcomes, and reduced negative coping</w:t>
      </w:r>
      <w:r w:rsidR="00D52F15">
        <w:rPr>
          <w:rFonts w:cs="Calibri"/>
          <w:color w:val="auto"/>
          <w:szCs w:val="18"/>
        </w:rPr>
        <w:t xml:space="preserve"> </w:t>
      </w:r>
      <w:r w:rsidRPr="00A4536F">
        <w:rPr>
          <w:rFonts w:cs="Calibri"/>
          <w:color w:val="auto"/>
          <w:szCs w:val="18"/>
        </w:rPr>
        <w:t>strategies, for chronically food-insecure drought-affected households through meeting their immediate needs in two woredas in Somali Region.</w:t>
      </w:r>
    </w:p>
    <w:p w14:paraId="0A99E052" w14:textId="77777777" w:rsidR="00616CBE" w:rsidRDefault="00616CBE" w:rsidP="00D52F15">
      <w:pPr>
        <w:snapToGrid w:val="0"/>
        <w:spacing w:after="120"/>
        <w:contextualSpacing/>
        <w:rPr>
          <w:rFonts w:cs="Calibri"/>
          <w:b/>
          <w:bCs/>
          <w:color w:val="auto"/>
          <w:szCs w:val="18"/>
        </w:rPr>
      </w:pPr>
    </w:p>
    <w:p w14:paraId="03204802" w14:textId="49458205" w:rsidR="00BB3486" w:rsidRPr="00A4536F" w:rsidRDefault="00BB3486" w:rsidP="00D52F15">
      <w:pPr>
        <w:snapToGrid w:val="0"/>
        <w:spacing w:after="120"/>
        <w:contextualSpacing/>
        <w:rPr>
          <w:rFonts w:cs="Calibri"/>
          <w:b/>
          <w:bCs/>
          <w:color w:val="auto"/>
          <w:szCs w:val="18"/>
        </w:rPr>
      </w:pPr>
      <w:r w:rsidRPr="00A4536F">
        <w:rPr>
          <w:rFonts w:cs="Calibri"/>
          <w:b/>
          <w:bCs/>
          <w:color w:val="auto"/>
          <w:szCs w:val="18"/>
        </w:rPr>
        <w:t>Activities:</w:t>
      </w:r>
    </w:p>
    <w:p w14:paraId="509F9AA9" w14:textId="77777777" w:rsidR="00BB3486" w:rsidRPr="00A4536F" w:rsidRDefault="00BB3486" w:rsidP="00D41C74">
      <w:pPr>
        <w:pStyle w:val="ListParagraph"/>
        <w:numPr>
          <w:ilvl w:val="0"/>
          <w:numId w:val="64"/>
        </w:numPr>
        <w:snapToGrid w:val="0"/>
        <w:spacing w:after="120"/>
        <w:ind w:hanging="357"/>
        <w:rPr>
          <w:rFonts w:ascii="Verdana" w:hAnsi="Verdana" w:cs="Calibri"/>
          <w:sz w:val="18"/>
          <w:szCs w:val="18"/>
        </w:rPr>
      </w:pPr>
      <w:r w:rsidRPr="00A4536F">
        <w:rPr>
          <w:rFonts w:ascii="Verdana" w:hAnsi="Verdana" w:cs="Calibri"/>
          <w:sz w:val="18"/>
          <w:szCs w:val="18"/>
        </w:rPr>
        <w:t>Orientation training on Cash and Voucher Assistance for local implementing partner (IP), and local government staff.</w:t>
      </w:r>
    </w:p>
    <w:p w14:paraId="15FD283A" w14:textId="77777777" w:rsidR="00BB3486" w:rsidRPr="00A4536F" w:rsidRDefault="00BB3486" w:rsidP="00D41C74">
      <w:pPr>
        <w:pStyle w:val="ListParagraph"/>
        <w:numPr>
          <w:ilvl w:val="0"/>
          <w:numId w:val="64"/>
        </w:numPr>
        <w:snapToGrid w:val="0"/>
        <w:spacing w:after="120"/>
        <w:ind w:hanging="357"/>
        <w:rPr>
          <w:rFonts w:ascii="Verdana" w:hAnsi="Verdana" w:cs="Calibri"/>
          <w:sz w:val="18"/>
          <w:szCs w:val="18"/>
        </w:rPr>
      </w:pPr>
      <w:r w:rsidRPr="00A4536F">
        <w:rPr>
          <w:rFonts w:ascii="Verdana" w:hAnsi="Verdana" w:cs="Calibri"/>
          <w:sz w:val="18"/>
          <w:szCs w:val="18"/>
        </w:rPr>
        <w:t>Cash transfer feasibility &amp; risk assessment.</w:t>
      </w:r>
    </w:p>
    <w:p w14:paraId="2BFD02F3" w14:textId="77777777" w:rsidR="00BB3486" w:rsidRPr="00A4536F" w:rsidRDefault="00BB3486" w:rsidP="00D41C74">
      <w:pPr>
        <w:pStyle w:val="ListParagraph"/>
        <w:numPr>
          <w:ilvl w:val="0"/>
          <w:numId w:val="64"/>
        </w:numPr>
        <w:snapToGrid w:val="0"/>
        <w:spacing w:after="120"/>
        <w:ind w:hanging="357"/>
        <w:rPr>
          <w:rFonts w:ascii="Verdana" w:hAnsi="Verdana" w:cs="Calibri"/>
          <w:sz w:val="18"/>
          <w:szCs w:val="18"/>
        </w:rPr>
      </w:pPr>
      <w:r w:rsidRPr="00A4536F">
        <w:rPr>
          <w:rFonts w:ascii="Verdana" w:hAnsi="Verdana" w:cs="Calibri"/>
          <w:sz w:val="18"/>
          <w:szCs w:val="18"/>
        </w:rPr>
        <w:t>Community mobilisation and project information communication and targeting (village relief committee, MPCA beneficiary selection, verification, registration).</w:t>
      </w:r>
    </w:p>
    <w:p w14:paraId="246701DD" w14:textId="77777777" w:rsidR="00BB3486" w:rsidRPr="00A4536F" w:rsidRDefault="00BB3486" w:rsidP="00D41C74">
      <w:pPr>
        <w:pStyle w:val="ListParagraph"/>
        <w:numPr>
          <w:ilvl w:val="0"/>
          <w:numId w:val="64"/>
        </w:numPr>
        <w:snapToGrid w:val="0"/>
        <w:spacing w:after="120"/>
        <w:ind w:hanging="357"/>
        <w:rPr>
          <w:rFonts w:ascii="Verdana" w:hAnsi="Verdana" w:cs="Calibri"/>
          <w:sz w:val="18"/>
          <w:szCs w:val="18"/>
        </w:rPr>
      </w:pPr>
      <w:r w:rsidRPr="00A4536F">
        <w:rPr>
          <w:rFonts w:ascii="Verdana" w:hAnsi="Verdana" w:cs="Calibri"/>
          <w:sz w:val="18"/>
          <w:szCs w:val="18"/>
        </w:rPr>
        <w:t>Know-your-customer documentation requirements for MPCA beneficiaries: verification of beneficiary eligibility for MPCA to ensure that a legitimate Identification card, accepted by local administration and financial service provider, is issued.</w:t>
      </w:r>
    </w:p>
    <w:p w14:paraId="1EBF501B" w14:textId="77777777" w:rsidR="00BB3486" w:rsidRPr="00A4536F" w:rsidRDefault="00BB3486" w:rsidP="00D41C74">
      <w:pPr>
        <w:pStyle w:val="ListParagraph"/>
        <w:numPr>
          <w:ilvl w:val="0"/>
          <w:numId w:val="64"/>
        </w:numPr>
        <w:snapToGrid w:val="0"/>
        <w:spacing w:after="120"/>
        <w:ind w:hanging="357"/>
        <w:rPr>
          <w:rFonts w:ascii="Verdana" w:hAnsi="Verdana" w:cs="Calibri"/>
          <w:sz w:val="18"/>
          <w:szCs w:val="18"/>
        </w:rPr>
      </w:pPr>
      <w:r w:rsidRPr="00A4536F">
        <w:rPr>
          <w:rFonts w:ascii="Verdana" w:hAnsi="Verdana" w:cs="Calibri"/>
          <w:sz w:val="18"/>
          <w:szCs w:val="18"/>
        </w:rPr>
        <w:t>Unconditional MPCA distribution to beneficiaries.</w:t>
      </w:r>
    </w:p>
    <w:p w14:paraId="221B6F2F" w14:textId="77777777" w:rsidR="006C52D1" w:rsidRPr="00A4536F" w:rsidRDefault="00BB3486" w:rsidP="00D41C74">
      <w:pPr>
        <w:pStyle w:val="ListParagraph"/>
        <w:numPr>
          <w:ilvl w:val="0"/>
          <w:numId w:val="64"/>
        </w:numPr>
        <w:snapToGrid w:val="0"/>
        <w:spacing w:after="120"/>
        <w:ind w:hanging="357"/>
        <w:rPr>
          <w:rFonts w:ascii="Verdana" w:hAnsi="Verdana" w:cs="Calibri"/>
          <w:sz w:val="18"/>
          <w:szCs w:val="18"/>
        </w:rPr>
      </w:pPr>
      <w:r w:rsidRPr="00A4536F">
        <w:rPr>
          <w:rFonts w:ascii="Verdana" w:hAnsi="Verdana" w:cs="Calibri"/>
          <w:sz w:val="18"/>
          <w:szCs w:val="18"/>
        </w:rPr>
        <w:t>Create complaints and response mechanism.</w:t>
      </w:r>
    </w:p>
    <w:p w14:paraId="5A588A78" w14:textId="213C51D0" w:rsidR="00315466" w:rsidRPr="00A4536F" w:rsidRDefault="00BB3486" w:rsidP="00D41C74">
      <w:pPr>
        <w:pStyle w:val="ListParagraph"/>
        <w:numPr>
          <w:ilvl w:val="0"/>
          <w:numId w:val="64"/>
        </w:numPr>
        <w:snapToGrid w:val="0"/>
        <w:spacing w:after="120"/>
        <w:ind w:hanging="357"/>
        <w:rPr>
          <w:rFonts w:ascii="Verdana" w:hAnsi="Verdana" w:cs="Calibri"/>
          <w:sz w:val="18"/>
          <w:szCs w:val="18"/>
        </w:rPr>
      </w:pPr>
      <w:r w:rsidRPr="00A4536F">
        <w:rPr>
          <w:rFonts w:ascii="Verdana" w:hAnsi="Verdana" w:cs="Calibri"/>
          <w:sz w:val="18"/>
          <w:szCs w:val="18"/>
        </w:rPr>
        <w:t>Community conversation and dialogue sessions are held in target communities who have received MPCA to improve nutritional outcomes for pregnant and lactating women and children using Resourcing Families for Better Nutrition Common Approach.</w:t>
      </w:r>
    </w:p>
    <w:p w14:paraId="613CA172" w14:textId="1E7874DC" w:rsidR="00A72993" w:rsidRPr="00F62370" w:rsidRDefault="00B53203" w:rsidP="00F62370">
      <w:pPr>
        <w:pStyle w:val="Heading3"/>
        <w:spacing w:after="240"/>
        <w:rPr>
          <w:rFonts w:ascii="Verdana" w:hAnsi="Verdana"/>
          <w:color w:val="auto"/>
          <w:sz w:val="20"/>
          <w:szCs w:val="20"/>
        </w:rPr>
      </w:pPr>
      <w:bookmarkStart w:id="29" w:name="_Toc181278014"/>
      <w:r w:rsidRPr="00A72993">
        <w:rPr>
          <w:rFonts w:ascii="Verdana" w:hAnsi="Verdana"/>
          <w:color w:val="auto"/>
          <w:sz w:val="20"/>
          <w:szCs w:val="20"/>
        </w:rPr>
        <w:t xml:space="preserve">1.3.3 </w:t>
      </w:r>
      <w:r w:rsidR="001D4E15" w:rsidRPr="00A72993">
        <w:rPr>
          <w:rFonts w:ascii="Verdana" w:hAnsi="Verdana"/>
          <w:color w:val="auto"/>
          <w:sz w:val="20"/>
          <w:szCs w:val="20"/>
        </w:rPr>
        <w:t xml:space="preserve">Integrated Drought Response in </w:t>
      </w:r>
      <w:proofErr w:type="spellStart"/>
      <w:r w:rsidR="001D4E15" w:rsidRPr="00A72993">
        <w:rPr>
          <w:rFonts w:ascii="Verdana" w:hAnsi="Verdana"/>
          <w:color w:val="auto"/>
          <w:sz w:val="20"/>
          <w:szCs w:val="20"/>
        </w:rPr>
        <w:t>Marsabit</w:t>
      </w:r>
      <w:proofErr w:type="spellEnd"/>
      <w:r w:rsidR="001D4E15" w:rsidRPr="00A72993">
        <w:rPr>
          <w:rFonts w:ascii="Verdana" w:hAnsi="Verdana"/>
          <w:color w:val="auto"/>
          <w:sz w:val="20"/>
          <w:szCs w:val="20"/>
        </w:rPr>
        <w:t xml:space="preserve"> and Turkana-Kenya (2023/2024) (Oxfam Australia – Kenya Consortium)</w:t>
      </w:r>
      <w:bookmarkEnd w:id="29"/>
    </w:p>
    <w:p w14:paraId="60E61414" w14:textId="1DA08637" w:rsidR="00A72993" w:rsidRPr="00A4536F" w:rsidRDefault="001D4E15" w:rsidP="00A72993">
      <w:pPr>
        <w:snapToGrid w:val="0"/>
        <w:spacing w:before="0" w:after="0" w:line="240" w:lineRule="auto"/>
        <w:rPr>
          <w:rFonts w:cs="Calibri"/>
          <w:color w:val="auto"/>
          <w:szCs w:val="18"/>
        </w:rPr>
      </w:pPr>
      <w:r w:rsidRPr="00A4536F">
        <w:rPr>
          <w:rFonts w:cs="Calibri"/>
          <w:color w:val="auto"/>
          <w:szCs w:val="18"/>
        </w:rPr>
        <w:t xml:space="preserve">In Kenya, Oxfam, in partnership with SND, PACIDA, and TUPADO, and AHN, implements an AUD 3 million project in </w:t>
      </w:r>
      <w:proofErr w:type="spellStart"/>
      <w:r w:rsidRPr="00A4536F">
        <w:rPr>
          <w:rFonts w:cs="Calibri"/>
          <w:color w:val="auto"/>
          <w:szCs w:val="18"/>
        </w:rPr>
        <w:t>Marsabit</w:t>
      </w:r>
      <w:proofErr w:type="spellEnd"/>
      <w:r w:rsidRPr="00A4536F">
        <w:rPr>
          <w:rFonts w:cs="Calibri"/>
          <w:color w:val="auto"/>
          <w:szCs w:val="18"/>
        </w:rPr>
        <w:t xml:space="preserve"> and Turkana counties. The project started in April 2023 and is due to end in August 2024. The intervention addresses food security, malnutrition, acute water stress, and public health risks through a multi-purpose cash assistance programme, tailored WASH infrastructure, and public health measures. Additionally, the project prioritises addressing gender and protection concerns, and deepening localisation of humanitarian response efforts. Table 3 below shows the expected project outcomes and activities pursued by the Oxfam Consortium in Kenya.</w:t>
      </w:r>
    </w:p>
    <w:p w14:paraId="5AEF6CC6" w14:textId="14898CAB" w:rsidR="00BB3486" w:rsidRPr="00A4536F" w:rsidRDefault="00BB3486" w:rsidP="00F62370">
      <w:pPr>
        <w:snapToGrid w:val="0"/>
        <w:spacing w:after="120"/>
        <w:rPr>
          <w:rFonts w:cs="Calibri"/>
          <w:b/>
          <w:bCs/>
          <w:color w:val="auto"/>
          <w:szCs w:val="18"/>
        </w:rPr>
      </w:pPr>
      <w:r w:rsidRPr="00A4536F">
        <w:rPr>
          <w:rFonts w:cs="Calibri"/>
          <w:b/>
          <w:bCs/>
          <w:color w:val="auto"/>
          <w:szCs w:val="18"/>
        </w:rPr>
        <w:t>Oxfam Kenya Consortium expected Project Outcomes and Corresponding Activities</w:t>
      </w:r>
    </w:p>
    <w:p w14:paraId="6E490749" w14:textId="77777777" w:rsidR="00616CBE" w:rsidRDefault="00BB3486" w:rsidP="00E4398D">
      <w:pPr>
        <w:snapToGrid w:val="0"/>
        <w:spacing w:before="0" w:after="120"/>
        <w:rPr>
          <w:rFonts w:cs="Calibri"/>
          <w:color w:val="auto"/>
          <w:szCs w:val="18"/>
        </w:rPr>
      </w:pPr>
      <w:r w:rsidRPr="00A4536F">
        <w:rPr>
          <w:rFonts w:cs="Calibri"/>
          <w:b/>
          <w:bCs/>
          <w:color w:val="auto"/>
          <w:szCs w:val="18"/>
        </w:rPr>
        <w:t>Outcome 1:</w:t>
      </w:r>
      <w:r w:rsidRPr="00A4536F">
        <w:rPr>
          <w:rFonts w:cs="Calibri"/>
          <w:color w:val="auto"/>
          <w:szCs w:val="18"/>
        </w:rPr>
        <w:t xml:space="preserve"> Improved food security for 1500 households (9,800 Programme participants, including 3,080 women, 2,590 girls, 980 men and 3,150 boys) through five cycles of multi-purpose cash assistance.</w:t>
      </w:r>
    </w:p>
    <w:p w14:paraId="0CFAB903" w14:textId="7B6BB699" w:rsidR="00BB3486" w:rsidRPr="00616CBE" w:rsidRDefault="00BB3486" w:rsidP="00E4398D">
      <w:pPr>
        <w:snapToGrid w:val="0"/>
        <w:spacing w:before="0" w:after="120"/>
        <w:rPr>
          <w:rFonts w:cs="Calibri"/>
          <w:color w:val="auto"/>
          <w:szCs w:val="18"/>
        </w:rPr>
      </w:pPr>
      <w:r w:rsidRPr="00A4536F">
        <w:rPr>
          <w:rFonts w:cs="Calibri"/>
          <w:b/>
          <w:bCs/>
          <w:color w:val="auto"/>
          <w:szCs w:val="18"/>
        </w:rPr>
        <w:t xml:space="preserve">Activities: </w:t>
      </w:r>
    </w:p>
    <w:p w14:paraId="4EB2403D" w14:textId="77777777" w:rsidR="00BB3486" w:rsidRPr="00A4536F" w:rsidRDefault="00BB3486"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Conduct a gender-disaggregated baseline assessment of food insecurity using FCS, CSI, and HDDS. </w:t>
      </w:r>
    </w:p>
    <w:p w14:paraId="2757451F" w14:textId="77777777" w:rsidR="00BB3486" w:rsidRPr="00A4536F" w:rsidRDefault="00BB3486"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Identify, register, and verify households at risk, including those with malnourished children, women-headed households, and vulnerable groups.</w:t>
      </w:r>
    </w:p>
    <w:p w14:paraId="5A036B62" w14:textId="77777777" w:rsidR="00BB3486" w:rsidRPr="00A4536F" w:rsidRDefault="00BB3486"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Strengthen Complaint and Feedback Mechanism (CFM) and community sensitisation.</w:t>
      </w:r>
    </w:p>
    <w:p w14:paraId="503B867C" w14:textId="77777777" w:rsidR="00BB3486" w:rsidRPr="00A4536F" w:rsidRDefault="00BB3486" w:rsidP="00D41C74">
      <w:pPr>
        <w:pStyle w:val="ListParagraph"/>
        <w:numPr>
          <w:ilvl w:val="0"/>
          <w:numId w:val="65"/>
        </w:numPr>
        <w:snapToGrid w:val="0"/>
        <w:spacing w:after="120"/>
        <w:ind w:left="357" w:hanging="357"/>
        <w:rPr>
          <w:rFonts w:ascii="Verdana" w:hAnsi="Verdana" w:cs="Calibri"/>
          <w:sz w:val="18"/>
          <w:szCs w:val="18"/>
        </w:rPr>
      </w:pPr>
      <w:r w:rsidRPr="00A4536F">
        <w:rPr>
          <w:rFonts w:ascii="Verdana" w:hAnsi="Verdana" w:cs="Calibri"/>
          <w:sz w:val="18"/>
          <w:szCs w:val="18"/>
        </w:rPr>
        <w:t>Provide five monthly MPCA transfers to 1500 households in IPC 3/4 via M-</w:t>
      </w:r>
      <w:proofErr w:type="spellStart"/>
      <w:r w:rsidRPr="00A4536F">
        <w:rPr>
          <w:rFonts w:ascii="Verdana" w:hAnsi="Verdana" w:cs="Calibri"/>
          <w:sz w:val="18"/>
          <w:szCs w:val="18"/>
        </w:rPr>
        <w:t>Pesa</w:t>
      </w:r>
      <w:proofErr w:type="spellEnd"/>
      <w:r w:rsidRPr="00A4536F">
        <w:rPr>
          <w:rFonts w:ascii="Verdana" w:hAnsi="Verdana" w:cs="Calibri"/>
          <w:sz w:val="18"/>
          <w:szCs w:val="18"/>
        </w:rPr>
        <w:t xml:space="preserve"> at 50% of the Minimum Expenditure Basket (MEB). </w:t>
      </w:r>
    </w:p>
    <w:p w14:paraId="16A334DE" w14:textId="77777777" w:rsidR="00BB3486" w:rsidRPr="00A4536F" w:rsidRDefault="00BB3486"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Train Community Health Volunteers (CHVs) on nutrition campaigns and SBCC for improved maternal and child nutrition. </w:t>
      </w:r>
    </w:p>
    <w:p w14:paraId="0E2FD8C1" w14:textId="77777777" w:rsidR="00BB3486" w:rsidRPr="00A4536F" w:rsidRDefault="00BB3486"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Facilitate CHVs in referrals, malnutrition monitoring, and promoting health, sanitation, and hygiene. </w:t>
      </w:r>
    </w:p>
    <w:p w14:paraId="5C9B2F1D" w14:textId="77777777" w:rsidR="00BB3486" w:rsidRPr="00A4536F" w:rsidRDefault="00BB3486"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Conduct gender-disaggregated Post Distribution Monitoring (PDM) and market monitoring.</w:t>
      </w:r>
    </w:p>
    <w:p w14:paraId="20C0454F" w14:textId="77777777" w:rsidR="00BB3486" w:rsidRPr="00A4536F" w:rsidRDefault="00BB3486"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Train community committees on Complaints, Feedback, and Response Mechanism (CFRM).</w:t>
      </w:r>
    </w:p>
    <w:p w14:paraId="2493B5D1" w14:textId="2720649B" w:rsidR="00BB3486" w:rsidRPr="00A4536F" w:rsidRDefault="00BB3486"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Establish kitchen gardens with local communities for sustainable nutrition.</w:t>
      </w:r>
    </w:p>
    <w:p w14:paraId="3CA96B92" w14:textId="77777777" w:rsidR="00616CBE" w:rsidRDefault="00927741" w:rsidP="00616CBE">
      <w:pPr>
        <w:snapToGrid w:val="0"/>
        <w:spacing w:before="0" w:line="240" w:lineRule="auto"/>
        <w:ind w:left="357" w:hanging="357"/>
        <w:contextualSpacing/>
        <w:rPr>
          <w:rFonts w:cs="Calibri"/>
          <w:color w:val="auto"/>
          <w:szCs w:val="18"/>
        </w:rPr>
      </w:pPr>
      <w:r w:rsidRPr="00A4536F">
        <w:rPr>
          <w:rFonts w:cs="Calibri"/>
          <w:b/>
          <w:bCs/>
          <w:color w:val="auto"/>
          <w:szCs w:val="18"/>
        </w:rPr>
        <w:t>Outcome 2:</w:t>
      </w:r>
      <w:r w:rsidRPr="00A4536F">
        <w:rPr>
          <w:rFonts w:cs="Calibri"/>
          <w:color w:val="auto"/>
          <w:szCs w:val="18"/>
        </w:rPr>
        <w:t xml:space="preserve"> WASH: Improved access to safe and adequate water and WASH-related information for the prevention of diseases for 6,100 households (including 41,600 people, of which 12,957 are women; 10,059 girls; 6,763 men; and 11,821 boys) in </w:t>
      </w:r>
      <w:proofErr w:type="spellStart"/>
      <w:r w:rsidRPr="00A4536F">
        <w:rPr>
          <w:rFonts w:cs="Calibri"/>
          <w:color w:val="auto"/>
          <w:szCs w:val="18"/>
        </w:rPr>
        <w:t>Marsabit</w:t>
      </w:r>
      <w:proofErr w:type="spellEnd"/>
      <w:r w:rsidRPr="00A4536F">
        <w:rPr>
          <w:rFonts w:cs="Calibri"/>
          <w:color w:val="auto"/>
          <w:szCs w:val="18"/>
        </w:rPr>
        <w:t xml:space="preserve"> (</w:t>
      </w:r>
      <w:proofErr w:type="spellStart"/>
      <w:r w:rsidRPr="00A4536F">
        <w:rPr>
          <w:rFonts w:cs="Calibri"/>
          <w:color w:val="auto"/>
          <w:szCs w:val="18"/>
        </w:rPr>
        <w:t>Laisamis</w:t>
      </w:r>
      <w:proofErr w:type="spellEnd"/>
      <w:r w:rsidRPr="00A4536F">
        <w:rPr>
          <w:rFonts w:cs="Calibri"/>
          <w:color w:val="auto"/>
          <w:szCs w:val="18"/>
        </w:rPr>
        <w:t xml:space="preserve"> and </w:t>
      </w:r>
      <w:proofErr w:type="spellStart"/>
      <w:r w:rsidRPr="00A4536F">
        <w:rPr>
          <w:rFonts w:cs="Calibri"/>
          <w:color w:val="auto"/>
          <w:szCs w:val="18"/>
        </w:rPr>
        <w:t>Farakoren</w:t>
      </w:r>
      <w:proofErr w:type="spellEnd"/>
      <w:r w:rsidRPr="00A4536F">
        <w:rPr>
          <w:rFonts w:cs="Calibri"/>
          <w:color w:val="auto"/>
          <w:szCs w:val="18"/>
        </w:rPr>
        <w:t>), and Turkana (</w:t>
      </w:r>
      <w:proofErr w:type="spellStart"/>
      <w:r w:rsidRPr="00A4536F">
        <w:rPr>
          <w:rFonts w:cs="Calibri"/>
          <w:color w:val="auto"/>
          <w:szCs w:val="18"/>
        </w:rPr>
        <w:t>Nerengewoi</w:t>
      </w:r>
      <w:proofErr w:type="spellEnd"/>
      <w:r w:rsidRPr="00A4536F">
        <w:rPr>
          <w:rFonts w:cs="Calibri"/>
          <w:color w:val="auto"/>
          <w:szCs w:val="18"/>
        </w:rPr>
        <w:t xml:space="preserve"> and </w:t>
      </w:r>
      <w:proofErr w:type="spellStart"/>
      <w:r w:rsidRPr="00A4536F">
        <w:rPr>
          <w:rFonts w:cs="Calibri"/>
          <w:color w:val="auto"/>
          <w:szCs w:val="18"/>
        </w:rPr>
        <w:t>Nariokotome</w:t>
      </w:r>
      <w:proofErr w:type="spellEnd"/>
      <w:r w:rsidRPr="00A4536F">
        <w:rPr>
          <w:rFonts w:cs="Calibri"/>
          <w:color w:val="auto"/>
          <w:szCs w:val="18"/>
        </w:rPr>
        <w:t>) counties.</w:t>
      </w:r>
    </w:p>
    <w:p w14:paraId="3F2C7F2A" w14:textId="77777777" w:rsidR="00616CBE" w:rsidRDefault="00616CBE">
      <w:pPr>
        <w:spacing w:before="0" w:after="0" w:line="240" w:lineRule="auto"/>
        <w:rPr>
          <w:rFonts w:cs="Calibri"/>
          <w:b/>
          <w:bCs/>
          <w:color w:val="auto"/>
          <w:szCs w:val="18"/>
        </w:rPr>
      </w:pPr>
      <w:r>
        <w:rPr>
          <w:rFonts w:cs="Calibri"/>
          <w:b/>
          <w:bCs/>
          <w:color w:val="auto"/>
          <w:szCs w:val="18"/>
        </w:rPr>
        <w:br w:type="page"/>
      </w:r>
    </w:p>
    <w:p w14:paraId="77631438" w14:textId="3C66648E" w:rsidR="00927741" w:rsidRPr="00616CBE" w:rsidRDefault="00927741" w:rsidP="00616CBE">
      <w:pPr>
        <w:snapToGrid w:val="0"/>
        <w:spacing w:before="0" w:line="240" w:lineRule="auto"/>
        <w:ind w:left="357" w:hanging="357"/>
        <w:contextualSpacing/>
        <w:rPr>
          <w:rFonts w:cs="Calibri"/>
          <w:color w:val="auto"/>
          <w:szCs w:val="18"/>
        </w:rPr>
      </w:pPr>
      <w:r w:rsidRPr="00A4536F">
        <w:rPr>
          <w:rFonts w:cs="Calibri"/>
          <w:b/>
          <w:bCs/>
          <w:color w:val="auto"/>
          <w:szCs w:val="18"/>
        </w:rPr>
        <w:lastRenderedPageBreak/>
        <w:t>Activities:</w:t>
      </w:r>
    </w:p>
    <w:p w14:paraId="108E6ED8"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Rehabilitate and solarise three community water systems. </w:t>
      </w:r>
    </w:p>
    <w:p w14:paraId="433F02B3" w14:textId="77777777" w:rsidR="00927741" w:rsidRPr="00A4536F" w:rsidRDefault="00927741" w:rsidP="00D41C74">
      <w:pPr>
        <w:pStyle w:val="ListParagraph"/>
        <w:numPr>
          <w:ilvl w:val="0"/>
          <w:numId w:val="65"/>
        </w:numPr>
        <w:snapToGrid w:val="0"/>
        <w:spacing w:after="120"/>
        <w:ind w:left="357" w:hanging="357"/>
        <w:rPr>
          <w:rFonts w:ascii="Verdana" w:hAnsi="Verdana" w:cs="Calibri"/>
          <w:sz w:val="18"/>
          <w:szCs w:val="18"/>
        </w:rPr>
      </w:pPr>
      <w:r w:rsidRPr="00A4536F">
        <w:rPr>
          <w:rFonts w:ascii="Verdana" w:hAnsi="Verdana" w:cs="Calibri"/>
          <w:sz w:val="18"/>
          <w:szCs w:val="18"/>
        </w:rPr>
        <w:t xml:space="preserve">Install water storage tanks at remote schools and health facilities. </w:t>
      </w:r>
    </w:p>
    <w:p w14:paraId="635769A3"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Provide handwashing facilities with soap at health facilities and schools.</w:t>
      </w:r>
    </w:p>
    <w:p w14:paraId="2B7C7F89"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Train 70 CHVs on WASH and Social Behavioural Change and Communication (SBCC) using Ministry of Health (MOH) guidelines.</w:t>
      </w:r>
    </w:p>
    <w:p w14:paraId="62358522"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Engage CHVs in promoting hygiene and nutrition at household and community levels.</w:t>
      </w:r>
    </w:p>
    <w:p w14:paraId="3A414570"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Train school health clubs on Menstrual Hygiene Management (MHM). </w:t>
      </w:r>
    </w:p>
    <w:p w14:paraId="7511BC97"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Distribute WASH Non-Food Items (NFIs) to 1400 targeted households. </w:t>
      </w:r>
    </w:p>
    <w:p w14:paraId="5AAAB379"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Train water management committees for rehabilitated projects. </w:t>
      </w:r>
    </w:p>
    <w:p w14:paraId="1E9F99A0" w14:textId="20FB103D"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Support 20 villages to achieve Open Defecation Free (ODF) status.</w:t>
      </w:r>
    </w:p>
    <w:p w14:paraId="54A7DD94" w14:textId="34AD9AE6" w:rsidR="00927741" w:rsidRPr="00A4536F" w:rsidRDefault="00927741" w:rsidP="00927741">
      <w:pPr>
        <w:snapToGrid w:val="0"/>
        <w:spacing w:after="120"/>
        <w:rPr>
          <w:rFonts w:cs="Calibri"/>
          <w:color w:val="auto"/>
          <w:szCs w:val="18"/>
        </w:rPr>
      </w:pPr>
      <w:r w:rsidRPr="00A4536F">
        <w:rPr>
          <w:rFonts w:cs="Calibri"/>
          <w:b/>
          <w:bCs/>
          <w:color w:val="auto"/>
          <w:szCs w:val="18"/>
        </w:rPr>
        <w:t>Outcome 3:</w:t>
      </w:r>
      <w:r w:rsidRPr="00A4536F">
        <w:rPr>
          <w:rFonts w:cs="Calibri"/>
          <w:color w:val="auto"/>
          <w:szCs w:val="18"/>
        </w:rPr>
        <w:t xml:space="preserve"> Protection against GBV and drought-induced risks, and improved access to support services for 2917 drought-affected households (5090 women; 4033 girls; 4303 men; 4074 boys).</w:t>
      </w:r>
    </w:p>
    <w:p w14:paraId="6DD990CB" w14:textId="04A544AB" w:rsidR="00927741" w:rsidRPr="00A4536F" w:rsidRDefault="00927741" w:rsidP="00927741">
      <w:pPr>
        <w:snapToGrid w:val="0"/>
        <w:spacing w:after="120"/>
        <w:rPr>
          <w:rFonts w:cs="Calibri"/>
          <w:b/>
          <w:bCs/>
          <w:color w:val="auto"/>
          <w:szCs w:val="18"/>
        </w:rPr>
      </w:pPr>
      <w:r w:rsidRPr="00A4536F">
        <w:rPr>
          <w:rFonts w:cs="Calibri"/>
          <w:b/>
          <w:bCs/>
          <w:color w:val="auto"/>
          <w:szCs w:val="18"/>
        </w:rPr>
        <w:t xml:space="preserve">Activities: </w:t>
      </w:r>
    </w:p>
    <w:p w14:paraId="4CF2472E"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Conduct a rapid gender analysis and protection risk assessment in </w:t>
      </w:r>
      <w:proofErr w:type="spellStart"/>
      <w:r w:rsidRPr="00A4536F">
        <w:rPr>
          <w:rFonts w:ascii="Verdana" w:hAnsi="Verdana" w:cs="Calibri"/>
          <w:sz w:val="18"/>
          <w:szCs w:val="18"/>
        </w:rPr>
        <w:t>Marsabit</w:t>
      </w:r>
      <w:proofErr w:type="spellEnd"/>
      <w:r w:rsidRPr="00A4536F">
        <w:rPr>
          <w:rFonts w:ascii="Verdana" w:hAnsi="Verdana" w:cs="Calibri"/>
          <w:sz w:val="18"/>
          <w:szCs w:val="18"/>
        </w:rPr>
        <w:t xml:space="preserve"> county.</w:t>
      </w:r>
    </w:p>
    <w:p w14:paraId="05A190BF"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Identify those at risk of GBV and harmful practices for targeted MPCA and GBV response. </w:t>
      </w:r>
    </w:p>
    <w:p w14:paraId="223AAB7B"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Map protection referral pathways and services for GBV care.</w:t>
      </w:r>
    </w:p>
    <w:p w14:paraId="3FD15B16"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Raise awareness on GBV, harmful practices, and protection issues in the community. </w:t>
      </w:r>
    </w:p>
    <w:p w14:paraId="5DA026D1"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Provide safe spaces and nutrition initiatives for lactating mothers from malnourished households. </w:t>
      </w:r>
    </w:p>
    <w:p w14:paraId="63FE193C"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Support skills training for 250 individuals, including GBV survivors and households with malnourished children. </w:t>
      </w:r>
    </w:p>
    <w:p w14:paraId="57EA1FB7"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Develop and distribute IEC materials on GBV prevention and response. </w:t>
      </w:r>
    </w:p>
    <w:p w14:paraId="035ACC9B" w14:textId="0F3AA575"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Train GBV survivors in Turkana on safeguarding and abuse reporting channels.</w:t>
      </w:r>
    </w:p>
    <w:p w14:paraId="777CF64C" w14:textId="00217442" w:rsidR="00927741" w:rsidRPr="00A4536F" w:rsidRDefault="00927741" w:rsidP="00927741">
      <w:pPr>
        <w:snapToGrid w:val="0"/>
        <w:spacing w:after="120"/>
        <w:rPr>
          <w:rFonts w:cs="Calibri"/>
          <w:color w:val="auto"/>
          <w:szCs w:val="18"/>
        </w:rPr>
      </w:pPr>
      <w:r w:rsidRPr="00A4536F">
        <w:rPr>
          <w:rFonts w:cs="Calibri"/>
          <w:b/>
          <w:bCs/>
          <w:color w:val="auto"/>
          <w:szCs w:val="18"/>
        </w:rPr>
        <w:t>Outcome 4:</w:t>
      </w:r>
      <w:r w:rsidRPr="00A4536F">
        <w:rPr>
          <w:rFonts w:cs="Calibri"/>
          <w:color w:val="auto"/>
          <w:szCs w:val="18"/>
        </w:rPr>
        <w:t xml:space="preserve"> Effective coordination, complementarity, and localisation of humanitarian response.</w:t>
      </w:r>
    </w:p>
    <w:p w14:paraId="253227FD" w14:textId="36BCE062" w:rsidR="00927741" w:rsidRPr="00A4536F" w:rsidRDefault="00927741" w:rsidP="00927741">
      <w:pPr>
        <w:snapToGrid w:val="0"/>
        <w:spacing w:after="120"/>
        <w:rPr>
          <w:rFonts w:cs="Calibri"/>
          <w:b/>
          <w:bCs/>
          <w:color w:val="auto"/>
          <w:szCs w:val="18"/>
        </w:rPr>
      </w:pPr>
      <w:r w:rsidRPr="00A4536F">
        <w:rPr>
          <w:rFonts w:cs="Calibri"/>
          <w:b/>
          <w:bCs/>
          <w:color w:val="auto"/>
          <w:szCs w:val="18"/>
        </w:rPr>
        <w:t xml:space="preserve">Activities: </w:t>
      </w:r>
    </w:p>
    <w:p w14:paraId="1B787D4D"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Support participation in County Steering Groups and national drought response forums.</w:t>
      </w:r>
    </w:p>
    <w:p w14:paraId="786BB5E1"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Facilitate three Sub-County coordination meetings on Cash &amp; Food Security, Nutrition, Gender, and WASH.</w:t>
      </w:r>
    </w:p>
    <w:p w14:paraId="572D80CF"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Identify and address capacity gaps and strengthen institutions (AHN, SND, PACIDA, TUPADO). </w:t>
      </w:r>
    </w:p>
    <w:p w14:paraId="07B359A6"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 xml:space="preserve">Conduct feasibility studies for local response funds and pooled funding mechanisms. </w:t>
      </w:r>
    </w:p>
    <w:p w14:paraId="7D96E439" w14:textId="77777777" w:rsidR="00927741"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Conduct a feasibility study for establishing an AHN Secretariat and explore legal registration.</w:t>
      </w:r>
    </w:p>
    <w:p w14:paraId="1BFC1BE5" w14:textId="2A70DA85" w:rsidR="00315466" w:rsidRPr="00A4536F" w:rsidRDefault="00927741" w:rsidP="00D41C74">
      <w:pPr>
        <w:pStyle w:val="ListParagraph"/>
        <w:numPr>
          <w:ilvl w:val="0"/>
          <w:numId w:val="65"/>
        </w:numPr>
        <w:snapToGrid w:val="0"/>
        <w:spacing w:after="120"/>
        <w:ind w:hanging="357"/>
        <w:rPr>
          <w:rFonts w:ascii="Verdana" w:hAnsi="Verdana" w:cs="Calibri"/>
          <w:sz w:val="18"/>
          <w:szCs w:val="18"/>
        </w:rPr>
      </w:pPr>
      <w:r w:rsidRPr="00A4536F">
        <w:rPr>
          <w:rFonts w:ascii="Verdana" w:hAnsi="Verdana" w:cs="Calibri"/>
          <w:sz w:val="18"/>
          <w:szCs w:val="18"/>
        </w:rPr>
        <w:t>Develop SOPs and provide technical training for the AHN Rapid Response Team.</w:t>
      </w:r>
    </w:p>
    <w:p w14:paraId="18AC7695" w14:textId="77777777" w:rsidR="00927741" w:rsidRPr="00A4536F" w:rsidRDefault="00927741">
      <w:pPr>
        <w:spacing w:before="0" w:after="0" w:line="240" w:lineRule="auto"/>
        <w:rPr>
          <w:rFonts w:cs="Calibri"/>
          <w:color w:val="auto"/>
          <w:szCs w:val="18"/>
        </w:rPr>
      </w:pPr>
      <w:r w:rsidRPr="00A4536F">
        <w:rPr>
          <w:rFonts w:cs="Calibri"/>
          <w:color w:val="auto"/>
          <w:szCs w:val="18"/>
        </w:rPr>
        <w:br w:type="page"/>
      </w:r>
    </w:p>
    <w:p w14:paraId="4E1AA958" w14:textId="467BDBCF" w:rsidR="00315466" w:rsidRPr="00A4536F" w:rsidRDefault="001D4E15" w:rsidP="00E4398D">
      <w:pPr>
        <w:snapToGrid w:val="0"/>
        <w:spacing w:before="0" w:after="120"/>
        <w:rPr>
          <w:rFonts w:cs="Calibri"/>
          <w:color w:val="auto"/>
          <w:szCs w:val="18"/>
        </w:rPr>
      </w:pPr>
      <w:r w:rsidRPr="00A4536F">
        <w:rPr>
          <w:rFonts w:cs="Calibri"/>
          <w:color w:val="auto"/>
          <w:szCs w:val="18"/>
        </w:rPr>
        <w:lastRenderedPageBreak/>
        <w:t>Figures 1 and 2 show the project locations in Ethiopia and Kenya.</w:t>
      </w:r>
    </w:p>
    <w:p w14:paraId="1B08E108" w14:textId="7574CE1A" w:rsidR="00315466" w:rsidRPr="00A4536F" w:rsidRDefault="001D4E15" w:rsidP="00E4398D">
      <w:pPr>
        <w:pStyle w:val="Caption"/>
        <w:keepNext/>
        <w:spacing w:after="120" w:line="276" w:lineRule="auto"/>
        <w:jc w:val="left"/>
        <w:rPr>
          <w:rFonts w:cs="Calibri"/>
          <w:color w:val="auto"/>
        </w:rPr>
      </w:pPr>
      <w:r w:rsidRPr="00A4536F">
        <w:rPr>
          <w:rFonts w:cs="Calibri"/>
          <w:color w:val="auto"/>
        </w:rPr>
        <w:t xml:space="preserve">Figure </w:t>
      </w:r>
      <w:r w:rsidRPr="00A4536F">
        <w:rPr>
          <w:rFonts w:cs="Calibri"/>
          <w:color w:val="auto"/>
        </w:rPr>
        <w:fldChar w:fldCharType="begin"/>
      </w:r>
      <w:r w:rsidRPr="00A4536F">
        <w:rPr>
          <w:rFonts w:cs="Calibri"/>
          <w:color w:val="auto"/>
        </w:rPr>
        <w:instrText xml:space="preserve"> SEQ Figure \* ARABIC </w:instrText>
      </w:r>
      <w:r w:rsidRPr="00A4536F">
        <w:rPr>
          <w:rFonts w:cs="Calibri"/>
          <w:color w:val="auto"/>
        </w:rPr>
        <w:fldChar w:fldCharType="separate"/>
      </w:r>
      <w:r w:rsidR="00E12207">
        <w:rPr>
          <w:rFonts w:cs="Calibri"/>
          <w:noProof/>
          <w:color w:val="auto"/>
        </w:rPr>
        <w:t>1</w:t>
      </w:r>
      <w:r w:rsidRPr="00A4536F">
        <w:rPr>
          <w:rFonts w:cs="Calibri"/>
          <w:color w:val="auto"/>
        </w:rPr>
        <w:fldChar w:fldCharType="end"/>
      </w:r>
      <w:r w:rsidRPr="00A4536F">
        <w:rPr>
          <w:rFonts w:cs="Calibri"/>
          <w:color w:val="auto"/>
        </w:rPr>
        <w:t xml:space="preserve">: Map of Ethiopia showing target regions and implementing </w:t>
      </w:r>
      <w:proofErr w:type="gramStart"/>
      <w:r w:rsidRPr="00A4536F">
        <w:rPr>
          <w:rFonts w:cs="Calibri"/>
          <w:color w:val="auto"/>
        </w:rPr>
        <w:t>organisations</w:t>
      </w:r>
      <w:proofErr w:type="gramEnd"/>
    </w:p>
    <w:p w14:paraId="35A456E4" w14:textId="77777777" w:rsidR="00315466" w:rsidRPr="00A4536F" w:rsidRDefault="001D4E15" w:rsidP="00E4398D">
      <w:pPr>
        <w:keepNext/>
        <w:snapToGrid w:val="0"/>
        <w:spacing w:before="0" w:after="120"/>
        <w:rPr>
          <w:rFonts w:cs="Calibri"/>
          <w:color w:val="auto"/>
          <w:szCs w:val="18"/>
        </w:rPr>
      </w:pPr>
      <w:r w:rsidRPr="00A4536F">
        <w:rPr>
          <w:rFonts w:eastAsia="Times New Roman" w:cs="Calibri"/>
          <w:noProof/>
          <w:color w:val="auto"/>
          <w:szCs w:val="18"/>
          <w:lang w:eastAsia="zh-TW"/>
        </w:rPr>
        <w:drawing>
          <wp:inline distT="0" distB="0" distL="0" distR="0" wp14:anchorId="6CC460E7" wp14:editId="177E8999">
            <wp:extent cx="5730875" cy="5687060"/>
            <wp:effectExtent l="19050" t="19050" r="22225" b="27940"/>
            <wp:docPr id="1308429129" name="Picture 19" descr="Figure 1 is a Map of Ethiopia showing target regions and implementing organisation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29129" name="Picture 19" descr="Figure 1 is a Map of Ethiopia showing target regions and implementing organisations. ">
                      <a:extLst>
                        <a:ext uri="{C183D7F6-B498-43B3-948B-1728B52AA6E4}">
                          <adec:decorative xmlns:adec="http://schemas.microsoft.com/office/drawing/2017/decorative" val="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t="9028" b="14065"/>
                    <a:stretch>
                      <a:fillRect/>
                    </a:stretch>
                  </pic:blipFill>
                  <pic:spPr>
                    <a:xfrm>
                      <a:off x="0" y="0"/>
                      <a:ext cx="5731898" cy="5688284"/>
                    </a:xfrm>
                    <a:prstGeom prst="rect">
                      <a:avLst/>
                    </a:prstGeom>
                    <a:noFill/>
                    <a:ln>
                      <a:solidFill>
                        <a:schemeClr val="tx1"/>
                      </a:solidFill>
                    </a:ln>
                  </pic:spPr>
                </pic:pic>
              </a:graphicData>
            </a:graphic>
          </wp:inline>
        </w:drawing>
      </w:r>
    </w:p>
    <w:p w14:paraId="6F2A9514" w14:textId="77777777" w:rsidR="00315466" w:rsidRPr="00A4536F" w:rsidRDefault="001D4E15" w:rsidP="00E4398D">
      <w:pPr>
        <w:pStyle w:val="Caption"/>
        <w:snapToGrid w:val="0"/>
        <w:spacing w:after="120" w:line="276" w:lineRule="auto"/>
        <w:rPr>
          <w:rFonts w:cs="Calibri"/>
          <w:color w:val="auto"/>
        </w:rPr>
      </w:pPr>
      <w:bookmarkStart w:id="30" w:name="_Toc170415437"/>
      <w:r w:rsidRPr="00A4536F">
        <w:rPr>
          <w:rFonts w:cs="Calibri"/>
          <w:color w:val="auto"/>
        </w:rPr>
        <w:t xml:space="preserve"> </w:t>
      </w:r>
      <w:bookmarkEnd w:id="30"/>
    </w:p>
    <w:p w14:paraId="225B6582" w14:textId="77777777" w:rsidR="00315466" w:rsidRPr="00A4536F" w:rsidRDefault="001D4E15" w:rsidP="00E4398D">
      <w:pPr>
        <w:snapToGrid w:val="0"/>
        <w:spacing w:before="0" w:after="120"/>
        <w:rPr>
          <w:rFonts w:cs="Calibri"/>
          <w:color w:val="auto"/>
          <w:szCs w:val="18"/>
        </w:rPr>
      </w:pPr>
      <w:r w:rsidRPr="00A4536F">
        <w:rPr>
          <w:rFonts w:cs="Calibri"/>
          <w:noProof/>
          <w:color w:val="auto"/>
          <w:szCs w:val="18"/>
        </w:rPr>
        <w:lastRenderedPageBreak/>
        <mc:AlternateContent>
          <mc:Choice Requires="wps">
            <w:drawing>
              <wp:inline distT="0" distB="0" distL="0" distR="0" wp14:anchorId="0C742D5D" wp14:editId="5FFCEE19">
                <wp:extent cx="5706110" cy="157480"/>
                <wp:effectExtent l="0" t="0" r="8890" b="0"/>
                <wp:docPr id="1694669356" name="Text Box 1"/>
                <wp:cNvGraphicFramePr/>
                <a:graphic xmlns:a="http://schemas.openxmlformats.org/drawingml/2006/main">
                  <a:graphicData uri="http://schemas.microsoft.com/office/word/2010/wordprocessingShape">
                    <wps:wsp>
                      <wps:cNvSpPr txBox="1"/>
                      <wps:spPr>
                        <a:xfrm>
                          <a:off x="0" y="0"/>
                          <a:ext cx="5706319" cy="157995"/>
                        </a:xfrm>
                        <a:prstGeom prst="rect">
                          <a:avLst/>
                        </a:prstGeom>
                        <a:solidFill>
                          <a:prstClr val="white"/>
                        </a:solidFill>
                        <a:ln>
                          <a:noFill/>
                        </a:ln>
                      </wps:spPr>
                      <wps:txbx>
                        <w:txbxContent>
                          <w:p w14:paraId="140C7EAB" w14:textId="3A1B0FF4" w:rsidR="00315466" w:rsidRPr="008B2F9E" w:rsidRDefault="001D4E15" w:rsidP="008B2F9E">
                            <w:pPr>
                              <w:pStyle w:val="Caption"/>
                              <w:jc w:val="left"/>
                              <w:rPr>
                                <w:color w:val="auto"/>
                              </w:rPr>
                            </w:pPr>
                            <w:bookmarkStart w:id="31" w:name="_Toc170415438"/>
                            <w:r w:rsidRPr="008B2F9E">
                              <w:rPr>
                                <w:color w:val="auto"/>
                              </w:rPr>
                              <w:t xml:space="preserve">Figure </w:t>
                            </w:r>
                            <w:r w:rsidRPr="008B2F9E">
                              <w:rPr>
                                <w:color w:val="auto"/>
                              </w:rPr>
                              <w:fldChar w:fldCharType="begin"/>
                            </w:r>
                            <w:r w:rsidRPr="008B2F9E">
                              <w:rPr>
                                <w:color w:val="auto"/>
                              </w:rPr>
                              <w:instrText xml:space="preserve"> SEQ Figure \* ARABIC </w:instrText>
                            </w:r>
                            <w:r w:rsidRPr="008B2F9E">
                              <w:rPr>
                                <w:color w:val="auto"/>
                              </w:rPr>
                              <w:fldChar w:fldCharType="separate"/>
                            </w:r>
                            <w:r w:rsidR="00E12207">
                              <w:rPr>
                                <w:noProof/>
                                <w:color w:val="auto"/>
                              </w:rPr>
                              <w:t>2</w:t>
                            </w:r>
                            <w:r w:rsidRPr="008B2F9E">
                              <w:rPr>
                                <w:color w:val="auto"/>
                              </w:rPr>
                              <w:fldChar w:fldCharType="end"/>
                            </w:r>
                            <w:r w:rsidRPr="008B2F9E">
                              <w:rPr>
                                <w:color w:val="auto"/>
                              </w:rPr>
                              <w:t xml:space="preserve">: Map of Kenya showing </w:t>
                            </w:r>
                            <w:bookmarkEnd w:id="31"/>
                            <w:r w:rsidRPr="008B2F9E">
                              <w:rPr>
                                <w:color w:val="auto"/>
                              </w:rPr>
                              <w:t xml:space="preserve">regions and Implementing </w:t>
                            </w:r>
                            <w:proofErr w:type="gramStart"/>
                            <w:r w:rsidRPr="008B2F9E">
                              <w:rPr>
                                <w:color w:val="auto"/>
                              </w:rPr>
                              <w:t>organisations</w:t>
                            </w:r>
                            <w:proofErr w:type="gramEnd"/>
                          </w:p>
                        </w:txbxContent>
                      </wps:txbx>
                      <wps:bodyPr rot="0" spcFirstLastPara="0" vertOverflow="overflow" horzOverflow="overflow" vert="horz" wrap="square" lIns="0" tIns="0" rIns="0" bIns="0" numCol="1" spcCol="0" rtlCol="0" fromWordArt="0" anchor="t" anchorCtr="0" forceAA="0" compatLnSpc="1">
                        <a:noAutofit/>
                      </wps:bodyPr>
                    </wps:wsp>
                  </a:graphicData>
                </a:graphic>
              </wp:inline>
            </w:drawing>
          </mc:Choice>
          <mc:Fallback xmlns:w16du="http://schemas.microsoft.com/office/word/2023/wordml/word16du">
            <w:pict>
              <v:shapetype w14:anchorId="0C742D5D" id="_x0000_t202" coordsize="21600,21600" o:spt="202" path="m,l,21600r21600,l21600,xe">
                <v:stroke joinstyle="miter"/>
                <v:path gradientshapeok="t" o:connecttype="rect"/>
              </v:shapetype>
              <v:shape id="Text Box 1" o:spid="_x0000_s1026" type="#_x0000_t202" style="width:449.3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" stroked="f">
                <v:textbox inset="0,0,0,0">
                  <w:txbxContent>
                    <w:p w14:paraId="140C7EAB" w14:textId="3A1B0FF4" w:rsidR="00315466" w:rsidRPr="008B2F9E" w:rsidRDefault="001D4E15" w:rsidP="008B2F9E">
                      <w:pPr>
                        <w:pStyle w:val="Caption"/>
                        <w:jc w:val="left"/>
                        <w:rPr>
                          <w:color w:val="auto"/>
                        </w:rPr>
                      </w:pPr>
                      <w:bookmarkStart w:id="32" w:name="_Toc170415438"/>
                      <w:r w:rsidRPr="008B2F9E">
                        <w:rPr>
                          <w:color w:val="auto"/>
                        </w:rPr>
                        <w:t xml:space="preserve">Figure </w:t>
                      </w:r>
                      <w:r w:rsidRPr="008B2F9E">
                        <w:rPr>
                          <w:color w:val="auto"/>
                        </w:rPr>
                        <w:fldChar w:fldCharType="begin"/>
                      </w:r>
                      <w:r w:rsidRPr="008B2F9E">
                        <w:rPr>
                          <w:color w:val="auto"/>
                        </w:rPr>
                        <w:instrText xml:space="preserve"> SEQ Figure \* ARABIC </w:instrText>
                      </w:r>
                      <w:r w:rsidRPr="008B2F9E">
                        <w:rPr>
                          <w:color w:val="auto"/>
                        </w:rPr>
                        <w:fldChar w:fldCharType="separate"/>
                      </w:r>
                      <w:r w:rsidR="00E12207">
                        <w:rPr>
                          <w:noProof/>
                          <w:color w:val="auto"/>
                        </w:rPr>
                        <w:t>2</w:t>
                      </w:r>
                      <w:r w:rsidRPr="008B2F9E">
                        <w:rPr>
                          <w:color w:val="auto"/>
                        </w:rPr>
                        <w:fldChar w:fldCharType="end"/>
                      </w:r>
                      <w:r w:rsidRPr="008B2F9E">
                        <w:rPr>
                          <w:color w:val="auto"/>
                        </w:rPr>
                        <w:t xml:space="preserve">: Map of Kenya showing </w:t>
                      </w:r>
                      <w:bookmarkEnd w:id="32"/>
                      <w:r w:rsidRPr="008B2F9E">
                        <w:rPr>
                          <w:color w:val="auto"/>
                        </w:rPr>
                        <w:t>regions and Implementing organisations</w:t>
                      </w:r>
                    </w:p>
                  </w:txbxContent>
                </v:textbox>
                <w10:anchorlock/>
              </v:shape>
            </w:pict>
          </mc:Fallback>
        </mc:AlternateContent>
      </w:r>
      <w:r w:rsidRPr="00A4536F">
        <w:rPr>
          <w:rFonts w:cs="Calibri"/>
          <w:noProof/>
          <w:color w:val="auto"/>
          <w:szCs w:val="18"/>
        </w:rPr>
        <w:drawing>
          <wp:inline distT="0" distB="0" distL="0" distR="0" wp14:anchorId="05472075" wp14:editId="0736EC5B">
            <wp:extent cx="5728205" cy="4686300"/>
            <wp:effectExtent l="19050" t="19050" r="25400" b="19050"/>
            <wp:docPr id="1855816154" name="Picture 19" descr="Figure 2 is a Map of Kenya showing FSL Intervention Counties and Local Implementing Organisa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16154" name="Picture 19" descr="Figure 2 is a Map of Kenya showing FSL Intervention Counties and Local Implementing Organisations. &#10;"/>
                    <pic:cNvPicPr>
                      <a:picLocks noChangeAspect="1" noChangeArrowheads="1"/>
                    </pic:cNvPicPr>
                  </pic:nvPicPr>
                  <pic:blipFill>
                    <a:blip r:embed="rId18" cstate="print">
                      <a:extLst>
                        <a:ext uri="{28A0092B-C50C-407E-A947-70E740481C1C}">
                          <a14:useLocalDpi xmlns:a14="http://schemas.microsoft.com/office/drawing/2010/main" val="0"/>
                        </a:ext>
                      </a:extLst>
                    </a:blip>
                    <a:srcRect t="14519" b="13940"/>
                    <a:stretch>
                      <a:fillRect/>
                    </a:stretch>
                  </pic:blipFill>
                  <pic:spPr>
                    <a:xfrm>
                      <a:off x="0" y="0"/>
                      <a:ext cx="5738089" cy="4694386"/>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0AE581FB" w14:textId="22D3AE51" w:rsidR="00AF04BB" w:rsidRPr="00F62370" w:rsidRDefault="001D4E15" w:rsidP="00F62370">
      <w:pPr>
        <w:pStyle w:val="Heading2"/>
        <w:spacing w:after="240" w:line="240" w:lineRule="auto"/>
        <w:rPr>
          <w:rFonts w:ascii="Verdana" w:hAnsi="Verdana"/>
          <w:sz w:val="24"/>
          <w:szCs w:val="24"/>
        </w:rPr>
      </w:pPr>
      <w:bookmarkStart w:id="32" w:name="_Toc164323995"/>
      <w:bookmarkStart w:id="33" w:name="_Toc164324320"/>
      <w:bookmarkStart w:id="34" w:name="_Toc164286957"/>
      <w:bookmarkStart w:id="35" w:name="_Toc174559868"/>
      <w:bookmarkStart w:id="36" w:name="_Toc181278015"/>
      <w:r w:rsidRPr="00AF04BB">
        <w:rPr>
          <w:rFonts w:ascii="Verdana" w:hAnsi="Verdana"/>
          <w:sz w:val="24"/>
          <w:szCs w:val="24"/>
        </w:rPr>
        <w:t>1.4 Objectives of the evaluation</w:t>
      </w:r>
      <w:bookmarkEnd w:id="32"/>
      <w:bookmarkEnd w:id="33"/>
      <w:bookmarkEnd w:id="34"/>
      <w:bookmarkEnd w:id="35"/>
      <w:bookmarkEnd w:id="36"/>
    </w:p>
    <w:p w14:paraId="2B8648EE" w14:textId="77777777" w:rsidR="00315466" w:rsidRPr="00A4536F" w:rsidRDefault="001D4E15" w:rsidP="00AF04BB">
      <w:pPr>
        <w:snapToGrid w:val="0"/>
        <w:spacing w:before="0" w:after="0" w:line="240" w:lineRule="auto"/>
        <w:rPr>
          <w:rFonts w:cs="Calibri"/>
          <w:color w:val="auto"/>
          <w:szCs w:val="18"/>
        </w:rPr>
      </w:pPr>
      <w:r w:rsidRPr="00A4536F">
        <w:rPr>
          <w:rFonts w:cs="Calibri"/>
          <w:color w:val="auto"/>
          <w:szCs w:val="18"/>
        </w:rPr>
        <w:t>The overarching goal of this evaluation was to assess the interventions of the AHP FSL Programme in Ethiopia and Kenya. It also aimed to identify cross-cutting lessons, success stories, and insights that can contribute to both the AHP's strategic learning and the broader humanitarian sector's understanding of effective responses to global food insecurity, intensified by climate change.</w:t>
      </w:r>
    </w:p>
    <w:p w14:paraId="59A89D50" w14:textId="77777777" w:rsidR="00315466" w:rsidRPr="00A4536F" w:rsidRDefault="001D4E15" w:rsidP="00E4398D">
      <w:pPr>
        <w:snapToGrid w:val="0"/>
        <w:spacing w:before="0" w:after="120"/>
        <w:rPr>
          <w:rFonts w:cs="Calibri"/>
          <w:color w:val="auto"/>
          <w:szCs w:val="18"/>
        </w:rPr>
      </w:pPr>
      <w:r w:rsidRPr="00A4536F">
        <w:rPr>
          <w:rFonts w:cs="Calibri"/>
          <w:color w:val="auto"/>
          <w:szCs w:val="18"/>
        </w:rPr>
        <w:t>More specifically, this evaluation pursued four key objectives:</w:t>
      </w:r>
    </w:p>
    <w:p w14:paraId="34A7F183" w14:textId="77777777" w:rsidR="00315466" w:rsidRPr="00A4536F" w:rsidRDefault="001D4E15" w:rsidP="00903CED">
      <w:pPr>
        <w:pStyle w:val="ListParagraph"/>
        <w:numPr>
          <w:ilvl w:val="0"/>
          <w:numId w:val="40"/>
        </w:numPr>
        <w:snapToGrid w:val="0"/>
        <w:spacing w:after="120"/>
        <w:contextualSpacing w:val="0"/>
        <w:rPr>
          <w:rFonts w:ascii="Verdana" w:hAnsi="Verdana" w:cs="Calibri"/>
          <w:sz w:val="18"/>
          <w:szCs w:val="18"/>
        </w:rPr>
      </w:pPr>
      <w:r w:rsidRPr="00A4536F">
        <w:rPr>
          <w:rFonts w:ascii="Verdana" w:hAnsi="Verdana" w:cs="Calibri"/>
          <w:sz w:val="18"/>
          <w:szCs w:val="18"/>
        </w:rPr>
        <w:t>To determine the reasons behind the occurrence or absence of specific results in the AHP interventions related to food security and livelihoods (Learning).</w:t>
      </w:r>
    </w:p>
    <w:p w14:paraId="29E8F433" w14:textId="77777777" w:rsidR="00315466" w:rsidRPr="00A4536F" w:rsidRDefault="001D4E15" w:rsidP="00903CED">
      <w:pPr>
        <w:pStyle w:val="ListParagraph"/>
        <w:numPr>
          <w:ilvl w:val="0"/>
          <w:numId w:val="40"/>
        </w:numPr>
        <w:snapToGrid w:val="0"/>
        <w:spacing w:after="120"/>
        <w:contextualSpacing w:val="0"/>
        <w:rPr>
          <w:rFonts w:ascii="Verdana" w:hAnsi="Verdana" w:cs="Calibri"/>
          <w:sz w:val="18"/>
          <w:szCs w:val="18"/>
        </w:rPr>
      </w:pPr>
      <w:r w:rsidRPr="00A4536F">
        <w:rPr>
          <w:rFonts w:ascii="Verdana" w:hAnsi="Verdana" w:cs="Calibri"/>
          <w:sz w:val="18"/>
          <w:szCs w:val="18"/>
        </w:rPr>
        <w:t>Provide a high-level assessment of the results achieved through the AHP's approaches to food security and livelihoods in Ethiopia and Kenya (Accountability).</w:t>
      </w:r>
    </w:p>
    <w:p w14:paraId="68ED188C" w14:textId="77777777" w:rsidR="00315466" w:rsidRPr="00A4536F" w:rsidRDefault="001D4E15" w:rsidP="00903CED">
      <w:pPr>
        <w:pStyle w:val="ListParagraph"/>
        <w:numPr>
          <w:ilvl w:val="0"/>
          <w:numId w:val="40"/>
        </w:numPr>
        <w:snapToGrid w:val="0"/>
        <w:spacing w:after="120"/>
        <w:contextualSpacing w:val="0"/>
        <w:rPr>
          <w:rFonts w:ascii="Verdana" w:hAnsi="Verdana" w:cs="Calibri"/>
          <w:sz w:val="18"/>
          <w:szCs w:val="18"/>
        </w:rPr>
      </w:pPr>
      <w:r w:rsidRPr="00A4536F">
        <w:rPr>
          <w:rFonts w:ascii="Verdana" w:hAnsi="Verdana" w:cs="Calibri"/>
          <w:sz w:val="18"/>
          <w:szCs w:val="18"/>
        </w:rPr>
        <w:t>Directly assess specific components related to food security and livelihoods shared by AHP responses in Ethiopia and Kenya (Thematic).</w:t>
      </w:r>
    </w:p>
    <w:p w14:paraId="6AD3B2C2" w14:textId="77777777" w:rsidR="00315466" w:rsidRPr="00A4536F" w:rsidRDefault="001D4E15" w:rsidP="00903CED">
      <w:pPr>
        <w:pStyle w:val="ListParagraph"/>
        <w:numPr>
          <w:ilvl w:val="0"/>
          <w:numId w:val="40"/>
        </w:numPr>
        <w:snapToGrid w:val="0"/>
        <w:spacing w:after="120"/>
        <w:contextualSpacing w:val="0"/>
        <w:rPr>
          <w:rFonts w:ascii="Verdana" w:hAnsi="Verdana" w:cs="Calibri"/>
          <w:sz w:val="18"/>
          <w:szCs w:val="18"/>
        </w:rPr>
      </w:pPr>
      <w:r w:rsidRPr="00A4536F">
        <w:rPr>
          <w:rFonts w:ascii="Verdana" w:hAnsi="Verdana" w:cs="Calibri"/>
          <w:sz w:val="18"/>
          <w:szCs w:val="18"/>
        </w:rPr>
        <w:t>Use the thematic evaluation as a benchmark to highlight challenges, provide insights, and offer valuable recommendations (Systematic Addressing of Challenges).</w:t>
      </w:r>
    </w:p>
    <w:p w14:paraId="041A9C21" w14:textId="77777777" w:rsidR="00315466" w:rsidRPr="00A4536F" w:rsidRDefault="001D4E15" w:rsidP="00E4398D">
      <w:pPr>
        <w:autoSpaceDE w:val="0"/>
        <w:autoSpaceDN w:val="0"/>
        <w:adjustRightInd w:val="0"/>
        <w:snapToGrid w:val="0"/>
        <w:spacing w:before="0" w:after="120"/>
        <w:rPr>
          <w:rFonts w:cs="Calibri"/>
          <w:color w:val="auto"/>
          <w:szCs w:val="18"/>
        </w:rPr>
      </w:pPr>
      <w:r w:rsidRPr="00A4536F">
        <w:rPr>
          <w:rFonts w:cs="Calibri"/>
          <w:color w:val="auto"/>
          <w:szCs w:val="18"/>
        </w:rPr>
        <w:t xml:space="preserve">In addressing the </w:t>
      </w:r>
      <w:proofErr w:type="gramStart"/>
      <w:r w:rsidRPr="00A4536F">
        <w:rPr>
          <w:rFonts w:cs="Calibri"/>
          <w:color w:val="auto"/>
          <w:szCs w:val="18"/>
        </w:rPr>
        <w:t>aforementioned objectives</w:t>
      </w:r>
      <w:proofErr w:type="gramEnd"/>
      <w:r w:rsidRPr="00A4536F">
        <w:rPr>
          <w:rFonts w:cs="Calibri"/>
          <w:color w:val="auto"/>
          <w:szCs w:val="18"/>
        </w:rPr>
        <w:t xml:space="preserve">, this evaluation report responds to 19 questions which correspond to the following 11 evaluation criteria, namely, relevance, coherence, effectiveness, efficiency, impact, sustainability, synergies, inclusion and diversity, accountability, localisation, and climate change. </w:t>
      </w:r>
    </w:p>
    <w:p w14:paraId="31154D06" w14:textId="77777777" w:rsidR="00315466" w:rsidRDefault="001D4E15" w:rsidP="00031544">
      <w:pPr>
        <w:pStyle w:val="Heading1"/>
        <w:spacing w:before="0" w:after="240"/>
        <w:rPr>
          <w:rFonts w:ascii="Verdana" w:hAnsi="Verdana"/>
          <w:sz w:val="28"/>
          <w:szCs w:val="28"/>
        </w:rPr>
      </w:pPr>
      <w:bookmarkStart w:id="37" w:name="_Toc174559869"/>
      <w:bookmarkStart w:id="38" w:name="_Toc181278016"/>
      <w:r w:rsidRPr="00CB28FE">
        <w:rPr>
          <w:rFonts w:ascii="Verdana" w:hAnsi="Verdana"/>
          <w:sz w:val="28"/>
          <w:szCs w:val="28"/>
        </w:rPr>
        <w:lastRenderedPageBreak/>
        <w:t>2.0. Methodology</w:t>
      </w:r>
      <w:bookmarkEnd w:id="37"/>
      <w:bookmarkEnd w:id="38"/>
    </w:p>
    <w:p w14:paraId="1C9F3B79" w14:textId="7ED70AE2" w:rsidR="00FF1D20" w:rsidRPr="00F62370" w:rsidRDefault="001D4E15" w:rsidP="00F62370">
      <w:pPr>
        <w:pStyle w:val="Heading2"/>
        <w:spacing w:after="240" w:line="240" w:lineRule="auto"/>
        <w:rPr>
          <w:rFonts w:ascii="Verdana" w:hAnsi="Verdana"/>
          <w:sz w:val="24"/>
          <w:szCs w:val="24"/>
        </w:rPr>
      </w:pPr>
      <w:bookmarkStart w:id="39" w:name="_Toc148973049"/>
      <w:bookmarkStart w:id="40" w:name="_Toc441247982"/>
      <w:bookmarkStart w:id="41" w:name="_Toc174559870"/>
      <w:bookmarkStart w:id="42" w:name="_Toc181278017"/>
      <w:r w:rsidRPr="00642E80">
        <w:rPr>
          <w:rFonts w:ascii="Verdana" w:hAnsi="Verdana"/>
          <w:sz w:val="24"/>
          <w:szCs w:val="24"/>
        </w:rPr>
        <w:t xml:space="preserve">2.1. Approach and </w:t>
      </w:r>
      <w:bookmarkEnd w:id="39"/>
      <w:bookmarkEnd w:id="40"/>
      <w:proofErr w:type="gramStart"/>
      <w:r w:rsidRPr="00642E80">
        <w:rPr>
          <w:rFonts w:ascii="Verdana" w:hAnsi="Verdana"/>
          <w:sz w:val="24"/>
          <w:szCs w:val="24"/>
        </w:rPr>
        <w:t>methodology</w:t>
      </w:r>
      <w:bookmarkEnd w:id="41"/>
      <w:bookmarkEnd w:id="42"/>
      <w:proofErr w:type="gramEnd"/>
    </w:p>
    <w:p w14:paraId="6EAB898C" w14:textId="2DC34B97" w:rsidR="00FF1D20" w:rsidRPr="00F62370" w:rsidRDefault="001D4E15" w:rsidP="00C9557C">
      <w:pPr>
        <w:snapToGrid w:val="0"/>
        <w:spacing w:before="0" w:line="240" w:lineRule="auto"/>
        <w:rPr>
          <w:rFonts w:cs="Calibri"/>
          <w:color w:val="auto"/>
          <w:szCs w:val="18"/>
        </w:rPr>
      </w:pPr>
      <w:r w:rsidRPr="00A4536F">
        <w:rPr>
          <w:rFonts w:cs="Calibri"/>
          <w:color w:val="auto"/>
          <w:szCs w:val="18"/>
        </w:rPr>
        <w:t xml:space="preserve">The evaluation adopted a Utilisation-Focused Evaluation (UFE) approach to ensure that the findings met the expectations of key stakeholders, including DFAT, the AHP partners, and the in-country Implementing organisations in AHP Consortiums in Ethiopia and Kenya. Active engagement of end users in briefings and meetings during the inception stage and at the end of the field data collection maximised the value of the findings and recommendations. The UFE approach facilitated learning during the evaluation, providing timely clarification on complex issues. Using the Results-Based Management Framework, particularly the </w:t>
      </w:r>
      <w:proofErr w:type="spellStart"/>
      <w:r w:rsidRPr="00A4536F">
        <w:rPr>
          <w:rFonts w:cs="Calibri"/>
          <w:color w:val="auto"/>
          <w:szCs w:val="18"/>
        </w:rPr>
        <w:t>Logframe</w:t>
      </w:r>
      <w:proofErr w:type="spellEnd"/>
      <w:r w:rsidRPr="00A4536F">
        <w:rPr>
          <w:rFonts w:cs="Calibri"/>
          <w:color w:val="auto"/>
          <w:szCs w:val="18"/>
        </w:rPr>
        <w:t xml:space="preserve"> Analysis approach, the team systematically addressed questions of relevance, coherence, effectiveness, efficiency, impact, and sustainability, in accordance with the Organisation for Economic Cooperation and Development Assistance Committee (OECD DAC) criteria. The effectiveness of FSL activities was evaluated using contribution analysis, drawing on data from beneficiary surveys, project documents, facilitated group discussions (FGDs), and key informant interviews (KIIs).</w:t>
      </w:r>
      <w:bookmarkStart w:id="43" w:name="_Toc174559871"/>
    </w:p>
    <w:p w14:paraId="5DD4AC97" w14:textId="5AAE8721" w:rsidR="00FF1D20" w:rsidRPr="00F62370" w:rsidRDefault="001D4E15" w:rsidP="00F62370">
      <w:pPr>
        <w:pStyle w:val="Heading2"/>
        <w:spacing w:after="240" w:line="240" w:lineRule="auto"/>
        <w:rPr>
          <w:rFonts w:ascii="Verdana" w:hAnsi="Verdana"/>
          <w:sz w:val="24"/>
          <w:szCs w:val="24"/>
        </w:rPr>
      </w:pPr>
      <w:bookmarkStart w:id="44" w:name="_Toc181278018"/>
      <w:r w:rsidRPr="00FF1D20">
        <w:rPr>
          <w:rFonts w:ascii="Verdana" w:hAnsi="Verdana"/>
          <w:sz w:val="24"/>
          <w:szCs w:val="24"/>
        </w:rPr>
        <w:t>2.2 Evaluation Questions</w:t>
      </w:r>
      <w:bookmarkEnd w:id="43"/>
      <w:bookmarkEnd w:id="44"/>
    </w:p>
    <w:p w14:paraId="093D3608" w14:textId="5B6C0BF2" w:rsidR="00FF1D20" w:rsidRPr="00F62370" w:rsidRDefault="001D4E15" w:rsidP="00C9557C">
      <w:pPr>
        <w:snapToGrid w:val="0"/>
        <w:spacing w:before="0" w:line="240" w:lineRule="auto"/>
        <w:rPr>
          <w:rFonts w:cs="Calibri"/>
          <w:color w:val="auto"/>
          <w:szCs w:val="18"/>
        </w:rPr>
      </w:pPr>
      <w:r w:rsidRPr="00A4536F">
        <w:rPr>
          <w:rFonts w:cs="Calibri"/>
          <w:color w:val="auto"/>
          <w:szCs w:val="18"/>
        </w:rPr>
        <w:t>The evaluation sought to answer 19 specific questions, covering the relevance, adaptability, coordination, outcomes, integration, influencing factors, protection, efficiency, medium-term effects, unintended outcomes, integration with other interventions, community satisfaction, communication mechanisms, utilisation of local systems, benefits of localisation, and resilience to climate change.</w:t>
      </w:r>
    </w:p>
    <w:p w14:paraId="04E3ECB1" w14:textId="4A8FE339" w:rsidR="00FF1D20" w:rsidRPr="00F62370" w:rsidRDefault="001D4E15" w:rsidP="00F62370">
      <w:pPr>
        <w:pStyle w:val="Heading2"/>
        <w:spacing w:after="240"/>
        <w:rPr>
          <w:rFonts w:ascii="Verdana" w:hAnsi="Verdana"/>
          <w:sz w:val="24"/>
          <w:szCs w:val="24"/>
        </w:rPr>
      </w:pPr>
      <w:bookmarkStart w:id="45" w:name="_Toc174559872"/>
      <w:bookmarkStart w:id="46" w:name="_Toc181278019"/>
      <w:r w:rsidRPr="0016663D">
        <w:rPr>
          <w:rFonts w:ascii="Verdana" w:hAnsi="Verdana"/>
          <w:sz w:val="24"/>
          <w:szCs w:val="24"/>
        </w:rPr>
        <w:t>2.3 Sampling Strategy</w:t>
      </w:r>
      <w:bookmarkEnd w:id="45"/>
      <w:bookmarkEnd w:id="46"/>
    </w:p>
    <w:p w14:paraId="1909FA59" w14:textId="3551B33B" w:rsidR="00315466" w:rsidRPr="00A4536F" w:rsidRDefault="001D4E15" w:rsidP="00FF1D20">
      <w:pPr>
        <w:snapToGrid w:val="0"/>
        <w:spacing w:before="0" w:after="0" w:line="240" w:lineRule="auto"/>
        <w:rPr>
          <w:rFonts w:cs="Calibri"/>
          <w:color w:val="auto"/>
          <w:szCs w:val="18"/>
        </w:rPr>
      </w:pPr>
      <w:r w:rsidRPr="00A4536F">
        <w:rPr>
          <w:rFonts w:cs="Calibri"/>
          <w:color w:val="auto"/>
          <w:szCs w:val="18"/>
        </w:rPr>
        <w:t xml:space="preserve">The evaluation employed a multi-faceted sampling strategy to ensure comprehensive and representative data from diverse beneficiary groups and stakeholders. The sampling methodology incorporated Multistage Stratified Random Sampling, Random Sampling and Purposive Sampling and convenience sampling. See Table </w:t>
      </w:r>
      <w:r w:rsidR="00BF03A5">
        <w:rPr>
          <w:rFonts w:cs="Calibri"/>
          <w:color w:val="auto"/>
          <w:szCs w:val="18"/>
        </w:rPr>
        <w:t>1</w:t>
      </w:r>
      <w:r w:rsidRPr="00A4536F">
        <w:rPr>
          <w:rFonts w:cs="Calibri"/>
          <w:color w:val="auto"/>
          <w:szCs w:val="18"/>
        </w:rPr>
        <w:t xml:space="preserve"> for an overview of the sample across different respondent categories.</w:t>
      </w:r>
    </w:p>
    <w:p w14:paraId="60DF99A7" w14:textId="77777777" w:rsidR="00315466" w:rsidRPr="00A4536F" w:rsidRDefault="00315466" w:rsidP="00E4398D">
      <w:pPr>
        <w:spacing w:before="0" w:after="120"/>
        <w:rPr>
          <w:rFonts w:cs="Calibri"/>
          <w:color w:val="auto"/>
          <w:szCs w:val="18"/>
        </w:rPr>
        <w:sectPr w:rsidR="00315466" w:rsidRPr="00A4536F">
          <w:footerReference w:type="default" r:id="rId19"/>
          <w:pgSz w:w="11906" w:h="16838"/>
          <w:pgMar w:top="1440" w:right="1440" w:bottom="1440" w:left="1440" w:header="0" w:footer="0" w:gutter="0"/>
          <w:pgNumType w:start="1"/>
          <w:cols w:space="708"/>
          <w:docGrid w:linePitch="360"/>
        </w:sectPr>
      </w:pPr>
    </w:p>
    <w:p w14:paraId="4D49E17C" w14:textId="77777777" w:rsidR="002419AD" w:rsidRDefault="002419AD" w:rsidP="00E4398D">
      <w:pPr>
        <w:pStyle w:val="Caption"/>
        <w:keepNext/>
        <w:spacing w:after="120" w:line="276" w:lineRule="auto"/>
        <w:jc w:val="left"/>
        <w:rPr>
          <w:rFonts w:cs="Calibri"/>
          <w:color w:val="auto"/>
        </w:rPr>
      </w:pPr>
      <w:bookmarkStart w:id="47" w:name="_Toc170415432"/>
    </w:p>
    <w:p w14:paraId="6032C548" w14:textId="5EA3CF05" w:rsidR="00315466" w:rsidRPr="00A4536F" w:rsidRDefault="001D4E15" w:rsidP="00E4398D">
      <w:pPr>
        <w:pStyle w:val="Caption"/>
        <w:keepNext/>
        <w:spacing w:after="120" w:line="276" w:lineRule="auto"/>
        <w:jc w:val="left"/>
        <w:rPr>
          <w:rFonts w:cs="Calibri"/>
          <w:color w:val="auto"/>
        </w:rPr>
      </w:pPr>
      <w:r w:rsidRPr="00A4536F">
        <w:rPr>
          <w:rFonts w:cs="Calibri"/>
          <w:color w:val="auto"/>
        </w:rPr>
        <w:t xml:space="preserve">Table </w:t>
      </w:r>
      <w:r w:rsidR="002419AD">
        <w:rPr>
          <w:rFonts w:cs="Calibri"/>
          <w:color w:val="auto"/>
        </w:rPr>
        <w:t>1</w:t>
      </w:r>
      <w:r w:rsidRPr="00A4536F">
        <w:rPr>
          <w:rFonts w:cs="Calibri"/>
          <w:color w:val="auto"/>
        </w:rPr>
        <w:t>: AHP Evaluation Sample Matrix</w:t>
      </w:r>
      <w:bookmarkEnd w:id="47"/>
    </w:p>
    <w:tbl>
      <w:tblPr>
        <w:tblStyle w:val="GridTable4-Accent12"/>
        <w:tblW w:w="14885" w:type="dxa"/>
        <w:tblInd w:w="-431" w:type="dxa"/>
        <w:tblLayout w:type="fixed"/>
        <w:tblLook w:val="04A0" w:firstRow="1" w:lastRow="0" w:firstColumn="1" w:lastColumn="0" w:noHBand="0" w:noVBand="1"/>
      </w:tblPr>
      <w:tblGrid>
        <w:gridCol w:w="2411"/>
        <w:gridCol w:w="1276"/>
        <w:gridCol w:w="1559"/>
        <w:gridCol w:w="741"/>
        <w:gridCol w:w="741"/>
        <w:gridCol w:w="742"/>
        <w:gridCol w:w="741"/>
        <w:gridCol w:w="742"/>
        <w:gridCol w:w="741"/>
        <w:gridCol w:w="742"/>
        <w:gridCol w:w="741"/>
        <w:gridCol w:w="742"/>
        <w:gridCol w:w="741"/>
        <w:gridCol w:w="742"/>
        <w:gridCol w:w="741"/>
        <w:gridCol w:w="742"/>
      </w:tblGrid>
      <w:tr w:rsidR="00820234" w:rsidRPr="00A4536F" w14:paraId="10948807" w14:textId="77777777" w:rsidTr="00820234">
        <w:trPr>
          <w:cnfStyle w:val="100000000000" w:firstRow="1" w:lastRow="0" w:firstColumn="0" w:lastColumn="0" w:oddVBand="0" w:evenVBand="0" w:oddHBand="0" w:evenHBand="0" w:firstRowFirstColumn="0" w:firstRowLastColumn="0" w:lastRowFirstColumn="0" w:lastRowLastColumn="0"/>
          <w:cantSplit/>
          <w:trHeight w:val="2226"/>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extDirection w:val="btLr"/>
            <w:vAlign w:val="center"/>
          </w:tcPr>
          <w:p w14:paraId="7D77457C" w14:textId="77777777" w:rsidR="00315466" w:rsidRPr="00A4536F" w:rsidRDefault="001D4E15" w:rsidP="00E4398D">
            <w:pPr>
              <w:spacing w:before="0" w:after="120"/>
              <w:ind w:left="113" w:right="113"/>
              <w:rPr>
                <w:rFonts w:cs="Calibri"/>
                <w:b w:val="0"/>
                <w:bCs w:val="0"/>
                <w:color w:val="auto"/>
                <w:szCs w:val="18"/>
              </w:rPr>
            </w:pPr>
            <w:r w:rsidRPr="00A4536F">
              <w:rPr>
                <w:rFonts w:cs="Calibri"/>
                <w:color w:val="auto"/>
                <w:szCs w:val="18"/>
              </w:rPr>
              <w:t>AHP Consortium Project</w:t>
            </w:r>
          </w:p>
        </w:tc>
        <w:tc>
          <w:tcPr>
            <w:tcW w:w="1276" w:type="dxa"/>
            <w:shd w:val="clear" w:color="auto" w:fill="auto"/>
            <w:textDirection w:val="btLr"/>
            <w:vAlign w:val="center"/>
          </w:tcPr>
          <w:p w14:paraId="63B18EB8" w14:textId="77777777" w:rsidR="00315466" w:rsidRPr="00A4536F" w:rsidRDefault="001D4E15" w:rsidP="00E4398D">
            <w:pPr>
              <w:spacing w:before="0" w:after="120"/>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 Region /County</w:t>
            </w:r>
          </w:p>
          <w:p w14:paraId="2DBD1F9B" w14:textId="77777777" w:rsidR="00315466" w:rsidRPr="00A4536F" w:rsidRDefault="00315466" w:rsidP="00E4398D">
            <w:pPr>
              <w:spacing w:before="0" w:after="120"/>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p>
        </w:tc>
        <w:tc>
          <w:tcPr>
            <w:tcW w:w="1559" w:type="dxa"/>
            <w:shd w:val="clear" w:color="auto" w:fill="auto"/>
            <w:textDirection w:val="btLr"/>
            <w:vAlign w:val="center"/>
          </w:tcPr>
          <w:p w14:paraId="4B725353" w14:textId="77777777" w:rsidR="00315466" w:rsidRPr="00A4536F" w:rsidRDefault="001D4E15" w:rsidP="00E4398D">
            <w:pPr>
              <w:spacing w:before="0" w:after="120"/>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 xml:space="preserve"> District / </w:t>
            </w:r>
            <w:proofErr w:type="gramStart"/>
            <w:r w:rsidRPr="00A4536F">
              <w:rPr>
                <w:rFonts w:cs="Calibri"/>
                <w:color w:val="auto"/>
                <w:szCs w:val="18"/>
              </w:rPr>
              <w:t>Sub county</w:t>
            </w:r>
            <w:proofErr w:type="gramEnd"/>
          </w:p>
        </w:tc>
        <w:tc>
          <w:tcPr>
            <w:tcW w:w="741" w:type="dxa"/>
            <w:shd w:val="clear" w:color="auto" w:fill="auto"/>
            <w:textDirection w:val="btLr"/>
            <w:vAlign w:val="center"/>
          </w:tcPr>
          <w:p w14:paraId="7BF38512"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Men with disabilities</w:t>
            </w:r>
          </w:p>
        </w:tc>
        <w:tc>
          <w:tcPr>
            <w:tcW w:w="741" w:type="dxa"/>
            <w:shd w:val="clear" w:color="auto" w:fill="auto"/>
            <w:textDirection w:val="btLr"/>
            <w:vAlign w:val="center"/>
          </w:tcPr>
          <w:p w14:paraId="4844EF49"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Non-</w:t>
            </w:r>
            <w:proofErr w:type="gramStart"/>
            <w:r w:rsidRPr="00A4536F">
              <w:rPr>
                <w:rFonts w:cs="Calibri"/>
                <w:color w:val="auto"/>
                <w:szCs w:val="18"/>
              </w:rPr>
              <w:t>disabled  men</w:t>
            </w:r>
            <w:proofErr w:type="gramEnd"/>
          </w:p>
        </w:tc>
        <w:tc>
          <w:tcPr>
            <w:tcW w:w="742" w:type="dxa"/>
            <w:shd w:val="clear" w:color="auto" w:fill="auto"/>
            <w:textDirection w:val="btLr"/>
            <w:vAlign w:val="center"/>
          </w:tcPr>
          <w:p w14:paraId="179CA527"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women with disabilities</w:t>
            </w:r>
          </w:p>
        </w:tc>
        <w:tc>
          <w:tcPr>
            <w:tcW w:w="741" w:type="dxa"/>
            <w:shd w:val="clear" w:color="auto" w:fill="auto"/>
            <w:textDirection w:val="btLr"/>
            <w:vAlign w:val="center"/>
          </w:tcPr>
          <w:p w14:paraId="6F7896A4"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Non-disabled women</w:t>
            </w:r>
          </w:p>
        </w:tc>
        <w:tc>
          <w:tcPr>
            <w:tcW w:w="742" w:type="dxa"/>
            <w:shd w:val="clear" w:color="auto" w:fill="auto"/>
            <w:textDirection w:val="btLr"/>
            <w:vAlign w:val="center"/>
          </w:tcPr>
          <w:p w14:paraId="00380ABE"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Girls with disabilities</w:t>
            </w:r>
          </w:p>
        </w:tc>
        <w:tc>
          <w:tcPr>
            <w:tcW w:w="741" w:type="dxa"/>
            <w:shd w:val="clear" w:color="auto" w:fill="auto"/>
            <w:textDirection w:val="btLr"/>
            <w:vAlign w:val="center"/>
          </w:tcPr>
          <w:p w14:paraId="0100C390"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Non-disabled girls</w:t>
            </w:r>
          </w:p>
        </w:tc>
        <w:tc>
          <w:tcPr>
            <w:tcW w:w="742" w:type="dxa"/>
            <w:shd w:val="clear" w:color="auto" w:fill="auto"/>
            <w:textDirection w:val="btLr"/>
            <w:vAlign w:val="center"/>
          </w:tcPr>
          <w:p w14:paraId="155B290F"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Boys with disabilities</w:t>
            </w:r>
          </w:p>
        </w:tc>
        <w:tc>
          <w:tcPr>
            <w:tcW w:w="741" w:type="dxa"/>
            <w:shd w:val="clear" w:color="auto" w:fill="auto"/>
            <w:textDirection w:val="btLr"/>
            <w:vAlign w:val="center"/>
          </w:tcPr>
          <w:p w14:paraId="6542D9B5"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Non-disabled boys</w:t>
            </w:r>
          </w:p>
        </w:tc>
        <w:tc>
          <w:tcPr>
            <w:tcW w:w="742" w:type="dxa"/>
            <w:shd w:val="clear" w:color="auto" w:fill="auto"/>
            <w:noWrap/>
            <w:textDirection w:val="btLr"/>
            <w:vAlign w:val="center"/>
          </w:tcPr>
          <w:p w14:paraId="50A6EF30"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Total HH interview</w:t>
            </w:r>
          </w:p>
        </w:tc>
        <w:tc>
          <w:tcPr>
            <w:tcW w:w="741" w:type="dxa"/>
            <w:shd w:val="clear" w:color="auto" w:fill="auto"/>
            <w:noWrap/>
            <w:textDirection w:val="btLr"/>
            <w:vAlign w:val="center"/>
          </w:tcPr>
          <w:p w14:paraId="2F32D6A3"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proofErr w:type="gramStart"/>
            <w:r w:rsidRPr="00A4536F">
              <w:rPr>
                <w:rFonts w:cs="Calibri"/>
                <w:color w:val="auto"/>
                <w:szCs w:val="18"/>
              </w:rPr>
              <w:t>FGD(</w:t>
            </w:r>
            <w:proofErr w:type="gramEnd"/>
            <w:r w:rsidRPr="00A4536F">
              <w:rPr>
                <w:rFonts w:cs="Calibri"/>
                <w:color w:val="auto"/>
                <w:szCs w:val="18"/>
              </w:rPr>
              <w:t>5*12)</w:t>
            </w:r>
          </w:p>
        </w:tc>
        <w:tc>
          <w:tcPr>
            <w:tcW w:w="742" w:type="dxa"/>
            <w:shd w:val="clear" w:color="auto" w:fill="auto"/>
            <w:textDirection w:val="btLr"/>
            <w:vAlign w:val="center"/>
          </w:tcPr>
          <w:p w14:paraId="4C60E8A8"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proofErr w:type="gramStart"/>
            <w:r w:rsidRPr="00A4536F">
              <w:rPr>
                <w:rFonts w:cs="Calibri"/>
                <w:color w:val="auto"/>
                <w:szCs w:val="18"/>
              </w:rPr>
              <w:t>Total  beneficiaries</w:t>
            </w:r>
            <w:proofErr w:type="gramEnd"/>
          </w:p>
        </w:tc>
        <w:tc>
          <w:tcPr>
            <w:tcW w:w="741" w:type="dxa"/>
            <w:shd w:val="clear" w:color="auto" w:fill="auto"/>
            <w:textDirection w:val="btLr"/>
            <w:vAlign w:val="center"/>
          </w:tcPr>
          <w:p w14:paraId="3CCA4CC6"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Govt staff</w:t>
            </w:r>
          </w:p>
        </w:tc>
        <w:tc>
          <w:tcPr>
            <w:tcW w:w="742" w:type="dxa"/>
            <w:shd w:val="clear" w:color="auto" w:fill="auto"/>
            <w:textDirection w:val="btLr"/>
            <w:vAlign w:val="center"/>
          </w:tcPr>
          <w:p w14:paraId="37F0164E" w14:textId="77777777" w:rsidR="00315466" w:rsidRPr="00A4536F" w:rsidRDefault="001D4E15" w:rsidP="00E4398D">
            <w:pPr>
              <w:spacing w:before="0" w:after="120"/>
              <w:ind w:left="113" w:right="113"/>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IP staff</w:t>
            </w:r>
          </w:p>
        </w:tc>
      </w:tr>
      <w:tr w:rsidR="00090EFB" w:rsidRPr="00A4536F" w14:paraId="71F2EE9C" w14:textId="77777777" w:rsidTr="00D524D4">
        <w:trPr>
          <w:trHeight w:val="450"/>
        </w:trPr>
        <w:tc>
          <w:tcPr>
            <w:cnfStyle w:val="001000000000" w:firstRow="0" w:lastRow="0" w:firstColumn="1" w:lastColumn="0" w:oddVBand="0" w:evenVBand="0" w:oddHBand="0" w:evenHBand="0" w:firstRowFirstColumn="0" w:firstRowLastColumn="0" w:lastRowFirstColumn="0" w:lastRowLastColumn="0"/>
            <w:tcW w:w="2411" w:type="dxa"/>
            <w:shd w:val="clear" w:color="auto" w:fill="DDDBED"/>
            <w:vAlign w:val="center"/>
          </w:tcPr>
          <w:p w14:paraId="2D333848" w14:textId="77777777" w:rsidR="00315466" w:rsidRPr="00A4536F" w:rsidRDefault="001D4E15" w:rsidP="00E4398D">
            <w:pPr>
              <w:spacing w:before="0" w:after="120"/>
              <w:rPr>
                <w:rFonts w:cs="Calibri"/>
                <w:b w:val="0"/>
                <w:bCs w:val="0"/>
                <w:color w:val="auto"/>
                <w:szCs w:val="18"/>
              </w:rPr>
            </w:pPr>
            <w:r w:rsidRPr="00A4536F">
              <w:rPr>
                <w:rFonts w:cs="Calibri"/>
                <w:color w:val="auto"/>
                <w:szCs w:val="18"/>
              </w:rPr>
              <w:t>Oxfam (Kenya)</w:t>
            </w:r>
          </w:p>
        </w:tc>
        <w:tc>
          <w:tcPr>
            <w:tcW w:w="1276" w:type="dxa"/>
            <w:shd w:val="clear" w:color="auto" w:fill="DDDBED"/>
          </w:tcPr>
          <w:p w14:paraId="2102DD6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proofErr w:type="spellStart"/>
            <w:r w:rsidRPr="00A4536F">
              <w:rPr>
                <w:rFonts w:cs="Calibri"/>
                <w:color w:val="auto"/>
                <w:szCs w:val="18"/>
              </w:rPr>
              <w:t>Marsabit</w:t>
            </w:r>
            <w:proofErr w:type="spellEnd"/>
          </w:p>
        </w:tc>
        <w:tc>
          <w:tcPr>
            <w:tcW w:w="1559" w:type="dxa"/>
            <w:shd w:val="clear" w:color="auto" w:fill="DDDBED"/>
          </w:tcPr>
          <w:p w14:paraId="05F56C1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proofErr w:type="spellStart"/>
            <w:r w:rsidRPr="00A4536F">
              <w:rPr>
                <w:rFonts w:cs="Calibri"/>
                <w:color w:val="auto"/>
                <w:szCs w:val="18"/>
              </w:rPr>
              <w:t>Laisamis</w:t>
            </w:r>
            <w:proofErr w:type="spellEnd"/>
          </w:p>
        </w:tc>
        <w:tc>
          <w:tcPr>
            <w:tcW w:w="741" w:type="dxa"/>
            <w:shd w:val="clear" w:color="auto" w:fill="DDDBED"/>
          </w:tcPr>
          <w:p w14:paraId="333FE7B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35A88CD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shd w:val="clear" w:color="auto" w:fill="DDDBED"/>
          </w:tcPr>
          <w:p w14:paraId="1E306455"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4185E24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shd w:val="clear" w:color="auto" w:fill="DDDBED"/>
          </w:tcPr>
          <w:p w14:paraId="48459521"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3076F1B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p>
        </w:tc>
        <w:tc>
          <w:tcPr>
            <w:tcW w:w="742" w:type="dxa"/>
            <w:shd w:val="clear" w:color="auto" w:fill="DDDBED"/>
          </w:tcPr>
          <w:p w14:paraId="5E232A4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0619E63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7</w:t>
            </w:r>
          </w:p>
        </w:tc>
        <w:tc>
          <w:tcPr>
            <w:tcW w:w="742" w:type="dxa"/>
            <w:shd w:val="clear" w:color="auto" w:fill="DDDBED"/>
            <w:noWrap/>
          </w:tcPr>
          <w:p w14:paraId="2AA1D8E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31</w:t>
            </w:r>
          </w:p>
        </w:tc>
        <w:tc>
          <w:tcPr>
            <w:tcW w:w="741" w:type="dxa"/>
            <w:shd w:val="clear" w:color="auto" w:fill="DDDBED"/>
            <w:noWrap/>
          </w:tcPr>
          <w:p w14:paraId="1E0BA2C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w:t>
            </w:r>
          </w:p>
        </w:tc>
        <w:tc>
          <w:tcPr>
            <w:tcW w:w="742" w:type="dxa"/>
            <w:shd w:val="clear" w:color="auto" w:fill="DDDBED"/>
          </w:tcPr>
          <w:p w14:paraId="3F6FE23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91</w:t>
            </w:r>
          </w:p>
        </w:tc>
        <w:tc>
          <w:tcPr>
            <w:tcW w:w="741" w:type="dxa"/>
            <w:shd w:val="clear" w:color="auto" w:fill="DDDBED"/>
          </w:tcPr>
          <w:p w14:paraId="424532F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p>
        </w:tc>
        <w:tc>
          <w:tcPr>
            <w:tcW w:w="742" w:type="dxa"/>
            <w:shd w:val="clear" w:color="auto" w:fill="DDDBED"/>
          </w:tcPr>
          <w:p w14:paraId="73C1EEC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r>
      <w:tr w:rsidR="00090EFB" w:rsidRPr="00A4536F" w14:paraId="7789A7D2" w14:textId="77777777" w:rsidTr="00D524D4">
        <w:trPr>
          <w:trHeight w:val="300"/>
        </w:trPr>
        <w:tc>
          <w:tcPr>
            <w:cnfStyle w:val="001000000000" w:firstRow="0" w:lastRow="0" w:firstColumn="1" w:lastColumn="0" w:oddVBand="0" w:evenVBand="0" w:oddHBand="0" w:evenHBand="0" w:firstRowFirstColumn="0" w:firstRowLastColumn="0" w:lastRowFirstColumn="0" w:lastRowLastColumn="0"/>
            <w:tcW w:w="2411" w:type="dxa"/>
            <w:shd w:val="clear" w:color="auto" w:fill="DDDBED"/>
          </w:tcPr>
          <w:p w14:paraId="0FB8C319" w14:textId="720CCAFD" w:rsidR="00315466" w:rsidRPr="00A4536F" w:rsidRDefault="00BB472E" w:rsidP="00E4398D">
            <w:pPr>
              <w:spacing w:before="0" w:after="120"/>
              <w:rPr>
                <w:rFonts w:cs="Calibri"/>
                <w:b w:val="0"/>
                <w:bCs w:val="0"/>
                <w:color w:val="auto"/>
                <w:szCs w:val="18"/>
              </w:rPr>
            </w:pPr>
            <w:r w:rsidRPr="00A4536F">
              <w:rPr>
                <w:rFonts w:cs="Calibri"/>
                <w:color w:val="auto"/>
                <w:szCs w:val="18"/>
              </w:rPr>
              <w:t>Oxfam (Kenya)</w:t>
            </w:r>
          </w:p>
        </w:tc>
        <w:tc>
          <w:tcPr>
            <w:tcW w:w="1276" w:type="dxa"/>
          </w:tcPr>
          <w:p w14:paraId="3E21434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color w:val="auto"/>
                <w:szCs w:val="18"/>
              </w:rPr>
              <w:t>Turkana</w:t>
            </w:r>
          </w:p>
        </w:tc>
        <w:tc>
          <w:tcPr>
            <w:tcW w:w="1559" w:type="dxa"/>
          </w:tcPr>
          <w:p w14:paraId="1D1E4F7D" w14:textId="32695C4F"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Turkana North</w:t>
            </w:r>
          </w:p>
        </w:tc>
        <w:tc>
          <w:tcPr>
            <w:tcW w:w="741" w:type="dxa"/>
          </w:tcPr>
          <w:p w14:paraId="2EDC225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4E1E125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w:t>
            </w:r>
          </w:p>
        </w:tc>
        <w:tc>
          <w:tcPr>
            <w:tcW w:w="742" w:type="dxa"/>
          </w:tcPr>
          <w:p w14:paraId="72B33A7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1" w:type="dxa"/>
          </w:tcPr>
          <w:p w14:paraId="60D61E4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2" w:type="dxa"/>
          </w:tcPr>
          <w:p w14:paraId="11535A6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1" w:type="dxa"/>
          </w:tcPr>
          <w:p w14:paraId="45BF595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2" w:type="dxa"/>
          </w:tcPr>
          <w:p w14:paraId="58D31C1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1" w:type="dxa"/>
          </w:tcPr>
          <w:p w14:paraId="35EAAFF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2" w:type="dxa"/>
            <w:noWrap/>
          </w:tcPr>
          <w:p w14:paraId="076DADB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22</w:t>
            </w:r>
          </w:p>
        </w:tc>
        <w:tc>
          <w:tcPr>
            <w:tcW w:w="741" w:type="dxa"/>
            <w:noWrap/>
          </w:tcPr>
          <w:p w14:paraId="15ADF92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w:t>
            </w:r>
          </w:p>
        </w:tc>
        <w:tc>
          <w:tcPr>
            <w:tcW w:w="742" w:type="dxa"/>
          </w:tcPr>
          <w:p w14:paraId="4E3D404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82</w:t>
            </w:r>
          </w:p>
        </w:tc>
        <w:tc>
          <w:tcPr>
            <w:tcW w:w="741" w:type="dxa"/>
          </w:tcPr>
          <w:p w14:paraId="1ED823E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p>
        </w:tc>
        <w:tc>
          <w:tcPr>
            <w:tcW w:w="742" w:type="dxa"/>
          </w:tcPr>
          <w:p w14:paraId="64E670F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r>
      <w:tr w:rsidR="00090EFB" w:rsidRPr="00A4536F" w14:paraId="065A7884" w14:textId="77777777" w:rsidTr="00D524D4">
        <w:trPr>
          <w:trHeight w:val="300"/>
        </w:trPr>
        <w:tc>
          <w:tcPr>
            <w:cnfStyle w:val="001000000000" w:firstRow="0" w:lastRow="0" w:firstColumn="1" w:lastColumn="0" w:oddVBand="0" w:evenVBand="0" w:oddHBand="0" w:evenHBand="0" w:firstRowFirstColumn="0" w:firstRowLastColumn="0" w:lastRowFirstColumn="0" w:lastRowLastColumn="0"/>
            <w:tcW w:w="2411" w:type="dxa"/>
            <w:shd w:val="clear" w:color="auto" w:fill="DDDBED"/>
            <w:vAlign w:val="center"/>
          </w:tcPr>
          <w:p w14:paraId="76F8248A" w14:textId="77777777" w:rsidR="00315466" w:rsidRPr="00A4536F" w:rsidRDefault="001D4E15" w:rsidP="00E4398D">
            <w:pPr>
              <w:spacing w:before="0" w:after="120"/>
              <w:rPr>
                <w:rFonts w:cs="Calibri"/>
                <w:b w:val="0"/>
                <w:bCs w:val="0"/>
                <w:color w:val="auto"/>
                <w:szCs w:val="18"/>
              </w:rPr>
            </w:pPr>
            <w:r w:rsidRPr="00A4536F">
              <w:rPr>
                <w:rFonts w:cs="Calibri"/>
                <w:color w:val="auto"/>
                <w:szCs w:val="18"/>
              </w:rPr>
              <w:t xml:space="preserve">Oxfam (Ethiopia) </w:t>
            </w:r>
          </w:p>
        </w:tc>
        <w:tc>
          <w:tcPr>
            <w:tcW w:w="1276" w:type="dxa"/>
            <w:shd w:val="clear" w:color="auto" w:fill="DDDBED"/>
          </w:tcPr>
          <w:p w14:paraId="289EA8B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color w:val="auto"/>
                <w:szCs w:val="18"/>
              </w:rPr>
              <w:t>Amhara</w:t>
            </w:r>
          </w:p>
        </w:tc>
        <w:tc>
          <w:tcPr>
            <w:tcW w:w="1559" w:type="dxa"/>
            <w:shd w:val="clear" w:color="auto" w:fill="DDDBED"/>
          </w:tcPr>
          <w:p w14:paraId="69BB1B3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proofErr w:type="spellStart"/>
            <w:r w:rsidRPr="00A4536F">
              <w:rPr>
                <w:rFonts w:cs="Calibri"/>
                <w:color w:val="auto"/>
                <w:szCs w:val="18"/>
              </w:rPr>
              <w:t>Wagihimira</w:t>
            </w:r>
            <w:proofErr w:type="spellEnd"/>
          </w:p>
        </w:tc>
        <w:tc>
          <w:tcPr>
            <w:tcW w:w="741" w:type="dxa"/>
            <w:shd w:val="clear" w:color="auto" w:fill="DDDBED"/>
          </w:tcPr>
          <w:p w14:paraId="4A1009A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644F7BD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w:t>
            </w:r>
          </w:p>
        </w:tc>
        <w:tc>
          <w:tcPr>
            <w:tcW w:w="742" w:type="dxa"/>
            <w:shd w:val="clear" w:color="auto" w:fill="DDDBED"/>
          </w:tcPr>
          <w:p w14:paraId="584E28E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49847BF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32</w:t>
            </w:r>
          </w:p>
        </w:tc>
        <w:tc>
          <w:tcPr>
            <w:tcW w:w="742" w:type="dxa"/>
            <w:shd w:val="clear" w:color="auto" w:fill="DDDBED"/>
          </w:tcPr>
          <w:p w14:paraId="7A9570B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1" w:type="dxa"/>
            <w:shd w:val="clear" w:color="auto" w:fill="DDDBED"/>
          </w:tcPr>
          <w:p w14:paraId="521264E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2" w:type="dxa"/>
            <w:shd w:val="clear" w:color="auto" w:fill="DDDBED"/>
          </w:tcPr>
          <w:p w14:paraId="26B63AA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1" w:type="dxa"/>
            <w:shd w:val="clear" w:color="auto" w:fill="DDDBED"/>
          </w:tcPr>
          <w:p w14:paraId="37F4E3B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2" w:type="dxa"/>
            <w:shd w:val="clear" w:color="auto" w:fill="DDDBED"/>
            <w:noWrap/>
          </w:tcPr>
          <w:p w14:paraId="48D1F06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39</w:t>
            </w:r>
          </w:p>
        </w:tc>
        <w:tc>
          <w:tcPr>
            <w:tcW w:w="741" w:type="dxa"/>
            <w:shd w:val="clear" w:color="auto" w:fill="DDDBED"/>
            <w:noWrap/>
          </w:tcPr>
          <w:p w14:paraId="38FF727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w:t>
            </w:r>
          </w:p>
        </w:tc>
        <w:tc>
          <w:tcPr>
            <w:tcW w:w="742" w:type="dxa"/>
            <w:shd w:val="clear" w:color="auto" w:fill="DDDBED"/>
          </w:tcPr>
          <w:p w14:paraId="3AD7D03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99</w:t>
            </w:r>
          </w:p>
        </w:tc>
        <w:tc>
          <w:tcPr>
            <w:tcW w:w="741" w:type="dxa"/>
            <w:shd w:val="clear" w:color="auto" w:fill="DDDBED"/>
          </w:tcPr>
          <w:p w14:paraId="045ADD2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shd w:val="clear" w:color="auto" w:fill="DDDBED"/>
          </w:tcPr>
          <w:p w14:paraId="2CE272C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r>
      <w:tr w:rsidR="00090EFB" w:rsidRPr="00A4536F" w14:paraId="5CBA11EE" w14:textId="77777777" w:rsidTr="00D524D4">
        <w:trPr>
          <w:trHeight w:val="300"/>
        </w:trPr>
        <w:tc>
          <w:tcPr>
            <w:cnfStyle w:val="001000000000" w:firstRow="0" w:lastRow="0" w:firstColumn="1" w:lastColumn="0" w:oddVBand="0" w:evenVBand="0" w:oddHBand="0" w:evenHBand="0" w:firstRowFirstColumn="0" w:firstRowLastColumn="0" w:lastRowFirstColumn="0" w:lastRowLastColumn="0"/>
            <w:tcW w:w="2411" w:type="dxa"/>
            <w:shd w:val="clear" w:color="auto" w:fill="DDDBED"/>
            <w:vAlign w:val="center"/>
          </w:tcPr>
          <w:p w14:paraId="57CE1E38" w14:textId="48284977" w:rsidR="00315466" w:rsidRPr="00A4536F" w:rsidRDefault="00BB472E" w:rsidP="00E4398D">
            <w:pPr>
              <w:spacing w:before="0" w:after="120"/>
              <w:rPr>
                <w:rFonts w:cs="Calibri"/>
                <w:b w:val="0"/>
                <w:bCs w:val="0"/>
                <w:color w:val="auto"/>
                <w:szCs w:val="18"/>
              </w:rPr>
            </w:pPr>
            <w:r w:rsidRPr="00A4536F">
              <w:rPr>
                <w:rFonts w:cs="Calibri"/>
                <w:color w:val="auto"/>
                <w:szCs w:val="18"/>
              </w:rPr>
              <w:t>Oxfam (Ethiopia)</w:t>
            </w:r>
          </w:p>
        </w:tc>
        <w:tc>
          <w:tcPr>
            <w:tcW w:w="1276" w:type="dxa"/>
          </w:tcPr>
          <w:p w14:paraId="196A220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color w:val="auto"/>
                <w:szCs w:val="18"/>
              </w:rPr>
              <w:t>Tigray</w:t>
            </w:r>
          </w:p>
        </w:tc>
        <w:tc>
          <w:tcPr>
            <w:tcW w:w="1559" w:type="dxa"/>
          </w:tcPr>
          <w:p w14:paraId="17A7948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proofErr w:type="spellStart"/>
            <w:r w:rsidRPr="00A4536F">
              <w:rPr>
                <w:rFonts w:cs="Calibri"/>
                <w:color w:val="auto"/>
                <w:szCs w:val="18"/>
              </w:rPr>
              <w:t>Adigrat</w:t>
            </w:r>
            <w:proofErr w:type="spellEnd"/>
            <w:r w:rsidRPr="00A4536F">
              <w:rPr>
                <w:rFonts w:cs="Calibri"/>
                <w:color w:val="auto"/>
                <w:szCs w:val="18"/>
              </w:rPr>
              <w:t xml:space="preserve"> town</w:t>
            </w:r>
          </w:p>
        </w:tc>
        <w:tc>
          <w:tcPr>
            <w:tcW w:w="741" w:type="dxa"/>
          </w:tcPr>
          <w:p w14:paraId="12F8A9F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689C92A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w:t>
            </w:r>
          </w:p>
        </w:tc>
        <w:tc>
          <w:tcPr>
            <w:tcW w:w="742" w:type="dxa"/>
          </w:tcPr>
          <w:p w14:paraId="59B25C5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2A8E643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15</w:t>
            </w:r>
          </w:p>
        </w:tc>
        <w:tc>
          <w:tcPr>
            <w:tcW w:w="742" w:type="dxa"/>
          </w:tcPr>
          <w:p w14:paraId="33A7FC5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1" w:type="dxa"/>
          </w:tcPr>
          <w:p w14:paraId="4E890F7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2" w:type="dxa"/>
          </w:tcPr>
          <w:p w14:paraId="7B2425D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1" w:type="dxa"/>
          </w:tcPr>
          <w:p w14:paraId="34CCBDD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2" w:type="dxa"/>
            <w:noWrap/>
          </w:tcPr>
          <w:p w14:paraId="2D9BAA0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25</w:t>
            </w:r>
          </w:p>
        </w:tc>
        <w:tc>
          <w:tcPr>
            <w:tcW w:w="741" w:type="dxa"/>
            <w:noWrap/>
          </w:tcPr>
          <w:p w14:paraId="47D604D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w:t>
            </w:r>
          </w:p>
        </w:tc>
        <w:tc>
          <w:tcPr>
            <w:tcW w:w="742" w:type="dxa"/>
          </w:tcPr>
          <w:p w14:paraId="7883839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85</w:t>
            </w:r>
          </w:p>
        </w:tc>
        <w:tc>
          <w:tcPr>
            <w:tcW w:w="741" w:type="dxa"/>
          </w:tcPr>
          <w:p w14:paraId="685C248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tcPr>
          <w:p w14:paraId="31F12B0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r>
      <w:tr w:rsidR="00090EFB" w:rsidRPr="00A4536F" w14:paraId="7EB12B0F" w14:textId="77777777" w:rsidTr="00D524D4">
        <w:trPr>
          <w:trHeight w:val="300"/>
        </w:trPr>
        <w:tc>
          <w:tcPr>
            <w:cnfStyle w:val="001000000000" w:firstRow="0" w:lastRow="0" w:firstColumn="1" w:lastColumn="0" w:oddVBand="0" w:evenVBand="0" w:oddHBand="0" w:evenHBand="0" w:firstRowFirstColumn="0" w:firstRowLastColumn="0" w:lastRowFirstColumn="0" w:lastRowLastColumn="0"/>
            <w:tcW w:w="2411" w:type="dxa"/>
            <w:shd w:val="clear" w:color="auto" w:fill="DDDBED"/>
            <w:vAlign w:val="center"/>
          </w:tcPr>
          <w:p w14:paraId="53E21AC0" w14:textId="2C3CC82D" w:rsidR="00315466" w:rsidRPr="00A4536F" w:rsidRDefault="00BB472E" w:rsidP="00E4398D">
            <w:pPr>
              <w:spacing w:before="0" w:after="120"/>
              <w:rPr>
                <w:rFonts w:cs="Calibri"/>
                <w:b w:val="0"/>
                <w:bCs w:val="0"/>
                <w:color w:val="auto"/>
                <w:szCs w:val="18"/>
              </w:rPr>
            </w:pPr>
            <w:r w:rsidRPr="00A4536F">
              <w:rPr>
                <w:rFonts w:cs="Calibri"/>
                <w:color w:val="auto"/>
                <w:szCs w:val="18"/>
              </w:rPr>
              <w:t>Oxfam (Ethiopia)</w:t>
            </w:r>
          </w:p>
        </w:tc>
        <w:tc>
          <w:tcPr>
            <w:tcW w:w="1276" w:type="dxa"/>
            <w:shd w:val="clear" w:color="auto" w:fill="DDDBED"/>
          </w:tcPr>
          <w:p w14:paraId="2429290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color w:val="auto"/>
                <w:szCs w:val="18"/>
              </w:rPr>
              <w:t>Afar</w:t>
            </w:r>
          </w:p>
        </w:tc>
        <w:tc>
          <w:tcPr>
            <w:tcW w:w="1559" w:type="dxa"/>
            <w:shd w:val="clear" w:color="auto" w:fill="DDDBED"/>
          </w:tcPr>
          <w:p w14:paraId="5A18570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proofErr w:type="spellStart"/>
            <w:r w:rsidRPr="00A4536F">
              <w:rPr>
                <w:rFonts w:cs="Calibri"/>
                <w:color w:val="auto"/>
                <w:szCs w:val="18"/>
              </w:rPr>
              <w:t>Kilalo</w:t>
            </w:r>
            <w:proofErr w:type="spellEnd"/>
          </w:p>
        </w:tc>
        <w:tc>
          <w:tcPr>
            <w:tcW w:w="741" w:type="dxa"/>
            <w:shd w:val="clear" w:color="auto" w:fill="DDDBED"/>
          </w:tcPr>
          <w:p w14:paraId="72D04F35"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3C7B9B0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5</w:t>
            </w:r>
          </w:p>
        </w:tc>
        <w:tc>
          <w:tcPr>
            <w:tcW w:w="742" w:type="dxa"/>
            <w:shd w:val="clear" w:color="auto" w:fill="DDDBED"/>
          </w:tcPr>
          <w:p w14:paraId="6CF6BE8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50F8CF6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18</w:t>
            </w:r>
          </w:p>
        </w:tc>
        <w:tc>
          <w:tcPr>
            <w:tcW w:w="742" w:type="dxa"/>
            <w:shd w:val="clear" w:color="auto" w:fill="DDDBED"/>
          </w:tcPr>
          <w:p w14:paraId="7438CA3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w:t>
            </w:r>
          </w:p>
        </w:tc>
        <w:tc>
          <w:tcPr>
            <w:tcW w:w="741" w:type="dxa"/>
            <w:shd w:val="clear" w:color="auto" w:fill="DDDBED"/>
          </w:tcPr>
          <w:p w14:paraId="41B2F4E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2" w:type="dxa"/>
            <w:shd w:val="clear" w:color="auto" w:fill="DDDBED"/>
          </w:tcPr>
          <w:p w14:paraId="096B0AA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w:t>
            </w:r>
          </w:p>
        </w:tc>
        <w:tc>
          <w:tcPr>
            <w:tcW w:w="741" w:type="dxa"/>
            <w:shd w:val="clear" w:color="auto" w:fill="DDDBED"/>
          </w:tcPr>
          <w:p w14:paraId="6A8396D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w:t>
            </w:r>
          </w:p>
        </w:tc>
        <w:tc>
          <w:tcPr>
            <w:tcW w:w="742" w:type="dxa"/>
            <w:shd w:val="clear" w:color="auto" w:fill="DDDBED"/>
            <w:noWrap/>
          </w:tcPr>
          <w:p w14:paraId="553F3DA1"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34</w:t>
            </w:r>
          </w:p>
        </w:tc>
        <w:tc>
          <w:tcPr>
            <w:tcW w:w="741" w:type="dxa"/>
            <w:shd w:val="clear" w:color="auto" w:fill="DDDBED"/>
            <w:noWrap/>
          </w:tcPr>
          <w:p w14:paraId="762C1CC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w:t>
            </w:r>
          </w:p>
        </w:tc>
        <w:tc>
          <w:tcPr>
            <w:tcW w:w="742" w:type="dxa"/>
            <w:shd w:val="clear" w:color="auto" w:fill="DDDBED"/>
          </w:tcPr>
          <w:p w14:paraId="155A0A71"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94</w:t>
            </w:r>
          </w:p>
        </w:tc>
        <w:tc>
          <w:tcPr>
            <w:tcW w:w="741" w:type="dxa"/>
            <w:shd w:val="clear" w:color="auto" w:fill="DDDBED"/>
          </w:tcPr>
          <w:p w14:paraId="3A4F516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shd w:val="clear" w:color="auto" w:fill="DDDBED"/>
          </w:tcPr>
          <w:p w14:paraId="0FF32A7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r>
      <w:tr w:rsidR="00090EFB" w:rsidRPr="00A4536F" w14:paraId="4D4B83AF" w14:textId="77777777" w:rsidTr="00D524D4">
        <w:trPr>
          <w:trHeight w:val="300"/>
        </w:trPr>
        <w:tc>
          <w:tcPr>
            <w:cnfStyle w:val="001000000000" w:firstRow="0" w:lastRow="0" w:firstColumn="1" w:lastColumn="0" w:oddVBand="0" w:evenVBand="0" w:oddHBand="0" w:evenHBand="0" w:firstRowFirstColumn="0" w:firstRowLastColumn="0" w:lastRowFirstColumn="0" w:lastRowLastColumn="0"/>
            <w:tcW w:w="2411" w:type="dxa"/>
            <w:shd w:val="clear" w:color="auto" w:fill="DDDBED"/>
            <w:vAlign w:val="center"/>
          </w:tcPr>
          <w:p w14:paraId="6DCDED1C" w14:textId="32D8201E" w:rsidR="00315466" w:rsidRPr="00A4536F" w:rsidRDefault="00BB472E" w:rsidP="00E4398D">
            <w:pPr>
              <w:spacing w:before="0" w:after="120"/>
              <w:rPr>
                <w:rFonts w:cs="Calibri"/>
                <w:b w:val="0"/>
                <w:bCs w:val="0"/>
                <w:color w:val="auto"/>
                <w:szCs w:val="18"/>
              </w:rPr>
            </w:pPr>
            <w:r w:rsidRPr="00A4536F">
              <w:rPr>
                <w:rFonts w:cs="Calibri"/>
                <w:color w:val="auto"/>
                <w:szCs w:val="18"/>
              </w:rPr>
              <w:t>Oxfam (Ethiopia)</w:t>
            </w:r>
          </w:p>
        </w:tc>
        <w:tc>
          <w:tcPr>
            <w:tcW w:w="1276" w:type="dxa"/>
            <w:shd w:val="clear" w:color="auto" w:fill="DDDBED"/>
          </w:tcPr>
          <w:p w14:paraId="100E4562" w14:textId="498E9CEB" w:rsidR="00315466" w:rsidRPr="00A4536F" w:rsidRDefault="00BB472E"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Afar</w:t>
            </w:r>
          </w:p>
        </w:tc>
        <w:tc>
          <w:tcPr>
            <w:tcW w:w="1559" w:type="dxa"/>
          </w:tcPr>
          <w:p w14:paraId="0E887DF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proofErr w:type="spellStart"/>
            <w:r w:rsidRPr="00A4536F">
              <w:rPr>
                <w:rFonts w:cs="Calibri"/>
                <w:color w:val="auto"/>
                <w:szCs w:val="18"/>
              </w:rPr>
              <w:t>Sibayba</w:t>
            </w:r>
            <w:proofErr w:type="spellEnd"/>
          </w:p>
        </w:tc>
        <w:tc>
          <w:tcPr>
            <w:tcW w:w="741" w:type="dxa"/>
          </w:tcPr>
          <w:p w14:paraId="255563D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57E50E25"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tcPr>
          <w:p w14:paraId="095C7AC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3BDE2BB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15</w:t>
            </w:r>
          </w:p>
        </w:tc>
        <w:tc>
          <w:tcPr>
            <w:tcW w:w="742" w:type="dxa"/>
          </w:tcPr>
          <w:p w14:paraId="55409B2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w:t>
            </w:r>
          </w:p>
        </w:tc>
        <w:tc>
          <w:tcPr>
            <w:tcW w:w="741" w:type="dxa"/>
          </w:tcPr>
          <w:p w14:paraId="2A8DB29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2" w:type="dxa"/>
          </w:tcPr>
          <w:p w14:paraId="190908E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0AA7225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2" w:type="dxa"/>
            <w:noWrap/>
          </w:tcPr>
          <w:p w14:paraId="48DC513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31</w:t>
            </w:r>
          </w:p>
        </w:tc>
        <w:tc>
          <w:tcPr>
            <w:tcW w:w="741" w:type="dxa"/>
            <w:noWrap/>
          </w:tcPr>
          <w:p w14:paraId="4723C7D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w:t>
            </w:r>
          </w:p>
        </w:tc>
        <w:tc>
          <w:tcPr>
            <w:tcW w:w="742" w:type="dxa"/>
          </w:tcPr>
          <w:p w14:paraId="42B6C41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91</w:t>
            </w:r>
          </w:p>
        </w:tc>
        <w:tc>
          <w:tcPr>
            <w:tcW w:w="741" w:type="dxa"/>
          </w:tcPr>
          <w:p w14:paraId="788EAF8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tcPr>
          <w:p w14:paraId="14EFC45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r>
      <w:tr w:rsidR="00090EFB" w:rsidRPr="00A4536F" w14:paraId="30AF516E" w14:textId="77777777" w:rsidTr="00D524D4">
        <w:trPr>
          <w:trHeight w:val="245"/>
        </w:trPr>
        <w:tc>
          <w:tcPr>
            <w:cnfStyle w:val="001000000000" w:firstRow="0" w:lastRow="0" w:firstColumn="1" w:lastColumn="0" w:oddVBand="0" w:evenVBand="0" w:oddHBand="0" w:evenHBand="0" w:firstRowFirstColumn="0" w:firstRowLastColumn="0" w:lastRowFirstColumn="0" w:lastRowLastColumn="0"/>
            <w:tcW w:w="2411" w:type="dxa"/>
            <w:shd w:val="clear" w:color="auto" w:fill="DDDBED"/>
            <w:vAlign w:val="center"/>
          </w:tcPr>
          <w:p w14:paraId="6507C11D" w14:textId="77777777" w:rsidR="00315466" w:rsidRPr="00A4536F" w:rsidRDefault="001D4E15" w:rsidP="00E4398D">
            <w:pPr>
              <w:spacing w:before="0" w:after="120"/>
              <w:rPr>
                <w:rFonts w:cs="Calibri"/>
                <w:b w:val="0"/>
                <w:bCs w:val="0"/>
                <w:color w:val="auto"/>
                <w:szCs w:val="18"/>
              </w:rPr>
            </w:pPr>
            <w:r w:rsidRPr="00A4536F">
              <w:rPr>
                <w:rFonts w:cs="Calibri"/>
                <w:color w:val="auto"/>
                <w:szCs w:val="18"/>
              </w:rPr>
              <w:t>Plan Intl.  (Ethiopia)</w:t>
            </w:r>
          </w:p>
        </w:tc>
        <w:tc>
          <w:tcPr>
            <w:tcW w:w="1276" w:type="dxa"/>
            <w:shd w:val="clear" w:color="auto" w:fill="DDDBED"/>
          </w:tcPr>
          <w:p w14:paraId="75886EF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color w:val="auto"/>
                <w:szCs w:val="18"/>
              </w:rPr>
              <w:t>Tigray</w:t>
            </w:r>
          </w:p>
        </w:tc>
        <w:tc>
          <w:tcPr>
            <w:tcW w:w="1559" w:type="dxa"/>
            <w:shd w:val="clear" w:color="auto" w:fill="DDDBED"/>
          </w:tcPr>
          <w:p w14:paraId="0E16F0F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Ganta </w:t>
            </w:r>
            <w:proofErr w:type="spellStart"/>
            <w:r w:rsidRPr="00A4536F">
              <w:rPr>
                <w:rFonts w:cs="Calibri"/>
                <w:color w:val="auto"/>
                <w:szCs w:val="18"/>
              </w:rPr>
              <w:t>Afeshum</w:t>
            </w:r>
            <w:proofErr w:type="spellEnd"/>
          </w:p>
        </w:tc>
        <w:tc>
          <w:tcPr>
            <w:tcW w:w="741" w:type="dxa"/>
            <w:shd w:val="clear" w:color="auto" w:fill="DDDBED"/>
          </w:tcPr>
          <w:p w14:paraId="21274D1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7BC5FE0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5</w:t>
            </w:r>
          </w:p>
        </w:tc>
        <w:tc>
          <w:tcPr>
            <w:tcW w:w="742" w:type="dxa"/>
            <w:shd w:val="clear" w:color="auto" w:fill="DDDBED"/>
          </w:tcPr>
          <w:p w14:paraId="75AFC1C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72AA3B7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p>
        </w:tc>
        <w:tc>
          <w:tcPr>
            <w:tcW w:w="742" w:type="dxa"/>
            <w:shd w:val="clear" w:color="auto" w:fill="DDDBED"/>
          </w:tcPr>
          <w:p w14:paraId="07B869C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1" w:type="dxa"/>
            <w:shd w:val="clear" w:color="auto" w:fill="DDDBED"/>
          </w:tcPr>
          <w:p w14:paraId="48BDA7A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2" w:type="dxa"/>
            <w:shd w:val="clear" w:color="auto" w:fill="DDDBED"/>
          </w:tcPr>
          <w:p w14:paraId="2ED6187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1" w:type="dxa"/>
            <w:shd w:val="clear" w:color="auto" w:fill="DDDBED"/>
          </w:tcPr>
          <w:p w14:paraId="6674B8A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2" w:type="dxa"/>
            <w:shd w:val="clear" w:color="auto" w:fill="DDDBED"/>
            <w:noWrap/>
          </w:tcPr>
          <w:p w14:paraId="26DC1C4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17</w:t>
            </w:r>
          </w:p>
        </w:tc>
        <w:tc>
          <w:tcPr>
            <w:tcW w:w="741" w:type="dxa"/>
            <w:shd w:val="clear" w:color="auto" w:fill="DDDBED"/>
            <w:noWrap/>
          </w:tcPr>
          <w:p w14:paraId="6535D28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w:t>
            </w:r>
          </w:p>
        </w:tc>
        <w:tc>
          <w:tcPr>
            <w:tcW w:w="742" w:type="dxa"/>
            <w:shd w:val="clear" w:color="auto" w:fill="DDDBED"/>
          </w:tcPr>
          <w:p w14:paraId="5CDAF6E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77</w:t>
            </w:r>
          </w:p>
        </w:tc>
        <w:tc>
          <w:tcPr>
            <w:tcW w:w="741" w:type="dxa"/>
            <w:shd w:val="clear" w:color="auto" w:fill="DDDBED"/>
          </w:tcPr>
          <w:p w14:paraId="573F2F5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shd w:val="clear" w:color="auto" w:fill="DDDBED"/>
          </w:tcPr>
          <w:p w14:paraId="2E092A7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r>
      <w:tr w:rsidR="00090EFB" w:rsidRPr="00A4536F" w14:paraId="3428ED4C" w14:textId="77777777" w:rsidTr="00D524D4">
        <w:trPr>
          <w:trHeight w:val="277"/>
        </w:trPr>
        <w:tc>
          <w:tcPr>
            <w:cnfStyle w:val="001000000000" w:firstRow="0" w:lastRow="0" w:firstColumn="1" w:lastColumn="0" w:oddVBand="0" w:evenVBand="0" w:oddHBand="0" w:evenHBand="0" w:firstRowFirstColumn="0" w:firstRowLastColumn="0" w:lastRowFirstColumn="0" w:lastRowLastColumn="0"/>
            <w:tcW w:w="2411" w:type="dxa"/>
            <w:shd w:val="clear" w:color="auto" w:fill="DDDBED"/>
          </w:tcPr>
          <w:p w14:paraId="50D3AAE6" w14:textId="6A85E5C0" w:rsidR="00315466" w:rsidRPr="00A4536F" w:rsidRDefault="00BB472E" w:rsidP="00E4398D">
            <w:pPr>
              <w:spacing w:before="0" w:after="120"/>
              <w:rPr>
                <w:rFonts w:cs="Calibri"/>
                <w:b w:val="0"/>
                <w:bCs w:val="0"/>
                <w:color w:val="auto"/>
                <w:szCs w:val="18"/>
              </w:rPr>
            </w:pPr>
            <w:r w:rsidRPr="00A4536F">
              <w:rPr>
                <w:rFonts w:cs="Calibri"/>
                <w:color w:val="auto"/>
                <w:szCs w:val="18"/>
              </w:rPr>
              <w:t>Plan Intl.  (Ethiopia)</w:t>
            </w:r>
          </w:p>
        </w:tc>
        <w:tc>
          <w:tcPr>
            <w:tcW w:w="1276" w:type="dxa"/>
            <w:shd w:val="clear" w:color="auto" w:fill="DDDBED"/>
          </w:tcPr>
          <w:p w14:paraId="63500D66" w14:textId="0FA94580" w:rsidR="00315466" w:rsidRPr="00A4536F" w:rsidRDefault="00BB472E"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Tigray</w:t>
            </w:r>
          </w:p>
        </w:tc>
        <w:tc>
          <w:tcPr>
            <w:tcW w:w="1559" w:type="dxa"/>
          </w:tcPr>
          <w:p w14:paraId="111EE5B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Gulo </w:t>
            </w:r>
            <w:proofErr w:type="spellStart"/>
            <w:r w:rsidRPr="00A4536F">
              <w:rPr>
                <w:rFonts w:cs="Calibri"/>
                <w:color w:val="auto"/>
                <w:szCs w:val="18"/>
              </w:rPr>
              <w:t>Mekeda</w:t>
            </w:r>
            <w:proofErr w:type="spellEnd"/>
          </w:p>
        </w:tc>
        <w:tc>
          <w:tcPr>
            <w:tcW w:w="741" w:type="dxa"/>
          </w:tcPr>
          <w:p w14:paraId="695F40E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064A745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w:t>
            </w:r>
          </w:p>
        </w:tc>
        <w:tc>
          <w:tcPr>
            <w:tcW w:w="742" w:type="dxa"/>
          </w:tcPr>
          <w:p w14:paraId="715E79A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506D2CF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7</w:t>
            </w:r>
          </w:p>
        </w:tc>
        <w:tc>
          <w:tcPr>
            <w:tcW w:w="742" w:type="dxa"/>
          </w:tcPr>
          <w:p w14:paraId="0763F0E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1" w:type="dxa"/>
          </w:tcPr>
          <w:p w14:paraId="201DA59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2" w:type="dxa"/>
          </w:tcPr>
          <w:p w14:paraId="2C6632E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1" w:type="dxa"/>
          </w:tcPr>
          <w:p w14:paraId="67BB7F5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2" w:type="dxa"/>
            <w:noWrap/>
          </w:tcPr>
          <w:p w14:paraId="1F11FC8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17</w:t>
            </w:r>
          </w:p>
        </w:tc>
        <w:tc>
          <w:tcPr>
            <w:tcW w:w="741" w:type="dxa"/>
            <w:noWrap/>
          </w:tcPr>
          <w:p w14:paraId="1010EC6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w:t>
            </w:r>
          </w:p>
        </w:tc>
        <w:tc>
          <w:tcPr>
            <w:tcW w:w="742" w:type="dxa"/>
          </w:tcPr>
          <w:p w14:paraId="74492751"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77</w:t>
            </w:r>
          </w:p>
        </w:tc>
        <w:tc>
          <w:tcPr>
            <w:tcW w:w="741" w:type="dxa"/>
          </w:tcPr>
          <w:p w14:paraId="357645B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tcPr>
          <w:p w14:paraId="155D378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r>
      <w:tr w:rsidR="00090EFB" w:rsidRPr="00A4536F" w14:paraId="7A0AE548" w14:textId="77777777" w:rsidTr="00D524D4">
        <w:trPr>
          <w:trHeight w:val="450"/>
        </w:trPr>
        <w:tc>
          <w:tcPr>
            <w:cnfStyle w:val="001000000000" w:firstRow="0" w:lastRow="0" w:firstColumn="1" w:lastColumn="0" w:oddVBand="0" w:evenVBand="0" w:oddHBand="0" w:evenHBand="0" w:firstRowFirstColumn="0" w:firstRowLastColumn="0" w:lastRowFirstColumn="0" w:lastRowLastColumn="0"/>
            <w:tcW w:w="2411" w:type="dxa"/>
            <w:shd w:val="clear" w:color="auto" w:fill="DDDBED"/>
          </w:tcPr>
          <w:p w14:paraId="2124449E" w14:textId="2DCBF3F5" w:rsidR="00315466" w:rsidRPr="00A4536F" w:rsidRDefault="00BB472E" w:rsidP="00E4398D">
            <w:pPr>
              <w:spacing w:before="0" w:after="120"/>
              <w:rPr>
                <w:rFonts w:cs="Calibri"/>
                <w:b w:val="0"/>
                <w:bCs w:val="0"/>
                <w:color w:val="auto"/>
                <w:szCs w:val="18"/>
              </w:rPr>
            </w:pPr>
            <w:r w:rsidRPr="00A4536F">
              <w:rPr>
                <w:rFonts w:cs="Calibri"/>
                <w:color w:val="auto"/>
                <w:szCs w:val="18"/>
              </w:rPr>
              <w:t>Plan Intl.  (Ethiopia)</w:t>
            </w:r>
          </w:p>
        </w:tc>
        <w:tc>
          <w:tcPr>
            <w:tcW w:w="1276" w:type="dxa"/>
            <w:shd w:val="clear" w:color="auto" w:fill="DDDBED"/>
          </w:tcPr>
          <w:p w14:paraId="07692A3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color w:val="auto"/>
                <w:szCs w:val="18"/>
              </w:rPr>
              <w:t>Oromia</w:t>
            </w:r>
          </w:p>
        </w:tc>
        <w:tc>
          <w:tcPr>
            <w:tcW w:w="1559" w:type="dxa"/>
            <w:shd w:val="clear" w:color="auto" w:fill="DDDBED"/>
          </w:tcPr>
          <w:p w14:paraId="6885E23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proofErr w:type="spellStart"/>
            <w:r w:rsidRPr="00A4536F">
              <w:rPr>
                <w:rFonts w:cs="Calibri"/>
                <w:color w:val="auto"/>
                <w:szCs w:val="18"/>
              </w:rPr>
              <w:t>Yabelo</w:t>
            </w:r>
            <w:proofErr w:type="spellEnd"/>
          </w:p>
        </w:tc>
        <w:tc>
          <w:tcPr>
            <w:tcW w:w="741" w:type="dxa"/>
            <w:shd w:val="clear" w:color="auto" w:fill="DDDBED"/>
          </w:tcPr>
          <w:p w14:paraId="7343339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741EEDC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7</w:t>
            </w:r>
          </w:p>
        </w:tc>
        <w:tc>
          <w:tcPr>
            <w:tcW w:w="742" w:type="dxa"/>
            <w:shd w:val="clear" w:color="auto" w:fill="DDDBED"/>
          </w:tcPr>
          <w:p w14:paraId="61943DC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0F1424A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13</w:t>
            </w:r>
          </w:p>
        </w:tc>
        <w:tc>
          <w:tcPr>
            <w:tcW w:w="742" w:type="dxa"/>
            <w:shd w:val="clear" w:color="auto" w:fill="DDDBED"/>
          </w:tcPr>
          <w:p w14:paraId="12CF47E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741" w:type="dxa"/>
            <w:shd w:val="clear" w:color="auto" w:fill="DDDBED"/>
          </w:tcPr>
          <w:p w14:paraId="350640F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50</w:t>
            </w:r>
          </w:p>
        </w:tc>
        <w:tc>
          <w:tcPr>
            <w:tcW w:w="742" w:type="dxa"/>
            <w:shd w:val="clear" w:color="auto" w:fill="DDDBED"/>
          </w:tcPr>
          <w:p w14:paraId="4BF6E14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592C43D1"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51</w:t>
            </w:r>
          </w:p>
        </w:tc>
        <w:tc>
          <w:tcPr>
            <w:tcW w:w="742" w:type="dxa"/>
            <w:shd w:val="clear" w:color="auto" w:fill="DDDBED"/>
            <w:noWrap/>
          </w:tcPr>
          <w:p w14:paraId="1232948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126</w:t>
            </w:r>
          </w:p>
        </w:tc>
        <w:tc>
          <w:tcPr>
            <w:tcW w:w="741" w:type="dxa"/>
            <w:shd w:val="clear" w:color="auto" w:fill="DDDBED"/>
            <w:noWrap/>
          </w:tcPr>
          <w:p w14:paraId="3978AC3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w:t>
            </w:r>
          </w:p>
        </w:tc>
        <w:tc>
          <w:tcPr>
            <w:tcW w:w="742" w:type="dxa"/>
            <w:shd w:val="clear" w:color="auto" w:fill="DDDBED"/>
          </w:tcPr>
          <w:p w14:paraId="6573F4D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186</w:t>
            </w:r>
          </w:p>
        </w:tc>
        <w:tc>
          <w:tcPr>
            <w:tcW w:w="741" w:type="dxa"/>
            <w:shd w:val="clear" w:color="auto" w:fill="DDDBED"/>
          </w:tcPr>
          <w:p w14:paraId="2C85297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shd w:val="clear" w:color="auto" w:fill="DDDBED"/>
          </w:tcPr>
          <w:p w14:paraId="0B954F2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r>
      <w:tr w:rsidR="00090EFB" w:rsidRPr="00A4536F" w14:paraId="24852042" w14:textId="77777777" w:rsidTr="00D524D4">
        <w:trPr>
          <w:trHeight w:val="300"/>
        </w:trPr>
        <w:tc>
          <w:tcPr>
            <w:cnfStyle w:val="001000000000" w:firstRow="0" w:lastRow="0" w:firstColumn="1" w:lastColumn="0" w:oddVBand="0" w:evenVBand="0" w:oddHBand="0" w:evenHBand="0" w:firstRowFirstColumn="0" w:firstRowLastColumn="0" w:lastRowFirstColumn="0" w:lastRowLastColumn="0"/>
            <w:tcW w:w="2411" w:type="dxa"/>
            <w:shd w:val="clear" w:color="auto" w:fill="DDDBED"/>
          </w:tcPr>
          <w:p w14:paraId="0F0AF1FF" w14:textId="045AC57D" w:rsidR="00315466" w:rsidRPr="00A4536F" w:rsidRDefault="00BB472E" w:rsidP="00E4398D">
            <w:pPr>
              <w:spacing w:before="0" w:after="120"/>
              <w:rPr>
                <w:rFonts w:cs="Calibri"/>
                <w:b w:val="0"/>
                <w:bCs w:val="0"/>
                <w:color w:val="auto"/>
                <w:szCs w:val="18"/>
              </w:rPr>
            </w:pPr>
            <w:r w:rsidRPr="00A4536F">
              <w:rPr>
                <w:rFonts w:cs="Calibri"/>
                <w:color w:val="auto"/>
                <w:szCs w:val="18"/>
              </w:rPr>
              <w:t>Plan Intl.  (Ethiopia)</w:t>
            </w:r>
          </w:p>
        </w:tc>
        <w:tc>
          <w:tcPr>
            <w:tcW w:w="1276" w:type="dxa"/>
          </w:tcPr>
          <w:p w14:paraId="31F27A6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color w:val="auto"/>
                <w:szCs w:val="18"/>
              </w:rPr>
              <w:t>Somali</w:t>
            </w:r>
          </w:p>
        </w:tc>
        <w:tc>
          <w:tcPr>
            <w:tcW w:w="1559" w:type="dxa"/>
          </w:tcPr>
          <w:p w14:paraId="3E4EDF8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Moyale</w:t>
            </w:r>
          </w:p>
        </w:tc>
        <w:tc>
          <w:tcPr>
            <w:tcW w:w="741" w:type="dxa"/>
          </w:tcPr>
          <w:p w14:paraId="72E1AED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56FD001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w:t>
            </w:r>
          </w:p>
        </w:tc>
        <w:tc>
          <w:tcPr>
            <w:tcW w:w="742" w:type="dxa"/>
          </w:tcPr>
          <w:p w14:paraId="42F93C9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6E9706B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9</w:t>
            </w:r>
          </w:p>
        </w:tc>
        <w:tc>
          <w:tcPr>
            <w:tcW w:w="742" w:type="dxa"/>
          </w:tcPr>
          <w:p w14:paraId="32EA40E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5FC79E7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w:t>
            </w:r>
          </w:p>
        </w:tc>
        <w:tc>
          <w:tcPr>
            <w:tcW w:w="742" w:type="dxa"/>
          </w:tcPr>
          <w:p w14:paraId="081784A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tcPr>
          <w:p w14:paraId="094844A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15</w:t>
            </w:r>
          </w:p>
        </w:tc>
        <w:tc>
          <w:tcPr>
            <w:tcW w:w="742" w:type="dxa"/>
            <w:noWrap/>
          </w:tcPr>
          <w:p w14:paraId="347E4935"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50</w:t>
            </w:r>
          </w:p>
        </w:tc>
        <w:tc>
          <w:tcPr>
            <w:tcW w:w="741" w:type="dxa"/>
            <w:noWrap/>
          </w:tcPr>
          <w:p w14:paraId="6BCB32D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w:t>
            </w:r>
          </w:p>
        </w:tc>
        <w:tc>
          <w:tcPr>
            <w:tcW w:w="742" w:type="dxa"/>
          </w:tcPr>
          <w:p w14:paraId="6D6B6CD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110</w:t>
            </w:r>
          </w:p>
        </w:tc>
        <w:tc>
          <w:tcPr>
            <w:tcW w:w="741" w:type="dxa"/>
          </w:tcPr>
          <w:p w14:paraId="4D3AD65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tcPr>
          <w:p w14:paraId="653E5D1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r>
      <w:tr w:rsidR="00090EFB" w:rsidRPr="00A4536F" w14:paraId="05D0E550" w14:textId="77777777" w:rsidTr="00A436E9">
        <w:trPr>
          <w:trHeight w:val="300"/>
        </w:trPr>
        <w:tc>
          <w:tcPr>
            <w:cnfStyle w:val="001000000000" w:firstRow="0" w:lastRow="0" w:firstColumn="1" w:lastColumn="0" w:oddVBand="0" w:evenVBand="0" w:oddHBand="0" w:evenHBand="0" w:firstRowFirstColumn="0" w:firstRowLastColumn="0" w:lastRowFirstColumn="0" w:lastRowLastColumn="0"/>
            <w:tcW w:w="2411" w:type="dxa"/>
            <w:tcBorders>
              <w:bottom w:val="single" w:sz="4" w:space="0" w:color="auto"/>
            </w:tcBorders>
            <w:shd w:val="clear" w:color="auto" w:fill="DDDBED"/>
          </w:tcPr>
          <w:p w14:paraId="2233379B" w14:textId="29570AD4" w:rsidR="00315466" w:rsidRPr="00A4536F" w:rsidRDefault="00BB472E" w:rsidP="00E4398D">
            <w:pPr>
              <w:spacing w:before="0" w:after="120"/>
              <w:rPr>
                <w:rFonts w:cs="Calibri"/>
                <w:b w:val="0"/>
                <w:bCs w:val="0"/>
                <w:color w:val="auto"/>
                <w:szCs w:val="18"/>
              </w:rPr>
            </w:pPr>
            <w:r w:rsidRPr="00A4536F">
              <w:rPr>
                <w:rFonts w:cs="Calibri"/>
                <w:color w:val="auto"/>
                <w:szCs w:val="18"/>
              </w:rPr>
              <w:t>Plan Intl.  (Ethiopia)</w:t>
            </w:r>
          </w:p>
        </w:tc>
        <w:tc>
          <w:tcPr>
            <w:tcW w:w="1276" w:type="dxa"/>
            <w:tcBorders>
              <w:bottom w:val="single" w:sz="4" w:space="0" w:color="auto"/>
            </w:tcBorders>
          </w:tcPr>
          <w:p w14:paraId="21E8EE8E" w14:textId="622A79B2" w:rsidR="00315466" w:rsidRPr="00A4536F" w:rsidRDefault="00BB472E"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Somali</w:t>
            </w:r>
          </w:p>
        </w:tc>
        <w:tc>
          <w:tcPr>
            <w:tcW w:w="1559" w:type="dxa"/>
            <w:tcBorders>
              <w:bottom w:val="single" w:sz="4" w:space="0" w:color="auto"/>
            </w:tcBorders>
            <w:shd w:val="clear" w:color="auto" w:fill="DDDBED"/>
          </w:tcPr>
          <w:p w14:paraId="00148EB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proofErr w:type="spellStart"/>
            <w:r w:rsidRPr="00A4536F">
              <w:rPr>
                <w:rFonts w:cs="Calibri"/>
                <w:color w:val="auto"/>
                <w:szCs w:val="18"/>
              </w:rPr>
              <w:t>Qada</w:t>
            </w:r>
            <w:proofErr w:type="spellEnd"/>
            <w:r w:rsidRPr="00A4536F">
              <w:rPr>
                <w:rFonts w:cs="Calibri"/>
                <w:color w:val="auto"/>
                <w:szCs w:val="18"/>
              </w:rPr>
              <w:t xml:space="preserve"> Duma</w:t>
            </w:r>
          </w:p>
        </w:tc>
        <w:tc>
          <w:tcPr>
            <w:tcW w:w="741" w:type="dxa"/>
            <w:shd w:val="clear" w:color="auto" w:fill="DDDBED"/>
          </w:tcPr>
          <w:p w14:paraId="2FB4914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3D35EF2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5</w:t>
            </w:r>
          </w:p>
        </w:tc>
        <w:tc>
          <w:tcPr>
            <w:tcW w:w="742" w:type="dxa"/>
            <w:shd w:val="clear" w:color="auto" w:fill="DDDBED"/>
          </w:tcPr>
          <w:p w14:paraId="59240ED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575A5B5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w:t>
            </w:r>
          </w:p>
        </w:tc>
        <w:tc>
          <w:tcPr>
            <w:tcW w:w="742" w:type="dxa"/>
            <w:shd w:val="clear" w:color="auto" w:fill="DDDBED"/>
          </w:tcPr>
          <w:p w14:paraId="406F27D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035954E1"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p>
        </w:tc>
        <w:tc>
          <w:tcPr>
            <w:tcW w:w="742" w:type="dxa"/>
            <w:shd w:val="clear" w:color="auto" w:fill="DDDBED"/>
          </w:tcPr>
          <w:p w14:paraId="1519FE6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741" w:type="dxa"/>
            <w:shd w:val="clear" w:color="auto" w:fill="DDDBED"/>
          </w:tcPr>
          <w:p w14:paraId="2142686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10</w:t>
            </w:r>
          </w:p>
        </w:tc>
        <w:tc>
          <w:tcPr>
            <w:tcW w:w="742" w:type="dxa"/>
            <w:shd w:val="clear" w:color="auto" w:fill="DDDBED"/>
            <w:noWrap/>
          </w:tcPr>
          <w:p w14:paraId="0BABF1D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37</w:t>
            </w:r>
          </w:p>
        </w:tc>
        <w:tc>
          <w:tcPr>
            <w:tcW w:w="741" w:type="dxa"/>
            <w:shd w:val="clear" w:color="auto" w:fill="DDDBED"/>
            <w:noWrap/>
          </w:tcPr>
          <w:p w14:paraId="5E6A78D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w:t>
            </w:r>
          </w:p>
        </w:tc>
        <w:tc>
          <w:tcPr>
            <w:tcW w:w="742" w:type="dxa"/>
            <w:shd w:val="clear" w:color="auto" w:fill="DDDBED"/>
          </w:tcPr>
          <w:p w14:paraId="35AA838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97</w:t>
            </w:r>
          </w:p>
        </w:tc>
        <w:tc>
          <w:tcPr>
            <w:tcW w:w="741" w:type="dxa"/>
            <w:shd w:val="clear" w:color="auto" w:fill="DDDBED"/>
          </w:tcPr>
          <w:p w14:paraId="6983DCE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742" w:type="dxa"/>
            <w:shd w:val="clear" w:color="auto" w:fill="DDDBED"/>
          </w:tcPr>
          <w:p w14:paraId="02BF73F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r>
      <w:tr w:rsidR="00090EFB" w:rsidRPr="00A4536F" w14:paraId="4498B7CE" w14:textId="77777777" w:rsidTr="00A436E9">
        <w:trPr>
          <w:trHeight w:val="290"/>
        </w:trPr>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auto"/>
              <w:left w:val="single" w:sz="4" w:space="0" w:color="auto"/>
              <w:bottom w:val="single" w:sz="4" w:space="0" w:color="auto"/>
              <w:right w:val="nil"/>
            </w:tcBorders>
          </w:tcPr>
          <w:p w14:paraId="39F9D6FA" w14:textId="0DD11334" w:rsidR="00315466" w:rsidRPr="00D524D4" w:rsidRDefault="00A436E9" w:rsidP="00E4398D">
            <w:pPr>
              <w:spacing w:before="0" w:after="120"/>
              <w:rPr>
                <w:rFonts w:cs="Calibri"/>
                <w:color w:val="auto"/>
                <w:szCs w:val="18"/>
              </w:rPr>
            </w:pPr>
            <w:r>
              <w:rPr>
                <w:rFonts w:cs="Calibri"/>
                <w:color w:val="auto"/>
                <w:szCs w:val="18"/>
              </w:rPr>
              <w:t>Evaluation</w:t>
            </w:r>
          </w:p>
        </w:tc>
        <w:tc>
          <w:tcPr>
            <w:tcW w:w="1276" w:type="dxa"/>
            <w:tcBorders>
              <w:top w:val="single" w:sz="4" w:space="0" w:color="auto"/>
              <w:left w:val="nil"/>
              <w:bottom w:val="single" w:sz="4" w:space="0" w:color="auto"/>
              <w:right w:val="nil"/>
            </w:tcBorders>
            <w:noWrap/>
          </w:tcPr>
          <w:p w14:paraId="40B90609" w14:textId="0EF2574C" w:rsidR="00315466" w:rsidRPr="00A4536F" w:rsidRDefault="00A436E9"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Pr>
                <w:rFonts w:cs="Calibri"/>
                <w:b/>
                <w:bCs/>
                <w:color w:val="auto"/>
                <w:szCs w:val="18"/>
              </w:rPr>
              <w:t>Sample</w:t>
            </w:r>
          </w:p>
        </w:tc>
        <w:tc>
          <w:tcPr>
            <w:tcW w:w="1559" w:type="dxa"/>
            <w:tcBorders>
              <w:top w:val="single" w:sz="4" w:space="0" w:color="auto"/>
              <w:left w:val="nil"/>
              <w:bottom w:val="single" w:sz="4" w:space="0" w:color="auto"/>
              <w:right w:val="single" w:sz="4" w:space="0" w:color="auto"/>
            </w:tcBorders>
            <w:noWrap/>
          </w:tcPr>
          <w:p w14:paraId="15294DEE" w14:textId="4A598077" w:rsidR="00315466" w:rsidRPr="00A4536F" w:rsidRDefault="00A436E9"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Pr>
                <w:rFonts w:cs="Calibri"/>
                <w:b/>
                <w:bCs/>
                <w:color w:val="auto"/>
                <w:szCs w:val="18"/>
              </w:rPr>
              <w:t>Totals</w:t>
            </w:r>
          </w:p>
        </w:tc>
        <w:tc>
          <w:tcPr>
            <w:tcW w:w="741" w:type="dxa"/>
            <w:tcBorders>
              <w:left w:val="single" w:sz="4" w:space="0" w:color="auto"/>
            </w:tcBorders>
            <w:noWrap/>
          </w:tcPr>
          <w:p w14:paraId="6C9F61F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t>22</w:t>
            </w:r>
          </w:p>
        </w:tc>
        <w:tc>
          <w:tcPr>
            <w:tcW w:w="741" w:type="dxa"/>
            <w:noWrap/>
          </w:tcPr>
          <w:p w14:paraId="397D93D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t>52</w:t>
            </w:r>
          </w:p>
        </w:tc>
        <w:tc>
          <w:tcPr>
            <w:tcW w:w="742" w:type="dxa"/>
            <w:noWrap/>
          </w:tcPr>
          <w:p w14:paraId="219DCD51"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t>24</w:t>
            </w:r>
          </w:p>
        </w:tc>
        <w:tc>
          <w:tcPr>
            <w:tcW w:w="741" w:type="dxa"/>
            <w:noWrap/>
          </w:tcPr>
          <w:p w14:paraId="3DDA5BF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t>128</w:t>
            </w:r>
          </w:p>
        </w:tc>
        <w:tc>
          <w:tcPr>
            <w:tcW w:w="742" w:type="dxa"/>
            <w:noWrap/>
          </w:tcPr>
          <w:p w14:paraId="7D06EDC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t>12</w:t>
            </w:r>
          </w:p>
        </w:tc>
        <w:tc>
          <w:tcPr>
            <w:tcW w:w="741" w:type="dxa"/>
            <w:noWrap/>
          </w:tcPr>
          <w:p w14:paraId="0DDC6CA5"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t>84</w:t>
            </w:r>
          </w:p>
        </w:tc>
        <w:tc>
          <w:tcPr>
            <w:tcW w:w="742" w:type="dxa"/>
            <w:noWrap/>
          </w:tcPr>
          <w:p w14:paraId="5C40B3E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t>15</w:t>
            </w:r>
          </w:p>
        </w:tc>
        <w:tc>
          <w:tcPr>
            <w:tcW w:w="741" w:type="dxa"/>
            <w:noWrap/>
          </w:tcPr>
          <w:p w14:paraId="3942AD7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t>91</w:t>
            </w:r>
          </w:p>
        </w:tc>
        <w:tc>
          <w:tcPr>
            <w:tcW w:w="742" w:type="dxa"/>
            <w:noWrap/>
          </w:tcPr>
          <w:p w14:paraId="4E04799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t>429</w:t>
            </w:r>
          </w:p>
        </w:tc>
        <w:tc>
          <w:tcPr>
            <w:tcW w:w="741" w:type="dxa"/>
            <w:noWrap/>
          </w:tcPr>
          <w:p w14:paraId="1CB8FF1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t>660</w:t>
            </w:r>
          </w:p>
        </w:tc>
        <w:tc>
          <w:tcPr>
            <w:tcW w:w="742" w:type="dxa"/>
          </w:tcPr>
          <w:p w14:paraId="001E73B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t>1089</w:t>
            </w:r>
          </w:p>
        </w:tc>
        <w:tc>
          <w:tcPr>
            <w:tcW w:w="741" w:type="dxa"/>
          </w:tcPr>
          <w:p w14:paraId="2B49F7F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fldChar w:fldCharType="begin"/>
            </w:r>
            <w:r w:rsidRPr="00A4536F">
              <w:rPr>
                <w:rFonts w:cs="Calibri"/>
                <w:b/>
                <w:bCs/>
                <w:color w:val="auto"/>
                <w:szCs w:val="18"/>
              </w:rPr>
              <w:instrText xml:space="preserve"> =SUM(ABOVE) </w:instrText>
            </w:r>
            <w:r w:rsidRPr="00A4536F">
              <w:rPr>
                <w:rFonts w:cs="Calibri"/>
                <w:b/>
                <w:bCs/>
                <w:color w:val="auto"/>
                <w:szCs w:val="18"/>
              </w:rPr>
              <w:fldChar w:fldCharType="separate"/>
            </w:r>
            <w:r w:rsidRPr="00A4536F">
              <w:rPr>
                <w:rFonts w:cs="Calibri"/>
                <w:b/>
                <w:bCs/>
                <w:color w:val="auto"/>
                <w:szCs w:val="18"/>
              </w:rPr>
              <w:t>52</w:t>
            </w:r>
            <w:r w:rsidRPr="00A4536F">
              <w:rPr>
                <w:rFonts w:cs="Calibri"/>
                <w:b/>
                <w:bCs/>
                <w:color w:val="auto"/>
                <w:szCs w:val="18"/>
              </w:rPr>
              <w:fldChar w:fldCharType="end"/>
            </w:r>
          </w:p>
        </w:tc>
        <w:tc>
          <w:tcPr>
            <w:tcW w:w="742" w:type="dxa"/>
          </w:tcPr>
          <w:p w14:paraId="4FBA995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A4536F">
              <w:rPr>
                <w:rFonts w:cs="Calibri"/>
                <w:b/>
                <w:bCs/>
                <w:color w:val="auto"/>
                <w:szCs w:val="18"/>
              </w:rPr>
              <w:fldChar w:fldCharType="begin"/>
            </w:r>
            <w:r w:rsidRPr="00A4536F">
              <w:rPr>
                <w:rFonts w:cs="Calibri"/>
                <w:b/>
                <w:bCs/>
                <w:color w:val="auto"/>
                <w:szCs w:val="18"/>
              </w:rPr>
              <w:instrText xml:space="preserve"> =SUM(ABOVE) </w:instrText>
            </w:r>
            <w:r w:rsidRPr="00A4536F">
              <w:rPr>
                <w:rFonts w:cs="Calibri"/>
                <w:b/>
                <w:bCs/>
                <w:color w:val="auto"/>
                <w:szCs w:val="18"/>
              </w:rPr>
              <w:fldChar w:fldCharType="separate"/>
            </w:r>
            <w:r w:rsidRPr="00A4536F">
              <w:rPr>
                <w:rFonts w:cs="Calibri"/>
                <w:b/>
                <w:bCs/>
                <w:color w:val="auto"/>
                <w:szCs w:val="18"/>
              </w:rPr>
              <w:t>26</w:t>
            </w:r>
            <w:r w:rsidRPr="00A4536F">
              <w:rPr>
                <w:rFonts w:cs="Calibri"/>
                <w:b/>
                <w:bCs/>
                <w:color w:val="auto"/>
                <w:szCs w:val="18"/>
              </w:rPr>
              <w:fldChar w:fldCharType="end"/>
            </w:r>
          </w:p>
        </w:tc>
      </w:tr>
    </w:tbl>
    <w:p w14:paraId="792D9BBA" w14:textId="77777777" w:rsidR="00315466" w:rsidRPr="00A4536F" w:rsidRDefault="00315466" w:rsidP="00A07969"/>
    <w:p w14:paraId="1CE10945" w14:textId="77777777" w:rsidR="00315466" w:rsidRPr="00A4536F" w:rsidRDefault="00315466" w:rsidP="00E4398D">
      <w:pPr>
        <w:spacing w:before="0" w:after="120"/>
        <w:rPr>
          <w:rFonts w:cs="Calibri"/>
          <w:color w:val="auto"/>
          <w:szCs w:val="18"/>
        </w:rPr>
        <w:sectPr w:rsidR="00315466" w:rsidRPr="00A4536F">
          <w:pgSz w:w="16838" w:h="11906" w:orient="landscape"/>
          <w:pgMar w:top="1440" w:right="1440" w:bottom="1440" w:left="1440" w:header="708" w:footer="708" w:gutter="0"/>
          <w:cols w:space="708"/>
          <w:docGrid w:linePitch="360"/>
        </w:sectPr>
      </w:pPr>
    </w:p>
    <w:p w14:paraId="7BAC5E18" w14:textId="618055A8" w:rsidR="00315466" w:rsidRPr="00A4536F" w:rsidRDefault="001D4E15" w:rsidP="00E4398D">
      <w:pPr>
        <w:spacing w:before="0" w:after="120"/>
        <w:rPr>
          <w:rFonts w:cs="Calibri"/>
          <w:color w:val="auto"/>
          <w:szCs w:val="18"/>
        </w:rPr>
      </w:pPr>
      <w:r w:rsidRPr="00A4536F">
        <w:rPr>
          <w:rFonts w:cs="Calibri"/>
          <w:b/>
          <w:bCs/>
          <w:color w:val="auto"/>
          <w:szCs w:val="18"/>
        </w:rPr>
        <w:lastRenderedPageBreak/>
        <w:t xml:space="preserve">Key Informants: </w:t>
      </w:r>
      <w:r w:rsidRPr="00A4536F">
        <w:rPr>
          <w:rFonts w:cs="Calibri"/>
          <w:color w:val="auto"/>
          <w:szCs w:val="18"/>
        </w:rPr>
        <w:t xml:space="preserve">A purposive sampling strategy was used to select key informants. These were selected based on their in-depth knowledge, diverse experiences related to AHP interventions, involvement in the project, and expertise in relevant areas, ensuring a broad range of viewpoints and valuable insights into the implementation and outcomes of the interventions. See Table </w:t>
      </w:r>
      <w:r w:rsidR="00BF03A5">
        <w:rPr>
          <w:rFonts w:cs="Calibri"/>
          <w:color w:val="auto"/>
          <w:szCs w:val="18"/>
        </w:rPr>
        <w:t>2</w:t>
      </w:r>
      <w:r w:rsidRPr="00A4536F">
        <w:rPr>
          <w:rFonts w:cs="Calibri"/>
          <w:color w:val="auto"/>
          <w:szCs w:val="18"/>
        </w:rPr>
        <w:t xml:space="preserve"> for the key informants that participated in the evaluation by category and region.</w:t>
      </w:r>
    </w:p>
    <w:p w14:paraId="1EA2A812" w14:textId="6C05E9D1" w:rsidR="00315466" w:rsidRPr="00A4536F" w:rsidRDefault="001D4E15" w:rsidP="00E4398D">
      <w:pPr>
        <w:pStyle w:val="Caption"/>
        <w:keepNext/>
        <w:spacing w:after="120" w:line="276" w:lineRule="auto"/>
        <w:jc w:val="left"/>
        <w:rPr>
          <w:rFonts w:cs="Calibri"/>
          <w:color w:val="auto"/>
        </w:rPr>
      </w:pPr>
      <w:bookmarkStart w:id="48" w:name="_Toc170415433"/>
      <w:r w:rsidRPr="00A4536F">
        <w:rPr>
          <w:rFonts w:cs="Calibri"/>
          <w:color w:val="auto"/>
        </w:rPr>
        <w:t xml:space="preserve">Table </w:t>
      </w:r>
      <w:r w:rsidR="002419AD">
        <w:rPr>
          <w:rFonts w:cs="Calibri"/>
          <w:color w:val="auto"/>
        </w:rPr>
        <w:t>2</w:t>
      </w:r>
      <w:r w:rsidRPr="00A4536F">
        <w:rPr>
          <w:rFonts w:cs="Calibri"/>
          <w:color w:val="auto"/>
        </w:rPr>
        <w:t>: Key informants Interviews by category, by region</w:t>
      </w:r>
      <w:bookmarkEnd w:id="48"/>
    </w:p>
    <w:tbl>
      <w:tblPr>
        <w:tblStyle w:val="GridTable4-Accent11"/>
        <w:tblW w:w="8887" w:type="dxa"/>
        <w:tblLayout w:type="fixed"/>
        <w:tblLook w:val="04A0" w:firstRow="1" w:lastRow="0" w:firstColumn="1" w:lastColumn="0" w:noHBand="0" w:noVBand="1"/>
      </w:tblPr>
      <w:tblGrid>
        <w:gridCol w:w="2263"/>
        <w:gridCol w:w="1733"/>
        <w:gridCol w:w="1669"/>
        <w:gridCol w:w="1591"/>
        <w:gridCol w:w="1631"/>
      </w:tblGrid>
      <w:tr w:rsidR="00090EFB" w:rsidRPr="00A4536F" w14:paraId="12870400" w14:textId="77777777" w:rsidTr="00CF3C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1167D00" w14:textId="77777777" w:rsidR="00315466" w:rsidRPr="00A4536F" w:rsidRDefault="001D4E15" w:rsidP="00E4398D">
            <w:pPr>
              <w:spacing w:before="0" w:after="120"/>
              <w:rPr>
                <w:rFonts w:cs="Calibri"/>
                <w:b w:val="0"/>
                <w:bCs w:val="0"/>
                <w:color w:val="auto"/>
                <w:szCs w:val="18"/>
              </w:rPr>
            </w:pPr>
            <w:r w:rsidRPr="00A4536F">
              <w:rPr>
                <w:rFonts w:cs="Calibri"/>
                <w:color w:val="auto"/>
                <w:szCs w:val="18"/>
              </w:rPr>
              <w:t>Project</w:t>
            </w:r>
          </w:p>
        </w:tc>
        <w:tc>
          <w:tcPr>
            <w:tcW w:w="1733" w:type="dxa"/>
            <w:shd w:val="clear" w:color="auto" w:fill="FFFFFF" w:themeFill="background1"/>
          </w:tcPr>
          <w:p w14:paraId="36C64743" w14:textId="77777777" w:rsidR="00315466" w:rsidRPr="00A4536F" w:rsidRDefault="001D4E15" w:rsidP="00E4398D">
            <w:pPr>
              <w:spacing w:before="0" w:after="120"/>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Region</w:t>
            </w:r>
          </w:p>
        </w:tc>
        <w:tc>
          <w:tcPr>
            <w:tcW w:w="1669" w:type="dxa"/>
            <w:shd w:val="clear" w:color="auto" w:fill="FFFFFF" w:themeFill="background1"/>
          </w:tcPr>
          <w:p w14:paraId="6FA89C25" w14:textId="77777777" w:rsidR="00315466" w:rsidRPr="00A4536F" w:rsidRDefault="001D4E15" w:rsidP="00E4398D">
            <w:pPr>
              <w:spacing w:before="0" w:after="120"/>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Implementing organisations</w:t>
            </w:r>
          </w:p>
        </w:tc>
        <w:tc>
          <w:tcPr>
            <w:tcW w:w="1591" w:type="dxa"/>
            <w:shd w:val="clear" w:color="auto" w:fill="FFFFFF" w:themeFill="background1"/>
          </w:tcPr>
          <w:p w14:paraId="327B2A3C" w14:textId="77777777" w:rsidR="00315466" w:rsidRPr="00A4536F" w:rsidRDefault="001D4E15" w:rsidP="00E4398D">
            <w:pPr>
              <w:spacing w:before="0" w:after="120"/>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Government staff</w:t>
            </w:r>
          </w:p>
        </w:tc>
        <w:tc>
          <w:tcPr>
            <w:tcW w:w="1631" w:type="dxa"/>
            <w:shd w:val="clear" w:color="auto" w:fill="FFFFFF" w:themeFill="background1"/>
          </w:tcPr>
          <w:p w14:paraId="3A0FFDC3" w14:textId="77777777" w:rsidR="00315466" w:rsidRPr="00A4536F" w:rsidRDefault="001D4E15" w:rsidP="00E4398D">
            <w:pPr>
              <w:spacing w:before="0" w:after="120"/>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Total</w:t>
            </w:r>
          </w:p>
        </w:tc>
      </w:tr>
      <w:tr w:rsidR="00090EFB" w:rsidRPr="00A4536F" w14:paraId="6EE44D61" w14:textId="77777777" w:rsidTr="00CF3C02">
        <w:trPr>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0B12587" w14:textId="77777777" w:rsidR="00315466" w:rsidRPr="00A4536F" w:rsidRDefault="001D4E15" w:rsidP="00E4398D">
            <w:pPr>
              <w:spacing w:before="0" w:after="120"/>
              <w:rPr>
                <w:rFonts w:cs="Calibri"/>
                <w:b w:val="0"/>
                <w:bCs w:val="0"/>
                <w:color w:val="auto"/>
                <w:szCs w:val="18"/>
              </w:rPr>
            </w:pPr>
            <w:r w:rsidRPr="00A4536F">
              <w:rPr>
                <w:rFonts w:cs="Calibri"/>
                <w:color w:val="auto"/>
                <w:szCs w:val="18"/>
              </w:rPr>
              <w:t>Plan Intl. (Ethiopia)</w:t>
            </w:r>
          </w:p>
        </w:tc>
        <w:tc>
          <w:tcPr>
            <w:tcW w:w="1733" w:type="dxa"/>
            <w:shd w:val="clear" w:color="auto" w:fill="FFFFFF" w:themeFill="background1"/>
          </w:tcPr>
          <w:p w14:paraId="06F9885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Oromia Region </w:t>
            </w:r>
          </w:p>
        </w:tc>
        <w:tc>
          <w:tcPr>
            <w:tcW w:w="1669" w:type="dxa"/>
            <w:shd w:val="clear" w:color="auto" w:fill="FFFFFF" w:themeFill="background1"/>
            <w:vAlign w:val="center"/>
          </w:tcPr>
          <w:p w14:paraId="2DF0DC82"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w:t>
            </w:r>
          </w:p>
        </w:tc>
        <w:tc>
          <w:tcPr>
            <w:tcW w:w="1591" w:type="dxa"/>
            <w:shd w:val="clear" w:color="auto" w:fill="FFFFFF" w:themeFill="background1"/>
            <w:vAlign w:val="center"/>
          </w:tcPr>
          <w:p w14:paraId="0C482BB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1631" w:type="dxa"/>
            <w:shd w:val="clear" w:color="auto" w:fill="FFFFFF" w:themeFill="background1"/>
            <w:vAlign w:val="center"/>
          </w:tcPr>
          <w:p w14:paraId="47C1BFB5"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w:t>
            </w:r>
          </w:p>
        </w:tc>
      </w:tr>
      <w:tr w:rsidR="00090EFB" w:rsidRPr="00A4536F" w14:paraId="33800B1B" w14:textId="77777777" w:rsidTr="00CF3C02">
        <w:trPr>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47797F25" w14:textId="311C5F20" w:rsidR="00315466" w:rsidRPr="00A4536F" w:rsidRDefault="00BB472E" w:rsidP="00E4398D">
            <w:pPr>
              <w:spacing w:before="0" w:after="120"/>
              <w:rPr>
                <w:rFonts w:cs="Calibri"/>
                <w:color w:val="auto"/>
                <w:szCs w:val="18"/>
              </w:rPr>
            </w:pPr>
            <w:r w:rsidRPr="00A4536F">
              <w:rPr>
                <w:rFonts w:cs="Calibri"/>
                <w:color w:val="auto"/>
                <w:szCs w:val="18"/>
              </w:rPr>
              <w:t>Plan Intl. (Ethiopia)</w:t>
            </w:r>
          </w:p>
        </w:tc>
        <w:tc>
          <w:tcPr>
            <w:tcW w:w="1733" w:type="dxa"/>
            <w:shd w:val="clear" w:color="auto" w:fill="FFFFFF" w:themeFill="background1"/>
          </w:tcPr>
          <w:p w14:paraId="1B0F807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Somali Region</w:t>
            </w:r>
          </w:p>
        </w:tc>
        <w:tc>
          <w:tcPr>
            <w:tcW w:w="1669" w:type="dxa"/>
            <w:shd w:val="clear" w:color="auto" w:fill="FFFFFF" w:themeFill="background1"/>
            <w:vAlign w:val="center"/>
          </w:tcPr>
          <w:p w14:paraId="3CC1114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w:t>
            </w:r>
          </w:p>
        </w:tc>
        <w:tc>
          <w:tcPr>
            <w:tcW w:w="1591" w:type="dxa"/>
            <w:shd w:val="clear" w:color="auto" w:fill="FFFFFF" w:themeFill="background1"/>
            <w:vAlign w:val="center"/>
          </w:tcPr>
          <w:p w14:paraId="55C0B0C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5</w:t>
            </w:r>
          </w:p>
        </w:tc>
        <w:tc>
          <w:tcPr>
            <w:tcW w:w="1631" w:type="dxa"/>
            <w:shd w:val="clear" w:color="auto" w:fill="FFFFFF" w:themeFill="background1"/>
            <w:vAlign w:val="center"/>
          </w:tcPr>
          <w:p w14:paraId="5C4A8FE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w:t>
            </w:r>
          </w:p>
        </w:tc>
      </w:tr>
      <w:tr w:rsidR="00090EFB" w:rsidRPr="00A4536F" w14:paraId="2A425FBB" w14:textId="77777777" w:rsidTr="00CF3C02">
        <w:trPr>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5236D164" w14:textId="287A1D74" w:rsidR="00315466" w:rsidRPr="00A4536F" w:rsidRDefault="00BB472E" w:rsidP="00E4398D">
            <w:pPr>
              <w:spacing w:before="0" w:after="120"/>
              <w:rPr>
                <w:rFonts w:cs="Calibri"/>
                <w:color w:val="auto"/>
                <w:szCs w:val="18"/>
              </w:rPr>
            </w:pPr>
            <w:r w:rsidRPr="00A4536F">
              <w:rPr>
                <w:rFonts w:cs="Calibri"/>
                <w:color w:val="auto"/>
                <w:szCs w:val="18"/>
              </w:rPr>
              <w:t>Plan Intl. (Ethiopia)</w:t>
            </w:r>
          </w:p>
        </w:tc>
        <w:tc>
          <w:tcPr>
            <w:tcW w:w="1733" w:type="dxa"/>
            <w:shd w:val="clear" w:color="auto" w:fill="FFFFFF" w:themeFill="background1"/>
          </w:tcPr>
          <w:p w14:paraId="1C0BC73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Tigray region</w:t>
            </w:r>
          </w:p>
        </w:tc>
        <w:tc>
          <w:tcPr>
            <w:tcW w:w="1669" w:type="dxa"/>
            <w:shd w:val="clear" w:color="auto" w:fill="FFFFFF" w:themeFill="background1"/>
            <w:vAlign w:val="center"/>
          </w:tcPr>
          <w:p w14:paraId="0AE6535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1591" w:type="dxa"/>
            <w:shd w:val="clear" w:color="auto" w:fill="FFFFFF" w:themeFill="background1"/>
            <w:vAlign w:val="center"/>
          </w:tcPr>
          <w:p w14:paraId="4116DEB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5</w:t>
            </w:r>
          </w:p>
        </w:tc>
        <w:tc>
          <w:tcPr>
            <w:tcW w:w="1631" w:type="dxa"/>
            <w:shd w:val="clear" w:color="auto" w:fill="FFFFFF" w:themeFill="background1"/>
            <w:vAlign w:val="center"/>
          </w:tcPr>
          <w:p w14:paraId="256B8E6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7</w:t>
            </w:r>
          </w:p>
        </w:tc>
      </w:tr>
      <w:tr w:rsidR="00090EFB" w:rsidRPr="00A4536F" w14:paraId="6B14EECD" w14:textId="77777777" w:rsidTr="00CF3C02">
        <w:trPr>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4F5F54C3" w14:textId="77777777" w:rsidR="00315466" w:rsidRPr="00A4536F" w:rsidRDefault="001D4E15" w:rsidP="00E4398D">
            <w:pPr>
              <w:spacing w:before="0" w:after="120"/>
              <w:rPr>
                <w:rFonts w:cs="Calibri"/>
                <w:b w:val="0"/>
                <w:bCs w:val="0"/>
                <w:color w:val="auto"/>
                <w:szCs w:val="18"/>
              </w:rPr>
            </w:pPr>
            <w:r w:rsidRPr="00A4536F">
              <w:rPr>
                <w:rFonts w:cs="Calibri"/>
                <w:color w:val="auto"/>
                <w:szCs w:val="18"/>
              </w:rPr>
              <w:t>Oxfam (Ethiopia)</w:t>
            </w:r>
          </w:p>
        </w:tc>
        <w:tc>
          <w:tcPr>
            <w:tcW w:w="1733" w:type="dxa"/>
            <w:shd w:val="clear" w:color="auto" w:fill="FFFFFF" w:themeFill="background1"/>
          </w:tcPr>
          <w:p w14:paraId="17438FC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Afar Region</w:t>
            </w:r>
          </w:p>
        </w:tc>
        <w:tc>
          <w:tcPr>
            <w:tcW w:w="1669" w:type="dxa"/>
            <w:shd w:val="clear" w:color="auto" w:fill="FFFFFF" w:themeFill="background1"/>
            <w:vAlign w:val="center"/>
          </w:tcPr>
          <w:p w14:paraId="15EFEEC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0</w:t>
            </w:r>
          </w:p>
        </w:tc>
        <w:tc>
          <w:tcPr>
            <w:tcW w:w="1591" w:type="dxa"/>
            <w:shd w:val="clear" w:color="auto" w:fill="FFFFFF" w:themeFill="background1"/>
            <w:vAlign w:val="center"/>
          </w:tcPr>
          <w:p w14:paraId="30A8438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1631" w:type="dxa"/>
            <w:shd w:val="clear" w:color="auto" w:fill="FFFFFF" w:themeFill="background1"/>
            <w:vAlign w:val="center"/>
          </w:tcPr>
          <w:p w14:paraId="42344A5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r>
      <w:tr w:rsidR="00090EFB" w:rsidRPr="00A4536F" w14:paraId="5F80F460" w14:textId="77777777" w:rsidTr="00CF3C02">
        <w:trPr>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1D1A30B3" w14:textId="196FF045" w:rsidR="00315466" w:rsidRPr="00A4536F" w:rsidRDefault="00BB472E" w:rsidP="00E4398D">
            <w:pPr>
              <w:spacing w:before="0" w:after="120"/>
              <w:rPr>
                <w:rFonts w:cs="Calibri"/>
                <w:color w:val="auto"/>
                <w:szCs w:val="18"/>
              </w:rPr>
            </w:pPr>
            <w:r w:rsidRPr="00A4536F">
              <w:rPr>
                <w:rFonts w:cs="Calibri"/>
                <w:color w:val="auto"/>
                <w:szCs w:val="18"/>
              </w:rPr>
              <w:t>Oxfam (Ethiopia)</w:t>
            </w:r>
          </w:p>
        </w:tc>
        <w:tc>
          <w:tcPr>
            <w:tcW w:w="1733" w:type="dxa"/>
            <w:shd w:val="clear" w:color="auto" w:fill="FFFFFF" w:themeFill="background1"/>
          </w:tcPr>
          <w:p w14:paraId="10CB112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Amhara Region</w:t>
            </w:r>
          </w:p>
        </w:tc>
        <w:tc>
          <w:tcPr>
            <w:tcW w:w="1669" w:type="dxa"/>
            <w:shd w:val="clear" w:color="auto" w:fill="FFFFFF" w:themeFill="background1"/>
            <w:vAlign w:val="center"/>
          </w:tcPr>
          <w:p w14:paraId="595ED67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w:t>
            </w:r>
          </w:p>
        </w:tc>
        <w:tc>
          <w:tcPr>
            <w:tcW w:w="1591" w:type="dxa"/>
            <w:shd w:val="clear" w:color="auto" w:fill="FFFFFF" w:themeFill="background1"/>
            <w:vAlign w:val="center"/>
          </w:tcPr>
          <w:p w14:paraId="2657963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p>
        </w:tc>
        <w:tc>
          <w:tcPr>
            <w:tcW w:w="1631" w:type="dxa"/>
            <w:shd w:val="clear" w:color="auto" w:fill="FFFFFF" w:themeFill="background1"/>
            <w:vAlign w:val="center"/>
          </w:tcPr>
          <w:p w14:paraId="092B5C4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w:t>
            </w:r>
          </w:p>
        </w:tc>
      </w:tr>
      <w:tr w:rsidR="00090EFB" w:rsidRPr="00A4536F" w14:paraId="022AEF37" w14:textId="77777777" w:rsidTr="00CF3C02">
        <w:trPr>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712BF11F" w14:textId="76614D6C" w:rsidR="00315466" w:rsidRPr="00A4536F" w:rsidRDefault="00BB472E" w:rsidP="00E4398D">
            <w:pPr>
              <w:spacing w:before="0" w:after="120"/>
              <w:rPr>
                <w:rFonts w:cs="Calibri"/>
                <w:color w:val="auto"/>
                <w:szCs w:val="18"/>
              </w:rPr>
            </w:pPr>
            <w:r w:rsidRPr="00A4536F">
              <w:rPr>
                <w:rFonts w:cs="Calibri"/>
                <w:color w:val="auto"/>
                <w:szCs w:val="18"/>
              </w:rPr>
              <w:t>Oxfam (Ethiopia)</w:t>
            </w:r>
          </w:p>
        </w:tc>
        <w:tc>
          <w:tcPr>
            <w:tcW w:w="1733" w:type="dxa"/>
            <w:shd w:val="clear" w:color="auto" w:fill="FFFFFF" w:themeFill="background1"/>
          </w:tcPr>
          <w:p w14:paraId="3DCE21D5"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proofErr w:type="spellStart"/>
            <w:r w:rsidRPr="00A4536F">
              <w:rPr>
                <w:rFonts w:cs="Calibri"/>
                <w:color w:val="auto"/>
                <w:szCs w:val="18"/>
              </w:rPr>
              <w:t>Adigrat</w:t>
            </w:r>
            <w:proofErr w:type="spellEnd"/>
            <w:r w:rsidRPr="00A4536F">
              <w:rPr>
                <w:rFonts w:cs="Calibri"/>
                <w:color w:val="auto"/>
                <w:szCs w:val="18"/>
              </w:rPr>
              <w:t xml:space="preserve"> town </w:t>
            </w:r>
          </w:p>
        </w:tc>
        <w:tc>
          <w:tcPr>
            <w:tcW w:w="1669" w:type="dxa"/>
            <w:shd w:val="clear" w:color="auto" w:fill="FFFFFF" w:themeFill="background1"/>
            <w:vAlign w:val="center"/>
          </w:tcPr>
          <w:p w14:paraId="27F4ADB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1591" w:type="dxa"/>
            <w:shd w:val="clear" w:color="auto" w:fill="FFFFFF" w:themeFill="background1"/>
            <w:vAlign w:val="center"/>
          </w:tcPr>
          <w:p w14:paraId="70B8137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w:t>
            </w:r>
          </w:p>
        </w:tc>
        <w:tc>
          <w:tcPr>
            <w:tcW w:w="1631" w:type="dxa"/>
            <w:shd w:val="clear" w:color="auto" w:fill="FFFFFF" w:themeFill="background1"/>
            <w:vAlign w:val="center"/>
          </w:tcPr>
          <w:p w14:paraId="60CF0CC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5</w:t>
            </w:r>
          </w:p>
        </w:tc>
      </w:tr>
      <w:tr w:rsidR="00090EFB" w:rsidRPr="00A4536F" w14:paraId="0CB27E3D" w14:textId="77777777" w:rsidTr="00CF3C02">
        <w:trPr>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4427C32F" w14:textId="77777777" w:rsidR="00315466" w:rsidRPr="00A4536F" w:rsidRDefault="001D4E15" w:rsidP="00E4398D">
            <w:pPr>
              <w:spacing w:before="0" w:after="120"/>
              <w:rPr>
                <w:rFonts w:cs="Calibri"/>
                <w:b w:val="0"/>
                <w:bCs w:val="0"/>
                <w:color w:val="auto"/>
                <w:szCs w:val="18"/>
              </w:rPr>
            </w:pPr>
            <w:r w:rsidRPr="00A4536F">
              <w:rPr>
                <w:rFonts w:cs="Calibri"/>
                <w:color w:val="auto"/>
                <w:szCs w:val="18"/>
              </w:rPr>
              <w:t>Oxfam (Kenya)</w:t>
            </w:r>
          </w:p>
        </w:tc>
        <w:tc>
          <w:tcPr>
            <w:tcW w:w="1733" w:type="dxa"/>
            <w:shd w:val="clear" w:color="auto" w:fill="FFFFFF" w:themeFill="background1"/>
          </w:tcPr>
          <w:p w14:paraId="4477B06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proofErr w:type="spellStart"/>
            <w:r w:rsidRPr="00A4536F">
              <w:rPr>
                <w:rFonts w:cs="Calibri"/>
                <w:color w:val="auto"/>
                <w:szCs w:val="18"/>
              </w:rPr>
              <w:t>Marsabit</w:t>
            </w:r>
            <w:proofErr w:type="spellEnd"/>
            <w:r w:rsidRPr="00A4536F">
              <w:rPr>
                <w:rFonts w:cs="Calibri"/>
                <w:color w:val="auto"/>
                <w:szCs w:val="18"/>
              </w:rPr>
              <w:t xml:space="preserve"> Region</w:t>
            </w:r>
          </w:p>
        </w:tc>
        <w:tc>
          <w:tcPr>
            <w:tcW w:w="1669" w:type="dxa"/>
            <w:shd w:val="clear" w:color="auto" w:fill="FFFFFF" w:themeFill="background1"/>
            <w:vAlign w:val="center"/>
          </w:tcPr>
          <w:p w14:paraId="3EB63C9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4</w:t>
            </w:r>
          </w:p>
        </w:tc>
        <w:tc>
          <w:tcPr>
            <w:tcW w:w="1591" w:type="dxa"/>
            <w:shd w:val="clear" w:color="auto" w:fill="FFFFFF" w:themeFill="background1"/>
            <w:vAlign w:val="center"/>
          </w:tcPr>
          <w:p w14:paraId="703F9EB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p>
        </w:tc>
        <w:tc>
          <w:tcPr>
            <w:tcW w:w="1631" w:type="dxa"/>
            <w:shd w:val="clear" w:color="auto" w:fill="FFFFFF" w:themeFill="background1"/>
            <w:vAlign w:val="center"/>
          </w:tcPr>
          <w:p w14:paraId="53B97461"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w:t>
            </w:r>
          </w:p>
        </w:tc>
      </w:tr>
      <w:tr w:rsidR="00090EFB" w:rsidRPr="00A4536F" w14:paraId="3562BAC1" w14:textId="77777777" w:rsidTr="00CF3C02">
        <w:trPr>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36A1AB33" w14:textId="1F85AB28" w:rsidR="00315466" w:rsidRPr="00A4536F" w:rsidRDefault="00BB472E" w:rsidP="00E4398D">
            <w:pPr>
              <w:spacing w:before="0" w:after="120"/>
              <w:rPr>
                <w:rFonts w:cs="Calibri"/>
                <w:color w:val="auto"/>
                <w:szCs w:val="18"/>
              </w:rPr>
            </w:pPr>
            <w:r w:rsidRPr="00A4536F">
              <w:rPr>
                <w:rFonts w:cs="Calibri"/>
                <w:color w:val="auto"/>
                <w:szCs w:val="18"/>
              </w:rPr>
              <w:t>Oxfam (Kenya)</w:t>
            </w:r>
          </w:p>
        </w:tc>
        <w:tc>
          <w:tcPr>
            <w:tcW w:w="1733" w:type="dxa"/>
            <w:shd w:val="clear" w:color="auto" w:fill="FFFFFF" w:themeFill="background1"/>
          </w:tcPr>
          <w:p w14:paraId="7331907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Turkana Region</w:t>
            </w:r>
          </w:p>
        </w:tc>
        <w:tc>
          <w:tcPr>
            <w:tcW w:w="1669" w:type="dxa"/>
            <w:shd w:val="clear" w:color="auto" w:fill="FFFFFF" w:themeFill="background1"/>
            <w:vAlign w:val="center"/>
          </w:tcPr>
          <w:p w14:paraId="4F80871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w:t>
            </w:r>
          </w:p>
        </w:tc>
        <w:tc>
          <w:tcPr>
            <w:tcW w:w="1591" w:type="dxa"/>
            <w:shd w:val="clear" w:color="auto" w:fill="FFFFFF" w:themeFill="background1"/>
            <w:vAlign w:val="center"/>
          </w:tcPr>
          <w:p w14:paraId="10CA5CA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p>
        </w:tc>
        <w:tc>
          <w:tcPr>
            <w:tcW w:w="1631" w:type="dxa"/>
            <w:shd w:val="clear" w:color="auto" w:fill="FFFFFF" w:themeFill="background1"/>
            <w:vAlign w:val="center"/>
          </w:tcPr>
          <w:p w14:paraId="3E509B4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14</w:t>
            </w:r>
          </w:p>
        </w:tc>
      </w:tr>
      <w:tr w:rsidR="00090EFB" w:rsidRPr="00A4536F" w14:paraId="3069EEE1" w14:textId="77777777" w:rsidTr="00CF3C02">
        <w:trPr>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27A35987" w14:textId="77777777" w:rsidR="00315466" w:rsidRPr="00A4536F" w:rsidRDefault="001D4E15" w:rsidP="00E4398D">
            <w:pPr>
              <w:spacing w:before="0" w:after="120"/>
              <w:rPr>
                <w:rFonts w:cs="Calibri"/>
                <w:b w:val="0"/>
                <w:bCs w:val="0"/>
                <w:color w:val="auto"/>
                <w:szCs w:val="18"/>
              </w:rPr>
            </w:pPr>
            <w:r w:rsidRPr="00A4536F">
              <w:rPr>
                <w:rFonts w:cs="Calibri"/>
                <w:color w:val="auto"/>
                <w:szCs w:val="18"/>
              </w:rPr>
              <w:t>Total</w:t>
            </w:r>
          </w:p>
        </w:tc>
        <w:tc>
          <w:tcPr>
            <w:tcW w:w="1733" w:type="dxa"/>
            <w:shd w:val="clear" w:color="auto" w:fill="FFFFFF" w:themeFill="background1"/>
          </w:tcPr>
          <w:p w14:paraId="40AE5A99" w14:textId="6603DBF2" w:rsidR="00315466" w:rsidRPr="00A4536F" w:rsidRDefault="00BB472E"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p>
        </w:tc>
        <w:tc>
          <w:tcPr>
            <w:tcW w:w="1669" w:type="dxa"/>
            <w:shd w:val="clear" w:color="auto" w:fill="FFFFFF" w:themeFill="background1"/>
            <w:vAlign w:val="center"/>
          </w:tcPr>
          <w:p w14:paraId="7BD66F2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fldChar w:fldCharType="begin"/>
            </w:r>
            <w:r w:rsidRPr="00A4536F">
              <w:rPr>
                <w:rFonts w:cs="Calibri"/>
                <w:color w:val="auto"/>
                <w:szCs w:val="18"/>
              </w:rPr>
              <w:instrText xml:space="preserve"> =SUM(ABOVE) </w:instrText>
            </w:r>
            <w:r w:rsidRPr="00A4536F">
              <w:rPr>
                <w:rFonts w:cs="Calibri"/>
                <w:color w:val="auto"/>
                <w:szCs w:val="18"/>
              </w:rPr>
              <w:fldChar w:fldCharType="separate"/>
            </w:r>
            <w:r w:rsidRPr="00A4536F">
              <w:rPr>
                <w:rFonts w:cs="Calibri"/>
                <w:color w:val="auto"/>
                <w:szCs w:val="18"/>
              </w:rPr>
              <w:t>19</w:t>
            </w:r>
            <w:r w:rsidRPr="00A4536F">
              <w:rPr>
                <w:rFonts w:cs="Calibri"/>
                <w:color w:val="auto"/>
                <w:szCs w:val="18"/>
              </w:rPr>
              <w:fldChar w:fldCharType="end"/>
            </w:r>
          </w:p>
        </w:tc>
        <w:tc>
          <w:tcPr>
            <w:tcW w:w="1591" w:type="dxa"/>
            <w:shd w:val="clear" w:color="auto" w:fill="FFFFFF" w:themeFill="background1"/>
            <w:vAlign w:val="center"/>
          </w:tcPr>
          <w:p w14:paraId="6C73279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fldChar w:fldCharType="begin"/>
            </w:r>
            <w:r w:rsidRPr="00A4536F">
              <w:rPr>
                <w:rFonts w:cs="Calibri"/>
                <w:color w:val="auto"/>
                <w:szCs w:val="18"/>
              </w:rPr>
              <w:instrText xml:space="preserve"> =SUM(ABOVE) </w:instrText>
            </w:r>
            <w:r w:rsidRPr="00A4536F">
              <w:rPr>
                <w:rFonts w:cs="Calibri"/>
                <w:color w:val="auto"/>
                <w:szCs w:val="18"/>
              </w:rPr>
              <w:fldChar w:fldCharType="separate"/>
            </w:r>
            <w:r w:rsidRPr="00A4536F">
              <w:rPr>
                <w:rFonts w:cs="Calibri"/>
                <w:color w:val="auto"/>
                <w:szCs w:val="18"/>
              </w:rPr>
              <w:t>33</w:t>
            </w:r>
            <w:r w:rsidRPr="00A4536F">
              <w:rPr>
                <w:rFonts w:cs="Calibri"/>
                <w:color w:val="auto"/>
                <w:szCs w:val="18"/>
              </w:rPr>
              <w:fldChar w:fldCharType="end"/>
            </w:r>
          </w:p>
        </w:tc>
        <w:tc>
          <w:tcPr>
            <w:tcW w:w="1631" w:type="dxa"/>
            <w:shd w:val="clear" w:color="auto" w:fill="FFFFFF" w:themeFill="background1"/>
            <w:vAlign w:val="center"/>
          </w:tcPr>
          <w:p w14:paraId="18C3F3B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fldChar w:fldCharType="begin"/>
            </w:r>
            <w:r w:rsidRPr="00A4536F">
              <w:rPr>
                <w:rFonts w:cs="Calibri"/>
                <w:color w:val="auto"/>
                <w:szCs w:val="18"/>
              </w:rPr>
              <w:instrText xml:space="preserve"> =SUM(ABOVE) </w:instrText>
            </w:r>
            <w:r w:rsidRPr="00A4536F">
              <w:rPr>
                <w:rFonts w:cs="Calibri"/>
                <w:color w:val="auto"/>
                <w:szCs w:val="18"/>
              </w:rPr>
              <w:fldChar w:fldCharType="separate"/>
            </w:r>
            <w:r w:rsidRPr="00A4536F">
              <w:rPr>
                <w:rFonts w:cs="Calibri"/>
                <w:color w:val="auto"/>
                <w:szCs w:val="18"/>
              </w:rPr>
              <w:t>52</w:t>
            </w:r>
            <w:r w:rsidRPr="00A4536F">
              <w:rPr>
                <w:rFonts w:cs="Calibri"/>
                <w:color w:val="auto"/>
                <w:szCs w:val="18"/>
              </w:rPr>
              <w:fldChar w:fldCharType="end"/>
            </w:r>
          </w:p>
        </w:tc>
      </w:tr>
    </w:tbl>
    <w:p w14:paraId="2A5699E7" w14:textId="355BA691" w:rsidR="00315466" w:rsidRPr="00A4536F" w:rsidRDefault="001D4E15" w:rsidP="00C9557C">
      <w:pPr>
        <w:spacing w:after="120"/>
        <w:rPr>
          <w:rFonts w:cs="Calibri"/>
          <w:color w:val="auto"/>
          <w:szCs w:val="18"/>
        </w:rPr>
      </w:pPr>
      <w:r w:rsidRPr="00A4536F">
        <w:rPr>
          <w:rFonts w:cs="Calibri"/>
          <w:b/>
          <w:bCs/>
          <w:color w:val="auto"/>
          <w:szCs w:val="18"/>
        </w:rPr>
        <w:t xml:space="preserve">FGD Participants:  </w:t>
      </w:r>
      <w:r w:rsidRPr="00A4536F">
        <w:rPr>
          <w:rFonts w:cs="Calibri"/>
          <w:color w:val="auto"/>
          <w:szCs w:val="18"/>
        </w:rPr>
        <w:t xml:space="preserve">A multistage stratified random sampling strategy was used to select participants for facilitated group discussions (FGDs). Participants were first stratified by location, age, gender, and disability status to ensure diverse representation. Then, within each stratum, participants were randomly selected to maintain objectivity. To be included in the FGD sample, one needed to have been involved in AHP interventions. To guarantee diversity, each FGD consisted of at least two participants with disabilities, and provisions were made to accommodate any communication challenges. See Table </w:t>
      </w:r>
      <w:r w:rsidR="009610BC">
        <w:rPr>
          <w:rFonts w:cs="Calibri"/>
          <w:color w:val="auto"/>
          <w:szCs w:val="18"/>
        </w:rPr>
        <w:t>3</w:t>
      </w:r>
      <w:r w:rsidRPr="00A4536F">
        <w:rPr>
          <w:rFonts w:cs="Calibri"/>
          <w:color w:val="auto"/>
          <w:szCs w:val="18"/>
        </w:rPr>
        <w:t xml:space="preserve"> for numbers of participants by category, </w:t>
      </w:r>
      <w:proofErr w:type="gramStart"/>
      <w:r w:rsidRPr="00A4536F">
        <w:rPr>
          <w:rFonts w:cs="Calibri"/>
          <w:color w:val="auto"/>
          <w:szCs w:val="18"/>
        </w:rPr>
        <w:t>region</w:t>
      </w:r>
      <w:proofErr w:type="gramEnd"/>
      <w:r w:rsidRPr="00A4536F">
        <w:rPr>
          <w:rFonts w:cs="Calibri"/>
          <w:color w:val="auto"/>
          <w:szCs w:val="18"/>
        </w:rPr>
        <w:t xml:space="preserve"> and project.</w:t>
      </w:r>
    </w:p>
    <w:p w14:paraId="575AF647" w14:textId="62D70170" w:rsidR="00315466" w:rsidRPr="00A4536F" w:rsidRDefault="001D4E15" w:rsidP="00E4398D">
      <w:pPr>
        <w:pStyle w:val="Caption"/>
        <w:keepNext/>
        <w:spacing w:after="120" w:line="276" w:lineRule="auto"/>
        <w:jc w:val="left"/>
        <w:rPr>
          <w:rFonts w:cs="Calibri"/>
          <w:color w:val="auto"/>
        </w:rPr>
      </w:pPr>
      <w:bookmarkStart w:id="49" w:name="_Toc170415434"/>
      <w:r w:rsidRPr="00A4536F">
        <w:rPr>
          <w:rFonts w:cs="Calibri"/>
          <w:color w:val="auto"/>
        </w:rPr>
        <w:t xml:space="preserve">Table </w:t>
      </w:r>
      <w:r w:rsidR="00455D4A">
        <w:rPr>
          <w:rFonts w:cs="Calibri"/>
          <w:color w:val="auto"/>
        </w:rPr>
        <w:t>3</w:t>
      </w:r>
      <w:r w:rsidRPr="00A4536F">
        <w:rPr>
          <w:rFonts w:cs="Calibri"/>
          <w:color w:val="auto"/>
        </w:rPr>
        <w:t>: Number of participants in FGDs and number of FGDs conducted by project region in parenthesis</w:t>
      </w:r>
      <w:r w:rsidRPr="00A4536F">
        <w:rPr>
          <w:rStyle w:val="FootnoteReference"/>
          <w:rFonts w:cs="Calibri"/>
          <w:color w:val="auto"/>
        </w:rPr>
        <w:footnoteReference w:id="8"/>
      </w:r>
      <w:bookmarkEnd w:id="49"/>
    </w:p>
    <w:tbl>
      <w:tblPr>
        <w:tblStyle w:val="GridTable4-Accent11"/>
        <w:tblW w:w="9067" w:type="dxa"/>
        <w:tblLayout w:type="fixed"/>
        <w:tblLook w:val="04A0" w:firstRow="1" w:lastRow="0" w:firstColumn="1" w:lastColumn="0" w:noHBand="0" w:noVBand="1"/>
      </w:tblPr>
      <w:tblGrid>
        <w:gridCol w:w="1271"/>
        <w:gridCol w:w="992"/>
        <w:gridCol w:w="1134"/>
        <w:gridCol w:w="1134"/>
        <w:gridCol w:w="1134"/>
        <w:gridCol w:w="1134"/>
        <w:gridCol w:w="1134"/>
        <w:gridCol w:w="1134"/>
      </w:tblGrid>
      <w:tr w:rsidR="007967BC" w:rsidRPr="00A4536F" w14:paraId="7A68E94C" w14:textId="77777777" w:rsidTr="00CF3C02">
        <w:trPr>
          <w:cnfStyle w:val="100000000000" w:firstRow="1" w:lastRow="0" w:firstColumn="0" w:lastColumn="0" w:oddVBand="0" w:evenVBand="0" w:oddHBand="0"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14:paraId="57A6E6F2" w14:textId="0CCE69BA" w:rsidR="00315466" w:rsidRPr="00A4536F" w:rsidRDefault="001D4E15" w:rsidP="001A68C0">
            <w:pPr>
              <w:spacing w:before="0" w:after="120"/>
              <w:rPr>
                <w:rFonts w:cs="Calibri"/>
                <w:color w:val="auto"/>
                <w:szCs w:val="18"/>
              </w:rPr>
            </w:pPr>
            <w:r w:rsidRPr="00A4536F">
              <w:rPr>
                <w:rFonts w:cs="Calibri"/>
                <w:color w:val="auto"/>
                <w:szCs w:val="18"/>
              </w:rPr>
              <w:t>Project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8F6B3FF" w14:textId="77777777" w:rsidR="00315466" w:rsidRPr="00611FCE" w:rsidRDefault="001D4E15" w:rsidP="001A68C0">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611FCE">
              <w:rPr>
                <w:rFonts w:cs="Calibri"/>
                <w:color w:val="auto"/>
                <w:szCs w:val="18"/>
              </w:rPr>
              <w:t>Region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B640E8F" w14:textId="77777777" w:rsidR="00315466" w:rsidRPr="00611FCE" w:rsidRDefault="001D4E15" w:rsidP="001A68C0">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611FCE">
              <w:rPr>
                <w:rFonts w:cs="Calibri"/>
                <w:color w:val="auto"/>
                <w:szCs w:val="18"/>
              </w:rPr>
              <w:t>Women (18+1 day or Older)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88F6461" w14:textId="77777777" w:rsidR="00315466" w:rsidRPr="00611FCE" w:rsidRDefault="001D4E15" w:rsidP="001A68C0">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611FCE">
              <w:rPr>
                <w:rFonts w:cs="Calibri"/>
                <w:color w:val="auto"/>
                <w:szCs w:val="18"/>
              </w:rPr>
              <w:t>Men</w:t>
            </w:r>
          </w:p>
          <w:p w14:paraId="300AD4C0" w14:textId="77777777" w:rsidR="00315466" w:rsidRPr="00611FCE" w:rsidRDefault="001D4E15" w:rsidP="001A68C0">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611FCE">
              <w:rPr>
                <w:rFonts w:cs="Calibri"/>
                <w:color w:val="auto"/>
                <w:szCs w:val="18"/>
              </w:rPr>
              <w:t>(18+1 day or Older)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A9098CD" w14:textId="77777777" w:rsidR="00315466" w:rsidRPr="00611FCE" w:rsidRDefault="001D4E15" w:rsidP="001A68C0">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611FCE">
              <w:rPr>
                <w:rFonts w:cs="Calibri"/>
                <w:color w:val="auto"/>
                <w:szCs w:val="18"/>
              </w:rPr>
              <w:t>Boys</w:t>
            </w:r>
          </w:p>
          <w:p w14:paraId="0842BC27" w14:textId="77777777" w:rsidR="00315466" w:rsidRPr="00611FCE" w:rsidRDefault="001D4E15" w:rsidP="001A68C0">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611FCE">
              <w:rPr>
                <w:rFonts w:cs="Calibri"/>
                <w:color w:val="auto"/>
                <w:szCs w:val="18"/>
              </w:rPr>
              <w:t>(15-18)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338E92E" w14:textId="77777777" w:rsidR="00315466" w:rsidRPr="00611FCE" w:rsidRDefault="001D4E15" w:rsidP="001A68C0">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611FCE">
              <w:rPr>
                <w:rFonts w:cs="Calibri"/>
                <w:color w:val="auto"/>
                <w:szCs w:val="18"/>
              </w:rPr>
              <w:t>Girls</w:t>
            </w:r>
          </w:p>
          <w:p w14:paraId="3956485A" w14:textId="77777777" w:rsidR="00315466" w:rsidRPr="00611FCE" w:rsidRDefault="001D4E15" w:rsidP="001A68C0">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611FCE">
              <w:rPr>
                <w:rFonts w:cs="Calibri"/>
                <w:color w:val="auto"/>
                <w:szCs w:val="18"/>
              </w:rPr>
              <w:t>(15-18)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E2278D8" w14:textId="77777777" w:rsidR="00315466" w:rsidRPr="00611FCE" w:rsidRDefault="001D4E15" w:rsidP="001A68C0">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611FCE">
              <w:rPr>
                <w:rFonts w:cs="Calibri"/>
                <w:color w:val="auto"/>
                <w:szCs w:val="18"/>
              </w:rPr>
              <w:t>Children (both sexes)</w:t>
            </w:r>
          </w:p>
          <w:p w14:paraId="4B82C046" w14:textId="77777777" w:rsidR="00315466" w:rsidRPr="00611FCE" w:rsidRDefault="001D4E15" w:rsidP="001A68C0">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611FCE">
              <w:rPr>
                <w:rFonts w:cs="Calibri"/>
                <w:color w:val="auto"/>
                <w:szCs w:val="18"/>
              </w:rPr>
              <w:t>(15 - 1 day)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217140B" w14:textId="77777777" w:rsidR="00315466" w:rsidRPr="00611FCE" w:rsidRDefault="001D4E15" w:rsidP="001A68C0">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611FCE">
              <w:rPr>
                <w:rFonts w:cs="Calibri"/>
                <w:color w:val="auto"/>
                <w:szCs w:val="18"/>
              </w:rPr>
              <w:t>Total</w:t>
            </w:r>
          </w:p>
        </w:tc>
      </w:tr>
      <w:tr w:rsidR="00032B29" w:rsidRPr="00A4536F" w14:paraId="1935F2B5" w14:textId="77777777" w:rsidTr="00CF3C02">
        <w:trPr>
          <w:trHeight w:val="5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tcBorders>
          </w:tcPr>
          <w:p w14:paraId="25CAF9D4" w14:textId="77777777" w:rsidR="00315466" w:rsidRPr="00CF3C02" w:rsidRDefault="001D4E15" w:rsidP="00E4398D">
            <w:pPr>
              <w:spacing w:before="0" w:after="120"/>
              <w:rPr>
                <w:rFonts w:cs="Calibri"/>
                <w:b w:val="0"/>
                <w:bCs w:val="0"/>
                <w:color w:val="auto"/>
                <w:szCs w:val="18"/>
              </w:rPr>
            </w:pPr>
            <w:r w:rsidRPr="00CF3C02">
              <w:rPr>
                <w:rFonts w:cs="Calibri"/>
                <w:b w:val="0"/>
                <w:bCs w:val="0"/>
                <w:color w:val="auto"/>
                <w:szCs w:val="18"/>
              </w:rPr>
              <w:t>Plan Intl. (Ethiopia)</w:t>
            </w:r>
          </w:p>
        </w:tc>
        <w:tc>
          <w:tcPr>
            <w:tcW w:w="992" w:type="dxa"/>
            <w:tcBorders>
              <w:top w:val="single" w:sz="4" w:space="0" w:color="auto"/>
            </w:tcBorders>
          </w:tcPr>
          <w:p w14:paraId="76DEFF2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Oromia </w:t>
            </w:r>
          </w:p>
        </w:tc>
        <w:tc>
          <w:tcPr>
            <w:tcW w:w="1134" w:type="dxa"/>
            <w:tcBorders>
              <w:top w:val="single" w:sz="4" w:space="0" w:color="auto"/>
            </w:tcBorders>
          </w:tcPr>
          <w:p w14:paraId="63F02DEC"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Borders>
              <w:top w:val="single" w:sz="4" w:space="0" w:color="auto"/>
            </w:tcBorders>
          </w:tcPr>
          <w:p w14:paraId="101EA92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Borders>
              <w:top w:val="single" w:sz="4" w:space="0" w:color="auto"/>
            </w:tcBorders>
          </w:tcPr>
          <w:p w14:paraId="034BFEA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Borders>
              <w:top w:val="single" w:sz="4" w:space="0" w:color="auto"/>
            </w:tcBorders>
          </w:tcPr>
          <w:p w14:paraId="1575436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Borders>
              <w:top w:val="single" w:sz="4" w:space="0" w:color="auto"/>
            </w:tcBorders>
          </w:tcPr>
          <w:p w14:paraId="4EA8A8F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Borders>
              <w:top w:val="single" w:sz="4" w:space="0" w:color="auto"/>
            </w:tcBorders>
          </w:tcPr>
          <w:p w14:paraId="376783B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 (5)</w:t>
            </w:r>
          </w:p>
        </w:tc>
      </w:tr>
      <w:tr w:rsidR="00032B29" w:rsidRPr="00A4536F" w14:paraId="2EDBFDC3" w14:textId="77777777" w:rsidTr="00CF3C02">
        <w:tc>
          <w:tcPr>
            <w:cnfStyle w:val="001000000000" w:firstRow="0" w:lastRow="0" w:firstColumn="1" w:lastColumn="0" w:oddVBand="0" w:evenVBand="0" w:oddHBand="0" w:evenHBand="0" w:firstRowFirstColumn="0" w:firstRowLastColumn="0" w:lastRowFirstColumn="0" w:lastRowLastColumn="0"/>
            <w:tcW w:w="1271" w:type="dxa"/>
          </w:tcPr>
          <w:p w14:paraId="45ACC5B2" w14:textId="34E3C8C5" w:rsidR="00315466" w:rsidRPr="00CF3C02" w:rsidRDefault="00C12FC2" w:rsidP="00E4398D">
            <w:pPr>
              <w:spacing w:before="0" w:after="120"/>
              <w:rPr>
                <w:rFonts w:cs="Calibri"/>
                <w:b w:val="0"/>
                <w:bCs w:val="0"/>
                <w:color w:val="auto"/>
                <w:szCs w:val="18"/>
              </w:rPr>
            </w:pPr>
            <w:r w:rsidRPr="00CF3C02">
              <w:rPr>
                <w:rFonts w:cs="Calibri"/>
                <w:b w:val="0"/>
                <w:bCs w:val="0"/>
                <w:color w:val="auto"/>
                <w:szCs w:val="18"/>
              </w:rPr>
              <w:t>Plan Intl. (Ethiopia)</w:t>
            </w:r>
          </w:p>
        </w:tc>
        <w:tc>
          <w:tcPr>
            <w:tcW w:w="992" w:type="dxa"/>
          </w:tcPr>
          <w:p w14:paraId="1029237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Somali </w:t>
            </w:r>
          </w:p>
        </w:tc>
        <w:tc>
          <w:tcPr>
            <w:tcW w:w="1134" w:type="dxa"/>
          </w:tcPr>
          <w:p w14:paraId="15436CD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56B36CA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3C5C9990"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477C010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7B414475"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11EC3C8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120 (10)</w:t>
            </w:r>
          </w:p>
        </w:tc>
      </w:tr>
      <w:tr w:rsidR="00032B29" w:rsidRPr="00A4536F" w14:paraId="265E644D" w14:textId="77777777" w:rsidTr="00CF3C02">
        <w:tc>
          <w:tcPr>
            <w:cnfStyle w:val="001000000000" w:firstRow="0" w:lastRow="0" w:firstColumn="1" w:lastColumn="0" w:oddVBand="0" w:evenVBand="0" w:oddHBand="0" w:evenHBand="0" w:firstRowFirstColumn="0" w:firstRowLastColumn="0" w:lastRowFirstColumn="0" w:lastRowLastColumn="0"/>
            <w:tcW w:w="1271" w:type="dxa"/>
          </w:tcPr>
          <w:p w14:paraId="48A2E414" w14:textId="219A0862" w:rsidR="00315466" w:rsidRPr="00CF3C02" w:rsidRDefault="00C12FC2" w:rsidP="00E4398D">
            <w:pPr>
              <w:spacing w:before="0" w:after="120"/>
              <w:rPr>
                <w:rFonts w:cs="Calibri"/>
                <w:b w:val="0"/>
                <w:bCs w:val="0"/>
                <w:color w:val="auto"/>
                <w:szCs w:val="18"/>
              </w:rPr>
            </w:pPr>
            <w:r w:rsidRPr="00CF3C02">
              <w:rPr>
                <w:rFonts w:cs="Calibri"/>
                <w:b w:val="0"/>
                <w:bCs w:val="0"/>
                <w:color w:val="auto"/>
                <w:szCs w:val="18"/>
              </w:rPr>
              <w:t>Plan Intl. (Ethiopia)</w:t>
            </w:r>
          </w:p>
        </w:tc>
        <w:tc>
          <w:tcPr>
            <w:tcW w:w="992" w:type="dxa"/>
          </w:tcPr>
          <w:p w14:paraId="2C149C9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Tigray </w:t>
            </w:r>
          </w:p>
        </w:tc>
        <w:tc>
          <w:tcPr>
            <w:tcW w:w="1134" w:type="dxa"/>
          </w:tcPr>
          <w:p w14:paraId="2DC952E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1F7F6621"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757DC88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22 (2)</w:t>
            </w:r>
          </w:p>
        </w:tc>
        <w:tc>
          <w:tcPr>
            <w:tcW w:w="1134" w:type="dxa"/>
          </w:tcPr>
          <w:p w14:paraId="7582698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22 (2)</w:t>
            </w:r>
          </w:p>
        </w:tc>
        <w:tc>
          <w:tcPr>
            <w:tcW w:w="1134" w:type="dxa"/>
          </w:tcPr>
          <w:p w14:paraId="27188BA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73B29DD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116 (10)</w:t>
            </w:r>
          </w:p>
        </w:tc>
      </w:tr>
      <w:tr w:rsidR="00032B29" w:rsidRPr="00A4536F" w14:paraId="24A630C5" w14:textId="77777777" w:rsidTr="00CF3C02">
        <w:tc>
          <w:tcPr>
            <w:cnfStyle w:val="001000000000" w:firstRow="0" w:lastRow="0" w:firstColumn="1" w:lastColumn="0" w:oddVBand="0" w:evenVBand="0" w:oddHBand="0" w:evenHBand="0" w:firstRowFirstColumn="0" w:firstRowLastColumn="0" w:lastRowFirstColumn="0" w:lastRowLastColumn="0"/>
            <w:tcW w:w="1271" w:type="dxa"/>
          </w:tcPr>
          <w:p w14:paraId="0E3AA921" w14:textId="77777777" w:rsidR="00315466" w:rsidRPr="00CF3C02" w:rsidRDefault="001D4E15" w:rsidP="00E4398D">
            <w:pPr>
              <w:spacing w:before="0" w:after="120"/>
              <w:rPr>
                <w:rFonts w:cs="Calibri"/>
                <w:b w:val="0"/>
                <w:bCs w:val="0"/>
                <w:color w:val="auto"/>
                <w:szCs w:val="18"/>
              </w:rPr>
            </w:pPr>
            <w:r w:rsidRPr="00CF3C02">
              <w:rPr>
                <w:rFonts w:cs="Calibri"/>
                <w:b w:val="0"/>
                <w:bCs w:val="0"/>
                <w:color w:val="auto"/>
                <w:szCs w:val="18"/>
              </w:rPr>
              <w:t>Oxfam (Ethiopia)</w:t>
            </w:r>
          </w:p>
        </w:tc>
        <w:tc>
          <w:tcPr>
            <w:tcW w:w="992" w:type="dxa"/>
          </w:tcPr>
          <w:p w14:paraId="7B77119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Afar </w:t>
            </w:r>
          </w:p>
        </w:tc>
        <w:tc>
          <w:tcPr>
            <w:tcW w:w="1134" w:type="dxa"/>
          </w:tcPr>
          <w:p w14:paraId="21EA5C9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36EFEAF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2D170B0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681010C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4B612D7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 (2)</w:t>
            </w:r>
          </w:p>
        </w:tc>
        <w:tc>
          <w:tcPr>
            <w:tcW w:w="1134" w:type="dxa"/>
          </w:tcPr>
          <w:p w14:paraId="6A1AE3E8"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120 (10)</w:t>
            </w:r>
          </w:p>
        </w:tc>
      </w:tr>
      <w:tr w:rsidR="00032B29" w:rsidRPr="00A4536F" w14:paraId="0627C83E" w14:textId="77777777" w:rsidTr="00CF3C02">
        <w:tc>
          <w:tcPr>
            <w:cnfStyle w:val="001000000000" w:firstRow="0" w:lastRow="0" w:firstColumn="1" w:lastColumn="0" w:oddVBand="0" w:evenVBand="0" w:oddHBand="0" w:evenHBand="0" w:firstRowFirstColumn="0" w:firstRowLastColumn="0" w:lastRowFirstColumn="0" w:lastRowLastColumn="0"/>
            <w:tcW w:w="1271" w:type="dxa"/>
          </w:tcPr>
          <w:p w14:paraId="16A9C837" w14:textId="7990B344" w:rsidR="00315466" w:rsidRPr="00CF3C02" w:rsidRDefault="00C12FC2" w:rsidP="00E4398D">
            <w:pPr>
              <w:spacing w:before="0" w:after="120"/>
              <w:rPr>
                <w:rFonts w:cs="Calibri"/>
                <w:b w:val="0"/>
                <w:bCs w:val="0"/>
                <w:color w:val="auto"/>
                <w:szCs w:val="18"/>
              </w:rPr>
            </w:pPr>
            <w:r w:rsidRPr="00CF3C02">
              <w:rPr>
                <w:rFonts w:cs="Calibri"/>
                <w:b w:val="0"/>
                <w:bCs w:val="0"/>
                <w:color w:val="auto"/>
                <w:szCs w:val="18"/>
              </w:rPr>
              <w:t>Oxfam (Ethiopia)</w:t>
            </w:r>
          </w:p>
        </w:tc>
        <w:tc>
          <w:tcPr>
            <w:tcW w:w="992" w:type="dxa"/>
          </w:tcPr>
          <w:p w14:paraId="0A72A6D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Amhara </w:t>
            </w:r>
          </w:p>
        </w:tc>
        <w:tc>
          <w:tcPr>
            <w:tcW w:w="1134" w:type="dxa"/>
          </w:tcPr>
          <w:p w14:paraId="6B787806"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07A1752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10 (1)</w:t>
            </w:r>
          </w:p>
        </w:tc>
        <w:tc>
          <w:tcPr>
            <w:tcW w:w="1134" w:type="dxa"/>
          </w:tcPr>
          <w:p w14:paraId="5818B72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4738414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542CBA93"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52FE7051"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58 (5)</w:t>
            </w:r>
          </w:p>
        </w:tc>
      </w:tr>
      <w:tr w:rsidR="001340A5" w:rsidRPr="00A4536F" w14:paraId="00144090" w14:textId="77777777" w:rsidTr="00CF3C02">
        <w:tc>
          <w:tcPr>
            <w:cnfStyle w:val="001000000000" w:firstRow="0" w:lastRow="0" w:firstColumn="1" w:lastColumn="0" w:oddVBand="0" w:evenVBand="0" w:oddHBand="0" w:evenHBand="0" w:firstRowFirstColumn="0" w:firstRowLastColumn="0" w:lastRowFirstColumn="0" w:lastRowLastColumn="0"/>
            <w:tcW w:w="1271" w:type="dxa"/>
          </w:tcPr>
          <w:p w14:paraId="500F79B8" w14:textId="3C620C2A" w:rsidR="001340A5" w:rsidRPr="00A4536F" w:rsidRDefault="001340A5" w:rsidP="001A68C0">
            <w:pPr>
              <w:spacing w:before="0" w:after="120"/>
              <w:rPr>
                <w:rFonts w:cs="Calibri"/>
                <w:color w:val="auto"/>
                <w:szCs w:val="18"/>
              </w:rPr>
            </w:pPr>
            <w:r w:rsidRPr="00A4536F">
              <w:rPr>
                <w:rFonts w:cs="Calibri"/>
                <w:color w:val="auto"/>
                <w:szCs w:val="18"/>
              </w:rPr>
              <w:lastRenderedPageBreak/>
              <w:t>Project</w:t>
            </w:r>
          </w:p>
        </w:tc>
        <w:tc>
          <w:tcPr>
            <w:tcW w:w="992" w:type="dxa"/>
          </w:tcPr>
          <w:p w14:paraId="7CBD6A99" w14:textId="187989DE" w:rsidR="001340A5" w:rsidRPr="007967BC" w:rsidRDefault="001340A5" w:rsidP="001A68C0">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7967BC">
              <w:rPr>
                <w:rFonts w:cs="Calibri"/>
                <w:b/>
                <w:bCs/>
                <w:color w:val="auto"/>
                <w:szCs w:val="18"/>
              </w:rPr>
              <w:t>Region</w:t>
            </w:r>
          </w:p>
        </w:tc>
        <w:tc>
          <w:tcPr>
            <w:tcW w:w="1134" w:type="dxa"/>
          </w:tcPr>
          <w:p w14:paraId="126338CD" w14:textId="77777777" w:rsidR="001340A5" w:rsidRPr="007967BC" w:rsidRDefault="001340A5" w:rsidP="001A68C0">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7967BC">
              <w:rPr>
                <w:rFonts w:cs="Calibri"/>
                <w:b/>
                <w:bCs/>
                <w:color w:val="auto"/>
                <w:szCs w:val="18"/>
              </w:rPr>
              <w:t>Women (18+1 day or Older)</w:t>
            </w:r>
          </w:p>
          <w:p w14:paraId="4700518F" w14:textId="77777777" w:rsidR="001340A5" w:rsidRPr="007967BC" w:rsidRDefault="001340A5" w:rsidP="001A68C0">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7967BC">
              <w:rPr>
                <w:rFonts w:cs="Calibri"/>
                <w:b/>
                <w:bCs/>
                <w:color w:val="auto"/>
                <w:szCs w:val="18"/>
              </w:rPr>
              <w:t>Men</w:t>
            </w:r>
          </w:p>
        </w:tc>
        <w:tc>
          <w:tcPr>
            <w:tcW w:w="1134" w:type="dxa"/>
          </w:tcPr>
          <w:p w14:paraId="084913CD" w14:textId="78BEB3B0" w:rsidR="001340A5" w:rsidRPr="007967BC" w:rsidRDefault="001340A5" w:rsidP="001A68C0">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7967BC">
              <w:rPr>
                <w:rFonts w:cs="Calibri"/>
                <w:b/>
                <w:bCs/>
                <w:color w:val="auto"/>
                <w:szCs w:val="18"/>
              </w:rPr>
              <w:t>(18+1 day or Older)</w:t>
            </w:r>
          </w:p>
          <w:p w14:paraId="1F40EDFB" w14:textId="77777777" w:rsidR="001340A5" w:rsidRPr="007967BC" w:rsidRDefault="001340A5" w:rsidP="001A68C0">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7967BC">
              <w:rPr>
                <w:rFonts w:cs="Calibri"/>
                <w:b/>
                <w:bCs/>
                <w:color w:val="auto"/>
                <w:szCs w:val="18"/>
              </w:rPr>
              <w:t>Boys</w:t>
            </w:r>
          </w:p>
        </w:tc>
        <w:tc>
          <w:tcPr>
            <w:tcW w:w="1134" w:type="dxa"/>
          </w:tcPr>
          <w:p w14:paraId="603595B3" w14:textId="1B9787C9" w:rsidR="001340A5" w:rsidRPr="007967BC" w:rsidRDefault="001340A5" w:rsidP="001A68C0">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7967BC">
              <w:rPr>
                <w:rFonts w:cs="Calibri"/>
                <w:b/>
                <w:bCs/>
                <w:color w:val="auto"/>
                <w:szCs w:val="18"/>
              </w:rPr>
              <w:t>(15-18)</w:t>
            </w:r>
          </w:p>
          <w:p w14:paraId="0BA4A1AA" w14:textId="77777777" w:rsidR="001340A5" w:rsidRPr="007967BC" w:rsidRDefault="001340A5" w:rsidP="001A68C0">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7967BC">
              <w:rPr>
                <w:rFonts w:cs="Calibri"/>
                <w:b/>
                <w:bCs/>
                <w:color w:val="auto"/>
                <w:szCs w:val="18"/>
              </w:rPr>
              <w:t>Girls</w:t>
            </w:r>
          </w:p>
        </w:tc>
        <w:tc>
          <w:tcPr>
            <w:tcW w:w="1134" w:type="dxa"/>
          </w:tcPr>
          <w:p w14:paraId="1D7EA77B" w14:textId="4479B1BE" w:rsidR="001340A5" w:rsidRPr="007967BC" w:rsidRDefault="001340A5" w:rsidP="001A68C0">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7967BC">
              <w:rPr>
                <w:rFonts w:cs="Calibri"/>
                <w:b/>
                <w:bCs/>
                <w:color w:val="auto"/>
                <w:szCs w:val="18"/>
              </w:rPr>
              <w:t>(15-18)</w:t>
            </w:r>
          </w:p>
          <w:p w14:paraId="16056651" w14:textId="77777777" w:rsidR="001340A5" w:rsidRPr="007967BC" w:rsidRDefault="001340A5" w:rsidP="001A68C0">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7967BC">
              <w:rPr>
                <w:rFonts w:cs="Calibri"/>
                <w:b/>
                <w:bCs/>
                <w:color w:val="auto"/>
                <w:szCs w:val="18"/>
              </w:rPr>
              <w:t>Children (both sexes)</w:t>
            </w:r>
          </w:p>
        </w:tc>
        <w:tc>
          <w:tcPr>
            <w:tcW w:w="1134" w:type="dxa"/>
          </w:tcPr>
          <w:p w14:paraId="3C409DC7" w14:textId="08894AC0" w:rsidR="001340A5" w:rsidRPr="007967BC" w:rsidRDefault="001340A5" w:rsidP="001A68C0">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7967BC">
              <w:rPr>
                <w:rFonts w:cs="Calibri"/>
                <w:b/>
                <w:bCs/>
                <w:color w:val="auto"/>
                <w:szCs w:val="18"/>
              </w:rPr>
              <w:t>(15 - 1 day)</w:t>
            </w:r>
          </w:p>
        </w:tc>
        <w:tc>
          <w:tcPr>
            <w:tcW w:w="1134" w:type="dxa"/>
          </w:tcPr>
          <w:p w14:paraId="2AE3CBF5" w14:textId="5930B29A" w:rsidR="001340A5" w:rsidRPr="007967BC" w:rsidRDefault="001340A5" w:rsidP="001A68C0">
            <w:pPr>
              <w:spacing w:before="0" w:after="120"/>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7967BC">
              <w:rPr>
                <w:rFonts w:cs="Calibri"/>
                <w:b/>
                <w:bCs/>
                <w:color w:val="auto"/>
                <w:szCs w:val="18"/>
              </w:rPr>
              <w:t>Total</w:t>
            </w:r>
          </w:p>
        </w:tc>
      </w:tr>
      <w:tr w:rsidR="001340A5" w:rsidRPr="00A4536F" w14:paraId="147A7628" w14:textId="77777777" w:rsidTr="00CF3C02">
        <w:tc>
          <w:tcPr>
            <w:cnfStyle w:val="001000000000" w:firstRow="0" w:lastRow="0" w:firstColumn="1" w:lastColumn="0" w:oddVBand="0" w:evenVBand="0" w:oddHBand="0" w:evenHBand="0" w:firstRowFirstColumn="0" w:firstRowLastColumn="0" w:lastRowFirstColumn="0" w:lastRowLastColumn="0"/>
            <w:tcW w:w="1271" w:type="dxa"/>
          </w:tcPr>
          <w:p w14:paraId="7AE18E0F" w14:textId="3F873AED" w:rsidR="001340A5" w:rsidRPr="00CF3C02" w:rsidRDefault="001340A5" w:rsidP="001340A5">
            <w:pPr>
              <w:spacing w:before="0" w:after="120"/>
              <w:rPr>
                <w:rFonts w:cs="Calibri"/>
                <w:b w:val="0"/>
                <w:bCs w:val="0"/>
                <w:color w:val="auto"/>
                <w:szCs w:val="18"/>
              </w:rPr>
            </w:pPr>
            <w:r w:rsidRPr="00CF3C02">
              <w:rPr>
                <w:rFonts w:cs="Calibri"/>
                <w:b w:val="0"/>
                <w:bCs w:val="0"/>
                <w:color w:val="auto"/>
                <w:szCs w:val="18"/>
              </w:rPr>
              <w:t>Oxfam (Ethiopia)</w:t>
            </w:r>
          </w:p>
        </w:tc>
        <w:tc>
          <w:tcPr>
            <w:tcW w:w="992" w:type="dxa"/>
          </w:tcPr>
          <w:p w14:paraId="3A13D700" w14:textId="4894D3EB"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proofErr w:type="spellStart"/>
            <w:r w:rsidRPr="00A4536F">
              <w:rPr>
                <w:rFonts w:cs="Calibri"/>
                <w:color w:val="auto"/>
                <w:szCs w:val="18"/>
              </w:rPr>
              <w:t>Adigrat</w:t>
            </w:r>
            <w:proofErr w:type="spellEnd"/>
            <w:r w:rsidRPr="00A4536F">
              <w:rPr>
                <w:rFonts w:cs="Calibri"/>
                <w:color w:val="auto"/>
                <w:szCs w:val="18"/>
              </w:rPr>
              <w:t xml:space="preserve"> Town</w:t>
            </w:r>
          </w:p>
        </w:tc>
        <w:tc>
          <w:tcPr>
            <w:tcW w:w="1134" w:type="dxa"/>
          </w:tcPr>
          <w:p w14:paraId="262BF717" w14:textId="1092BF55"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7FB2E9E5" w14:textId="68C2D500"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0DC3ED68" w14:textId="157258E3"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307761F5" w14:textId="5EC8C7EB"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6EF5D02A" w14:textId="57AA58D6"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673FC521" w14:textId="3D1EFB1C"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 (5)</w:t>
            </w:r>
          </w:p>
        </w:tc>
      </w:tr>
      <w:tr w:rsidR="001340A5" w:rsidRPr="00A4536F" w14:paraId="0349D218" w14:textId="77777777" w:rsidTr="00CF3C02">
        <w:tc>
          <w:tcPr>
            <w:cnfStyle w:val="001000000000" w:firstRow="0" w:lastRow="0" w:firstColumn="1" w:lastColumn="0" w:oddVBand="0" w:evenVBand="0" w:oddHBand="0" w:evenHBand="0" w:firstRowFirstColumn="0" w:firstRowLastColumn="0" w:lastRowFirstColumn="0" w:lastRowLastColumn="0"/>
            <w:tcW w:w="1271" w:type="dxa"/>
          </w:tcPr>
          <w:p w14:paraId="7D4B80E0" w14:textId="3CEA3D57" w:rsidR="001340A5" w:rsidRPr="00CF3C02" w:rsidRDefault="001340A5" w:rsidP="001340A5">
            <w:pPr>
              <w:spacing w:before="0" w:after="120"/>
              <w:rPr>
                <w:rFonts w:cs="Calibri"/>
                <w:b w:val="0"/>
                <w:bCs w:val="0"/>
                <w:color w:val="auto"/>
                <w:szCs w:val="18"/>
              </w:rPr>
            </w:pPr>
            <w:r w:rsidRPr="00CF3C02">
              <w:rPr>
                <w:rFonts w:cs="Calibri"/>
                <w:b w:val="0"/>
                <w:bCs w:val="0"/>
                <w:color w:val="auto"/>
                <w:szCs w:val="18"/>
              </w:rPr>
              <w:t>Oxfam (Kenya)</w:t>
            </w:r>
          </w:p>
        </w:tc>
        <w:tc>
          <w:tcPr>
            <w:tcW w:w="992" w:type="dxa"/>
          </w:tcPr>
          <w:p w14:paraId="549C1DDD" w14:textId="014005B5"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proofErr w:type="spellStart"/>
            <w:r w:rsidRPr="00A4536F">
              <w:rPr>
                <w:rFonts w:cs="Calibri"/>
                <w:color w:val="auto"/>
                <w:szCs w:val="18"/>
              </w:rPr>
              <w:t>Marsabit</w:t>
            </w:r>
            <w:proofErr w:type="spellEnd"/>
            <w:r w:rsidRPr="00A4536F">
              <w:rPr>
                <w:rFonts w:cs="Calibri"/>
                <w:color w:val="auto"/>
                <w:szCs w:val="18"/>
              </w:rPr>
              <w:t xml:space="preserve"> </w:t>
            </w:r>
          </w:p>
        </w:tc>
        <w:tc>
          <w:tcPr>
            <w:tcW w:w="1134" w:type="dxa"/>
          </w:tcPr>
          <w:p w14:paraId="0432974F" w14:textId="10278EBA"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23E35405" w14:textId="589B4239"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631AFEA2" w14:textId="57486314"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1DA77D3F" w14:textId="0F0DDAAC"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3D7C9F0C" w14:textId="218ABB3F"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70EE5BEF" w14:textId="623E33A8"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 (5)</w:t>
            </w:r>
          </w:p>
        </w:tc>
      </w:tr>
      <w:tr w:rsidR="001340A5" w:rsidRPr="00A4536F" w14:paraId="307EA65D" w14:textId="77777777" w:rsidTr="00CF3C02">
        <w:tc>
          <w:tcPr>
            <w:cnfStyle w:val="001000000000" w:firstRow="0" w:lastRow="0" w:firstColumn="1" w:lastColumn="0" w:oddVBand="0" w:evenVBand="0" w:oddHBand="0" w:evenHBand="0" w:firstRowFirstColumn="0" w:firstRowLastColumn="0" w:lastRowFirstColumn="0" w:lastRowLastColumn="0"/>
            <w:tcW w:w="1271" w:type="dxa"/>
          </w:tcPr>
          <w:p w14:paraId="7F4EA4F4" w14:textId="106C5F05" w:rsidR="001340A5" w:rsidRPr="00CF3C02" w:rsidRDefault="001340A5" w:rsidP="001340A5">
            <w:pPr>
              <w:spacing w:before="0" w:after="120"/>
              <w:rPr>
                <w:rFonts w:cs="Calibri"/>
                <w:b w:val="0"/>
                <w:bCs w:val="0"/>
                <w:color w:val="auto"/>
                <w:szCs w:val="18"/>
              </w:rPr>
            </w:pPr>
            <w:r w:rsidRPr="00CF3C02">
              <w:rPr>
                <w:rFonts w:cs="Calibri"/>
                <w:b w:val="0"/>
                <w:bCs w:val="0"/>
                <w:color w:val="auto"/>
                <w:szCs w:val="18"/>
              </w:rPr>
              <w:t>Oxfam (Kenya)</w:t>
            </w:r>
          </w:p>
        </w:tc>
        <w:tc>
          <w:tcPr>
            <w:tcW w:w="992" w:type="dxa"/>
          </w:tcPr>
          <w:p w14:paraId="071B3362" w14:textId="2885F698"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Turkana </w:t>
            </w:r>
          </w:p>
        </w:tc>
        <w:tc>
          <w:tcPr>
            <w:tcW w:w="1134" w:type="dxa"/>
          </w:tcPr>
          <w:p w14:paraId="398EEB21" w14:textId="3651EC67"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3ADF1121" w14:textId="7FE6F452"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1AA0E50D" w14:textId="5A37E3E0"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297FD0D5" w14:textId="2D2DEC68"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277B3C32" w14:textId="55D31810"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12 (1)</w:t>
            </w:r>
          </w:p>
        </w:tc>
        <w:tc>
          <w:tcPr>
            <w:tcW w:w="1134" w:type="dxa"/>
          </w:tcPr>
          <w:p w14:paraId="3DC10236" w14:textId="1E4F0631"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60 (5)</w:t>
            </w:r>
          </w:p>
        </w:tc>
      </w:tr>
      <w:tr w:rsidR="001340A5" w:rsidRPr="00A4536F" w14:paraId="54788F34" w14:textId="77777777" w:rsidTr="00CF3C02">
        <w:tc>
          <w:tcPr>
            <w:cnfStyle w:val="001000000000" w:firstRow="0" w:lastRow="0" w:firstColumn="1" w:lastColumn="0" w:oddVBand="0" w:evenVBand="0" w:oddHBand="0" w:evenHBand="0" w:firstRowFirstColumn="0" w:firstRowLastColumn="0" w:lastRowFirstColumn="0" w:lastRowLastColumn="0"/>
            <w:tcW w:w="1271" w:type="dxa"/>
          </w:tcPr>
          <w:p w14:paraId="0E2A348E" w14:textId="2B78C94C" w:rsidR="001340A5" w:rsidRPr="00CF3C02" w:rsidRDefault="001340A5" w:rsidP="001340A5">
            <w:pPr>
              <w:spacing w:before="0" w:after="120"/>
              <w:rPr>
                <w:rFonts w:cs="Calibri"/>
                <w:b w:val="0"/>
                <w:bCs w:val="0"/>
                <w:color w:val="auto"/>
                <w:szCs w:val="18"/>
              </w:rPr>
            </w:pPr>
            <w:r w:rsidRPr="00CF3C02">
              <w:rPr>
                <w:rFonts w:cs="Calibri"/>
                <w:b w:val="0"/>
                <w:bCs w:val="0"/>
                <w:color w:val="auto"/>
                <w:szCs w:val="18"/>
              </w:rPr>
              <w:t>Total</w:t>
            </w:r>
          </w:p>
        </w:tc>
        <w:tc>
          <w:tcPr>
            <w:tcW w:w="992" w:type="dxa"/>
          </w:tcPr>
          <w:p w14:paraId="042EE848" w14:textId="53CF29DF"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p>
        </w:tc>
        <w:tc>
          <w:tcPr>
            <w:tcW w:w="1134" w:type="dxa"/>
          </w:tcPr>
          <w:p w14:paraId="1691CA95" w14:textId="4D8631DE"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fldChar w:fldCharType="begin"/>
            </w:r>
            <w:r w:rsidRPr="00A4536F">
              <w:rPr>
                <w:rFonts w:cs="Calibri"/>
                <w:color w:val="auto"/>
                <w:szCs w:val="18"/>
              </w:rPr>
              <w:instrText xml:space="preserve"> =SUM(ABOVE) </w:instrText>
            </w:r>
            <w:r w:rsidRPr="00A4536F">
              <w:rPr>
                <w:rFonts w:cs="Calibri"/>
                <w:color w:val="auto"/>
                <w:szCs w:val="18"/>
              </w:rPr>
              <w:fldChar w:fldCharType="separate"/>
            </w:r>
            <w:r w:rsidRPr="00A4536F">
              <w:rPr>
                <w:rFonts w:cs="Calibri"/>
                <w:color w:val="auto"/>
                <w:szCs w:val="18"/>
              </w:rPr>
              <w:t>132</w:t>
            </w:r>
            <w:r w:rsidRPr="00A4536F">
              <w:rPr>
                <w:rFonts w:cs="Calibri"/>
                <w:color w:val="auto"/>
                <w:szCs w:val="18"/>
              </w:rPr>
              <w:fldChar w:fldCharType="end"/>
            </w:r>
            <w:r w:rsidRPr="00A4536F">
              <w:rPr>
                <w:rFonts w:cs="Calibri"/>
                <w:color w:val="auto"/>
                <w:szCs w:val="18"/>
              </w:rPr>
              <w:t xml:space="preserve"> (11)</w:t>
            </w:r>
          </w:p>
        </w:tc>
        <w:tc>
          <w:tcPr>
            <w:tcW w:w="1134" w:type="dxa"/>
          </w:tcPr>
          <w:p w14:paraId="721560FC" w14:textId="3033F408"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fldChar w:fldCharType="begin"/>
            </w:r>
            <w:r w:rsidRPr="00A4536F">
              <w:rPr>
                <w:rFonts w:cs="Calibri"/>
                <w:color w:val="auto"/>
                <w:szCs w:val="18"/>
              </w:rPr>
              <w:instrText xml:space="preserve"> =SUM(ABOVE) </w:instrText>
            </w:r>
            <w:r w:rsidRPr="00A4536F">
              <w:rPr>
                <w:rFonts w:cs="Calibri"/>
                <w:color w:val="auto"/>
                <w:szCs w:val="18"/>
              </w:rPr>
              <w:fldChar w:fldCharType="separate"/>
            </w:r>
            <w:r w:rsidRPr="00A4536F">
              <w:rPr>
                <w:rFonts w:cs="Calibri"/>
                <w:color w:val="auto"/>
                <w:szCs w:val="18"/>
              </w:rPr>
              <w:t>130</w:t>
            </w:r>
            <w:r w:rsidRPr="00A4536F">
              <w:rPr>
                <w:rFonts w:cs="Calibri"/>
                <w:color w:val="auto"/>
                <w:szCs w:val="18"/>
              </w:rPr>
              <w:fldChar w:fldCharType="end"/>
            </w:r>
            <w:r w:rsidRPr="00A4536F">
              <w:rPr>
                <w:rFonts w:cs="Calibri"/>
                <w:color w:val="auto"/>
                <w:szCs w:val="18"/>
              </w:rPr>
              <w:t xml:space="preserve"> (11)</w:t>
            </w:r>
          </w:p>
        </w:tc>
        <w:tc>
          <w:tcPr>
            <w:tcW w:w="1134" w:type="dxa"/>
          </w:tcPr>
          <w:p w14:paraId="39369FDB" w14:textId="54259D57"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fldChar w:fldCharType="begin"/>
            </w:r>
            <w:r w:rsidRPr="00A4536F">
              <w:rPr>
                <w:rFonts w:cs="Calibri"/>
                <w:color w:val="auto"/>
                <w:szCs w:val="18"/>
              </w:rPr>
              <w:instrText xml:space="preserve"> =SUM(ABOVE) </w:instrText>
            </w:r>
            <w:r w:rsidRPr="00A4536F">
              <w:rPr>
                <w:rFonts w:cs="Calibri"/>
                <w:color w:val="auto"/>
                <w:szCs w:val="18"/>
              </w:rPr>
              <w:fldChar w:fldCharType="separate"/>
            </w:r>
            <w:r w:rsidRPr="00A4536F">
              <w:rPr>
                <w:rFonts w:cs="Calibri"/>
                <w:color w:val="auto"/>
                <w:szCs w:val="18"/>
              </w:rPr>
              <w:t>130</w:t>
            </w:r>
            <w:r w:rsidRPr="00A4536F">
              <w:rPr>
                <w:rFonts w:cs="Calibri"/>
                <w:color w:val="auto"/>
                <w:szCs w:val="18"/>
              </w:rPr>
              <w:fldChar w:fldCharType="end"/>
            </w:r>
            <w:r w:rsidRPr="00A4536F">
              <w:rPr>
                <w:rFonts w:cs="Calibri"/>
                <w:color w:val="auto"/>
                <w:szCs w:val="18"/>
              </w:rPr>
              <w:t xml:space="preserve"> (11)</w:t>
            </w:r>
          </w:p>
        </w:tc>
        <w:tc>
          <w:tcPr>
            <w:tcW w:w="1134" w:type="dxa"/>
          </w:tcPr>
          <w:p w14:paraId="7F9F5538" w14:textId="4211E28E"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fldChar w:fldCharType="begin"/>
            </w:r>
            <w:r w:rsidRPr="00A4536F">
              <w:rPr>
                <w:rFonts w:cs="Calibri"/>
                <w:color w:val="auto"/>
                <w:szCs w:val="18"/>
              </w:rPr>
              <w:instrText xml:space="preserve"> =SUM(ABOVE) </w:instrText>
            </w:r>
            <w:r w:rsidRPr="00A4536F">
              <w:rPr>
                <w:rFonts w:cs="Calibri"/>
                <w:color w:val="auto"/>
                <w:szCs w:val="18"/>
              </w:rPr>
              <w:fldChar w:fldCharType="separate"/>
            </w:r>
            <w:r w:rsidRPr="00A4536F">
              <w:rPr>
                <w:rFonts w:cs="Calibri"/>
                <w:color w:val="auto"/>
                <w:szCs w:val="18"/>
              </w:rPr>
              <w:t>130</w:t>
            </w:r>
            <w:r w:rsidRPr="00A4536F">
              <w:rPr>
                <w:rFonts w:cs="Calibri"/>
                <w:color w:val="auto"/>
                <w:szCs w:val="18"/>
              </w:rPr>
              <w:fldChar w:fldCharType="end"/>
            </w:r>
            <w:r w:rsidRPr="00A4536F">
              <w:rPr>
                <w:rFonts w:cs="Calibri"/>
                <w:color w:val="auto"/>
                <w:szCs w:val="18"/>
              </w:rPr>
              <w:t xml:space="preserve"> (11)</w:t>
            </w:r>
          </w:p>
        </w:tc>
        <w:tc>
          <w:tcPr>
            <w:tcW w:w="1134" w:type="dxa"/>
          </w:tcPr>
          <w:p w14:paraId="1E953C2F" w14:textId="432D3428"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fldChar w:fldCharType="begin"/>
            </w:r>
            <w:r w:rsidRPr="00A4536F">
              <w:rPr>
                <w:rFonts w:cs="Calibri"/>
                <w:color w:val="auto"/>
                <w:szCs w:val="18"/>
              </w:rPr>
              <w:instrText xml:space="preserve"> =SUM(ABOVE) </w:instrText>
            </w:r>
            <w:r w:rsidRPr="00A4536F">
              <w:rPr>
                <w:rFonts w:cs="Calibri"/>
                <w:color w:val="auto"/>
                <w:szCs w:val="18"/>
              </w:rPr>
              <w:fldChar w:fldCharType="separate"/>
            </w:r>
            <w:r w:rsidRPr="00A4536F">
              <w:rPr>
                <w:rFonts w:cs="Calibri"/>
                <w:color w:val="auto"/>
                <w:szCs w:val="18"/>
              </w:rPr>
              <w:t>132</w:t>
            </w:r>
            <w:r w:rsidRPr="00A4536F">
              <w:rPr>
                <w:rFonts w:cs="Calibri"/>
                <w:color w:val="auto"/>
                <w:szCs w:val="18"/>
              </w:rPr>
              <w:fldChar w:fldCharType="end"/>
            </w:r>
            <w:r w:rsidRPr="00A4536F">
              <w:rPr>
                <w:rFonts w:cs="Calibri"/>
                <w:color w:val="auto"/>
                <w:szCs w:val="18"/>
              </w:rPr>
              <w:t xml:space="preserve"> (11)</w:t>
            </w:r>
          </w:p>
        </w:tc>
        <w:tc>
          <w:tcPr>
            <w:tcW w:w="1134" w:type="dxa"/>
          </w:tcPr>
          <w:p w14:paraId="5E328DD8" w14:textId="3836C2D1" w:rsidR="001340A5" w:rsidRPr="00A4536F" w:rsidRDefault="001340A5" w:rsidP="001340A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fldChar w:fldCharType="begin"/>
            </w:r>
            <w:r w:rsidRPr="00A4536F">
              <w:rPr>
                <w:rFonts w:cs="Calibri"/>
                <w:color w:val="auto"/>
                <w:szCs w:val="18"/>
              </w:rPr>
              <w:instrText xml:space="preserve"> =SUM(ABOVE) </w:instrText>
            </w:r>
            <w:r w:rsidRPr="00A4536F">
              <w:rPr>
                <w:rFonts w:cs="Calibri"/>
                <w:color w:val="auto"/>
                <w:szCs w:val="18"/>
              </w:rPr>
              <w:fldChar w:fldCharType="separate"/>
            </w:r>
            <w:r w:rsidRPr="00A4536F">
              <w:rPr>
                <w:rFonts w:cs="Calibri"/>
                <w:color w:val="auto"/>
                <w:szCs w:val="18"/>
              </w:rPr>
              <w:t>654</w:t>
            </w:r>
            <w:r w:rsidRPr="00A4536F">
              <w:rPr>
                <w:rFonts w:cs="Calibri"/>
                <w:color w:val="auto"/>
                <w:szCs w:val="18"/>
              </w:rPr>
              <w:fldChar w:fldCharType="end"/>
            </w:r>
            <w:r w:rsidRPr="00A4536F">
              <w:rPr>
                <w:rFonts w:cs="Calibri"/>
                <w:color w:val="auto"/>
                <w:szCs w:val="18"/>
              </w:rPr>
              <w:t xml:space="preserve"> (55)</w:t>
            </w:r>
          </w:p>
        </w:tc>
      </w:tr>
    </w:tbl>
    <w:p w14:paraId="1F7034B7" w14:textId="00375E9F" w:rsidR="00315466" w:rsidRPr="00A4536F" w:rsidRDefault="001D4E15" w:rsidP="00C9557C">
      <w:pPr>
        <w:spacing w:after="120"/>
        <w:rPr>
          <w:rFonts w:cs="Calibri"/>
          <w:color w:val="auto"/>
          <w:szCs w:val="18"/>
        </w:rPr>
      </w:pPr>
      <w:r w:rsidRPr="00A4536F">
        <w:rPr>
          <w:rFonts w:cs="Calibri"/>
          <w:b/>
          <w:bCs/>
          <w:color w:val="auto"/>
          <w:szCs w:val="18"/>
        </w:rPr>
        <w:t xml:space="preserve">Beneficiary Survey Participants: </w:t>
      </w:r>
      <w:r w:rsidRPr="00A4536F">
        <w:rPr>
          <w:rFonts w:cs="Calibri"/>
          <w:color w:val="auto"/>
          <w:szCs w:val="18"/>
        </w:rPr>
        <w:t xml:space="preserve">To ensure representative data collection from beneficiaries, a multistage stratified random sampling strategy was employed. Beneficiaries were divided into clusters based on the three projects, then further stratified by location, age, gender, and disability status. Random selection within each stratum ensured balanced representation. Using Cochran’s formula and an online sample size calculator, the target was set at 382 participants across the three projects, ensuring a 95% confidence level, a 5% margin of error, and 50% population variability. The sample was then randomly selected from beneficiary lists provided by the consortia lead organisations to capture diverse experiences and perspectives. See Table </w:t>
      </w:r>
      <w:r w:rsidR="009610BC">
        <w:rPr>
          <w:rFonts w:cs="Calibri"/>
          <w:color w:val="auto"/>
          <w:szCs w:val="18"/>
        </w:rPr>
        <w:t>4</w:t>
      </w:r>
      <w:r w:rsidRPr="00A4536F">
        <w:rPr>
          <w:rFonts w:cs="Calibri"/>
          <w:color w:val="auto"/>
          <w:szCs w:val="18"/>
        </w:rPr>
        <w:t xml:space="preserve"> for the beneficiaries that participated in the survey by region and category. </w:t>
      </w:r>
    </w:p>
    <w:p w14:paraId="2EA324B4" w14:textId="07A73D3B" w:rsidR="00315466" w:rsidRPr="00A4536F" w:rsidRDefault="001D4E15" w:rsidP="00E4398D">
      <w:pPr>
        <w:pStyle w:val="Caption"/>
        <w:keepNext/>
        <w:spacing w:after="120" w:line="276" w:lineRule="auto"/>
        <w:jc w:val="left"/>
        <w:rPr>
          <w:rFonts w:cs="Calibri"/>
          <w:color w:val="auto"/>
        </w:rPr>
      </w:pPr>
      <w:bookmarkStart w:id="50" w:name="_Toc170415435"/>
      <w:r w:rsidRPr="00A4536F">
        <w:rPr>
          <w:rFonts w:cs="Calibri"/>
          <w:color w:val="auto"/>
        </w:rPr>
        <w:t xml:space="preserve">Table </w:t>
      </w:r>
      <w:r w:rsidR="007C4710">
        <w:rPr>
          <w:rFonts w:cs="Calibri"/>
          <w:color w:val="auto"/>
        </w:rPr>
        <w:t>4</w:t>
      </w:r>
      <w:r w:rsidRPr="00A4536F">
        <w:rPr>
          <w:rFonts w:cs="Calibri"/>
          <w:color w:val="auto"/>
        </w:rPr>
        <w:t>: Survey for Beneficiaries</w:t>
      </w:r>
      <w:bookmarkEnd w:id="50"/>
    </w:p>
    <w:tbl>
      <w:tblPr>
        <w:tblW w:w="8921" w:type="dxa"/>
        <w:tblLayout w:type="fixed"/>
        <w:tblLook w:val="04A0" w:firstRow="1" w:lastRow="0" w:firstColumn="1" w:lastColumn="0" w:noHBand="0" w:noVBand="1"/>
      </w:tblPr>
      <w:tblGrid>
        <w:gridCol w:w="1266"/>
        <w:gridCol w:w="1134"/>
        <w:gridCol w:w="1559"/>
        <w:gridCol w:w="1560"/>
        <w:gridCol w:w="1275"/>
        <w:gridCol w:w="1276"/>
        <w:gridCol w:w="851"/>
      </w:tblGrid>
      <w:tr w:rsidR="00090EFB" w:rsidRPr="00A07969" w14:paraId="6ED5CCBA" w14:textId="77777777" w:rsidTr="002E7B6C">
        <w:trPr>
          <w:trHeight w:val="315"/>
        </w:trPr>
        <w:tc>
          <w:tcPr>
            <w:tcW w:w="1266" w:type="dxa"/>
            <w:tcBorders>
              <w:top w:val="nil"/>
              <w:left w:val="single" w:sz="8" w:space="0" w:color="9B95C9"/>
              <w:bottom w:val="single" w:sz="8" w:space="0" w:color="9B95C9"/>
              <w:right w:val="single" w:sz="8" w:space="0" w:color="9B95C9"/>
            </w:tcBorders>
            <w:shd w:val="clear" w:color="auto" w:fill="FFFFFF" w:themeFill="background1"/>
          </w:tcPr>
          <w:p w14:paraId="54CA4AE6" w14:textId="4283F93D" w:rsidR="00315466" w:rsidRPr="00A07969" w:rsidRDefault="001D4E15" w:rsidP="00E4398D">
            <w:pPr>
              <w:spacing w:before="0" w:after="120"/>
              <w:rPr>
                <w:rFonts w:cs="Calibri"/>
                <w:b/>
                <w:bCs/>
                <w:color w:val="auto"/>
                <w:szCs w:val="18"/>
              </w:rPr>
            </w:pPr>
            <w:r w:rsidRPr="00A07969">
              <w:rPr>
                <w:rFonts w:cs="Calibri"/>
                <w:b/>
                <w:bCs/>
                <w:color w:val="auto"/>
                <w:szCs w:val="18"/>
              </w:rPr>
              <w:t> </w:t>
            </w:r>
            <w:r w:rsidR="005C0067" w:rsidRPr="00A07969">
              <w:rPr>
                <w:rFonts w:cs="Calibri"/>
                <w:b/>
                <w:bCs/>
                <w:color w:val="auto"/>
                <w:szCs w:val="18"/>
              </w:rPr>
              <w:t>Project</w:t>
            </w:r>
          </w:p>
        </w:tc>
        <w:tc>
          <w:tcPr>
            <w:tcW w:w="1134" w:type="dxa"/>
            <w:tcBorders>
              <w:top w:val="nil"/>
              <w:left w:val="nil"/>
              <w:bottom w:val="single" w:sz="8" w:space="0" w:color="9B95C9"/>
              <w:right w:val="single" w:sz="8" w:space="0" w:color="9B95C9"/>
            </w:tcBorders>
            <w:shd w:val="clear" w:color="auto" w:fill="FFFFFF" w:themeFill="background1"/>
          </w:tcPr>
          <w:p w14:paraId="6FA83F28" w14:textId="681E52B0" w:rsidR="00315466" w:rsidRPr="00A07969" w:rsidRDefault="005C0067" w:rsidP="00E4398D">
            <w:pPr>
              <w:spacing w:before="0" w:after="120"/>
              <w:rPr>
                <w:rFonts w:cs="Calibri"/>
                <w:b/>
                <w:bCs/>
                <w:color w:val="auto"/>
                <w:szCs w:val="18"/>
              </w:rPr>
            </w:pPr>
            <w:r w:rsidRPr="00A07969">
              <w:rPr>
                <w:rFonts w:cs="Calibri"/>
                <w:b/>
                <w:bCs/>
                <w:color w:val="auto"/>
                <w:szCs w:val="18"/>
              </w:rPr>
              <w:t>Region</w:t>
            </w:r>
          </w:p>
        </w:tc>
        <w:tc>
          <w:tcPr>
            <w:tcW w:w="1559" w:type="dxa"/>
            <w:tcBorders>
              <w:top w:val="nil"/>
              <w:left w:val="nil"/>
              <w:bottom w:val="single" w:sz="8" w:space="0" w:color="9B95C9"/>
              <w:right w:val="single" w:sz="8" w:space="0" w:color="9B95C9"/>
            </w:tcBorders>
            <w:shd w:val="clear" w:color="auto" w:fill="FFFFFF" w:themeFill="background1"/>
          </w:tcPr>
          <w:p w14:paraId="248BC710" w14:textId="0D4D8C6D" w:rsidR="00315466" w:rsidRPr="00A07969" w:rsidRDefault="001D4E15" w:rsidP="00E4398D">
            <w:pPr>
              <w:spacing w:before="0" w:after="120"/>
              <w:rPr>
                <w:rFonts w:cs="Calibri"/>
                <w:b/>
                <w:bCs/>
                <w:color w:val="auto"/>
                <w:szCs w:val="18"/>
              </w:rPr>
            </w:pPr>
            <w:r w:rsidRPr="00A07969">
              <w:rPr>
                <w:rFonts w:cs="Calibri"/>
                <w:b/>
                <w:bCs/>
                <w:color w:val="auto"/>
                <w:szCs w:val="18"/>
              </w:rPr>
              <w:t>Male</w:t>
            </w:r>
            <w:r w:rsidR="00A07969" w:rsidRPr="00A07969">
              <w:rPr>
                <w:rFonts w:cs="Calibri"/>
                <w:b/>
                <w:bCs/>
                <w:color w:val="auto"/>
                <w:szCs w:val="18"/>
              </w:rPr>
              <w:t xml:space="preserve"> </w:t>
            </w:r>
            <w:r w:rsidR="002E7B6C" w:rsidRPr="00A07969">
              <w:rPr>
                <w:rFonts w:cs="Calibri"/>
                <w:b/>
                <w:bCs/>
                <w:color w:val="auto"/>
                <w:szCs w:val="18"/>
              </w:rPr>
              <w:t>respondents</w:t>
            </w:r>
          </w:p>
        </w:tc>
        <w:tc>
          <w:tcPr>
            <w:tcW w:w="1560" w:type="dxa"/>
            <w:tcBorders>
              <w:top w:val="nil"/>
              <w:left w:val="nil"/>
              <w:bottom w:val="single" w:sz="8" w:space="0" w:color="9B95C9"/>
              <w:right w:val="single" w:sz="8" w:space="0" w:color="9B95C9"/>
            </w:tcBorders>
            <w:shd w:val="clear" w:color="auto" w:fill="FFFFFF" w:themeFill="background1"/>
          </w:tcPr>
          <w:p w14:paraId="21606916" w14:textId="2629E6DA" w:rsidR="00315466" w:rsidRPr="00A07969" w:rsidRDefault="001D4E15" w:rsidP="00E4398D">
            <w:pPr>
              <w:spacing w:before="0" w:after="120"/>
              <w:rPr>
                <w:rFonts w:cs="Calibri"/>
                <w:b/>
                <w:bCs/>
                <w:color w:val="auto"/>
                <w:szCs w:val="18"/>
              </w:rPr>
            </w:pPr>
            <w:r w:rsidRPr="00A07969">
              <w:rPr>
                <w:rFonts w:cs="Calibri"/>
                <w:b/>
                <w:bCs/>
                <w:color w:val="auto"/>
                <w:szCs w:val="18"/>
              </w:rPr>
              <w:t>Female</w:t>
            </w:r>
            <w:r w:rsidR="00A07969" w:rsidRPr="00A07969">
              <w:rPr>
                <w:rFonts w:cs="Calibri"/>
                <w:b/>
                <w:bCs/>
                <w:color w:val="auto"/>
                <w:szCs w:val="18"/>
              </w:rPr>
              <w:t xml:space="preserve"> respondent</w:t>
            </w:r>
            <w:r w:rsidRPr="00A07969">
              <w:rPr>
                <w:rFonts w:cs="Calibri"/>
                <w:b/>
                <w:bCs/>
                <w:color w:val="auto"/>
                <w:szCs w:val="18"/>
              </w:rPr>
              <w:t>s</w:t>
            </w:r>
          </w:p>
        </w:tc>
        <w:tc>
          <w:tcPr>
            <w:tcW w:w="1275" w:type="dxa"/>
            <w:tcBorders>
              <w:top w:val="nil"/>
              <w:left w:val="nil"/>
              <w:bottom w:val="single" w:sz="8" w:space="0" w:color="9B95C9"/>
              <w:right w:val="single" w:sz="8" w:space="0" w:color="9B95C9"/>
            </w:tcBorders>
            <w:shd w:val="clear" w:color="auto" w:fill="FFFFFF" w:themeFill="background1"/>
          </w:tcPr>
          <w:p w14:paraId="0AAC3448" w14:textId="20B7BB07" w:rsidR="00315466" w:rsidRPr="00A07969" w:rsidRDefault="001D4E15" w:rsidP="00E4398D">
            <w:pPr>
              <w:spacing w:before="0" w:after="120"/>
              <w:rPr>
                <w:rFonts w:cs="Calibri"/>
                <w:b/>
                <w:bCs/>
                <w:color w:val="auto"/>
                <w:szCs w:val="18"/>
              </w:rPr>
            </w:pPr>
            <w:r w:rsidRPr="00A07969">
              <w:rPr>
                <w:rFonts w:cs="Calibri"/>
                <w:b/>
                <w:bCs/>
                <w:color w:val="auto"/>
                <w:szCs w:val="18"/>
              </w:rPr>
              <w:t>Males</w:t>
            </w:r>
            <w:r w:rsidR="00A07969" w:rsidRPr="00A07969">
              <w:rPr>
                <w:rFonts w:cs="Calibri"/>
                <w:b/>
                <w:bCs/>
                <w:color w:val="auto"/>
                <w:szCs w:val="18"/>
              </w:rPr>
              <w:t xml:space="preserve"> with disability</w:t>
            </w:r>
          </w:p>
        </w:tc>
        <w:tc>
          <w:tcPr>
            <w:tcW w:w="1276" w:type="dxa"/>
            <w:tcBorders>
              <w:top w:val="nil"/>
              <w:left w:val="nil"/>
              <w:bottom w:val="single" w:sz="8" w:space="0" w:color="9B95C9"/>
              <w:right w:val="single" w:sz="8" w:space="0" w:color="9B95C9"/>
            </w:tcBorders>
            <w:shd w:val="clear" w:color="auto" w:fill="FFFFFF" w:themeFill="background1"/>
          </w:tcPr>
          <w:p w14:paraId="0B5E65FB" w14:textId="748848A6" w:rsidR="00315466" w:rsidRPr="00A07969" w:rsidRDefault="001D4E15" w:rsidP="00E4398D">
            <w:pPr>
              <w:spacing w:before="0" w:after="120"/>
              <w:rPr>
                <w:rFonts w:cs="Calibri"/>
                <w:b/>
                <w:bCs/>
                <w:color w:val="auto"/>
                <w:szCs w:val="18"/>
              </w:rPr>
            </w:pPr>
            <w:r w:rsidRPr="00A07969">
              <w:rPr>
                <w:rFonts w:cs="Calibri"/>
                <w:b/>
                <w:bCs/>
                <w:color w:val="auto"/>
                <w:szCs w:val="18"/>
              </w:rPr>
              <w:t>Female</w:t>
            </w:r>
            <w:r w:rsidR="00A07969">
              <w:rPr>
                <w:rFonts w:cs="Calibri"/>
                <w:b/>
                <w:bCs/>
                <w:color w:val="auto"/>
                <w:szCs w:val="18"/>
              </w:rPr>
              <w:t>s</w:t>
            </w:r>
            <w:r w:rsidR="00A07969" w:rsidRPr="00A07969">
              <w:rPr>
                <w:rFonts w:cs="Calibri"/>
                <w:b/>
                <w:bCs/>
                <w:color w:val="auto"/>
                <w:szCs w:val="18"/>
              </w:rPr>
              <w:t xml:space="preserve"> with disability</w:t>
            </w:r>
          </w:p>
        </w:tc>
        <w:tc>
          <w:tcPr>
            <w:tcW w:w="851" w:type="dxa"/>
            <w:tcBorders>
              <w:top w:val="single" w:sz="8" w:space="0" w:color="5C52A3"/>
              <w:left w:val="nil"/>
              <w:bottom w:val="single" w:sz="8" w:space="0" w:color="9B95C9"/>
              <w:right w:val="single" w:sz="8" w:space="0" w:color="9B95C9"/>
            </w:tcBorders>
            <w:shd w:val="clear" w:color="auto" w:fill="FFFFFF" w:themeFill="background1"/>
          </w:tcPr>
          <w:p w14:paraId="3F7B0E06" w14:textId="6E489FF7" w:rsidR="00315466" w:rsidRPr="00A07969" w:rsidRDefault="005C0067" w:rsidP="00E4398D">
            <w:pPr>
              <w:spacing w:before="0" w:after="120"/>
              <w:rPr>
                <w:rFonts w:cs="Calibri"/>
                <w:b/>
                <w:bCs/>
                <w:color w:val="auto"/>
                <w:szCs w:val="18"/>
              </w:rPr>
            </w:pPr>
            <w:r w:rsidRPr="00A07969">
              <w:rPr>
                <w:rFonts w:cs="Calibri"/>
                <w:b/>
                <w:bCs/>
                <w:color w:val="auto"/>
                <w:szCs w:val="18"/>
              </w:rPr>
              <w:t>Total</w:t>
            </w:r>
          </w:p>
        </w:tc>
      </w:tr>
      <w:tr w:rsidR="00090EFB" w:rsidRPr="00A4536F" w14:paraId="3B01C6F3" w14:textId="77777777" w:rsidTr="002E7B6C">
        <w:trPr>
          <w:trHeight w:val="315"/>
        </w:trPr>
        <w:tc>
          <w:tcPr>
            <w:tcW w:w="1266" w:type="dxa"/>
            <w:tcBorders>
              <w:top w:val="nil"/>
              <w:left w:val="single" w:sz="8" w:space="0" w:color="9B95C9"/>
              <w:bottom w:val="single" w:sz="8" w:space="0" w:color="9B95C9"/>
              <w:right w:val="single" w:sz="8" w:space="0" w:color="9B95C9"/>
            </w:tcBorders>
            <w:shd w:val="clear" w:color="auto" w:fill="FFFFFF" w:themeFill="background1"/>
          </w:tcPr>
          <w:p w14:paraId="1B1BDF87"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Plan Intl. (Ethiopia)</w:t>
            </w:r>
          </w:p>
        </w:tc>
        <w:tc>
          <w:tcPr>
            <w:tcW w:w="1134" w:type="dxa"/>
            <w:tcBorders>
              <w:top w:val="nil"/>
              <w:left w:val="nil"/>
              <w:bottom w:val="single" w:sz="8" w:space="0" w:color="9B95C9"/>
              <w:right w:val="single" w:sz="8" w:space="0" w:color="9B95C9"/>
            </w:tcBorders>
            <w:shd w:val="clear" w:color="auto" w:fill="FFFFFF" w:themeFill="background1"/>
          </w:tcPr>
          <w:p w14:paraId="175AFD83"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Oromia </w:t>
            </w:r>
          </w:p>
        </w:tc>
        <w:tc>
          <w:tcPr>
            <w:tcW w:w="1559" w:type="dxa"/>
            <w:tcBorders>
              <w:top w:val="nil"/>
              <w:left w:val="nil"/>
              <w:bottom w:val="single" w:sz="8" w:space="0" w:color="9B95C9"/>
              <w:right w:val="single" w:sz="8" w:space="0" w:color="9B95C9"/>
            </w:tcBorders>
            <w:shd w:val="clear" w:color="auto" w:fill="FFFFFF" w:themeFill="background1"/>
          </w:tcPr>
          <w:p w14:paraId="18BC384D" w14:textId="77777777" w:rsidR="00315466" w:rsidRPr="00A4536F" w:rsidRDefault="001D4E15" w:rsidP="00E4398D">
            <w:pPr>
              <w:spacing w:before="0" w:after="120"/>
              <w:rPr>
                <w:rFonts w:cs="Calibri"/>
                <w:color w:val="auto"/>
                <w:szCs w:val="18"/>
              </w:rPr>
            </w:pPr>
            <w:r w:rsidRPr="00A4536F">
              <w:rPr>
                <w:rFonts w:cs="Calibri"/>
                <w:color w:val="auto"/>
                <w:szCs w:val="18"/>
              </w:rPr>
              <w:t>63</w:t>
            </w:r>
          </w:p>
        </w:tc>
        <w:tc>
          <w:tcPr>
            <w:tcW w:w="1560" w:type="dxa"/>
            <w:tcBorders>
              <w:top w:val="nil"/>
              <w:left w:val="nil"/>
              <w:bottom w:val="single" w:sz="8" w:space="0" w:color="9B95C9"/>
              <w:right w:val="single" w:sz="8" w:space="0" w:color="9B95C9"/>
            </w:tcBorders>
            <w:shd w:val="clear" w:color="auto" w:fill="FFFFFF" w:themeFill="background1"/>
          </w:tcPr>
          <w:p w14:paraId="07C88DCF" w14:textId="77777777" w:rsidR="00315466" w:rsidRPr="00A4536F" w:rsidRDefault="001D4E15" w:rsidP="00E4398D">
            <w:pPr>
              <w:spacing w:before="0" w:after="120"/>
              <w:rPr>
                <w:rFonts w:cs="Calibri"/>
                <w:color w:val="auto"/>
                <w:szCs w:val="18"/>
              </w:rPr>
            </w:pPr>
            <w:r w:rsidRPr="00A4536F">
              <w:rPr>
                <w:rFonts w:cs="Calibri"/>
                <w:color w:val="auto"/>
                <w:szCs w:val="18"/>
              </w:rPr>
              <w:t>63</w:t>
            </w:r>
          </w:p>
        </w:tc>
        <w:tc>
          <w:tcPr>
            <w:tcW w:w="1275" w:type="dxa"/>
            <w:tcBorders>
              <w:top w:val="nil"/>
              <w:left w:val="nil"/>
              <w:bottom w:val="single" w:sz="8" w:space="0" w:color="9B95C9"/>
              <w:right w:val="single" w:sz="8" w:space="0" w:color="9B95C9"/>
            </w:tcBorders>
            <w:shd w:val="clear" w:color="auto" w:fill="FFFFFF" w:themeFill="background1"/>
          </w:tcPr>
          <w:p w14:paraId="33F4FBA4" w14:textId="77777777" w:rsidR="00315466" w:rsidRPr="00A4536F" w:rsidRDefault="001D4E15" w:rsidP="00E4398D">
            <w:pPr>
              <w:spacing w:before="0" w:after="120"/>
              <w:rPr>
                <w:rFonts w:cs="Calibri"/>
                <w:color w:val="auto"/>
                <w:szCs w:val="18"/>
              </w:rPr>
            </w:pPr>
            <w:r w:rsidRPr="00A4536F">
              <w:rPr>
                <w:rFonts w:cs="Calibri"/>
                <w:color w:val="auto"/>
                <w:szCs w:val="18"/>
              </w:rPr>
              <w:t>3</w:t>
            </w:r>
          </w:p>
        </w:tc>
        <w:tc>
          <w:tcPr>
            <w:tcW w:w="1276" w:type="dxa"/>
            <w:tcBorders>
              <w:top w:val="nil"/>
              <w:left w:val="nil"/>
              <w:bottom w:val="single" w:sz="8" w:space="0" w:color="9B95C9"/>
              <w:right w:val="single" w:sz="8" w:space="0" w:color="9B95C9"/>
            </w:tcBorders>
            <w:shd w:val="clear" w:color="auto" w:fill="FFFFFF" w:themeFill="background1"/>
          </w:tcPr>
          <w:p w14:paraId="58669A51" w14:textId="77777777" w:rsidR="00315466" w:rsidRPr="00A4536F" w:rsidRDefault="001D4E15" w:rsidP="00E4398D">
            <w:pPr>
              <w:spacing w:before="0" w:after="120"/>
              <w:rPr>
                <w:rFonts w:cs="Calibri"/>
                <w:color w:val="auto"/>
                <w:szCs w:val="18"/>
              </w:rPr>
            </w:pPr>
            <w:r w:rsidRPr="00A4536F">
              <w:rPr>
                <w:rFonts w:cs="Calibri"/>
                <w:color w:val="auto"/>
                <w:szCs w:val="18"/>
              </w:rPr>
              <w:t>2</w:t>
            </w:r>
          </w:p>
        </w:tc>
        <w:tc>
          <w:tcPr>
            <w:tcW w:w="851" w:type="dxa"/>
            <w:tcBorders>
              <w:top w:val="single" w:sz="8" w:space="0" w:color="9B95C9"/>
              <w:left w:val="nil"/>
              <w:bottom w:val="single" w:sz="8" w:space="0" w:color="9B95C9"/>
              <w:right w:val="single" w:sz="8" w:space="0" w:color="9B95C9"/>
            </w:tcBorders>
            <w:shd w:val="clear" w:color="auto" w:fill="FFFFFF" w:themeFill="background1"/>
          </w:tcPr>
          <w:p w14:paraId="733B0A29" w14:textId="77777777" w:rsidR="00315466" w:rsidRPr="00A4536F" w:rsidRDefault="001D4E15" w:rsidP="00E4398D">
            <w:pPr>
              <w:spacing w:before="0" w:after="120"/>
              <w:rPr>
                <w:rFonts w:cs="Calibri"/>
                <w:color w:val="auto"/>
                <w:szCs w:val="18"/>
              </w:rPr>
            </w:pPr>
            <w:r w:rsidRPr="00A4536F">
              <w:rPr>
                <w:rFonts w:cs="Calibri"/>
                <w:color w:val="auto"/>
                <w:szCs w:val="18"/>
              </w:rPr>
              <w:t>126</w:t>
            </w:r>
          </w:p>
        </w:tc>
      </w:tr>
      <w:tr w:rsidR="00090EFB" w:rsidRPr="00A4536F" w14:paraId="632CF479" w14:textId="77777777" w:rsidTr="002E7B6C">
        <w:trPr>
          <w:trHeight w:val="315"/>
        </w:trPr>
        <w:tc>
          <w:tcPr>
            <w:tcW w:w="1266" w:type="dxa"/>
            <w:tcBorders>
              <w:top w:val="nil"/>
              <w:left w:val="single" w:sz="8" w:space="0" w:color="9B95C9"/>
              <w:bottom w:val="single" w:sz="8" w:space="0" w:color="9B95C9"/>
              <w:right w:val="single" w:sz="8" w:space="0" w:color="9B95C9"/>
            </w:tcBorders>
            <w:shd w:val="clear" w:color="auto" w:fill="FFFFFF" w:themeFill="background1"/>
            <w:vAlign w:val="center"/>
          </w:tcPr>
          <w:p w14:paraId="4E3A1C16" w14:textId="0CB54817" w:rsidR="00315466" w:rsidRPr="00A4536F" w:rsidRDefault="00A07969" w:rsidP="00E4398D">
            <w:pPr>
              <w:spacing w:before="0" w:after="120"/>
              <w:rPr>
                <w:rFonts w:cs="Calibri"/>
                <w:b/>
                <w:bCs/>
                <w:color w:val="auto"/>
                <w:szCs w:val="18"/>
              </w:rPr>
            </w:pPr>
            <w:r w:rsidRPr="00A4536F">
              <w:rPr>
                <w:rFonts w:cs="Calibri"/>
                <w:b/>
                <w:bCs/>
                <w:color w:val="auto"/>
                <w:szCs w:val="18"/>
              </w:rPr>
              <w:t>Plan Intl. (Ethiopia)</w:t>
            </w:r>
          </w:p>
        </w:tc>
        <w:tc>
          <w:tcPr>
            <w:tcW w:w="1134" w:type="dxa"/>
            <w:tcBorders>
              <w:top w:val="nil"/>
              <w:left w:val="nil"/>
              <w:bottom w:val="single" w:sz="8" w:space="0" w:color="9B95C9"/>
              <w:right w:val="single" w:sz="8" w:space="0" w:color="9B95C9"/>
            </w:tcBorders>
            <w:shd w:val="clear" w:color="auto" w:fill="FFFFFF" w:themeFill="background1"/>
          </w:tcPr>
          <w:p w14:paraId="26546098"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Somali </w:t>
            </w:r>
          </w:p>
        </w:tc>
        <w:tc>
          <w:tcPr>
            <w:tcW w:w="1559" w:type="dxa"/>
            <w:tcBorders>
              <w:top w:val="nil"/>
              <w:left w:val="nil"/>
              <w:bottom w:val="single" w:sz="8" w:space="0" w:color="9B95C9"/>
              <w:right w:val="single" w:sz="8" w:space="0" w:color="9B95C9"/>
            </w:tcBorders>
            <w:shd w:val="clear" w:color="auto" w:fill="FFFFFF" w:themeFill="background1"/>
          </w:tcPr>
          <w:p w14:paraId="0E0A7094" w14:textId="77777777" w:rsidR="00315466" w:rsidRPr="00A4536F" w:rsidRDefault="001D4E15" w:rsidP="00E4398D">
            <w:pPr>
              <w:spacing w:before="0" w:after="120"/>
              <w:rPr>
                <w:rFonts w:cs="Calibri"/>
                <w:color w:val="auto"/>
                <w:szCs w:val="18"/>
              </w:rPr>
            </w:pPr>
            <w:r w:rsidRPr="00A4536F">
              <w:rPr>
                <w:rFonts w:cs="Calibri"/>
                <w:color w:val="auto"/>
                <w:szCs w:val="18"/>
              </w:rPr>
              <w:t>20</w:t>
            </w:r>
          </w:p>
        </w:tc>
        <w:tc>
          <w:tcPr>
            <w:tcW w:w="1560" w:type="dxa"/>
            <w:tcBorders>
              <w:top w:val="nil"/>
              <w:left w:val="nil"/>
              <w:bottom w:val="single" w:sz="8" w:space="0" w:color="9B95C9"/>
              <w:right w:val="single" w:sz="8" w:space="0" w:color="9B95C9"/>
            </w:tcBorders>
            <w:shd w:val="clear" w:color="auto" w:fill="FFFFFF" w:themeFill="background1"/>
          </w:tcPr>
          <w:p w14:paraId="418D8A93" w14:textId="77777777" w:rsidR="00315466" w:rsidRPr="00A4536F" w:rsidRDefault="001D4E15" w:rsidP="00E4398D">
            <w:pPr>
              <w:spacing w:before="0" w:after="120"/>
              <w:rPr>
                <w:rFonts w:cs="Calibri"/>
                <w:color w:val="auto"/>
                <w:szCs w:val="18"/>
              </w:rPr>
            </w:pPr>
            <w:r w:rsidRPr="00A4536F">
              <w:rPr>
                <w:rFonts w:cs="Calibri"/>
                <w:color w:val="auto"/>
                <w:szCs w:val="18"/>
              </w:rPr>
              <w:t>68</w:t>
            </w:r>
          </w:p>
        </w:tc>
        <w:tc>
          <w:tcPr>
            <w:tcW w:w="1275" w:type="dxa"/>
            <w:tcBorders>
              <w:top w:val="nil"/>
              <w:left w:val="nil"/>
              <w:bottom w:val="single" w:sz="8" w:space="0" w:color="9B95C9"/>
              <w:right w:val="single" w:sz="8" w:space="0" w:color="9B95C9"/>
            </w:tcBorders>
            <w:shd w:val="clear" w:color="auto" w:fill="FFFFFF" w:themeFill="background1"/>
          </w:tcPr>
          <w:p w14:paraId="6E09F4B4" w14:textId="77777777" w:rsidR="00315466" w:rsidRPr="00A4536F" w:rsidRDefault="001D4E15" w:rsidP="00E4398D">
            <w:pPr>
              <w:spacing w:before="0" w:after="120"/>
              <w:rPr>
                <w:rFonts w:cs="Calibri"/>
                <w:color w:val="auto"/>
                <w:szCs w:val="18"/>
              </w:rPr>
            </w:pPr>
            <w:r w:rsidRPr="00A4536F">
              <w:rPr>
                <w:rFonts w:cs="Calibri"/>
                <w:color w:val="auto"/>
                <w:szCs w:val="18"/>
              </w:rPr>
              <w:t>3</w:t>
            </w:r>
          </w:p>
        </w:tc>
        <w:tc>
          <w:tcPr>
            <w:tcW w:w="1276" w:type="dxa"/>
            <w:tcBorders>
              <w:top w:val="nil"/>
              <w:left w:val="nil"/>
              <w:bottom w:val="single" w:sz="8" w:space="0" w:color="9B95C9"/>
              <w:right w:val="single" w:sz="8" w:space="0" w:color="9B95C9"/>
            </w:tcBorders>
            <w:shd w:val="clear" w:color="auto" w:fill="FFFFFF" w:themeFill="background1"/>
          </w:tcPr>
          <w:p w14:paraId="0EFD8C4A" w14:textId="77777777" w:rsidR="00315466" w:rsidRPr="00A4536F" w:rsidRDefault="001D4E15" w:rsidP="00E4398D">
            <w:pPr>
              <w:spacing w:before="0" w:after="120"/>
              <w:rPr>
                <w:rFonts w:cs="Calibri"/>
                <w:color w:val="auto"/>
                <w:szCs w:val="18"/>
              </w:rPr>
            </w:pPr>
            <w:r w:rsidRPr="00A4536F">
              <w:rPr>
                <w:rFonts w:cs="Calibri"/>
                <w:color w:val="auto"/>
                <w:szCs w:val="18"/>
              </w:rPr>
              <w:t>5</w:t>
            </w:r>
          </w:p>
        </w:tc>
        <w:tc>
          <w:tcPr>
            <w:tcW w:w="851" w:type="dxa"/>
            <w:tcBorders>
              <w:top w:val="single" w:sz="8" w:space="0" w:color="9B95C9"/>
              <w:left w:val="nil"/>
              <w:bottom w:val="single" w:sz="8" w:space="0" w:color="9B95C9"/>
              <w:right w:val="single" w:sz="8" w:space="0" w:color="9B95C9"/>
            </w:tcBorders>
            <w:shd w:val="clear" w:color="auto" w:fill="FFFFFF" w:themeFill="background1"/>
          </w:tcPr>
          <w:p w14:paraId="2FFB9FC4" w14:textId="77777777" w:rsidR="00315466" w:rsidRPr="00A4536F" w:rsidRDefault="001D4E15" w:rsidP="00E4398D">
            <w:pPr>
              <w:spacing w:before="0" w:after="120"/>
              <w:rPr>
                <w:rFonts w:cs="Calibri"/>
                <w:color w:val="auto"/>
                <w:szCs w:val="18"/>
              </w:rPr>
            </w:pPr>
            <w:r w:rsidRPr="00A4536F">
              <w:rPr>
                <w:rFonts w:cs="Calibri"/>
                <w:color w:val="auto"/>
                <w:szCs w:val="18"/>
              </w:rPr>
              <w:t>88</w:t>
            </w:r>
          </w:p>
        </w:tc>
      </w:tr>
      <w:tr w:rsidR="00090EFB" w:rsidRPr="00A4536F" w14:paraId="1A2AE5C4" w14:textId="77777777" w:rsidTr="002E7B6C">
        <w:trPr>
          <w:trHeight w:val="315"/>
        </w:trPr>
        <w:tc>
          <w:tcPr>
            <w:tcW w:w="1266" w:type="dxa"/>
            <w:tcBorders>
              <w:top w:val="nil"/>
              <w:left w:val="single" w:sz="8" w:space="0" w:color="9B95C9"/>
              <w:bottom w:val="single" w:sz="8" w:space="0" w:color="9B95C9"/>
              <w:right w:val="single" w:sz="8" w:space="0" w:color="9B95C9"/>
            </w:tcBorders>
            <w:shd w:val="clear" w:color="auto" w:fill="FFFFFF" w:themeFill="background1"/>
            <w:vAlign w:val="center"/>
          </w:tcPr>
          <w:p w14:paraId="4EABB0BB" w14:textId="219B504F" w:rsidR="00315466" w:rsidRPr="00A4536F" w:rsidRDefault="00A07969" w:rsidP="00E4398D">
            <w:pPr>
              <w:spacing w:before="0" w:after="120"/>
              <w:rPr>
                <w:rFonts w:cs="Calibri"/>
                <w:b/>
                <w:bCs/>
                <w:color w:val="auto"/>
                <w:szCs w:val="18"/>
              </w:rPr>
            </w:pPr>
            <w:r w:rsidRPr="00A4536F">
              <w:rPr>
                <w:rFonts w:cs="Calibri"/>
                <w:b/>
                <w:bCs/>
                <w:color w:val="auto"/>
                <w:szCs w:val="18"/>
              </w:rPr>
              <w:t>Plan Intl. (Ethiopia)</w:t>
            </w:r>
          </w:p>
        </w:tc>
        <w:tc>
          <w:tcPr>
            <w:tcW w:w="1134" w:type="dxa"/>
            <w:tcBorders>
              <w:top w:val="nil"/>
              <w:left w:val="nil"/>
              <w:bottom w:val="single" w:sz="8" w:space="0" w:color="9B95C9"/>
              <w:right w:val="single" w:sz="8" w:space="0" w:color="9B95C9"/>
            </w:tcBorders>
            <w:shd w:val="clear" w:color="auto" w:fill="FFFFFF" w:themeFill="background1"/>
          </w:tcPr>
          <w:p w14:paraId="2BA7C98E"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Tigray </w:t>
            </w:r>
          </w:p>
        </w:tc>
        <w:tc>
          <w:tcPr>
            <w:tcW w:w="1559" w:type="dxa"/>
            <w:tcBorders>
              <w:top w:val="nil"/>
              <w:left w:val="nil"/>
              <w:bottom w:val="single" w:sz="8" w:space="0" w:color="9B95C9"/>
              <w:right w:val="single" w:sz="8" w:space="0" w:color="9B95C9"/>
            </w:tcBorders>
            <w:shd w:val="clear" w:color="auto" w:fill="FFFFFF" w:themeFill="background1"/>
          </w:tcPr>
          <w:p w14:paraId="5EEC1B56" w14:textId="77777777" w:rsidR="00315466" w:rsidRPr="00A4536F" w:rsidRDefault="001D4E15" w:rsidP="00E4398D">
            <w:pPr>
              <w:spacing w:before="0" w:after="120"/>
              <w:rPr>
                <w:rFonts w:cs="Calibri"/>
                <w:color w:val="auto"/>
                <w:szCs w:val="18"/>
              </w:rPr>
            </w:pPr>
            <w:r w:rsidRPr="00A4536F">
              <w:rPr>
                <w:rFonts w:cs="Calibri"/>
                <w:color w:val="auto"/>
                <w:szCs w:val="18"/>
              </w:rPr>
              <w:t>15</w:t>
            </w:r>
          </w:p>
        </w:tc>
        <w:tc>
          <w:tcPr>
            <w:tcW w:w="1560" w:type="dxa"/>
            <w:tcBorders>
              <w:top w:val="nil"/>
              <w:left w:val="nil"/>
              <w:bottom w:val="single" w:sz="8" w:space="0" w:color="9B95C9"/>
              <w:right w:val="single" w:sz="8" w:space="0" w:color="9B95C9"/>
            </w:tcBorders>
            <w:shd w:val="clear" w:color="auto" w:fill="FFFFFF" w:themeFill="background1"/>
          </w:tcPr>
          <w:p w14:paraId="22E18869" w14:textId="77777777" w:rsidR="00315466" w:rsidRPr="00A4536F" w:rsidRDefault="001D4E15" w:rsidP="00E4398D">
            <w:pPr>
              <w:spacing w:before="0" w:after="120"/>
              <w:rPr>
                <w:rFonts w:cs="Calibri"/>
                <w:color w:val="auto"/>
                <w:szCs w:val="18"/>
              </w:rPr>
            </w:pPr>
            <w:r w:rsidRPr="00A4536F">
              <w:rPr>
                <w:rFonts w:cs="Calibri"/>
                <w:color w:val="auto"/>
                <w:szCs w:val="18"/>
              </w:rPr>
              <w:t>20</w:t>
            </w:r>
          </w:p>
        </w:tc>
        <w:tc>
          <w:tcPr>
            <w:tcW w:w="1275" w:type="dxa"/>
            <w:tcBorders>
              <w:top w:val="nil"/>
              <w:left w:val="nil"/>
              <w:bottom w:val="single" w:sz="8" w:space="0" w:color="9B95C9"/>
              <w:right w:val="single" w:sz="8" w:space="0" w:color="9B95C9"/>
            </w:tcBorders>
            <w:shd w:val="clear" w:color="auto" w:fill="FFFFFF" w:themeFill="background1"/>
          </w:tcPr>
          <w:p w14:paraId="413AF9A3" w14:textId="77777777" w:rsidR="00315466" w:rsidRPr="00A4536F" w:rsidRDefault="001D4E15" w:rsidP="00E4398D">
            <w:pPr>
              <w:spacing w:before="0" w:after="120"/>
              <w:rPr>
                <w:rFonts w:cs="Calibri"/>
                <w:color w:val="auto"/>
                <w:szCs w:val="18"/>
              </w:rPr>
            </w:pPr>
            <w:r w:rsidRPr="00A4536F">
              <w:rPr>
                <w:rFonts w:cs="Calibri"/>
                <w:color w:val="auto"/>
                <w:szCs w:val="18"/>
              </w:rPr>
              <w:t>7</w:t>
            </w:r>
          </w:p>
        </w:tc>
        <w:tc>
          <w:tcPr>
            <w:tcW w:w="1276" w:type="dxa"/>
            <w:tcBorders>
              <w:top w:val="nil"/>
              <w:left w:val="nil"/>
              <w:bottom w:val="single" w:sz="8" w:space="0" w:color="9B95C9"/>
              <w:right w:val="single" w:sz="8" w:space="0" w:color="9B95C9"/>
            </w:tcBorders>
            <w:shd w:val="clear" w:color="auto" w:fill="FFFFFF" w:themeFill="background1"/>
          </w:tcPr>
          <w:p w14:paraId="0E87C5B9" w14:textId="77777777" w:rsidR="00315466" w:rsidRPr="00A4536F" w:rsidRDefault="001D4E15" w:rsidP="00E4398D">
            <w:pPr>
              <w:spacing w:before="0" w:after="120"/>
              <w:rPr>
                <w:rFonts w:cs="Calibri"/>
                <w:color w:val="auto"/>
                <w:szCs w:val="18"/>
              </w:rPr>
            </w:pPr>
            <w:r w:rsidRPr="00A4536F">
              <w:rPr>
                <w:rFonts w:cs="Calibri"/>
                <w:color w:val="auto"/>
                <w:szCs w:val="18"/>
              </w:rPr>
              <w:t>1</w:t>
            </w:r>
          </w:p>
        </w:tc>
        <w:tc>
          <w:tcPr>
            <w:tcW w:w="851" w:type="dxa"/>
            <w:tcBorders>
              <w:top w:val="single" w:sz="8" w:space="0" w:color="9B95C9"/>
              <w:left w:val="nil"/>
              <w:bottom w:val="single" w:sz="8" w:space="0" w:color="9B95C9"/>
              <w:right w:val="single" w:sz="8" w:space="0" w:color="9B95C9"/>
            </w:tcBorders>
            <w:shd w:val="clear" w:color="auto" w:fill="FFFFFF" w:themeFill="background1"/>
          </w:tcPr>
          <w:p w14:paraId="09B90614" w14:textId="77777777" w:rsidR="00315466" w:rsidRPr="00A4536F" w:rsidRDefault="001D4E15" w:rsidP="00E4398D">
            <w:pPr>
              <w:spacing w:before="0" w:after="120"/>
              <w:rPr>
                <w:rFonts w:cs="Calibri"/>
                <w:color w:val="auto"/>
                <w:szCs w:val="18"/>
              </w:rPr>
            </w:pPr>
            <w:r w:rsidRPr="00A4536F">
              <w:rPr>
                <w:rFonts w:cs="Calibri"/>
                <w:color w:val="auto"/>
                <w:szCs w:val="18"/>
              </w:rPr>
              <w:t>35</w:t>
            </w:r>
          </w:p>
        </w:tc>
      </w:tr>
      <w:tr w:rsidR="00A07969" w:rsidRPr="00A4536F" w14:paraId="15009073" w14:textId="77777777" w:rsidTr="002E7B6C">
        <w:trPr>
          <w:trHeight w:val="315"/>
        </w:trPr>
        <w:tc>
          <w:tcPr>
            <w:tcW w:w="1266" w:type="dxa"/>
            <w:tcBorders>
              <w:top w:val="nil"/>
              <w:left w:val="single" w:sz="8" w:space="0" w:color="9B95C9"/>
              <w:right w:val="single" w:sz="8" w:space="0" w:color="9B95C9"/>
            </w:tcBorders>
            <w:shd w:val="clear" w:color="auto" w:fill="FFFFFF" w:themeFill="background1"/>
          </w:tcPr>
          <w:p w14:paraId="7ABD4207" w14:textId="77777777" w:rsidR="00A07969" w:rsidRPr="00A4536F" w:rsidRDefault="00A07969" w:rsidP="00E4398D">
            <w:pPr>
              <w:spacing w:before="0" w:after="120"/>
              <w:rPr>
                <w:rFonts w:cs="Calibri"/>
                <w:b/>
                <w:bCs/>
                <w:color w:val="auto"/>
                <w:szCs w:val="18"/>
              </w:rPr>
            </w:pPr>
            <w:r w:rsidRPr="00A4536F">
              <w:rPr>
                <w:rFonts w:cs="Calibri"/>
                <w:b/>
                <w:bCs/>
                <w:color w:val="auto"/>
                <w:szCs w:val="18"/>
              </w:rPr>
              <w:t>Oxfam (Ethiopia)</w:t>
            </w:r>
          </w:p>
        </w:tc>
        <w:tc>
          <w:tcPr>
            <w:tcW w:w="1134" w:type="dxa"/>
            <w:tcBorders>
              <w:top w:val="nil"/>
              <w:left w:val="nil"/>
              <w:bottom w:val="single" w:sz="8" w:space="0" w:color="9B95C9"/>
              <w:right w:val="single" w:sz="8" w:space="0" w:color="9B95C9"/>
            </w:tcBorders>
            <w:shd w:val="clear" w:color="auto" w:fill="FFFFFF" w:themeFill="background1"/>
          </w:tcPr>
          <w:p w14:paraId="499AFEBA" w14:textId="77777777" w:rsidR="00A07969" w:rsidRPr="00A4536F" w:rsidRDefault="00A07969" w:rsidP="00E4398D">
            <w:pPr>
              <w:spacing w:before="0" w:after="120"/>
              <w:rPr>
                <w:rFonts w:cs="Calibri"/>
                <w:color w:val="auto"/>
                <w:szCs w:val="18"/>
              </w:rPr>
            </w:pPr>
            <w:r w:rsidRPr="00A4536F">
              <w:rPr>
                <w:rFonts w:cs="Calibri"/>
                <w:color w:val="auto"/>
                <w:szCs w:val="18"/>
              </w:rPr>
              <w:t xml:space="preserve">Afar </w:t>
            </w:r>
          </w:p>
        </w:tc>
        <w:tc>
          <w:tcPr>
            <w:tcW w:w="1559" w:type="dxa"/>
            <w:tcBorders>
              <w:top w:val="nil"/>
              <w:left w:val="nil"/>
              <w:bottom w:val="single" w:sz="8" w:space="0" w:color="9B95C9"/>
              <w:right w:val="single" w:sz="8" w:space="0" w:color="9B95C9"/>
            </w:tcBorders>
            <w:shd w:val="clear" w:color="auto" w:fill="FFFFFF" w:themeFill="background1"/>
          </w:tcPr>
          <w:p w14:paraId="5A2B0CE5" w14:textId="77777777" w:rsidR="00A07969" w:rsidRPr="00A4536F" w:rsidRDefault="00A07969" w:rsidP="00E4398D">
            <w:pPr>
              <w:spacing w:before="0" w:after="120"/>
              <w:rPr>
                <w:rFonts w:cs="Calibri"/>
                <w:color w:val="auto"/>
                <w:szCs w:val="18"/>
              </w:rPr>
            </w:pPr>
            <w:r w:rsidRPr="00A4536F">
              <w:rPr>
                <w:rFonts w:cs="Calibri"/>
                <w:color w:val="auto"/>
                <w:szCs w:val="18"/>
              </w:rPr>
              <w:t>13</w:t>
            </w:r>
          </w:p>
        </w:tc>
        <w:tc>
          <w:tcPr>
            <w:tcW w:w="1560" w:type="dxa"/>
            <w:tcBorders>
              <w:top w:val="nil"/>
              <w:left w:val="nil"/>
              <w:bottom w:val="single" w:sz="8" w:space="0" w:color="9B95C9"/>
              <w:right w:val="single" w:sz="8" w:space="0" w:color="9B95C9"/>
            </w:tcBorders>
            <w:shd w:val="clear" w:color="auto" w:fill="FFFFFF" w:themeFill="background1"/>
          </w:tcPr>
          <w:p w14:paraId="409A998A" w14:textId="77777777" w:rsidR="00A07969" w:rsidRPr="00A4536F" w:rsidRDefault="00A07969" w:rsidP="00E4398D">
            <w:pPr>
              <w:spacing w:before="0" w:after="120"/>
              <w:rPr>
                <w:rFonts w:cs="Calibri"/>
                <w:color w:val="auto"/>
                <w:szCs w:val="18"/>
              </w:rPr>
            </w:pPr>
            <w:r w:rsidRPr="00A4536F">
              <w:rPr>
                <w:rFonts w:cs="Calibri"/>
                <w:color w:val="auto"/>
                <w:szCs w:val="18"/>
              </w:rPr>
              <w:t>52</w:t>
            </w:r>
          </w:p>
        </w:tc>
        <w:tc>
          <w:tcPr>
            <w:tcW w:w="1275" w:type="dxa"/>
            <w:tcBorders>
              <w:top w:val="nil"/>
              <w:left w:val="nil"/>
              <w:bottom w:val="single" w:sz="8" w:space="0" w:color="9B95C9"/>
              <w:right w:val="single" w:sz="8" w:space="0" w:color="9B95C9"/>
            </w:tcBorders>
            <w:shd w:val="clear" w:color="auto" w:fill="FFFFFF" w:themeFill="background1"/>
          </w:tcPr>
          <w:p w14:paraId="06010FA3" w14:textId="77777777" w:rsidR="00A07969" w:rsidRPr="00A4536F" w:rsidRDefault="00A07969" w:rsidP="00E4398D">
            <w:pPr>
              <w:spacing w:before="0" w:after="120"/>
              <w:rPr>
                <w:rFonts w:cs="Calibri"/>
                <w:color w:val="auto"/>
                <w:szCs w:val="18"/>
              </w:rPr>
            </w:pPr>
            <w:r w:rsidRPr="00A4536F">
              <w:rPr>
                <w:rFonts w:cs="Calibri"/>
                <w:color w:val="auto"/>
                <w:szCs w:val="18"/>
              </w:rPr>
              <w:t>0</w:t>
            </w:r>
          </w:p>
        </w:tc>
        <w:tc>
          <w:tcPr>
            <w:tcW w:w="1276" w:type="dxa"/>
            <w:tcBorders>
              <w:top w:val="nil"/>
              <w:left w:val="nil"/>
              <w:bottom w:val="single" w:sz="8" w:space="0" w:color="9B95C9"/>
              <w:right w:val="single" w:sz="8" w:space="0" w:color="9B95C9"/>
            </w:tcBorders>
            <w:shd w:val="clear" w:color="auto" w:fill="FFFFFF" w:themeFill="background1"/>
          </w:tcPr>
          <w:p w14:paraId="71C1A525" w14:textId="77777777" w:rsidR="00A07969" w:rsidRPr="00A4536F" w:rsidRDefault="00A07969" w:rsidP="00E4398D">
            <w:pPr>
              <w:spacing w:before="0" w:after="120"/>
              <w:rPr>
                <w:rFonts w:cs="Calibri"/>
                <w:color w:val="auto"/>
                <w:szCs w:val="18"/>
              </w:rPr>
            </w:pPr>
            <w:r w:rsidRPr="00A4536F">
              <w:rPr>
                <w:rFonts w:cs="Calibri"/>
                <w:color w:val="auto"/>
                <w:szCs w:val="18"/>
              </w:rPr>
              <w:t>0</w:t>
            </w:r>
          </w:p>
        </w:tc>
        <w:tc>
          <w:tcPr>
            <w:tcW w:w="851" w:type="dxa"/>
            <w:tcBorders>
              <w:top w:val="single" w:sz="8" w:space="0" w:color="9B95C9"/>
              <w:left w:val="nil"/>
              <w:bottom w:val="single" w:sz="8" w:space="0" w:color="9B95C9"/>
              <w:right w:val="single" w:sz="8" w:space="0" w:color="9B95C9"/>
            </w:tcBorders>
            <w:shd w:val="clear" w:color="auto" w:fill="FFFFFF" w:themeFill="background1"/>
          </w:tcPr>
          <w:p w14:paraId="2CE980D7" w14:textId="77777777" w:rsidR="00A07969" w:rsidRPr="00A4536F" w:rsidRDefault="00A07969" w:rsidP="00E4398D">
            <w:pPr>
              <w:spacing w:before="0" w:after="120"/>
              <w:rPr>
                <w:rFonts w:cs="Calibri"/>
                <w:color w:val="auto"/>
                <w:szCs w:val="18"/>
              </w:rPr>
            </w:pPr>
            <w:r w:rsidRPr="00A4536F">
              <w:rPr>
                <w:rFonts w:cs="Calibri"/>
                <w:color w:val="auto"/>
                <w:szCs w:val="18"/>
              </w:rPr>
              <w:t>65</w:t>
            </w:r>
          </w:p>
        </w:tc>
      </w:tr>
      <w:tr w:rsidR="00A07969" w:rsidRPr="00A4536F" w14:paraId="426AC9AA" w14:textId="77777777" w:rsidTr="002E7B6C">
        <w:trPr>
          <w:trHeight w:val="315"/>
        </w:trPr>
        <w:tc>
          <w:tcPr>
            <w:tcW w:w="1266" w:type="dxa"/>
            <w:tcBorders>
              <w:left w:val="single" w:sz="8" w:space="0" w:color="9B95C9"/>
              <w:right w:val="single" w:sz="8" w:space="0" w:color="9B95C9"/>
            </w:tcBorders>
            <w:shd w:val="clear" w:color="auto" w:fill="FFFFFF" w:themeFill="background1"/>
            <w:vAlign w:val="center"/>
          </w:tcPr>
          <w:p w14:paraId="51B2452C" w14:textId="4E53D27C" w:rsidR="00A07969" w:rsidRPr="00A4536F" w:rsidRDefault="00A07969" w:rsidP="00E4398D">
            <w:pPr>
              <w:spacing w:before="0" w:after="120"/>
              <w:rPr>
                <w:rFonts w:cs="Calibri"/>
                <w:b/>
                <w:bCs/>
                <w:color w:val="auto"/>
                <w:szCs w:val="18"/>
              </w:rPr>
            </w:pPr>
            <w:r w:rsidRPr="00A4536F">
              <w:rPr>
                <w:rFonts w:cs="Calibri"/>
                <w:b/>
                <w:bCs/>
                <w:color w:val="auto"/>
                <w:szCs w:val="18"/>
              </w:rPr>
              <w:t>Oxfam (Ethiopia)</w:t>
            </w:r>
          </w:p>
        </w:tc>
        <w:tc>
          <w:tcPr>
            <w:tcW w:w="1134" w:type="dxa"/>
            <w:tcBorders>
              <w:top w:val="nil"/>
              <w:left w:val="nil"/>
              <w:bottom w:val="single" w:sz="8" w:space="0" w:color="9B95C9"/>
              <w:right w:val="single" w:sz="8" w:space="0" w:color="9B95C9"/>
            </w:tcBorders>
            <w:shd w:val="clear" w:color="auto" w:fill="FFFFFF" w:themeFill="background1"/>
          </w:tcPr>
          <w:p w14:paraId="3F148812" w14:textId="77777777" w:rsidR="00A07969" w:rsidRPr="00A4536F" w:rsidRDefault="00A07969" w:rsidP="00E4398D">
            <w:pPr>
              <w:spacing w:before="0" w:after="120"/>
              <w:rPr>
                <w:rFonts w:cs="Calibri"/>
                <w:color w:val="auto"/>
                <w:szCs w:val="18"/>
              </w:rPr>
            </w:pPr>
            <w:r w:rsidRPr="00A4536F">
              <w:rPr>
                <w:rFonts w:cs="Calibri"/>
                <w:color w:val="auto"/>
                <w:szCs w:val="18"/>
              </w:rPr>
              <w:t xml:space="preserve">Amhara </w:t>
            </w:r>
          </w:p>
        </w:tc>
        <w:tc>
          <w:tcPr>
            <w:tcW w:w="1559" w:type="dxa"/>
            <w:tcBorders>
              <w:top w:val="nil"/>
              <w:left w:val="nil"/>
              <w:bottom w:val="single" w:sz="8" w:space="0" w:color="9B95C9"/>
              <w:right w:val="single" w:sz="8" w:space="0" w:color="9B95C9"/>
            </w:tcBorders>
            <w:shd w:val="clear" w:color="auto" w:fill="FFFFFF" w:themeFill="background1"/>
          </w:tcPr>
          <w:p w14:paraId="11B4E146" w14:textId="77777777" w:rsidR="00A07969" w:rsidRPr="00A4536F" w:rsidRDefault="00A07969" w:rsidP="00E4398D">
            <w:pPr>
              <w:spacing w:before="0" w:after="120"/>
              <w:rPr>
                <w:rFonts w:cs="Calibri"/>
                <w:color w:val="auto"/>
                <w:szCs w:val="18"/>
              </w:rPr>
            </w:pPr>
            <w:r w:rsidRPr="00A4536F">
              <w:rPr>
                <w:rFonts w:cs="Calibri"/>
                <w:color w:val="auto"/>
                <w:szCs w:val="18"/>
              </w:rPr>
              <w:t>3</w:t>
            </w:r>
          </w:p>
        </w:tc>
        <w:tc>
          <w:tcPr>
            <w:tcW w:w="1560" w:type="dxa"/>
            <w:tcBorders>
              <w:top w:val="nil"/>
              <w:left w:val="nil"/>
              <w:bottom w:val="single" w:sz="8" w:space="0" w:color="9B95C9"/>
              <w:right w:val="single" w:sz="8" w:space="0" w:color="9B95C9"/>
            </w:tcBorders>
            <w:shd w:val="clear" w:color="auto" w:fill="FFFFFF" w:themeFill="background1"/>
          </w:tcPr>
          <w:p w14:paraId="6332FFE3" w14:textId="77777777" w:rsidR="00A07969" w:rsidRPr="00A4536F" w:rsidRDefault="00A07969" w:rsidP="00E4398D">
            <w:pPr>
              <w:spacing w:before="0" w:after="120"/>
              <w:rPr>
                <w:rFonts w:cs="Calibri"/>
                <w:color w:val="auto"/>
                <w:szCs w:val="18"/>
              </w:rPr>
            </w:pPr>
            <w:r w:rsidRPr="00A4536F">
              <w:rPr>
                <w:rFonts w:cs="Calibri"/>
                <w:color w:val="auto"/>
                <w:szCs w:val="18"/>
              </w:rPr>
              <w:t>36</w:t>
            </w:r>
          </w:p>
        </w:tc>
        <w:tc>
          <w:tcPr>
            <w:tcW w:w="1275" w:type="dxa"/>
            <w:tcBorders>
              <w:top w:val="nil"/>
              <w:left w:val="nil"/>
              <w:bottom w:val="single" w:sz="8" w:space="0" w:color="9B95C9"/>
              <w:right w:val="single" w:sz="8" w:space="0" w:color="9B95C9"/>
            </w:tcBorders>
            <w:shd w:val="clear" w:color="auto" w:fill="FFFFFF" w:themeFill="background1"/>
          </w:tcPr>
          <w:p w14:paraId="368F8FEA" w14:textId="77777777" w:rsidR="00A07969" w:rsidRPr="00A4536F" w:rsidRDefault="00A07969" w:rsidP="00E4398D">
            <w:pPr>
              <w:spacing w:before="0" w:after="120"/>
              <w:rPr>
                <w:rFonts w:cs="Calibri"/>
                <w:color w:val="auto"/>
                <w:szCs w:val="18"/>
              </w:rPr>
            </w:pPr>
            <w:r w:rsidRPr="00A4536F">
              <w:rPr>
                <w:rFonts w:cs="Calibri"/>
                <w:color w:val="auto"/>
                <w:szCs w:val="18"/>
              </w:rPr>
              <w:t>0</w:t>
            </w:r>
          </w:p>
        </w:tc>
        <w:tc>
          <w:tcPr>
            <w:tcW w:w="1276" w:type="dxa"/>
            <w:tcBorders>
              <w:top w:val="nil"/>
              <w:left w:val="nil"/>
              <w:bottom w:val="single" w:sz="8" w:space="0" w:color="9B95C9"/>
              <w:right w:val="single" w:sz="8" w:space="0" w:color="9B95C9"/>
            </w:tcBorders>
            <w:shd w:val="clear" w:color="auto" w:fill="FFFFFF" w:themeFill="background1"/>
          </w:tcPr>
          <w:p w14:paraId="3C90E5CA" w14:textId="77777777" w:rsidR="00A07969" w:rsidRPr="00A4536F" w:rsidRDefault="00A07969" w:rsidP="00E4398D">
            <w:pPr>
              <w:spacing w:before="0" w:after="120"/>
              <w:rPr>
                <w:rFonts w:cs="Calibri"/>
                <w:color w:val="auto"/>
                <w:szCs w:val="18"/>
              </w:rPr>
            </w:pPr>
            <w:r w:rsidRPr="00A4536F">
              <w:rPr>
                <w:rFonts w:cs="Calibri"/>
                <w:color w:val="auto"/>
                <w:szCs w:val="18"/>
              </w:rPr>
              <w:t>0</w:t>
            </w:r>
          </w:p>
        </w:tc>
        <w:tc>
          <w:tcPr>
            <w:tcW w:w="851" w:type="dxa"/>
            <w:tcBorders>
              <w:top w:val="single" w:sz="8" w:space="0" w:color="9B95C9"/>
              <w:left w:val="nil"/>
              <w:bottom w:val="single" w:sz="8" w:space="0" w:color="9B95C9"/>
              <w:right w:val="single" w:sz="8" w:space="0" w:color="9B95C9"/>
            </w:tcBorders>
            <w:shd w:val="clear" w:color="auto" w:fill="FFFFFF" w:themeFill="background1"/>
          </w:tcPr>
          <w:p w14:paraId="1DCC51CC" w14:textId="77777777" w:rsidR="00A07969" w:rsidRPr="00A4536F" w:rsidRDefault="00A07969" w:rsidP="00E4398D">
            <w:pPr>
              <w:spacing w:before="0" w:after="120"/>
              <w:rPr>
                <w:rFonts w:cs="Calibri"/>
                <w:color w:val="auto"/>
                <w:szCs w:val="18"/>
              </w:rPr>
            </w:pPr>
            <w:r w:rsidRPr="00A4536F">
              <w:rPr>
                <w:rFonts w:cs="Calibri"/>
                <w:color w:val="auto"/>
                <w:szCs w:val="18"/>
              </w:rPr>
              <w:t>39</w:t>
            </w:r>
          </w:p>
        </w:tc>
      </w:tr>
      <w:tr w:rsidR="00A07969" w:rsidRPr="00A4536F" w14:paraId="264AF246" w14:textId="77777777" w:rsidTr="002E7B6C">
        <w:trPr>
          <w:trHeight w:val="315"/>
        </w:trPr>
        <w:tc>
          <w:tcPr>
            <w:tcW w:w="1266" w:type="dxa"/>
            <w:tcBorders>
              <w:left w:val="single" w:sz="8" w:space="0" w:color="9B95C9"/>
              <w:bottom w:val="single" w:sz="8" w:space="0" w:color="9B95C9"/>
              <w:right w:val="single" w:sz="8" w:space="0" w:color="9B95C9"/>
            </w:tcBorders>
            <w:shd w:val="clear" w:color="auto" w:fill="FFFFFF" w:themeFill="background1"/>
            <w:vAlign w:val="center"/>
          </w:tcPr>
          <w:p w14:paraId="15C74E56" w14:textId="00BEB30C" w:rsidR="00A07969" w:rsidRPr="00A4536F" w:rsidRDefault="00A07969" w:rsidP="00E4398D">
            <w:pPr>
              <w:spacing w:before="0" w:after="120"/>
              <w:rPr>
                <w:rFonts w:cs="Calibri"/>
                <w:b/>
                <w:bCs/>
                <w:color w:val="auto"/>
                <w:szCs w:val="18"/>
              </w:rPr>
            </w:pPr>
            <w:r w:rsidRPr="00A4536F">
              <w:rPr>
                <w:rFonts w:cs="Calibri"/>
                <w:b/>
                <w:bCs/>
                <w:color w:val="auto"/>
                <w:szCs w:val="18"/>
              </w:rPr>
              <w:t>Oxfam (Ethiopia)</w:t>
            </w:r>
          </w:p>
        </w:tc>
        <w:tc>
          <w:tcPr>
            <w:tcW w:w="1134" w:type="dxa"/>
            <w:tcBorders>
              <w:top w:val="nil"/>
              <w:left w:val="nil"/>
              <w:bottom w:val="single" w:sz="8" w:space="0" w:color="9B95C9"/>
              <w:right w:val="single" w:sz="8" w:space="0" w:color="9B95C9"/>
            </w:tcBorders>
            <w:shd w:val="clear" w:color="auto" w:fill="FFFFFF" w:themeFill="background1"/>
          </w:tcPr>
          <w:p w14:paraId="1A14E8F9" w14:textId="77777777" w:rsidR="00A07969" w:rsidRPr="00A4536F" w:rsidRDefault="00A07969" w:rsidP="00E4398D">
            <w:pPr>
              <w:spacing w:before="0" w:after="120"/>
              <w:rPr>
                <w:rFonts w:cs="Calibri"/>
                <w:color w:val="auto"/>
                <w:szCs w:val="18"/>
              </w:rPr>
            </w:pPr>
            <w:proofErr w:type="spellStart"/>
            <w:r w:rsidRPr="00A4536F">
              <w:rPr>
                <w:rFonts w:cs="Calibri"/>
                <w:color w:val="auto"/>
                <w:szCs w:val="18"/>
              </w:rPr>
              <w:t>Adigrat</w:t>
            </w:r>
            <w:proofErr w:type="spellEnd"/>
            <w:r w:rsidRPr="00A4536F">
              <w:rPr>
                <w:rFonts w:cs="Calibri"/>
                <w:color w:val="auto"/>
                <w:szCs w:val="18"/>
              </w:rPr>
              <w:t xml:space="preserve"> Town</w:t>
            </w:r>
          </w:p>
        </w:tc>
        <w:tc>
          <w:tcPr>
            <w:tcW w:w="1559" w:type="dxa"/>
            <w:tcBorders>
              <w:top w:val="nil"/>
              <w:left w:val="nil"/>
              <w:bottom w:val="single" w:sz="8" w:space="0" w:color="9B95C9"/>
              <w:right w:val="single" w:sz="8" w:space="0" w:color="9B95C9"/>
            </w:tcBorders>
            <w:shd w:val="clear" w:color="auto" w:fill="FFFFFF" w:themeFill="background1"/>
          </w:tcPr>
          <w:p w14:paraId="2F3A66FC" w14:textId="77777777" w:rsidR="00A07969" w:rsidRPr="00A4536F" w:rsidRDefault="00A07969" w:rsidP="00E4398D">
            <w:pPr>
              <w:spacing w:before="0" w:after="120"/>
              <w:rPr>
                <w:rFonts w:cs="Calibri"/>
                <w:color w:val="auto"/>
                <w:szCs w:val="18"/>
              </w:rPr>
            </w:pPr>
            <w:r w:rsidRPr="00A4536F">
              <w:rPr>
                <w:rFonts w:cs="Calibri"/>
                <w:color w:val="auto"/>
                <w:szCs w:val="18"/>
              </w:rPr>
              <w:t>9</w:t>
            </w:r>
          </w:p>
        </w:tc>
        <w:tc>
          <w:tcPr>
            <w:tcW w:w="1560" w:type="dxa"/>
            <w:tcBorders>
              <w:top w:val="nil"/>
              <w:left w:val="nil"/>
              <w:bottom w:val="single" w:sz="8" w:space="0" w:color="9B95C9"/>
              <w:right w:val="single" w:sz="8" w:space="0" w:color="9B95C9"/>
            </w:tcBorders>
            <w:shd w:val="clear" w:color="auto" w:fill="FFFFFF" w:themeFill="background1"/>
          </w:tcPr>
          <w:p w14:paraId="6E8D92CF" w14:textId="77777777" w:rsidR="00A07969" w:rsidRPr="00A4536F" w:rsidRDefault="00A07969" w:rsidP="00E4398D">
            <w:pPr>
              <w:spacing w:before="0" w:after="120"/>
              <w:rPr>
                <w:rFonts w:cs="Calibri"/>
                <w:color w:val="auto"/>
                <w:szCs w:val="18"/>
              </w:rPr>
            </w:pPr>
            <w:r w:rsidRPr="00A4536F">
              <w:rPr>
                <w:rFonts w:cs="Calibri"/>
                <w:color w:val="auto"/>
                <w:szCs w:val="18"/>
              </w:rPr>
              <w:t>16</w:t>
            </w:r>
          </w:p>
        </w:tc>
        <w:tc>
          <w:tcPr>
            <w:tcW w:w="1275" w:type="dxa"/>
            <w:tcBorders>
              <w:top w:val="nil"/>
              <w:left w:val="nil"/>
              <w:bottom w:val="single" w:sz="8" w:space="0" w:color="9B95C9"/>
              <w:right w:val="single" w:sz="8" w:space="0" w:color="9B95C9"/>
            </w:tcBorders>
            <w:shd w:val="clear" w:color="auto" w:fill="FFFFFF" w:themeFill="background1"/>
          </w:tcPr>
          <w:p w14:paraId="4845F10E" w14:textId="77777777" w:rsidR="00A07969" w:rsidRPr="00A4536F" w:rsidRDefault="00A07969" w:rsidP="00E4398D">
            <w:pPr>
              <w:spacing w:before="0" w:after="120"/>
              <w:rPr>
                <w:rFonts w:cs="Calibri"/>
                <w:color w:val="auto"/>
                <w:szCs w:val="18"/>
              </w:rPr>
            </w:pPr>
            <w:r w:rsidRPr="00A4536F">
              <w:rPr>
                <w:rFonts w:cs="Calibri"/>
                <w:color w:val="auto"/>
                <w:szCs w:val="18"/>
              </w:rPr>
              <w:t>2</w:t>
            </w:r>
          </w:p>
        </w:tc>
        <w:tc>
          <w:tcPr>
            <w:tcW w:w="1276" w:type="dxa"/>
            <w:tcBorders>
              <w:top w:val="nil"/>
              <w:left w:val="nil"/>
              <w:bottom w:val="single" w:sz="8" w:space="0" w:color="9B95C9"/>
              <w:right w:val="single" w:sz="8" w:space="0" w:color="9B95C9"/>
            </w:tcBorders>
            <w:shd w:val="clear" w:color="auto" w:fill="FFFFFF" w:themeFill="background1"/>
          </w:tcPr>
          <w:p w14:paraId="3E3D889E" w14:textId="77777777" w:rsidR="00A07969" w:rsidRPr="00A4536F" w:rsidRDefault="00A07969" w:rsidP="00E4398D">
            <w:pPr>
              <w:spacing w:before="0" w:after="120"/>
              <w:rPr>
                <w:rFonts w:cs="Calibri"/>
                <w:color w:val="auto"/>
                <w:szCs w:val="18"/>
              </w:rPr>
            </w:pPr>
            <w:r w:rsidRPr="00A4536F">
              <w:rPr>
                <w:rFonts w:cs="Calibri"/>
                <w:color w:val="auto"/>
                <w:szCs w:val="18"/>
              </w:rPr>
              <w:t>1</w:t>
            </w:r>
          </w:p>
        </w:tc>
        <w:tc>
          <w:tcPr>
            <w:tcW w:w="851" w:type="dxa"/>
            <w:tcBorders>
              <w:top w:val="single" w:sz="8" w:space="0" w:color="9B95C9"/>
              <w:left w:val="nil"/>
              <w:bottom w:val="single" w:sz="8" w:space="0" w:color="9B95C9"/>
              <w:right w:val="single" w:sz="8" w:space="0" w:color="9B95C9"/>
            </w:tcBorders>
            <w:shd w:val="clear" w:color="auto" w:fill="FFFFFF" w:themeFill="background1"/>
          </w:tcPr>
          <w:p w14:paraId="59AEE9C4" w14:textId="77777777" w:rsidR="00A07969" w:rsidRPr="00A4536F" w:rsidRDefault="00A07969" w:rsidP="00E4398D">
            <w:pPr>
              <w:spacing w:before="0" w:after="120"/>
              <w:rPr>
                <w:rFonts w:cs="Calibri"/>
                <w:color w:val="auto"/>
                <w:szCs w:val="18"/>
              </w:rPr>
            </w:pPr>
            <w:r w:rsidRPr="00A4536F">
              <w:rPr>
                <w:rFonts w:cs="Calibri"/>
                <w:color w:val="auto"/>
                <w:szCs w:val="18"/>
              </w:rPr>
              <w:t>25</w:t>
            </w:r>
          </w:p>
        </w:tc>
      </w:tr>
      <w:tr w:rsidR="00090EFB" w:rsidRPr="00A4536F" w14:paraId="67470EC1" w14:textId="77777777" w:rsidTr="002E7B6C">
        <w:trPr>
          <w:trHeight w:val="315"/>
        </w:trPr>
        <w:tc>
          <w:tcPr>
            <w:tcW w:w="1266" w:type="dxa"/>
            <w:tcBorders>
              <w:top w:val="nil"/>
              <w:left w:val="single" w:sz="8" w:space="0" w:color="9B95C9"/>
              <w:bottom w:val="single" w:sz="8" w:space="0" w:color="9B95C9"/>
              <w:right w:val="single" w:sz="8" w:space="0" w:color="9B95C9"/>
            </w:tcBorders>
            <w:shd w:val="clear" w:color="auto" w:fill="FFFFFF" w:themeFill="background1"/>
          </w:tcPr>
          <w:p w14:paraId="243D3AC1"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Oxfam (Kenya)</w:t>
            </w:r>
          </w:p>
        </w:tc>
        <w:tc>
          <w:tcPr>
            <w:tcW w:w="1134" w:type="dxa"/>
            <w:tcBorders>
              <w:top w:val="nil"/>
              <w:left w:val="nil"/>
              <w:bottom w:val="single" w:sz="8" w:space="0" w:color="9B95C9"/>
              <w:right w:val="single" w:sz="8" w:space="0" w:color="9B95C9"/>
            </w:tcBorders>
            <w:shd w:val="clear" w:color="auto" w:fill="FFFFFF" w:themeFill="background1"/>
          </w:tcPr>
          <w:p w14:paraId="5C03B0FD" w14:textId="77777777" w:rsidR="00315466" w:rsidRPr="00A4536F" w:rsidRDefault="001D4E15" w:rsidP="00E4398D">
            <w:pPr>
              <w:spacing w:before="0" w:after="120"/>
              <w:rPr>
                <w:rFonts w:cs="Calibri"/>
                <w:color w:val="auto"/>
                <w:szCs w:val="18"/>
              </w:rPr>
            </w:pPr>
            <w:proofErr w:type="spellStart"/>
            <w:r w:rsidRPr="00A4536F">
              <w:rPr>
                <w:rFonts w:cs="Calibri"/>
                <w:color w:val="auto"/>
                <w:szCs w:val="18"/>
              </w:rPr>
              <w:t>Marsabit</w:t>
            </w:r>
            <w:proofErr w:type="spellEnd"/>
          </w:p>
        </w:tc>
        <w:tc>
          <w:tcPr>
            <w:tcW w:w="1559" w:type="dxa"/>
            <w:tcBorders>
              <w:top w:val="nil"/>
              <w:left w:val="nil"/>
              <w:bottom w:val="single" w:sz="8" w:space="0" w:color="9B95C9"/>
              <w:right w:val="single" w:sz="8" w:space="0" w:color="9B95C9"/>
            </w:tcBorders>
            <w:shd w:val="clear" w:color="auto" w:fill="FFFFFF" w:themeFill="background1"/>
          </w:tcPr>
          <w:p w14:paraId="14A9C091" w14:textId="77777777" w:rsidR="00315466" w:rsidRPr="00A4536F" w:rsidRDefault="001D4E15" w:rsidP="00E4398D">
            <w:pPr>
              <w:spacing w:before="0" w:after="120"/>
              <w:rPr>
                <w:rFonts w:cs="Calibri"/>
                <w:color w:val="auto"/>
                <w:szCs w:val="18"/>
              </w:rPr>
            </w:pPr>
            <w:r w:rsidRPr="00A4536F">
              <w:rPr>
                <w:rFonts w:cs="Calibri"/>
                <w:color w:val="auto"/>
                <w:szCs w:val="18"/>
              </w:rPr>
              <w:t>19</w:t>
            </w:r>
          </w:p>
        </w:tc>
        <w:tc>
          <w:tcPr>
            <w:tcW w:w="1560" w:type="dxa"/>
            <w:tcBorders>
              <w:top w:val="nil"/>
              <w:left w:val="nil"/>
              <w:bottom w:val="single" w:sz="8" w:space="0" w:color="9B95C9"/>
              <w:right w:val="single" w:sz="8" w:space="0" w:color="9B95C9"/>
            </w:tcBorders>
            <w:shd w:val="clear" w:color="auto" w:fill="FFFFFF" w:themeFill="background1"/>
          </w:tcPr>
          <w:p w14:paraId="4F4D284E" w14:textId="77777777" w:rsidR="00315466" w:rsidRPr="00A4536F" w:rsidRDefault="001D4E15" w:rsidP="00E4398D">
            <w:pPr>
              <w:spacing w:before="0" w:after="120"/>
              <w:rPr>
                <w:rFonts w:cs="Calibri"/>
                <w:color w:val="auto"/>
                <w:szCs w:val="18"/>
              </w:rPr>
            </w:pPr>
            <w:r w:rsidRPr="00A4536F">
              <w:rPr>
                <w:rFonts w:cs="Calibri"/>
                <w:color w:val="auto"/>
                <w:szCs w:val="18"/>
              </w:rPr>
              <w:t>15</w:t>
            </w:r>
          </w:p>
        </w:tc>
        <w:tc>
          <w:tcPr>
            <w:tcW w:w="1275" w:type="dxa"/>
            <w:tcBorders>
              <w:top w:val="nil"/>
              <w:left w:val="nil"/>
              <w:bottom w:val="single" w:sz="8" w:space="0" w:color="9B95C9"/>
              <w:right w:val="single" w:sz="8" w:space="0" w:color="9B95C9"/>
            </w:tcBorders>
            <w:shd w:val="clear" w:color="auto" w:fill="FFFFFF" w:themeFill="background1"/>
          </w:tcPr>
          <w:p w14:paraId="5E1029ED" w14:textId="77777777" w:rsidR="00315466" w:rsidRPr="00A4536F" w:rsidRDefault="001D4E15" w:rsidP="00E4398D">
            <w:pPr>
              <w:spacing w:before="0" w:after="120"/>
              <w:rPr>
                <w:rFonts w:cs="Calibri"/>
                <w:color w:val="auto"/>
                <w:szCs w:val="18"/>
              </w:rPr>
            </w:pPr>
            <w:r w:rsidRPr="00A4536F">
              <w:rPr>
                <w:rFonts w:cs="Calibri"/>
                <w:color w:val="auto"/>
                <w:szCs w:val="18"/>
              </w:rPr>
              <w:t>2</w:t>
            </w:r>
          </w:p>
        </w:tc>
        <w:tc>
          <w:tcPr>
            <w:tcW w:w="1276" w:type="dxa"/>
            <w:tcBorders>
              <w:top w:val="nil"/>
              <w:left w:val="nil"/>
              <w:bottom w:val="single" w:sz="8" w:space="0" w:color="9B95C9"/>
              <w:right w:val="single" w:sz="8" w:space="0" w:color="9B95C9"/>
            </w:tcBorders>
            <w:shd w:val="clear" w:color="auto" w:fill="FFFFFF" w:themeFill="background1"/>
          </w:tcPr>
          <w:p w14:paraId="2D255106" w14:textId="77777777" w:rsidR="00315466" w:rsidRPr="00A4536F" w:rsidRDefault="001D4E15" w:rsidP="00E4398D">
            <w:pPr>
              <w:spacing w:before="0" w:after="120"/>
              <w:rPr>
                <w:rFonts w:cs="Calibri"/>
                <w:color w:val="auto"/>
                <w:szCs w:val="18"/>
              </w:rPr>
            </w:pPr>
            <w:r w:rsidRPr="00A4536F">
              <w:rPr>
                <w:rFonts w:cs="Calibri"/>
                <w:color w:val="auto"/>
                <w:szCs w:val="18"/>
              </w:rPr>
              <w:t>0</w:t>
            </w:r>
          </w:p>
        </w:tc>
        <w:tc>
          <w:tcPr>
            <w:tcW w:w="851" w:type="dxa"/>
            <w:tcBorders>
              <w:top w:val="single" w:sz="8" w:space="0" w:color="9B95C9"/>
              <w:left w:val="nil"/>
              <w:bottom w:val="single" w:sz="8" w:space="0" w:color="9B95C9"/>
              <w:right w:val="single" w:sz="8" w:space="0" w:color="9B95C9"/>
            </w:tcBorders>
            <w:shd w:val="clear" w:color="auto" w:fill="FFFFFF" w:themeFill="background1"/>
          </w:tcPr>
          <w:p w14:paraId="0BA22A8D" w14:textId="77777777" w:rsidR="00315466" w:rsidRPr="00A4536F" w:rsidRDefault="001D4E15" w:rsidP="00E4398D">
            <w:pPr>
              <w:spacing w:before="0" w:after="120"/>
              <w:rPr>
                <w:rFonts w:cs="Calibri"/>
                <w:color w:val="auto"/>
                <w:szCs w:val="18"/>
              </w:rPr>
            </w:pPr>
            <w:r w:rsidRPr="00A4536F">
              <w:rPr>
                <w:rFonts w:cs="Calibri"/>
                <w:color w:val="auto"/>
                <w:szCs w:val="18"/>
              </w:rPr>
              <w:t>34</w:t>
            </w:r>
          </w:p>
        </w:tc>
      </w:tr>
      <w:tr w:rsidR="00090EFB" w:rsidRPr="00A4536F" w14:paraId="57AAEC94" w14:textId="77777777" w:rsidTr="002E7B6C">
        <w:trPr>
          <w:trHeight w:val="315"/>
        </w:trPr>
        <w:tc>
          <w:tcPr>
            <w:tcW w:w="1266" w:type="dxa"/>
            <w:tcBorders>
              <w:top w:val="nil"/>
              <w:left w:val="single" w:sz="8" w:space="0" w:color="9B95C9"/>
              <w:bottom w:val="single" w:sz="8" w:space="0" w:color="9B95C9"/>
              <w:right w:val="single" w:sz="8" w:space="0" w:color="9B95C9"/>
            </w:tcBorders>
            <w:shd w:val="clear" w:color="auto" w:fill="FFFFFF" w:themeFill="background1"/>
            <w:vAlign w:val="center"/>
          </w:tcPr>
          <w:p w14:paraId="2C0DF069" w14:textId="6030CBB8" w:rsidR="00315466" w:rsidRPr="00A4536F" w:rsidRDefault="00A07969" w:rsidP="00E4398D">
            <w:pPr>
              <w:spacing w:before="0" w:after="120"/>
              <w:rPr>
                <w:rFonts w:cs="Calibri"/>
                <w:b/>
                <w:bCs/>
                <w:color w:val="auto"/>
                <w:szCs w:val="18"/>
              </w:rPr>
            </w:pPr>
            <w:r w:rsidRPr="00A4536F">
              <w:rPr>
                <w:rFonts w:cs="Calibri"/>
                <w:b/>
                <w:bCs/>
                <w:color w:val="auto"/>
                <w:szCs w:val="18"/>
              </w:rPr>
              <w:t>Oxfam (Kenya)</w:t>
            </w:r>
          </w:p>
        </w:tc>
        <w:tc>
          <w:tcPr>
            <w:tcW w:w="1134" w:type="dxa"/>
            <w:tcBorders>
              <w:top w:val="nil"/>
              <w:left w:val="nil"/>
              <w:bottom w:val="single" w:sz="8" w:space="0" w:color="9B95C9"/>
              <w:right w:val="single" w:sz="8" w:space="0" w:color="9B95C9"/>
            </w:tcBorders>
            <w:shd w:val="clear" w:color="auto" w:fill="FFFFFF" w:themeFill="background1"/>
          </w:tcPr>
          <w:p w14:paraId="2DCCAE02" w14:textId="77777777" w:rsidR="00315466" w:rsidRPr="00A4536F" w:rsidRDefault="001D4E15" w:rsidP="00E4398D">
            <w:pPr>
              <w:spacing w:before="0" w:after="120"/>
              <w:rPr>
                <w:rFonts w:cs="Calibri"/>
                <w:color w:val="auto"/>
                <w:szCs w:val="18"/>
              </w:rPr>
            </w:pPr>
            <w:r w:rsidRPr="00A4536F">
              <w:rPr>
                <w:rFonts w:cs="Calibri"/>
                <w:color w:val="auto"/>
                <w:szCs w:val="18"/>
              </w:rPr>
              <w:t>Turkana</w:t>
            </w:r>
          </w:p>
        </w:tc>
        <w:tc>
          <w:tcPr>
            <w:tcW w:w="1559" w:type="dxa"/>
            <w:tcBorders>
              <w:top w:val="nil"/>
              <w:left w:val="nil"/>
              <w:bottom w:val="single" w:sz="8" w:space="0" w:color="9B95C9"/>
              <w:right w:val="single" w:sz="8" w:space="0" w:color="9B95C9"/>
            </w:tcBorders>
            <w:shd w:val="clear" w:color="auto" w:fill="FFFFFF" w:themeFill="background1"/>
          </w:tcPr>
          <w:p w14:paraId="203C4F9B" w14:textId="77777777" w:rsidR="00315466" w:rsidRPr="00A4536F" w:rsidRDefault="001D4E15" w:rsidP="00E4398D">
            <w:pPr>
              <w:spacing w:before="0" w:after="120"/>
              <w:rPr>
                <w:rFonts w:cs="Calibri"/>
                <w:color w:val="auto"/>
                <w:szCs w:val="18"/>
              </w:rPr>
            </w:pPr>
            <w:r w:rsidRPr="00A4536F">
              <w:rPr>
                <w:rFonts w:cs="Calibri"/>
                <w:color w:val="auto"/>
                <w:szCs w:val="18"/>
              </w:rPr>
              <w:t>12</w:t>
            </w:r>
          </w:p>
        </w:tc>
        <w:tc>
          <w:tcPr>
            <w:tcW w:w="1560" w:type="dxa"/>
            <w:tcBorders>
              <w:top w:val="nil"/>
              <w:left w:val="nil"/>
              <w:bottom w:val="single" w:sz="8" w:space="0" w:color="9B95C9"/>
              <w:right w:val="single" w:sz="8" w:space="0" w:color="9B95C9"/>
            </w:tcBorders>
            <w:shd w:val="clear" w:color="auto" w:fill="FFFFFF" w:themeFill="background1"/>
          </w:tcPr>
          <w:p w14:paraId="44C6AEB9" w14:textId="77777777" w:rsidR="00315466" w:rsidRPr="00A4536F" w:rsidRDefault="001D4E15" w:rsidP="00E4398D">
            <w:pPr>
              <w:spacing w:before="0" w:after="120"/>
              <w:rPr>
                <w:rFonts w:cs="Calibri"/>
                <w:color w:val="auto"/>
                <w:szCs w:val="18"/>
              </w:rPr>
            </w:pPr>
            <w:r w:rsidRPr="00A4536F">
              <w:rPr>
                <w:rFonts w:cs="Calibri"/>
                <w:color w:val="auto"/>
                <w:szCs w:val="18"/>
              </w:rPr>
              <w:t>12</w:t>
            </w:r>
          </w:p>
        </w:tc>
        <w:tc>
          <w:tcPr>
            <w:tcW w:w="1275" w:type="dxa"/>
            <w:tcBorders>
              <w:top w:val="nil"/>
              <w:left w:val="nil"/>
              <w:bottom w:val="single" w:sz="8" w:space="0" w:color="9B95C9"/>
              <w:right w:val="single" w:sz="8" w:space="0" w:color="9B95C9"/>
            </w:tcBorders>
            <w:shd w:val="clear" w:color="auto" w:fill="FFFFFF" w:themeFill="background1"/>
          </w:tcPr>
          <w:p w14:paraId="1529B8A4" w14:textId="77777777" w:rsidR="00315466" w:rsidRPr="00A4536F" w:rsidRDefault="001D4E15" w:rsidP="00E4398D">
            <w:pPr>
              <w:spacing w:before="0" w:after="120"/>
              <w:rPr>
                <w:rFonts w:cs="Calibri"/>
                <w:color w:val="auto"/>
                <w:szCs w:val="18"/>
              </w:rPr>
            </w:pPr>
            <w:r w:rsidRPr="00A4536F">
              <w:rPr>
                <w:rFonts w:cs="Calibri"/>
                <w:color w:val="auto"/>
                <w:szCs w:val="18"/>
              </w:rPr>
              <w:t>6</w:t>
            </w:r>
          </w:p>
        </w:tc>
        <w:tc>
          <w:tcPr>
            <w:tcW w:w="1276" w:type="dxa"/>
            <w:tcBorders>
              <w:top w:val="nil"/>
              <w:left w:val="nil"/>
              <w:bottom w:val="single" w:sz="8" w:space="0" w:color="9B95C9"/>
              <w:right w:val="single" w:sz="8" w:space="0" w:color="9B95C9"/>
            </w:tcBorders>
            <w:shd w:val="clear" w:color="auto" w:fill="FFFFFF" w:themeFill="background1"/>
          </w:tcPr>
          <w:p w14:paraId="7C9D1F5A" w14:textId="77777777" w:rsidR="00315466" w:rsidRPr="00A4536F" w:rsidRDefault="001D4E15" w:rsidP="00E4398D">
            <w:pPr>
              <w:spacing w:before="0" w:after="120"/>
              <w:rPr>
                <w:rFonts w:cs="Calibri"/>
                <w:color w:val="auto"/>
                <w:szCs w:val="18"/>
              </w:rPr>
            </w:pPr>
            <w:r w:rsidRPr="00A4536F">
              <w:rPr>
                <w:rFonts w:cs="Calibri"/>
                <w:color w:val="auto"/>
                <w:szCs w:val="18"/>
              </w:rPr>
              <w:t>3</w:t>
            </w:r>
          </w:p>
        </w:tc>
        <w:tc>
          <w:tcPr>
            <w:tcW w:w="851" w:type="dxa"/>
            <w:tcBorders>
              <w:top w:val="single" w:sz="8" w:space="0" w:color="9B95C9"/>
              <w:left w:val="nil"/>
              <w:bottom w:val="single" w:sz="8" w:space="0" w:color="9B95C9"/>
              <w:right w:val="single" w:sz="8" w:space="0" w:color="9B95C9"/>
            </w:tcBorders>
            <w:shd w:val="clear" w:color="auto" w:fill="FFFFFF" w:themeFill="background1"/>
          </w:tcPr>
          <w:p w14:paraId="32C8AD3E" w14:textId="77777777" w:rsidR="00315466" w:rsidRPr="00A4536F" w:rsidRDefault="001D4E15" w:rsidP="00E4398D">
            <w:pPr>
              <w:spacing w:before="0" w:after="120"/>
              <w:rPr>
                <w:rFonts w:cs="Calibri"/>
                <w:color w:val="auto"/>
                <w:szCs w:val="18"/>
              </w:rPr>
            </w:pPr>
            <w:r w:rsidRPr="00A4536F">
              <w:rPr>
                <w:rFonts w:cs="Calibri"/>
                <w:color w:val="auto"/>
                <w:szCs w:val="18"/>
              </w:rPr>
              <w:t>24</w:t>
            </w:r>
          </w:p>
        </w:tc>
      </w:tr>
      <w:tr w:rsidR="007967BC" w:rsidRPr="00A4536F" w14:paraId="60B2D166" w14:textId="77777777" w:rsidTr="002E7B6C">
        <w:trPr>
          <w:trHeight w:val="315"/>
        </w:trPr>
        <w:tc>
          <w:tcPr>
            <w:tcW w:w="1266" w:type="dxa"/>
            <w:tcBorders>
              <w:top w:val="nil"/>
              <w:left w:val="single" w:sz="8" w:space="0" w:color="9B95C9"/>
              <w:bottom w:val="single" w:sz="8" w:space="0" w:color="9B95C9"/>
              <w:right w:val="single" w:sz="8" w:space="0" w:color="9B95C9"/>
            </w:tcBorders>
          </w:tcPr>
          <w:p w14:paraId="5342C76D"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Total</w:t>
            </w:r>
          </w:p>
        </w:tc>
        <w:tc>
          <w:tcPr>
            <w:tcW w:w="1134" w:type="dxa"/>
            <w:tcBorders>
              <w:top w:val="nil"/>
              <w:left w:val="nil"/>
              <w:bottom w:val="single" w:sz="8" w:space="0" w:color="9B95C9"/>
              <w:right w:val="single" w:sz="8" w:space="0" w:color="9B95C9"/>
            </w:tcBorders>
          </w:tcPr>
          <w:p w14:paraId="43E97C63" w14:textId="23A58E7F" w:rsidR="00315466" w:rsidRPr="00A4536F" w:rsidRDefault="001D4E15" w:rsidP="00E4398D">
            <w:pPr>
              <w:spacing w:before="0" w:after="120"/>
              <w:rPr>
                <w:rFonts w:cs="Calibri"/>
                <w:b/>
                <w:bCs/>
                <w:color w:val="auto"/>
                <w:szCs w:val="18"/>
              </w:rPr>
            </w:pPr>
            <w:r w:rsidRPr="00A4536F">
              <w:rPr>
                <w:rFonts w:cs="Calibri"/>
                <w:b/>
                <w:bCs/>
                <w:color w:val="auto"/>
                <w:szCs w:val="18"/>
              </w:rPr>
              <w:t> </w:t>
            </w:r>
            <w:r w:rsidR="007C4710">
              <w:rPr>
                <w:rFonts w:cs="Calibri"/>
                <w:b/>
                <w:bCs/>
                <w:color w:val="auto"/>
                <w:szCs w:val="18"/>
              </w:rPr>
              <w:t>8</w:t>
            </w:r>
          </w:p>
        </w:tc>
        <w:tc>
          <w:tcPr>
            <w:tcW w:w="1559" w:type="dxa"/>
            <w:tcBorders>
              <w:top w:val="nil"/>
              <w:left w:val="nil"/>
              <w:bottom w:val="single" w:sz="8" w:space="0" w:color="9B95C9"/>
              <w:right w:val="single" w:sz="8" w:space="0" w:color="9B95C9"/>
            </w:tcBorders>
          </w:tcPr>
          <w:p w14:paraId="6F55A8FF"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154</w:t>
            </w:r>
          </w:p>
        </w:tc>
        <w:tc>
          <w:tcPr>
            <w:tcW w:w="1560" w:type="dxa"/>
            <w:tcBorders>
              <w:top w:val="nil"/>
              <w:left w:val="nil"/>
              <w:bottom w:val="single" w:sz="8" w:space="0" w:color="9B95C9"/>
              <w:right w:val="single" w:sz="8" w:space="0" w:color="9B95C9"/>
            </w:tcBorders>
          </w:tcPr>
          <w:p w14:paraId="44411FF8"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282</w:t>
            </w:r>
          </w:p>
        </w:tc>
        <w:tc>
          <w:tcPr>
            <w:tcW w:w="1275" w:type="dxa"/>
            <w:tcBorders>
              <w:top w:val="nil"/>
              <w:left w:val="nil"/>
              <w:bottom w:val="single" w:sz="8" w:space="0" w:color="9B95C9"/>
              <w:right w:val="single" w:sz="8" w:space="0" w:color="9B95C9"/>
            </w:tcBorders>
          </w:tcPr>
          <w:p w14:paraId="11744523"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23</w:t>
            </w:r>
          </w:p>
        </w:tc>
        <w:tc>
          <w:tcPr>
            <w:tcW w:w="1276" w:type="dxa"/>
            <w:tcBorders>
              <w:top w:val="nil"/>
              <w:left w:val="nil"/>
              <w:bottom w:val="single" w:sz="8" w:space="0" w:color="9B95C9"/>
              <w:right w:val="single" w:sz="8" w:space="0" w:color="9B95C9"/>
            </w:tcBorders>
          </w:tcPr>
          <w:p w14:paraId="348D139A"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12</w:t>
            </w:r>
          </w:p>
        </w:tc>
        <w:tc>
          <w:tcPr>
            <w:tcW w:w="851" w:type="dxa"/>
            <w:tcBorders>
              <w:top w:val="single" w:sz="8" w:space="0" w:color="9B95C9"/>
              <w:left w:val="nil"/>
              <w:bottom w:val="single" w:sz="8" w:space="0" w:color="9B95C9"/>
              <w:right w:val="single" w:sz="8" w:space="0" w:color="9B95C9"/>
            </w:tcBorders>
          </w:tcPr>
          <w:p w14:paraId="2335C427"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436</w:t>
            </w:r>
          </w:p>
        </w:tc>
      </w:tr>
    </w:tbl>
    <w:p w14:paraId="2C6C4FCB" w14:textId="5CF62A53" w:rsidR="008C67C1" w:rsidRPr="00C9557C" w:rsidRDefault="001D4E15" w:rsidP="00A07969">
      <w:pPr>
        <w:pStyle w:val="Heading2"/>
        <w:spacing w:before="600" w:after="240" w:line="240" w:lineRule="auto"/>
        <w:rPr>
          <w:rFonts w:ascii="Verdana" w:hAnsi="Verdana"/>
          <w:sz w:val="24"/>
          <w:szCs w:val="24"/>
        </w:rPr>
      </w:pPr>
      <w:bookmarkStart w:id="51" w:name="_Toc174559873"/>
      <w:bookmarkStart w:id="52" w:name="_Toc181278020"/>
      <w:r w:rsidRPr="008C67C1">
        <w:rPr>
          <w:rFonts w:ascii="Verdana" w:hAnsi="Verdana"/>
          <w:sz w:val="24"/>
          <w:szCs w:val="24"/>
        </w:rPr>
        <w:lastRenderedPageBreak/>
        <w:t>2.4 Data Collection Methods</w:t>
      </w:r>
      <w:bookmarkEnd w:id="51"/>
      <w:bookmarkEnd w:id="52"/>
    </w:p>
    <w:p w14:paraId="57ECB3F7" w14:textId="77777777" w:rsidR="00315466" w:rsidRPr="00A4536F" w:rsidRDefault="001D4E15" w:rsidP="008C67C1">
      <w:pPr>
        <w:spacing w:before="0" w:after="0" w:line="240" w:lineRule="auto"/>
        <w:rPr>
          <w:rFonts w:cs="Calibri"/>
          <w:color w:val="auto"/>
          <w:szCs w:val="18"/>
        </w:rPr>
      </w:pPr>
      <w:r w:rsidRPr="00A4536F">
        <w:rPr>
          <w:rFonts w:cs="Calibri"/>
          <w:b/>
          <w:bCs/>
          <w:color w:val="auto"/>
          <w:szCs w:val="18"/>
        </w:rPr>
        <w:t xml:space="preserve">Document Reviews:  </w:t>
      </w:r>
      <w:r w:rsidRPr="00A4536F">
        <w:rPr>
          <w:rFonts w:cs="Calibri"/>
          <w:color w:val="auto"/>
          <w:szCs w:val="18"/>
        </w:rPr>
        <w:t>Document reviews were crucial for gaining insights into the AHP programme's planning, implementation, and outcomes. This involved examining programme-related documents such as project proposals, implementation plans, progress reports, financial records, and M&amp;E reports. Reviews assessed project design, objectives, activities, timelines, resource allocation, and financial efficiency. Implementation documents were scrutinised to understand challenges, strategies, and data validity. Records of meetings and stakeholder engagements evaluated project adaptability and involvement, while compliance records ensured adherence to regulations. Unexpected outcomes and their implications were also identified.</w:t>
      </w:r>
    </w:p>
    <w:p w14:paraId="39864148" w14:textId="77777777" w:rsidR="00315466" w:rsidRPr="00A4536F" w:rsidRDefault="001D4E15" w:rsidP="00E4398D">
      <w:pPr>
        <w:spacing w:before="0" w:after="120"/>
        <w:rPr>
          <w:rFonts w:cs="Calibri"/>
          <w:color w:val="auto"/>
          <w:szCs w:val="18"/>
        </w:rPr>
      </w:pPr>
      <w:r w:rsidRPr="00A4536F">
        <w:rPr>
          <w:rFonts w:cs="Calibri"/>
          <w:b/>
          <w:bCs/>
          <w:color w:val="auto"/>
          <w:szCs w:val="18"/>
        </w:rPr>
        <w:t xml:space="preserve">Key Informant Interviews (45-60 mins): </w:t>
      </w:r>
      <w:r w:rsidRPr="00A4536F">
        <w:rPr>
          <w:rFonts w:cs="Calibri"/>
          <w:color w:val="auto"/>
          <w:szCs w:val="18"/>
        </w:rPr>
        <w:t>Interviews with technical experts, government officials, and representatives from implementing partner organisations provided a comprehensive understanding of the projects' implementation, impact, and context. Participants were chosen for their expertise in food security and livelihoods and their involvement in the AHP programme. Separate interviews in Ethiopia and Kenya accounted for unique contextual factors, allowing for localised findings and tailored recommendations.</w:t>
      </w:r>
    </w:p>
    <w:p w14:paraId="395EEAF8" w14:textId="77777777" w:rsidR="00315466" w:rsidRPr="00A4536F" w:rsidRDefault="001D4E15" w:rsidP="00E4398D">
      <w:pPr>
        <w:spacing w:before="0" w:after="120"/>
        <w:rPr>
          <w:rFonts w:cs="Calibri"/>
          <w:color w:val="auto"/>
          <w:szCs w:val="18"/>
        </w:rPr>
      </w:pPr>
      <w:r w:rsidRPr="00A4536F">
        <w:rPr>
          <w:rFonts w:cs="Calibri"/>
          <w:b/>
          <w:bCs/>
          <w:color w:val="auto"/>
          <w:szCs w:val="18"/>
        </w:rPr>
        <w:t xml:space="preserve">Facilitated Group Discussions (1-2 hours): </w:t>
      </w:r>
      <w:r w:rsidRPr="00A4536F">
        <w:rPr>
          <w:rFonts w:cs="Calibri"/>
          <w:color w:val="auto"/>
          <w:szCs w:val="18"/>
        </w:rPr>
        <w:t>FGDs were conducted in-person by consultants with support from in-country research assistants. FGDs were tailored to specific groups: men, women, boys, girls, and children aged 10-14 years. Accommodations for participants with disabilities were ensured. For children's FGDs, age-appropriate tools and environments were used. Trained research assistants led FGDs, focusing on evaluation objectives and encouraging open dialogue. Detailed notes captured key insights and participant voices.</w:t>
      </w:r>
    </w:p>
    <w:p w14:paraId="1BD381FC" w14:textId="77777777" w:rsidR="00315466" w:rsidRPr="00A4536F" w:rsidRDefault="001D4E15" w:rsidP="00E4398D">
      <w:pPr>
        <w:spacing w:before="0" w:after="120"/>
        <w:rPr>
          <w:rFonts w:cs="Calibri"/>
          <w:color w:val="auto"/>
          <w:szCs w:val="18"/>
        </w:rPr>
      </w:pPr>
      <w:r w:rsidRPr="00A4536F">
        <w:rPr>
          <w:rFonts w:cs="Calibri"/>
          <w:b/>
          <w:bCs/>
          <w:color w:val="auto"/>
          <w:szCs w:val="18"/>
        </w:rPr>
        <w:t xml:space="preserve">Beneficiary Survey (20-30 mins): </w:t>
      </w:r>
      <w:r w:rsidRPr="00A4536F">
        <w:rPr>
          <w:rFonts w:cs="Calibri"/>
          <w:color w:val="auto"/>
          <w:szCs w:val="18"/>
        </w:rPr>
        <w:t>A beneficiary survey questionnaire was administered face-to-face by trained research assistants using Mobile Data Collection Devices (Tablets, Smartphones). A pilot test ensured the survey tool's effectiveness. The survey captured diverse perspectives within beneficiary groups on most of the evaluation questions.</w:t>
      </w:r>
    </w:p>
    <w:p w14:paraId="75799EF1" w14:textId="536D19C6" w:rsidR="00647DBE" w:rsidRPr="00C9557C" w:rsidRDefault="001D4E15" w:rsidP="00C9557C">
      <w:pPr>
        <w:pStyle w:val="Heading2"/>
        <w:spacing w:before="0" w:after="240" w:line="240" w:lineRule="auto"/>
        <w:rPr>
          <w:rFonts w:ascii="Verdana" w:hAnsi="Verdana"/>
          <w:sz w:val="24"/>
          <w:szCs w:val="24"/>
        </w:rPr>
      </w:pPr>
      <w:bookmarkStart w:id="53" w:name="_Toc174559874"/>
      <w:bookmarkStart w:id="54" w:name="_Toc181278021"/>
      <w:r w:rsidRPr="00647DBE">
        <w:rPr>
          <w:rFonts w:ascii="Verdana" w:hAnsi="Verdana"/>
          <w:sz w:val="24"/>
          <w:szCs w:val="24"/>
        </w:rPr>
        <w:t>2.5 Data Analysis</w:t>
      </w:r>
      <w:bookmarkEnd w:id="53"/>
      <w:bookmarkEnd w:id="54"/>
    </w:p>
    <w:p w14:paraId="4472414B" w14:textId="788E69BD" w:rsidR="00647DBE" w:rsidRPr="00A4536F" w:rsidRDefault="001D4E15" w:rsidP="00C9557C">
      <w:pPr>
        <w:spacing w:before="0" w:line="240" w:lineRule="auto"/>
        <w:rPr>
          <w:rFonts w:cs="Calibri"/>
          <w:color w:val="auto"/>
          <w:szCs w:val="18"/>
        </w:rPr>
      </w:pPr>
      <w:r w:rsidRPr="00A4536F">
        <w:rPr>
          <w:rFonts w:cs="Calibri"/>
          <w:color w:val="auto"/>
          <w:szCs w:val="18"/>
        </w:rPr>
        <w:t>Data was analysed globally and disaggregated by country, age group, and gender. Qualitative data from FGDs and interviews were thematically analysed to highlight key issues and perspectives. Contribution analysis evaluated the effectiveness of FSL activities, using criteria such as certainty, robustness, range, and prevalence.</w:t>
      </w:r>
    </w:p>
    <w:p w14:paraId="0DD6053F" w14:textId="7F41B6F2" w:rsidR="00647DBE" w:rsidRPr="00C9557C" w:rsidRDefault="001D4E15" w:rsidP="00C9557C">
      <w:pPr>
        <w:pStyle w:val="Heading2"/>
        <w:spacing w:after="240" w:line="240" w:lineRule="auto"/>
        <w:rPr>
          <w:rFonts w:ascii="Verdana" w:hAnsi="Verdana"/>
          <w:sz w:val="24"/>
          <w:szCs w:val="24"/>
        </w:rPr>
      </w:pPr>
      <w:bookmarkStart w:id="55" w:name="_Toc174559875"/>
      <w:bookmarkStart w:id="56" w:name="_Toc181278022"/>
      <w:r w:rsidRPr="00647DBE">
        <w:rPr>
          <w:rFonts w:ascii="Verdana" w:hAnsi="Verdana"/>
          <w:sz w:val="24"/>
          <w:szCs w:val="24"/>
        </w:rPr>
        <w:t>2.6 Diversity and Inclusivity</w:t>
      </w:r>
      <w:bookmarkEnd w:id="55"/>
      <w:bookmarkEnd w:id="56"/>
    </w:p>
    <w:p w14:paraId="40250F32" w14:textId="0B339EB3" w:rsidR="00647DBE" w:rsidRPr="00A4536F" w:rsidRDefault="001D4E15" w:rsidP="00C9557C">
      <w:pPr>
        <w:spacing w:before="0" w:line="240" w:lineRule="auto"/>
        <w:rPr>
          <w:rFonts w:cs="Calibri"/>
          <w:color w:val="auto"/>
          <w:szCs w:val="18"/>
        </w:rPr>
      </w:pPr>
      <w:r w:rsidRPr="00A4536F">
        <w:rPr>
          <w:rFonts w:cs="Calibri"/>
          <w:color w:val="auto"/>
          <w:szCs w:val="18"/>
        </w:rPr>
        <w:t xml:space="preserve">The evaluation considered gender, age, socioeconomic status, and other demographics. Marginalised groups and </w:t>
      </w:r>
      <w:r w:rsidRPr="00A4536F">
        <w:rPr>
          <w:rFonts w:cs="Calibri"/>
          <w:color w:val="auto"/>
          <w:szCs w:val="18"/>
          <w:shd w:val="clear" w:color="auto" w:fill="FFFFFF"/>
        </w:rPr>
        <w:t>people</w:t>
      </w:r>
      <w:r w:rsidRPr="00A4536F">
        <w:rPr>
          <w:rFonts w:cs="Calibri"/>
          <w:color w:val="auto"/>
          <w:szCs w:val="18"/>
        </w:rPr>
        <w:t xml:space="preserve"> with disabilities were included in every cohort. FGDs included at least two participants with disabilities, with equitable participation ensured using family members as interpreters when necessary.</w:t>
      </w:r>
    </w:p>
    <w:p w14:paraId="2BF343A9" w14:textId="6AFA3E44" w:rsidR="00647DBE" w:rsidRPr="00C9557C" w:rsidRDefault="001D4E15" w:rsidP="00C9557C">
      <w:pPr>
        <w:pStyle w:val="Heading2"/>
        <w:spacing w:after="240" w:line="240" w:lineRule="auto"/>
        <w:rPr>
          <w:rFonts w:ascii="Verdana" w:hAnsi="Verdana"/>
          <w:sz w:val="24"/>
          <w:szCs w:val="24"/>
        </w:rPr>
      </w:pPr>
      <w:bookmarkStart w:id="57" w:name="_Toc174559876"/>
      <w:bookmarkStart w:id="58" w:name="_Toc181278023"/>
      <w:r w:rsidRPr="00647DBE">
        <w:rPr>
          <w:rFonts w:ascii="Verdana" w:hAnsi="Verdana"/>
          <w:sz w:val="24"/>
          <w:szCs w:val="24"/>
        </w:rPr>
        <w:t>2.7 Ethical Considerations</w:t>
      </w:r>
      <w:bookmarkEnd w:id="57"/>
      <w:bookmarkEnd w:id="58"/>
    </w:p>
    <w:p w14:paraId="2E915036" w14:textId="710FC553" w:rsidR="00647DBE" w:rsidRPr="00A4536F" w:rsidRDefault="001D4E15" w:rsidP="00C9557C">
      <w:pPr>
        <w:spacing w:before="0" w:line="240" w:lineRule="auto"/>
        <w:rPr>
          <w:rFonts w:cs="Calibri"/>
          <w:color w:val="auto"/>
          <w:szCs w:val="18"/>
        </w:rPr>
      </w:pPr>
      <w:r w:rsidRPr="00A4536F">
        <w:rPr>
          <w:rFonts w:cs="Calibri"/>
          <w:color w:val="auto"/>
          <w:szCs w:val="18"/>
        </w:rPr>
        <w:t>Participants' consent was obtained via signed or thumb printed consent forms, with interpretation provided if necessary. Emphasis was placed on confidentiality and privacy.</w:t>
      </w:r>
    </w:p>
    <w:p w14:paraId="1553EF34" w14:textId="19066D5B" w:rsidR="00647DBE" w:rsidRPr="00C9557C" w:rsidRDefault="001D4E15" w:rsidP="00C9557C">
      <w:pPr>
        <w:pStyle w:val="Heading2"/>
        <w:spacing w:before="0" w:after="240" w:line="240" w:lineRule="auto"/>
        <w:rPr>
          <w:rFonts w:ascii="Verdana" w:hAnsi="Verdana"/>
          <w:sz w:val="24"/>
          <w:szCs w:val="24"/>
        </w:rPr>
      </w:pPr>
      <w:bookmarkStart w:id="59" w:name="_Toc174559877"/>
      <w:bookmarkStart w:id="60" w:name="_Toc181278024"/>
      <w:r w:rsidRPr="00647DBE">
        <w:rPr>
          <w:rFonts w:ascii="Verdana" w:hAnsi="Verdana"/>
          <w:sz w:val="24"/>
          <w:szCs w:val="24"/>
        </w:rPr>
        <w:t>2.8 Logistics</w:t>
      </w:r>
      <w:bookmarkEnd w:id="59"/>
      <w:bookmarkEnd w:id="60"/>
    </w:p>
    <w:p w14:paraId="048EA9D5" w14:textId="2FE3AD30" w:rsidR="00647DBE" w:rsidRPr="00A4536F" w:rsidRDefault="001D4E15" w:rsidP="00C9557C">
      <w:pPr>
        <w:spacing w:before="0" w:line="240" w:lineRule="auto"/>
        <w:rPr>
          <w:rFonts w:cs="Calibri"/>
          <w:color w:val="auto"/>
          <w:szCs w:val="18"/>
        </w:rPr>
      </w:pPr>
      <w:r w:rsidRPr="00A4536F">
        <w:rPr>
          <w:rFonts w:cs="Calibri"/>
          <w:color w:val="auto"/>
          <w:szCs w:val="18"/>
        </w:rPr>
        <w:t>The country team leads, supported by local field research assistants familiar with local languages and cultures, conducted the data collection. Evaluation tools were shared in advance, and research assistants participated in training sessions. Implementing organisations coordinated meeting schedules, and ensured safe returns home, without providing incentives. Venues for FGDs and interviews were selected by implementing partner staff, often in open spaces used for project activities.</w:t>
      </w:r>
    </w:p>
    <w:p w14:paraId="16CCE3AD" w14:textId="11A46A53" w:rsidR="00647DBE" w:rsidRPr="00C9557C" w:rsidRDefault="001D4E15" w:rsidP="00C9557C">
      <w:pPr>
        <w:pStyle w:val="Heading2"/>
        <w:spacing w:before="0" w:after="240" w:line="240" w:lineRule="auto"/>
        <w:rPr>
          <w:rFonts w:ascii="Verdana" w:hAnsi="Verdana"/>
          <w:sz w:val="24"/>
          <w:szCs w:val="24"/>
        </w:rPr>
      </w:pPr>
      <w:bookmarkStart w:id="61" w:name="_Toc174559878"/>
      <w:bookmarkStart w:id="62" w:name="_Toc181278025"/>
      <w:r w:rsidRPr="00647DBE">
        <w:rPr>
          <w:rFonts w:ascii="Verdana" w:hAnsi="Verdana"/>
          <w:sz w:val="24"/>
          <w:szCs w:val="24"/>
        </w:rPr>
        <w:t>2.9 Quality Assurance</w:t>
      </w:r>
      <w:bookmarkEnd w:id="61"/>
      <w:bookmarkEnd w:id="62"/>
    </w:p>
    <w:p w14:paraId="3A5F67F2" w14:textId="3A1331C2" w:rsidR="00647DBE" w:rsidRPr="00A4536F" w:rsidRDefault="001D4E15" w:rsidP="00C9557C">
      <w:pPr>
        <w:spacing w:before="0" w:line="240" w:lineRule="auto"/>
        <w:rPr>
          <w:rFonts w:cs="Calibri"/>
          <w:color w:val="auto"/>
          <w:szCs w:val="18"/>
        </w:rPr>
      </w:pPr>
      <w:r w:rsidRPr="00A4536F">
        <w:rPr>
          <w:rFonts w:cs="Calibri"/>
          <w:color w:val="auto"/>
          <w:szCs w:val="18"/>
        </w:rPr>
        <w:t>A quality assurer reviewed the evaluation plan, draft reports, and final report to ensure compliance with AHP and DFAT Evaluation Standards, as well as PRI independent evaluation standards. The quality assurer also engaged with the core team to address expected challenges and resolutions.</w:t>
      </w:r>
    </w:p>
    <w:p w14:paraId="648F96C8" w14:textId="0F941C12" w:rsidR="00647DBE" w:rsidRPr="00C9557C" w:rsidRDefault="001D4E15" w:rsidP="00C9557C">
      <w:pPr>
        <w:pStyle w:val="Heading2"/>
        <w:spacing w:before="0" w:after="240"/>
        <w:rPr>
          <w:rFonts w:ascii="Verdana" w:hAnsi="Verdana"/>
          <w:sz w:val="24"/>
          <w:szCs w:val="24"/>
        </w:rPr>
      </w:pPr>
      <w:bookmarkStart w:id="63" w:name="_Toc164324000"/>
      <w:bookmarkStart w:id="64" w:name="_Toc164582551"/>
      <w:bookmarkStart w:id="65" w:name="_Toc164286961"/>
      <w:bookmarkStart w:id="66" w:name="_Toc174559879"/>
      <w:bookmarkStart w:id="67" w:name="_Toc181278026"/>
      <w:r w:rsidRPr="00647DBE">
        <w:rPr>
          <w:rFonts w:ascii="Verdana" w:hAnsi="Verdana"/>
          <w:sz w:val="24"/>
          <w:szCs w:val="24"/>
        </w:rPr>
        <w:lastRenderedPageBreak/>
        <w:t>2.10 Limitations</w:t>
      </w:r>
      <w:bookmarkEnd w:id="63"/>
      <w:bookmarkEnd w:id="64"/>
      <w:bookmarkEnd w:id="65"/>
      <w:r w:rsidRPr="00647DBE">
        <w:rPr>
          <w:rFonts w:ascii="Verdana" w:hAnsi="Verdana"/>
          <w:sz w:val="24"/>
          <w:szCs w:val="24"/>
        </w:rPr>
        <w:t xml:space="preserve"> and Responses</w:t>
      </w:r>
      <w:bookmarkEnd w:id="66"/>
      <w:bookmarkEnd w:id="67"/>
    </w:p>
    <w:p w14:paraId="3262797F" w14:textId="77777777" w:rsidR="00315466" w:rsidRPr="00A4536F" w:rsidRDefault="001D4E15" w:rsidP="00647DBE">
      <w:pPr>
        <w:spacing w:before="0" w:after="120"/>
        <w:rPr>
          <w:rFonts w:cs="Calibri"/>
          <w:color w:val="auto"/>
          <w:szCs w:val="18"/>
        </w:rPr>
      </w:pPr>
      <w:r w:rsidRPr="00A4536F">
        <w:rPr>
          <w:rFonts w:cs="Calibri"/>
          <w:b/>
          <w:bCs/>
          <w:color w:val="auto"/>
          <w:szCs w:val="18"/>
        </w:rPr>
        <w:t>1. Language</w:t>
      </w:r>
      <w:r w:rsidRPr="00A4536F">
        <w:rPr>
          <w:rFonts w:cs="Calibri"/>
          <w:color w:val="auto"/>
          <w:szCs w:val="18"/>
        </w:rPr>
        <w:t xml:space="preserve">: </w:t>
      </w:r>
      <w:r w:rsidRPr="00A4536F">
        <w:rPr>
          <w:rStyle w:val="cf01"/>
          <w:rFonts w:ascii="Verdana" w:hAnsi="Verdana" w:cs="Calibri"/>
          <w:color w:val="auto"/>
        </w:rPr>
        <w:t>Our recruitment of research assistants took place before inception, and during inception we found that Swahili, the main language spoken by the research team, was not widely used at the community level in Kenya (</w:t>
      </w:r>
      <w:proofErr w:type="spellStart"/>
      <w:r w:rsidRPr="00A4536F">
        <w:rPr>
          <w:rStyle w:val="cf01"/>
          <w:rFonts w:ascii="Verdana" w:hAnsi="Verdana" w:cs="Calibri"/>
          <w:color w:val="auto"/>
        </w:rPr>
        <w:t>Marsabit</w:t>
      </w:r>
      <w:proofErr w:type="spellEnd"/>
      <w:r w:rsidRPr="00A4536F">
        <w:rPr>
          <w:rStyle w:val="cf01"/>
          <w:rFonts w:ascii="Verdana" w:hAnsi="Verdana" w:cs="Calibri"/>
          <w:color w:val="auto"/>
        </w:rPr>
        <w:t xml:space="preserve"> and Turkana). To address this limitation, we recruited local personnel in the target areas, who PACIDA/SND and TUPADO had been using in the communities, to act as interpreters for the research assistants. The interpreters were trained to ensure they had a good understanding of the tools and how to interpret them correctly. Their task was to interpret verbatim, not to engage in the discussion, and not to provide any input to the discussion. In almost all the FGDs, there were always some participants who understood Kiswahili, and the facilitators checked with them to verify what they had understood from the question asked. This reduced the chances of interpretation bias but increased the length of time taken for interviews.</w:t>
      </w:r>
    </w:p>
    <w:p w14:paraId="06430F55" w14:textId="77777777" w:rsidR="00315466" w:rsidRPr="00A4536F" w:rsidRDefault="001D4E15" w:rsidP="00E4398D">
      <w:pPr>
        <w:spacing w:before="0" w:after="120"/>
        <w:rPr>
          <w:rFonts w:cs="Calibri"/>
          <w:bCs/>
          <w:color w:val="auto"/>
          <w:szCs w:val="18"/>
        </w:rPr>
      </w:pPr>
      <w:r w:rsidRPr="00A4536F">
        <w:rPr>
          <w:rFonts w:cs="Calibri"/>
          <w:b/>
          <w:bCs/>
          <w:color w:val="auto"/>
          <w:szCs w:val="18"/>
        </w:rPr>
        <w:t xml:space="preserve">2. Availability of respondents: </w:t>
      </w:r>
      <w:r w:rsidRPr="00A4536F">
        <w:rPr>
          <w:rFonts w:cs="Calibri"/>
          <w:bCs/>
          <w:color w:val="auto"/>
          <w:szCs w:val="18"/>
        </w:rPr>
        <w:t xml:space="preserve">The availability of respondents -- especially people with disabilities, girls, </w:t>
      </w:r>
      <w:proofErr w:type="gramStart"/>
      <w:r w:rsidRPr="00A4536F">
        <w:rPr>
          <w:rFonts w:cs="Calibri"/>
          <w:bCs/>
          <w:color w:val="auto"/>
          <w:szCs w:val="18"/>
        </w:rPr>
        <w:t>boys</w:t>
      </w:r>
      <w:proofErr w:type="gramEnd"/>
      <w:r w:rsidRPr="00A4536F">
        <w:rPr>
          <w:rFonts w:cs="Calibri"/>
          <w:bCs/>
          <w:color w:val="auto"/>
          <w:szCs w:val="18"/>
        </w:rPr>
        <w:t xml:space="preserve"> and government officials – to participate on short notice was a challenge. For example, out-of-school boys in </w:t>
      </w:r>
      <w:proofErr w:type="spellStart"/>
      <w:r w:rsidRPr="00A4536F">
        <w:rPr>
          <w:rFonts w:cs="Calibri"/>
          <w:bCs/>
          <w:color w:val="auto"/>
          <w:szCs w:val="18"/>
        </w:rPr>
        <w:t>Marsabit</w:t>
      </w:r>
      <w:proofErr w:type="spellEnd"/>
      <w:r w:rsidRPr="00A4536F">
        <w:rPr>
          <w:rFonts w:cs="Calibri"/>
          <w:bCs/>
          <w:color w:val="auto"/>
          <w:szCs w:val="18"/>
        </w:rPr>
        <w:t xml:space="preserve"> and Turkana were already in the fields looking after livestock, and </w:t>
      </w:r>
      <w:r w:rsidRPr="00A4536F">
        <w:rPr>
          <w:rFonts w:cs="Calibri"/>
          <w:color w:val="auto"/>
          <w:szCs w:val="18"/>
          <w:shd w:val="clear" w:color="auto" w:fill="FFFFFF"/>
        </w:rPr>
        <w:t>people</w:t>
      </w:r>
      <w:r w:rsidRPr="00A4536F">
        <w:rPr>
          <w:rFonts w:cs="Calibri"/>
          <w:bCs/>
          <w:color w:val="auto"/>
          <w:szCs w:val="18"/>
        </w:rPr>
        <w:t xml:space="preserve"> with disabilities, especially those with mobility issues, could not travel to reach the designated venues for the interviews when these were a long distance from their home. Effort was made to reach and interview girls, </w:t>
      </w:r>
      <w:proofErr w:type="gramStart"/>
      <w:r w:rsidRPr="00A4536F">
        <w:rPr>
          <w:rFonts w:cs="Calibri"/>
          <w:bCs/>
          <w:color w:val="auto"/>
          <w:szCs w:val="18"/>
        </w:rPr>
        <w:t>boys</w:t>
      </w:r>
      <w:proofErr w:type="gramEnd"/>
      <w:r w:rsidRPr="00A4536F">
        <w:rPr>
          <w:rFonts w:cs="Calibri"/>
          <w:bCs/>
          <w:color w:val="auto"/>
          <w:szCs w:val="18"/>
        </w:rPr>
        <w:t xml:space="preserve"> and </w:t>
      </w:r>
      <w:r w:rsidRPr="00A4536F">
        <w:rPr>
          <w:rFonts w:cs="Calibri"/>
          <w:color w:val="auto"/>
          <w:szCs w:val="18"/>
          <w:shd w:val="clear" w:color="auto" w:fill="FFFFFF"/>
        </w:rPr>
        <w:t>people</w:t>
      </w:r>
      <w:r w:rsidRPr="00A4536F">
        <w:rPr>
          <w:rFonts w:cs="Calibri"/>
          <w:bCs/>
          <w:color w:val="auto"/>
          <w:szCs w:val="18"/>
        </w:rPr>
        <w:t xml:space="preserve"> with disabilities in the neighbourhoods that could be reached without too much time expenditure, since the team had specific timelines for each data collection site. For the out-of-school boys and girls, in most cases the team had to wait longer and conduct interviews late in the evenings. For government officials that could not be reached for in-person face to face interviews, the team opted for on-line interviews. For people with disabilities, the team chose to interview those who were nearby (in the neighbourhood).</w:t>
      </w:r>
    </w:p>
    <w:p w14:paraId="7FB4CD30" w14:textId="7413F6E8" w:rsidR="00647DBE" w:rsidRPr="00A4536F" w:rsidRDefault="001D4E15" w:rsidP="00E4398D">
      <w:pPr>
        <w:spacing w:before="0" w:after="120"/>
        <w:rPr>
          <w:rFonts w:cs="Calibri"/>
          <w:color w:val="auto"/>
          <w:szCs w:val="18"/>
        </w:rPr>
      </w:pPr>
      <w:r w:rsidRPr="00A4536F">
        <w:rPr>
          <w:rFonts w:cs="Calibri"/>
          <w:color w:val="auto"/>
          <w:szCs w:val="18"/>
        </w:rPr>
        <w:t>The evaluation team believes that these limitations did not have a significant effect on the quality and reliability of the evaluation’s findings.</w:t>
      </w:r>
    </w:p>
    <w:p w14:paraId="792E06B0" w14:textId="46A3ABF6" w:rsidR="00647DBE" w:rsidRPr="00031544" w:rsidRDefault="001D4E15" w:rsidP="00031544">
      <w:pPr>
        <w:pStyle w:val="Heading1"/>
        <w:spacing w:before="0" w:after="240"/>
        <w:rPr>
          <w:rFonts w:ascii="Verdana" w:hAnsi="Verdana"/>
          <w:sz w:val="28"/>
          <w:szCs w:val="28"/>
        </w:rPr>
      </w:pPr>
      <w:bookmarkStart w:id="68" w:name="_Toc174559880"/>
      <w:bookmarkStart w:id="69" w:name="_Toc181278027"/>
      <w:r w:rsidRPr="00647DBE">
        <w:rPr>
          <w:rFonts w:ascii="Verdana" w:hAnsi="Verdana"/>
          <w:sz w:val="28"/>
          <w:szCs w:val="28"/>
        </w:rPr>
        <w:t>3.0 Findings</w:t>
      </w:r>
      <w:bookmarkStart w:id="70" w:name="_Toc174559881"/>
      <w:bookmarkEnd w:id="68"/>
      <w:bookmarkEnd w:id="69"/>
    </w:p>
    <w:p w14:paraId="6992B3DC" w14:textId="78C1D42C" w:rsidR="00647DBE" w:rsidRPr="00031544" w:rsidRDefault="001D4E15" w:rsidP="00031544">
      <w:pPr>
        <w:pStyle w:val="Heading2"/>
        <w:spacing w:after="240" w:line="240" w:lineRule="auto"/>
        <w:rPr>
          <w:rFonts w:ascii="Verdana" w:hAnsi="Verdana"/>
          <w:sz w:val="24"/>
          <w:szCs w:val="24"/>
        </w:rPr>
      </w:pPr>
      <w:bookmarkStart w:id="71" w:name="_Toc181278028"/>
      <w:r w:rsidRPr="00647DBE">
        <w:rPr>
          <w:rFonts w:ascii="Verdana" w:hAnsi="Verdana"/>
          <w:sz w:val="24"/>
          <w:szCs w:val="24"/>
        </w:rPr>
        <w:t>3.1 Relevance</w:t>
      </w:r>
      <w:bookmarkEnd w:id="70"/>
      <w:bookmarkEnd w:id="71"/>
    </w:p>
    <w:p w14:paraId="18F4C7D6" w14:textId="77777777" w:rsidR="00315466" w:rsidRPr="00A4536F" w:rsidRDefault="001D4E15" w:rsidP="00E4398D">
      <w:pPr>
        <w:spacing w:before="0" w:after="120"/>
        <w:rPr>
          <w:rFonts w:cs="Calibri"/>
          <w:color w:val="auto"/>
          <w:szCs w:val="18"/>
        </w:rPr>
      </w:pPr>
      <w:r w:rsidRPr="00A4536F">
        <w:rPr>
          <w:rFonts w:cs="Calibri"/>
          <w:color w:val="auto"/>
          <w:szCs w:val="18"/>
        </w:rPr>
        <w:t>The OCED DAC defines relevance as being concerned with assessing whether the intervention “is in line with local needs and priorities (as well as donor policy).” Relevance also addresses the “tailoring of humanitarian activities to local needs, increasing ownership, accountability, and cost-effectiveness accordingly.”</w:t>
      </w:r>
      <w:r w:rsidRPr="00A4536F">
        <w:rPr>
          <w:rStyle w:val="FootnoteReference"/>
          <w:rFonts w:cs="Calibri"/>
          <w:color w:val="auto"/>
          <w:szCs w:val="18"/>
        </w:rPr>
        <w:footnoteReference w:id="9"/>
      </w:r>
      <w:r w:rsidRPr="00A4536F">
        <w:rPr>
          <w:rFonts w:cs="Calibri"/>
          <w:color w:val="auto"/>
          <w:szCs w:val="18"/>
        </w:rPr>
        <w:t xml:space="preserve"> In this subsection, therefore, we shall assess how the needs of the individuals in the target communities were established and whether the activities implemented support the attainment of the intended outcomes (</w:t>
      </w:r>
      <w:hyperlink w:anchor="_1.3_The_AHP" w:history="1">
        <w:r w:rsidRPr="00A4536F">
          <w:rPr>
            <w:rStyle w:val="Hyperlink"/>
            <w:rFonts w:cs="Calibri"/>
            <w:color w:val="auto"/>
            <w:szCs w:val="18"/>
          </w:rPr>
          <w:t>See Sub-section 1.3</w:t>
        </w:r>
      </w:hyperlink>
      <w:r w:rsidRPr="00A4536F">
        <w:rPr>
          <w:rFonts w:cs="Calibri"/>
          <w:color w:val="auto"/>
          <w:szCs w:val="18"/>
        </w:rPr>
        <w:t xml:space="preserve">).  This subsection focuses on responding to two key questions: </w:t>
      </w:r>
    </w:p>
    <w:p w14:paraId="0F1010C0" w14:textId="63D27840" w:rsidR="008352B4" w:rsidRPr="0021263E" w:rsidRDefault="001D4E15" w:rsidP="0021263E">
      <w:pPr>
        <w:pStyle w:val="Heading3"/>
        <w:rPr>
          <w:rFonts w:ascii="Verdana" w:hAnsi="Verdana"/>
          <w:color w:val="auto"/>
          <w:sz w:val="20"/>
          <w:szCs w:val="20"/>
        </w:rPr>
      </w:pPr>
      <w:bookmarkStart w:id="72" w:name="_Toc164324003"/>
      <w:bookmarkStart w:id="73" w:name="_Toc164324328"/>
      <w:bookmarkStart w:id="74" w:name="_Toc164286964"/>
      <w:bookmarkStart w:id="75" w:name="_Toc174559882"/>
      <w:bookmarkStart w:id="76" w:name="_Toc181278029"/>
      <w:r w:rsidRPr="0021263E">
        <w:rPr>
          <w:rFonts w:ascii="Verdana" w:hAnsi="Verdana"/>
          <w:color w:val="auto"/>
          <w:sz w:val="20"/>
          <w:szCs w:val="20"/>
        </w:rPr>
        <w:t>EQ 1. Were the FSL interventions tailored to the specific needs of the intended participants?</w:t>
      </w:r>
      <w:bookmarkEnd w:id="72"/>
      <w:bookmarkEnd w:id="73"/>
      <w:bookmarkEnd w:id="74"/>
      <w:bookmarkEnd w:id="75"/>
      <w:bookmarkEnd w:id="76"/>
    </w:p>
    <w:p w14:paraId="4143DF56" w14:textId="0A3927CE" w:rsidR="008352B4" w:rsidRPr="00837665" w:rsidRDefault="001D4E15" w:rsidP="00FE4C84">
      <w:pPr>
        <w:rPr>
          <w:b/>
          <w:bCs/>
          <w:lang w:val="en-AU" w:eastAsia="zh-TW"/>
        </w:rPr>
      </w:pPr>
      <w:r w:rsidRPr="00837665">
        <w:rPr>
          <w:b/>
          <w:bCs/>
          <w:u w:val="single"/>
        </w:rPr>
        <w:t>Finding:</w:t>
      </w:r>
      <w:r w:rsidRPr="00837665">
        <w:rPr>
          <w:b/>
          <w:bCs/>
        </w:rPr>
        <w:t xml:space="preserve">  Overall, based on the data from both Kenya and Ethiopia, the evaluation found that generally the FSL intervention was tailored to the needs of the target beneficiaries. However, the specific needs of some groups, including youth and </w:t>
      </w:r>
      <w:r w:rsidRPr="00837665">
        <w:rPr>
          <w:b/>
          <w:bCs/>
          <w:shd w:val="clear" w:color="auto" w:fill="FFFFFF"/>
        </w:rPr>
        <w:t>people</w:t>
      </w:r>
      <w:r w:rsidRPr="00837665">
        <w:rPr>
          <w:b/>
          <w:bCs/>
        </w:rPr>
        <w:t xml:space="preserve"> with disabilities, were not consistently met. </w:t>
      </w:r>
    </w:p>
    <w:p w14:paraId="1562AC64" w14:textId="77777777" w:rsidR="00315466" w:rsidRPr="00A4536F" w:rsidRDefault="001D4E15" w:rsidP="008352B4">
      <w:pPr>
        <w:spacing w:before="0" w:after="0" w:line="240" w:lineRule="auto"/>
        <w:rPr>
          <w:rFonts w:cs="Calibri"/>
          <w:color w:val="auto"/>
          <w:szCs w:val="18"/>
        </w:rPr>
      </w:pPr>
      <w:r w:rsidRPr="00A4536F">
        <w:rPr>
          <w:rFonts w:cs="Calibri"/>
          <w:color w:val="auto"/>
          <w:szCs w:val="18"/>
        </w:rPr>
        <w:t>We understand this question as exploring whether food security and livelihoods, WASH and Protection interventions were aligned with or responsive to the needs of the intended participants and, specifically, those communities affected by long-term drought and conflict in the targeted regions of Ethiopia and Kenya (</w:t>
      </w:r>
      <w:hyperlink w:anchor="_1.2_Brief_Background" w:history="1">
        <w:r w:rsidRPr="00A4536F">
          <w:rPr>
            <w:rStyle w:val="Hyperlink"/>
            <w:rFonts w:cs="Calibri"/>
            <w:color w:val="auto"/>
            <w:szCs w:val="18"/>
          </w:rPr>
          <w:t>see Sub-section 1.2</w:t>
        </w:r>
      </w:hyperlink>
      <w:r w:rsidRPr="00A4536F">
        <w:rPr>
          <w:rFonts w:cs="Calibri"/>
          <w:color w:val="auto"/>
          <w:szCs w:val="18"/>
        </w:rPr>
        <w:t xml:space="preserve">). </w:t>
      </w:r>
    </w:p>
    <w:p w14:paraId="48D250A4" w14:textId="77777777" w:rsidR="00315466" w:rsidRPr="00A4536F" w:rsidRDefault="001D4E15" w:rsidP="00E4398D">
      <w:pPr>
        <w:spacing w:before="0" w:after="120"/>
        <w:rPr>
          <w:rStyle w:val="cf01"/>
          <w:rFonts w:ascii="Verdana" w:hAnsi="Verdana" w:cs="Calibri"/>
          <w:color w:val="auto"/>
        </w:rPr>
      </w:pPr>
      <w:r w:rsidRPr="00A4536F">
        <w:rPr>
          <w:rFonts w:cs="Calibri"/>
          <w:color w:val="auto"/>
          <w:szCs w:val="18"/>
          <w:shd w:val="clear" w:color="auto" w:fill="FFFFFF"/>
        </w:rPr>
        <w:t xml:space="preserve">The evaluation found that the FSL interventions were tailored to the needs of the target beneficiaries in Kenya and Ethiopia. At the overarching level the </w:t>
      </w:r>
      <w:r w:rsidRPr="00A4536F">
        <w:rPr>
          <w:rStyle w:val="cf01"/>
          <w:rFonts w:ascii="Verdana" w:hAnsi="Verdana" w:cs="Calibri"/>
          <w:color w:val="auto"/>
        </w:rPr>
        <w:t xml:space="preserve">AHP FSL interventions supported government effort </w:t>
      </w:r>
      <w:r w:rsidRPr="00A4536F">
        <w:rPr>
          <w:rFonts w:cs="Calibri"/>
          <w:color w:val="auto"/>
          <w:szCs w:val="18"/>
          <w:shd w:val="clear" w:color="auto" w:fill="FFFFFF"/>
        </w:rPr>
        <w:t xml:space="preserve">led by the </w:t>
      </w:r>
      <w:r w:rsidRPr="00A4536F">
        <w:rPr>
          <w:rFonts w:cs="Calibri"/>
          <w:color w:val="auto"/>
          <w:szCs w:val="18"/>
        </w:rPr>
        <w:t>National Drought Management Authority – Kenya (</w:t>
      </w:r>
      <w:r w:rsidRPr="00A4536F">
        <w:rPr>
          <w:rStyle w:val="cf01"/>
          <w:rFonts w:ascii="Verdana" w:hAnsi="Verdana" w:cs="Calibri"/>
          <w:color w:val="auto"/>
        </w:rPr>
        <w:t>NDMA),</w:t>
      </w:r>
      <w:r w:rsidRPr="00A4536F">
        <w:rPr>
          <w:rStyle w:val="FootnoteReference"/>
          <w:rFonts w:cs="Calibri"/>
          <w:color w:val="auto"/>
          <w:szCs w:val="18"/>
        </w:rPr>
        <w:footnoteReference w:id="10"/>
      </w:r>
      <w:r w:rsidRPr="00A4536F">
        <w:rPr>
          <w:rStyle w:val="cf01"/>
          <w:rFonts w:ascii="Verdana" w:hAnsi="Verdana" w:cs="Calibri"/>
          <w:color w:val="auto"/>
        </w:rPr>
        <w:t xml:space="preserve"> and the </w:t>
      </w:r>
      <w:r w:rsidRPr="00A4536F">
        <w:rPr>
          <w:rFonts w:cs="Calibri"/>
          <w:color w:val="auto"/>
          <w:szCs w:val="18"/>
        </w:rPr>
        <w:lastRenderedPageBreak/>
        <w:t>National Disaster Risk Management Commission - Ethiopia</w:t>
      </w:r>
      <w:r w:rsidRPr="00A4536F">
        <w:rPr>
          <w:rStyle w:val="cf01"/>
          <w:rFonts w:ascii="Verdana" w:hAnsi="Verdana" w:cs="Calibri"/>
          <w:color w:val="auto"/>
        </w:rPr>
        <w:t xml:space="preserve"> (NDRMC),</w:t>
      </w:r>
      <w:r w:rsidRPr="00A4536F">
        <w:rPr>
          <w:rStyle w:val="FootnoteReference"/>
          <w:rFonts w:cs="Calibri"/>
          <w:color w:val="auto"/>
          <w:szCs w:val="18"/>
        </w:rPr>
        <w:footnoteReference w:id="11"/>
      </w:r>
      <w:r w:rsidRPr="00A4536F">
        <w:rPr>
          <w:rStyle w:val="cf01"/>
          <w:rFonts w:ascii="Verdana" w:hAnsi="Verdana" w:cs="Calibri"/>
          <w:color w:val="auto"/>
        </w:rPr>
        <w:t xml:space="preserve"> which focused on food, water, and livestock support in drought-hit areas by providing food, nutrition, agricultural, and livestock assistance to improve food security and resilience.</w:t>
      </w:r>
    </w:p>
    <w:p w14:paraId="066B8275" w14:textId="77777777" w:rsidR="00315466" w:rsidRPr="00A4536F" w:rsidRDefault="001D4E15" w:rsidP="00E4398D">
      <w:pPr>
        <w:spacing w:before="0" w:after="120"/>
        <w:rPr>
          <w:rFonts w:cs="Calibri"/>
          <w:color w:val="auto"/>
          <w:szCs w:val="18"/>
        </w:rPr>
      </w:pPr>
      <w:r w:rsidRPr="00A4536F">
        <w:rPr>
          <w:rFonts w:cs="Calibri"/>
          <w:color w:val="auto"/>
          <w:szCs w:val="18"/>
        </w:rPr>
        <w:t>Additionally, FSL interventions also provided mental health and psychosocial support (MHPSS), especially in relation to child protection and gender-based violence (GBV) which were needed by beneficiary group. For example, the Tigray conflict left many individuals, including children and adults, grappling with trauma, stress, and mental disorders. Therefore, integrating MHPSS with FSL efforts was essential to support the beneficiary group.</w:t>
      </w:r>
    </w:p>
    <w:p w14:paraId="1E7145AD" w14:textId="77777777" w:rsidR="00315466" w:rsidRPr="00A4536F" w:rsidRDefault="001D4E15" w:rsidP="00E4398D">
      <w:pPr>
        <w:spacing w:before="0" w:after="120"/>
        <w:rPr>
          <w:rFonts w:cs="Calibri"/>
          <w:color w:val="auto"/>
          <w:szCs w:val="18"/>
        </w:rPr>
      </w:pPr>
      <w:r w:rsidRPr="00A4536F">
        <w:rPr>
          <w:rFonts w:cs="Calibri"/>
          <w:color w:val="auto"/>
          <w:szCs w:val="18"/>
        </w:rPr>
        <w:t>Data from FGDs with men and women and surveys in both Ethiopia and Kenya revealed that, for the most part, by focusing on food security and improving livelihoods, as well as WASH and Protection activities in the target communities, the AHP FSL interventions were aligned with the identified specific needs of the target populations. Survey data in both Kenya and Ethiopia showed that the beneficiaries felt the FSL support received was relevant to their needs. Data from beneficiary surveys shows that 93% (n=54) of Kenyan respondents, and 55.5% (n=210) of Ethiopian respondents, rated the FSL intervention to be relevant to both their emergency and long-term development needs.</w:t>
      </w:r>
    </w:p>
    <w:p w14:paraId="017829F1" w14:textId="77777777" w:rsidR="00315466" w:rsidRPr="00A4536F" w:rsidRDefault="001D4E15" w:rsidP="00E4398D">
      <w:pPr>
        <w:spacing w:before="0" w:after="120"/>
        <w:rPr>
          <w:rFonts w:cs="Calibri"/>
          <w:color w:val="auto"/>
          <w:szCs w:val="18"/>
        </w:rPr>
      </w:pPr>
      <w:r w:rsidRPr="00A4536F">
        <w:rPr>
          <w:rFonts w:cs="Calibri"/>
          <w:color w:val="auto"/>
          <w:szCs w:val="18"/>
        </w:rPr>
        <w:t>However, data from interviews with community leaders and schoolteachers, and FGDs with boys and girls in both Kenya and Ethiopia suggests that the FSL interventions failed to engage boys and girls in the project activities. In most cases, apart from being listed among the target beneficiaries, there were no youth centred activities.</w:t>
      </w:r>
      <w:r w:rsidRPr="00A4536F">
        <w:rPr>
          <w:rFonts w:cs="Calibri"/>
          <w:i/>
          <w:iCs/>
          <w:color w:val="auto"/>
          <w:szCs w:val="18"/>
        </w:rPr>
        <w:t xml:space="preserve"> </w:t>
      </w:r>
      <w:r w:rsidRPr="00A4536F">
        <w:rPr>
          <w:rFonts w:cs="Calibri"/>
          <w:color w:val="auto"/>
          <w:szCs w:val="18"/>
        </w:rPr>
        <w:t xml:space="preserve">In addition, data from </w:t>
      </w:r>
      <w:r w:rsidRPr="00A4536F">
        <w:rPr>
          <w:rFonts w:cs="Calibri"/>
          <w:color w:val="auto"/>
          <w:szCs w:val="18"/>
          <w:shd w:val="clear" w:color="auto" w:fill="FFFFFF"/>
        </w:rPr>
        <w:t>people</w:t>
      </w:r>
      <w:r w:rsidRPr="00A4536F">
        <w:rPr>
          <w:rFonts w:cs="Calibri"/>
          <w:color w:val="auto"/>
          <w:szCs w:val="18"/>
        </w:rPr>
        <w:t xml:space="preserve"> with disabilities suggests that, in as much as they were targeted among the beneficiary groups, the interventions were not tailored to their specific disability-related needs. </w:t>
      </w:r>
    </w:p>
    <w:p w14:paraId="38A9496B" w14:textId="76A9D7DF" w:rsidR="00CC5A9E" w:rsidRPr="00031544" w:rsidRDefault="001D4E15" w:rsidP="00031544">
      <w:pPr>
        <w:spacing w:before="0" w:after="120"/>
        <w:rPr>
          <w:rFonts w:cs="Calibri"/>
          <w:color w:val="auto"/>
          <w:szCs w:val="18"/>
        </w:rPr>
      </w:pPr>
      <w:r w:rsidRPr="00A4536F">
        <w:rPr>
          <w:rFonts w:cs="Calibri"/>
          <w:color w:val="auto"/>
          <w:szCs w:val="18"/>
        </w:rPr>
        <w:t xml:space="preserve">To the degree that activities were relevant, interviews with beneficiaries, project staff and government officials suggest that this was a result of the extensive consultations and baseline surveys carried out by implementing organisations prior to starting activities, which aimed to identify the needs of would-be beneficiaries and to ensure that the response was tailored to those needs. Government officials responsible for the target regions, sub counties/woreda, and community leaders were engaged in conducting assessments while also ensuring that the planned interventions were aligned with government plans.   </w:t>
      </w:r>
      <w:bookmarkStart w:id="77" w:name="_Toc164286965"/>
      <w:bookmarkStart w:id="78" w:name="_Toc164324004"/>
      <w:bookmarkStart w:id="79" w:name="_Toc164324329"/>
      <w:bookmarkStart w:id="80" w:name="_Toc174559883"/>
    </w:p>
    <w:p w14:paraId="18D0F247" w14:textId="3E2FA289" w:rsidR="00CC5A9E" w:rsidRPr="00031544" w:rsidRDefault="001D4E15" w:rsidP="00031544">
      <w:pPr>
        <w:pStyle w:val="Heading3"/>
        <w:spacing w:after="240"/>
        <w:rPr>
          <w:rFonts w:ascii="Verdana" w:hAnsi="Verdana"/>
          <w:color w:val="auto"/>
          <w:sz w:val="20"/>
          <w:szCs w:val="20"/>
        </w:rPr>
      </w:pPr>
      <w:bookmarkStart w:id="81" w:name="_Toc181278030"/>
      <w:r w:rsidRPr="0021263E">
        <w:rPr>
          <w:rFonts w:ascii="Verdana" w:hAnsi="Verdana"/>
          <w:color w:val="auto"/>
          <w:sz w:val="20"/>
          <w:szCs w:val="20"/>
        </w:rPr>
        <w:t>EQ 2. How did the interventions adapt to changes in the context?</w:t>
      </w:r>
      <w:bookmarkEnd w:id="77"/>
      <w:bookmarkEnd w:id="78"/>
      <w:bookmarkEnd w:id="79"/>
      <w:bookmarkEnd w:id="80"/>
      <w:bookmarkEnd w:id="81"/>
    </w:p>
    <w:p w14:paraId="658E5866" w14:textId="40377989" w:rsidR="00CC5A9E" w:rsidRPr="00A4536F" w:rsidRDefault="001D4E15" w:rsidP="00031544">
      <w:pPr>
        <w:spacing w:before="0" w:line="240" w:lineRule="auto"/>
        <w:rPr>
          <w:rFonts w:cs="Calibri"/>
          <w:b/>
          <w:bCs/>
          <w:color w:val="auto"/>
          <w:szCs w:val="18"/>
        </w:rPr>
      </w:pPr>
      <w:r w:rsidRPr="00A4536F">
        <w:rPr>
          <w:rFonts w:cs="Calibri"/>
          <w:b/>
          <w:bCs/>
          <w:color w:val="auto"/>
          <w:szCs w:val="18"/>
          <w:u w:val="single"/>
        </w:rPr>
        <w:t>Finding:</w:t>
      </w:r>
      <w:r w:rsidRPr="00A4536F">
        <w:rPr>
          <w:rFonts w:cs="Calibri"/>
          <w:b/>
          <w:bCs/>
          <w:color w:val="auto"/>
          <w:szCs w:val="18"/>
        </w:rPr>
        <w:t xml:space="preserve">  FSL interventions were adapted and responsive to changing contexts, and deliverables adapted to new conditions. </w:t>
      </w:r>
    </w:p>
    <w:p w14:paraId="4EF9B3D3" w14:textId="77777777" w:rsidR="00315466" w:rsidRPr="00A4536F" w:rsidRDefault="001D4E15" w:rsidP="00E4398D">
      <w:pPr>
        <w:spacing w:before="0" w:after="120"/>
        <w:rPr>
          <w:rFonts w:cs="Calibri"/>
          <w:color w:val="auto"/>
          <w:szCs w:val="18"/>
        </w:rPr>
      </w:pPr>
      <w:r w:rsidRPr="00A4536F">
        <w:rPr>
          <w:rFonts w:cs="Calibri"/>
          <w:color w:val="auto"/>
          <w:szCs w:val="18"/>
        </w:rPr>
        <w:t>Data from interviews with government representatives and community leaders highlighted that implementing organisations have demonstrated adaptability and sensitivity to the shifting contexts in both Kenya and Ethiopia. Changes such as raising cash transfer rates in response to hyperinflation in Ethiopia, joining sanitation campaigns at the request of local authorities, providing freshwater resources, and changing agricultural interventions to suit drought conditions illustrate their flexible approach. These changes, guided by ongoing feedback from beneficiaries and stakeholders, ensured that the FSL interventions remained relevant and effective in meeting the changing needs of the communities.</w:t>
      </w:r>
    </w:p>
    <w:p w14:paraId="34A81493" w14:textId="77777777" w:rsidR="00315466" w:rsidRPr="00A4536F" w:rsidRDefault="001D4E15" w:rsidP="00E4398D">
      <w:pPr>
        <w:spacing w:before="0" w:after="120"/>
        <w:rPr>
          <w:rFonts w:cs="Calibri"/>
          <w:color w:val="auto"/>
          <w:szCs w:val="18"/>
        </w:rPr>
      </w:pPr>
      <w:r w:rsidRPr="00A4536F">
        <w:rPr>
          <w:rFonts w:cs="Calibri"/>
          <w:color w:val="auto"/>
          <w:szCs w:val="18"/>
        </w:rPr>
        <w:t>A review of the Project Progress Report from the Plan International Ethiopia Consortium supports this view. For example, in response to the hyperinflation in Tigray, a joint cash and market feasibility assessment was conducted by various partners, including Oxfam, and led to a 30% increase in the cash transfer rate, to “9200 birr per round for up to three rounds per household”.</w:t>
      </w:r>
      <w:r w:rsidRPr="00A4536F">
        <w:rPr>
          <w:rStyle w:val="FootnoteReference"/>
          <w:rFonts w:cs="Calibri"/>
          <w:color w:val="auto"/>
          <w:szCs w:val="18"/>
        </w:rPr>
        <w:footnoteReference w:id="12"/>
      </w:r>
      <w:r w:rsidRPr="00A4536F">
        <w:rPr>
          <w:rFonts w:cs="Calibri"/>
          <w:color w:val="auto"/>
          <w:szCs w:val="18"/>
        </w:rPr>
        <w:t xml:space="preserve"> </w:t>
      </w:r>
    </w:p>
    <w:p w14:paraId="2F2A2DB6"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In </w:t>
      </w:r>
      <w:proofErr w:type="spellStart"/>
      <w:r w:rsidRPr="00A4536F">
        <w:rPr>
          <w:rFonts w:cs="Calibri"/>
          <w:color w:val="auto"/>
          <w:szCs w:val="18"/>
        </w:rPr>
        <w:t>Marsabit</w:t>
      </w:r>
      <w:proofErr w:type="spellEnd"/>
      <w:r w:rsidRPr="00A4536F">
        <w:rPr>
          <w:rFonts w:cs="Calibri"/>
          <w:color w:val="auto"/>
          <w:szCs w:val="18"/>
        </w:rPr>
        <w:t xml:space="preserve">, Kenya, at the request of the Public Health Department, SND was invited to participate in the on-going Open Defecation Free (ODF) Campaign, by supporting the Community-Led Total Sanitation (CLTS) initiative in the target sub-counties of </w:t>
      </w:r>
      <w:proofErr w:type="spellStart"/>
      <w:r w:rsidRPr="00A4536F">
        <w:rPr>
          <w:rFonts w:cs="Calibri"/>
          <w:color w:val="auto"/>
          <w:szCs w:val="18"/>
        </w:rPr>
        <w:t>Laisamis</w:t>
      </w:r>
      <w:proofErr w:type="spellEnd"/>
      <w:r w:rsidRPr="00A4536F">
        <w:rPr>
          <w:rFonts w:cs="Calibri"/>
          <w:color w:val="auto"/>
          <w:szCs w:val="18"/>
        </w:rPr>
        <w:t xml:space="preserve"> and </w:t>
      </w:r>
      <w:proofErr w:type="spellStart"/>
      <w:r w:rsidRPr="00A4536F">
        <w:rPr>
          <w:rFonts w:cs="Calibri"/>
          <w:color w:val="auto"/>
          <w:szCs w:val="18"/>
        </w:rPr>
        <w:t>Namarie</w:t>
      </w:r>
      <w:proofErr w:type="spellEnd"/>
      <w:r w:rsidRPr="00A4536F">
        <w:rPr>
          <w:rFonts w:cs="Calibri"/>
          <w:color w:val="auto"/>
          <w:szCs w:val="18"/>
        </w:rPr>
        <w:t xml:space="preserve">, Kenya. As these objectives were aligned with the objectives of the FSL intervention, SND adjusted their interventions and participated in the campaign. Interviews with officials from the Public Health </w:t>
      </w:r>
      <w:r w:rsidRPr="00A4536F">
        <w:rPr>
          <w:rFonts w:cs="Calibri"/>
          <w:color w:val="auto"/>
          <w:szCs w:val="18"/>
        </w:rPr>
        <w:lastRenderedPageBreak/>
        <w:t xml:space="preserve">Department in </w:t>
      </w:r>
      <w:proofErr w:type="spellStart"/>
      <w:r w:rsidRPr="00A4536F">
        <w:rPr>
          <w:rFonts w:cs="Calibri"/>
          <w:color w:val="auto"/>
          <w:szCs w:val="18"/>
        </w:rPr>
        <w:t>Laisamis</w:t>
      </w:r>
      <w:proofErr w:type="spellEnd"/>
      <w:r w:rsidRPr="00A4536F">
        <w:rPr>
          <w:rFonts w:cs="Calibri"/>
          <w:color w:val="auto"/>
          <w:szCs w:val="18"/>
        </w:rPr>
        <w:t xml:space="preserve">, Kenya, highlighted the important role that SND played as a campaign-leading organisation. </w:t>
      </w:r>
    </w:p>
    <w:p w14:paraId="3399FE56" w14:textId="6C0CFB5E" w:rsidR="00483074" w:rsidRPr="00031544" w:rsidRDefault="001D4E15" w:rsidP="00031544">
      <w:pPr>
        <w:spacing w:before="0" w:after="0"/>
        <w:rPr>
          <w:rFonts w:cs="Calibri"/>
          <w:color w:val="auto"/>
          <w:szCs w:val="18"/>
        </w:rPr>
      </w:pPr>
      <w:r w:rsidRPr="00A4536F">
        <w:rPr>
          <w:rFonts w:cs="Calibri"/>
          <w:color w:val="auto"/>
          <w:szCs w:val="18"/>
        </w:rPr>
        <w:t xml:space="preserve">In Turkana, the absence of fresh water in the target communities of </w:t>
      </w:r>
      <w:proofErr w:type="spellStart"/>
      <w:r w:rsidRPr="00A4536F">
        <w:rPr>
          <w:rFonts w:cs="Calibri"/>
          <w:color w:val="auto"/>
          <w:szCs w:val="18"/>
        </w:rPr>
        <w:t>Narengerwoi</w:t>
      </w:r>
      <w:proofErr w:type="spellEnd"/>
      <w:r w:rsidRPr="00A4536F">
        <w:rPr>
          <w:rFonts w:cs="Calibri"/>
          <w:color w:val="auto"/>
          <w:szCs w:val="18"/>
        </w:rPr>
        <w:t xml:space="preserve"> sub-county led to discussions between the Turkana County Government and TUPADO about how to resolve the issue. Discussions identified opportunities to secure fresh water, but also increased costs associated with these. TUPADO noted that they responded to the issue by approaching Oxfam in Kenya, which provided additional resources to invest in water works. Data from interviews with beneficiaries and government officials showed other examples of modification made to interventions. In Ethiopia, for example, almost all farming activities stopped due to extreme drought. In response, the project provided chickpea seeds, which require a short time to grow and can mature with minimal irrigation. </w:t>
      </w:r>
      <w:bookmarkStart w:id="82" w:name="_Toc164286966"/>
      <w:bookmarkStart w:id="83" w:name="_Toc164582556"/>
      <w:bookmarkStart w:id="84" w:name="_Toc164324005"/>
      <w:bookmarkStart w:id="85" w:name="_Toc174559884"/>
    </w:p>
    <w:p w14:paraId="2A796B89" w14:textId="30243374" w:rsidR="0021263E" w:rsidRPr="00031544" w:rsidRDefault="001D4E15" w:rsidP="00031544">
      <w:pPr>
        <w:pStyle w:val="Heading2"/>
        <w:spacing w:after="240" w:line="240" w:lineRule="auto"/>
        <w:rPr>
          <w:rFonts w:ascii="Verdana" w:hAnsi="Verdana"/>
          <w:sz w:val="24"/>
          <w:szCs w:val="24"/>
        </w:rPr>
      </w:pPr>
      <w:bookmarkStart w:id="86" w:name="_Toc181278031"/>
      <w:r w:rsidRPr="0021263E">
        <w:rPr>
          <w:rFonts w:ascii="Verdana" w:hAnsi="Verdana"/>
          <w:sz w:val="24"/>
          <w:szCs w:val="24"/>
        </w:rPr>
        <w:t>3.2 Coherence</w:t>
      </w:r>
      <w:bookmarkEnd w:id="82"/>
      <w:bookmarkEnd w:id="83"/>
      <w:bookmarkEnd w:id="84"/>
      <w:bookmarkEnd w:id="85"/>
      <w:bookmarkEnd w:id="86"/>
    </w:p>
    <w:p w14:paraId="7E7CF8A3" w14:textId="3EE65BC7" w:rsidR="0021263E" w:rsidRPr="00031544" w:rsidRDefault="001D4E15" w:rsidP="00031544">
      <w:pPr>
        <w:spacing w:before="0" w:after="0" w:line="240" w:lineRule="auto"/>
        <w:rPr>
          <w:rFonts w:cs="Calibri"/>
          <w:color w:val="auto"/>
          <w:szCs w:val="18"/>
        </w:rPr>
      </w:pPr>
      <w:r w:rsidRPr="00A4536F">
        <w:rPr>
          <w:rFonts w:cs="Calibri"/>
          <w:color w:val="auto"/>
          <w:szCs w:val="18"/>
        </w:rPr>
        <w:t>The OECD DAC defines coherence as the alignment and coordination of policies, strategies, and actions among different humanitarian actors to ensure an effective, timely, and comprehensive response to crises and emergencies.</w:t>
      </w:r>
      <w:r w:rsidRPr="00A4536F">
        <w:rPr>
          <w:rStyle w:val="FootnoteReference"/>
          <w:rFonts w:cs="Calibri"/>
          <w:color w:val="auto"/>
          <w:szCs w:val="18"/>
        </w:rPr>
        <w:footnoteReference w:id="13"/>
      </w:r>
      <w:r w:rsidRPr="00A4536F">
        <w:rPr>
          <w:rFonts w:cs="Calibri"/>
          <w:color w:val="auto"/>
          <w:szCs w:val="18"/>
        </w:rPr>
        <w:t xml:space="preserve"> This includes coordination between governments, international organisations, NGOs, and other stakeholders involved in humanitarian assistance. This sub-section focuses on responding to the question: </w:t>
      </w:r>
      <w:bookmarkStart w:id="87" w:name="_Toc174559885"/>
      <w:bookmarkStart w:id="88" w:name="_Toc164286967"/>
      <w:bookmarkStart w:id="89" w:name="_Toc164324006"/>
      <w:bookmarkStart w:id="90" w:name="_Toc164582557"/>
    </w:p>
    <w:p w14:paraId="13B72936" w14:textId="56598AE7" w:rsidR="0021263E" w:rsidRPr="00031544" w:rsidRDefault="001D4E15" w:rsidP="00031544">
      <w:pPr>
        <w:pStyle w:val="Heading3"/>
        <w:spacing w:before="240" w:after="240"/>
        <w:rPr>
          <w:rFonts w:ascii="Verdana" w:hAnsi="Verdana"/>
          <w:color w:val="auto"/>
          <w:sz w:val="20"/>
          <w:szCs w:val="20"/>
        </w:rPr>
      </w:pPr>
      <w:bookmarkStart w:id="91" w:name="_Toc181278032"/>
      <w:r w:rsidRPr="0021263E">
        <w:rPr>
          <w:rFonts w:ascii="Verdana" w:hAnsi="Verdana"/>
          <w:color w:val="auto"/>
          <w:sz w:val="20"/>
          <w:szCs w:val="20"/>
        </w:rPr>
        <w:t>EQ 3. How well did the interventions coordinate with humanitarian platforms and relevant clusters?</w:t>
      </w:r>
      <w:bookmarkEnd w:id="87"/>
      <w:bookmarkEnd w:id="91"/>
    </w:p>
    <w:p w14:paraId="4813D586" w14:textId="22BBAA05" w:rsidR="0021263E" w:rsidRPr="00031544" w:rsidRDefault="001D4E15" w:rsidP="00031544">
      <w:pPr>
        <w:spacing w:before="0" w:line="240" w:lineRule="auto"/>
        <w:rPr>
          <w:rFonts w:cs="Calibri"/>
          <w:b/>
          <w:bCs/>
          <w:color w:val="auto"/>
          <w:szCs w:val="18"/>
        </w:rPr>
      </w:pPr>
      <w:r w:rsidRPr="00A4536F">
        <w:rPr>
          <w:rFonts w:cs="Calibri"/>
          <w:b/>
          <w:bCs/>
          <w:color w:val="auto"/>
          <w:szCs w:val="18"/>
          <w:u w:val="single"/>
        </w:rPr>
        <w:t>Finding:</w:t>
      </w:r>
      <w:r w:rsidRPr="00A4536F">
        <w:rPr>
          <w:rFonts w:cs="Calibri"/>
          <w:b/>
          <w:bCs/>
          <w:color w:val="auto"/>
          <w:szCs w:val="18"/>
        </w:rPr>
        <w:t xml:space="preserve"> FSL interventions in Ethiopia and Kenya were well-coordinated with national and sub-national humanitarian platforms and relevant clusters. </w:t>
      </w:r>
    </w:p>
    <w:bookmarkEnd w:id="88"/>
    <w:bookmarkEnd w:id="89"/>
    <w:bookmarkEnd w:id="90"/>
    <w:p w14:paraId="4F6147C3"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This question requires (a) the identification of humanitarian coordination platforms in the target regions/counties in both countries, and (b) exploring how the implementing partner organisations participated in these platforms to enhance coordination and learning. </w:t>
      </w:r>
    </w:p>
    <w:p w14:paraId="1572B026"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Both Kenya and Ethiopia have an elaborate humanitarian coordination mechanism. In Ethiopia, the National Disaster Risk Management Coordination Commission (NDRMCC) leads humanitarian coordination, supported by the United Nations Office for the Coordination of Humanitarian Affairs (UNOCHA). These mechanisms aim to ensure collaboration between the Ethiopian government, UN agencies, NGOs, and other humanitarian actors. The cluster aims to ensure sector-specific coordination in areas such as food security, health, protection, and WASH, with designated lead agencies overseeing activities within each cluster. At the sub-national level in Ethiopia, regional and zonal Disaster Risk Management (DRM) offices collaborate with clusters to implement and coordinate humanitarian activities. Local government entities and community leaders are involved in planning and execution, ensuring alignment with regional priorities. </w:t>
      </w:r>
    </w:p>
    <w:p w14:paraId="41BE9D39" w14:textId="77777777" w:rsidR="00315466" w:rsidRPr="00A4536F" w:rsidRDefault="001D4E15" w:rsidP="00E4398D">
      <w:pPr>
        <w:spacing w:before="0" w:after="120"/>
        <w:rPr>
          <w:rFonts w:cs="Calibri"/>
          <w:color w:val="auto"/>
          <w:szCs w:val="18"/>
        </w:rPr>
      </w:pPr>
      <w:r w:rsidRPr="00A4536F">
        <w:rPr>
          <w:rFonts w:cs="Calibri"/>
          <w:color w:val="auto"/>
          <w:szCs w:val="18"/>
        </w:rPr>
        <w:t>In Kenya, the National Disaster Operations Centre (NDOC) is the central coordination point, managed by the National Disaster Management Authority (NDMA). NDOC coordinates with County Disaster Management Committees, the Humanitarian Country Team (HCT), and various clusters to streamline disaster response. The Kenya Interagency Rapid Assessment (KIRA) mechanism provides a coordinated approach to multi-sector assessments during emergencies.</w:t>
      </w:r>
    </w:p>
    <w:p w14:paraId="1186F53F" w14:textId="77777777" w:rsidR="00315466" w:rsidRPr="00A4536F" w:rsidRDefault="001D4E15" w:rsidP="00E4398D">
      <w:pPr>
        <w:spacing w:before="0" w:after="120"/>
        <w:rPr>
          <w:rFonts w:cs="Calibri"/>
          <w:color w:val="auto"/>
          <w:szCs w:val="18"/>
        </w:rPr>
      </w:pPr>
      <w:r w:rsidRPr="00A4536F">
        <w:rPr>
          <w:rFonts w:cs="Calibri"/>
          <w:color w:val="auto"/>
          <w:szCs w:val="18"/>
        </w:rPr>
        <w:t>In Kenya, County Disaster Management Committees coordinate disaster response at the county level, work with clusters and the NDMA. Regional coordination mechanisms facilitate collaboration among stakeholders, including NGOs and local government departments.</w:t>
      </w:r>
    </w:p>
    <w:p w14:paraId="17C4E2E4"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The evaluation found that the FSL interventions implemented by Oxfam and Plan International in Ethiopia, and by Oxfam in Kenya, have effectively utilised these coordination mechanisms to enhance their interventions. In Ethiopia, Oxfam and Plan International participate in national and sub-national clusters, ensuring their activities align with broader humanitarian strategies. They collaborate with regional and woreda-level stakeholders for joint planning and activity scheduling, ensuring interventions are responsive to local needs. For instance, data from interviews with </w:t>
      </w:r>
      <w:r w:rsidRPr="00A4536F">
        <w:rPr>
          <w:rFonts w:cs="Calibri"/>
          <w:color w:val="auto"/>
          <w:szCs w:val="18"/>
        </w:rPr>
        <w:lastRenderedPageBreak/>
        <w:t xml:space="preserve">implementing partners in Ethiopia shows that this coordination helped inform the decision on revising cash transfer values due to the hyperinflation experienced in the country.  </w:t>
      </w:r>
    </w:p>
    <w:p w14:paraId="14A7A14F" w14:textId="77777777" w:rsidR="00315466" w:rsidRPr="00A4536F" w:rsidRDefault="001D4E15" w:rsidP="00E4398D">
      <w:pPr>
        <w:spacing w:before="0" w:after="120"/>
        <w:rPr>
          <w:rFonts w:cs="Calibri"/>
          <w:color w:val="auto"/>
          <w:szCs w:val="18"/>
        </w:rPr>
      </w:pPr>
      <w:r w:rsidRPr="00A4536F">
        <w:rPr>
          <w:rFonts w:cs="Calibri"/>
          <w:color w:val="auto"/>
          <w:szCs w:val="18"/>
        </w:rPr>
        <w:t>In Kenya, Oxfam engages with national coordination structures like the NDOC, the HCT, and relevant clusters. Data from interviews with implementing partners in Kenya shows that at the county level, partners (SND, PACIDA, and TUPADO) work with local disaster management committees and other stakeholders to ensure targeted and effective interventions. These collaborations prevent duplication and ensure that assistance reaches the most vulnerable populations.</w:t>
      </w:r>
    </w:p>
    <w:p w14:paraId="51987449" w14:textId="7C4118DD" w:rsidR="00483074" w:rsidRPr="00031544" w:rsidRDefault="001D4E15" w:rsidP="00031544">
      <w:pPr>
        <w:spacing w:before="0" w:after="120"/>
        <w:rPr>
          <w:rFonts w:cs="Calibri"/>
          <w:color w:val="auto"/>
          <w:szCs w:val="18"/>
        </w:rPr>
      </w:pPr>
      <w:r w:rsidRPr="00A4536F">
        <w:rPr>
          <w:rFonts w:cs="Calibri"/>
          <w:color w:val="auto"/>
          <w:szCs w:val="18"/>
        </w:rPr>
        <w:t xml:space="preserve">Despite the usefulness of the mechanisms, the evidence gathered indicates that the coordination mechanisms in Kenya were not well connected to facilitate consistent exchange of lessons learned across the local and national levels. The purposeful sharing of lessons learned from project implementation of humanitarian interventions with national-level coordination mechanisms is crucial for influencing policy change and planning, and thus requires deliberate reporting. (See Recommendation </w:t>
      </w:r>
      <w:r w:rsidR="00DD0BE2" w:rsidRPr="00A4536F">
        <w:rPr>
          <w:rFonts w:cs="Calibri"/>
          <w:color w:val="auto"/>
          <w:szCs w:val="18"/>
        </w:rPr>
        <w:t>2</w:t>
      </w:r>
      <w:r w:rsidRPr="00A4536F">
        <w:rPr>
          <w:rFonts w:cs="Calibri"/>
          <w:color w:val="auto"/>
          <w:szCs w:val="18"/>
        </w:rPr>
        <w:t>)</w:t>
      </w:r>
      <w:bookmarkStart w:id="92" w:name="_Toc174559886"/>
    </w:p>
    <w:p w14:paraId="26933FC4" w14:textId="646FDCC2" w:rsidR="00483074" w:rsidRPr="00031544" w:rsidRDefault="001D4E15" w:rsidP="00031544">
      <w:pPr>
        <w:pStyle w:val="Heading2"/>
        <w:spacing w:after="240" w:line="240" w:lineRule="auto"/>
        <w:rPr>
          <w:rFonts w:ascii="Verdana" w:hAnsi="Verdana"/>
          <w:sz w:val="24"/>
          <w:szCs w:val="24"/>
        </w:rPr>
      </w:pPr>
      <w:bookmarkStart w:id="93" w:name="_Toc181278033"/>
      <w:r w:rsidRPr="00483074">
        <w:rPr>
          <w:rFonts w:ascii="Verdana" w:hAnsi="Verdana"/>
          <w:sz w:val="24"/>
          <w:szCs w:val="24"/>
        </w:rPr>
        <w:t>3.3 Effectiveness</w:t>
      </w:r>
      <w:bookmarkEnd w:id="92"/>
      <w:bookmarkEnd w:id="93"/>
    </w:p>
    <w:p w14:paraId="1441F1A5" w14:textId="69909ED1" w:rsidR="00483074" w:rsidRDefault="001D4E15" w:rsidP="00973EFD">
      <w:pPr>
        <w:spacing w:before="0" w:line="240" w:lineRule="auto"/>
        <w:rPr>
          <w:rFonts w:cs="Calibri"/>
          <w:color w:val="auto"/>
          <w:szCs w:val="18"/>
        </w:rPr>
      </w:pPr>
      <w:r w:rsidRPr="00A4536F">
        <w:rPr>
          <w:rFonts w:cs="Calibri"/>
          <w:color w:val="auto"/>
          <w:szCs w:val="18"/>
        </w:rPr>
        <w:t>The OECD DAC defines effectiveness as a measure of the extent to which the intervention achieved, or is expected to achieve, its objectives and its results, including any differential results across groups.</w:t>
      </w:r>
      <w:r w:rsidRPr="00A4536F">
        <w:rPr>
          <w:rStyle w:val="FootnoteReference"/>
          <w:rFonts w:cs="Calibri"/>
          <w:color w:val="auto"/>
          <w:szCs w:val="18"/>
        </w:rPr>
        <w:footnoteReference w:id="14"/>
      </w:r>
      <w:r w:rsidRPr="00A4536F">
        <w:rPr>
          <w:rFonts w:cs="Calibri"/>
          <w:color w:val="auto"/>
          <w:szCs w:val="18"/>
        </w:rPr>
        <w:t xml:space="preserve"> Here we focus on specific aspects of efficiency in answering five specific questions.</w:t>
      </w:r>
      <w:bookmarkStart w:id="95" w:name="_Toc174559887"/>
    </w:p>
    <w:p w14:paraId="7FEB8A8F" w14:textId="5FF8B987" w:rsidR="00483074" w:rsidRPr="00031544" w:rsidRDefault="001D4E15" w:rsidP="00973EFD">
      <w:pPr>
        <w:pStyle w:val="Heading3"/>
        <w:spacing w:after="240"/>
        <w:rPr>
          <w:rFonts w:ascii="Verdana" w:hAnsi="Verdana"/>
          <w:color w:val="auto"/>
          <w:sz w:val="20"/>
          <w:szCs w:val="20"/>
        </w:rPr>
      </w:pPr>
      <w:bookmarkStart w:id="96" w:name="_Toc181278034"/>
      <w:r w:rsidRPr="00483074">
        <w:rPr>
          <w:rFonts w:ascii="Verdana" w:hAnsi="Verdana"/>
          <w:color w:val="auto"/>
          <w:sz w:val="20"/>
          <w:szCs w:val="20"/>
        </w:rPr>
        <w:t>EQ 4. Did the FSL interventions yield results for women, men, girls, and boys?</w:t>
      </w:r>
      <w:bookmarkEnd w:id="95"/>
      <w:bookmarkEnd w:id="96"/>
    </w:p>
    <w:p w14:paraId="6C21A77A" w14:textId="0720C07B" w:rsidR="00483074" w:rsidRPr="00031544" w:rsidRDefault="001D4E15" w:rsidP="00973EFD">
      <w:pPr>
        <w:spacing w:before="0" w:line="240" w:lineRule="auto"/>
        <w:rPr>
          <w:rFonts w:eastAsia="SimSun" w:cs="Calibri"/>
          <w:color w:val="auto"/>
          <w:szCs w:val="18"/>
          <w:shd w:val="clear" w:color="auto" w:fill="FFFFFF"/>
        </w:rPr>
      </w:pPr>
      <w:r w:rsidRPr="00A4536F">
        <w:rPr>
          <w:rFonts w:cs="Calibri"/>
          <w:b/>
          <w:bCs/>
          <w:color w:val="auto"/>
          <w:szCs w:val="18"/>
          <w:u w:val="single"/>
        </w:rPr>
        <w:t>Finding:</w:t>
      </w:r>
      <w:r w:rsidRPr="00A4536F">
        <w:rPr>
          <w:rFonts w:eastAsia="SimSun" w:cs="Calibri"/>
          <w:color w:val="auto"/>
          <w:szCs w:val="18"/>
          <w:shd w:val="clear" w:color="auto" w:fill="FFFFFF"/>
        </w:rPr>
        <w:t xml:space="preserve"> </w:t>
      </w:r>
      <w:r w:rsidRPr="00A4536F">
        <w:rPr>
          <w:rFonts w:eastAsia="SimSun" w:cs="Calibri"/>
          <w:b/>
          <w:bCs/>
          <w:color w:val="auto"/>
          <w:szCs w:val="18"/>
          <w:shd w:val="clear" w:color="auto" w:fill="FFFFFF"/>
        </w:rPr>
        <w:t>Women, men, girls, boys, and children have all benefited from the FSL interventions. However, results vary.</w:t>
      </w:r>
      <w:r w:rsidRPr="00A4536F">
        <w:rPr>
          <w:rFonts w:cs="Calibri"/>
          <w:b/>
          <w:bCs/>
          <w:color w:val="auto"/>
          <w:szCs w:val="18"/>
        </w:rPr>
        <w:t xml:space="preserve"> </w:t>
      </w:r>
      <w:r w:rsidRPr="00A4536F">
        <w:rPr>
          <w:rFonts w:eastAsia="SimSun" w:cs="Calibri"/>
          <w:b/>
          <w:bCs/>
          <w:color w:val="auto"/>
          <w:szCs w:val="18"/>
          <w:shd w:val="clear" w:color="auto" w:fill="FFFFFF"/>
        </w:rPr>
        <w:t xml:space="preserve">The principal reasons for these variations include differences in how activities were implemented by different partners, level of participation of local community, follow-up mechanism in place, and readiness and capacity to execute activities in a timely manner. </w:t>
      </w:r>
    </w:p>
    <w:p w14:paraId="6C7E8595" w14:textId="6E47DAB9" w:rsidR="00A54919" w:rsidRPr="00031544" w:rsidRDefault="001D4E15" w:rsidP="00973EFD">
      <w:pPr>
        <w:autoSpaceDE w:val="0"/>
        <w:autoSpaceDN w:val="0"/>
        <w:adjustRightInd w:val="0"/>
        <w:spacing w:before="0" w:line="240" w:lineRule="auto"/>
        <w:rPr>
          <w:rFonts w:cs="Calibri"/>
          <w:color w:val="auto"/>
          <w:szCs w:val="18"/>
        </w:rPr>
      </w:pPr>
      <w:r w:rsidRPr="00A4536F">
        <w:rPr>
          <w:rFonts w:cs="Calibri"/>
          <w:color w:val="auto"/>
          <w:szCs w:val="18"/>
        </w:rPr>
        <w:t>The findings below are based on project reports, beneficiary surveys, FGDs, and interviews with implementing partners' staff and government staff involved in the implementation of various FSL interventions in different sub-counties and woredas in Kenya and Ethiopia, respectively.</w:t>
      </w:r>
    </w:p>
    <w:p w14:paraId="375B5999" w14:textId="0617134B" w:rsidR="00A54919" w:rsidRDefault="001D4E15" w:rsidP="00973EFD">
      <w:pPr>
        <w:autoSpaceDE w:val="0"/>
        <w:autoSpaceDN w:val="0"/>
        <w:adjustRightInd w:val="0"/>
        <w:spacing w:before="0" w:line="240" w:lineRule="auto"/>
        <w:rPr>
          <w:rFonts w:cs="Calibri"/>
          <w:b/>
          <w:bCs/>
          <w:color w:val="auto"/>
          <w:szCs w:val="18"/>
        </w:rPr>
      </w:pPr>
      <w:r w:rsidRPr="00A4536F">
        <w:rPr>
          <w:rFonts w:cs="Calibri"/>
          <w:b/>
          <w:bCs/>
          <w:color w:val="auto"/>
          <w:szCs w:val="18"/>
        </w:rPr>
        <w:t>Results of</w:t>
      </w:r>
      <w:r w:rsidRPr="00A4536F">
        <w:rPr>
          <w:rFonts w:eastAsia="SimSun" w:cs="Calibri"/>
          <w:b/>
          <w:bCs/>
          <w:color w:val="auto"/>
          <w:szCs w:val="18"/>
          <w:lang w:eastAsia="zh-TW"/>
        </w:rPr>
        <w:t xml:space="preserve"> </w:t>
      </w:r>
      <w:r w:rsidRPr="00A4536F">
        <w:rPr>
          <w:rFonts w:cs="Calibri"/>
          <w:b/>
          <w:bCs/>
          <w:color w:val="auto"/>
          <w:szCs w:val="18"/>
        </w:rPr>
        <w:t>FSL Interventions for Different Demographics</w:t>
      </w:r>
    </w:p>
    <w:p w14:paraId="24ADD03F" w14:textId="1CE20A28" w:rsidR="00A54919" w:rsidRDefault="001D4E15" w:rsidP="00973EFD">
      <w:pPr>
        <w:autoSpaceDE w:val="0"/>
        <w:autoSpaceDN w:val="0"/>
        <w:adjustRightInd w:val="0"/>
        <w:spacing w:before="0" w:line="240" w:lineRule="auto"/>
        <w:rPr>
          <w:rFonts w:cs="Calibri"/>
          <w:b/>
          <w:bCs/>
          <w:color w:val="auto"/>
          <w:szCs w:val="18"/>
        </w:rPr>
      </w:pPr>
      <w:r w:rsidRPr="00A4536F">
        <w:rPr>
          <w:rFonts w:cs="Calibri"/>
          <w:b/>
          <w:bCs/>
          <w:color w:val="auto"/>
          <w:szCs w:val="18"/>
        </w:rPr>
        <w:t xml:space="preserve">Results for Women: </w:t>
      </w:r>
      <w:r w:rsidRPr="00A4536F">
        <w:rPr>
          <w:rFonts w:cs="Calibri"/>
          <w:color w:val="auto"/>
          <w:szCs w:val="18"/>
        </w:rPr>
        <w:t xml:space="preserve">In the Afar and Tigray regions of Ethiopia, women's groups were established, providing platforms for women to address daily and community-wide challenges through awareness campaigns, counselling, and access to supportive assistance. These initiatives have empowered women, increased solidarity among them, and contributed to their overall well-being. In </w:t>
      </w:r>
      <w:proofErr w:type="spellStart"/>
      <w:r w:rsidRPr="00A4536F">
        <w:rPr>
          <w:rFonts w:cs="Calibri"/>
          <w:color w:val="auto"/>
          <w:szCs w:val="18"/>
        </w:rPr>
        <w:t>Marsabit</w:t>
      </w:r>
      <w:proofErr w:type="spellEnd"/>
      <w:r w:rsidRPr="00A4536F">
        <w:rPr>
          <w:rFonts w:cs="Calibri"/>
          <w:color w:val="auto"/>
          <w:szCs w:val="18"/>
        </w:rPr>
        <w:t>, Kenya, WASH initiatives, Gender, Protection, and Nutrition engaged women as CHVs</w:t>
      </w:r>
      <w:r w:rsidR="00F06C87">
        <w:rPr>
          <w:rFonts w:cs="Calibri"/>
          <w:color w:val="auto"/>
          <w:szCs w:val="18"/>
        </w:rPr>
        <w:t>.</w:t>
      </w:r>
      <w:r w:rsidRPr="00A4536F">
        <w:rPr>
          <w:rFonts w:cs="Calibri"/>
          <w:color w:val="auto"/>
          <w:szCs w:val="18"/>
        </w:rPr>
        <w:t xml:space="preserve"> This role empowered women to lead nutrition campaigns and promote hygiene practices, enhancing their leadership and health advocacy roles. In Turkana and </w:t>
      </w:r>
      <w:proofErr w:type="spellStart"/>
      <w:r w:rsidRPr="00A4536F">
        <w:rPr>
          <w:rFonts w:cs="Calibri"/>
          <w:color w:val="auto"/>
          <w:szCs w:val="18"/>
        </w:rPr>
        <w:t>Marsabit</w:t>
      </w:r>
      <w:proofErr w:type="spellEnd"/>
      <w:r w:rsidRPr="00A4536F">
        <w:rPr>
          <w:rFonts w:cs="Calibri"/>
          <w:color w:val="auto"/>
          <w:szCs w:val="18"/>
        </w:rPr>
        <w:t xml:space="preserve">, women participated in community mobilization and sensitization efforts, contributing to the targeting and verification of households for MPCA and WASH NFIs, thus enhancing their participation in decision-making processes. Women who took part in FGDs for FSL interventions felt empowered </w:t>
      </w:r>
      <w:proofErr w:type="gramStart"/>
      <w:r w:rsidRPr="00A4536F">
        <w:rPr>
          <w:rFonts w:cs="Calibri"/>
          <w:color w:val="auto"/>
          <w:szCs w:val="18"/>
        </w:rPr>
        <w:t>as a result of</w:t>
      </w:r>
      <w:proofErr w:type="gramEnd"/>
      <w:r w:rsidRPr="00A4536F">
        <w:rPr>
          <w:rFonts w:cs="Calibri"/>
          <w:color w:val="auto"/>
          <w:szCs w:val="18"/>
        </w:rPr>
        <w:t xml:space="preserve"> their selection and participation. This was manifested in their ability to take decisions and plan for use of the cash transfers in their interest of their families, participation in the community meetings and expressing their concerns. In some instances, women are now stepping forward to report domestic violence, a change from the past.  Data from FGDs with women in Tigray and </w:t>
      </w:r>
      <w:proofErr w:type="spellStart"/>
      <w:r w:rsidRPr="00A4536F">
        <w:rPr>
          <w:rFonts w:cs="Calibri"/>
          <w:color w:val="auto"/>
          <w:szCs w:val="18"/>
        </w:rPr>
        <w:t>Marsabit</w:t>
      </w:r>
      <w:proofErr w:type="spellEnd"/>
      <w:r w:rsidRPr="00A4536F">
        <w:rPr>
          <w:rFonts w:cs="Calibri"/>
          <w:color w:val="auto"/>
          <w:szCs w:val="18"/>
        </w:rPr>
        <w:t xml:space="preserve"> who received capacity-building training on livestock and agronomic practices such as kitchen gardening felt the training had enhanced their skills in agriculture and livestock management, leading to improved agricultural productivity and livelihoods, thus fostering economic resilience, but also contributing to their household food and nutritional security.</w:t>
      </w:r>
    </w:p>
    <w:p w14:paraId="19B4D4BC" w14:textId="77777777" w:rsidR="00973EFD" w:rsidRDefault="001D4E15" w:rsidP="00973EFD">
      <w:pPr>
        <w:autoSpaceDE w:val="0"/>
        <w:autoSpaceDN w:val="0"/>
        <w:adjustRightInd w:val="0"/>
        <w:spacing w:after="120"/>
        <w:rPr>
          <w:rFonts w:eastAsia="Georgia" w:cs="Calibri"/>
          <w:color w:val="auto"/>
          <w:szCs w:val="18"/>
          <w:lang w:eastAsia="zh-CN" w:bidi="ar"/>
        </w:rPr>
      </w:pPr>
      <w:r w:rsidRPr="00A4536F">
        <w:rPr>
          <w:rFonts w:cs="Calibri"/>
          <w:b/>
          <w:bCs/>
          <w:color w:val="auto"/>
          <w:szCs w:val="18"/>
        </w:rPr>
        <w:t>Results for Men:</w:t>
      </w:r>
      <w:r w:rsidRPr="00A4536F">
        <w:rPr>
          <w:rFonts w:cs="Calibri"/>
          <w:color w:val="auto"/>
          <w:szCs w:val="18"/>
        </w:rPr>
        <w:t xml:space="preserve"> Men also experienced significant benefits from FSL interventions. In Tigray, </w:t>
      </w:r>
      <w:proofErr w:type="gramStart"/>
      <w:r w:rsidRPr="00A4536F">
        <w:rPr>
          <w:rFonts w:cs="Calibri"/>
          <w:color w:val="auto"/>
          <w:szCs w:val="18"/>
        </w:rPr>
        <w:t>men  received</w:t>
      </w:r>
      <w:proofErr w:type="gramEnd"/>
      <w:r w:rsidRPr="00A4536F">
        <w:rPr>
          <w:rFonts w:cs="Calibri"/>
          <w:color w:val="auto"/>
          <w:szCs w:val="18"/>
        </w:rPr>
        <w:t xml:space="preserve"> capacity-building training on livestock and agronomic practices. This training enhanced their skills in agriculture and livestock management, leading to improved agricultural productivity </w:t>
      </w:r>
      <w:r w:rsidRPr="00A4536F">
        <w:rPr>
          <w:rFonts w:cs="Calibri"/>
          <w:color w:val="auto"/>
          <w:szCs w:val="18"/>
        </w:rPr>
        <w:lastRenderedPageBreak/>
        <w:t xml:space="preserve">and livelihoods, thus fostering economic resilience. In </w:t>
      </w:r>
      <w:proofErr w:type="spellStart"/>
      <w:r w:rsidRPr="00A4536F">
        <w:rPr>
          <w:rFonts w:cs="Calibri"/>
          <w:color w:val="auto"/>
          <w:szCs w:val="18"/>
        </w:rPr>
        <w:t>Marsabit</w:t>
      </w:r>
      <w:proofErr w:type="spellEnd"/>
      <w:r w:rsidRPr="00A4536F">
        <w:rPr>
          <w:rFonts w:cs="Calibri"/>
          <w:color w:val="auto"/>
          <w:szCs w:val="18"/>
        </w:rPr>
        <w:t xml:space="preserve"> and Turkana, Kenya, men benefited from cash transfers through the MPCA initiative, which contributed to household income and financial stability. </w:t>
      </w:r>
      <w:r w:rsidRPr="00A4536F">
        <w:rPr>
          <w:rStyle w:val="CommentReference"/>
          <w:rFonts w:cs="Calibri"/>
          <w:color w:val="auto"/>
        </w:rPr>
        <w:t>Male participants in FGDs and interviews revealed that some utilised the cash transfers to restock their livestock, while others initiated small businesses.</w:t>
      </w:r>
      <w:r w:rsidRPr="00A4536F">
        <w:rPr>
          <w:rFonts w:eastAsia="Georgia" w:cs="Calibri"/>
          <w:color w:val="auto"/>
          <w:szCs w:val="18"/>
          <w:lang w:eastAsia="zh-CN" w:bidi="ar"/>
        </w:rPr>
        <w:t xml:space="preserve"> In Turkana, the evidence suggests that some men used the money to buy canoes and fishing gear to improve their fishing businesses.</w:t>
      </w:r>
    </w:p>
    <w:p w14:paraId="5FE30C69" w14:textId="7CB72935" w:rsidR="00315466" w:rsidRPr="00A4536F" w:rsidRDefault="001D4E15" w:rsidP="00973EFD">
      <w:pPr>
        <w:autoSpaceDE w:val="0"/>
        <w:autoSpaceDN w:val="0"/>
        <w:adjustRightInd w:val="0"/>
        <w:spacing w:after="120"/>
        <w:rPr>
          <w:rFonts w:cs="Calibri"/>
          <w:color w:val="auto"/>
          <w:szCs w:val="18"/>
        </w:rPr>
      </w:pPr>
      <w:r w:rsidRPr="00A4536F">
        <w:rPr>
          <w:rFonts w:cs="Calibri"/>
          <w:b/>
          <w:bCs/>
          <w:color w:val="auto"/>
          <w:szCs w:val="18"/>
        </w:rPr>
        <w:t>Results for Girls:</w:t>
      </w:r>
      <w:r w:rsidRPr="00A4536F">
        <w:rPr>
          <w:rFonts w:cs="Calibri"/>
          <w:color w:val="auto"/>
          <w:szCs w:val="18"/>
        </w:rPr>
        <w:t xml:space="preserve"> Girls in the Afar and Tigray regions received essential nutrition assistance and benefited from the establishment of women's groups, which addressed their specific needs and provided platforms for empowerment and support. This has improved the well-being of girls and ensured their voices are heard in community matters. For instance, girls that participated in FGDs conducted in Afar and Tigray revealed that the </w:t>
      </w:r>
      <w:proofErr w:type="gramStart"/>
      <w:r w:rsidRPr="00A4536F">
        <w:rPr>
          <w:rFonts w:cs="Calibri"/>
          <w:color w:val="auto"/>
          <w:szCs w:val="18"/>
        </w:rPr>
        <w:t>girls</w:t>
      </w:r>
      <w:proofErr w:type="gramEnd"/>
      <w:r w:rsidRPr="00A4536F">
        <w:rPr>
          <w:rFonts w:cs="Calibri"/>
          <w:color w:val="auto"/>
          <w:szCs w:val="18"/>
        </w:rPr>
        <w:t xml:space="preserve"> protection training they had received equipped them with the skills to </w:t>
      </w:r>
      <w:r w:rsidR="00826137" w:rsidRPr="00A4536F">
        <w:rPr>
          <w:rFonts w:cs="Calibri"/>
          <w:color w:val="auto"/>
          <w:szCs w:val="18"/>
        </w:rPr>
        <w:t>resist harmful</w:t>
      </w:r>
      <w:r w:rsidRPr="00A4536F">
        <w:rPr>
          <w:rFonts w:cs="Calibri"/>
          <w:color w:val="auto"/>
          <w:szCs w:val="18"/>
        </w:rPr>
        <w:t xml:space="preserve"> traditional practices. In the Somali regions, girls received multipurpose cash assistance, which addressed their families' immediate needs and supported their overall welfare. Girls who participated in FGDs expressed that the dignity kits received were useful in making them confident and enabling participation in their school activities even when menstruating.  Girls in </w:t>
      </w:r>
      <w:proofErr w:type="spellStart"/>
      <w:r w:rsidRPr="00A4536F">
        <w:rPr>
          <w:rFonts w:cs="Calibri"/>
          <w:color w:val="auto"/>
          <w:szCs w:val="18"/>
        </w:rPr>
        <w:t>Marsabit</w:t>
      </w:r>
      <w:proofErr w:type="spellEnd"/>
      <w:r w:rsidRPr="00A4536F">
        <w:rPr>
          <w:rFonts w:cs="Calibri"/>
          <w:color w:val="auto"/>
          <w:szCs w:val="18"/>
        </w:rPr>
        <w:t xml:space="preserve"> and Turkana, Kenya, experienced improved </w:t>
      </w:r>
      <w:proofErr w:type="gramStart"/>
      <w:r w:rsidRPr="00A4536F">
        <w:rPr>
          <w:rFonts w:cs="Calibri"/>
          <w:color w:val="auto"/>
          <w:szCs w:val="18"/>
        </w:rPr>
        <w:t>health</w:t>
      </w:r>
      <w:proofErr w:type="gramEnd"/>
      <w:r w:rsidRPr="00A4536F">
        <w:rPr>
          <w:rFonts w:cs="Calibri"/>
          <w:color w:val="auto"/>
          <w:szCs w:val="18"/>
        </w:rPr>
        <w:t xml:space="preserve"> and well-being through increased awareness of nutrition practices and hygiene management. Additionally, girls in schools formed health clubs to promote menstrual health management and hygiene practices, fostering a supportive environment for health education and empowerment. Girls that participated in the FGDs felt the training received enabled them to have a voice and resist harmful cultural practices, such as early marriage. </w:t>
      </w:r>
    </w:p>
    <w:p w14:paraId="133A1B09" w14:textId="77777777" w:rsidR="00315466" w:rsidRPr="00A4536F" w:rsidRDefault="001D4E15" w:rsidP="00E4398D">
      <w:pPr>
        <w:autoSpaceDE w:val="0"/>
        <w:autoSpaceDN w:val="0"/>
        <w:adjustRightInd w:val="0"/>
        <w:spacing w:before="0" w:after="120"/>
        <w:rPr>
          <w:rFonts w:cs="Calibri"/>
          <w:color w:val="auto"/>
          <w:szCs w:val="18"/>
        </w:rPr>
      </w:pPr>
      <w:r w:rsidRPr="00A4536F">
        <w:rPr>
          <w:rFonts w:cs="Calibri"/>
          <w:b/>
          <w:bCs/>
          <w:color w:val="auto"/>
          <w:szCs w:val="18"/>
        </w:rPr>
        <w:t>Results for Boys:</w:t>
      </w:r>
      <w:r w:rsidRPr="00A4536F">
        <w:rPr>
          <w:rFonts w:cs="Calibri"/>
          <w:color w:val="auto"/>
          <w:szCs w:val="18"/>
        </w:rPr>
        <w:t xml:space="preserve"> Boys, particularly in Tigray, experienced improvements in nutritional status, as indicated by increased Mid-Upper Arm Circumference (MUAC) measurements among under-five children. This improvement suggests better access to diverse food groups and improved feeding practices, ensuring the health and well-being of boys in the targeted areas. In the Somali regions, boys also received multipurpose cash assistance, which addressed their families' immediate needs and supported their overall welfare. Boys in </w:t>
      </w:r>
      <w:proofErr w:type="spellStart"/>
      <w:r w:rsidRPr="00A4536F">
        <w:rPr>
          <w:rFonts w:cs="Calibri"/>
          <w:color w:val="auto"/>
          <w:szCs w:val="18"/>
        </w:rPr>
        <w:t>Marsabit</w:t>
      </w:r>
      <w:proofErr w:type="spellEnd"/>
      <w:r w:rsidRPr="00A4536F">
        <w:rPr>
          <w:rFonts w:cs="Calibri"/>
          <w:color w:val="auto"/>
          <w:szCs w:val="18"/>
        </w:rPr>
        <w:t xml:space="preserve"> and Turkana benefited from improved hygiene practices and awareness, contributing to their overall health and well-being. Boys who participated in interviews revealed that they were familiar with safe WASH activities and that they were participating in community WASH interventions such CLT. This demonstrates increased knowledge as well as adoption of safe WASH practices.</w:t>
      </w:r>
    </w:p>
    <w:p w14:paraId="372BEC9B" w14:textId="77777777" w:rsidR="00315466" w:rsidRPr="00A4536F" w:rsidRDefault="001D4E15" w:rsidP="00E4398D">
      <w:pPr>
        <w:autoSpaceDE w:val="0"/>
        <w:autoSpaceDN w:val="0"/>
        <w:adjustRightInd w:val="0"/>
        <w:spacing w:before="0" w:after="120"/>
        <w:rPr>
          <w:rFonts w:cs="Calibri"/>
          <w:b/>
          <w:bCs/>
          <w:color w:val="auto"/>
          <w:szCs w:val="18"/>
        </w:rPr>
      </w:pPr>
      <w:r w:rsidRPr="00A4536F">
        <w:rPr>
          <w:rFonts w:cs="Calibri"/>
          <w:b/>
          <w:bCs/>
          <w:color w:val="auto"/>
          <w:szCs w:val="18"/>
        </w:rPr>
        <w:t>Factors Influencing the Variation in Results</w:t>
      </w:r>
    </w:p>
    <w:p w14:paraId="22E42A3D" w14:textId="77777777" w:rsidR="00315466" w:rsidRPr="00A4536F" w:rsidRDefault="001D4E15" w:rsidP="00E4398D">
      <w:pPr>
        <w:autoSpaceDE w:val="0"/>
        <w:autoSpaceDN w:val="0"/>
        <w:adjustRightInd w:val="0"/>
        <w:spacing w:before="0" w:after="120"/>
        <w:rPr>
          <w:rFonts w:cs="Calibri"/>
          <w:color w:val="auto"/>
          <w:szCs w:val="18"/>
        </w:rPr>
      </w:pPr>
      <w:r w:rsidRPr="00A4536F">
        <w:rPr>
          <w:rFonts w:cs="Calibri"/>
          <w:b/>
          <w:bCs/>
          <w:color w:val="auto"/>
          <w:szCs w:val="18"/>
        </w:rPr>
        <w:t>Differences in Implementation by Different Partners:</w:t>
      </w:r>
      <w:r w:rsidRPr="00A4536F">
        <w:rPr>
          <w:rFonts w:cs="Calibri"/>
          <w:color w:val="auto"/>
          <w:szCs w:val="18"/>
        </w:rPr>
        <w:t xml:space="preserve"> The variation in results can be attributed to different implementation approaches by partners. For instance, in some regions, partners focused on comprehensive community mobilization, while others prioritized direct assistance. These differences led to varied levels of community engagement and outcomes.</w:t>
      </w:r>
    </w:p>
    <w:p w14:paraId="3214AD04" w14:textId="77777777" w:rsidR="00315466" w:rsidRPr="00A4536F" w:rsidRDefault="001D4E15" w:rsidP="00E4398D">
      <w:pPr>
        <w:autoSpaceDE w:val="0"/>
        <w:autoSpaceDN w:val="0"/>
        <w:adjustRightInd w:val="0"/>
        <w:spacing w:before="0" w:after="120"/>
        <w:rPr>
          <w:rFonts w:cs="Calibri"/>
          <w:color w:val="auto"/>
          <w:szCs w:val="18"/>
        </w:rPr>
      </w:pPr>
      <w:r w:rsidRPr="00A4536F">
        <w:rPr>
          <w:rFonts w:cs="Calibri"/>
          <w:b/>
          <w:bCs/>
          <w:color w:val="auto"/>
          <w:szCs w:val="18"/>
        </w:rPr>
        <w:t>Level of Participation of Local Community:</w:t>
      </w:r>
      <w:r w:rsidRPr="00A4536F">
        <w:rPr>
          <w:rFonts w:cs="Calibri"/>
          <w:color w:val="auto"/>
          <w:szCs w:val="18"/>
        </w:rPr>
        <w:t xml:space="preserve"> The level of local community participation significantly impacted the results. In areas where community participation was high, such as through active involvement in planning and execution, the interventions were more effective. For example, in </w:t>
      </w:r>
      <w:proofErr w:type="spellStart"/>
      <w:r w:rsidRPr="00A4536F">
        <w:rPr>
          <w:rFonts w:cs="Calibri"/>
          <w:color w:val="auto"/>
          <w:szCs w:val="18"/>
        </w:rPr>
        <w:t>Marsabit</w:t>
      </w:r>
      <w:proofErr w:type="spellEnd"/>
      <w:r w:rsidRPr="00A4536F">
        <w:rPr>
          <w:rFonts w:cs="Calibri"/>
          <w:color w:val="auto"/>
          <w:szCs w:val="18"/>
        </w:rPr>
        <w:t xml:space="preserve">, the engagement of women as CHVs led to greater acceptance and success of health initiatives. </w:t>
      </w:r>
      <w:r w:rsidRPr="00A4536F">
        <w:rPr>
          <w:rFonts w:eastAsia="Times New Roman" w:cs="Calibri"/>
          <w:color w:val="auto"/>
          <w:szCs w:val="18"/>
          <w:lang w:eastAsia="zh-TW"/>
        </w:rPr>
        <w:t xml:space="preserve">In beneficiary interviews and FGDs, women expressed that their participation in health and nutrition programmes led to improved acceptance and success. This is because these topics are important to them at the family level, allowing them to effectively convey messages to other women. In Turkana interviews with men revealed that men were actively involved in planning and executing agricultural projects leading to a strong sense of ownership and commitment even if the project was perceived primarily as a women-targeted intervention. However, boys who participated in FGDs expressed their apathy towards the project and perceived it as a women and girls only intervention.  </w:t>
      </w:r>
      <w:r w:rsidRPr="00A4536F">
        <w:rPr>
          <w:rFonts w:cs="Calibri"/>
          <w:color w:val="auto"/>
          <w:szCs w:val="18"/>
          <w:shd w:val="clear" w:color="auto" w:fill="FFFFFF"/>
        </w:rPr>
        <w:t xml:space="preserve"> People</w:t>
      </w:r>
      <w:r w:rsidRPr="00A4536F">
        <w:rPr>
          <w:rFonts w:eastAsia="Times New Roman" w:cs="Calibri"/>
          <w:color w:val="auto"/>
          <w:szCs w:val="18"/>
          <w:lang w:eastAsia="zh-TW"/>
        </w:rPr>
        <w:t xml:space="preserve"> with disabilities who participated in FGDs revealed that they were given a platform to participate like any other beneficiary, but their unique mobility challenges were not considered.  </w:t>
      </w:r>
    </w:p>
    <w:p w14:paraId="3D1E90A7" w14:textId="77777777" w:rsidR="00315466" w:rsidRPr="00A4536F" w:rsidRDefault="001D4E15" w:rsidP="00E4398D">
      <w:pPr>
        <w:autoSpaceDE w:val="0"/>
        <w:autoSpaceDN w:val="0"/>
        <w:adjustRightInd w:val="0"/>
        <w:spacing w:before="0" w:after="120"/>
        <w:rPr>
          <w:rFonts w:cs="Calibri"/>
          <w:color w:val="auto"/>
          <w:szCs w:val="18"/>
        </w:rPr>
      </w:pPr>
      <w:r w:rsidRPr="00A4536F">
        <w:rPr>
          <w:rFonts w:cs="Calibri"/>
          <w:b/>
          <w:bCs/>
          <w:color w:val="auto"/>
          <w:szCs w:val="18"/>
        </w:rPr>
        <w:t>Follow-up Mechanisms:</w:t>
      </w:r>
      <w:r w:rsidRPr="00A4536F">
        <w:rPr>
          <w:rFonts w:cs="Calibri"/>
          <w:color w:val="auto"/>
          <w:szCs w:val="18"/>
        </w:rPr>
        <w:t xml:space="preserve"> Effective follow-up mechanisms played a crucial role in sustaining the benefits of the interventions. In regions with robust follow-up systems, such as regular monitoring and feedback loops, the results were more consistent and impactful. These mechanisms ensured that any issues were promptly addressed, enhancing the overall effectiveness of the interventions.</w:t>
      </w:r>
    </w:p>
    <w:p w14:paraId="1216180F" w14:textId="77777777" w:rsidR="00315466" w:rsidRPr="00A4536F" w:rsidRDefault="001D4E15" w:rsidP="00E4398D">
      <w:pPr>
        <w:autoSpaceDE w:val="0"/>
        <w:autoSpaceDN w:val="0"/>
        <w:adjustRightInd w:val="0"/>
        <w:spacing w:before="0" w:after="120"/>
        <w:rPr>
          <w:rFonts w:cs="Calibri"/>
          <w:color w:val="auto"/>
          <w:szCs w:val="18"/>
        </w:rPr>
      </w:pPr>
      <w:r w:rsidRPr="00A4536F">
        <w:rPr>
          <w:rFonts w:cs="Calibri"/>
          <w:b/>
          <w:bCs/>
          <w:color w:val="auto"/>
          <w:szCs w:val="18"/>
        </w:rPr>
        <w:lastRenderedPageBreak/>
        <w:t>Readiness and Capacity to Execute Activities:</w:t>
      </w:r>
      <w:r w:rsidRPr="00A4536F">
        <w:rPr>
          <w:rFonts w:cs="Calibri"/>
          <w:color w:val="auto"/>
          <w:szCs w:val="18"/>
        </w:rPr>
        <w:t xml:space="preserve"> The readiness and capacity of local implementing partners to execute activities also influenced the results. In areas where partners had better resources, training, and infrastructure, the interventions were more successful. For instance, in Tigray, well-trained staff and adequate resources contributed to the successful implementation of capacity-building training for men and women.</w:t>
      </w:r>
    </w:p>
    <w:p w14:paraId="74A5BFE7" w14:textId="77777777" w:rsidR="00315466" w:rsidRPr="00A4536F" w:rsidRDefault="001D4E15" w:rsidP="00E4398D">
      <w:pPr>
        <w:autoSpaceDE w:val="0"/>
        <w:autoSpaceDN w:val="0"/>
        <w:adjustRightInd w:val="0"/>
        <w:spacing w:before="0" w:after="120"/>
        <w:rPr>
          <w:rFonts w:cs="Calibri"/>
          <w:color w:val="auto"/>
          <w:szCs w:val="18"/>
          <w:highlight w:val="green"/>
        </w:rPr>
      </w:pPr>
      <w:r w:rsidRPr="00A4536F">
        <w:rPr>
          <w:rFonts w:cs="Calibri"/>
          <w:color w:val="auto"/>
          <w:szCs w:val="18"/>
        </w:rPr>
        <w:t>The FSL interventions have had a positive impact on all demographics, though the extent of the benefits varies. Women have been empowered through leadership roles and support systems, men have gained valuable skills and financial stability, girls have received essential nutrition and health education, and boys have improved nutritional and hygiene practices. The differences in outcomes highlight the importance of tailored implementation strategies, community involvement, effective follow-up mechanisms, and the readiness and capacity of implementing partners in ensuring the success of such interventions.</w:t>
      </w:r>
    </w:p>
    <w:p w14:paraId="0C685C6A" w14:textId="10D49F3A" w:rsidR="00A54919" w:rsidRPr="00973EFD" w:rsidRDefault="001D4E15" w:rsidP="00973EFD">
      <w:pPr>
        <w:pStyle w:val="Heading3"/>
        <w:spacing w:after="240"/>
        <w:rPr>
          <w:rFonts w:ascii="Verdana" w:eastAsia="Cambria" w:hAnsi="Verdana"/>
          <w:color w:val="auto"/>
          <w:sz w:val="20"/>
          <w:szCs w:val="20"/>
        </w:rPr>
      </w:pPr>
      <w:bookmarkStart w:id="97" w:name="_Toc174559888"/>
      <w:bookmarkStart w:id="98" w:name="_Toc181278035"/>
      <w:r w:rsidRPr="00A54919">
        <w:rPr>
          <w:rFonts w:ascii="Verdana" w:eastAsia="Cambria" w:hAnsi="Verdana"/>
          <w:color w:val="auto"/>
          <w:sz w:val="20"/>
          <w:szCs w:val="20"/>
        </w:rPr>
        <w:t>EQ 5. How were the outcomes for women, girls, and people with disabilities achieved?</w:t>
      </w:r>
      <w:bookmarkEnd w:id="97"/>
      <w:bookmarkEnd w:id="98"/>
    </w:p>
    <w:p w14:paraId="002309EA" w14:textId="77777777" w:rsidR="00315466" w:rsidRPr="00A4536F" w:rsidRDefault="001D4E15" w:rsidP="00973EFD">
      <w:pPr>
        <w:spacing w:before="0" w:line="240" w:lineRule="auto"/>
        <w:rPr>
          <w:rFonts w:cs="Calibri"/>
          <w:color w:val="auto"/>
          <w:szCs w:val="18"/>
        </w:rPr>
      </w:pPr>
      <w:r w:rsidRPr="00A4536F">
        <w:rPr>
          <w:rFonts w:cs="Calibri"/>
          <w:b/>
          <w:bCs/>
          <w:color w:val="auto"/>
          <w:szCs w:val="18"/>
          <w:u w:val="single"/>
        </w:rPr>
        <w:t>Finding:</w:t>
      </w:r>
      <w:r w:rsidRPr="00A4536F">
        <w:rPr>
          <w:rFonts w:cs="Calibri"/>
          <w:b/>
          <w:bCs/>
          <w:color w:val="auto"/>
          <w:szCs w:val="18"/>
        </w:rPr>
        <w:t xml:space="preserve"> </w:t>
      </w:r>
      <w:r w:rsidRPr="00A4536F">
        <w:rPr>
          <w:rFonts w:eastAsia="SimSun" w:cs="Calibri"/>
          <w:b/>
          <w:bCs/>
          <w:color w:val="auto"/>
          <w:szCs w:val="18"/>
          <w:shd w:val="clear" w:color="auto" w:fill="FFFFFF"/>
        </w:rPr>
        <w:t>Each consortium partner approached the activities they were responsible for implementing differently.</w:t>
      </w:r>
      <w:r w:rsidRPr="00A4536F">
        <w:rPr>
          <w:rFonts w:cs="Calibri"/>
          <w:b/>
          <w:bCs/>
          <w:color w:val="auto"/>
          <w:szCs w:val="18"/>
        </w:rPr>
        <w:t xml:space="preserve"> However, a common thread across partners has been the use of mechanisms and approaches to ensure the engagement of key stakeholders, including beneficiaries, government officials and community members, as a way of ensuring that outcomes were attained.</w:t>
      </w:r>
      <w:r w:rsidRPr="00A4536F">
        <w:rPr>
          <w:rFonts w:cs="Calibri"/>
          <w:color w:val="auto"/>
          <w:szCs w:val="18"/>
        </w:rPr>
        <w:t xml:space="preserve"> </w:t>
      </w:r>
    </w:p>
    <w:p w14:paraId="5B400270"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Plan International Consortium</w:t>
      </w:r>
    </w:p>
    <w:p w14:paraId="41AA77E1" w14:textId="77777777" w:rsidR="00315466" w:rsidRPr="00A4536F" w:rsidRDefault="001D4E15" w:rsidP="00D41C74">
      <w:pPr>
        <w:pStyle w:val="ListParagraph"/>
        <w:numPr>
          <w:ilvl w:val="0"/>
          <w:numId w:val="66"/>
        </w:numPr>
        <w:spacing w:after="120"/>
        <w:rPr>
          <w:rFonts w:ascii="Verdana" w:hAnsi="Verdana" w:cs="Calibri"/>
          <w:sz w:val="18"/>
          <w:szCs w:val="18"/>
        </w:rPr>
      </w:pPr>
      <w:r w:rsidRPr="00A4536F">
        <w:rPr>
          <w:rFonts w:ascii="Verdana" w:hAnsi="Verdana" w:cs="Calibri"/>
          <w:b/>
          <w:bCs/>
          <w:sz w:val="18"/>
          <w:szCs w:val="18"/>
        </w:rPr>
        <w:t>Strengthening Collaboration and Community Engagement</w:t>
      </w:r>
      <w:r w:rsidRPr="00A4536F">
        <w:rPr>
          <w:rFonts w:ascii="Verdana" w:hAnsi="Verdana" w:cs="Calibri"/>
          <w:sz w:val="18"/>
          <w:szCs w:val="18"/>
        </w:rPr>
        <w:t xml:space="preserve">: As mentioned in several sections of this report, community engagement was a key approach in the implementation of the different FSL interventions.  Collaborative efforts among project staffs, selected committees and community representatives from targeted communities ensured that interventions were tailored to local needs, responsive to challenges, such as conflict and drought, and sustainable in the long term. This increased the opportunity for the project to listen and respond to the needs, opinions and difficulties of women, </w:t>
      </w:r>
      <w:proofErr w:type="gramStart"/>
      <w:r w:rsidRPr="00A4536F">
        <w:rPr>
          <w:rFonts w:ascii="Verdana" w:hAnsi="Verdana" w:cs="Calibri"/>
          <w:sz w:val="18"/>
          <w:szCs w:val="18"/>
        </w:rPr>
        <w:t>girls</w:t>
      </w:r>
      <w:proofErr w:type="gramEnd"/>
      <w:r w:rsidRPr="00A4536F">
        <w:rPr>
          <w:rFonts w:ascii="Verdana" w:hAnsi="Verdana" w:cs="Calibri"/>
          <w:sz w:val="18"/>
          <w:szCs w:val="18"/>
        </w:rPr>
        <w:t xml:space="preserve"> and people with disabilities. In some cases, women also participated in the committees.</w:t>
      </w:r>
    </w:p>
    <w:p w14:paraId="6144C7C8" w14:textId="77777777" w:rsidR="00315466" w:rsidRPr="00A4536F" w:rsidRDefault="001D4E15" w:rsidP="00D41C74">
      <w:pPr>
        <w:pStyle w:val="ListParagraph"/>
        <w:numPr>
          <w:ilvl w:val="0"/>
          <w:numId w:val="66"/>
        </w:numPr>
        <w:spacing w:after="120"/>
        <w:rPr>
          <w:rFonts w:ascii="Verdana" w:hAnsi="Verdana" w:cs="Calibri"/>
          <w:sz w:val="18"/>
          <w:szCs w:val="18"/>
        </w:rPr>
      </w:pPr>
      <w:r w:rsidRPr="00A4536F">
        <w:rPr>
          <w:rFonts w:ascii="Verdana" w:hAnsi="Verdana" w:cs="Calibri"/>
          <w:b/>
          <w:sz w:val="18"/>
          <w:szCs w:val="18"/>
        </w:rPr>
        <w:t xml:space="preserve">Creating and strengthening complaints, </w:t>
      </w:r>
      <w:proofErr w:type="gramStart"/>
      <w:r w:rsidRPr="00A4536F">
        <w:rPr>
          <w:rFonts w:ascii="Verdana" w:hAnsi="Verdana" w:cs="Calibri"/>
          <w:b/>
          <w:sz w:val="18"/>
          <w:szCs w:val="18"/>
        </w:rPr>
        <w:t>feedback</w:t>
      </w:r>
      <w:proofErr w:type="gramEnd"/>
      <w:r w:rsidRPr="00A4536F">
        <w:rPr>
          <w:rFonts w:ascii="Verdana" w:hAnsi="Verdana" w:cs="Calibri"/>
          <w:b/>
          <w:sz w:val="18"/>
          <w:szCs w:val="18"/>
        </w:rPr>
        <w:t xml:space="preserve"> and appeal mechanisms:</w:t>
      </w:r>
      <w:r w:rsidRPr="00A4536F">
        <w:rPr>
          <w:rFonts w:ascii="Verdana" w:hAnsi="Verdana" w:cs="Calibri"/>
          <w:sz w:val="18"/>
          <w:szCs w:val="18"/>
        </w:rPr>
        <w:t xml:space="preserve"> A committee was established as a mechanism to ensure accountability, transparency and participation of the target population. The members of the beneficiary targeting committee were selected based on criteria that included voluntarism, neutrality, honesty, impartiality, as well as people of good standing in their communities. Each committee consists of 7 members (female, male, </w:t>
      </w:r>
      <w:r w:rsidRPr="00A4536F">
        <w:rPr>
          <w:rFonts w:ascii="Verdana" w:hAnsi="Verdana" w:cs="Calibri"/>
          <w:sz w:val="18"/>
          <w:szCs w:val="18"/>
          <w:shd w:val="clear" w:color="auto" w:fill="FFFFFF"/>
        </w:rPr>
        <w:t>people</w:t>
      </w:r>
      <w:r w:rsidRPr="00A4536F">
        <w:rPr>
          <w:rFonts w:ascii="Verdana" w:hAnsi="Verdana" w:cs="Calibri"/>
          <w:sz w:val="18"/>
          <w:szCs w:val="18"/>
        </w:rPr>
        <w:t xml:space="preserve"> with disabilities). This enabled women, girls, and people with disabilities to voice their grievances, and enhanced the identification and documentation of GBV incidents.</w:t>
      </w:r>
    </w:p>
    <w:p w14:paraId="4ECE287C" w14:textId="77777777" w:rsidR="00315466" w:rsidRPr="00A4536F" w:rsidRDefault="001D4E15" w:rsidP="00D41C74">
      <w:pPr>
        <w:pStyle w:val="ListParagraph"/>
        <w:numPr>
          <w:ilvl w:val="0"/>
          <w:numId w:val="66"/>
        </w:numPr>
        <w:spacing w:after="120"/>
        <w:rPr>
          <w:rFonts w:ascii="Verdana" w:hAnsi="Verdana" w:cs="Calibri"/>
          <w:sz w:val="18"/>
          <w:szCs w:val="18"/>
        </w:rPr>
      </w:pPr>
      <w:r w:rsidRPr="00A4536F">
        <w:rPr>
          <w:rFonts w:ascii="Verdana" w:hAnsi="Verdana" w:cs="Calibri"/>
          <w:b/>
          <w:bCs/>
          <w:sz w:val="18"/>
          <w:szCs w:val="18"/>
        </w:rPr>
        <w:t xml:space="preserve">Following </w:t>
      </w:r>
      <w:r w:rsidRPr="00A4536F">
        <w:rPr>
          <w:rStyle w:val="CommentReference"/>
          <w:rFonts w:ascii="Verdana" w:eastAsia="Verdana" w:hAnsi="Verdana" w:cs="Calibri"/>
          <w:b/>
          <w:bCs/>
        </w:rPr>
        <w:t>a</w:t>
      </w:r>
      <w:r w:rsidRPr="00A4536F">
        <w:rPr>
          <w:rStyle w:val="CommentReference"/>
          <w:rFonts w:ascii="Verdana" w:eastAsia="Verdana" w:hAnsi="Verdana" w:cs="Calibri"/>
        </w:rPr>
        <w:t xml:space="preserve"> </w:t>
      </w:r>
      <w:r w:rsidRPr="00A4536F">
        <w:rPr>
          <w:rFonts w:ascii="Verdana" w:hAnsi="Verdana" w:cs="Calibri"/>
          <w:b/>
          <w:bCs/>
          <w:sz w:val="18"/>
          <w:szCs w:val="18"/>
        </w:rPr>
        <w:t>Social and Behaviour Change Communication Approach (SBCC)</w:t>
      </w:r>
      <w:r w:rsidRPr="00A4536F">
        <w:rPr>
          <w:rFonts w:ascii="Verdana" w:hAnsi="Verdana" w:cs="Calibri"/>
          <w:sz w:val="18"/>
          <w:szCs w:val="18"/>
        </w:rPr>
        <w:t xml:space="preserve">: The SBCC approach, particularly utilised in </w:t>
      </w:r>
      <w:proofErr w:type="spellStart"/>
      <w:r w:rsidRPr="00A4536F">
        <w:rPr>
          <w:rFonts w:ascii="Verdana" w:hAnsi="Verdana" w:cs="Calibri"/>
          <w:sz w:val="18"/>
          <w:szCs w:val="18"/>
        </w:rPr>
        <w:t>Borena</w:t>
      </w:r>
      <w:proofErr w:type="spellEnd"/>
      <w:r w:rsidRPr="00A4536F">
        <w:rPr>
          <w:rFonts w:ascii="Verdana" w:hAnsi="Verdana" w:cs="Calibri"/>
          <w:sz w:val="18"/>
          <w:szCs w:val="18"/>
        </w:rPr>
        <w:t xml:space="preserve"> zone, influenced household decision-making to enhance children's wellbeing. SBCC focused on optimal infant and young child feeding, sanitation, cleanliness, and understanding the use of locally available nutritious food. Positive parenting skills training provided by SCI covered effective child communication, fostering positive parent-child connections, and fulfilling children's rights and needs. This approach resulted in significant changes in household practices, especially in improving the health and nutrition of mothers and children.</w:t>
      </w:r>
    </w:p>
    <w:p w14:paraId="132CBF22" w14:textId="77777777" w:rsidR="00315466" w:rsidRPr="00A4536F" w:rsidRDefault="001D4E15" w:rsidP="00E4398D">
      <w:pPr>
        <w:spacing w:before="0" w:after="120"/>
        <w:rPr>
          <w:rStyle w:val="CommentReference"/>
          <w:rFonts w:cs="Calibri"/>
          <w:color w:val="auto"/>
        </w:rPr>
      </w:pPr>
      <w:r w:rsidRPr="00A4536F">
        <w:rPr>
          <w:rFonts w:cs="Calibri"/>
          <w:b/>
          <w:bCs/>
          <w:color w:val="auto"/>
          <w:szCs w:val="18"/>
        </w:rPr>
        <w:t>Oxfam in Ethiopia Consortium</w:t>
      </w:r>
    </w:p>
    <w:p w14:paraId="37D2F17F" w14:textId="77777777" w:rsidR="00315466" w:rsidRPr="00A4536F" w:rsidRDefault="001D4E15" w:rsidP="00D41C74">
      <w:pPr>
        <w:pStyle w:val="ListParagraph"/>
        <w:numPr>
          <w:ilvl w:val="0"/>
          <w:numId w:val="67"/>
        </w:numPr>
        <w:spacing w:after="120"/>
        <w:rPr>
          <w:rFonts w:ascii="Verdana" w:hAnsi="Verdana" w:cs="Calibri"/>
          <w:sz w:val="18"/>
          <w:szCs w:val="18"/>
        </w:rPr>
      </w:pPr>
      <w:r w:rsidRPr="00A4536F">
        <w:rPr>
          <w:rFonts w:ascii="Verdana" w:hAnsi="Verdana" w:cs="Calibri"/>
          <w:b/>
          <w:bCs/>
          <w:sz w:val="18"/>
          <w:szCs w:val="18"/>
        </w:rPr>
        <w:t>Post Distribution Monitoring</w:t>
      </w:r>
      <w:r w:rsidRPr="00A4536F">
        <w:rPr>
          <w:rFonts w:ascii="Verdana" w:hAnsi="Verdana" w:cs="Calibri"/>
          <w:sz w:val="18"/>
          <w:szCs w:val="18"/>
        </w:rPr>
        <w:t xml:space="preserve">: Efforts to capture the process, satisfaction, effectiveness, and appropriateness of the non-food items (WASH kits, dignity kits, etc.) saw improved fair distribution of NFIs to the intended targets. This enabled women and people with disabilities who qualified for assistance but were previously left out to receive it. </w:t>
      </w:r>
    </w:p>
    <w:p w14:paraId="30936287" w14:textId="77777777" w:rsidR="00315466" w:rsidRPr="00A4536F" w:rsidRDefault="001D4E15" w:rsidP="00D41C74">
      <w:pPr>
        <w:pStyle w:val="ListParagraph"/>
        <w:numPr>
          <w:ilvl w:val="0"/>
          <w:numId w:val="67"/>
        </w:numPr>
        <w:spacing w:after="120"/>
        <w:rPr>
          <w:rFonts w:ascii="Verdana" w:hAnsi="Verdana" w:cs="Calibri"/>
          <w:sz w:val="18"/>
          <w:szCs w:val="18"/>
        </w:rPr>
      </w:pPr>
      <w:r w:rsidRPr="00A4536F">
        <w:rPr>
          <w:rFonts w:ascii="Verdana" w:hAnsi="Verdana" w:cs="Calibri"/>
          <w:b/>
          <w:bCs/>
          <w:sz w:val="18"/>
          <w:szCs w:val="18"/>
        </w:rPr>
        <w:t>Community Feedback and Response Mechanism</w:t>
      </w:r>
      <w:r w:rsidRPr="00A4536F">
        <w:rPr>
          <w:rFonts w:ascii="Verdana" w:hAnsi="Verdana" w:cs="Calibri"/>
          <w:sz w:val="18"/>
          <w:szCs w:val="18"/>
        </w:rPr>
        <w:t xml:space="preserve">: The mechanism included suggestion boxes and feedback desks, which have created more accountability of project staff and key partners. This gave women, girls, and people with disabilities a chance to voice their complaints; it also helped the organisations that carried out the project to find tailored solutions. </w:t>
      </w:r>
    </w:p>
    <w:p w14:paraId="2137ADAF" w14:textId="23089745" w:rsidR="00733442" w:rsidRDefault="001D4E15" w:rsidP="00973EFD">
      <w:pPr>
        <w:pStyle w:val="ListParagraph"/>
        <w:numPr>
          <w:ilvl w:val="0"/>
          <w:numId w:val="67"/>
        </w:numPr>
        <w:spacing w:before="240" w:after="120"/>
        <w:rPr>
          <w:rFonts w:ascii="Verdana" w:hAnsi="Verdana" w:cs="Calibri"/>
          <w:sz w:val="18"/>
          <w:szCs w:val="18"/>
        </w:rPr>
      </w:pPr>
      <w:r w:rsidRPr="00A4536F">
        <w:rPr>
          <w:rFonts w:ascii="Verdana" w:hAnsi="Verdana" w:cs="Calibri"/>
          <w:b/>
          <w:bCs/>
          <w:sz w:val="18"/>
          <w:szCs w:val="18"/>
        </w:rPr>
        <w:lastRenderedPageBreak/>
        <w:t>Learning and Experience Sharing</w:t>
      </w:r>
      <w:r w:rsidRPr="00A4536F">
        <w:rPr>
          <w:rFonts w:ascii="Verdana" w:hAnsi="Verdana" w:cs="Calibri"/>
          <w:sz w:val="18"/>
          <w:szCs w:val="18"/>
        </w:rPr>
        <w:t xml:space="preserve">: Start-up workshops were held in all three regions to sensitise key stakeholders to the project's objectives and targets. Biannual review exercises and experience-sharing events were conducted with government staff and community representatives, while community-level project progress review and feedback meetings were secured quarterly. This facilitated sharing useful lessons with other partners who had similar projects, and helped to improve the way that women, </w:t>
      </w:r>
      <w:proofErr w:type="gramStart"/>
      <w:r w:rsidRPr="00A4536F">
        <w:rPr>
          <w:rFonts w:ascii="Verdana" w:hAnsi="Verdana" w:cs="Calibri"/>
          <w:sz w:val="18"/>
          <w:szCs w:val="18"/>
        </w:rPr>
        <w:t>girls</w:t>
      </w:r>
      <w:proofErr w:type="gramEnd"/>
      <w:r w:rsidRPr="00A4536F">
        <w:rPr>
          <w:rFonts w:ascii="Verdana" w:hAnsi="Verdana" w:cs="Calibri"/>
          <w:sz w:val="18"/>
          <w:szCs w:val="18"/>
        </w:rPr>
        <w:t xml:space="preserve"> and </w:t>
      </w:r>
      <w:r w:rsidRPr="00A4536F">
        <w:rPr>
          <w:rFonts w:ascii="Verdana" w:hAnsi="Verdana" w:cs="Calibri"/>
          <w:sz w:val="18"/>
          <w:szCs w:val="18"/>
          <w:shd w:val="clear" w:color="auto" w:fill="FFFFFF"/>
        </w:rPr>
        <w:t>people</w:t>
      </w:r>
      <w:r w:rsidRPr="00A4536F">
        <w:rPr>
          <w:rFonts w:ascii="Verdana" w:hAnsi="Verdana" w:cs="Calibri"/>
          <w:sz w:val="18"/>
          <w:szCs w:val="18"/>
        </w:rPr>
        <w:t xml:space="preserve"> with disabilities were supported.</w:t>
      </w:r>
    </w:p>
    <w:p w14:paraId="1B9FE9AA" w14:textId="77777777" w:rsidR="00733442" w:rsidRDefault="00733442">
      <w:pPr>
        <w:spacing w:before="0" w:after="0" w:line="240" w:lineRule="auto"/>
        <w:rPr>
          <w:rFonts w:eastAsia="Calibri" w:cs="Calibri"/>
          <w:color w:val="auto"/>
          <w:szCs w:val="18"/>
        </w:rPr>
      </w:pPr>
      <w:r>
        <w:rPr>
          <w:rFonts w:cs="Calibri"/>
          <w:szCs w:val="18"/>
        </w:rPr>
        <w:br w:type="page"/>
      </w:r>
    </w:p>
    <w:p w14:paraId="700EE7D7" w14:textId="77777777" w:rsidR="00315466" w:rsidRPr="00A4536F" w:rsidRDefault="001D4E15" w:rsidP="00E4398D">
      <w:pPr>
        <w:spacing w:before="0" w:after="120"/>
        <w:rPr>
          <w:rFonts w:cs="Calibri"/>
          <w:b/>
          <w:bCs/>
          <w:color w:val="auto"/>
          <w:szCs w:val="18"/>
        </w:rPr>
      </w:pPr>
      <w:r w:rsidRPr="00A4536F">
        <w:rPr>
          <w:rFonts w:cs="Calibri"/>
          <w:b/>
          <w:bCs/>
          <w:color w:val="auto"/>
          <w:szCs w:val="18"/>
        </w:rPr>
        <w:lastRenderedPageBreak/>
        <w:t>Oxfam in Kenya Consortium</w:t>
      </w:r>
    </w:p>
    <w:p w14:paraId="06E11813" w14:textId="77777777" w:rsidR="00315466" w:rsidRPr="00A4536F" w:rsidRDefault="001D4E15" w:rsidP="00D41C74">
      <w:pPr>
        <w:pStyle w:val="ListParagraph"/>
        <w:numPr>
          <w:ilvl w:val="0"/>
          <w:numId w:val="68"/>
        </w:numPr>
        <w:spacing w:after="120"/>
        <w:rPr>
          <w:rFonts w:ascii="Verdana" w:hAnsi="Verdana" w:cs="Calibri"/>
          <w:sz w:val="18"/>
          <w:szCs w:val="18"/>
        </w:rPr>
      </w:pPr>
      <w:r w:rsidRPr="00A4536F">
        <w:rPr>
          <w:rFonts w:ascii="Verdana" w:hAnsi="Verdana" w:cs="Calibri"/>
          <w:b/>
          <w:bCs/>
          <w:sz w:val="18"/>
          <w:szCs w:val="18"/>
        </w:rPr>
        <w:t>Use of Community Health Promotors</w:t>
      </w:r>
      <w:r w:rsidRPr="00A4536F">
        <w:rPr>
          <w:rFonts w:ascii="Verdana" w:hAnsi="Verdana" w:cs="Calibri"/>
          <w:sz w:val="18"/>
          <w:szCs w:val="18"/>
        </w:rPr>
        <w:t>: Using Community Health Promotors in the project implementations has contributed to the effectiveness of FSL interventions.  This has made it easier for women, girls, and people with disabilities to access health information.</w:t>
      </w:r>
    </w:p>
    <w:p w14:paraId="046532D9" w14:textId="77777777" w:rsidR="00315466" w:rsidRPr="00A4536F" w:rsidRDefault="001D4E15" w:rsidP="00D41C74">
      <w:pPr>
        <w:pStyle w:val="ListParagraph"/>
        <w:numPr>
          <w:ilvl w:val="0"/>
          <w:numId w:val="68"/>
        </w:numPr>
        <w:spacing w:after="120"/>
        <w:rPr>
          <w:rFonts w:ascii="Verdana" w:hAnsi="Verdana" w:cs="Calibri"/>
          <w:sz w:val="18"/>
          <w:szCs w:val="18"/>
        </w:rPr>
      </w:pPr>
      <w:r w:rsidRPr="00A4536F">
        <w:rPr>
          <w:rFonts w:ascii="Verdana" w:hAnsi="Verdana" w:cs="Calibri"/>
          <w:b/>
          <w:bCs/>
          <w:sz w:val="18"/>
          <w:szCs w:val="18"/>
        </w:rPr>
        <w:t>Collaboration with sub-county structures</w:t>
      </w:r>
      <w:r w:rsidRPr="00A4536F">
        <w:rPr>
          <w:rFonts w:ascii="Verdana" w:hAnsi="Verdana" w:cs="Calibri"/>
          <w:sz w:val="18"/>
          <w:szCs w:val="18"/>
        </w:rPr>
        <w:t>: Collaborating with sub-county structures and personnel in the implementation of AHP project activities has contributed to the timely delivery of NFIs. This enabled faster resolution of logistical and other challenges, leading to more prompt provision of vital NFIs for groups in need, especially women and people with disabilities.</w:t>
      </w:r>
    </w:p>
    <w:p w14:paraId="395C6D2C" w14:textId="77777777" w:rsidR="00315466" w:rsidRPr="00A4536F" w:rsidRDefault="001D4E15" w:rsidP="00D41C74">
      <w:pPr>
        <w:pStyle w:val="ListParagraph"/>
        <w:numPr>
          <w:ilvl w:val="0"/>
          <w:numId w:val="68"/>
        </w:numPr>
        <w:spacing w:after="120"/>
        <w:rPr>
          <w:rFonts w:ascii="Verdana" w:hAnsi="Verdana" w:cs="Calibri"/>
          <w:sz w:val="18"/>
          <w:szCs w:val="18"/>
        </w:rPr>
      </w:pPr>
      <w:bookmarkStart w:id="99" w:name="_Hlk170316703"/>
      <w:r w:rsidRPr="00A4536F">
        <w:rPr>
          <w:rFonts w:ascii="Verdana" w:hAnsi="Verdana" w:cs="Calibri"/>
          <w:b/>
          <w:bCs/>
          <w:sz w:val="18"/>
          <w:szCs w:val="18"/>
        </w:rPr>
        <w:t>Strengthening the capacity of local partners</w:t>
      </w:r>
      <w:r w:rsidRPr="00A4536F">
        <w:rPr>
          <w:rFonts w:ascii="Verdana" w:hAnsi="Verdana" w:cs="Calibri"/>
          <w:sz w:val="18"/>
          <w:szCs w:val="18"/>
        </w:rPr>
        <w:t>: Oxfam technical staff conducted field-based support supervision visits for monitoring progress, collected learning, and provided on-job-training for partner staff to ensure skills transfer and capacity-strengthening for local partners working on the ground, all of which contributed to the effectiveness of the project. This initiative improved staff performance and productivity in carrying out the project activities for women, girls, and people with disabilities.</w:t>
      </w:r>
    </w:p>
    <w:bookmarkEnd w:id="99"/>
    <w:p w14:paraId="2DACF8AF" w14:textId="77777777" w:rsidR="00315466" w:rsidRPr="00A4536F" w:rsidRDefault="001D4E15" w:rsidP="00D41C74">
      <w:pPr>
        <w:pStyle w:val="ListParagraph"/>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Verdana" w:hAnsi="Verdana" w:cs="Calibri"/>
          <w:sz w:val="18"/>
          <w:szCs w:val="18"/>
        </w:rPr>
      </w:pPr>
      <w:r w:rsidRPr="00A4536F">
        <w:rPr>
          <w:rFonts w:ascii="Verdana" w:hAnsi="Verdana" w:cs="Calibri"/>
          <w:b/>
          <w:bCs/>
          <w:sz w:val="18"/>
          <w:szCs w:val="18"/>
        </w:rPr>
        <w:t>Community Feedback and Response Mechanism</w:t>
      </w:r>
      <w:r w:rsidRPr="00A4536F">
        <w:rPr>
          <w:rFonts w:ascii="Verdana" w:hAnsi="Verdana" w:cs="Calibri"/>
          <w:sz w:val="18"/>
          <w:szCs w:val="18"/>
        </w:rPr>
        <w:t xml:space="preserve">: </w:t>
      </w:r>
      <w:bookmarkStart w:id="100" w:name="_Hlk170317389"/>
      <w:r w:rsidRPr="00A4536F">
        <w:rPr>
          <w:rFonts w:ascii="Verdana" w:hAnsi="Verdana" w:cs="Calibri"/>
          <w:sz w:val="18"/>
          <w:szCs w:val="18"/>
        </w:rPr>
        <w:t>The Community Feedback and Response Mechanism, which consisted of suggestion boxes, feedback desks, and hotlines, facilitated tangible actions.</w:t>
      </w:r>
      <w:r w:rsidRPr="00A4536F">
        <w:rPr>
          <w:rFonts w:ascii="Verdana" w:eastAsia="SimSun" w:hAnsi="Verdana" w:cs="Calibri"/>
          <w:sz w:val="18"/>
          <w:szCs w:val="18"/>
          <w:shd w:val="clear" w:color="auto" w:fill="FFFFFF"/>
        </w:rPr>
        <w:t xml:space="preserve"> These actions encompassed the development of acceleration plans involving government stakeholders and target communities, conducting consultations and discussions to improve delivery status, and fostering accountability and transparency among project staff and key partners.</w:t>
      </w:r>
      <w:r w:rsidRPr="00A4536F">
        <w:rPr>
          <w:rFonts w:ascii="Verdana" w:hAnsi="Verdana" w:cs="Calibri"/>
          <w:sz w:val="18"/>
          <w:szCs w:val="18"/>
        </w:rPr>
        <w:t xml:space="preserve"> </w:t>
      </w:r>
      <w:bookmarkEnd w:id="100"/>
      <w:r w:rsidRPr="00A4536F">
        <w:rPr>
          <w:rFonts w:ascii="Verdana" w:hAnsi="Verdana" w:cs="Calibri"/>
          <w:sz w:val="18"/>
          <w:szCs w:val="18"/>
        </w:rPr>
        <w:t>Therefore, women, girls, and people with disabilities enjoyed improved service delivery and benefits from more accurate targeting, and a more adaptive support system that suited their needs.</w:t>
      </w:r>
    </w:p>
    <w:p w14:paraId="6A0B5209" w14:textId="72FC6D5E" w:rsidR="00315466" w:rsidRPr="00A4536F" w:rsidRDefault="001D4E15" w:rsidP="00D41C74">
      <w:pPr>
        <w:pStyle w:val="ListParagraph"/>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Verdana" w:eastAsia="SimSun" w:hAnsi="Verdana" w:cs="Calibri"/>
          <w:sz w:val="18"/>
          <w:szCs w:val="18"/>
          <w:lang w:eastAsia="zh-TW"/>
        </w:rPr>
      </w:pPr>
      <w:bookmarkStart w:id="101" w:name="_Hlk170318216"/>
      <w:r w:rsidRPr="00A4536F">
        <w:rPr>
          <w:rFonts w:ascii="Verdana" w:hAnsi="Verdana" w:cs="Calibri"/>
          <w:b/>
          <w:bCs/>
          <w:sz w:val="18"/>
          <w:szCs w:val="18"/>
        </w:rPr>
        <w:t>Sharing updates with the community and stakeholders:</w:t>
      </w:r>
      <w:r w:rsidRPr="00A4536F">
        <w:rPr>
          <w:rFonts w:ascii="Verdana" w:hAnsi="Verdana" w:cs="Calibri"/>
          <w:sz w:val="18"/>
          <w:szCs w:val="18"/>
        </w:rPr>
        <w:t xml:space="preserve"> </w:t>
      </w:r>
      <w:proofErr w:type="gramStart"/>
      <w:r w:rsidRPr="00A4536F">
        <w:rPr>
          <w:rFonts w:ascii="Verdana" w:hAnsi="Verdana" w:cs="Calibri"/>
          <w:sz w:val="18"/>
          <w:szCs w:val="18"/>
        </w:rPr>
        <w:t>Social media</w:t>
      </w:r>
      <w:proofErr w:type="gramEnd"/>
      <w:r w:rsidRPr="00A4536F">
        <w:rPr>
          <w:rFonts w:ascii="Verdana" w:hAnsi="Verdana" w:cs="Calibri"/>
          <w:sz w:val="18"/>
          <w:szCs w:val="18"/>
        </w:rPr>
        <w:t xml:space="preserve"> (tweets/ Facebook posts) have been used to share information about the project and keep the public informed about upcoming activities.</w:t>
      </w:r>
      <w:r w:rsidR="00DC13C3" w:rsidRPr="00A4536F">
        <w:rPr>
          <w:rFonts w:ascii="Verdana" w:hAnsi="Verdana" w:cs="Calibri"/>
          <w:sz w:val="18"/>
          <w:szCs w:val="18"/>
        </w:rPr>
        <w:t xml:space="preserve"> </w:t>
      </w:r>
      <w:r w:rsidRPr="00A4536F">
        <w:rPr>
          <w:rFonts w:ascii="Verdana" w:hAnsi="Verdana" w:cs="Calibri"/>
          <w:sz w:val="18"/>
          <w:szCs w:val="18"/>
        </w:rPr>
        <w:t xml:space="preserve">This enabled more efficient information exchange, occasionally eliminating the need for lengthy travel to obtain updates. Moreover, Oxfam and partners collected case stories and materials in </w:t>
      </w:r>
      <w:proofErr w:type="spellStart"/>
      <w:r w:rsidRPr="00A4536F">
        <w:rPr>
          <w:rFonts w:ascii="Verdana" w:hAnsi="Verdana" w:cs="Calibri"/>
          <w:sz w:val="18"/>
          <w:szCs w:val="18"/>
        </w:rPr>
        <w:t>Marsabit</w:t>
      </w:r>
      <w:proofErr w:type="spellEnd"/>
      <w:r w:rsidRPr="00A4536F">
        <w:rPr>
          <w:rFonts w:ascii="Verdana" w:hAnsi="Verdana" w:cs="Calibri"/>
          <w:sz w:val="18"/>
          <w:szCs w:val="18"/>
        </w:rPr>
        <w:t xml:space="preserve"> in October 2023 were supposed to </w:t>
      </w:r>
      <w:proofErr w:type="gramStart"/>
      <w:r w:rsidRPr="00A4536F">
        <w:rPr>
          <w:rFonts w:ascii="Verdana" w:hAnsi="Verdana" w:cs="Calibri"/>
          <w:sz w:val="18"/>
          <w:szCs w:val="18"/>
        </w:rPr>
        <w:t>be  to</w:t>
      </w:r>
      <w:proofErr w:type="gramEnd"/>
      <w:r w:rsidRPr="00A4536F">
        <w:rPr>
          <w:rFonts w:ascii="Verdana" w:hAnsi="Verdana" w:cs="Calibri"/>
          <w:sz w:val="18"/>
          <w:szCs w:val="18"/>
        </w:rPr>
        <w:t xml:space="preserve"> be published in early 2024. </w:t>
      </w:r>
      <w:bookmarkEnd w:id="101"/>
      <w:r w:rsidRPr="00A4536F">
        <w:rPr>
          <w:rFonts w:ascii="Verdana" w:hAnsi="Verdana" w:cs="Calibri"/>
          <w:sz w:val="18"/>
          <w:szCs w:val="18"/>
        </w:rPr>
        <w:t>This proactive communication also benefited women, girls, and people with disabilities by providing them with updated information on resources and support they could access, increasing their participation in community activities, and ensuring they were aware of ongoing and future project initiatives tailored for their needs.</w:t>
      </w:r>
      <w:r w:rsidRPr="00A4536F">
        <w:rPr>
          <w:rFonts w:ascii="Verdana" w:eastAsia="SimSun" w:hAnsi="Verdana" w:cs="Calibri"/>
          <w:sz w:val="18"/>
          <w:szCs w:val="18"/>
          <w:lang w:eastAsia="zh-TW"/>
        </w:rPr>
        <w:t xml:space="preserve"> </w:t>
      </w:r>
    </w:p>
    <w:p w14:paraId="54694256" w14:textId="7FE4DF5B" w:rsidR="00927036" w:rsidRPr="00973EFD" w:rsidRDefault="13A43D1C" w:rsidP="00973EFD">
      <w:pPr>
        <w:pStyle w:val="Heading3"/>
        <w:spacing w:after="240"/>
        <w:rPr>
          <w:rFonts w:ascii="Verdana" w:hAnsi="Verdana"/>
          <w:color w:val="auto"/>
          <w:sz w:val="20"/>
          <w:szCs w:val="20"/>
          <w:lang w:val="en-GB"/>
        </w:rPr>
      </w:pPr>
      <w:bookmarkStart w:id="102" w:name="_Toc174559889"/>
      <w:bookmarkStart w:id="103" w:name="_Toc181278036"/>
      <w:r w:rsidRPr="460E68A0">
        <w:rPr>
          <w:rFonts w:ascii="Verdana" w:hAnsi="Verdana"/>
          <w:color w:val="auto"/>
          <w:sz w:val="20"/>
          <w:szCs w:val="20"/>
          <w:lang w:val="en-GB"/>
        </w:rPr>
        <w:t>EQ 6. Were there varied outcomes for marginalised groups, including women, girls, and people with disabilities?</w:t>
      </w:r>
      <w:bookmarkEnd w:id="102"/>
      <w:bookmarkEnd w:id="103"/>
    </w:p>
    <w:p w14:paraId="0A5888B3" w14:textId="2AD9F567" w:rsidR="00927036" w:rsidRPr="00A4536F" w:rsidRDefault="001D4E15" w:rsidP="00973EFD">
      <w:pPr>
        <w:spacing w:before="0" w:line="240" w:lineRule="auto"/>
        <w:rPr>
          <w:rFonts w:cs="Calibri"/>
          <w:b/>
          <w:bCs/>
          <w:color w:val="auto"/>
          <w:szCs w:val="18"/>
        </w:rPr>
      </w:pPr>
      <w:r w:rsidRPr="00A4536F">
        <w:rPr>
          <w:rFonts w:cs="Calibri"/>
          <w:b/>
          <w:bCs/>
          <w:color w:val="auto"/>
          <w:szCs w:val="18"/>
          <w:u w:val="single"/>
        </w:rPr>
        <w:t>Finding:</w:t>
      </w:r>
      <w:r w:rsidRPr="00A4536F">
        <w:rPr>
          <w:rFonts w:cs="Calibri"/>
          <w:b/>
          <w:bCs/>
          <w:color w:val="auto"/>
          <w:szCs w:val="18"/>
        </w:rPr>
        <w:t xml:space="preserve"> Although the types of support were similar for all </w:t>
      </w:r>
      <w:proofErr w:type="gramStart"/>
      <w:r w:rsidRPr="00A4536F">
        <w:rPr>
          <w:rFonts w:cs="Calibri"/>
          <w:b/>
          <w:bCs/>
          <w:color w:val="auto"/>
          <w:szCs w:val="18"/>
        </w:rPr>
        <w:t>beneficiaries</w:t>
      </w:r>
      <w:proofErr w:type="gramEnd"/>
      <w:r w:rsidRPr="00A4536F">
        <w:rPr>
          <w:rFonts w:cs="Calibri"/>
          <w:b/>
          <w:bCs/>
          <w:color w:val="auto"/>
          <w:szCs w:val="18"/>
        </w:rPr>
        <w:t>, specific marginalised groups were able to benefit in specific ways. For instance, some interventions gave marginalised groups more agency (women and girls) and, in other cases, a stronger position within their own communities (people with disabilities).</w:t>
      </w:r>
    </w:p>
    <w:p w14:paraId="3AC856C6"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Despite similar approaches across target areas, outcomes varied among marginalised groups. The interventions aimed to address food security, healthcare, hygiene, and protection needs of vulnerable communities. In Ethiopia, 72% of respondents felt these needs were adequately met, and discussions with women’s groups in both Ethiopia and Kenya confirmed that marginalised people, including those with disabilities, benefited. Many individuals with disabilities used cash transfers to purchase assistive devices or seek specialised rehabilitation, while parents of children with disabilities used the funds for special schooling or medical services. </w:t>
      </w:r>
    </w:p>
    <w:p w14:paraId="32B5C172"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Cash transfers were limited to individuals who had registered bank accounts (in the case of Ethiopia) and registered mobile phone numbers (in the case of Kenya), and, in the case of children, the caretaker needed to meet the </w:t>
      </w:r>
      <w:proofErr w:type="gramStart"/>
      <w:r w:rsidRPr="00A4536F">
        <w:rPr>
          <w:rFonts w:cs="Calibri"/>
          <w:color w:val="auto"/>
          <w:szCs w:val="18"/>
        </w:rPr>
        <w:t>aforementioned criteria</w:t>
      </w:r>
      <w:proofErr w:type="gramEnd"/>
      <w:r w:rsidRPr="00A4536F">
        <w:rPr>
          <w:rFonts w:cs="Calibri"/>
          <w:color w:val="auto"/>
          <w:szCs w:val="18"/>
        </w:rPr>
        <w:t xml:space="preserve">. In the case of women who traditionally had limited or no power over the economic resources of the family, this intervention enabled them to gain or increase their bargaining and decision-making power and control over the economic resources at the disposal of the household. Therefore, the intervention not only provided resources for the family, but also helped to change the power dynamics in the household. Data from interviews with women beneficiaries in Kenya and Ethiopia shows that receiving and managing the cash had given them autonomy and the ability to use the money without having to </w:t>
      </w:r>
      <w:r w:rsidRPr="00A4536F">
        <w:rPr>
          <w:rFonts w:cs="Calibri"/>
          <w:color w:val="auto"/>
          <w:szCs w:val="18"/>
        </w:rPr>
        <w:lastRenderedPageBreak/>
        <w:t xml:space="preserve">ask their husbands. For example, many of them reported using part of the grant to purchase items like shoes, </w:t>
      </w:r>
      <w:proofErr w:type="gramStart"/>
      <w:r w:rsidRPr="00A4536F">
        <w:rPr>
          <w:rFonts w:cs="Calibri"/>
          <w:color w:val="auto"/>
          <w:szCs w:val="18"/>
        </w:rPr>
        <w:t>dresses</w:t>
      </w:r>
      <w:proofErr w:type="gramEnd"/>
      <w:r w:rsidRPr="00A4536F">
        <w:rPr>
          <w:rFonts w:cs="Calibri"/>
          <w:color w:val="auto"/>
          <w:szCs w:val="18"/>
        </w:rPr>
        <w:t xml:space="preserve"> and bags that they wanted without having to discuss it with their spouses. Others used the money to invest in small businesses, </w:t>
      </w:r>
      <w:proofErr w:type="gramStart"/>
      <w:r w:rsidRPr="00A4536F">
        <w:rPr>
          <w:rFonts w:cs="Calibri"/>
          <w:color w:val="auto"/>
          <w:szCs w:val="18"/>
        </w:rPr>
        <w:t>goats</w:t>
      </w:r>
      <w:proofErr w:type="gramEnd"/>
      <w:r w:rsidRPr="00A4536F">
        <w:rPr>
          <w:rFonts w:cs="Calibri"/>
          <w:color w:val="auto"/>
          <w:szCs w:val="18"/>
        </w:rPr>
        <w:t xml:space="preserve"> or poultry to boost their own incomes.</w:t>
      </w:r>
    </w:p>
    <w:p w14:paraId="01CB1240" w14:textId="7CB23068" w:rsidR="00315466" w:rsidRPr="00A4536F" w:rsidRDefault="001D4E15" w:rsidP="00E4398D">
      <w:pPr>
        <w:spacing w:before="0" w:after="120"/>
        <w:rPr>
          <w:rFonts w:cs="Calibri"/>
          <w:color w:val="auto"/>
          <w:szCs w:val="18"/>
        </w:rPr>
      </w:pPr>
      <w:r w:rsidRPr="00A4536F">
        <w:rPr>
          <w:rFonts w:cs="Calibri"/>
          <w:color w:val="auto"/>
          <w:szCs w:val="18"/>
        </w:rPr>
        <w:t xml:space="preserve">Cash transfers have enabled </w:t>
      </w:r>
      <w:r w:rsidRPr="00A4536F">
        <w:rPr>
          <w:rFonts w:cs="Calibri"/>
          <w:color w:val="auto"/>
          <w:szCs w:val="18"/>
          <w:shd w:val="clear" w:color="auto" w:fill="FFFFFF"/>
        </w:rPr>
        <w:t>people</w:t>
      </w:r>
      <w:r w:rsidRPr="00A4536F">
        <w:rPr>
          <w:rFonts w:cs="Calibri"/>
          <w:color w:val="auto"/>
          <w:szCs w:val="18"/>
        </w:rPr>
        <w:t xml:space="preserve"> with disabilities to be more visible at the community level and more actively engaged in local activities.  In turn, </w:t>
      </w:r>
      <w:r w:rsidR="00DC13C3" w:rsidRPr="00A4536F">
        <w:rPr>
          <w:rFonts w:cs="Calibri"/>
          <w:color w:val="auto"/>
          <w:szCs w:val="18"/>
          <w:shd w:val="clear" w:color="auto" w:fill="FFFFFF"/>
        </w:rPr>
        <w:t>people</w:t>
      </w:r>
      <w:r w:rsidR="00DC13C3" w:rsidRPr="00A4536F">
        <w:rPr>
          <w:rFonts w:cs="Calibri"/>
          <w:color w:val="auto"/>
          <w:szCs w:val="18"/>
        </w:rPr>
        <w:t xml:space="preserve"> with</w:t>
      </w:r>
      <w:r w:rsidRPr="00A4536F">
        <w:rPr>
          <w:rFonts w:cs="Calibri"/>
          <w:color w:val="auto"/>
          <w:szCs w:val="18"/>
        </w:rPr>
        <w:t xml:space="preserve"> disabilities have gained a stronger voice at the community level, which may, in time, help reduce the sigma often associated with disabilities. Cash transfers have also allowed </w:t>
      </w:r>
      <w:r w:rsidRPr="00A4536F">
        <w:rPr>
          <w:rFonts w:cs="Calibri"/>
          <w:color w:val="auto"/>
          <w:szCs w:val="18"/>
          <w:shd w:val="clear" w:color="auto" w:fill="FFFFFF"/>
        </w:rPr>
        <w:t>people</w:t>
      </w:r>
      <w:r w:rsidRPr="00A4536F">
        <w:rPr>
          <w:rFonts w:cs="Calibri"/>
          <w:color w:val="auto"/>
          <w:szCs w:val="18"/>
        </w:rPr>
        <w:t xml:space="preserve"> with disabilities to secure items that facilitate their day-to-day life.</w:t>
      </w:r>
    </w:p>
    <w:p w14:paraId="6687E0F0" w14:textId="0B279124" w:rsidR="00315466" w:rsidRPr="00A4536F" w:rsidRDefault="001D4E15" w:rsidP="00E4398D">
      <w:pPr>
        <w:spacing w:before="0" w:after="120"/>
        <w:rPr>
          <w:rFonts w:cs="Calibri"/>
          <w:color w:val="auto"/>
          <w:szCs w:val="18"/>
        </w:rPr>
      </w:pPr>
      <w:r w:rsidRPr="00A4536F">
        <w:rPr>
          <w:rFonts w:cs="Calibri"/>
          <w:color w:val="auto"/>
          <w:szCs w:val="18"/>
        </w:rPr>
        <w:t xml:space="preserve">Community awareness sessions and support for the referral pathways as part of the protection response led to an increase in community knowledge regarding the dangers and consequences of GBV, early marriage and female genital mutilation. Interviews with government staff (working </w:t>
      </w:r>
      <w:r w:rsidR="003A0B31">
        <w:rPr>
          <w:rFonts w:cs="Calibri"/>
          <w:color w:val="auto"/>
          <w:szCs w:val="18"/>
        </w:rPr>
        <w:t xml:space="preserve">in </w:t>
      </w:r>
      <w:r w:rsidRPr="00A4536F">
        <w:rPr>
          <w:rFonts w:cs="Calibri"/>
          <w:color w:val="auto"/>
          <w:szCs w:val="18"/>
        </w:rPr>
        <w:t xml:space="preserve">gender and social welfare and sexual reproductive health), community leaders, and FGDs with women and girls suggest that following the support, more women have sought counselling and treatment for GBV-related problems; girls are more knowledgeable about the dangers associated with GBV and harmful traditional </w:t>
      </w:r>
      <w:r w:rsidR="00CD5AE0" w:rsidRPr="00A4536F">
        <w:rPr>
          <w:rFonts w:cs="Calibri"/>
          <w:color w:val="auto"/>
          <w:szCs w:val="18"/>
        </w:rPr>
        <w:t>practices and</w:t>
      </w:r>
      <w:r w:rsidRPr="00A4536F">
        <w:rPr>
          <w:rFonts w:cs="Calibri"/>
          <w:color w:val="auto"/>
          <w:szCs w:val="18"/>
        </w:rPr>
        <w:t xml:space="preserve"> are better aware of their rights.  Indeed, FGDs with girls showed that many of them are better positioned to assert themselves and resist cultural practices such as early marriage.</w:t>
      </w:r>
    </w:p>
    <w:p w14:paraId="2F9CDEBE" w14:textId="28787E2B" w:rsidR="00FD04E1" w:rsidRPr="00973EFD" w:rsidRDefault="13A43D1C" w:rsidP="00973EFD">
      <w:pPr>
        <w:pStyle w:val="Heading3"/>
        <w:spacing w:after="240"/>
        <w:rPr>
          <w:rFonts w:ascii="Verdana" w:hAnsi="Verdana"/>
          <w:color w:val="auto"/>
          <w:sz w:val="20"/>
          <w:szCs w:val="20"/>
          <w:lang w:val="en-GB"/>
        </w:rPr>
      </w:pPr>
      <w:bookmarkStart w:id="104" w:name="_Toc174559890"/>
      <w:bookmarkStart w:id="105" w:name="_Toc181278037"/>
      <w:r w:rsidRPr="460E68A0">
        <w:rPr>
          <w:rFonts w:ascii="Verdana" w:hAnsi="Verdana"/>
          <w:color w:val="auto"/>
          <w:sz w:val="20"/>
          <w:szCs w:val="20"/>
          <w:lang w:val="en-GB"/>
        </w:rPr>
        <w:t xml:space="preserve">EQ 7. Were the project components integrated with each other in a way that supported the achievement of desired outcomes for women, </w:t>
      </w:r>
      <w:proofErr w:type="gramStart"/>
      <w:r w:rsidRPr="460E68A0">
        <w:rPr>
          <w:rFonts w:ascii="Verdana" w:hAnsi="Verdana"/>
          <w:color w:val="auto"/>
          <w:sz w:val="20"/>
          <w:szCs w:val="20"/>
          <w:lang w:val="en-GB"/>
        </w:rPr>
        <w:t>girls</w:t>
      </w:r>
      <w:proofErr w:type="gramEnd"/>
      <w:r w:rsidRPr="460E68A0">
        <w:rPr>
          <w:rFonts w:ascii="Verdana" w:hAnsi="Verdana"/>
          <w:color w:val="auto"/>
          <w:sz w:val="20"/>
          <w:szCs w:val="20"/>
          <w:lang w:val="en-GB"/>
        </w:rPr>
        <w:t xml:space="preserve"> and people with disabilities?</w:t>
      </w:r>
      <w:bookmarkEnd w:id="104"/>
      <w:bookmarkEnd w:id="105"/>
    </w:p>
    <w:p w14:paraId="076D4C34" w14:textId="77D028B3" w:rsidR="00FD04E1" w:rsidRPr="00973EFD" w:rsidRDefault="001D4E15" w:rsidP="00973EFD">
      <w:pPr>
        <w:spacing w:before="0" w:line="240" w:lineRule="auto"/>
        <w:rPr>
          <w:rFonts w:cs="Calibri"/>
          <w:b/>
          <w:bCs/>
          <w:color w:val="auto"/>
          <w:szCs w:val="18"/>
        </w:rPr>
      </w:pPr>
      <w:r w:rsidRPr="00A4536F">
        <w:rPr>
          <w:rFonts w:cs="Calibri"/>
          <w:b/>
          <w:bCs/>
          <w:color w:val="auto"/>
          <w:szCs w:val="18"/>
          <w:u w:val="single"/>
        </w:rPr>
        <w:t>Finding</w:t>
      </w:r>
      <w:r w:rsidRPr="00A4536F">
        <w:rPr>
          <w:rFonts w:cs="Calibri"/>
          <w:b/>
          <w:bCs/>
          <w:color w:val="auto"/>
          <w:szCs w:val="18"/>
        </w:rPr>
        <w:t>: When implemented, the integration of Food Security and Livelihoods (FSL), Water, Sanitation, and Hygiene (WASH), and Protection activities helped generate improved outcomes. (S</w:t>
      </w:r>
      <w:hyperlink w:anchor="_1.3_The_AHP" w:history="1">
        <w:r w:rsidRPr="00A4536F">
          <w:rPr>
            <w:rStyle w:val="Hyperlink"/>
            <w:rFonts w:cs="Calibri"/>
            <w:b/>
            <w:bCs/>
            <w:color w:val="auto"/>
            <w:szCs w:val="18"/>
          </w:rPr>
          <w:t>ee Subsection 1.3).</w:t>
        </w:r>
      </w:hyperlink>
      <w:r w:rsidRPr="00A4536F">
        <w:rPr>
          <w:rFonts w:cs="Calibri"/>
          <w:b/>
          <w:bCs/>
          <w:color w:val="auto"/>
          <w:szCs w:val="18"/>
        </w:rPr>
        <w:t xml:space="preserve"> </w:t>
      </w:r>
    </w:p>
    <w:p w14:paraId="375BE1F8" w14:textId="75E9D6C6" w:rsidR="00E571DE" w:rsidRPr="00A4536F" w:rsidRDefault="001D4E15" w:rsidP="00E4398D">
      <w:pPr>
        <w:spacing w:before="0" w:after="120"/>
        <w:rPr>
          <w:rFonts w:cs="Calibri"/>
          <w:color w:val="auto"/>
          <w:szCs w:val="18"/>
        </w:rPr>
      </w:pPr>
      <w:r w:rsidRPr="00A4536F">
        <w:rPr>
          <w:rFonts w:cs="Calibri"/>
          <w:color w:val="auto"/>
          <w:szCs w:val="18"/>
        </w:rPr>
        <w:t xml:space="preserve">The interventions implemented to support drought-affected individuals in both countries took an integrated approach. These interventions combined WASH and Protection measures with food security support, creating a comprehensive intervention to address the needs of vulnerable populations. </w:t>
      </w:r>
      <w:r w:rsidR="00E13717" w:rsidRPr="00A4536F">
        <w:rPr>
          <w:rFonts w:cs="Calibri"/>
          <w:color w:val="auto"/>
          <w:szCs w:val="18"/>
        </w:rPr>
        <w:t>Through MPCA, t</w:t>
      </w:r>
      <w:r w:rsidRPr="00A4536F">
        <w:rPr>
          <w:rFonts w:cs="Calibri"/>
          <w:color w:val="auto"/>
          <w:szCs w:val="18"/>
        </w:rPr>
        <w:t xml:space="preserve">he FSL interventions </w:t>
      </w:r>
      <w:r w:rsidR="00E13717" w:rsidRPr="00A4536F">
        <w:rPr>
          <w:rFonts w:cs="Calibri"/>
          <w:color w:val="auto"/>
          <w:szCs w:val="18"/>
        </w:rPr>
        <w:t>delivered concrete support, enabling recipients, especially at-risk populations such as GBV survivors, orphans, seniors, and individuals with disabilities, to meet their fundamental needs. The initiatives also connected participants with psychosocial services to cater to their extensive support needs.</w:t>
      </w:r>
      <w:r w:rsidR="00031C0E" w:rsidRPr="00A4536F">
        <w:rPr>
          <w:rFonts w:cs="Calibri"/>
          <w:color w:val="auto"/>
          <w:szCs w:val="18"/>
        </w:rPr>
        <w:t xml:space="preserve"> </w:t>
      </w:r>
      <w:r w:rsidR="00E571DE" w:rsidRPr="00A4536F">
        <w:rPr>
          <w:rFonts w:cs="Calibri"/>
          <w:color w:val="auto"/>
          <w:szCs w:val="18"/>
        </w:rPr>
        <w:t>The FSL programs offered concrete support via the MPCA, enabling beneficiaries, particularly at-risk groups like GBV survivors, orphans, seniors, and individuals with disabilities, to meet fundamental needs. The programs also connected recipients to psychosocial resources, catering to their wider support needs.</w:t>
      </w:r>
    </w:p>
    <w:p w14:paraId="56E9EE21" w14:textId="26E161F7" w:rsidR="00315466" w:rsidRPr="00A4536F" w:rsidRDefault="001D4E15" w:rsidP="00E4398D">
      <w:pPr>
        <w:spacing w:before="0" w:after="120"/>
        <w:rPr>
          <w:rFonts w:cs="Calibri"/>
          <w:color w:val="auto"/>
          <w:szCs w:val="18"/>
        </w:rPr>
      </w:pPr>
      <w:r w:rsidRPr="00A4536F">
        <w:rPr>
          <w:rFonts w:cs="Calibri"/>
          <w:color w:val="auto"/>
          <w:szCs w:val="18"/>
        </w:rPr>
        <w:t xml:space="preserve">However, integration was not consistent and systematic. Based on the survey result, only 29%, 23% and 25% of beneficiaries from Oxfam Kenya, Oxfam Ethiopia and Plan International, respectively, labelled the integration with other interventions as effective. How each consortium partner integrated different activities with each other, and the outcomes that are associated with doing so, is explored next. </w:t>
      </w:r>
    </w:p>
    <w:p w14:paraId="67614532"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 xml:space="preserve">Oxfam Kenya and Plan International </w:t>
      </w:r>
    </w:p>
    <w:p w14:paraId="19A88DDF" w14:textId="77777777" w:rsidR="00315466" w:rsidRPr="00A4536F" w:rsidRDefault="001D4E15" w:rsidP="00E4398D">
      <w:pPr>
        <w:spacing w:before="0" w:after="120"/>
        <w:rPr>
          <w:rFonts w:cs="Calibri"/>
          <w:color w:val="auto"/>
          <w:szCs w:val="18"/>
        </w:rPr>
      </w:pPr>
      <w:r w:rsidRPr="00A4536F">
        <w:rPr>
          <w:rFonts w:cs="Calibri"/>
          <w:b/>
          <w:bCs/>
          <w:color w:val="auto"/>
          <w:szCs w:val="18"/>
        </w:rPr>
        <w:t>Integration between FSL and WASH components:</w:t>
      </w:r>
      <w:r w:rsidRPr="00A4536F">
        <w:rPr>
          <w:rFonts w:cs="Calibri"/>
          <w:color w:val="auto"/>
          <w:szCs w:val="18"/>
        </w:rPr>
        <w:t xml:space="preserve"> Data from beneficiary surveys, FGDs, and key informant interviews with government staff and community leaders in both Kenya and Ethiopia shows that the integration of FSL and WASH components has been instrumental in improving livelihoods and overall well-being. For example, beneficiaries in both countries highlighted that access to clean water and sanitation facilities has improved health and freed up time for productive activities, such as farming and income-generating ventures. </w:t>
      </w:r>
    </w:p>
    <w:p w14:paraId="72575D67" w14:textId="77777777" w:rsidR="00315466" w:rsidRPr="00A4536F" w:rsidRDefault="001D4E15" w:rsidP="00E4398D">
      <w:pPr>
        <w:spacing w:before="0" w:after="120"/>
        <w:rPr>
          <w:rFonts w:cs="Calibri"/>
          <w:color w:val="auto"/>
          <w:szCs w:val="18"/>
        </w:rPr>
      </w:pPr>
      <w:r w:rsidRPr="00A4536F">
        <w:rPr>
          <w:rFonts w:cs="Calibri"/>
          <w:b/>
          <w:bCs/>
          <w:color w:val="auto"/>
          <w:szCs w:val="18"/>
        </w:rPr>
        <w:t xml:space="preserve">Integration between WASH, Cash-Based Support and Protection: </w:t>
      </w:r>
      <w:r w:rsidRPr="00A4536F">
        <w:rPr>
          <w:rFonts w:cs="Calibri"/>
          <w:color w:val="auto"/>
          <w:szCs w:val="18"/>
        </w:rPr>
        <w:t>Integrating these activities was instrumental in reducing Gender-Based Vulnerabilities. Women and girls’ beneficiaries emphasised the value of access to safe water and sanitation, especially in conflict-affected areas. The Multi-Purpose Cash Assistance Program primarily covered emergency needs, underlying vulnerabilities, and risks through the provision of cash transfers. Beneficiary surveys and FGD results shows that beneficiaries in Ethiopia, for example, allocated a certain amount of cash received to improve their access to water, sanitation, health care and education.</w:t>
      </w:r>
    </w:p>
    <w:p w14:paraId="56FD3474" w14:textId="77777777" w:rsidR="00315466" w:rsidRPr="00A4536F" w:rsidRDefault="001D4E15" w:rsidP="00E4398D">
      <w:pPr>
        <w:spacing w:before="0" w:after="120"/>
        <w:rPr>
          <w:rFonts w:cs="Calibri"/>
          <w:b/>
          <w:bCs/>
          <w:color w:val="auto"/>
          <w:szCs w:val="18"/>
        </w:rPr>
      </w:pPr>
      <w:r w:rsidRPr="00A4536F">
        <w:rPr>
          <w:rFonts w:cs="Calibri"/>
          <w:b/>
          <w:bCs/>
          <w:color w:val="auto"/>
          <w:szCs w:val="18"/>
        </w:rPr>
        <w:lastRenderedPageBreak/>
        <w:t xml:space="preserve">Oxfam Ethiopia </w:t>
      </w:r>
    </w:p>
    <w:p w14:paraId="4AD238EE" w14:textId="77777777" w:rsidR="00315466" w:rsidRPr="00A4536F" w:rsidRDefault="001D4E15" w:rsidP="00E4398D">
      <w:pPr>
        <w:spacing w:before="0" w:after="120"/>
        <w:rPr>
          <w:rFonts w:eastAsia="SimSun" w:cs="Calibri"/>
          <w:color w:val="auto"/>
          <w:szCs w:val="18"/>
        </w:rPr>
      </w:pPr>
      <w:r w:rsidRPr="00A4536F">
        <w:rPr>
          <w:rFonts w:cs="Calibri"/>
          <w:b/>
          <w:bCs/>
          <w:color w:val="auto"/>
          <w:szCs w:val="18"/>
        </w:rPr>
        <w:t>Protection and Safety:</w:t>
      </w:r>
      <w:r w:rsidRPr="00A4536F">
        <w:rPr>
          <w:rFonts w:cs="Calibri"/>
          <w:color w:val="auto"/>
          <w:szCs w:val="18"/>
        </w:rPr>
        <w:t xml:space="preserve"> </w:t>
      </w:r>
      <w:r w:rsidRPr="00A4536F">
        <w:rPr>
          <w:rFonts w:eastAsia="SimSun" w:cs="Calibri"/>
          <w:color w:val="auto"/>
          <w:szCs w:val="18"/>
        </w:rPr>
        <w:t>By integrating protection components with FSL and WASH, a more inclusive and protective community has been created. This integration has made people with disabilities feel safer and reduced their vulnerability to exploitation, abuse, and discrimination. The data collected from FGDs in Kenya and Ethiopia indicates a positive shift towards acceptance and involvement of people with disabilities in community activities.</w:t>
      </w:r>
    </w:p>
    <w:p w14:paraId="44E6ABEA" w14:textId="77777777" w:rsidR="00315466" w:rsidRPr="00A4536F" w:rsidRDefault="001D4E15" w:rsidP="00E4398D">
      <w:pPr>
        <w:spacing w:before="0" w:after="120"/>
        <w:rPr>
          <w:rFonts w:eastAsia="SimSun" w:cs="Calibri"/>
          <w:b/>
          <w:bCs/>
          <w:color w:val="auto"/>
          <w:szCs w:val="18"/>
        </w:rPr>
      </w:pPr>
      <w:r w:rsidRPr="00A4536F">
        <w:rPr>
          <w:rFonts w:eastAsia="SimSun" w:cs="Calibri"/>
          <w:b/>
          <w:bCs/>
          <w:color w:val="auto"/>
          <w:szCs w:val="18"/>
        </w:rPr>
        <w:t xml:space="preserve">Plan International </w:t>
      </w:r>
    </w:p>
    <w:p w14:paraId="3FDFF8A8" w14:textId="77777777" w:rsidR="00315466" w:rsidRPr="00A4536F" w:rsidRDefault="001D4E15" w:rsidP="00E4398D">
      <w:pPr>
        <w:spacing w:before="0" w:after="120"/>
        <w:rPr>
          <w:rStyle w:val="CommentReference"/>
          <w:rFonts w:cs="Calibri"/>
          <w:color w:val="auto"/>
        </w:rPr>
      </w:pPr>
      <w:r w:rsidRPr="00A4536F">
        <w:rPr>
          <w:rFonts w:cs="Calibri"/>
          <w:b/>
          <w:bCs/>
          <w:color w:val="auto"/>
          <w:szCs w:val="18"/>
        </w:rPr>
        <w:t>Integration of FSL with Outpatient therapeutic programme (OTP)</w:t>
      </w:r>
      <w:r w:rsidRPr="00A4536F">
        <w:rPr>
          <w:rFonts w:cs="Calibri"/>
          <w:bCs/>
          <w:color w:val="auto"/>
          <w:szCs w:val="18"/>
        </w:rPr>
        <w:t xml:space="preserve">: </w:t>
      </w:r>
      <w:r w:rsidRPr="00A4536F">
        <w:rPr>
          <w:rStyle w:val="CommentReference"/>
          <w:rFonts w:cs="Calibri"/>
          <w:color w:val="auto"/>
        </w:rPr>
        <w:t xml:space="preserve">Through this project, children under-five </w:t>
      </w:r>
      <w:proofErr w:type="gramStart"/>
      <w:r w:rsidRPr="00A4536F">
        <w:rPr>
          <w:rStyle w:val="CommentReference"/>
          <w:rFonts w:cs="Calibri"/>
          <w:color w:val="auto"/>
        </w:rPr>
        <w:t>were</w:t>
      </w:r>
      <w:proofErr w:type="gramEnd"/>
      <w:r w:rsidRPr="00A4536F">
        <w:rPr>
          <w:rStyle w:val="CommentReference"/>
          <w:rFonts w:cs="Calibri"/>
          <w:color w:val="auto"/>
        </w:rPr>
        <w:t xml:space="preserve"> screened for nutrition during the previous six months. Malnourished children were admitted to both the stabilisation centre and the OTP of the health facilities.</w:t>
      </w:r>
      <w:r w:rsidRPr="00A4536F">
        <w:rPr>
          <w:rStyle w:val="CommentReference"/>
          <w:rFonts w:eastAsia="SimSun" w:cs="Calibri"/>
          <w:color w:val="auto"/>
        </w:rPr>
        <w:t xml:space="preserve"> Among these, the Severe Acute Malnu</w:t>
      </w:r>
      <w:r w:rsidRPr="00A4536F">
        <w:rPr>
          <w:rStyle w:val="CommentReference"/>
          <w:rFonts w:cs="Calibri"/>
          <w:color w:val="auto"/>
        </w:rPr>
        <w:t>trition (SAM) cases were referred to different FSL supports, such as mental health and psychosocial support, and protection services, provision of food assistance, provision of early maturing seeds, and multipurpose cash transfer assistance and breading shoats.</w:t>
      </w:r>
    </w:p>
    <w:p w14:paraId="7DDEE6C9"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 xml:space="preserve">Oxfam Ethiopia, Oxfam Kenya and Plan International </w:t>
      </w:r>
    </w:p>
    <w:p w14:paraId="6B48B589" w14:textId="77777777" w:rsidR="00315466" w:rsidRPr="00A4536F" w:rsidRDefault="001D4E15" w:rsidP="00E4398D">
      <w:pPr>
        <w:spacing w:before="0" w:after="120"/>
        <w:rPr>
          <w:rFonts w:cs="Calibri"/>
          <w:color w:val="auto"/>
          <w:szCs w:val="18"/>
        </w:rPr>
      </w:pPr>
      <w:r w:rsidRPr="00A4536F">
        <w:rPr>
          <w:rFonts w:cs="Calibri"/>
          <w:b/>
          <w:bCs/>
          <w:color w:val="auto"/>
          <w:szCs w:val="18"/>
        </w:rPr>
        <w:t>Synergistic Outcomes</w:t>
      </w:r>
      <w:r w:rsidRPr="00A4536F">
        <w:rPr>
          <w:rFonts w:cs="Calibri"/>
          <w:color w:val="auto"/>
          <w:szCs w:val="18"/>
        </w:rPr>
        <w:t>: Data from interviews with key informants, especially participating government staff and community leaders in the intervention areas in Kenya and Ethiopia, highlighted that combining FSL, WASH, and Protection have not only improved individual well-being but also strengthened community resilience. For instance, improved hygiene practices coupled with livelihood diversification initiatives have resulted in better health outcomes, such as being protected from waterborne diseases. This has not only reduced costs for treatment but also improved the availability of human capital for new income-earning opportunities.</w:t>
      </w:r>
    </w:p>
    <w:p w14:paraId="5F69472C"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Despite the benefits of integrating FSL, WASH and Protection components, the data also shows challenges and gaps that have hindered seamless integration across all consortia partners. </w:t>
      </w:r>
    </w:p>
    <w:p w14:paraId="64DC4D4E" w14:textId="77777777" w:rsidR="00315466" w:rsidRPr="00A4536F" w:rsidRDefault="001D4E15" w:rsidP="00E4398D">
      <w:pPr>
        <w:spacing w:before="0" w:after="120"/>
        <w:rPr>
          <w:rFonts w:eastAsia="Calibri" w:cs="Calibri"/>
          <w:color w:val="auto"/>
          <w:szCs w:val="18"/>
        </w:rPr>
      </w:pPr>
      <w:r w:rsidRPr="00A4536F">
        <w:rPr>
          <w:rFonts w:eastAsia="Calibri" w:cs="Calibri"/>
          <w:b/>
          <w:bCs/>
          <w:color w:val="auto"/>
          <w:szCs w:val="18"/>
        </w:rPr>
        <w:t>Fragmentation of Approaches</w:t>
      </w:r>
      <w:r w:rsidRPr="00A4536F">
        <w:rPr>
          <w:rFonts w:eastAsia="Calibri" w:cs="Calibri"/>
          <w:color w:val="auto"/>
          <w:szCs w:val="18"/>
        </w:rPr>
        <w:t>: Although integration was noted in many interventions, fragmentation was an issue in certain instances.  Specifically, it was visible in places like Amhara and Tigray. Fragmentation resulted in disjointed service delivery. For example, in some instances beneficiaries received FSL support without complementary WASH interventions, impacting the sustainability and effectiveness of outcomes.</w:t>
      </w:r>
    </w:p>
    <w:p w14:paraId="728E9FDF" w14:textId="1E60D8AC" w:rsidR="00315466" w:rsidRPr="00A4536F" w:rsidRDefault="001D4E15" w:rsidP="00E4398D">
      <w:pPr>
        <w:spacing w:before="0" w:after="120"/>
        <w:rPr>
          <w:rFonts w:eastAsia="Calibri" w:cs="Calibri"/>
          <w:color w:val="auto"/>
          <w:szCs w:val="18"/>
        </w:rPr>
      </w:pPr>
      <w:r w:rsidRPr="00A4536F">
        <w:rPr>
          <w:rFonts w:eastAsia="Calibri" w:cs="Calibri"/>
          <w:b/>
          <w:bCs/>
          <w:color w:val="auto"/>
          <w:szCs w:val="18"/>
        </w:rPr>
        <w:t>Capacity and Training Needs</w:t>
      </w:r>
      <w:r w:rsidRPr="00A4536F">
        <w:rPr>
          <w:rFonts w:eastAsia="Calibri" w:cs="Calibri"/>
          <w:color w:val="auto"/>
          <w:szCs w:val="18"/>
        </w:rPr>
        <w:t xml:space="preserve">: Data from survey interviews suggests that limited knowledge competences in disability inclusion hindered project staff’s ability to effectively integrate inclusion activities, hence leaving some gaps in meeting the unique or specific needs of </w:t>
      </w:r>
      <w:r w:rsidRPr="00A4536F">
        <w:rPr>
          <w:rFonts w:cs="Calibri"/>
          <w:color w:val="auto"/>
          <w:szCs w:val="18"/>
          <w:shd w:val="clear" w:color="auto" w:fill="FFFFFF"/>
        </w:rPr>
        <w:t>people</w:t>
      </w:r>
      <w:r w:rsidRPr="00A4536F">
        <w:rPr>
          <w:rFonts w:eastAsia="Calibri" w:cs="Calibri"/>
          <w:color w:val="auto"/>
          <w:szCs w:val="18"/>
        </w:rPr>
        <w:t xml:space="preserve"> with disabilities. (See Recommendation </w:t>
      </w:r>
      <w:r w:rsidR="00366FCC" w:rsidRPr="00A4536F">
        <w:rPr>
          <w:rFonts w:eastAsia="Calibri" w:cs="Calibri"/>
          <w:color w:val="auto"/>
          <w:szCs w:val="18"/>
        </w:rPr>
        <w:t>3</w:t>
      </w:r>
      <w:r w:rsidRPr="00A4536F">
        <w:rPr>
          <w:rFonts w:eastAsia="Calibri" w:cs="Calibri"/>
          <w:color w:val="auto"/>
          <w:szCs w:val="18"/>
        </w:rPr>
        <w:t>).</w:t>
      </w:r>
    </w:p>
    <w:p w14:paraId="6498157C" w14:textId="77777777" w:rsidR="00315466" w:rsidRPr="00A4536F" w:rsidRDefault="001D4E15" w:rsidP="00E4398D">
      <w:pPr>
        <w:spacing w:before="0" w:after="120"/>
        <w:rPr>
          <w:rFonts w:eastAsia="Calibri" w:cs="Calibri"/>
          <w:color w:val="auto"/>
          <w:szCs w:val="18"/>
        </w:rPr>
      </w:pPr>
      <w:r w:rsidRPr="00A4536F">
        <w:rPr>
          <w:rFonts w:eastAsia="Calibri" w:cs="Calibri"/>
          <w:b/>
          <w:bCs/>
          <w:color w:val="auto"/>
          <w:szCs w:val="18"/>
        </w:rPr>
        <w:t>Limited Resources</w:t>
      </w:r>
      <w:r w:rsidRPr="00A4536F">
        <w:rPr>
          <w:rFonts w:eastAsia="Calibri" w:cs="Calibri"/>
          <w:color w:val="auto"/>
          <w:szCs w:val="18"/>
        </w:rPr>
        <w:t xml:space="preserve">: Data from interviews with implementing partner organisation staff in Kenya highlighted resource constraints as a key reason for non-integration of activities. </w:t>
      </w:r>
    </w:p>
    <w:p w14:paraId="397D3068" w14:textId="77777777" w:rsidR="00315466" w:rsidRPr="00FD04E1" w:rsidRDefault="001D4E15" w:rsidP="00E4398D">
      <w:pPr>
        <w:pStyle w:val="Heading3"/>
        <w:spacing w:after="120" w:line="276" w:lineRule="auto"/>
        <w:rPr>
          <w:rFonts w:ascii="Verdana" w:hAnsi="Verdana" w:cs="Calibri"/>
          <w:color w:val="auto"/>
          <w:sz w:val="20"/>
          <w:szCs w:val="20"/>
          <w:lang w:val="en-GB"/>
        </w:rPr>
      </w:pPr>
      <w:bookmarkStart w:id="106" w:name="_Toc174559891"/>
      <w:bookmarkStart w:id="107" w:name="_Toc181278038"/>
      <w:r w:rsidRPr="00FD04E1">
        <w:rPr>
          <w:rFonts w:ascii="Verdana" w:hAnsi="Verdana" w:cs="Calibri"/>
          <w:color w:val="auto"/>
          <w:sz w:val="20"/>
          <w:szCs w:val="20"/>
          <w:lang w:val="en-GB"/>
        </w:rPr>
        <w:t>EQ 8. What factors, such as socio-cultural aspects and government policies, influenced or hindered progress in achieving FSL outcomes?</w:t>
      </w:r>
      <w:bookmarkEnd w:id="106"/>
      <w:bookmarkEnd w:id="107"/>
    </w:p>
    <w:p w14:paraId="12B6D103" w14:textId="77777777" w:rsidR="00315466" w:rsidRPr="00A4536F" w:rsidRDefault="001D4E15" w:rsidP="00E4398D">
      <w:pPr>
        <w:spacing w:before="0" w:after="120"/>
        <w:rPr>
          <w:rFonts w:cs="Calibri"/>
          <w:color w:val="auto"/>
          <w:szCs w:val="18"/>
        </w:rPr>
      </w:pPr>
      <w:r w:rsidRPr="00A4536F">
        <w:rPr>
          <w:rFonts w:cs="Calibri"/>
          <w:b/>
          <w:bCs/>
          <w:color w:val="auto"/>
          <w:szCs w:val="18"/>
          <w:u w:val="single"/>
        </w:rPr>
        <w:t>Finding</w:t>
      </w:r>
      <w:r w:rsidRPr="00A4536F">
        <w:rPr>
          <w:rFonts w:cs="Calibri"/>
          <w:b/>
          <w:bCs/>
          <w:color w:val="auto"/>
          <w:szCs w:val="18"/>
        </w:rPr>
        <w:t>: Several socio-cultural aspects and government policies have influenced the interventions under evaluation. By and large, cultural norms have hindered project achievement, while government policies and programmes have promoted the attainment of results.</w:t>
      </w:r>
      <w:r w:rsidRPr="00A4536F">
        <w:rPr>
          <w:rFonts w:cs="Calibri"/>
          <w:color w:val="auto"/>
          <w:szCs w:val="18"/>
        </w:rPr>
        <w:t xml:space="preserve">  </w:t>
      </w:r>
    </w:p>
    <w:p w14:paraId="0A7D21A8" w14:textId="77777777" w:rsidR="00315466" w:rsidRPr="00A4536F" w:rsidRDefault="001D4E15" w:rsidP="00E4398D">
      <w:pPr>
        <w:spacing w:before="0" w:after="120"/>
        <w:rPr>
          <w:rFonts w:cs="Calibri"/>
          <w:color w:val="auto"/>
          <w:szCs w:val="18"/>
        </w:rPr>
      </w:pPr>
      <w:r w:rsidRPr="00A4536F">
        <w:rPr>
          <w:rFonts w:cs="Calibri"/>
          <w:b/>
          <w:bCs/>
          <w:color w:val="auto"/>
          <w:szCs w:val="18"/>
        </w:rPr>
        <w:t xml:space="preserve">Socio-Cultural Practices: </w:t>
      </w:r>
      <w:r w:rsidRPr="00A4536F">
        <w:rPr>
          <w:rFonts w:cs="Calibri"/>
          <w:color w:val="auto"/>
          <w:szCs w:val="18"/>
        </w:rPr>
        <w:t xml:space="preserve">In both countries, traditional gender roles and cultural norms negatively impact women's and girls' access to resources, decision-making power, and participation in economic activities. Indeed, these factors were a hindrance to achieving results. For example, in Turkana, Kenya, interviews with implementing staff, government representatives and FGDs confirmed that cases of rape, defilement, and physical abuse were made worse by traditional leaders who insisted that they should be the gatekeepers to finding a resolution to these types of issues. </w:t>
      </w:r>
    </w:p>
    <w:p w14:paraId="7D80DB08" w14:textId="77777777" w:rsidR="00315466" w:rsidRPr="00A4536F" w:rsidRDefault="001D4E15" w:rsidP="00E4398D">
      <w:pPr>
        <w:spacing w:before="0" w:after="120"/>
        <w:rPr>
          <w:rFonts w:cs="Calibri"/>
          <w:color w:val="auto"/>
          <w:szCs w:val="18"/>
        </w:rPr>
      </w:pPr>
      <w:r w:rsidRPr="00A4536F">
        <w:rPr>
          <w:rFonts w:cs="Calibri"/>
          <w:b/>
          <w:bCs/>
          <w:color w:val="auto"/>
          <w:szCs w:val="18"/>
        </w:rPr>
        <w:t xml:space="preserve">Government policies and programmes: </w:t>
      </w:r>
      <w:r w:rsidRPr="00A4536F">
        <w:rPr>
          <w:rStyle w:val="cf01"/>
          <w:rFonts w:ascii="Verdana" w:hAnsi="Verdana" w:cs="Calibri"/>
          <w:color w:val="auto"/>
        </w:rPr>
        <w:t xml:space="preserve"> AHP FSL interventions collaborate with governments to provide a coordinated and effective response, enhance local capacities, and address the needs of vulnerable individuals.  </w:t>
      </w:r>
      <w:r w:rsidRPr="00A4536F">
        <w:rPr>
          <w:rStyle w:val="CommentReference"/>
          <w:rFonts w:cs="Calibri"/>
          <w:color w:val="auto"/>
        </w:rPr>
        <w:t xml:space="preserve">In Ethiopia and Kenya, the coordination mechanisms at the local </w:t>
      </w:r>
      <w:r w:rsidRPr="00A4536F">
        <w:rPr>
          <w:rStyle w:val="CommentReference"/>
          <w:rFonts w:cs="Calibri"/>
          <w:color w:val="auto"/>
        </w:rPr>
        <w:lastRenderedPageBreak/>
        <w:t>government level, such as Technical Working Groups and Cash Transfer Committees, were instrumental in facilitating the planning and clearance of FSL interventions.</w:t>
      </w:r>
      <w:r w:rsidRPr="00A4536F">
        <w:rPr>
          <w:rFonts w:cs="Calibri"/>
          <w:color w:val="auto"/>
          <w:szCs w:val="18"/>
        </w:rPr>
        <w:t xml:space="preserve"> </w:t>
      </w:r>
    </w:p>
    <w:p w14:paraId="535FBA2A"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Positive initiatives like the government of Kenya's campaign on CLTS and ODF certification processes reinforced the WASH activities, particularly the community awareness about handwashing and hygiene, thus contributing to improved sanitation practices and health outcomes in the target areas in </w:t>
      </w:r>
      <w:proofErr w:type="spellStart"/>
      <w:r w:rsidRPr="00A4536F">
        <w:rPr>
          <w:rFonts w:cs="Calibri"/>
          <w:color w:val="auto"/>
          <w:szCs w:val="18"/>
        </w:rPr>
        <w:t>Marsabit</w:t>
      </w:r>
      <w:proofErr w:type="spellEnd"/>
      <w:r w:rsidRPr="00A4536F">
        <w:rPr>
          <w:rFonts w:cs="Calibri"/>
          <w:color w:val="auto"/>
          <w:szCs w:val="18"/>
        </w:rPr>
        <w:t xml:space="preserve"> Kenya, which served to reinforce the activities under evaluation.</w:t>
      </w:r>
    </w:p>
    <w:p w14:paraId="6927B542" w14:textId="07F7D717" w:rsidR="00315466" w:rsidRPr="00A4536F" w:rsidRDefault="001D4E15" w:rsidP="00E4398D">
      <w:pPr>
        <w:spacing w:before="0" w:after="120"/>
        <w:rPr>
          <w:rFonts w:cs="Calibri"/>
          <w:color w:val="auto"/>
          <w:szCs w:val="18"/>
        </w:rPr>
      </w:pPr>
      <w:r w:rsidRPr="00A4536F">
        <w:rPr>
          <w:rFonts w:cs="Calibri"/>
          <w:color w:val="auto"/>
          <w:szCs w:val="18"/>
        </w:rPr>
        <w:t>Political goodwill from local leadership in both Kenya and Ethiopia was also a facilitating factor. For example, in Kenya, the FSL programme was embraced by the Community Chiefs and Sub-Chiefs. In Kenya, local chiefs are staff of the Office of the President and hence their positions garner considerable respect. Their willingness to get involved in community mobilisation, selection of beneficiaries and follow-up, facilitated a quick buy-in by the communities. In Ethiopia and Kenya</w:t>
      </w:r>
      <w:r w:rsidR="003A0B31">
        <w:rPr>
          <w:rFonts w:cs="Calibri"/>
          <w:color w:val="auto"/>
          <w:szCs w:val="18"/>
        </w:rPr>
        <w:t>,</w:t>
      </w:r>
      <w:r w:rsidRPr="00A4536F">
        <w:rPr>
          <w:rFonts w:cs="Calibri"/>
          <w:color w:val="auto"/>
          <w:szCs w:val="18"/>
        </w:rPr>
        <w:t xml:space="preserve"> the involvement and support from kebele leadership, and in Kenya traditional structures such as clan elders, were also facilitating factors.</w:t>
      </w:r>
    </w:p>
    <w:p w14:paraId="5AF90F0C" w14:textId="77777777" w:rsidR="00315466" w:rsidRPr="00A4536F" w:rsidRDefault="001D4E15" w:rsidP="00E4398D">
      <w:pPr>
        <w:spacing w:before="0" w:after="120"/>
        <w:rPr>
          <w:rFonts w:cs="Calibri"/>
          <w:color w:val="auto"/>
          <w:szCs w:val="18"/>
        </w:rPr>
      </w:pPr>
      <w:r w:rsidRPr="00A4536F">
        <w:rPr>
          <w:rFonts w:cs="Calibri"/>
          <w:b/>
          <w:bCs/>
          <w:color w:val="auto"/>
          <w:szCs w:val="18"/>
        </w:rPr>
        <w:t>Economic factors</w:t>
      </w:r>
      <w:r w:rsidRPr="00A4536F">
        <w:rPr>
          <w:rFonts w:cs="Calibri"/>
          <w:color w:val="auto"/>
          <w:szCs w:val="18"/>
        </w:rPr>
        <w:t xml:space="preserve">:  In Ethiopia, market inflation during the intervention period affected the costs of implementing the project. As an example, the cash transfer amounts per cycle needed to be increased, and the costs for fuel and other supplies provided to the beneficiaries went up. This led to adjustments in workplan schedules and budget. </w:t>
      </w:r>
    </w:p>
    <w:p w14:paraId="3411A852" w14:textId="77777777" w:rsidR="00315466" w:rsidRPr="00FD4F9A" w:rsidRDefault="001D4E15" w:rsidP="00E4398D">
      <w:pPr>
        <w:pStyle w:val="Heading3"/>
        <w:spacing w:after="120" w:line="276" w:lineRule="auto"/>
        <w:rPr>
          <w:rFonts w:ascii="Verdana" w:hAnsi="Verdana" w:cs="Calibri"/>
          <w:color w:val="auto"/>
          <w:sz w:val="20"/>
          <w:szCs w:val="20"/>
          <w:lang w:val="en-GB"/>
        </w:rPr>
      </w:pPr>
      <w:bookmarkStart w:id="108" w:name="_Toc174559892"/>
      <w:bookmarkStart w:id="109" w:name="_Toc181278039"/>
      <w:r w:rsidRPr="00FD4F9A">
        <w:rPr>
          <w:rFonts w:ascii="Verdana" w:hAnsi="Verdana" w:cs="Calibri"/>
          <w:color w:val="auto"/>
          <w:sz w:val="20"/>
          <w:szCs w:val="20"/>
          <w:lang w:val="en-GB"/>
        </w:rPr>
        <w:t>EQ 9. To what extent did the interventions provide protection for drought-affected individuals, and how effective were referral pathways and psychosocial support?</w:t>
      </w:r>
      <w:bookmarkEnd w:id="108"/>
      <w:bookmarkEnd w:id="109"/>
    </w:p>
    <w:p w14:paraId="24731A8C" w14:textId="77777777" w:rsidR="00315466" w:rsidRPr="00A4536F" w:rsidRDefault="001D4E15" w:rsidP="00E4398D">
      <w:pPr>
        <w:spacing w:before="0" w:after="120"/>
        <w:rPr>
          <w:rFonts w:cs="Calibri"/>
          <w:b/>
          <w:bCs/>
          <w:color w:val="auto"/>
          <w:szCs w:val="18"/>
        </w:rPr>
      </w:pPr>
      <w:r w:rsidRPr="00A4536F">
        <w:rPr>
          <w:rFonts w:cs="Calibri"/>
          <w:b/>
          <w:bCs/>
          <w:color w:val="auto"/>
          <w:szCs w:val="18"/>
          <w:u w:val="single"/>
        </w:rPr>
        <w:t>Finding</w:t>
      </w:r>
      <w:r w:rsidRPr="00A4536F">
        <w:rPr>
          <w:rFonts w:cs="Calibri"/>
          <w:b/>
          <w:bCs/>
          <w:color w:val="auto"/>
          <w:szCs w:val="18"/>
        </w:rPr>
        <w:t xml:space="preserve">: </w:t>
      </w:r>
      <w:r w:rsidRPr="00A4536F">
        <w:rPr>
          <w:rFonts w:cs="Calibri"/>
          <w:color w:val="auto"/>
          <w:szCs w:val="18"/>
        </w:rPr>
        <w:t xml:space="preserve"> </w:t>
      </w:r>
      <w:r w:rsidRPr="00A4536F">
        <w:rPr>
          <w:rFonts w:cs="Calibri"/>
          <w:b/>
          <w:bCs/>
          <w:color w:val="auto"/>
          <w:szCs w:val="18"/>
        </w:rPr>
        <w:t xml:space="preserve">Providing cash support to beneficiaries that are victims of, or at risk of violence, to access protection services, as well as referrals, community awareness and training for health and social workers constituted the major activities under the protection theme of the FSL interventions.  The referral pathway showed good results, but also experienced some important challenges. </w:t>
      </w:r>
    </w:p>
    <w:p w14:paraId="6ECE2EA5"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This question explores the degree to which implemented activities provided protection for individuals; and how successful the referral pathways and psychosocial support have been for the affected individuals. </w:t>
      </w:r>
    </w:p>
    <w:p w14:paraId="3B1129A7" w14:textId="77777777" w:rsidR="00315466" w:rsidRPr="00A4536F" w:rsidRDefault="001D4E15" w:rsidP="00E4398D">
      <w:pPr>
        <w:spacing w:before="0" w:after="120"/>
        <w:rPr>
          <w:rFonts w:eastAsia="SimSun" w:cs="Calibri"/>
          <w:color w:val="auto"/>
          <w:szCs w:val="18"/>
          <w:shd w:val="clear" w:color="auto" w:fill="FFFFFF"/>
        </w:rPr>
      </w:pPr>
      <w:r w:rsidRPr="00A4536F">
        <w:rPr>
          <w:rFonts w:cs="Calibri"/>
          <w:color w:val="auto"/>
          <w:szCs w:val="18"/>
        </w:rPr>
        <w:t xml:space="preserve">PIE's FSL protection component in Ethiopia encompassed various services such as cash assistance, protection referrals, community awareness, capacity building, and psychosocial support for all genders and ages. </w:t>
      </w:r>
      <w:r w:rsidRPr="00A4536F">
        <w:rPr>
          <w:rFonts w:eastAsia="SimSun" w:cs="Calibri"/>
          <w:color w:val="auto"/>
          <w:szCs w:val="18"/>
          <w:shd w:val="clear" w:color="auto" w:fill="FFFFFF"/>
        </w:rPr>
        <w:t>PIE and SCIE have strengthened health systems, provided training for health workers, and set up support groups to ensure mental health and psychosocial support. They have also put in place measures to protect children, including community-based case management and referral pathways to address gender-based violence and ensure comprehensive care.</w:t>
      </w:r>
    </w:p>
    <w:p w14:paraId="76E05C36"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Oxfam's services in Ethiopia included community awareness, dignity kits distribution, emergency cash aid, psychosocial support, and gender-responsive protection mechanisms for conflict and drought-affected communities. In Kenya, Oxfam conducted gender analysis, </w:t>
      </w:r>
      <w:proofErr w:type="gramStart"/>
      <w:r w:rsidRPr="00A4536F">
        <w:rPr>
          <w:rFonts w:cs="Calibri"/>
          <w:color w:val="auto"/>
          <w:szCs w:val="18"/>
        </w:rPr>
        <w:t>identified</w:t>
      </w:r>
      <w:proofErr w:type="gramEnd"/>
      <w:r w:rsidRPr="00A4536F">
        <w:rPr>
          <w:rFonts w:cs="Calibri"/>
          <w:color w:val="auto"/>
          <w:szCs w:val="18"/>
        </w:rPr>
        <w:t xml:space="preserve"> and supported GBV survivors, mapped protection pathways, raised community awareness on GBV, provided safe spaces, and offered skills training for vulnerable households, as well as for selected staff such as social welfare officers and healthcare service providers. These initiatives were intended to protect vulnerable populations and assist survivors in accessing essential protection services in both countries.</w:t>
      </w:r>
    </w:p>
    <w:p w14:paraId="13FFE2E1"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The effectiveness of the referral pathways in FSL interventions can be attributed to deliberate capacity-building, community engagement, and strategic coordination. Oxfam Ethiopia, for example, empowered participants with training on protection and rights, updated referral systems, and facilitated workshops to ensure well-coordinated responses. PIE integrated child-sensitive MPCA with nutrition and protection interventions, reinforcing community-based case management and ensuring comprehensive support for children. Oxfam Kenya mapped and coordinated protection services in </w:t>
      </w:r>
      <w:proofErr w:type="spellStart"/>
      <w:r w:rsidRPr="00A4536F">
        <w:rPr>
          <w:rFonts w:cs="Calibri"/>
          <w:color w:val="auto"/>
          <w:szCs w:val="18"/>
        </w:rPr>
        <w:t>Marsabit</w:t>
      </w:r>
      <w:proofErr w:type="spellEnd"/>
      <w:r w:rsidRPr="00A4536F">
        <w:rPr>
          <w:rFonts w:cs="Calibri"/>
          <w:color w:val="auto"/>
          <w:szCs w:val="18"/>
        </w:rPr>
        <w:t xml:space="preserve"> County, created service directories, and addressed access challenges through community and service provider collaboration. These elements collectively ensured that protection services were accessible, well-coordinated, and responsive to the needs of vulnerable populations, maximising the impact of the interventions.</w:t>
      </w:r>
    </w:p>
    <w:p w14:paraId="183E6F97" w14:textId="77777777" w:rsidR="00315466" w:rsidRPr="00A4536F" w:rsidRDefault="001D4E15" w:rsidP="00E4398D">
      <w:pPr>
        <w:spacing w:before="0" w:after="120"/>
        <w:rPr>
          <w:rFonts w:cs="Calibri"/>
          <w:color w:val="auto"/>
          <w:szCs w:val="18"/>
        </w:rPr>
      </w:pPr>
      <w:r w:rsidRPr="00A4536F">
        <w:rPr>
          <w:rFonts w:cs="Calibri"/>
          <w:color w:val="auto"/>
          <w:szCs w:val="18"/>
        </w:rPr>
        <w:lastRenderedPageBreak/>
        <w:t>However, l</w:t>
      </w:r>
      <w:r w:rsidRPr="00A4536F">
        <w:rPr>
          <w:rFonts w:cs="Calibri"/>
          <w:color w:val="auto"/>
          <w:szCs w:val="18"/>
          <w:lang w:eastAsia="zh-TW"/>
        </w:rPr>
        <w:t xml:space="preserve">imited availability and accessibility of psychosocial support services, particularly in remote </w:t>
      </w:r>
      <w:r w:rsidRPr="00A4536F">
        <w:rPr>
          <w:rFonts w:cs="Calibri"/>
          <w:color w:val="auto"/>
          <w:szCs w:val="18"/>
        </w:rPr>
        <w:t xml:space="preserve">and hard to reach </w:t>
      </w:r>
      <w:r w:rsidRPr="00A4536F">
        <w:rPr>
          <w:rFonts w:cs="Calibri"/>
          <w:color w:val="auto"/>
          <w:szCs w:val="18"/>
          <w:lang w:eastAsia="zh-TW"/>
        </w:rPr>
        <w:t xml:space="preserve">communities where there is a scarcity of mental health professionals, counsellors, and support structures, hinder </w:t>
      </w:r>
      <w:proofErr w:type="gramStart"/>
      <w:r w:rsidRPr="00A4536F">
        <w:rPr>
          <w:rFonts w:cs="Calibri"/>
          <w:color w:val="auto"/>
          <w:szCs w:val="18"/>
          <w:lang w:eastAsia="zh-TW"/>
        </w:rPr>
        <w:t>healing</w:t>
      </w:r>
      <w:proofErr w:type="gramEnd"/>
      <w:r w:rsidRPr="00A4536F">
        <w:rPr>
          <w:rFonts w:cs="Calibri"/>
          <w:color w:val="auto"/>
          <w:szCs w:val="18"/>
          <w:lang w:eastAsia="zh-TW"/>
        </w:rPr>
        <w:t xml:space="preserve"> and long-term recovery for survivors of trauma and violence. </w:t>
      </w:r>
    </w:p>
    <w:p w14:paraId="5AB2644D" w14:textId="77777777" w:rsidR="00315466" w:rsidRPr="00A4536F" w:rsidRDefault="001D4E15" w:rsidP="00E4398D">
      <w:pPr>
        <w:spacing w:before="0" w:after="120"/>
        <w:rPr>
          <w:rFonts w:cs="Calibri"/>
          <w:color w:val="auto"/>
          <w:szCs w:val="18"/>
        </w:rPr>
      </w:pPr>
      <w:r w:rsidRPr="00A4536F">
        <w:rPr>
          <w:rFonts w:cs="Calibri"/>
          <w:color w:val="auto"/>
          <w:szCs w:val="18"/>
        </w:rPr>
        <w:t>Despite notable steps forward, some</w:t>
      </w:r>
      <w:r w:rsidRPr="00A4536F">
        <w:rPr>
          <w:rFonts w:cs="Calibri"/>
          <w:color w:val="auto"/>
          <w:szCs w:val="18"/>
          <w:lang w:eastAsia="zh-TW"/>
        </w:rPr>
        <w:t xml:space="preserve"> challenges persisted.  Specifically, in some areas, like Turkana, beneficiaries highlighted that </w:t>
      </w:r>
      <w:r w:rsidRPr="00A4536F">
        <w:rPr>
          <w:rFonts w:cs="Calibri"/>
          <w:color w:val="auto"/>
          <w:szCs w:val="18"/>
        </w:rPr>
        <w:t xml:space="preserve">underreporting of GBV cases remained a significant issue, primarily due to cultural barriers, particularly local </w:t>
      </w:r>
      <w:proofErr w:type="gramStart"/>
      <w:r w:rsidRPr="00A4536F">
        <w:rPr>
          <w:rFonts w:cs="Calibri"/>
          <w:color w:val="auto"/>
          <w:szCs w:val="18"/>
        </w:rPr>
        <w:t>customs</w:t>
      </w:r>
      <w:proofErr w:type="gramEnd"/>
      <w:r w:rsidRPr="00A4536F">
        <w:rPr>
          <w:rFonts w:cs="Calibri"/>
          <w:color w:val="auto"/>
          <w:szCs w:val="18"/>
        </w:rPr>
        <w:t xml:space="preserve"> and traditional dispute resolution mechanisms, which are opposed to women and girls reporting GBV to police and other formal protection mechanisms, due to fear of reprisal, stigma, and lack of trust in formal reporting systems. </w:t>
      </w:r>
      <w:proofErr w:type="gramStart"/>
      <w:r w:rsidRPr="00A4536F">
        <w:rPr>
          <w:rFonts w:cs="Calibri"/>
          <w:color w:val="auto"/>
          <w:szCs w:val="18"/>
        </w:rPr>
        <w:t>The majority of</w:t>
      </w:r>
      <w:proofErr w:type="gramEnd"/>
      <w:r w:rsidRPr="00A4536F">
        <w:rPr>
          <w:rFonts w:cs="Calibri"/>
          <w:color w:val="auto"/>
          <w:szCs w:val="18"/>
        </w:rPr>
        <w:t xml:space="preserve"> key informants’ interviews in Kenya raised the issue of remoteness of intervention sites and the absence of public servants like social workers, clinical and other health workers, counsellors, etc., resulting in ineffective GBV and protection referral pathways.  In Ethiopia, despite the achievements mentioned above, gaps remain in consistently reaching </w:t>
      </w:r>
      <w:proofErr w:type="gramStart"/>
      <w:r w:rsidRPr="00A4536F">
        <w:rPr>
          <w:rFonts w:cs="Calibri"/>
          <w:color w:val="auto"/>
          <w:szCs w:val="18"/>
        </w:rPr>
        <w:t>the majority of</w:t>
      </w:r>
      <w:proofErr w:type="gramEnd"/>
      <w:r w:rsidRPr="00A4536F">
        <w:rPr>
          <w:rFonts w:cs="Calibri"/>
          <w:color w:val="auto"/>
          <w:szCs w:val="18"/>
        </w:rPr>
        <w:t xml:space="preserve"> remote areas and expanding mental health services to meet the high demand, particularly in the Tigray region, resulting from post-conflict trauma, stress and other mental health issues.     </w:t>
      </w:r>
    </w:p>
    <w:p w14:paraId="0F97E0E7" w14:textId="767E41FA" w:rsidR="00FD4F9A" w:rsidRPr="00973EFD" w:rsidRDefault="001D4E15" w:rsidP="00973EFD">
      <w:pPr>
        <w:pStyle w:val="Heading2"/>
        <w:spacing w:before="0" w:after="240" w:line="240" w:lineRule="auto"/>
        <w:rPr>
          <w:rFonts w:ascii="Verdana" w:hAnsi="Verdana"/>
          <w:sz w:val="24"/>
          <w:szCs w:val="24"/>
        </w:rPr>
      </w:pPr>
      <w:bookmarkStart w:id="110" w:name="_Toc174559893"/>
      <w:bookmarkStart w:id="111" w:name="_Toc181278040"/>
      <w:bookmarkStart w:id="112" w:name="_Hlk168563822"/>
      <w:r w:rsidRPr="00FD4F9A">
        <w:rPr>
          <w:rFonts w:ascii="Verdana" w:hAnsi="Verdana"/>
          <w:sz w:val="24"/>
          <w:szCs w:val="24"/>
        </w:rPr>
        <w:t>3.4 Efficiency</w:t>
      </w:r>
      <w:bookmarkEnd w:id="110"/>
      <w:bookmarkEnd w:id="111"/>
    </w:p>
    <w:p w14:paraId="6960EBCC" w14:textId="2F01EE3C" w:rsidR="00FD4F9A" w:rsidRPr="00973EFD" w:rsidRDefault="001D4E15" w:rsidP="00973EFD">
      <w:pPr>
        <w:spacing w:before="0" w:line="240" w:lineRule="auto"/>
        <w:rPr>
          <w:rFonts w:cs="Calibri"/>
          <w:color w:val="auto"/>
          <w:szCs w:val="18"/>
        </w:rPr>
      </w:pPr>
      <w:r w:rsidRPr="00A4536F">
        <w:rPr>
          <w:rFonts w:cs="Calibri"/>
          <w:color w:val="auto"/>
          <w:szCs w:val="18"/>
        </w:rPr>
        <w:t xml:space="preserve">Efficiency measures the outputs -- qualitative and quantitative -- in relation to the inputs. It is an economic term which signifies that the aid uses the least costly resources possible </w:t>
      </w:r>
      <w:proofErr w:type="gramStart"/>
      <w:r w:rsidRPr="00A4536F">
        <w:rPr>
          <w:rFonts w:cs="Calibri"/>
          <w:color w:val="auto"/>
          <w:szCs w:val="18"/>
        </w:rPr>
        <w:t>in order to</w:t>
      </w:r>
      <w:proofErr w:type="gramEnd"/>
      <w:r w:rsidRPr="00A4536F">
        <w:rPr>
          <w:rFonts w:cs="Calibri"/>
          <w:color w:val="auto"/>
          <w:szCs w:val="18"/>
        </w:rPr>
        <w:t xml:space="preserve"> achieve the desired results. This generally requires comparing alternative approaches to achieving the same outputs, to see whether the most efficient process has been adopted.</w:t>
      </w:r>
      <w:r w:rsidRPr="00A4536F">
        <w:rPr>
          <w:rStyle w:val="FootnoteReference"/>
          <w:rFonts w:cs="Calibri"/>
          <w:bCs/>
          <w:color w:val="auto"/>
          <w:szCs w:val="18"/>
        </w:rPr>
        <w:footnoteReference w:id="15"/>
      </w:r>
      <w:r w:rsidRPr="00A4536F">
        <w:rPr>
          <w:rFonts w:cs="Calibri"/>
          <w:color w:val="auto"/>
          <w:szCs w:val="18"/>
        </w:rPr>
        <w:t xml:space="preserve">  This sub-section focuses on responding to the question below.</w:t>
      </w:r>
    </w:p>
    <w:p w14:paraId="3C1E38A6" w14:textId="77777777" w:rsidR="00315466" w:rsidRPr="00FD4F9A" w:rsidRDefault="001D4E15" w:rsidP="00E4398D">
      <w:pPr>
        <w:pStyle w:val="Heading3"/>
        <w:spacing w:after="120" w:line="276" w:lineRule="auto"/>
        <w:rPr>
          <w:rFonts w:ascii="Verdana" w:hAnsi="Verdana" w:cs="Calibri"/>
          <w:color w:val="auto"/>
          <w:sz w:val="20"/>
          <w:szCs w:val="20"/>
          <w:lang w:val="en-GB"/>
        </w:rPr>
      </w:pPr>
      <w:bookmarkStart w:id="113" w:name="_Toc165310815"/>
      <w:bookmarkStart w:id="114" w:name="_Toc174559894"/>
      <w:bookmarkStart w:id="115" w:name="_Toc181278041"/>
      <w:r w:rsidRPr="00FD4F9A">
        <w:rPr>
          <w:rFonts w:ascii="Verdana" w:hAnsi="Verdana" w:cs="Calibri"/>
          <w:color w:val="auto"/>
          <w:sz w:val="20"/>
          <w:szCs w:val="20"/>
          <w:lang w:val="en-GB"/>
        </w:rPr>
        <w:t>EQ 10: How efficiently and promptly were the FSL interventions delivered?</w:t>
      </w:r>
      <w:bookmarkEnd w:id="113"/>
      <w:bookmarkEnd w:id="114"/>
      <w:bookmarkEnd w:id="115"/>
    </w:p>
    <w:p w14:paraId="6E7016A3" w14:textId="77777777" w:rsidR="00315466" w:rsidRPr="00A4536F" w:rsidRDefault="001D4E15" w:rsidP="00E4398D">
      <w:pPr>
        <w:spacing w:before="0" w:after="120"/>
        <w:rPr>
          <w:rFonts w:cs="Calibri"/>
          <w:b/>
          <w:bCs/>
          <w:color w:val="auto"/>
          <w:szCs w:val="18"/>
        </w:rPr>
      </w:pPr>
      <w:r w:rsidRPr="00A4536F">
        <w:rPr>
          <w:rFonts w:cs="Calibri"/>
          <w:b/>
          <w:bCs/>
          <w:color w:val="auto"/>
          <w:szCs w:val="18"/>
          <w:u w:val="single"/>
        </w:rPr>
        <w:t>Finding</w:t>
      </w:r>
      <w:r w:rsidRPr="00A4536F">
        <w:rPr>
          <w:rFonts w:cs="Calibri"/>
          <w:b/>
          <w:bCs/>
          <w:color w:val="auto"/>
          <w:szCs w:val="18"/>
        </w:rPr>
        <w:t xml:space="preserve">: While the project demonstrated efficiency in certain aspects, like procurement, budget utilisation, and prompt supply of items and cash assistance, there were notable challenges in timely and efficient seed distribution, community engagement in </w:t>
      </w:r>
      <w:proofErr w:type="spellStart"/>
      <w:r w:rsidRPr="00A4536F">
        <w:rPr>
          <w:rFonts w:cs="Calibri"/>
          <w:b/>
          <w:bCs/>
          <w:color w:val="auto"/>
          <w:szCs w:val="18"/>
        </w:rPr>
        <w:t>Borena</w:t>
      </w:r>
      <w:proofErr w:type="spellEnd"/>
      <w:r w:rsidRPr="00A4536F">
        <w:rPr>
          <w:rFonts w:cs="Calibri"/>
          <w:b/>
          <w:bCs/>
          <w:color w:val="auto"/>
          <w:szCs w:val="18"/>
        </w:rPr>
        <w:t xml:space="preserve"> Zone, and logistical barriers in some areas like Afar region.</w:t>
      </w:r>
    </w:p>
    <w:p w14:paraId="66F6F469" w14:textId="77777777" w:rsidR="00315466" w:rsidRPr="00A4536F" w:rsidRDefault="001D4E15" w:rsidP="00E4398D">
      <w:pPr>
        <w:spacing w:before="0" w:after="120"/>
        <w:rPr>
          <w:rFonts w:cs="Calibri"/>
          <w:color w:val="auto"/>
          <w:szCs w:val="18"/>
        </w:rPr>
      </w:pPr>
      <w:r w:rsidRPr="00A4536F">
        <w:rPr>
          <w:rFonts w:cs="Calibri"/>
          <w:color w:val="auto"/>
          <w:szCs w:val="18"/>
        </w:rPr>
        <w:t>The FSL interventions across these projects have shown a strategic approach to fund utilisation, ensuring resources are deployed to maximise impact. By aligning expenditures with critical milestones and conducting continuous performance evaluations, the projects have used budget resources efficiently, supporting both immediate needs and long-term improvements in food security, livelihoods, nutrition, and protection.</w:t>
      </w:r>
    </w:p>
    <w:p w14:paraId="2B0B5842" w14:textId="77777777" w:rsidR="00315466" w:rsidRPr="00A4536F" w:rsidRDefault="001D4E15" w:rsidP="00E4398D">
      <w:pPr>
        <w:spacing w:before="0" w:after="120"/>
        <w:rPr>
          <w:rFonts w:cs="Calibri"/>
          <w:color w:val="auto"/>
          <w:szCs w:val="18"/>
        </w:rPr>
      </w:pPr>
      <w:r w:rsidRPr="00A4536F">
        <w:rPr>
          <w:rFonts w:cs="Calibri"/>
          <w:color w:val="auto"/>
          <w:szCs w:val="18"/>
        </w:rPr>
        <w:t>Plan International and its partners in Ethiopia effectively managed project funds to achieve impactful outcomes:</w:t>
      </w:r>
    </w:p>
    <w:p w14:paraId="6D4595F8" w14:textId="77777777" w:rsidR="00315466" w:rsidRPr="00A4536F" w:rsidRDefault="001D4E15" w:rsidP="00D41C74">
      <w:pPr>
        <w:pStyle w:val="ListParagraph"/>
        <w:numPr>
          <w:ilvl w:val="0"/>
          <w:numId w:val="69"/>
        </w:numPr>
        <w:spacing w:after="120"/>
        <w:rPr>
          <w:rFonts w:ascii="Verdana" w:hAnsi="Verdana" w:cs="Calibri"/>
          <w:sz w:val="18"/>
          <w:szCs w:val="18"/>
        </w:rPr>
      </w:pPr>
      <w:r w:rsidRPr="00A4536F">
        <w:rPr>
          <w:rFonts w:ascii="Verdana" w:hAnsi="Verdana" w:cs="Calibri"/>
          <w:sz w:val="18"/>
          <w:szCs w:val="18"/>
        </w:rPr>
        <w:t>PIE &amp; ANE: Initial underspending by PIE and ANE was addressed through enhanced capacity to liquidate expenses promptly, achieved via regular discussions and acceleration plans. By January 2024, ANE improved operational efficiency, ensuring timely activity implementation and fund utilisation to support targeted beneficiaries.</w:t>
      </w:r>
    </w:p>
    <w:p w14:paraId="21973B90" w14:textId="77777777" w:rsidR="00315466" w:rsidRPr="00A4536F" w:rsidRDefault="001D4E15" w:rsidP="00D41C74">
      <w:pPr>
        <w:pStyle w:val="ListParagraph"/>
        <w:numPr>
          <w:ilvl w:val="0"/>
          <w:numId w:val="69"/>
        </w:numPr>
        <w:spacing w:after="120"/>
        <w:rPr>
          <w:rFonts w:ascii="Verdana" w:hAnsi="Verdana" w:cs="Calibri"/>
          <w:sz w:val="18"/>
          <w:szCs w:val="18"/>
        </w:rPr>
      </w:pPr>
      <w:r w:rsidRPr="00A4536F">
        <w:rPr>
          <w:rFonts w:ascii="Verdana" w:hAnsi="Verdana" w:cs="Calibri"/>
          <w:sz w:val="18"/>
          <w:szCs w:val="18"/>
        </w:rPr>
        <w:t>SCI &amp; PIADO: Major spending was strategically scheduled from January to March 2024, aligning with critical activities like cash distributions. This timing ensured optimal resource utilisation. For example, providing early maturing, drought-resistant chickpea seeds and poultry to vulnerable households addressed immediate food security needs and promoted long-term agricultural sustainability.</w:t>
      </w:r>
    </w:p>
    <w:p w14:paraId="671A4753" w14:textId="77777777" w:rsidR="00315466" w:rsidRPr="00A4536F" w:rsidRDefault="001D4E15" w:rsidP="00D41C74">
      <w:pPr>
        <w:pStyle w:val="NormalWeb"/>
        <w:numPr>
          <w:ilvl w:val="0"/>
          <w:numId w:val="69"/>
        </w:numPr>
        <w:spacing w:before="0" w:beforeAutospacing="0" w:after="120" w:afterAutospacing="0" w:line="276" w:lineRule="auto"/>
        <w:rPr>
          <w:rFonts w:ascii="Verdana" w:hAnsi="Verdana" w:cs="Calibri"/>
          <w:color w:val="auto"/>
          <w:sz w:val="18"/>
          <w:szCs w:val="18"/>
        </w:rPr>
      </w:pPr>
      <w:r w:rsidRPr="00A4536F">
        <w:rPr>
          <w:rStyle w:val="CommentReference"/>
          <w:rFonts w:ascii="Verdana" w:eastAsia="Verdana" w:hAnsi="Verdana" w:cs="Calibri"/>
          <w:color w:val="auto"/>
        </w:rPr>
        <w:t xml:space="preserve">The Plan International-led consortium's MPCA interventions allocated resources more effectively by selecting beneficiaries transparently and impartially. An independent party first made a master list based on agreed criteria, which the MEAL team checked through a 10% door-to-door survey of the 1,611 target households. The project only included the most vulnerable households by restarting the process if 3% of the sample did not meet the criteria. This rigorous validation process minimized errors, guaranteed impartial evaluation </w:t>
      </w:r>
      <w:r w:rsidRPr="00A4536F">
        <w:rPr>
          <w:rStyle w:val="CommentReference"/>
          <w:rFonts w:ascii="Verdana" w:eastAsia="Verdana" w:hAnsi="Verdana" w:cs="Calibri"/>
          <w:color w:val="auto"/>
        </w:rPr>
        <w:lastRenderedPageBreak/>
        <w:t>of potential beneficiaries, and streamlined the intervention, ultimately resulting in a more effective use of resources.</w:t>
      </w:r>
    </w:p>
    <w:p w14:paraId="41D4CF84"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Oxfam Ethiopia</w:t>
      </w:r>
    </w:p>
    <w:p w14:paraId="1C29CA61" w14:textId="77777777" w:rsidR="00315466" w:rsidRPr="00A4536F" w:rsidRDefault="001D4E15" w:rsidP="00E4398D">
      <w:pPr>
        <w:spacing w:before="0" w:after="120"/>
        <w:rPr>
          <w:rFonts w:cs="Calibri"/>
          <w:color w:val="auto"/>
          <w:szCs w:val="18"/>
        </w:rPr>
      </w:pPr>
      <w:r w:rsidRPr="00A4536F">
        <w:rPr>
          <w:rFonts w:cs="Calibri"/>
          <w:color w:val="auto"/>
          <w:szCs w:val="18"/>
        </w:rPr>
        <w:t>Oxfam Ethiopia’s expenditure reflects a targeted approach, ensuring efficient use of funds to generate significant results:</w:t>
      </w:r>
    </w:p>
    <w:p w14:paraId="0A45B366" w14:textId="77777777" w:rsidR="00315466" w:rsidRPr="00A4536F" w:rsidRDefault="001D4E15" w:rsidP="00D41C74">
      <w:pPr>
        <w:pStyle w:val="ListParagraph"/>
        <w:numPr>
          <w:ilvl w:val="0"/>
          <w:numId w:val="70"/>
        </w:numPr>
        <w:spacing w:after="120"/>
        <w:rPr>
          <w:rFonts w:ascii="Verdana" w:hAnsi="Verdana" w:cs="Calibri"/>
          <w:sz w:val="18"/>
          <w:szCs w:val="18"/>
        </w:rPr>
      </w:pPr>
      <w:r w:rsidRPr="00A4536F">
        <w:rPr>
          <w:rFonts w:ascii="Verdana" w:hAnsi="Verdana" w:cs="Calibri"/>
          <w:sz w:val="18"/>
          <w:szCs w:val="18"/>
        </w:rPr>
        <w:t>Nutrition: High spending on nutritional activities resulted in substantial benefits, including nutritional screening, treatment, and food distribution. Planned MPCA distributions for November and December further enhanced outcomes, improving nutritional status and empowering households through dietary diversity training.</w:t>
      </w:r>
    </w:p>
    <w:p w14:paraId="2F000076" w14:textId="77777777" w:rsidR="00315466" w:rsidRPr="00A4536F" w:rsidRDefault="001D4E15" w:rsidP="00D41C74">
      <w:pPr>
        <w:pStyle w:val="ListParagraph"/>
        <w:numPr>
          <w:ilvl w:val="0"/>
          <w:numId w:val="70"/>
        </w:numPr>
        <w:spacing w:after="120"/>
        <w:rPr>
          <w:rFonts w:ascii="Verdana" w:hAnsi="Verdana" w:cs="Calibri"/>
          <w:sz w:val="18"/>
          <w:szCs w:val="18"/>
        </w:rPr>
      </w:pPr>
      <w:r w:rsidRPr="00A4536F">
        <w:rPr>
          <w:rFonts w:ascii="Verdana" w:hAnsi="Verdana" w:cs="Calibri"/>
          <w:sz w:val="18"/>
          <w:szCs w:val="18"/>
        </w:rPr>
        <w:t>Livelihoods: Initial spending focused on preparatory activities, with substantial expenditures planned for early 2024. This included agricultural inputs and SACCOs transfers, ensuring resources were used at critical times to maximise livelihood impact, supporting agricultural activities during optimal planting seasons.</w:t>
      </w:r>
    </w:p>
    <w:p w14:paraId="2E1E6F62" w14:textId="77777777" w:rsidR="00315466" w:rsidRPr="00A4536F" w:rsidRDefault="001D4E15" w:rsidP="00D41C74">
      <w:pPr>
        <w:pStyle w:val="ListParagraph"/>
        <w:numPr>
          <w:ilvl w:val="0"/>
          <w:numId w:val="70"/>
        </w:numPr>
        <w:spacing w:after="120"/>
        <w:rPr>
          <w:rFonts w:ascii="Verdana" w:hAnsi="Verdana" w:cs="Calibri"/>
          <w:sz w:val="18"/>
          <w:szCs w:val="18"/>
        </w:rPr>
      </w:pPr>
      <w:r w:rsidRPr="00A4536F">
        <w:rPr>
          <w:rFonts w:ascii="Verdana" w:hAnsi="Verdana" w:cs="Calibri"/>
          <w:sz w:val="18"/>
          <w:szCs w:val="18"/>
        </w:rPr>
        <w:t>Protection: Early spending on preparation and capacity strengthening set the stage for significant upcoming activities, like dignity kit distribution and community awareness sessions. This ensured efficient use of resources to build protection capacity and respond to community needs, safeguarding vulnerable groups.</w:t>
      </w:r>
    </w:p>
    <w:p w14:paraId="60A3C523" w14:textId="77777777" w:rsidR="00315466" w:rsidRPr="00A4536F" w:rsidRDefault="001D4E15" w:rsidP="00D41C74">
      <w:pPr>
        <w:pStyle w:val="ListParagraph"/>
        <w:numPr>
          <w:ilvl w:val="0"/>
          <w:numId w:val="70"/>
        </w:numPr>
        <w:spacing w:after="120"/>
        <w:rPr>
          <w:rFonts w:ascii="Verdana" w:hAnsi="Verdana" w:cs="Calibri"/>
          <w:sz w:val="18"/>
          <w:szCs w:val="18"/>
        </w:rPr>
      </w:pPr>
      <w:r w:rsidRPr="00A4536F">
        <w:rPr>
          <w:rFonts w:ascii="Verdana" w:hAnsi="Verdana" w:cs="Calibri"/>
          <w:sz w:val="18"/>
          <w:szCs w:val="18"/>
        </w:rPr>
        <w:t>MEAL: Comprehensive baseline and endline surveys, along with continuous monitoring and feedback mechanisms, guided resource allocation by real-time data and community input. This approach enhanced spending efficiency and effectiveness, ensuring responsiveness to evolving community needs.</w:t>
      </w:r>
    </w:p>
    <w:p w14:paraId="05CEB4F2"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Oxfam Kenya</w:t>
      </w:r>
    </w:p>
    <w:p w14:paraId="66006A99" w14:textId="77777777" w:rsidR="00315466" w:rsidRPr="00A4536F" w:rsidRDefault="001D4E15" w:rsidP="00E4398D">
      <w:pPr>
        <w:spacing w:before="0" w:after="120"/>
        <w:rPr>
          <w:rFonts w:cs="Calibri"/>
          <w:color w:val="auto"/>
          <w:szCs w:val="18"/>
        </w:rPr>
      </w:pPr>
      <w:r w:rsidRPr="00A4536F">
        <w:rPr>
          <w:rFonts w:cs="Calibri"/>
          <w:color w:val="auto"/>
          <w:szCs w:val="18"/>
        </w:rPr>
        <w:t>Oxfam Kenya’s project spending reflects a deliberate, strategic approach to maximise resource effectiveness:</w:t>
      </w:r>
    </w:p>
    <w:p w14:paraId="0C394367" w14:textId="77777777" w:rsidR="00315466" w:rsidRPr="00A4536F" w:rsidRDefault="001D4E15" w:rsidP="00D41C74">
      <w:pPr>
        <w:pStyle w:val="ListParagraph"/>
        <w:numPr>
          <w:ilvl w:val="0"/>
          <w:numId w:val="71"/>
        </w:numPr>
        <w:spacing w:after="120"/>
        <w:rPr>
          <w:rFonts w:ascii="Verdana" w:hAnsi="Verdana" w:cs="Calibri"/>
          <w:sz w:val="18"/>
          <w:szCs w:val="18"/>
        </w:rPr>
      </w:pPr>
      <w:r w:rsidRPr="00A4536F">
        <w:rPr>
          <w:rStyle w:val="ui-provider"/>
          <w:rFonts w:ascii="Verdana" w:hAnsi="Verdana" w:cs="Calibri"/>
          <w:sz w:val="18"/>
          <w:szCs w:val="18"/>
        </w:rPr>
        <w:t>Food Security: Initial spending delays resulted from essential verification steps to confirm registrations, ensuring precise targeting. The cash transfers issued in November and December 2023 were provided to recipients that met the criteria established. This cash assistance helped recipients secure food and non-food items.</w:t>
      </w:r>
    </w:p>
    <w:p w14:paraId="6E93BDA0" w14:textId="77777777" w:rsidR="00315466" w:rsidRPr="00A4536F" w:rsidRDefault="001D4E15" w:rsidP="00D41C74">
      <w:pPr>
        <w:pStyle w:val="ListParagraph"/>
        <w:numPr>
          <w:ilvl w:val="0"/>
          <w:numId w:val="71"/>
        </w:numPr>
        <w:spacing w:after="120"/>
        <w:rPr>
          <w:rFonts w:ascii="Verdana" w:hAnsi="Verdana" w:cs="Calibri"/>
          <w:sz w:val="18"/>
          <w:szCs w:val="18"/>
        </w:rPr>
      </w:pPr>
      <w:r w:rsidRPr="00A4536F">
        <w:rPr>
          <w:rFonts w:ascii="Verdana" w:hAnsi="Verdana" w:cs="Calibri"/>
          <w:sz w:val="18"/>
          <w:szCs w:val="18"/>
        </w:rPr>
        <w:t xml:space="preserve">WASH: </w:t>
      </w:r>
      <w:bookmarkStart w:id="116" w:name="_Hlk170319032"/>
      <w:r w:rsidRPr="00A4536F">
        <w:rPr>
          <w:rFonts w:ascii="Verdana" w:hAnsi="Verdana" w:cs="Calibri"/>
          <w:sz w:val="18"/>
          <w:szCs w:val="18"/>
        </w:rPr>
        <w:t xml:space="preserve">Payments for major infrastructure projects, like Kubi </w:t>
      </w:r>
      <w:proofErr w:type="spellStart"/>
      <w:r w:rsidRPr="00A4536F">
        <w:rPr>
          <w:rFonts w:ascii="Verdana" w:hAnsi="Verdana" w:cs="Calibri"/>
          <w:sz w:val="18"/>
          <w:szCs w:val="18"/>
        </w:rPr>
        <w:t>Dibayu</w:t>
      </w:r>
      <w:proofErr w:type="spellEnd"/>
      <w:r w:rsidRPr="00A4536F">
        <w:rPr>
          <w:rFonts w:ascii="Verdana" w:hAnsi="Verdana" w:cs="Calibri"/>
          <w:sz w:val="18"/>
          <w:szCs w:val="18"/>
        </w:rPr>
        <w:t xml:space="preserve"> and </w:t>
      </w:r>
      <w:proofErr w:type="spellStart"/>
      <w:r w:rsidRPr="00A4536F">
        <w:rPr>
          <w:rFonts w:ascii="Verdana" w:hAnsi="Verdana" w:cs="Calibri"/>
          <w:sz w:val="18"/>
          <w:szCs w:val="18"/>
        </w:rPr>
        <w:t>Narengerwoi</w:t>
      </w:r>
      <w:proofErr w:type="spellEnd"/>
      <w:r w:rsidRPr="00A4536F">
        <w:rPr>
          <w:rFonts w:ascii="Verdana" w:hAnsi="Verdana" w:cs="Calibri"/>
          <w:sz w:val="18"/>
          <w:szCs w:val="18"/>
        </w:rPr>
        <w:t xml:space="preserve"> Water works, were planned after completion, guaranteeing that funds were used for sustainable water, sanitation, and hygiene improvements. Additionally, by utilising Community Health volunteers to promote health and nutrition, project resources were primarily allocated to service provision rather than administrative processes, creating an efficient and sustainable use of resources. </w:t>
      </w:r>
    </w:p>
    <w:bookmarkEnd w:id="116"/>
    <w:p w14:paraId="3C84BDB7" w14:textId="77777777" w:rsidR="00315466" w:rsidRPr="00A4536F" w:rsidRDefault="001D4E15" w:rsidP="00D41C74">
      <w:pPr>
        <w:pStyle w:val="ListParagraph"/>
        <w:numPr>
          <w:ilvl w:val="0"/>
          <w:numId w:val="71"/>
        </w:numPr>
        <w:spacing w:after="120"/>
        <w:rPr>
          <w:rFonts w:ascii="Verdana" w:hAnsi="Verdana" w:cs="Calibri"/>
          <w:sz w:val="18"/>
          <w:szCs w:val="18"/>
        </w:rPr>
      </w:pPr>
      <w:r w:rsidRPr="00A4536F">
        <w:rPr>
          <w:rFonts w:ascii="Verdana" w:hAnsi="Verdana" w:cs="Calibri"/>
          <w:sz w:val="18"/>
          <w:szCs w:val="18"/>
        </w:rPr>
        <w:t>Gender and Protection: Training and awareness-raising activities were strategically planned, ensuring the bulk of expenditures occurred after consultant assessments. This targeted spending addressed identified needs effectively, supporting vulnerable populations.</w:t>
      </w:r>
    </w:p>
    <w:p w14:paraId="4B6EEF3F" w14:textId="77777777" w:rsidR="00315466" w:rsidRPr="00A4536F" w:rsidRDefault="001D4E15" w:rsidP="00D41C74">
      <w:pPr>
        <w:pStyle w:val="ListParagraph"/>
        <w:numPr>
          <w:ilvl w:val="0"/>
          <w:numId w:val="71"/>
        </w:numPr>
        <w:spacing w:after="120"/>
        <w:rPr>
          <w:rFonts w:ascii="Verdana" w:hAnsi="Verdana" w:cs="Calibri"/>
          <w:sz w:val="18"/>
          <w:szCs w:val="18"/>
        </w:rPr>
      </w:pPr>
      <w:r w:rsidRPr="00A4536F">
        <w:rPr>
          <w:rFonts w:ascii="Verdana" w:hAnsi="Verdana" w:cs="Calibri"/>
          <w:sz w:val="18"/>
          <w:szCs w:val="18"/>
        </w:rPr>
        <w:t xml:space="preserve">Localisation and MEAL: Strategic use of other budgets prevented funding loss. Despite delays due to strategy changes and weather conditions, </w:t>
      </w:r>
      <w:proofErr w:type="gramStart"/>
      <w:r w:rsidRPr="00A4536F">
        <w:rPr>
          <w:rFonts w:ascii="Verdana" w:hAnsi="Verdana" w:cs="Calibri"/>
          <w:sz w:val="18"/>
          <w:szCs w:val="18"/>
        </w:rPr>
        <w:t>baseline</w:t>
      </w:r>
      <w:proofErr w:type="gramEnd"/>
      <w:r w:rsidRPr="00A4536F">
        <w:rPr>
          <w:rFonts w:ascii="Verdana" w:hAnsi="Verdana" w:cs="Calibri"/>
          <w:sz w:val="18"/>
          <w:szCs w:val="18"/>
        </w:rPr>
        <w:t xml:space="preserve"> and light post-distribution monitoring informed ongoing assessments, optimising subsequent spending effectiveness.</w:t>
      </w:r>
    </w:p>
    <w:p w14:paraId="1E11B568" w14:textId="77777777" w:rsidR="00315466" w:rsidRPr="00A4536F" w:rsidRDefault="001D4E15" w:rsidP="00D41C74">
      <w:pPr>
        <w:pStyle w:val="ListParagraph"/>
        <w:numPr>
          <w:ilvl w:val="0"/>
          <w:numId w:val="71"/>
        </w:numPr>
        <w:spacing w:after="120"/>
        <w:rPr>
          <w:rFonts w:ascii="Verdana" w:hAnsi="Verdana" w:cs="Calibri"/>
          <w:sz w:val="18"/>
          <w:szCs w:val="18"/>
        </w:rPr>
      </w:pPr>
      <w:r w:rsidRPr="00A4536F">
        <w:rPr>
          <w:rFonts w:ascii="Verdana" w:hAnsi="Verdana" w:cs="Calibri"/>
          <w:sz w:val="18"/>
          <w:szCs w:val="18"/>
        </w:rPr>
        <w:t>Some adjustments in the selection and planning of activities were required in Kenya, due to issues with the beneficiary lists, such as low trust from community members, missing or mismatched ID numbers, or some groups being excluded. More inclusive strategies were adopted to reach and assist the most vulnerable, avoiding future grievances and enhancing project efficiency.</w:t>
      </w:r>
    </w:p>
    <w:p w14:paraId="03FAC6E7" w14:textId="3DE5C67F" w:rsidR="00E571DE" w:rsidRPr="00A4536F" w:rsidRDefault="001D4E15" w:rsidP="00E4398D">
      <w:pPr>
        <w:spacing w:before="0" w:after="120"/>
        <w:rPr>
          <w:rFonts w:cs="Calibri"/>
          <w:color w:val="auto"/>
          <w:szCs w:val="18"/>
        </w:rPr>
      </w:pPr>
      <w:r w:rsidRPr="00A4536F">
        <w:rPr>
          <w:rFonts w:cs="Calibri"/>
          <w:color w:val="auto"/>
          <w:szCs w:val="18"/>
        </w:rPr>
        <w:t>In summary, the FSL interventions across these projects have demonstrated a robust and strategic approach to fund utilisation, maximising impact. The alignment of expenditures with project milestones and continuous evaluations ensured efficient use of resources, resulting in sustainable improvements in food security, livelihoods, nutrition, and protection for targeted communities.</w:t>
      </w:r>
      <w:r w:rsidR="00E571DE" w:rsidRPr="00A4536F">
        <w:rPr>
          <w:rFonts w:cs="Calibri"/>
          <w:color w:val="auto"/>
          <w:szCs w:val="18"/>
        </w:rPr>
        <w:t xml:space="preserve"> </w:t>
      </w:r>
    </w:p>
    <w:p w14:paraId="2BA94826" w14:textId="77777777" w:rsidR="00315466" w:rsidRDefault="001D4E15" w:rsidP="0042524B">
      <w:pPr>
        <w:pStyle w:val="Heading2"/>
        <w:spacing w:before="0" w:after="240" w:line="240" w:lineRule="auto"/>
        <w:rPr>
          <w:rFonts w:ascii="Verdana" w:hAnsi="Verdana"/>
          <w:sz w:val="24"/>
          <w:szCs w:val="24"/>
        </w:rPr>
      </w:pPr>
      <w:bookmarkStart w:id="117" w:name="_Toc174559895"/>
      <w:bookmarkStart w:id="118" w:name="_Toc181278042"/>
      <w:bookmarkEnd w:id="112"/>
      <w:r w:rsidRPr="00FD4F9A">
        <w:rPr>
          <w:rFonts w:ascii="Verdana" w:hAnsi="Verdana"/>
          <w:sz w:val="24"/>
          <w:szCs w:val="24"/>
        </w:rPr>
        <w:lastRenderedPageBreak/>
        <w:t>3.5 Impact</w:t>
      </w:r>
      <w:bookmarkEnd w:id="117"/>
      <w:bookmarkEnd w:id="118"/>
    </w:p>
    <w:p w14:paraId="137CDBB3" w14:textId="72B17B2E" w:rsidR="00012B7C" w:rsidRPr="00A4536F" w:rsidRDefault="001D4E15" w:rsidP="0042524B">
      <w:pPr>
        <w:spacing w:before="0" w:line="240" w:lineRule="auto"/>
        <w:rPr>
          <w:rFonts w:cs="Calibri"/>
          <w:color w:val="auto"/>
          <w:szCs w:val="18"/>
        </w:rPr>
      </w:pPr>
      <w:r w:rsidRPr="00A4536F">
        <w:rPr>
          <w:rFonts w:cs="Calibri"/>
          <w:color w:val="auto"/>
          <w:szCs w:val="18"/>
        </w:rPr>
        <w:t xml:space="preserve">OECD DAC defines impact as the extent to which the intervention has generated or is expected to generate significant positive or negative, </w:t>
      </w:r>
      <w:proofErr w:type="gramStart"/>
      <w:r w:rsidRPr="00A4536F">
        <w:rPr>
          <w:rFonts w:cs="Calibri"/>
          <w:color w:val="auto"/>
          <w:szCs w:val="18"/>
        </w:rPr>
        <w:t>intended</w:t>
      </w:r>
      <w:proofErr w:type="gramEnd"/>
      <w:r w:rsidRPr="00A4536F">
        <w:rPr>
          <w:rFonts w:cs="Calibri"/>
          <w:color w:val="auto"/>
          <w:szCs w:val="18"/>
        </w:rPr>
        <w:t xml:space="preserve"> or unintended, higher-level effects.</w:t>
      </w:r>
      <w:r w:rsidRPr="00A4536F">
        <w:rPr>
          <w:rStyle w:val="FootnoteReference"/>
          <w:rFonts w:cs="Calibri"/>
          <w:color w:val="auto"/>
          <w:szCs w:val="18"/>
        </w:rPr>
        <w:footnoteReference w:id="16"/>
      </w:r>
      <w:r w:rsidRPr="00A4536F">
        <w:rPr>
          <w:rFonts w:cs="Calibri"/>
          <w:color w:val="auto"/>
          <w:szCs w:val="18"/>
        </w:rPr>
        <w:t xml:space="preserve"> This sub-section focuses on the following two questions:</w:t>
      </w:r>
    </w:p>
    <w:p w14:paraId="0561035E" w14:textId="7024C83D" w:rsidR="00012B7C" w:rsidRPr="0042524B" w:rsidRDefault="001D4E15" w:rsidP="0042524B">
      <w:pPr>
        <w:pStyle w:val="Heading3"/>
        <w:spacing w:after="240"/>
        <w:rPr>
          <w:rFonts w:ascii="Verdana" w:hAnsi="Verdana"/>
          <w:color w:val="auto"/>
          <w:sz w:val="20"/>
          <w:szCs w:val="20"/>
        </w:rPr>
      </w:pPr>
      <w:bookmarkStart w:id="119" w:name="_Toc174559896"/>
      <w:bookmarkStart w:id="120" w:name="_Toc181278043"/>
      <w:r w:rsidRPr="00560B2D">
        <w:rPr>
          <w:rFonts w:ascii="Verdana" w:hAnsi="Verdana"/>
          <w:color w:val="auto"/>
          <w:sz w:val="20"/>
          <w:szCs w:val="20"/>
        </w:rPr>
        <w:t>EQ 11: What medium-term effects (outcomes) have the FSL interventions had on participants' lives?</w:t>
      </w:r>
      <w:bookmarkEnd w:id="119"/>
      <w:bookmarkEnd w:id="120"/>
    </w:p>
    <w:p w14:paraId="3BC29A32" w14:textId="0A84C87D" w:rsidR="00560B2D" w:rsidRPr="00A4536F" w:rsidRDefault="001D4E15" w:rsidP="0042524B">
      <w:pPr>
        <w:spacing w:before="0" w:line="240" w:lineRule="auto"/>
        <w:rPr>
          <w:rFonts w:cs="Calibri"/>
          <w:b/>
          <w:bCs/>
          <w:color w:val="auto"/>
          <w:szCs w:val="18"/>
        </w:rPr>
      </w:pPr>
      <w:r w:rsidRPr="00A4536F">
        <w:rPr>
          <w:rFonts w:cs="Calibri"/>
          <w:b/>
          <w:bCs/>
          <w:color w:val="auto"/>
          <w:szCs w:val="18"/>
          <w:u w:val="single"/>
        </w:rPr>
        <w:t>Finding</w:t>
      </w:r>
      <w:r w:rsidRPr="00A4536F">
        <w:rPr>
          <w:rFonts w:cs="Calibri"/>
          <w:b/>
          <w:bCs/>
          <w:color w:val="auto"/>
          <w:szCs w:val="18"/>
        </w:rPr>
        <w:t>:</w:t>
      </w:r>
      <w:r w:rsidRPr="00A4536F">
        <w:rPr>
          <w:rFonts w:cs="Calibri"/>
          <w:color w:val="auto"/>
          <w:szCs w:val="18"/>
        </w:rPr>
        <w:t xml:space="preserve"> </w:t>
      </w:r>
      <w:r w:rsidRPr="00A4536F">
        <w:rPr>
          <w:rFonts w:cs="Calibri"/>
          <w:b/>
          <w:bCs/>
          <w:color w:val="auto"/>
          <w:szCs w:val="18"/>
        </w:rPr>
        <w:t>Although the FSL interventions have been of short duration (mainly one year) and this evaluation took place before the end of activities, there are notable outcomes, which include enhanced food security and nutrition; improved health outcomes and hygiene practices; the empowerment and improved resilience of specific groups and the strengthening of protection mechanisms.</w:t>
      </w:r>
    </w:p>
    <w:p w14:paraId="21A620F5" w14:textId="250FFFAD" w:rsidR="00315466" w:rsidRPr="00A4536F" w:rsidRDefault="001D4E15" w:rsidP="00E4398D">
      <w:pPr>
        <w:spacing w:before="0" w:after="120"/>
        <w:rPr>
          <w:rFonts w:cs="Calibri"/>
          <w:color w:val="auto"/>
          <w:szCs w:val="18"/>
        </w:rPr>
      </w:pPr>
      <w:r w:rsidRPr="00A4536F">
        <w:rPr>
          <w:rFonts w:cs="Calibri"/>
          <w:b/>
          <w:bCs/>
          <w:color w:val="auto"/>
          <w:szCs w:val="18"/>
        </w:rPr>
        <w:t>Enh</w:t>
      </w:r>
      <w:r w:rsidR="0042524B">
        <w:rPr>
          <w:rFonts w:cs="Calibri"/>
          <w:b/>
          <w:bCs/>
          <w:color w:val="auto"/>
          <w:szCs w:val="18"/>
        </w:rPr>
        <w:t>a</w:t>
      </w:r>
      <w:r w:rsidRPr="00A4536F">
        <w:rPr>
          <w:rFonts w:cs="Calibri"/>
          <w:b/>
          <w:bCs/>
          <w:color w:val="auto"/>
          <w:szCs w:val="18"/>
        </w:rPr>
        <w:t xml:space="preserve">nced food security and nutrition: </w:t>
      </w:r>
      <w:r w:rsidRPr="00A4536F">
        <w:rPr>
          <w:rFonts w:cs="Calibri"/>
          <w:color w:val="auto"/>
          <w:szCs w:val="18"/>
        </w:rPr>
        <w:t>Despite challenges posed by harsh climatic conditions, the FSL interventions have shown promising signs of improving food security and nutrition. While it is too early to fully assess impact, mindset shifts are evident, with households transitioning from livestock dependence to embracing crop agriculture, evidenced by increased kitchen gardens and crop cultivation. Emergency support, like cash transfers, ensured food access during crises, yielding positive results, such as improved nutrition, which was specifically noted in Turkana, where 100% of beneficiaries reported life-changing effects. More specifically, reported results included improved dietary diversity, access to nutritious foods, and enhanced resilience during food shortages.</w:t>
      </w:r>
      <w:r w:rsidRPr="00A4536F">
        <w:rPr>
          <w:rStyle w:val="FootnoteReference"/>
          <w:rFonts w:cs="Calibri"/>
          <w:color w:val="auto"/>
          <w:szCs w:val="18"/>
        </w:rPr>
        <w:footnoteReference w:id="17"/>
      </w:r>
      <w:r w:rsidRPr="00A4536F">
        <w:rPr>
          <w:rFonts w:cs="Calibri"/>
          <w:color w:val="auto"/>
          <w:szCs w:val="18"/>
        </w:rPr>
        <w:t xml:space="preserve">  In Ethiopia, all surveyed beneficiaries reported that they filled their food gaps during the crises (arising from drought and conflict) at the family level because of the interventions.  (See Recommendation </w:t>
      </w:r>
      <w:r w:rsidR="0012614A" w:rsidRPr="00A4536F">
        <w:rPr>
          <w:rFonts w:cs="Calibri"/>
          <w:color w:val="auto"/>
          <w:szCs w:val="18"/>
        </w:rPr>
        <w:t>4</w:t>
      </w:r>
      <w:r w:rsidRPr="00A4536F">
        <w:rPr>
          <w:rFonts w:cs="Calibri"/>
          <w:color w:val="auto"/>
          <w:szCs w:val="18"/>
        </w:rPr>
        <w:t xml:space="preserve">). In addition, all surveyed cash assistance recipients reported that cash assistance transfers filled their food gap. </w:t>
      </w:r>
    </w:p>
    <w:p w14:paraId="7D4B2A8C" w14:textId="77777777" w:rsidR="00315466" w:rsidRPr="00A4536F" w:rsidRDefault="001D4E15" w:rsidP="00E4398D">
      <w:pPr>
        <w:spacing w:before="0" w:after="120"/>
        <w:rPr>
          <w:rFonts w:cs="Calibri"/>
          <w:color w:val="auto"/>
          <w:szCs w:val="18"/>
        </w:rPr>
      </w:pPr>
      <w:r w:rsidRPr="00A4536F">
        <w:rPr>
          <w:rFonts w:cs="Calibri"/>
          <w:b/>
          <w:bCs/>
          <w:color w:val="auto"/>
          <w:szCs w:val="18"/>
        </w:rPr>
        <w:t xml:space="preserve">Improved health outcomes and hygiene practices: </w:t>
      </w:r>
      <w:r w:rsidRPr="00A4536F">
        <w:rPr>
          <w:rFonts w:cs="Calibri"/>
          <w:color w:val="auto"/>
          <w:szCs w:val="18"/>
        </w:rPr>
        <w:t xml:space="preserve">Data shows positive shifts, including enhanced access to safe water and sanitation facilities, leading to improved hygiene behaviours, and reduced waterborne disease. More specifically, data from interviews with community leaders and government staffs in </w:t>
      </w:r>
      <w:proofErr w:type="spellStart"/>
      <w:r w:rsidRPr="00A4536F">
        <w:rPr>
          <w:rFonts w:cs="Calibri"/>
          <w:color w:val="auto"/>
          <w:szCs w:val="18"/>
        </w:rPr>
        <w:t>Laisamis</w:t>
      </w:r>
      <w:proofErr w:type="spellEnd"/>
      <w:r w:rsidRPr="00A4536F">
        <w:rPr>
          <w:rFonts w:cs="Calibri"/>
          <w:color w:val="auto"/>
          <w:szCs w:val="18"/>
        </w:rPr>
        <w:t xml:space="preserve"> sub-county, Kenya, revealed that that almost 100% of the community homesteads in the target communities had adopted safe sanitation practices through the Community-Led Total Sanitation (CLTS) programme.  Although work on the two large, solarised water borehole projects in Kubi </w:t>
      </w:r>
      <w:proofErr w:type="spellStart"/>
      <w:r w:rsidRPr="00A4536F">
        <w:rPr>
          <w:rFonts w:cs="Calibri"/>
          <w:color w:val="auto"/>
          <w:szCs w:val="18"/>
        </w:rPr>
        <w:t>Dibayu</w:t>
      </w:r>
      <w:proofErr w:type="spellEnd"/>
      <w:r w:rsidRPr="00A4536F">
        <w:rPr>
          <w:rFonts w:cs="Calibri"/>
          <w:color w:val="auto"/>
          <w:szCs w:val="18"/>
        </w:rPr>
        <w:t xml:space="preserve"> and </w:t>
      </w:r>
      <w:proofErr w:type="spellStart"/>
      <w:r w:rsidRPr="00A4536F">
        <w:rPr>
          <w:rFonts w:cs="Calibri"/>
          <w:color w:val="auto"/>
          <w:szCs w:val="18"/>
        </w:rPr>
        <w:t>Narengerwoi</w:t>
      </w:r>
      <w:proofErr w:type="spellEnd"/>
      <w:r w:rsidRPr="00A4536F">
        <w:rPr>
          <w:rFonts w:cs="Calibri"/>
          <w:color w:val="auto"/>
          <w:szCs w:val="18"/>
        </w:rPr>
        <w:t xml:space="preserve"> in Kenya were not yet completed, the communities were anticipating that, once finalised, these water projects would provide access to safe water, and had high expectations for the impacts associated with this. FGDs with women and girls’ groups in Ethiopia revealed that women and girls faced challenges around menstruation. They would cover themselves in animal skin and sit in one place; everyone was aware they were menstruating. The soap, water, </w:t>
      </w:r>
      <w:proofErr w:type="gramStart"/>
      <w:r w:rsidRPr="00A4536F">
        <w:rPr>
          <w:rFonts w:cs="Calibri"/>
          <w:color w:val="auto"/>
          <w:szCs w:val="18"/>
        </w:rPr>
        <w:t>panties</w:t>
      </w:r>
      <w:proofErr w:type="gramEnd"/>
      <w:r w:rsidRPr="00A4536F">
        <w:rPr>
          <w:rFonts w:cs="Calibri"/>
          <w:color w:val="auto"/>
          <w:szCs w:val="18"/>
        </w:rPr>
        <w:t xml:space="preserve"> and sanitary pads provided through FSL interventions have greatly improved their menstrual hygiene while also reducing the stigma surrounding menstruation.</w:t>
      </w:r>
    </w:p>
    <w:p w14:paraId="47AC2B01" w14:textId="77777777" w:rsidR="00315466" w:rsidRPr="00A4536F" w:rsidRDefault="001D4E15" w:rsidP="00E4398D">
      <w:pPr>
        <w:spacing w:before="0" w:after="120"/>
        <w:rPr>
          <w:rFonts w:cs="Calibri"/>
          <w:color w:val="auto"/>
          <w:szCs w:val="18"/>
        </w:rPr>
      </w:pPr>
      <w:r w:rsidRPr="00A4536F">
        <w:rPr>
          <w:rFonts w:cs="Calibri"/>
          <w:b/>
          <w:bCs/>
          <w:color w:val="auto"/>
          <w:szCs w:val="18"/>
        </w:rPr>
        <w:t xml:space="preserve">Empowerment and resilience: </w:t>
      </w:r>
      <w:r w:rsidRPr="00A4536F">
        <w:rPr>
          <w:rFonts w:cs="Calibri"/>
          <w:color w:val="auto"/>
          <w:szCs w:val="18"/>
        </w:rPr>
        <w:t>Findings indicate increased self-reliance among beneficiaries, evidenced by improved livelihood diversification, such as the adoption of kitchen gardens and other income-generating activities. Kenyan key informants and Ethiopian FGD participants revealed that households are selling produce from their kitchen gardens, while beneficiaries in Ethiopia are starting small petty trades by buying chicken, sheep, and goats for livestock breeding.</w:t>
      </w:r>
    </w:p>
    <w:p w14:paraId="32FA9FCE" w14:textId="77777777" w:rsidR="00315466" w:rsidRPr="00A4536F" w:rsidRDefault="001D4E15" w:rsidP="00E4398D">
      <w:pPr>
        <w:spacing w:before="0" w:after="120"/>
        <w:rPr>
          <w:rFonts w:cs="Calibri"/>
          <w:color w:val="auto"/>
          <w:szCs w:val="18"/>
        </w:rPr>
      </w:pPr>
      <w:r w:rsidRPr="00A4536F">
        <w:rPr>
          <w:rFonts w:cs="Calibri"/>
          <w:b/>
          <w:bCs/>
          <w:color w:val="auto"/>
          <w:szCs w:val="18"/>
        </w:rPr>
        <w:t xml:space="preserve">Strengthened protection mechanisms: </w:t>
      </w:r>
      <w:r w:rsidRPr="00A4536F">
        <w:rPr>
          <w:rFonts w:cs="Calibri"/>
          <w:color w:val="auto"/>
          <w:szCs w:val="18"/>
        </w:rPr>
        <w:t>The FSL interventions have contributed to strengthening of protection mechanisms in both countries. The data collected through interviews with government staff and community leaders, and through FGDs with women, shows improved access to essential services, including psychosocial support and referral pathways for vulnerable individuals, such as GBV victims. It is expected that these results will lead to a reduction in risk for vulnerable groups but the data to confirm this is not yet available.</w:t>
      </w:r>
    </w:p>
    <w:p w14:paraId="53D15E87" w14:textId="77777777" w:rsidR="00315466" w:rsidRPr="00560B2D" w:rsidRDefault="001D4E15" w:rsidP="00E4398D">
      <w:pPr>
        <w:pStyle w:val="Heading3"/>
        <w:spacing w:after="120" w:line="276" w:lineRule="auto"/>
        <w:rPr>
          <w:rFonts w:ascii="Verdana" w:hAnsi="Verdana" w:cs="Calibri"/>
          <w:color w:val="auto"/>
          <w:sz w:val="20"/>
          <w:szCs w:val="20"/>
          <w:lang w:val="en-GB"/>
        </w:rPr>
      </w:pPr>
      <w:bookmarkStart w:id="122" w:name="_Toc174559897"/>
      <w:bookmarkStart w:id="123" w:name="_Toc181278044"/>
      <w:r w:rsidRPr="00560B2D">
        <w:rPr>
          <w:rFonts w:ascii="Verdana" w:hAnsi="Verdana" w:cs="Calibri"/>
          <w:color w:val="auto"/>
          <w:sz w:val="20"/>
          <w:szCs w:val="20"/>
          <w:lang w:val="en-GB"/>
        </w:rPr>
        <w:lastRenderedPageBreak/>
        <w:t>EQ 12. Were there any unintended positive or negative outcomes from the interventions?</w:t>
      </w:r>
      <w:bookmarkEnd w:id="122"/>
      <w:bookmarkEnd w:id="123"/>
    </w:p>
    <w:p w14:paraId="69105367" w14:textId="77777777" w:rsidR="00315466" w:rsidRPr="00A4536F" w:rsidRDefault="001D4E15" w:rsidP="00E4398D">
      <w:pPr>
        <w:spacing w:before="0" w:after="120"/>
        <w:rPr>
          <w:rFonts w:cs="Calibri"/>
          <w:color w:val="auto"/>
          <w:szCs w:val="18"/>
        </w:rPr>
      </w:pPr>
      <w:r w:rsidRPr="00A4536F">
        <w:rPr>
          <w:rFonts w:cs="Calibri"/>
          <w:b/>
          <w:bCs/>
          <w:color w:val="auto"/>
          <w:szCs w:val="18"/>
          <w:u w:val="single"/>
        </w:rPr>
        <w:t>Finding</w:t>
      </w:r>
      <w:r w:rsidRPr="00A4536F">
        <w:rPr>
          <w:rFonts w:cs="Calibri"/>
          <w:color w:val="auto"/>
          <w:szCs w:val="18"/>
        </w:rPr>
        <w:t>:</w:t>
      </w:r>
      <w:r w:rsidRPr="00A4536F">
        <w:rPr>
          <w:rFonts w:cs="Calibri"/>
          <w:b/>
          <w:bCs/>
          <w:color w:val="auto"/>
          <w:szCs w:val="18"/>
        </w:rPr>
        <w:t xml:space="preserve"> The interventions led to positive outcomes such as forming seed grower cooperatives and women's groups in Ethiopia and boosting local businesses via Kenya's E-voucher system. However, in </w:t>
      </w:r>
      <w:proofErr w:type="spellStart"/>
      <w:r w:rsidRPr="00A4536F">
        <w:rPr>
          <w:rFonts w:cs="Calibri"/>
          <w:b/>
          <w:bCs/>
          <w:color w:val="auto"/>
          <w:szCs w:val="18"/>
        </w:rPr>
        <w:t>Marsabit</w:t>
      </w:r>
      <w:proofErr w:type="spellEnd"/>
      <w:r w:rsidRPr="00A4536F">
        <w:rPr>
          <w:rFonts w:cs="Calibri"/>
          <w:b/>
          <w:bCs/>
          <w:color w:val="auto"/>
          <w:szCs w:val="18"/>
        </w:rPr>
        <w:t>, cash transfers drew business speculators, leading to unplanned spending and highlighting a need for better financial literacy.</w:t>
      </w:r>
    </w:p>
    <w:p w14:paraId="22243FD4" w14:textId="77777777" w:rsidR="00315466" w:rsidRPr="00A4536F" w:rsidRDefault="001D4E15" w:rsidP="00E4398D">
      <w:pPr>
        <w:spacing w:before="0" w:after="120"/>
        <w:rPr>
          <w:rFonts w:cs="Calibri"/>
          <w:color w:val="auto"/>
          <w:szCs w:val="18"/>
        </w:rPr>
      </w:pPr>
      <w:r w:rsidRPr="00A4536F">
        <w:rPr>
          <w:rFonts w:cs="Calibri"/>
          <w:color w:val="auto"/>
          <w:szCs w:val="18"/>
        </w:rPr>
        <w:t>The following unintended positive outcomes were identified:</w:t>
      </w:r>
    </w:p>
    <w:p w14:paraId="4150EC2A" w14:textId="77777777" w:rsidR="00315466" w:rsidRPr="00A4536F" w:rsidRDefault="001D4E15" w:rsidP="00D41C74">
      <w:pPr>
        <w:pStyle w:val="ListParagraph"/>
        <w:numPr>
          <w:ilvl w:val="0"/>
          <w:numId w:val="72"/>
        </w:numPr>
        <w:spacing w:after="120"/>
        <w:rPr>
          <w:rFonts w:ascii="Verdana" w:hAnsi="Verdana" w:cs="Calibri"/>
          <w:sz w:val="18"/>
          <w:szCs w:val="18"/>
        </w:rPr>
      </w:pPr>
      <w:r w:rsidRPr="00A4536F">
        <w:rPr>
          <w:rFonts w:ascii="Verdana" w:hAnsi="Verdana" w:cs="Calibri"/>
          <w:sz w:val="18"/>
          <w:szCs w:val="18"/>
        </w:rPr>
        <w:t xml:space="preserve">In Afar, the project established a women’s group in each sub-district mainly as a strategy for raising awareness and addressing the daily and community-wide issues they face, while counselling and connecting them to supportive assistance. </w:t>
      </w:r>
      <w:r w:rsidRPr="00A4536F">
        <w:rPr>
          <w:rFonts w:ascii="Verdana" w:hAnsi="Verdana" w:cs="Calibri"/>
          <w:sz w:val="18"/>
          <w:szCs w:val="18"/>
          <w:lang w:eastAsia="zh-CN" w:bidi="ar"/>
        </w:rPr>
        <w:t>These groups have unified women and increased solidarity among them.</w:t>
      </w:r>
    </w:p>
    <w:p w14:paraId="2F45D442" w14:textId="433B291D" w:rsidR="00315466" w:rsidRPr="00A4536F" w:rsidRDefault="001D4E15" w:rsidP="00D41C74">
      <w:pPr>
        <w:pStyle w:val="ListParagraph"/>
        <w:numPr>
          <w:ilvl w:val="0"/>
          <w:numId w:val="72"/>
        </w:numPr>
        <w:spacing w:after="120"/>
        <w:rPr>
          <w:rFonts w:ascii="Verdana" w:hAnsi="Verdana" w:cs="Calibri"/>
          <w:sz w:val="18"/>
          <w:szCs w:val="18"/>
        </w:rPr>
      </w:pPr>
      <w:r w:rsidRPr="00A4536F">
        <w:rPr>
          <w:rFonts w:ascii="Verdana" w:hAnsi="Verdana" w:cs="Calibri"/>
          <w:sz w:val="18"/>
          <w:szCs w:val="18"/>
        </w:rPr>
        <w:t xml:space="preserve">The implementation of the E-voucher system in Kenya for managing the procurement and distribution of non-food items has significantly boosted local businesses and enhanced local economic growth by fostering partnerships with businesses. (See Recommendation </w:t>
      </w:r>
      <w:r w:rsidR="0012614A" w:rsidRPr="00A4536F">
        <w:rPr>
          <w:rFonts w:ascii="Verdana" w:hAnsi="Verdana" w:cs="Calibri"/>
          <w:sz w:val="18"/>
          <w:szCs w:val="18"/>
        </w:rPr>
        <w:t>5</w:t>
      </w:r>
      <w:r w:rsidRPr="00A4536F">
        <w:rPr>
          <w:rFonts w:ascii="Verdana" w:hAnsi="Verdana" w:cs="Calibri"/>
          <w:sz w:val="18"/>
          <w:szCs w:val="18"/>
        </w:rPr>
        <w:t>).</w:t>
      </w:r>
    </w:p>
    <w:p w14:paraId="2958E0E5" w14:textId="77777777" w:rsidR="00315466" w:rsidRPr="00A4536F" w:rsidRDefault="001D4E15" w:rsidP="00D41C74">
      <w:pPr>
        <w:pStyle w:val="ListParagraph"/>
        <w:numPr>
          <w:ilvl w:val="0"/>
          <w:numId w:val="72"/>
        </w:numPr>
        <w:spacing w:after="120"/>
        <w:rPr>
          <w:rFonts w:ascii="Verdana" w:hAnsi="Verdana" w:cs="Calibri"/>
          <w:sz w:val="18"/>
          <w:szCs w:val="18"/>
        </w:rPr>
      </w:pPr>
      <w:r w:rsidRPr="00A4536F">
        <w:rPr>
          <w:rFonts w:ascii="Verdana" w:hAnsi="Verdana" w:cs="Calibri"/>
          <w:sz w:val="18"/>
          <w:szCs w:val="18"/>
        </w:rPr>
        <w:t xml:space="preserve">Data from interviews with community leaders and government officials such as public health officials and gender officers corroborated by women beneficiaries suggests that the provision of dignity kits with awareness sessions, although intended to improve menstrual hygiene, also helped raise women’s self-esteem in some areas of Ethiopia, like Afar region. </w:t>
      </w:r>
    </w:p>
    <w:p w14:paraId="0D5E907A" w14:textId="77777777" w:rsidR="00315466" w:rsidRPr="00A4536F" w:rsidRDefault="001D4E15" w:rsidP="00D41C74">
      <w:pPr>
        <w:pStyle w:val="ListParagraph"/>
        <w:numPr>
          <w:ilvl w:val="0"/>
          <w:numId w:val="72"/>
        </w:numPr>
        <w:spacing w:after="120"/>
        <w:rPr>
          <w:rStyle w:val="CommentReference"/>
          <w:rFonts w:ascii="Verdana" w:eastAsia="Verdana" w:hAnsi="Verdana" w:cs="Calibri"/>
        </w:rPr>
      </w:pPr>
      <w:r w:rsidRPr="00A4536F">
        <w:rPr>
          <w:rFonts w:ascii="Verdana" w:hAnsi="Verdana" w:cs="Calibri"/>
          <w:sz w:val="18"/>
          <w:szCs w:val="18"/>
        </w:rPr>
        <w:t xml:space="preserve">The need for Mobile Money-based multi-purpose cash transfers prompted TUPADO to engage in negotiations with Airtel company to enhance connectivity in the project's target regions that had poor connectivity. This strategic collaboration resulted in improved communication infrastructure, benefiting not only the project's operations but also enhancing connectivity for the broader community. </w:t>
      </w:r>
    </w:p>
    <w:p w14:paraId="3E0A9B18" w14:textId="77777777" w:rsidR="00315466" w:rsidRPr="00A4536F" w:rsidRDefault="001D4E15" w:rsidP="00E4398D">
      <w:pPr>
        <w:pStyle w:val="ListParagraph"/>
        <w:spacing w:after="120"/>
        <w:ind w:left="0"/>
        <w:rPr>
          <w:rStyle w:val="CommentReference"/>
          <w:rFonts w:ascii="Verdana" w:eastAsia="Verdana" w:hAnsi="Verdana" w:cs="Calibri"/>
        </w:rPr>
      </w:pPr>
      <w:r w:rsidRPr="00A4536F">
        <w:rPr>
          <w:rStyle w:val="CommentReference"/>
          <w:rFonts w:ascii="Verdana" w:eastAsia="Verdana" w:hAnsi="Verdana" w:cs="Calibri"/>
        </w:rPr>
        <w:t xml:space="preserve"> The following unintended negative outcomes were identified:</w:t>
      </w:r>
    </w:p>
    <w:p w14:paraId="223B8A31" w14:textId="37177A4E" w:rsidR="00315466" w:rsidRPr="00A4536F" w:rsidRDefault="001D4E15" w:rsidP="00903CED">
      <w:pPr>
        <w:pStyle w:val="ListParagraph"/>
        <w:numPr>
          <w:ilvl w:val="0"/>
          <w:numId w:val="41"/>
        </w:numPr>
        <w:spacing w:after="120"/>
        <w:rPr>
          <w:rFonts w:ascii="Verdana" w:hAnsi="Verdana" w:cs="Calibri"/>
          <w:sz w:val="18"/>
          <w:szCs w:val="18"/>
        </w:rPr>
      </w:pPr>
      <w:r w:rsidRPr="00A4536F">
        <w:rPr>
          <w:rFonts w:ascii="Verdana" w:hAnsi="Verdana" w:cs="Calibri"/>
          <w:sz w:val="18"/>
          <w:szCs w:val="18"/>
        </w:rPr>
        <w:t xml:space="preserve">Community leaders in </w:t>
      </w:r>
      <w:proofErr w:type="spellStart"/>
      <w:r w:rsidRPr="00A4536F">
        <w:rPr>
          <w:rFonts w:ascii="Verdana" w:hAnsi="Verdana" w:cs="Calibri"/>
          <w:sz w:val="18"/>
          <w:szCs w:val="18"/>
        </w:rPr>
        <w:t>Marsabit</w:t>
      </w:r>
      <w:proofErr w:type="spellEnd"/>
      <w:r w:rsidRPr="00A4536F">
        <w:rPr>
          <w:rFonts w:ascii="Verdana" w:hAnsi="Verdana" w:cs="Calibri"/>
          <w:sz w:val="18"/>
          <w:szCs w:val="18"/>
        </w:rPr>
        <w:t xml:space="preserve"> noted that the multi-purpose cash transfer led to the influx of business speculators into communities, enticing beneficiaries to spend on items they had not planned for</w:t>
      </w:r>
      <w:r w:rsidR="00031C0E" w:rsidRPr="00A4536F">
        <w:rPr>
          <w:rFonts w:ascii="Verdana" w:hAnsi="Verdana" w:cs="Calibri"/>
          <w:sz w:val="18"/>
          <w:szCs w:val="18"/>
        </w:rPr>
        <w:t>, were not essential and could not generate income</w:t>
      </w:r>
      <w:r w:rsidRPr="00A4536F">
        <w:rPr>
          <w:rFonts w:ascii="Verdana" w:hAnsi="Verdana" w:cs="Calibri"/>
          <w:sz w:val="18"/>
          <w:szCs w:val="18"/>
        </w:rPr>
        <w:t xml:space="preserve">, highlighting the lack of financial literacy amongst beneficiaries and the threat this causes. </w:t>
      </w:r>
    </w:p>
    <w:p w14:paraId="707BA4F4" w14:textId="0A8D09F7" w:rsidR="00560B2D" w:rsidRPr="0042524B" w:rsidRDefault="001D4E15" w:rsidP="0042524B">
      <w:pPr>
        <w:pStyle w:val="Heading2"/>
        <w:spacing w:before="0" w:after="240" w:line="240" w:lineRule="auto"/>
        <w:rPr>
          <w:rFonts w:ascii="Verdana" w:hAnsi="Verdana"/>
          <w:sz w:val="24"/>
          <w:szCs w:val="24"/>
        </w:rPr>
      </w:pPr>
      <w:bookmarkStart w:id="124" w:name="_Toc165827990"/>
      <w:bookmarkStart w:id="125" w:name="_Toc174559898"/>
      <w:bookmarkStart w:id="126" w:name="_Toc181278045"/>
      <w:r w:rsidRPr="00560B2D">
        <w:rPr>
          <w:rFonts w:ascii="Verdana" w:hAnsi="Verdana"/>
          <w:sz w:val="24"/>
          <w:szCs w:val="24"/>
        </w:rPr>
        <w:t>3.6 Sustainability</w:t>
      </w:r>
      <w:bookmarkEnd w:id="124"/>
      <w:bookmarkEnd w:id="125"/>
      <w:bookmarkEnd w:id="126"/>
    </w:p>
    <w:p w14:paraId="2BFA7D54" w14:textId="5469DFA7" w:rsidR="00560B2D" w:rsidRPr="0042524B" w:rsidRDefault="001D4E15" w:rsidP="0042524B">
      <w:pPr>
        <w:spacing w:before="0" w:line="240" w:lineRule="auto"/>
        <w:rPr>
          <w:rFonts w:cs="Calibri"/>
          <w:color w:val="auto"/>
          <w:szCs w:val="18"/>
        </w:rPr>
      </w:pPr>
      <w:r w:rsidRPr="00A4536F">
        <w:rPr>
          <w:rFonts w:cs="Calibri"/>
          <w:color w:val="auto"/>
          <w:szCs w:val="18"/>
        </w:rPr>
        <w:t>The OCED DAC defines sustainability as “the extent to which the net benefits of the intervention continue or are likely to continue”.</w:t>
      </w:r>
      <w:r w:rsidRPr="00A4536F">
        <w:rPr>
          <w:rStyle w:val="FootnoteReference"/>
          <w:rFonts w:cs="Calibri"/>
          <w:bCs/>
          <w:color w:val="auto"/>
          <w:szCs w:val="18"/>
        </w:rPr>
        <w:footnoteReference w:id="18"/>
      </w:r>
      <w:r w:rsidRPr="00A4536F">
        <w:rPr>
          <w:rFonts w:cs="Calibri"/>
          <w:color w:val="auto"/>
          <w:szCs w:val="18"/>
        </w:rPr>
        <w:t xml:space="preserve"> This subsection focuses on responding to the following question: </w:t>
      </w:r>
    </w:p>
    <w:p w14:paraId="73DCB794" w14:textId="77777777" w:rsidR="00315466" w:rsidRPr="00560B2D" w:rsidRDefault="001D4E15" w:rsidP="00E4398D">
      <w:pPr>
        <w:pStyle w:val="Heading3"/>
        <w:spacing w:after="120" w:line="276" w:lineRule="auto"/>
        <w:rPr>
          <w:rFonts w:ascii="Verdana" w:hAnsi="Verdana" w:cs="Calibri"/>
          <w:color w:val="auto"/>
          <w:sz w:val="20"/>
          <w:szCs w:val="20"/>
          <w:lang w:val="en-GB"/>
        </w:rPr>
      </w:pPr>
      <w:bookmarkStart w:id="127" w:name="_Toc165827991"/>
      <w:bookmarkStart w:id="128" w:name="_Toc164324020"/>
      <w:bookmarkStart w:id="129" w:name="_Toc164286981"/>
      <w:bookmarkStart w:id="130" w:name="_Toc164582571"/>
      <w:bookmarkStart w:id="131" w:name="_Toc174559899"/>
      <w:bookmarkStart w:id="132" w:name="_Toc181278046"/>
      <w:r w:rsidRPr="00560B2D">
        <w:rPr>
          <w:rFonts w:ascii="Verdana" w:hAnsi="Verdana" w:cs="Calibri"/>
          <w:color w:val="auto"/>
          <w:sz w:val="20"/>
          <w:szCs w:val="20"/>
          <w:lang w:val="en-GB"/>
        </w:rPr>
        <w:t>EQ 13. How successfully have the interventions integrated emergency response with long-term livelihood and capacity-building efforts?</w:t>
      </w:r>
      <w:bookmarkEnd w:id="127"/>
      <w:bookmarkEnd w:id="128"/>
      <w:bookmarkEnd w:id="129"/>
      <w:bookmarkEnd w:id="130"/>
      <w:bookmarkEnd w:id="131"/>
      <w:bookmarkEnd w:id="132"/>
    </w:p>
    <w:p w14:paraId="757BAE23" w14:textId="77777777" w:rsidR="00315466" w:rsidRPr="00A4536F" w:rsidRDefault="001D4E15" w:rsidP="00E4398D">
      <w:pPr>
        <w:spacing w:before="0" w:after="120"/>
        <w:rPr>
          <w:rFonts w:cs="Calibri"/>
          <w:color w:val="auto"/>
          <w:szCs w:val="18"/>
        </w:rPr>
      </w:pPr>
      <w:r w:rsidRPr="00A4536F">
        <w:rPr>
          <w:rFonts w:cs="Calibri"/>
          <w:b/>
          <w:bCs/>
          <w:color w:val="auto"/>
          <w:szCs w:val="18"/>
          <w:u w:val="single"/>
        </w:rPr>
        <w:t>Finding</w:t>
      </w:r>
      <w:r w:rsidRPr="00A4536F">
        <w:rPr>
          <w:rFonts w:cs="Calibri"/>
          <w:b/>
          <w:bCs/>
          <w:color w:val="auto"/>
          <w:szCs w:val="18"/>
        </w:rPr>
        <w:t>: The FSL interventions in Ethiopia and Kenya effectively integrated emergency response with long-term livelihood and capacity-building initiatives. This strategic integration has significantly contributed to enhancing the resilience of beneficiaries and promoting sustainable recovery in drought-affected regions, but in some instances not so successfully.</w:t>
      </w:r>
    </w:p>
    <w:p w14:paraId="24D45AD8" w14:textId="77777777" w:rsidR="00315466" w:rsidRPr="00A4536F" w:rsidRDefault="001D4E15" w:rsidP="00E4398D">
      <w:pPr>
        <w:spacing w:before="0" w:after="120"/>
        <w:rPr>
          <w:rFonts w:cs="Calibri"/>
          <w:color w:val="auto"/>
          <w:szCs w:val="18"/>
        </w:rPr>
      </w:pPr>
      <w:r w:rsidRPr="00A4536F">
        <w:rPr>
          <w:rFonts w:cs="Calibri"/>
          <w:color w:val="auto"/>
          <w:szCs w:val="18"/>
        </w:rPr>
        <w:t>PIE and ANE's efforts in Ethiopia's Oromia Region (</w:t>
      </w:r>
      <w:proofErr w:type="spellStart"/>
      <w:r w:rsidRPr="00A4536F">
        <w:rPr>
          <w:rFonts w:cs="Calibri"/>
          <w:color w:val="auto"/>
          <w:szCs w:val="18"/>
        </w:rPr>
        <w:t>Borena</w:t>
      </w:r>
      <w:proofErr w:type="spellEnd"/>
      <w:r w:rsidRPr="00A4536F">
        <w:rPr>
          <w:rFonts w:cs="Calibri"/>
          <w:color w:val="auto"/>
          <w:szCs w:val="18"/>
        </w:rPr>
        <w:t xml:space="preserve"> Zone) tackled child hunger and SAM while improving local health systems. They provided logistical support for delivering medical supplies to remote areas and trained health workers (capacity-building).  Project support for the creation and training of parent-to-parent support groups enabled these groups to address both short-term and long-term needs related to child nutrition and community health in their communities. Similarly, the strategy included screening children under five, identifying and treating cases of SAM and MAM, and connecting children to healthcare, psychosocial support, and protection services. The objective was to provide food assistance and cash transfers to meet immediate needs and promote resilience in the targeted households and communities. However, although SAM cases were linked to mental health and psychosocial support, data from </w:t>
      </w:r>
      <w:r w:rsidRPr="00A4536F">
        <w:rPr>
          <w:rFonts w:cs="Calibri"/>
          <w:color w:val="auto"/>
          <w:szCs w:val="18"/>
        </w:rPr>
        <w:lastRenderedPageBreak/>
        <w:t>beneficiaries and community leaders shows that the lack of specialised mental health services and trained professionals in remote areas remained a challenge. Likewise, while the provision of early maturing seeds and breeding shoats was a positive step, data from beneficiaries showed there was limited follow-up support for sustainable agricultural practices and livestock management.</w:t>
      </w:r>
    </w:p>
    <w:p w14:paraId="01ADDA21"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In the </w:t>
      </w:r>
      <w:proofErr w:type="spellStart"/>
      <w:r w:rsidRPr="00A4536F">
        <w:rPr>
          <w:rFonts w:cs="Calibri"/>
          <w:color w:val="auto"/>
          <w:szCs w:val="18"/>
        </w:rPr>
        <w:t>Dawa</w:t>
      </w:r>
      <w:proofErr w:type="spellEnd"/>
      <w:r w:rsidRPr="00A4536F">
        <w:rPr>
          <w:rFonts w:cs="Calibri"/>
          <w:color w:val="auto"/>
          <w:szCs w:val="18"/>
        </w:rPr>
        <w:t xml:space="preserve"> Zone of the Somali Region, MPCA was given to households to tackle food security and enhance long-term economic stability. Likewise, the SBCC initiatives promoted optimal infant and young child feeding, sanitation, and hygiene practices, while positive parenting skills training was conducted to enhance childcare and well-being. However, while SBCC initiatives were in place, data from interviews with beneficiaries and community leaders pointed to insufficient follow-up to ensure that communities were adopting and maintaining improved nutritional practices. Similarly, data from technical professionals in child protection revealed that, although referral systems for children with protection concerns were established, there was still a need for more comprehensive support services and safe spaces for vulnerable children.</w:t>
      </w:r>
    </w:p>
    <w:p w14:paraId="0595C64F"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The Oxfam consortium in Amhara Region, Ethiopia, also integrated both short and long-term benefits into their FSL interventions. Providing nutrition diversification training and food cooking demonstrations aimed to address emergency nutritional needs and empower mothers to meet long-term nutritional needs.  </w:t>
      </w:r>
    </w:p>
    <w:p w14:paraId="5DE57F85" w14:textId="77777777" w:rsidR="00315466" w:rsidRPr="00A4536F" w:rsidRDefault="001D4E15" w:rsidP="00E4398D">
      <w:pPr>
        <w:spacing w:before="0" w:after="120"/>
        <w:rPr>
          <w:rFonts w:cs="Calibri"/>
          <w:color w:val="auto"/>
          <w:szCs w:val="18"/>
        </w:rPr>
      </w:pPr>
      <w:r w:rsidRPr="00A4536F">
        <w:rPr>
          <w:rFonts w:cs="Calibri"/>
          <w:color w:val="auto"/>
          <w:szCs w:val="18"/>
        </w:rPr>
        <w:t>In the Afar Region, the FSL intervention prioritised providing food rations to targeted households, especially malnourished children and Pregnant and Lactating Women. Simultaneously, the project supported communities by initiating land preparation for food crop cultivation, enabling them to enhance food security. However, data from interviews with community leaders suggests that while community groups were established through the intervention, there was limited community ownership and participation in decision-making processes to ensure the sustainability of the interventions.</w:t>
      </w:r>
    </w:p>
    <w:p w14:paraId="4859F257"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In Kenya, the Oxfam-led consortium project integrated immediate emergency and long-term development needs to some extent. As a case in point, the provision of MPCA to vulnerable households in </w:t>
      </w:r>
      <w:proofErr w:type="spellStart"/>
      <w:r w:rsidRPr="00A4536F">
        <w:rPr>
          <w:rFonts w:cs="Calibri"/>
          <w:color w:val="auto"/>
          <w:szCs w:val="18"/>
        </w:rPr>
        <w:t>Marsabit</w:t>
      </w:r>
      <w:proofErr w:type="spellEnd"/>
      <w:r w:rsidRPr="00A4536F">
        <w:rPr>
          <w:rFonts w:cs="Calibri"/>
          <w:color w:val="auto"/>
          <w:szCs w:val="18"/>
        </w:rPr>
        <w:t xml:space="preserve"> and Turkana, including people with disabilities, malnourished children, and those with chronic illnesses was integrated with training in climate smart agriculture practices, particularly kitchen farming. Although MPCA provided short-term relief, its long-term economic stability and resilience effects are not well substantiated. Indeed, only a few beneficiaries made small-scale investments in businesses and animal restocking with the cash assistance. Data from interviews with beneficiaries shows that most of them spent on their immediate basic needs, particularly food, health care, education for their children and, in the case of people with disabilities, on acquiring assistive devices or rehabilitation therapy. The intervention did not effectively equip the recipients with the necessary financial literacy skills to deliberately engage in alternative economic strengthening endeavours. </w:t>
      </w:r>
    </w:p>
    <w:p w14:paraId="3DB2C6C7"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A second case in point was the training of CHVs on WASH promotion and their participation in household visits and community events, with the objective of tackling waterborne diseases, immediate nutritional challenges, and long-term health outcomes for the target communities. However, despite the presence of trained and involved CHVs, inadequate infrastructure for WASH in certain areas hampered the impact of health promotion efforts. For instance, the promised water trucking services by the county government to areas of </w:t>
      </w:r>
      <w:proofErr w:type="spellStart"/>
      <w:r w:rsidRPr="00A4536F">
        <w:rPr>
          <w:rFonts w:cs="Calibri"/>
          <w:color w:val="auto"/>
          <w:szCs w:val="18"/>
        </w:rPr>
        <w:t>Namarie</w:t>
      </w:r>
      <w:proofErr w:type="spellEnd"/>
      <w:r w:rsidRPr="00A4536F">
        <w:rPr>
          <w:rFonts w:cs="Calibri"/>
          <w:color w:val="auto"/>
          <w:szCs w:val="18"/>
        </w:rPr>
        <w:t xml:space="preserve"> and </w:t>
      </w:r>
      <w:proofErr w:type="spellStart"/>
      <w:r w:rsidRPr="00A4536F">
        <w:rPr>
          <w:rFonts w:cs="Calibri"/>
          <w:color w:val="auto"/>
          <w:szCs w:val="18"/>
        </w:rPr>
        <w:t>Laisamis</w:t>
      </w:r>
      <w:proofErr w:type="spellEnd"/>
      <w:r w:rsidRPr="00A4536F">
        <w:rPr>
          <w:rFonts w:cs="Calibri"/>
          <w:color w:val="auto"/>
          <w:szCs w:val="18"/>
        </w:rPr>
        <w:t>, Kenya had not yet materialised by the time of the evaluation.</w:t>
      </w:r>
    </w:p>
    <w:p w14:paraId="4B3C31EA" w14:textId="4278BA14" w:rsidR="00560B2D" w:rsidRDefault="001D4E15" w:rsidP="00E4398D">
      <w:pPr>
        <w:spacing w:before="0" w:after="120"/>
        <w:rPr>
          <w:rFonts w:cs="Calibri"/>
          <w:color w:val="auto"/>
          <w:szCs w:val="18"/>
        </w:rPr>
      </w:pPr>
      <w:r w:rsidRPr="00A4536F">
        <w:rPr>
          <w:rFonts w:cs="Calibri"/>
          <w:color w:val="auto"/>
          <w:szCs w:val="18"/>
        </w:rPr>
        <w:t xml:space="preserve">Likewise, even though Oxfam's activities in </w:t>
      </w:r>
      <w:proofErr w:type="spellStart"/>
      <w:r w:rsidRPr="00A4536F">
        <w:rPr>
          <w:rFonts w:cs="Calibri"/>
          <w:color w:val="auto"/>
          <w:szCs w:val="18"/>
        </w:rPr>
        <w:t>Marsabit</w:t>
      </w:r>
      <w:proofErr w:type="spellEnd"/>
      <w:r w:rsidRPr="00A4536F">
        <w:rPr>
          <w:rFonts w:cs="Calibri"/>
          <w:color w:val="auto"/>
          <w:szCs w:val="18"/>
        </w:rPr>
        <w:t xml:space="preserve"> and Turkana included setting up hand washing facilities and water storage tanks in schools, they only interacted with school children to raise awareness about protection, especially GBV, and did not involve them in environmental protection and climate change issues that were the root cause of the crisis that triggered the FSL interventions. </w:t>
      </w:r>
    </w:p>
    <w:p w14:paraId="2C87675C" w14:textId="77777777" w:rsidR="00560B2D" w:rsidRDefault="00560B2D">
      <w:pPr>
        <w:spacing w:before="0" w:after="0" w:line="240" w:lineRule="auto"/>
        <w:rPr>
          <w:rFonts w:cs="Calibri"/>
          <w:color w:val="auto"/>
          <w:szCs w:val="18"/>
        </w:rPr>
      </w:pPr>
      <w:r>
        <w:rPr>
          <w:rFonts w:cs="Calibri"/>
          <w:color w:val="auto"/>
          <w:szCs w:val="18"/>
        </w:rPr>
        <w:br w:type="page"/>
      </w:r>
    </w:p>
    <w:p w14:paraId="53C5F439" w14:textId="202EE598" w:rsidR="00560B2D" w:rsidRPr="0042524B" w:rsidRDefault="001D4E15" w:rsidP="0042524B">
      <w:pPr>
        <w:pStyle w:val="Heading2"/>
        <w:spacing w:before="0" w:after="240" w:line="240" w:lineRule="auto"/>
        <w:rPr>
          <w:rFonts w:ascii="Verdana" w:hAnsi="Verdana"/>
          <w:sz w:val="24"/>
          <w:szCs w:val="24"/>
        </w:rPr>
      </w:pPr>
      <w:bookmarkStart w:id="133" w:name="_Toc164582572"/>
      <w:bookmarkStart w:id="134" w:name="_Toc164324021"/>
      <w:bookmarkStart w:id="135" w:name="_Toc165827992"/>
      <w:bookmarkStart w:id="136" w:name="_Toc164286982"/>
      <w:bookmarkStart w:id="137" w:name="_Toc174559900"/>
      <w:bookmarkStart w:id="138" w:name="_Toc181278047"/>
      <w:r w:rsidRPr="00560B2D">
        <w:rPr>
          <w:rFonts w:ascii="Verdana" w:hAnsi="Verdana"/>
          <w:sz w:val="24"/>
          <w:szCs w:val="24"/>
        </w:rPr>
        <w:lastRenderedPageBreak/>
        <w:t>3.7 Synergies</w:t>
      </w:r>
      <w:bookmarkEnd w:id="133"/>
      <w:bookmarkEnd w:id="134"/>
      <w:bookmarkEnd w:id="135"/>
      <w:bookmarkEnd w:id="136"/>
      <w:bookmarkEnd w:id="137"/>
      <w:bookmarkEnd w:id="138"/>
    </w:p>
    <w:p w14:paraId="02898578" w14:textId="2287E2B0" w:rsidR="00560B2D" w:rsidRPr="00A4536F" w:rsidRDefault="001D4E15" w:rsidP="0042524B">
      <w:pPr>
        <w:spacing w:before="0" w:line="240" w:lineRule="auto"/>
        <w:rPr>
          <w:rFonts w:cs="Calibri"/>
          <w:color w:val="auto"/>
          <w:szCs w:val="18"/>
        </w:rPr>
      </w:pPr>
      <w:bookmarkStart w:id="139" w:name="_Toc164286983"/>
      <w:bookmarkStart w:id="140" w:name="_Toc164582573"/>
      <w:bookmarkStart w:id="141" w:name="_Toc164324022"/>
      <w:r w:rsidRPr="00A4536F">
        <w:rPr>
          <w:rFonts w:cs="Calibri"/>
          <w:color w:val="auto"/>
          <w:szCs w:val="18"/>
        </w:rPr>
        <w:t>In the context of this evaluation, synergy refers to the complementarity between the different thematic interventions in leveraging the success of the FSL interventions. This subsection focuses on responding to the following question:</w:t>
      </w:r>
    </w:p>
    <w:p w14:paraId="429A6CC8" w14:textId="77777777" w:rsidR="00315466" w:rsidRPr="00560B2D" w:rsidRDefault="001D4E15" w:rsidP="00E4398D">
      <w:pPr>
        <w:pStyle w:val="Heading3"/>
        <w:spacing w:after="120" w:line="276" w:lineRule="auto"/>
        <w:rPr>
          <w:rFonts w:ascii="Verdana" w:hAnsi="Verdana" w:cs="Calibri"/>
          <w:color w:val="auto"/>
          <w:sz w:val="20"/>
          <w:szCs w:val="20"/>
          <w:lang w:val="en-GB"/>
        </w:rPr>
      </w:pPr>
      <w:bookmarkStart w:id="142" w:name="_Toc165827993"/>
      <w:bookmarkStart w:id="143" w:name="_Toc174559901"/>
      <w:bookmarkStart w:id="144" w:name="_Toc181278048"/>
      <w:r w:rsidRPr="00560B2D">
        <w:rPr>
          <w:rFonts w:ascii="Verdana" w:hAnsi="Verdana" w:cs="Calibri"/>
          <w:color w:val="auto"/>
          <w:sz w:val="20"/>
          <w:szCs w:val="20"/>
          <w:lang w:val="en-GB"/>
        </w:rPr>
        <w:t>EQ 14. How have other interventions (WASH, protection) complemented the FSL interventions in Ethiopia and Kenya?</w:t>
      </w:r>
      <w:bookmarkEnd w:id="139"/>
      <w:bookmarkEnd w:id="140"/>
      <w:bookmarkEnd w:id="141"/>
      <w:bookmarkEnd w:id="142"/>
      <w:bookmarkEnd w:id="143"/>
      <w:bookmarkEnd w:id="144"/>
    </w:p>
    <w:p w14:paraId="394C0701" w14:textId="77777777" w:rsidR="00315466" w:rsidRPr="00A4536F" w:rsidRDefault="001D4E15" w:rsidP="00E4398D">
      <w:pPr>
        <w:spacing w:before="0" w:after="120"/>
        <w:rPr>
          <w:rFonts w:cs="Calibri"/>
          <w:b/>
          <w:bCs/>
          <w:color w:val="auto"/>
          <w:szCs w:val="18"/>
        </w:rPr>
      </w:pPr>
      <w:r w:rsidRPr="00A4536F">
        <w:rPr>
          <w:rFonts w:cs="Calibri"/>
          <w:b/>
          <w:bCs/>
          <w:color w:val="auto"/>
          <w:szCs w:val="18"/>
          <w:u w:val="single"/>
        </w:rPr>
        <w:t>Finding</w:t>
      </w:r>
      <w:r w:rsidRPr="00A4536F">
        <w:rPr>
          <w:rFonts w:cs="Calibri"/>
          <w:b/>
          <w:bCs/>
          <w:color w:val="auto"/>
          <w:szCs w:val="18"/>
        </w:rPr>
        <w:t>: The team found in general WASH interventions and FSL complemented each other better than protection interventions and FSL.</w:t>
      </w:r>
    </w:p>
    <w:p w14:paraId="34B57CBE"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The WASH interventions, including installing rainwater harvesting tanks, drilling solar-powered boreholes, building water kiosks and pipelines, supplying household water-handling equipment, and conducting hygiene promotion training, complemented FSL efforts by ensuring a healthy environment that supports productive activities, reducing disease prevalence, and freeing up time for farming and income-generating ventures. A review of project progress reports and interviews with project staff, community leaders and government officials highlighted the complementarity of these interventions. For example, in the Ethiopian regions of </w:t>
      </w:r>
      <w:proofErr w:type="spellStart"/>
      <w:r w:rsidRPr="00A4536F">
        <w:rPr>
          <w:rFonts w:cs="Calibri"/>
          <w:color w:val="auto"/>
          <w:szCs w:val="18"/>
        </w:rPr>
        <w:t>Borena</w:t>
      </w:r>
      <w:proofErr w:type="spellEnd"/>
      <w:r w:rsidRPr="00A4536F">
        <w:rPr>
          <w:rFonts w:cs="Calibri"/>
          <w:color w:val="auto"/>
          <w:szCs w:val="18"/>
        </w:rPr>
        <w:t xml:space="preserve">, Tigray and Afar, as well as in the </w:t>
      </w:r>
      <w:proofErr w:type="spellStart"/>
      <w:r w:rsidRPr="00A4536F">
        <w:rPr>
          <w:rFonts w:cs="Calibri"/>
          <w:color w:val="auto"/>
          <w:szCs w:val="18"/>
        </w:rPr>
        <w:t>Marsabilt</w:t>
      </w:r>
      <w:proofErr w:type="spellEnd"/>
      <w:r w:rsidRPr="00A4536F">
        <w:rPr>
          <w:rFonts w:cs="Calibri"/>
          <w:color w:val="auto"/>
          <w:szCs w:val="18"/>
        </w:rPr>
        <w:t xml:space="preserve"> and Turkana regions of Kenya, the installation of water tanks for rainwater harvesting enabled the establishment of kitchen gardens, which in turn helped improve health and nutrition. Beneficiaries used cash transfers to enhance water and sanitation access which in turn has led to better health outcomes. </w:t>
      </w:r>
    </w:p>
    <w:p w14:paraId="1DFD66A9" w14:textId="3D0F4205" w:rsidR="002737B7" w:rsidRPr="00A4536F" w:rsidRDefault="002737B7" w:rsidP="00E4398D">
      <w:pPr>
        <w:spacing w:before="0" w:after="120"/>
        <w:rPr>
          <w:rFonts w:cs="Calibri"/>
          <w:b/>
          <w:bCs/>
          <w:color w:val="auto"/>
          <w:szCs w:val="18"/>
        </w:rPr>
      </w:pPr>
      <w:r w:rsidRPr="00A4536F">
        <w:rPr>
          <w:rFonts w:cs="Calibri"/>
          <w:b/>
          <w:bCs/>
          <w:color w:val="auto"/>
          <w:szCs w:val="18"/>
        </w:rPr>
        <w:t>Perspectives from Beneficiaries:</w:t>
      </w:r>
    </w:p>
    <w:p w14:paraId="4BF1D094" w14:textId="77777777" w:rsidR="002737B7" w:rsidRPr="00A4536F" w:rsidRDefault="002737B7" w:rsidP="002737B7">
      <w:pPr>
        <w:spacing w:after="120"/>
        <w:rPr>
          <w:rFonts w:cs="Calibri"/>
          <w:i/>
          <w:iCs/>
          <w:color w:val="auto"/>
          <w:szCs w:val="18"/>
        </w:rPr>
      </w:pPr>
      <w:r w:rsidRPr="00A4536F">
        <w:rPr>
          <w:rFonts w:cs="Calibri"/>
          <w:i/>
          <w:iCs/>
          <w:color w:val="auto"/>
          <w:szCs w:val="18"/>
        </w:rPr>
        <w:t>From interviews with women and men in Ethiopia and Kenya, the overall perspective was that the combination of these interventions, particularly WASH and FSL, led to improved health and economic outcomes for vulnerable populations.</w:t>
      </w:r>
    </w:p>
    <w:p w14:paraId="317F5486"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Protection measures focused on safeguarding vulnerable populations, such as women, children, </w:t>
      </w:r>
      <w:r w:rsidRPr="00A4536F">
        <w:rPr>
          <w:rFonts w:cs="Calibri"/>
          <w:color w:val="auto"/>
          <w:szCs w:val="18"/>
          <w:shd w:val="clear" w:color="auto" w:fill="FFFFFF"/>
        </w:rPr>
        <w:t>people</w:t>
      </w:r>
      <w:r w:rsidRPr="00A4536F">
        <w:rPr>
          <w:rFonts w:cs="Calibri"/>
          <w:color w:val="auto"/>
          <w:szCs w:val="18"/>
        </w:rPr>
        <w:t xml:space="preserve"> with disabilities, and GBV survivors. Activities included raising awareness on GBV and harmful cultural practices, providing psychosocial support and counselling, training social workers and health staff, offering cash support for victims to access specialised services, and establishing school clubs to educate children on GBV and harmful traditional practices. These protection interventions complemented FSL goals by ensuring vulnerable populations were safe and supported, enabling fuller participation in livelihood </w:t>
      </w:r>
      <w:proofErr w:type="gramStart"/>
      <w:r w:rsidRPr="00A4536F">
        <w:rPr>
          <w:rFonts w:cs="Calibri"/>
          <w:color w:val="auto"/>
          <w:szCs w:val="18"/>
        </w:rPr>
        <w:t>activities</w:t>
      </w:r>
      <w:proofErr w:type="gramEnd"/>
      <w:r w:rsidRPr="00A4536F">
        <w:rPr>
          <w:rFonts w:cs="Calibri"/>
          <w:color w:val="auto"/>
          <w:szCs w:val="18"/>
        </w:rPr>
        <w:t xml:space="preserve"> and creating a more inclusive community. However, while protection measures aimed at safeguarding vulnerable populations generally complemented FSL interventions, there were notable challenges in some areas. In Turkana and Tigray, inadequate coordination led to gaps in ensuring the safety of women participating in FSL activities.  In Afar and </w:t>
      </w:r>
      <w:proofErr w:type="spellStart"/>
      <w:r w:rsidRPr="00A4536F">
        <w:rPr>
          <w:rFonts w:cs="Calibri"/>
          <w:color w:val="auto"/>
          <w:szCs w:val="18"/>
        </w:rPr>
        <w:t>Marsabit</w:t>
      </w:r>
      <w:proofErr w:type="spellEnd"/>
      <w:r w:rsidRPr="00A4536F">
        <w:rPr>
          <w:rFonts w:cs="Calibri"/>
          <w:color w:val="auto"/>
          <w:szCs w:val="18"/>
        </w:rPr>
        <w:t xml:space="preserve">, culturally driven community resistance hindered the acceptance of GBV awareness efforts, limiting women's participation. Additionally, resource constraints in </w:t>
      </w:r>
      <w:proofErr w:type="spellStart"/>
      <w:r w:rsidRPr="00A4536F">
        <w:rPr>
          <w:rFonts w:cs="Calibri"/>
          <w:color w:val="auto"/>
          <w:szCs w:val="18"/>
        </w:rPr>
        <w:t>Marsabit</w:t>
      </w:r>
      <w:proofErr w:type="spellEnd"/>
      <w:r w:rsidRPr="00A4536F">
        <w:rPr>
          <w:rFonts w:cs="Calibri"/>
          <w:color w:val="auto"/>
          <w:szCs w:val="18"/>
        </w:rPr>
        <w:t xml:space="preserve"> and Turkana affected the provision of essential psychosocial support and counselling, reducing the effectiveness of protection services. Competing priorities in Afar and </w:t>
      </w:r>
      <w:proofErr w:type="spellStart"/>
      <w:r w:rsidRPr="00A4536F">
        <w:rPr>
          <w:rFonts w:cs="Calibri"/>
          <w:color w:val="auto"/>
          <w:szCs w:val="18"/>
        </w:rPr>
        <w:t>Marsabit</w:t>
      </w:r>
      <w:proofErr w:type="spellEnd"/>
      <w:r w:rsidRPr="00A4536F">
        <w:rPr>
          <w:rFonts w:cs="Calibri"/>
          <w:color w:val="auto"/>
          <w:szCs w:val="18"/>
        </w:rPr>
        <w:t xml:space="preserve"> often led beneficiaries to prioritise immediate survival needs over engaging in protection and livelihood programs, further impeding the integration of these initiatives.</w:t>
      </w:r>
    </w:p>
    <w:p w14:paraId="40BBBE51" w14:textId="6DEC071E" w:rsidR="00560B2D" w:rsidRPr="0042524B" w:rsidRDefault="001D4E15" w:rsidP="0042524B">
      <w:pPr>
        <w:pStyle w:val="Heading2"/>
        <w:spacing w:before="0" w:after="240" w:line="240" w:lineRule="auto"/>
        <w:rPr>
          <w:rFonts w:ascii="Verdana" w:hAnsi="Verdana"/>
          <w:sz w:val="24"/>
          <w:szCs w:val="24"/>
        </w:rPr>
      </w:pPr>
      <w:bookmarkStart w:id="145" w:name="_Toc164324348"/>
      <w:bookmarkStart w:id="146" w:name="_Toc164324023"/>
      <w:bookmarkStart w:id="147" w:name="_Toc164286984"/>
      <w:bookmarkStart w:id="148" w:name="_Toc165827994"/>
      <w:bookmarkStart w:id="149" w:name="_Toc174559902"/>
      <w:bookmarkStart w:id="150" w:name="_Toc181278049"/>
      <w:r w:rsidRPr="00560B2D">
        <w:rPr>
          <w:rFonts w:ascii="Verdana" w:hAnsi="Verdana"/>
          <w:sz w:val="24"/>
          <w:szCs w:val="24"/>
        </w:rPr>
        <w:t>3.8 Inclusion and Diversity</w:t>
      </w:r>
      <w:bookmarkEnd w:id="145"/>
      <w:bookmarkEnd w:id="146"/>
      <w:bookmarkEnd w:id="147"/>
      <w:bookmarkEnd w:id="148"/>
      <w:bookmarkEnd w:id="149"/>
      <w:bookmarkEnd w:id="150"/>
    </w:p>
    <w:p w14:paraId="61CD1C7B" w14:textId="77777777" w:rsidR="00315466" w:rsidRPr="00A4536F" w:rsidRDefault="001D4E15" w:rsidP="00560B2D">
      <w:pPr>
        <w:spacing w:before="0" w:after="0" w:line="240" w:lineRule="auto"/>
        <w:rPr>
          <w:rFonts w:cs="Calibri"/>
          <w:color w:val="auto"/>
          <w:szCs w:val="18"/>
        </w:rPr>
      </w:pPr>
      <w:bookmarkStart w:id="151" w:name="_Toc164286985"/>
      <w:bookmarkStart w:id="152" w:name="_Toc164324349"/>
      <w:bookmarkStart w:id="153" w:name="_Toc164324024"/>
      <w:r w:rsidRPr="00A4536F">
        <w:rPr>
          <w:rFonts w:cs="Calibri"/>
          <w:color w:val="auto"/>
          <w:szCs w:val="18"/>
        </w:rPr>
        <w:t>In the context of this assignment, inclusion refers to efforts made to ensure inclusion of marginalised populations, such as women, people with disabilities, SOGIESC communities and those affected by other social disadvantages (e.g. the elderly and members of ethnic minorities).</w:t>
      </w:r>
      <w:r w:rsidRPr="00A4536F">
        <w:rPr>
          <w:rStyle w:val="FootnoteReference"/>
          <w:rFonts w:cs="Calibri"/>
          <w:color w:val="auto"/>
          <w:szCs w:val="18"/>
        </w:rPr>
        <w:footnoteReference w:id="19"/>
      </w:r>
      <w:r w:rsidRPr="00A4536F">
        <w:rPr>
          <w:rFonts w:cs="Calibri"/>
          <w:color w:val="auto"/>
          <w:szCs w:val="18"/>
        </w:rPr>
        <w:t xml:space="preserve"> Inclusion should ensure that all beneficiary groups have equal access to goods and services, and that efforts are made to ensure that the specific needs of more vulnerable or often marginalised groups are not overlooked. </w:t>
      </w:r>
    </w:p>
    <w:p w14:paraId="14CA8203" w14:textId="77777777" w:rsidR="00315466" w:rsidRPr="00560B2D" w:rsidRDefault="001D4E15" w:rsidP="00E4398D">
      <w:pPr>
        <w:pStyle w:val="Heading3"/>
        <w:spacing w:after="120" w:line="276" w:lineRule="auto"/>
        <w:rPr>
          <w:rFonts w:ascii="Verdana" w:hAnsi="Verdana" w:cs="Calibri"/>
          <w:color w:val="auto"/>
          <w:sz w:val="20"/>
          <w:szCs w:val="20"/>
          <w:lang w:val="en-GB"/>
        </w:rPr>
      </w:pPr>
      <w:bookmarkStart w:id="154" w:name="_Toc165827995"/>
      <w:bookmarkStart w:id="155" w:name="_Toc174559903"/>
      <w:bookmarkStart w:id="156" w:name="_Toc181278050"/>
      <w:r w:rsidRPr="00560B2D">
        <w:rPr>
          <w:rFonts w:ascii="Verdana" w:hAnsi="Verdana" w:cs="Calibri"/>
          <w:color w:val="auto"/>
          <w:sz w:val="20"/>
          <w:szCs w:val="20"/>
          <w:lang w:val="en-GB"/>
        </w:rPr>
        <w:lastRenderedPageBreak/>
        <w:t xml:space="preserve">EQ 15. Were affected </w:t>
      </w:r>
      <w:proofErr w:type="gramStart"/>
      <w:r w:rsidRPr="00560B2D">
        <w:rPr>
          <w:rFonts w:ascii="Verdana" w:hAnsi="Verdana" w:cs="Calibri"/>
          <w:color w:val="auto"/>
          <w:sz w:val="20"/>
          <w:szCs w:val="20"/>
          <w:lang w:val="en-GB"/>
        </w:rPr>
        <w:t>communities</w:t>
      </w:r>
      <w:proofErr w:type="gramEnd"/>
      <w:r w:rsidRPr="00560B2D">
        <w:rPr>
          <w:rFonts w:ascii="Verdana" w:hAnsi="Verdana" w:cs="Calibri"/>
          <w:color w:val="auto"/>
          <w:sz w:val="20"/>
          <w:szCs w:val="20"/>
          <w:lang w:val="en-GB"/>
        </w:rPr>
        <w:t xml:space="preserve"> content with the targeting of intervention participants?</w:t>
      </w:r>
      <w:bookmarkEnd w:id="154"/>
      <w:bookmarkEnd w:id="155"/>
      <w:bookmarkEnd w:id="156"/>
    </w:p>
    <w:p w14:paraId="37EA7313" w14:textId="77777777" w:rsidR="00315466" w:rsidRPr="00A4536F" w:rsidRDefault="001D4E15" w:rsidP="00E4398D">
      <w:pPr>
        <w:spacing w:before="0" w:after="120"/>
        <w:rPr>
          <w:rFonts w:cs="Calibri"/>
          <w:b/>
          <w:bCs/>
          <w:color w:val="auto"/>
          <w:szCs w:val="18"/>
        </w:rPr>
      </w:pPr>
      <w:r w:rsidRPr="00A4536F">
        <w:rPr>
          <w:rFonts w:cs="Calibri"/>
          <w:b/>
          <w:bCs/>
          <w:color w:val="auto"/>
          <w:szCs w:val="18"/>
          <w:u w:val="single"/>
        </w:rPr>
        <w:t>Finding</w:t>
      </w:r>
      <w:r w:rsidRPr="00A4536F">
        <w:rPr>
          <w:rFonts w:cs="Calibri"/>
          <w:b/>
          <w:bCs/>
          <w:color w:val="auto"/>
          <w:szCs w:val="18"/>
        </w:rPr>
        <w:t xml:space="preserve">: In general, communities were satisfied with how beneficiaries were identified and targeted. The targeting criteria in all three projects was clear and helped in identifying and selecting the most critically vulnerable as beneficiaries, including women, girls, children, the elderly, survivors of GBV, malnourished children, pregnant and lactating women, people with disabilities, etc. However, some groups, such as </w:t>
      </w:r>
      <w:r w:rsidRPr="00A4536F">
        <w:rPr>
          <w:rFonts w:cs="Calibri"/>
          <w:b/>
          <w:bCs/>
          <w:color w:val="auto"/>
          <w:szCs w:val="18"/>
          <w:shd w:val="clear" w:color="auto" w:fill="FFFFFF"/>
        </w:rPr>
        <w:t>people</w:t>
      </w:r>
      <w:r w:rsidRPr="00A4536F">
        <w:rPr>
          <w:rFonts w:cs="Calibri"/>
          <w:b/>
          <w:bCs/>
          <w:color w:val="auto"/>
          <w:szCs w:val="18"/>
        </w:rPr>
        <w:t xml:space="preserve"> with disabilities and people living in IDP camps, were not fully considered.</w:t>
      </w:r>
    </w:p>
    <w:p w14:paraId="384D6C68" w14:textId="77777777" w:rsidR="00315466" w:rsidRPr="00A4536F" w:rsidRDefault="001D4E15" w:rsidP="00E4398D">
      <w:pPr>
        <w:spacing w:before="0" w:after="120"/>
        <w:rPr>
          <w:rFonts w:cs="Calibri"/>
          <w:color w:val="auto"/>
          <w:szCs w:val="18"/>
        </w:rPr>
      </w:pPr>
      <w:r w:rsidRPr="00A4536F">
        <w:rPr>
          <w:rFonts w:cs="Calibri"/>
          <w:color w:val="auto"/>
          <w:szCs w:val="18"/>
        </w:rPr>
        <w:t>The selection and targeting of beneficiaries followed a structured and transparent process to ensure fairness and inclusiveness.</w:t>
      </w:r>
    </w:p>
    <w:p w14:paraId="0D4496B8"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In Ethiopia, targeting was community-based, involving a committee of local leaders and community representatives, ensuring transparency and local buy-in. Criteria prioritised vulnerable groups, including female-headed households, pregnant and lactating women, households with children under five, people with disabilities, and those with chronic diseases. The verification processes were comprised of public meetings and a door-to-door survey with a 10% sample of beneficiaries. In Kenya, the Oxfam-led consortium utilised a similar community-based targeting approach, ensuring a four-step process of identifying, registering, and verifying vulnerable households. Criteria focused on households affected by drought and conflict, with special attention to women-headed households, </w:t>
      </w:r>
      <w:r w:rsidRPr="00A4536F">
        <w:rPr>
          <w:rFonts w:cs="Calibri"/>
          <w:color w:val="auto"/>
          <w:szCs w:val="18"/>
          <w:shd w:val="clear" w:color="auto" w:fill="FFFFFF"/>
        </w:rPr>
        <w:t>people</w:t>
      </w:r>
      <w:r w:rsidRPr="00A4536F">
        <w:rPr>
          <w:rFonts w:cs="Calibri"/>
          <w:color w:val="auto"/>
          <w:szCs w:val="18"/>
        </w:rPr>
        <w:t xml:space="preserve"> with disabilities, and those with malnourished children. </w:t>
      </w:r>
    </w:p>
    <w:p w14:paraId="1B56C885" w14:textId="77777777" w:rsidR="00315466" w:rsidRPr="00A4536F" w:rsidRDefault="001D4E15" w:rsidP="00E4398D">
      <w:pPr>
        <w:spacing w:before="0" w:after="120"/>
        <w:rPr>
          <w:rFonts w:cs="Calibri"/>
          <w:color w:val="auto"/>
          <w:szCs w:val="18"/>
        </w:rPr>
      </w:pPr>
      <w:r w:rsidRPr="00A4536F">
        <w:rPr>
          <w:rFonts w:cs="Calibri"/>
          <w:color w:val="auto"/>
          <w:szCs w:val="18"/>
        </w:rPr>
        <w:t>In both countries, the implementing partners emphasised transparency and community involvement. The involvement of local leaders and committees in the selection process was crucial for gaining community trust and ensuring accurate targeting. While the Plan International consortium partners in Ethiopia focused principally on vulnerable groups such as women and children, the Oxfam consortium partners in Kenya adopted a broader GEDSI (Gender, Equity, Diversity, and Social Inclusion) framework, ensuring the inclusion of marginalised groups, like ethnic minorities and those without national identification documents.</w:t>
      </w:r>
    </w:p>
    <w:p w14:paraId="6B574837"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Data from interviews and FGDs with beneficiaries and community leaders suggest that beneficiaries appreciated the transparency and the involvement of local committees. For example, in Tigray, Ethiopia, </w:t>
      </w:r>
      <w:proofErr w:type="spellStart"/>
      <w:r w:rsidRPr="00A4536F">
        <w:rPr>
          <w:rFonts w:cs="Calibri"/>
          <w:color w:val="auto"/>
          <w:szCs w:val="18"/>
        </w:rPr>
        <w:t>Marsabit</w:t>
      </w:r>
      <w:proofErr w:type="spellEnd"/>
      <w:r w:rsidRPr="00A4536F">
        <w:rPr>
          <w:rFonts w:cs="Calibri"/>
          <w:color w:val="auto"/>
          <w:szCs w:val="18"/>
        </w:rPr>
        <w:t xml:space="preserve"> and Turkana, Kenya, the selection lists were publicly posted. </w:t>
      </w:r>
    </w:p>
    <w:p w14:paraId="0E7A6523"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However, there were some gaps. In Ethiopia, for example, the initial targeting missed vulnerable people living in IDP camps, which was later rectified by establishing specific committees in the camps to aid the process. </w:t>
      </w:r>
    </w:p>
    <w:p w14:paraId="0886ACA3" w14:textId="77777777" w:rsidR="00315466" w:rsidRPr="00A4536F" w:rsidRDefault="001D4E15" w:rsidP="00E4398D">
      <w:pPr>
        <w:spacing w:before="0" w:after="120"/>
        <w:rPr>
          <w:rFonts w:cs="Calibri"/>
          <w:color w:val="auto"/>
          <w:szCs w:val="18"/>
        </w:rPr>
      </w:pPr>
      <w:r w:rsidRPr="00A4536F">
        <w:rPr>
          <w:rFonts w:cs="Calibri"/>
          <w:color w:val="auto"/>
          <w:szCs w:val="18"/>
        </w:rPr>
        <w:t>In addition, insufficient youth engagement was reported, primarily attributed to community power dynamics. The selections were done mainly during community meetings where the youth tend to have less say.</w:t>
      </w:r>
    </w:p>
    <w:p w14:paraId="3199902E"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Despite targeting marginalised groups, including </w:t>
      </w:r>
      <w:r w:rsidRPr="00A4536F">
        <w:rPr>
          <w:rFonts w:cs="Calibri"/>
          <w:color w:val="auto"/>
          <w:szCs w:val="18"/>
          <w:shd w:val="clear" w:color="auto" w:fill="FFFFFF"/>
        </w:rPr>
        <w:t>people</w:t>
      </w:r>
      <w:r w:rsidRPr="00A4536F">
        <w:rPr>
          <w:rFonts w:cs="Calibri"/>
          <w:color w:val="auto"/>
          <w:szCs w:val="18"/>
        </w:rPr>
        <w:t xml:space="preserve"> with disabilities, the support provided did not fully consider their specific needs, such as access to assistive devices and specialised rehabilitation. During field evaluations, participants revealed they often used cash transfers to purchase assistive devices or send children to distant special needs schools, leaving insufficient funds for other livelihood needs. This highlights the need for more tailored support to address the unique challenges faced by individuals with disabilities.</w:t>
      </w:r>
    </w:p>
    <w:p w14:paraId="7033B18C" w14:textId="680EDE23" w:rsidR="00F72617" w:rsidRPr="0042524B" w:rsidRDefault="001D4E15" w:rsidP="0042524B">
      <w:pPr>
        <w:pStyle w:val="Heading2"/>
        <w:spacing w:before="0" w:after="240" w:line="240" w:lineRule="auto"/>
        <w:rPr>
          <w:rFonts w:ascii="Verdana" w:hAnsi="Verdana"/>
          <w:sz w:val="24"/>
          <w:szCs w:val="24"/>
        </w:rPr>
      </w:pPr>
      <w:bookmarkStart w:id="157" w:name="_Toc165827996"/>
      <w:bookmarkStart w:id="158" w:name="_Toc174559904"/>
      <w:bookmarkStart w:id="159" w:name="_Toc181278051"/>
      <w:r w:rsidRPr="00560B2D">
        <w:rPr>
          <w:rFonts w:ascii="Verdana" w:hAnsi="Verdana"/>
          <w:sz w:val="24"/>
          <w:szCs w:val="24"/>
        </w:rPr>
        <w:t>3.9 Accountability to Affected People</w:t>
      </w:r>
      <w:bookmarkStart w:id="160" w:name="_Toc165827997"/>
      <w:bookmarkStart w:id="161" w:name="_Toc174559905"/>
      <w:bookmarkEnd w:id="157"/>
      <w:bookmarkEnd w:id="158"/>
      <w:bookmarkEnd w:id="159"/>
    </w:p>
    <w:p w14:paraId="2C5DC994" w14:textId="0EC12A31" w:rsidR="00E302D6" w:rsidRPr="0042524B" w:rsidRDefault="001D4E15" w:rsidP="0042524B">
      <w:pPr>
        <w:pStyle w:val="Heading3"/>
        <w:spacing w:after="240"/>
        <w:rPr>
          <w:rFonts w:ascii="Verdana" w:hAnsi="Verdana" w:cs="Calibri"/>
          <w:color w:val="auto"/>
          <w:sz w:val="20"/>
          <w:szCs w:val="20"/>
          <w:lang w:val="en-GB"/>
        </w:rPr>
      </w:pPr>
      <w:bookmarkStart w:id="162" w:name="_Toc181278052"/>
      <w:r w:rsidRPr="00F72617">
        <w:rPr>
          <w:rFonts w:ascii="Verdana" w:hAnsi="Verdana" w:cs="Calibri"/>
          <w:color w:val="auto"/>
          <w:sz w:val="20"/>
          <w:szCs w:val="20"/>
          <w:lang w:val="en-GB"/>
        </w:rPr>
        <w:t>EQ 16</w:t>
      </w:r>
      <w:bookmarkStart w:id="163" w:name="_Hlk173846398"/>
      <w:r w:rsidRPr="00F72617">
        <w:rPr>
          <w:rFonts w:ascii="Verdana" w:hAnsi="Verdana" w:cs="Calibri"/>
          <w:color w:val="auto"/>
          <w:sz w:val="20"/>
          <w:szCs w:val="20"/>
          <w:lang w:val="en-GB"/>
        </w:rPr>
        <w:t>. How did communication and feedback mechanisms influence the design and implementation of the interventions?</w:t>
      </w:r>
      <w:bookmarkEnd w:id="160"/>
      <w:bookmarkEnd w:id="161"/>
      <w:bookmarkEnd w:id="163"/>
      <w:bookmarkEnd w:id="162"/>
    </w:p>
    <w:p w14:paraId="7F4860E5" w14:textId="0603328A" w:rsidR="00E302D6" w:rsidRPr="00A4536F" w:rsidRDefault="001D4E15" w:rsidP="0042524B">
      <w:pPr>
        <w:spacing w:before="0" w:line="240" w:lineRule="auto"/>
        <w:rPr>
          <w:rFonts w:cs="Calibri"/>
          <w:b/>
          <w:bCs/>
          <w:color w:val="auto"/>
          <w:szCs w:val="18"/>
        </w:rPr>
      </w:pPr>
      <w:r w:rsidRPr="00A4536F">
        <w:rPr>
          <w:rFonts w:cs="Calibri"/>
          <w:b/>
          <w:bCs/>
          <w:color w:val="auto"/>
          <w:szCs w:val="18"/>
          <w:u w:val="single"/>
        </w:rPr>
        <w:t>Finding</w:t>
      </w:r>
      <w:r w:rsidRPr="00A4536F">
        <w:rPr>
          <w:rFonts w:cs="Calibri"/>
          <w:b/>
          <w:bCs/>
          <w:color w:val="auto"/>
          <w:szCs w:val="18"/>
        </w:rPr>
        <w:t xml:space="preserve">: Communication and feedback mechanisms significantly influenced the implementation of interventions by facilitating active stakeholder involvement, transparency, and timely decision-making, although beneficiaries were largely not engaged in the intervention design process except for beneficiary selection. </w:t>
      </w:r>
    </w:p>
    <w:p w14:paraId="2081B353"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All three projects had clear communication and feedback mechanisms to enable different stakeholders at various levels to participate and influence the implementation of the interventions </w:t>
      </w:r>
      <w:r w:rsidRPr="00A4536F">
        <w:rPr>
          <w:rFonts w:cs="Calibri"/>
          <w:color w:val="auto"/>
          <w:szCs w:val="18"/>
        </w:rPr>
        <w:lastRenderedPageBreak/>
        <w:t xml:space="preserve">to a large extent. Data from stakeholders at the County/Region and Sub County/woreda levels shows that consultation during the design of the interventions was limited, however. </w:t>
      </w:r>
    </w:p>
    <w:p w14:paraId="0E5B165F" w14:textId="4892043B" w:rsidR="007D2D06" w:rsidRPr="00A4536F" w:rsidRDefault="001D4E15" w:rsidP="00E4398D">
      <w:pPr>
        <w:spacing w:before="0" w:after="120"/>
        <w:rPr>
          <w:rFonts w:cs="Calibri"/>
          <w:color w:val="auto"/>
          <w:szCs w:val="18"/>
        </w:rPr>
      </w:pPr>
      <w:r w:rsidRPr="00A4536F">
        <w:rPr>
          <w:rFonts w:cs="Calibri"/>
          <w:color w:val="auto"/>
          <w:szCs w:val="18"/>
        </w:rPr>
        <w:t xml:space="preserve">Data from interviews with key informants and community leaders revealed that frequent visits by implementing organisation staff to target communities facilitated </w:t>
      </w:r>
      <w:r w:rsidRPr="00A4536F">
        <w:rPr>
          <w:rFonts w:cs="Calibri"/>
          <w:b/>
          <w:bCs/>
          <w:color w:val="auto"/>
          <w:szCs w:val="18"/>
        </w:rPr>
        <w:t>direct interaction with community</w:t>
      </w:r>
      <w:r w:rsidRPr="00A4536F">
        <w:rPr>
          <w:rFonts w:cs="Calibri"/>
          <w:color w:val="auto"/>
          <w:szCs w:val="18"/>
        </w:rPr>
        <w:t xml:space="preserve"> </w:t>
      </w:r>
      <w:r w:rsidRPr="00A4536F">
        <w:rPr>
          <w:rFonts w:cs="Calibri"/>
          <w:b/>
          <w:bCs/>
          <w:color w:val="auto"/>
          <w:szCs w:val="18"/>
        </w:rPr>
        <w:t>members</w:t>
      </w:r>
      <w:r w:rsidRPr="00A4536F">
        <w:rPr>
          <w:rFonts w:cs="Calibri"/>
          <w:color w:val="auto"/>
          <w:szCs w:val="18"/>
        </w:rPr>
        <w:t xml:space="preserve">. This close engagement enabled staff to gather first-hand insights into community needs, preferences, and challenges, which in turn informed decision-making processes. Likewise, community engagement played an important role in beneficiary selection. </w:t>
      </w:r>
    </w:p>
    <w:p w14:paraId="228541CC" w14:textId="285A4706" w:rsidR="002737B7" w:rsidRPr="00A4536F" w:rsidRDefault="002737B7" w:rsidP="00E4398D">
      <w:pPr>
        <w:spacing w:before="0" w:after="120"/>
        <w:rPr>
          <w:rFonts w:cs="Calibri"/>
          <w:b/>
          <w:bCs/>
          <w:color w:val="auto"/>
          <w:szCs w:val="18"/>
        </w:rPr>
      </w:pPr>
      <w:r w:rsidRPr="00A4536F">
        <w:rPr>
          <w:rFonts w:cs="Calibri"/>
          <w:b/>
          <w:bCs/>
          <w:color w:val="auto"/>
          <w:szCs w:val="18"/>
        </w:rPr>
        <w:t>Perspectives of the local government staff:</w:t>
      </w:r>
    </w:p>
    <w:p w14:paraId="7B4632C7" w14:textId="4F16FBE5" w:rsidR="002737B7" w:rsidRPr="00A4536F" w:rsidRDefault="002737B7" w:rsidP="00E4398D">
      <w:pPr>
        <w:spacing w:before="0" w:after="120"/>
        <w:rPr>
          <w:rFonts w:cs="Calibri"/>
          <w:color w:val="auto"/>
          <w:szCs w:val="18"/>
        </w:rPr>
      </w:pPr>
      <w:r w:rsidRPr="00A4536F">
        <w:rPr>
          <w:rFonts w:cs="Calibri"/>
          <w:i/>
          <w:iCs/>
          <w:color w:val="auto"/>
          <w:szCs w:val="18"/>
        </w:rPr>
        <w:t>Interviews with local government officials confirmed that before</w:t>
      </w:r>
      <w:r w:rsidRPr="00A4536F">
        <w:rPr>
          <w:rFonts w:cs="Calibri"/>
          <w:i/>
          <w:iCs/>
          <w:color w:val="auto"/>
          <w:szCs w:val="18"/>
          <w:lang w:eastAsia="zh-TW"/>
        </w:rPr>
        <w:t xml:space="preserve"> the agreements with the county governments were finalised, local government staff were asked to review and provide feedback on the project documents. This process allowed for the revision of certain </w:t>
      </w:r>
      <w:proofErr w:type="gramStart"/>
      <w:r w:rsidRPr="00A4536F">
        <w:rPr>
          <w:rFonts w:cs="Calibri"/>
          <w:i/>
          <w:iCs/>
          <w:color w:val="auto"/>
          <w:szCs w:val="18"/>
          <w:lang w:eastAsia="zh-TW"/>
        </w:rPr>
        <w:t>activities</w:t>
      </w:r>
      <w:proofErr w:type="gramEnd"/>
    </w:p>
    <w:p w14:paraId="03276C25" w14:textId="3CE12B12" w:rsidR="00315466" w:rsidRPr="00A4536F" w:rsidRDefault="001D4E15" w:rsidP="00E4398D">
      <w:pPr>
        <w:spacing w:before="0" w:after="120"/>
        <w:rPr>
          <w:rFonts w:cs="Calibri"/>
          <w:color w:val="auto"/>
          <w:szCs w:val="18"/>
        </w:rPr>
      </w:pPr>
      <w:r w:rsidRPr="00A4536F">
        <w:rPr>
          <w:rFonts w:cs="Calibri"/>
          <w:b/>
          <w:bCs/>
          <w:color w:val="auto"/>
          <w:szCs w:val="18"/>
        </w:rPr>
        <w:t xml:space="preserve">Transparency </w:t>
      </w:r>
      <w:r w:rsidRPr="00A4536F">
        <w:rPr>
          <w:rFonts w:cs="Calibri"/>
          <w:color w:val="auto"/>
          <w:szCs w:val="18"/>
        </w:rPr>
        <w:t>also appeared to have positively influenced decision-making in project implementation planning. For example, in both countries</w:t>
      </w:r>
      <w:r w:rsidR="00983F9C">
        <w:rPr>
          <w:rFonts w:cs="Calibri"/>
          <w:color w:val="auto"/>
          <w:szCs w:val="18"/>
        </w:rPr>
        <w:t>,</w:t>
      </w:r>
      <w:r w:rsidRPr="00A4536F">
        <w:rPr>
          <w:rFonts w:cs="Calibri"/>
          <w:color w:val="auto"/>
          <w:szCs w:val="18"/>
        </w:rPr>
        <w:t xml:space="preserve"> beneficiary selection criteria as well as the lists of beneficiaries selected were displayed in a public location, which allowed all community members to understand the process and its conclusion and enabled community feedback and complaints. Interviews and FGD data suggest that this approach fostered community buy-in. </w:t>
      </w:r>
    </w:p>
    <w:p w14:paraId="0805B87B" w14:textId="77777777" w:rsidR="0082537E" w:rsidRPr="00A4536F" w:rsidRDefault="0082537E" w:rsidP="00E4398D">
      <w:pPr>
        <w:spacing w:before="0" w:after="120"/>
        <w:rPr>
          <w:rFonts w:cs="Calibri"/>
          <w:color w:val="auto"/>
          <w:szCs w:val="18"/>
          <w:lang w:eastAsia="zh-TW"/>
        </w:rPr>
      </w:pPr>
      <w:r w:rsidRPr="00A4536F">
        <w:rPr>
          <w:rFonts w:cs="Calibri"/>
          <w:color w:val="auto"/>
          <w:szCs w:val="18"/>
          <w:lang w:eastAsia="zh-TW"/>
        </w:rPr>
        <w:t xml:space="preserve">To ensure robust complaint handling and community engagement, several mechanisms were put in place. </w:t>
      </w:r>
      <w:r w:rsidRPr="00A4536F">
        <w:rPr>
          <w:rFonts w:cs="Calibri"/>
          <w:b/>
          <w:bCs/>
          <w:color w:val="auto"/>
          <w:szCs w:val="18"/>
          <w:lang w:eastAsia="zh-TW"/>
        </w:rPr>
        <w:t>Complaint handling committees</w:t>
      </w:r>
      <w:r w:rsidRPr="00A4536F">
        <w:rPr>
          <w:rFonts w:cs="Calibri"/>
          <w:color w:val="auto"/>
          <w:szCs w:val="18"/>
          <w:lang w:eastAsia="zh-TW"/>
        </w:rPr>
        <w:t xml:space="preserve"> were established, facilitating structured feedback from stakeholders. These committees, along with local compliance committees, played a critical role in selecting beneficiaries and overseeing the implementation of activities. The project also maintained a close partnership with a community representative, which significantly contributed to gathering and addressing feedback effectively. </w:t>
      </w:r>
    </w:p>
    <w:p w14:paraId="3378D120" w14:textId="24E48F44" w:rsidR="007D2D06" w:rsidRPr="00A4536F" w:rsidRDefault="001D4E15" w:rsidP="00E4398D">
      <w:pPr>
        <w:spacing w:before="0" w:after="120"/>
        <w:rPr>
          <w:rFonts w:cs="Calibri"/>
          <w:color w:val="auto"/>
          <w:szCs w:val="18"/>
        </w:rPr>
      </w:pPr>
      <w:r w:rsidRPr="00A4536F">
        <w:rPr>
          <w:rFonts w:cs="Calibri"/>
          <w:color w:val="auto"/>
          <w:szCs w:val="18"/>
        </w:rPr>
        <w:t xml:space="preserve">The establishment of </w:t>
      </w:r>
      <w:r w:rsidRPr="00A4536F">
        <w:rPr>
          <w:rFonts w:cs="Calibri"/>
          <w:b/>
          <w:bCs/>
          <w:color w:val="auto"/>
          <w:szCs w:val="18"/>
        </w:rPr>
        <w:t>hotlines</w:t>
      </w:r>
      <w:r w:rsidRPr="00A4536F">
        <w:rPr>
          <w:rFonts w:cs="Calibri"/>
          <w:color w:val="auto"/>
          <w:szCs w:val="18"/>
        </w:rPr>
        <w:t xml:space="preserve"> by implementing organisations like SND and PACIDA and clear Complaint Feedback Mechanisms in Ethiopia for PIE and Oxfam partners enhanced decision-making processes during implementation. </w:t>
      </w:r>
      <w:r w:rsidR="007D2D06" w:rsidRPr="00A4536F">
        <w:rPr>
          <w:rFonts w:cs="Calibri"/>
          <w:color w:val="auto"/>
          <w:szCs w:val="18"/>
        </w:rPr>
        <w:t xml:space="preserve"> </w:t>
      </w:r>
      <w:r w:rsidR="007D2D06" w:rsidRPr="00A4536F">
        <w:rPr>
          <w:rFonts w:cs="Calibri"/>
          <w:color w:val="auto"/>
          <w:szCs w:val="18"/>
          <w:lang w:eastAsia="zh-TW"/>
        </w:rPr>
        <w:t xml:space="preserve">In Kenya, for example, every vendor shop displayed toll-free phone numbers, enabling community members to submit complaints or compliments directly. </w:t>
      </w:r>
      <w:r w:rsidR="00016637" w:rsidRPr="00A4536F">
        <w:rPr>
          <w:rFonts w:cs="Calibri"/>
          <w:color w:val="auto"/>
          <w:szCs w:val="18"/>
        </w:rPr>
        <w:t>The</w:t>
      </w:r>
      <w:r w:rsidR="007D2D06" w:rsidRPr="00A4536F">
        <w:rPr>
          <w:rFonts w:cs="Calibri"/>
          <w:color w:val="auto"/>
          <w:szCs w:val="18"/>
        </w:rPr>
        <w:t xml:space="preserve"> data from PACIDA project M&amp;E office show that 83% (n=55) of the complaints and feedback of the project came through project follow-up visits by the Accountability Monitoring and Evaluation Officer while 17% (n=11)</w:t>
      </w:r>
      <w:r w:rsidR="00290A60" w:rsidRPr="00A4536F">
        <w:rPr>
          <w:rFonts w:cs="Calibri"/>
          <w:color w:val="auto"/>
          <w:szCs w:val="18"/>
        </w:rPr>
        <w:t xml:space="preserve"> of the complaints and feedback</w:t>
      </w:r>
      <w:r w:rsidR="00F51B4C" w:rsidRPr="00A4536F">
        <w:rPr>
          <w:rFonts w:cs="Calibri"/>
          <w:color w:val="auto"/>
          <w:szCs w:val="18"/>
        </w:rPr>
        <w:t xml:space="preserve"> </w:t>
      </w:r>
      <w:r w:rsidR="00290A60" w:rsidRPr="00A4536F">
        <w:rPr>
          <w:rFonts w:cs="Calibri"/>
          <w:color w:val="auto"/>
          <w:szCs w:val="18"/>
        </w:rPr>
        <w:t>were received through the hotline</w:t>
      </w:r>
      <w:r w:rsidR="007D2D06" w:rsidRPr="00A4536F">
        <w:rPr>
          <w:rFonts w:cs="Calibri"/>
          <w:color w:val="auto"/>
          <w:szCs w:val="18"/>
        </w:rPr>
        <w:t>.</w:t>
      </w:r>
      <w:r w:rsidR="007D2D06" w:rsidRPr="00A4536F">
        <w:rPr>
          <w:rFonts w:cs="Calibri"/>
          <w:color w:val="auto"/>
          <w:szCs w:val="18"/>
          <w:lang w:eastAsia="zh-TW"/>
        </w:rPr>
        <w:t xml:space="preserve"> </w:t>
      </w:r>
    </w:p>
    <w:p w14:paraId="414AAB34" w14:textId="243015B2" w:rsidR="00DB74A0" w:rsidRPr="00A4536F" w:rsidRDefault="00DB74A0" w:rsidP="00B72BC6">
      <w:pPr>
        <w:pStyle w:val="Caption"/>
        <w:keepNext/>
        <w:spacing w:after="120" w:line="276" w:lineRule="auto"/>
        <w:jc w:val="left"/>
        <w:rPr>
          <w:rFonts w:cs="Calibri"/>
          <w:color w:val="auto"/>
        </w:rPr>
      </w:pPr>
      <w:r w:rsidRPr="00A4536F">
        <w:rPr>
          <w:rFonts w:cs="Calibri"/>
          <w:color w:val="auto"/>
        </w:rPr>
        <w:t xml:space="preserve">Table </w:t>
      </w:r>
      <w:r w:rsidR="007D31A4">
        <w:rPr>
          <w:rFonts w:cs="Calibri"/>
          <w:color w:val="auto"/>
        </w:rPr>
        <w:t>5</w:t>
      </w:r>
      <w:r w:rsidRPr="00A4536F">
        <w:rPr>
          <w:rFonts w:cs="Calibri"/>
          <w:color w:val="auto"/>
        </w:rPr>
        <w:t>: Beneficiary satisfaction with project communication and feedback measures</w:t>
      </w:r>
    </w:p>
    <w:tbl>
      <w:tblPr>
        <w:tblStyle w:val="GridTable4-Accent12"/>
        <w:tblpPr w:leftFromText="180" w:rightFromText="180" w:vertAnchor="text" w:horzAnchor="margin" w:tblpY="115"/>
        <w:tblW w:w="8836" w:type="dxa"/>
        <w:tblLook w:val="04A0" w:firstRow="1" w:lastRow="0" w:firstColumn="1" w:lastColumn="0" w:noHBand="0" w:noVBand="1"/>
      </w:tblPr>
      <w:tblGrid>
        <w:gridCol w:w="5524"/>
        <w:gridCol w:w="1701"/>
        <w:gridCol w:w="1611"/>
      </w:tblGrid>
      <w:tr w:rsidR="00090EFB" w:rsidRPr="00A4536F" w14:paraId="19829670" w14:textId="77777777" w:rsidTr="007D31A4">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524" w:type="dxa"/>
            <w:shd w:val="clear" w:color="auto" w:fill="FFFFFF" w:themeFill="background1"/>
            <w:hideMark/>
          </w:tcPr>
          <w:p w14:paraId="7EDB26CA" w14:textId="56F38FE4" w:rsidR="00DB74A0" w:rsidRPr="00A4536F" w:rsidRDefault="00DB74A0" w:rsidP="00E4398D">
            <w:pPr>
              <w:spacing w:before="0" w:after="120"/>
              <w:jc w:val="both"/>
              <w:rPr>
                <w:rFonts w:eastAsia="Times New Roman" w:cs="Calibri"/>
                <w:b w:val="0"/>
                <w:bCs w:val="0"/>
                <w:color w:val="auto"/>
                <w:szCs w:val="18"/>
              </w:rPr>
            </w:pPr>
            <w:r w:rsidRPr="00A4536F">
              <w:rPr>
                <w:rFonts w:eastAsia="Times New Roman" w:cs="Calibri"/>
                <w:b w:val="0"/>
                <w:bCs w:val="0"/>
                <w:color w:val="auto"/>
                <w:szCs w:val="18"/>
              </w:rPr>
              <w:t>Are you happy with the measures put in place to receive information and give feedback about the project</w:t>
            </w:r>
          </w:p>
        </w:tc>
        <w:tc>
          <w:tcPr>
            <w:tcW w:w="1701" w:type="dxa"/>
            <w:shd w:val="clear" w:color="auto" w:fill="FFFFFF" w:themeFill="background1"/>
            <w:hideMark/>
          </w:tcPr>
          <w:p w14:paraId="386C159C" w14:textId="77777777" w:rsidR="00DB74A0" w:rsidRPr="00A4536F" w:rsidRDefault="00DB74A0" w:rsidP="00E4398D">
            <w:pPr>
              <w:spacing w:before="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Cs w:val="18"/>
              </w:rPr>
            </w:pPr>
            <w:r w:rsidRPr="00A4536F">
              <w:rPr>
                <w:rFonts w:eastAsia="Times New Roman" w:cs="Calibri"/>
                <w:b w:val="0"/>
                <w:bCs w:val="0"/>
                <w:color w:val="auto"/>
                <w:szCs w:val="18"/>
              </w:rPr>
              <w:t>Number of respondents</w:t>
            </w:r>
          </w:p>
        </w:tc>
        <w:tc>
          <w:tcPr>
            <w:tcW w:w="1611" w:type="dxa"/>
            <w:shd w:val="clear" w:color="auto" w:fill="FFFFFF" w:themeFill="background1"/>
            <w:hideMark/>
          </w:tcPr>
          <w:p w14:paraId="2585CFD3" w14:textId="77777777" w:rsidR="00DB74A0" w:rsidRPr="00A4536F" w:rsidRDefault="00DB74A0" w:rsidP="00E4398D">
            <w:pPr>
              <w:spacing w:before="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Cs w:val="18"/>
              </w:rPr>
            </w:pPr>
            <w:r w:rsidRPr="00A4536F">
              <w:rPr>
                <w:rFonts w:eastAsia="Times New Roman" w:cs="Calibri"/>
                <w:b w:val="0"/>
                <w:bCs w:val="0"/>
                <w:color w:val="auto"/>
                <w:szCs w:val="18"/>
              </w:rPr>
              <w:t xml:space="preserve">Percentage </w:t>
            </w:r>
          </w:p>
        </w:tc>
      </w:tr>
      <w:tr w:rsidR="00090EFB" w:rsidRPr="00A4536F" w14:paraId="3F359BE1" w14:textId="77777777" w:rsidTr="007D31A4">
        <w:trPr>
          <w:trHeight w:val="162"/>
        </w:trPr>
        <w:tc>
          <w:tcPr>
            <w:cnfStyle w:val="001000000000" w:firstRow="0" w:lastRow="0" w:firstColumn="1" w:lastColumn="0" w:oddVBand="0" w:evenVBand="0" w:oddHBand="0" w:evenHBand="0" w:firstRowFirstColumn="0" w:firstRowLastColumn="0" w:lastRowFirstColumn="0" w:lastRowLastColumn="0"/>
            <w:tcW w:w="5524" w:type="dxa"/>
            <w:shd w:val="clear" w:color="auto" w:fill="FFFFFF" w:themeFill="background1"/>
            <w:noWrap/>
            <w:hideMark/>
          </w:tcPr>
          <w:p w14:paraId="41D216C9" w14:textId="77777777" w:rsidR="00DB74A0" w:rsidRPr="00A4536F" w:rsidRDefault="00DB74A0" w:rsidP="00E4398D">
            <w:pPr>
              <w:spacing w:before="0" w:after="120"/>
              <w:rPr>
                <w:rFonts w:eastAsia="Times New Roman" w:cs="Calibri"/>
                <w:b w:val="0"/>
                <w:bCs w:val="0"/>
                <w:color w:val="auto"/>
                <w:szCs w:val="18"/>
              </w:rPr>
            </w:pPr>
            <w:r w:rsidRPr="00A4536F">
              <w:rPr>
                <w:rFonts w:eastAsia="Times New Roman" w:cs="Calibri"/>
                <w:color w:val="auto"/>
                <w:szCs w:val="18"/>
              </w:rPr>
              <w:t>Happy (Yes)</w:t>
            </w:r>
          </w:p>
        </w:tc>
        <w:tc>
          <w:tcPr>
            <w:tcW w:w="1701" w:type="dxa"/>
            <w:shd w:val="clear" w:color="auto" w:fill="FFFFFF" w:themeFill="background1"/>
            <w:noWrap/>
            <w:hideMark/>
          </w:tcPr>
          <w:p w14:paraId="33C0FD87" w14:textId="77777777" w:rsidR="00DB74A0" w:rsidRPr="00A4536F" w:rsidRDefault="00DB74A0" w:rsidP="00E4398D">
            <w:pPr>
              <w:spacing w:before="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262</w:t>
            </w:r>
          </w:p>
        </w:tc>
        <w:tc>
          <w:tcPr>
            <w:tcW w:w="1611" w:type="dxa"/>
            <w:shd w:val="clear" w:color="auto" w:fill="FFFFFF" w:themeFill="background1"/>
            <w:noWrap/>
            <w:hideMark/>
          </w:tcPr>
          <w:p w14:paraId="0DCAFC16" w14:textId="77777777" w:rsidR="00DB74A0" w:rsidRPr="00A4536F" w:rsidRDefault="00DB74A0" w:rsidP="00E4398D">
            <w:pPr>
              <w:spacing w:before="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60%</w:t>
            </w:r>
          </w:p>
        </w:tc>
      </w:tr>
      <w:tr w:rsidR="00090EFB" w:rsidRPr="00A4536F" w14:paraId="5CC0B17A" w14:textId="77777777" w:rsidTr="007D31A4">
        <w:trPr>
          <w:trHeight w:val="162"/>
        </w:trPr>
        <w:tc>
          <w:tcPr>
            <w:cnfStyle w:val="001000000000" w:firstRow="0" w:lastRow="0" w:firstColumn="1" w:lastColumn="0" w:oddVBand="0" w:evenVBand="0" w:oddHBand="0" w:evenHBand="0" w:firstRowFirstColumn="0" w:firstRowLastColumn="0" w:lastRowFirstColumn="0" w:lastRowLastColumn="0"/>
            <w:tcW w:w="5524" w:type="dxa"/>
            <w:shd w:val="clear" w:color="auto" w:fill="FFFFFF" w:themeFill="background1"/>
            <w:noWrap/>
            <w:hideMark/>
          </w:tcPr>
          <w:p w14:paraId="06A9CFF2" w14:textId="77777777" w:rsidR="00DB74A0" w:rsidRPr="00A4536F" w:rsidRDefault="00DB74A0" w:rsidP="00E4398D">
            <w:pPr>
              <w:spacing w:before="0" w:after="120"/>
              <w:rPr>
                <w:rFonts w:eastAsia="Times New Roman" w:cs="Calibri"/>
                <w:b w:val="0"/>
                <w:bCs w:val="0"/>
                <w:color w:val="auto"/>
                <w:szCs w:val="18"/>
              </w:rPr>
            </w:pPr>
            <w:r w:rsidRPr="00A4536F">
              <w:rPr>
                <w:rFonts w:eastAsia="Times New Roman" w:cs="Calibri"/>
                <w:color w:val="auto"/>
                <w:szCs w:val="18"/>
              </w:rPr>
              <w:t>Not happy (No)</w:t>
            </w:r>
          </w:p>
        </w:tc>
        <w:tc>
          <w:tcPr>
            <w:tcW w:w="1701" w:type="dxa"/>
            <w:shd w:val="clear" w:color="auto" w:fill="FFFFFF" w:themeFill="background1"/>
            <w:noWrap/>
            <w:hideMark/>
          </w:tcPr>
          <w:p w14:paraId="3B9B3C26" w14:textId="77777777" w:rsidR="00DB74A0" w:rsidRPr="00A4536F" w:rsidRDefault="00DB74A0" w:rsidP="00E4398D">
            <w:pPr>
              <w:spacing w:before="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175</w:t>
            </w:r>
          </w:p>
        </w:tc>
        <w:tc>
          <w:tcPr>
            <w:tcW w:w="1611" w:type="dxa"/>
            <w:shd w:val="clear" w:color="auto" w:fill="FFFFFF" w:themeFill="background1"/>
            <w:noWrap/>
            <w:hideMark/>
          </w:tcPr>
          <w:p w14:paraId="4D5F5159" w14:textId="77777777" w:rsidR="00DB74A0" w:rsidRPr="00A4536F" w:rsidRDefault="00DB74A0" w:rsidP="00E4398D">
            <w:pPr>
              <w:spacing w:before="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40%</w:t>
            </w:r>
          </w:p>
        </w:tc>
      </w:tr>
      <w:tr w:rsidR="00090EFB" w:rsidRPr="00A4536F" w14:paraId="3895509E" w14:textId="77777777" w:rsidTr="007D31A4">
        <w:trPr>
          <w:trHeight w:val="162"/>
        </w:trPr>
        <w:tc>
          <w:tcPr>
            <w:cnfStyle w:val="001000000000" w:firstRow="0" w:lastRow="0" w:firstColumn="1" w:lastColumn="0" w:oddVBand="0" w:evenVBand="0" w:oddHBand="0" w:evenHBand="0" w:firstRowFirstColumn="0" w:firstRowLastColumn="0" w:lastRowFirstColumn="0" w:lastRowLastColumn="0"/>
            <w:tcW w:w="5524" w:type="dxa"/>
            <w:shd w:val="clear" w:color="auto" w:fill="FFFFFF" w:themeFill="background1"/>
            <w:noWrap/>
            <w:hideMark/>
          </w:tcPr>
          <w:p w14:paraId="67656F9B" w14:textId="77777777" w:rsidR="00DB74A0" w:rsidRPr="00A4536F" w:rsidRDefault="00DB74A0" w:rsidP="00E4398D">
            <w:pPr>
              <w:spacing w:before="0" w:after="120"/>
              <w:rPr>
                <w:rFonts w:eastAsia="Times New Roman" w:cs="Calibri"/>
                <w:b w:val="0"/>
                <w:bCs w:val="0"/>
                <w:color w:val="auto"/>
                <w:szCs w:val="18"/>
              </w:rPr>
            </w:pPr>
            <w:r w:rsidRPr="00A4536F">
              <w:rPr>
                <w:rFonts w:eastAsia="Times New Roman" w:cs="Calibri"/>
                <w:color w:val="auto"/>
                <w:szCs w:val="18"/>
              </w:rPr>
              <w:t>Total</w:t>
            </w:r>
          </w:p>
        </w:tc>
        <w:tc>
          <w:tcPr>
            <w:tcW w:w="1701" w:type="dxa"/>
            <w:shd w:val="clear" w:color="auto" w:fill="FFFFFF" w:themeFill="background1"/>
            <w:noWrap/>
            <w:hideMark/>
          </w:tcPr>
          <w:p w14:paraId="397788CB" w14:textId="77777777" w:rsidR="00DB74A0" w:rsidRPr="00A4536F" w:rsidRDefault="00DB74A0" w:rsidP="00E4398D">
            <w:pPr>
              <w:spacing w:before="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szCs w:val="18"/>
              </w:rPr>
            </w:pPr>
            <w:r w:rsidRPr="00A4536F">
              <w:rPr>
                <w:rFonts w:eastAsia="Times New Roman" w:cs="Calibri"/>
                <w:b/>
                <w:bCs/>
                <w:color w:val="auto"/>
                <w:szCs w:val="18"/>
              </w:rPr>
              <w:t>437</w:t>
            </w:r>
          </w:p>
        </w:tc>
        <w:tc>
          <w:tcPr>
            <w:tcW w:w="1611" w:type="dxa"/>
            <w:shd w:val="clear" w:color="auto" w:fill="FFFFFF" w:themeFill="background1"/>
            <w:noWrap/>
            <w:hideMark/>
          </w:tcPr>
          <w:p w14:paraId="39C79469" w14:textId="77777777" w:rsidR="00DB74A0" w:rsidRPr="00A4536F" w:rsidRDefault="00DB74A0" w:rsidP="00E4398D">
            <w:pPr>
              <w:spacing w:before="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szCs w:val="18"/>
              </w:rPr>
            </w:pPr>
            <w:r w:rsidRPr="00A4536F">
              <w:rPr>
                <w:rFonts w:eastAsia="Times New Roman" w:cs="Calibri"/>
                <w:b/>
                <w:bCs/>
                <w:color w:val="auto"/>
                <w:szCs w:val="18"/>
              </w:rPr>
              <w:t>100%</w:t>
            </w:r>
          </w:p>
        </w:tc>
      </w:tr>
    </w:tbl>
    <w:p w14:paraId="416BA4D5" w14:textId="23E062CD" w:rsidR="00F72F48" w:rsidRPr="00A4536F" w:rsidRDefault="001D4E15" w:rsidP="0042524B">
      <w:pPr>
        <w:spacing w:after="0"/>
        <w:rPr>
          <w:rFonts w:cs="Calibri"/>
          <w:color w:val="auto"/>
          <w:szCs w:val="18"/>
        </w:rPr>
      </w:pPr>
      <w:r w:rsidRPr="00A4536F">
        <w:rPr>
          <w:rFonts w:cs="Calibri"/>
          <w:color w:val="auto"/>
          <w:szCs w:val="18"/>
        </w:rPr>
        <w:t xml:space="preserve">Data from key informant interviews and beneficiary surveys suggest that these hotlines provided a platform for community members to voice concerns and that concerns raised were promptly addressed. </w:t>
      </w:r>
      <w:r w:rsidR="00F72F48" w:rsidRPr="00A4536F">
        <w:rPr>
          <w:rFonts w:cs="Calibri"/>
          <w:color w:val="auto"/>
          <w:szCs w:val="18"/>
        </w:rPr>
        <w:t xml:space="preserve">Data from the survey </w:t>
      </w:r>
      <w:r w:rsidR="009D71D6" w:rsidRPr="00A4536F">
        <w:rPr>
          <w:rFonts w:cs="Calibri"/>
          <w:color w:val="auto"/>
          <w:szCs w:val="18"/>
        </w:rPr>
        <w:t xml:space="preserve">of beneficiaries conducted during this assignment </w:t>
      </w:r>
      <w:r w:rsidR="00F72F48" w:rsidRPr="00A4536F">
        <w:rPr>
          <w:rFonts w:cs="Calibri"/>
          <w:color w:val="auto"/>
          <w:szCs w:val="18"/>
        </w:rPr>
        <w:t>show</w:t>
      </w:r>
      <w:r w:rsidR="009D71D6" w:rsidRPr="00A4536F">
        <w:rPr>
          <w:rFonts w:cs="Calibri"/>
          <w:color w:val="auto"/>
          <w:szCs w:val="18"/>
        </w:rPr>
        <w:t>ed</w:t>
      </w:r>
      <w:r w:rsidR="00F72F48" w:rsidRPr="00A4536F">
        <w:rPr>
          <w:rFonts w:cs="Calibri"/>
          <w:color w:val="auto"/>
          <w:szCs w:val="18"/>
        </w:rPr>
        <w:t xml:space="preserve"> that </w:t>
      </w:r>
      <w:proofErr w:type="gramStart"/>
      <w:r w:rsidR="009D71D6" w:rsidRPr="00A4536F">
        <w:rPr>
          <w:rFonts w:cs="Calibri"/>
          <w:color w:val="auto"/>
          <w:szCs w:val="18"/>
        </w:rPr>
        <w:t xml:space="preserve">the </w:t>
      </w:r>
      <w:r w:rsidR="00F72F48" w:rsidRPr="00A4536F">
        <w:rPr>
          <w:rFonts w:cs="Calibri"/>
          <w:color w:val="auto"/>
          <w:szCs w:val="18"/>
        </w:rPr>
        <w:t xml:space="preserve">majority </w:t>
      </w:r>
      <w:r w:rsidR="00290A60" w:rsidRPr="00A4536F">
        <w:rPr>
          <w:rFonts w:cs="Calibri"/>
          <w:color w:val="auto"/>
          <w:szCs w:val="18"/>
        </w:rPr>
        <w:t>of</w:t>
      </w:r>
      <w:proofErr w:type="gramEnd"/>
      <w:r w:rsidR="00290A60" w:rsidRPr="00A4536F">
        <w:rPr>
          <w:rFonts w:cs="Calibri"/>
          <w:color w:val="auto"/>
          <w:szCs w:val="18"/>
        </w:rPr>
        <w:t xml:space="preserve"> respondents </w:t>
      </w:r>
      <w:r w:rsidR="00F72F48" w:rsidRPr="00A4536F">
        <w:rPr>
          <w:rFonts w:cs="Calibri"/>
          <w:color w:val="auto"/>
          <w:szCs w:val="18"/>
        </w:rPr>
        <w:t xml:space="preserve">were satisfied with the </w:t>
      </w:r>
      <w:r w:rsidR="00826137" w:rsidRPr="00A4536F">
        <w:rPr>
          <w:rFonts w:cs="Calibri"/>
          <w:color w:val="auto"/>
          <w:szCs w:val="18"/>
        </w:rPr>
        <w:t xml:space="preserve">measures </w:t>
      </w:r>
      <w:r w:rsidR="00F72F48" w:rsidRPr="00A4536F">
        <w:rPr>
          <w:rFonts w:cs="Calibri"/>
          <w:color w:val="auto"/>
          <w:szCs w:val="18"/>
        </w:rPr>
        <w:t>put in place</w:t>
      </w:r>
      <w:r w:rsidR="00826137" w:rsidRPr="00A4536F">
        <w:rPr>
          <w:rFonts w:cs="Calibri"/>
          <w:color w:val="auto"/>
          <w:szCs w:val="18"/>
        </w:rPr>
        <w:t xml:space="preserve"> for</w:t>
      </w:r>
      <w:r w:rsidR="008C6AF0" w:rsidRPr="00A4536F">
        <w:rPr>
          <w:rFonts w:cs="Calibri"/>
          <w:color w:val="auto"/>
          <w:szCs w:val="18"/>
        </w:rPr>
        <w:t xml:space="preserve"> target communities </w:t>
      </w:r>
      <w:r w:rsidR="00826137" w:rsidRPr="00A4536F">
        <w:rPr>
          <w:rFonts w:cs="Calibri"/>
          <w:color w:val="auto"/>
          <w:szCs w:val="18"/>
        </w:rPr>
        <w:t>to receive information and give feed</w:t>
      </w:r>
      <w:r w:rsidR="00290A60" w:rsidRPr="00A4536F">
        <w:rPr>
          <w:rFonts w:cs="Calibri"/>
          <w:color w:val="auto"/>
          <w:szCs w:val="18"/>
        </w:rPr>
        <w:t>b</w:t>
      </w:r>
      <w:r w:rsidR="00826137" w:rsidRPr="00A4536F">
        <w:rPr>
          <w:rFonts w:cs="Calibri"/>
          <w:color w:val="auto"/>
          <w:szCs w:val="18"/>
        </w:rPr>
        <w:t xml:space="preserve">ack </w:t>
      </w:r>
      <w:r w:rsidR="009D71D6" w:rsidRPr="00A4536F">
        <w:rPr>
          <w:rFonts w:cs="Calibri"/>
          <w:color w:val="auto"/>
          <w:szCs w:val="18"/>
        </w:rPr>
        <w:t>on</w:t>
      </w:r>
      <w:r w:rsidR="00826137" w:rsidRPr="00A4536F">
        <w:rPr>
          <w:rFonts w:cs="Calibri"/>
          <w:color w:val="auto"/>
          <w:szCs w:val="18"/>
        </w:rPr>
        <w:t xml:space="preserve"> the project. See table </w:t>
      </w:r>
      <w:r w:rsidR="00E3623B">
        <w:rPr>
          <w:rFonts w:cs="Calibri"/>
          <w:color w:val="auto"/>
          <w:szCs w:val="18"/>
        </w:rPr>
        <w:t>5</w:t>
      </w:r>
      <w:r w:rsidR="00826137" w:rsidRPr="00A4536F">
        <w:rPr>
          <w:rFonts w:cs="Calibri"/>
          <w:color w:val="auto"/>
          <w:szCs w:val="18"/>
        </w:rPr>
        <w:t xml:space="preserve"> </w:t>
      </w:r>
      <w:r w:rsidR="00DB74A0" w:rsidRPr="00A4536F">
        <w:rPr>
          <w:rFonts w:cs="Calibri"/>
          <w:color w:val="auto"/>
          <w:szCs w:val="18"/>
        </w:rPr>
        <w:t>above</w:t>
      </w:r>
      <w:r w:rsidR="00826137" w:rsidRPr="00A4536F">
        <w:rPr>
          <w:rFonts w:cs="Calibri"/>
          <w:color w:val="auto"/>
          <w:szCs w:val="18"/>
        </w:rPr>
        <w:t>.</w:t>
      </w:r>
      <w:r w:rsidR="00031C0E" w:rsidRPr="00A4536F">
        <w:rPr>
          <w:rFonts w:cs="Calibri"/>
          <w:color w:val="auto"/>
          <w:szCs w:val="18"/>
        </w:rPr>
        <w:t xml:space="preserve"> </w:t>
      </w:r>
    </w:p>
    <w:p w14:paraId="2BBD04FA" w14:textId="4771BED6" w:rsidR="0043370E" w:rsidRPr="00A4536F" w:rsidRDefault="009A5B0A" w:rsidP="00E4398D">
      <w:pPr>
        <w:spacing w:before="0" w:after="120"/>
        <w:rPr>
          <w:rFonts w:cs="Calibri"/>
          <w:color w:val="auto"/>
          <w:szCs w:val="18"/>
        </w:rPr>
      </w:pPr>
      <w:r w:rsidRPr="00A4536F">
        <w:rPr>
          <w:rFonts w:cs="Calibri"/>
          <w:color w:val="auto"/>
          <w:szCs w:val="18"/>
        </w:rPr>
        <w:t xml:space="preserve">The satisfaction with the project's communication and feedback measures was largely attributed to the timely and accessible dissemination of information through </w:t>
      </w:r>
      <w:r w:rsidR="00016637" w:rsidRPr="00A4536F">
        <w:rPr>
          <w:rFonts w:cs="Calibri"/>
          <w:color w:val="auto"/>
          <w:szCs w:val="18"/>
        </w:rPr>
        <w:t xml:space="preserve">several </w:t>
      </w:r>
      <w:r w:rsidRPr="00A4536F">
        <w:rPr>
          <w:rFonts w:cs="Calibri"/>
          <w:color w:val="auto"/>
          <w:szCs w:val="18"/>
        </w:rPr>
        <w:t xml:space="preserve">channels, including public barazas, complaint handling committees, and toll-free phone lines. </w:t>
      </w:r>
      <w:r w:rsidR="006B6B35" w:rsidRPr="00A4536F">
        <w:rPr>
          <w:rFonts w:cs="Calibri"/>
          <w:color w:val="auto"/>
          <w:szCs w:val="18"/>
        </w:rPr>
        <w:t xml:space="preserve">Indeed, </w:t>
      </w:r>
      <w:r w:rsidR="00DB74A0" w:rsidRPr="00A4536F">
        <w:rPr>
          <w:rFonts w:cs="Calibri"/>
          <w:color w:val="auto"/>
          <w:szCs w:val="18"/>
        </w:rPr>
        <w:t xml:space="preserve">beneficiaries and community members interviewed reported they were satisfied with the corrective measures </w:t>
      </w:r>
      <w:r w:rsidR="00AB3F00" w:rsidRPr="00A4536F">
        <w:rPr>
          <w:rFonts w:cs="Calibri"/>
          <w:color w:val="auto"/>
          <w:szCs w:val="18"/>
        </w:rPr>
        <w:t xml:space="preserve">taken in response </w:t>
      </w:r>
      <w:r w:rsidR="00DB74A0" w:rsidRPr="00A4536F">
        <w:rPr>
          <w:rFonts w:cs="Calibri"/>
          <w:color w:val="auto"/>
          <w:szCs w:val="18"/>
        </w:rPr>
        <w:t>to their complaints.</w:t>
      </w:r>
      <w:r w:rsidR="00BD00E7" w:rsidRPr="00A4536F">
        <w:rPr>
          <w:rFonts w:cs="Calibri"/>
          <w:color w:val="auto"/>
          <w:szCs w:val="18"/>
        </w:rPr>
        <w:t xml:space="preserve"> </w:t>
      </w:r>
      <w:r w:rsidR="0043370E" w:rsidRPr="00A4536F">
        <w:rPr>
          <w:rFonts w:cs="Calibri"/>
          <w:color w:val="auto"/>
          <w:szCs w:val="18"/>
        </w:rPr>
        <w:t>For example, cases of misuse of the MCPA grant reported by household or community members to TUPADO and PACIDA via the hotline or other means triggered a swift response. In most cases, this led to the replacement of the beneficiary with another household member</w:t>
      </w:r>
      <w:r w:rsidR="006B6B35" w:rsidRPr="00A4536F">
        <w:rPr>
          <w:rFonts w:cs="Calibri"/>
          <w:color w:val="auto"/>
          <w:szCs w:val="18"/>
        </w:rPr>
        <w:t xml:space="preserve"> who met critical criteria</w:t>
      </w:r>
      <w:r w:rsidR="0043370E" w:rsidRPr="00A4536F">
        <w:rPr>
          <w:rFonts w:cs="Calibri"/>
          <w:color w:val="auto"/>
          <w:szCs w:val="18"/>
        </w:rPr>
        <w:t>.</w:t>
      </w:r>
      <w:r w:rsidR="006B6B35" w:rsidRPr="00A4536F">
        <w:rPr>
          <w:rFonts w:cs="Calibri"/>
          <w:color w:val="auto"/>
          <w:szCs w:val="18"/>
        </w:rPr>
        <w:t xml:space="preserve"> It is noted however, that the implementing </w:t>
      </w:r>
      <w:r w:rsidR="006B6B35" w:rsidRPr="00A4536F">
        <w:rPr>
          <w:rFonts w:cs="Calibri"/>
          <w:color w:val="auto"/>
          <w:szCs w:val="18"/>
        </w:rPr>
        <w:lastRenderedPageBreak/>
        <w:t xml:space="preserve">organisations did not have data on </w:t>
      </w:r>
      <w:r w:rsidR="008A3FE5" w:rsidRPr="00A4536F">
        <w:rPr>
          <w:rFonts w:cs="Calibri"/>
          <w:color w:val="auto"/>
          <w:szCs w:val="18"/>
        </w:rPr>
        <w:t xml:space="preserve">how </w:t>
      </w:r>
      <w:r w:rsidR="006B6B35" w:rsidRPr="00A4536F">
        <w:rPr>
          <w:rFonts w:cs="Calibri"/>
          <w:color w:val="auto"/>
          <w:szCs w:val="18"/>
        </w:rPr>
        <w:t xml:space="preserve">many complaints were resolved. The data available </w:t>
      </w:r>
      <w:r w:rsidR="00021FAF">
        <w:rPr>
          <w:rFonts w:cs="Calibri"/>
          <w:color w:val="auto"/>
          <w:szCs w:val="18"/>
        </w:rPr>
        <w:t xml:space="preserve">also </w:t>
      </w:r>
      <w:r w:rsidR="006B6B35" w:rsidRPr="00A4536F">
        <w:rPr>
          <w:rFonts w:cs="Calibri"/>
          <w:color w:val="auto"/>
          <w:szCs w:val="18"/>
        </w:rPr>
        <w:t>did not include information on how long it took to resolve issues raised or how many complaints were outside the area of competence of the partner.</w:t>
      </w:r>
    </w:p>
    <w:p w14:paraId="50974551" w14:textId="71B2F014" w:rsidR="00315466" w:rsidRPr="00A4536F" w:rsidRDefault="001D4E15" w:rsidP="00E4398D">
      <w:pPr>
        <w:spacing w:before="0" w:after="120"/>
        <w:rPr>
          <w:rFonts w:cs="Calibri"/>
          <w:color w:val="auto"/>
          <w:szCs w:val="18"/>
        </w:rPr>
      </w:pPr>
      <w:r w:rsidRPr="00A4536F">
        <w:rPr>
          <w:rFonts w:cs="Calibri"/>
          <w:b/>
          <w:bCs/>
          <w:color w:val="auto"/>
          <w:szCs w:val="18"/>
        </w:rPr>
        <w:t>Joint monitoring</w:t>
      </w:r>
      <w:r w:rsidRPr="00A4536F">
        <w:rPr>
          <w:rFonts w:cs="Calibri"/>
          <w:color w:val="auto"/>
          <w:szCs w:val="18"/>
        </w:rPr>
        <w:t xml:space="preserve"> among local implementing organisations’ staff and government staff ensured comprehensive oversight and identified gaps that required adjustments. This collaborative approach contributed to the streamlining of the projects’ implementation efforts and facilitated timely decision-making to address implementation challenges.</w:t>
      </w:r>
    </w:p>
    <w:p w14:paraId="08D8EE6C" w14:textId="3AC25AD6" w:rsidR="00AC1F39" w:rsidRPr="0042524B" w:rsidRDefault="001D4E15" w:rsidP="0042524B">
      <w:pPr>
        <w:pStyle w:val="Heading2"/>
        <w:spacing w:before="0" w:after="240" w:line="240" w:lineRule="auto"/>
        <w:rPr>
          <w:rFonts w:ascii="Verdana" w:hAnsi="Verdana"/>
          <w:sz w:val="24"/>
          <w:szCs w:val="24"/>
        </w:rPr>
      </w:pPr>
      <w:bookmarkStart w:id="164" w:name="_Toc164286988"/>
      <w:bookmarkStart w:id="165" w:name="_Toc164324027"/>
      <w:bookmarkStart w:id="166" w:name="_Toc165827998"/>
      <w:bookmarkStart w:id="167" w:name="_Toc164582578"/>
      <w:bookmarkStart w:id="168" w:name="_Toc174559906"/>
      <w:bookmarkStart w:id="169" w:name="_Toc181278053"/>
      <w:bookmarkEnd w:id="151"/>
      <w:bookmarkEnd w:id="152"/>
      <w:bookmarkEnd w:id="153"/>
      <w:r w:rsidRPr="00AC1F39">
        <w:rPr>
          <w:rFonts w:ascii="Verdana" w:hAnsi="Verdana"/>
          <w:sz w:val="24"/>
          <w:szCs w:val="24"/>
        </w:rPr>
        <w:t>3.10 Localisation</w:t>
      </w:r>
      <w:bookmarkEnd w:id="164"/>
      <w:bookmarkEnd w:id="165"/>
      <w:bookmarkEnd w:id="166"/>
      <w:bookmarkEnd w:id="167"/>
      <w:bookmarkEnd w:id="168"/>
      <w:bookmarkEnd w:id="169"/>
    </w:p>
    <w:p w14:paraId="47B749D5" w14:textId="4D30E62B" w:rsidR="00AC1F39" w:rsidRDefault="001D4E15" w:rsidP="0042524B">
      <w:pPr>
        <w:spacing w:before="0" w:line="240" w:lineRule="auto"/>
        <w:rPr>
          <w:rFonts w:cs="Calibri"/>
          <w:color w:val="auto"/>
          <w:szCs w:val="18"/>
        </w:rPr>
      </w:pPr>
      <w:bookmarkStart w:id="170" w:name="_Toc164286989"/>
      <w:bookmarkStart w:id="171" w:name="_Toc164582579"/>
      <w:bookmarkStart w:id="172" w:name="_Toc164324028"/>
      <w:r w:rsidRPr="00A4536F">
        <w:rPr>
          <w:rFonts w:cs="Calibri"/>
          <w:color w:val="auto"/>
          <w:szCs w:val="18"/>
        </w:rPr>
        <w:t>Localisation refers to recognising, respecting, and strengthening leadership and decision-making by national and local actors in humanitarian action to better address the needs of affected populations.</w:t>
      </w:r>
      <w:r w:rsidRPr="00A4536F">
        <w:rPr>
          <w:rFonts w:cs="Calibri"/>
          <w:color w:val="auto"/>
          <w:szCs w:val="18"/>
          <w:vertAlign w:val="superscript"/>
        </w:rPr>
        <w:footnoteReference w:id="20"/>
      </w:r>
      <w:r w:rsidRPr="00A4536F">
        <w:rPr>
          <w:rFonts w:cs="Calibri"/>
          <w:color w:val="auto"/>
          <w:szCs w:val="18"/>
        </w:rPr>
        <w:t xml:space="preserve"> This subsection focuses on answering the following two questions:</w:t>
      </w:r>
      <w:bookmarkStart w:id="173" w:name="_Toc165827999"/>
      <w:bookmarkStart w:id="174" w:name="_Toc174559907"/>
    </w:p>
    <w:p w14:paraId="131C58BB" w14:textId="2DD6F309" w:rsidR="00AC1F39" w:rsidRPr="0042524B" w:rsidRDefault="001D4E15" w:rsidP="0042524B">
      <w:pPr>
        <w:pStyle w:val="Heading3"/>
        <w:spacing w:after="240"/>
        <w:rPr>
          <w:rFonts w:ascii="Verdana" w:hAnsi="Verdana" w:cs="Calibri"/>
          <w:color w:val="auto"/>
          <w:sz w:val="20"/>
          <w:szCs w:val="20"/>
          <w:lang w:val="en-GB"/>
        </w:rPr>
      </w:pPr>
      <w:bookmarkStart w:id="175" w:name="_Toc181278054"/>
      <w:r w:rsidRPr="00AC1F39">
        <w:rPr>
          <w:rFonts w:ascii="Verdana" w:hAnsi="Verdana" w:cs="Calibri"/>
          <w:color w:val="auto"/>
          <w:sz w:val="20"/>
          <w:szCs w:val="20"/>
          <w:lang w:val="en-GB"/>
        </w:rPr>
        <w:t>EQ 17. To what extent have the interventions utilised local systems and enhanced local leadership, coordination, and capacity?</w:t>
      </w:r>
      <w:bookmarkEnd w:id="170"/>
      <w:bookmarkEnd w:id="171"/>
      <w:bookmarkEnd w:id="172"/>
      <w:bookmarkEnd w:id="173"/>
      <w:bookmarkEnd w:id="174"/>
      <w:bookmarkEnd w:id="175"/>
    </w:p>
    <w:p w14:paraId="40B51DA7" w14:textId="682C785F" w:rsidR="00AC1F39" w:rsidRPr="0042524B" w:rsidRDefault="001D4E15" w:rsidP="0042524B">
      <w:pPr>
        <w:spacing w:before="0" w:line="240" w:lineRule="auto"/>
        <w:rPr>
          <w:rFonts w:cs="Calibri"/>
          <w:color w:val="auto"/>
          <w:szCs w:val="18"/>
        </w:rPr>
      </w:pPr>
      <w:r w:rsidRPr="00A4536F">
        <w:rPr>
          <w:rFonts w:cs="Calibri"/>
          <w:b/>
          <w:bCs/>
          <w:color w:val="auto"/>
          <w:szCs w:val="18"/>
          <w:u w:val="single"/>
        </w:rPr>
        <w:t>Finding</w:t>
      </w:r>
      <w:r w:rsidRPr="00A4536F">
        <w:rPr>
          <w:rFonts w:cs="Calibri"/>
          <w:b/>
          <w:bCs/>
          <w:color w:val="auto"/>
          <w:szCs w:val="18"/>
        </w:rPr>
        <w:t>:</w:t>
      </w:r>
      <w:r w:rsidRPr="00A4536F">
        <w:rPr>
          <w:rFonts w:cs="Calibri"/>
          <w:color w:val="auto"/>
          <w:szCs w:val="18"/>
        </w:rPr>
        <w:t xml:space="preserve"> </w:t>
      </w:r>
      <w:r w:rsidRPr="00A4536F">
        <w:rPr>
          <w:rFonts w:cs="Calibri"/>
          <w:b/>
          <w:bCs/>
          <w:color w:val="auto"/>
          <w:szCs w:val="18"/>
        </w:rPr>
        <w:t>The interventions made consistent use of local and regional governance structures, as well as local capacity (government technical staff), and local resources (vendors and systems).</w:t>
      </w:r>
      <w:r w:rsidRPr="00A4536F">
        <w:rPr>
          <w:rFonts w:cs="Calibri"/>
          <w:color w:val="auto"/>
          <w:szCs w:val="18"/>
        </w:rPr>
        <w:t xml:space="preserve">  </w:t>
      </w:r>
    </w:p>
    <w:p w14:paraId="3CE1596D"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To answer this question, it is important to understand what local systems and structures exist in the project target areas. The evaluation team found that in areas where FSL activities were implemented there are several levels of government/leadership that need to be considered. </w:t>
      </w:r>
    </w:p>
    <w:p w14:paraId="2C307F0B"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At the sub-county/woreda level, the government consists of administrative staff and subject specialists like public health workers, agriculture officers, water engineers, and gender and child protection officers. In this structure, multiple committees and taskforces work together to enhance coordination of service delivery. Both the county/regional and sub-county/woreda structures were actively engaged in the planning and execution of the FSL interventions. </w:t>
      </w:r>
    </w:p>
    <w:p w14:paraId="5B8697AB"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During implementation of the interventions, the local partners utilised local government and community leadership structures at the subcounty/woreda and county/regional levels. Collaborations with local government staff across sectors, including Health, Water, ICT, Gender and Culture, Sexual Reproductive Health, Irrigation, and Agriculture, provided technical advice, training, monitoring, and supervision. Government offices were represented in Technical Working Groups, playing significant roles in </w:t>
      </w:r>
      <w:proofErr w:type="gramStart"/>
      <w:r w:rsidRPr="00A4536F">
        <w:rPr>
          <w:rFonts w:cs="Calibri"/>
          <w:color w:val="auto"/>
          <w:szCs w:val="18"/>
        </w:rPr>
        <w:t>planning</w:t>
      </w:r>
      <w:proofErr w:type="gramEnd"/>
      <w:r w:rsidRPr="00A4536F">
        <w:rPr>
          <w:rFonts w:cs="Calibri"/>
          <w:color w:val="auto"/>
          <w:szCs w:val="18"/>
        </w:rPr>
        <w:t xml:space="preserve"> and overseeing project interventions.</w:t>
      </w:r>
    </w:p>
    <w:p w14:paraId="557570AF"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Community leaders, chiefs, sub-chiefs, and committees from schools and health facilities were instrumental in planning, beneficiary selection, monitoring, and community engagement. In </w:t>
      </w:r>
      <w:proofErr w:type="spellStart"/>
      <w:r w:rsidRPr="00A4536F">
        <w:rPr>
          <w:rFonts w:cs="Calibri"/>
          <w:color w:val="auto"/>
          <w:szCs w:val="18"/>
        </w:rPr>
        <w:t>Marsabit</w:t>
      </w:r>
      <w:proofErr w:type="spellEnd"/>
      <w:r w:rsidRPr="00A4536F">
        <w:rPr>
          <w:rFonts w:cs="Calibri"/>
          <w:color w:val="auto"/>
          <w:szCs w:val="18"/>
        </w:rPr>
        <w:t xml:space="preserve"> and Turkana, local leadership mobilised communities, selected beneficiaries, and managed follow-up activities like water management and non-food item distribution. In Afar, APDA employed local experts and established community committees to address GBV, ensuring cultural appropriateness and sustainability.</w:t>
      </w:r>
    </w:p>
    <w:p w14:paraId="1570C331" w14:textId="29EF2B63" w:rsidR="00315466" w:rsidRPr="00A4536F" w:rsidRDefault="001D4E15" w:rsidP="00E4398D">
      <w:pPr>
        <w:spacing w:before="0" w:after="120"/>
        <w:rPr>
          <w:rFonts w:cs="Calibri"/>
          <w:color w:val="auto"/>
          <w:szCs w:val="18"/>
        </w:rPr>
      </w:pPr>
      <w:r w:rsidRPr="00A4536F">
        <w:rPr>
          <w:rFonts w:cs="Calibri"/>
          <w:color w:val="auto"/>
          <w:szCs w:val="18"/>
        </w:rPr>
        <w:t xml:space="preserve">  </w:t>
      </w:r>
      <w:bookmarkStart w:id="176" w:name="_Toc170415436"/>
      <w:r w:rsidRPr="00A4536F">
        <w:rPr>
          <w:rFonts w:cs="Calibri"/>
          <w:color w:val="auto"/>
          <w:szCs w:val="18"/>
        </w:rPr>
        <w:t xml:space="preserve">Table </w:t>
      </w:r>
      <w:r w:rsidR="00401359">
        <w:rPr>
          <w:rFonts w:cs="Calibri"/>
          <w:color w:val="auto"/>
          <w:szCs w:val="18"/>
        </w:rPr>
        <w:t>6</w:t>
      </w:r>
      <w:r w:rsidRPr="00A4536F">
        <w:rPr>
          <w:rFonts w:cs="Calibri"/>
          <w:color w:val="auto"/>
          <w:szCs w:val="18"/>
        </w:rPr>
        <w:t>: Effectiveness of FSL project supporting and using local systems</w:t>
      </w:r>
      <w:bookmarkStart w:id="177" w:name="_Hlk169130159"/>
      <w:bookmarkEnd w:id="176"/>
    </w:p>
    <w:tbl>
      <w:tblPr>
        <w:tblStyle w:val="GridTable4-Accent12"/>
        <w:tblW w:w="4942" w:type="pct"/>
        <w:tblLook w:val="04A0" w:firstRow="1" w:lastRow="0" w:firstColumn="1" w:lastColumn="0" w:noHBand="0" w:noVBand="1"/>
      </w:tblPr>
      <w:tblGrid>
        <w:gridCol w:w="2303"/>
        <w:gridCol w:w="2203"/>
        <w:gridCol w:w="2203"/>
        <w:gridCol w:w="2203"/>
      </w:tblGrid>
      <w:tr w:rsidR="00090EFB" w:rsidRPr="00A4536F" w14:paraId="399B3489" w14:textId="77777777" w:rsidTr="00401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shd w:val="clear" w:color="auto" w:fill="FFFFFF" w:themeFill="background1"/>
          </w:tcPr>
          <w:p w14:paraId="5884EC10" w14:textId="77777777" w:rsidR="00315466" w:rsidRPr="00A4536F" w:rsidRDefault="001D4E15" w:rsidP="00E4398D">
            <w:pPr>
              <w:spacing w:before="0" w:after="120"/>
              <w:rPr>
                <w:rFonts w:cs="Calibri"/>
                <w:b w:val="0"/>
                <w:bCs w:val="0"/>
                <w:color w:val="auto"/>
                <w:szCs w:val="18"/>
              </w:rPr>
            </w:pPr>
            <w:r w:rsidRPr="00A4536F">
              <w:rPr>
                <w:rFonts w:cs="Calibri"/>
                <w:color w:val="auto"/>
                <w:szCs w:val="18"/>
              </w:rPr>
              <w:t>Country</w:t>
            </w:r>
          </w:p>
        </w:tc>
        <w:tc>
          <w:tcPr>
            <w:tcW w:w="1236" w:type="pct"/>
            <w:shd w:val="clear" w:color="auto" w:fill="FFFFFF" w:themeFill="background1"/>
          </w:tcPr>
          <w:p w14:paraId="7E60F834" w14:textId="6F76CF3C" w:rsidR="00315466" w:rsidRPr="00A4536F" w:rsidRDefault="00FF30A2" w:rsidP="00E4398D">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No/Yes</w:t>
            </w:r>
          </w:p>
        </w:tc>
        <w:tc>
          <w:tcPr>
            <w:tcW w:w="1236" w:type="pct"/>
            <w:shd w:val="clear" w:color="auto" w:fill="FFFFFF" w:themeFill="background1"/>
          </w:tcPr>
          <w:p w14:paraId="691ECD49" w14:textId="77777777" w:rsidR="00315466" w:rsidRPr="00A4536F" w:rsidRDefault="001D4E15" w:rsidP="00E4398D">
            <w:pPr>
              <w:spacing w:before="0" w:after="120"/>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Number</w:t>
            </w:r>
          </w:p>
        </w:tc>
        <w:tc>
          <w:tcPr>
            <w:tcW w:w="1236" w:type="pct"/>
            <w:shd w:val="clear" w:color="auto" w:fill="FFFFFF" w:themeFill="background1"/>
          </w:tcPr>
          <w:p w14:paraId="5DB66706" w14:textId="77777777" w:rsidR="00315466" w:rsidRPr="00A4536F" w:rsidRDefault="001D4E15" w:rsidP="00E4398D">
            <w:pPr>
              <w:spacing w:before="0" w:after="120"/>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cs="Calibri"/>
                <w:color w:val="auto"/>
                <w:szCs w:val="18"/>
              </w:rPr>
              <w:t>%</w:t>
            </w:r>
          </w:p>
        </w:tc>
      </w:tr>
      <w:tr w:rsidR="00090EFB" w:rsidRPr="00A4536F" w14:paraId="12BBA5C1" w14:textId="77777777" w:rsidTr="008A3FE5">
        <w:tc>
          <w:tcPr>
            <w:cnfStyle w:val="001000000000" w:firstRow="0" w:lastRow="0" w:firstColumn="1" w:lastColumn="0" w:oddVBand="0" w:evenVBand="0" w:oddHBand="0" w:evenHBand="0" w:firstRowFirstColumn="0" w:firstRowLastColumn="0" w:lastRowFirstColumn="0" w:lastRowLastColumn="0"/>
            <w:tcW w:w="1292" w:type="pct"/>
          </w:tcPr>
          <w:p w14:paraId="123B4011" w14:textId="77777777" w:rsidR="00315466" w:rsidRPr="00A4536F" w:rsidRDefault="001D4E15" w:rsidP="00E4398D">
            <w:pPr>
              <w:spacing w:before="0" w:after="120"/>
              <w:rPr>
                <w:rFonts w:cs="Calibri"/>
                <w:b w:val="0"/>
                <w:bCs w:val="0"/>
                <w:color w:val="auto"/>
                <w:szCs w:val="18"/>
              </w:rPr>
            </w:pPr>
            <w:r w:rsidRPr="00A4536F">
              <w:rPr>
                <w:rFonts w:cs="Calibri"/>
                <w:color w:val="auto"/>
                <w:szCs w:val="18"/>
              </w:rPr>
              <w:t>Ethiopia</w:t>
            </w:r>
          </w:p>
        </w:tc>
        <w:tc>
          <w:tcPr>
            <w:tcW w:w="1236" w:type="pct"/>
          </w:tcPr>
          <w:p w14:paraId="06158CEB"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No</w:t>
            </w:r>
          </w:p>
        </w:tc>
        <w:tc>
          <w:tcPr>
            <w:tcW w:w="1236" w:type="pct"/>
          </w:tcPr>
          <w:p w14:paraId="03CBC474"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112</w:t>
            </w:r>
          </w:p>
        </w:tc>
        <w:tc>
          <w:tcPr>
            <w:tcW w:w="1236" w:type="pct"/>
          </w:tcPr>
          <w:p w14:paraId="3B3C48A5"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29.6</w:t>
            </w:r>
          </w:p>
        </w:tc>
      </w:tr>
      <w:tr w:rsidR="00090EFB" w:rsidRPr="00A4536F" w14:paraId="578EEDAB" w14:textId="77777777" w:rsidTr="008A3FE5">
        <w:tc>
          <w:tcPr>
            <w:cnfStyle w:val="001000000000" w:firstRow="0" w:lastRow="0" w:firstColumn="1" w:lastColumn="0" w:oddVBand="0" w:evenVBand="0" w:oddHBand="0" w:evenHBand="0" w:firstRowFirstColumn="0" w:firstRowLastColumn="0" w:lastRowFirstColumn="0" w:lastRowLastColumn="0"/>
            <w:tcW w:w="1292" w:type="pct"/>
          </w:tcPr>
          <w:p w14:paraId="43D29F5A" w14:textId="1A14D6AD" w:rsidR="00315466" w:rsidRPr="00A4536F" w:rsidRDefault="00BB15AD" w:rsidP="00E4398D">
            <w:pPr>
              <w:spacing w:before="0" w:after="120"/>
              <w:rPr>
                <w:rFonts w:cs="Calibri"/>
                <w:color w:val="auto"/>
                <w:szCs w:val="18"/>
              </w:rPr>
            </w:pPr>
            <w:r w:rsidRPr="00A4536F">
              <w:rPr>
                <w:rFonts w:cs="Calibri"/>
                <w:color w:val="auto"/>
                <w:szCs w:val="18"/>
              </w:rPr>
              <w:t>Ethiopia</w:t>
            </w:r>
          </w:p>
        </w:tc>
        <w:tc>
          <w:tcPr>
            <w:tcW w:w="1236" w:type="pct"/>
          </w:tcPr>
          <w:p w14:paraId="0238090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Yes</w:t>
            </w:r>
          </w:p>
        </w:tc>
        <w:tc>
          <w:tcPr>
            <w:tcW w:w="1236" w:type="pct"/>
          </w:tcPr>
          <w:p w14:paraId="3AC00AE5"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266</w:t>
            </w:r>
          </w:p>
        </w:tc>
        <w:tc>
          <w:tcPr>
            <w:tcW w:w="1236" w:type="pct"/>
          </w:tcPr>
          <w:p w14:paraId="746EBE7E"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70.4</w:t>
            </w:r>
          </w:p>
        </w:tc>
      </w:tr>
      <w:tr w:rsidR="00090EFB" w:rsidRPr="00A4536F" w14:paraId="09ED03B6" w14:textId="77777777" w:rsidTr="008A3FE5">
        <w:tc>
          <w:tcPr>
            <w:cnfStyle w:val="001000000000" w:firstRow="0" w:lastRow="0" w:firstColumn="1" w:lastColumn="0" w:oddVBand="0" w:evenVBand="0" w:oddHBand="0" w:evenHBand="0" w:firstRowFirstColumn="0" w:firstRowLastColumn="0" w:lastRowFirstColumn="0" w:lastRowLastColumn="0"/>
            <w:tcW w:w="1292" w:type="pct"/>
          </w:tcPr>
          <w:p w14:paraId="2140A9BE" w14:textId="1CC0064F" w:rsidR="00315466" w:rsidRPr="00A4536F" w:rsidRDefault="00090EFB" w:rsidP="00E4398D">
            <w:pPr>
              <w:spacing w:before="0" w:after="120"/>
              <w:rPr>
                <w:rFonts w:cs="Calibri"/>
                <w:b w:val="0"/>
                <w:bCs w:val="0"/>
                <w:color w:val="auto"/>
                <w:szCs w:val="18"/>
              </w:rPr>
            </w:pPr>
            <w:r w:rsidRPr="00A4536F">
              <w:rPr>
                <w:rFonts w:cs="Calibri"/>
                <w:b w:val="0"/>
                <w:bCs w:val="0"/>
                <w:color w:val="auto"/>
                <w:szCs w:val="18"/>
              </w:rPr>
              <w:t>Total</w:t>
            </w:r>
          </w:p>
        </w:tc>
        <w:tc>
          <w:tcPr>
            <w:tcW w:w="1236" w:type="pct"/>
          </w:tcPr>
          <w:p w14:paraId="48BC91B9"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Total</w:t>
            </w:r>
          </w:p>
        </w:tc>
        <w:tc>
          <w:tcPr>
            <w:tcW w:w="1236" w:type="pct"/>
          </w:tcPr>
          <w:p w14:paraId="052F4CCA"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378</w:t>
            </w:r>
          </w:p>
        </w:tc>
        <w:tc>
          <w:tcPr>
            <w:tcW w:w="1236" w:type="pct"/>
          </w:tcPr>
          <w:p w14:paraId="02A1880D"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100.0</w:t>
            </w:r>
          </w:p>
        </w:tc>
      </w:tr>
      <w:tr w:rsidR="00090EFB" w:rsidRPr="00A4536F" w14:paraId="20C013B5" w14:textId="77777777" w:rsidTr="008A3FE5">
        <w:tc>
          <w:tcPr>
            <w:cnfStyle w:val="001000000000" w:firstRow="0" w:lastRow="0" w:firstColumn="1" w:lastColumn="0" w:oddVBand="0" w:evenVBand="0" w:oddHBand="0" w:evenHBand="0" w:firstRowFirstColumn="0" w:firstRowLastColumn="0" w:lastRowFirstColumn="0" w:lastRowLastColumn="0"/>
            <w:tcW w:w="1292" w:type="pct"/>
          </w:tcPr>
          <w:p w14:paraId="64B41E4E" w14:textId="77777777" w:rsidR="00315466" w:rsidRPr="00A4536F" w:rsidRDefault="001D4E15" w:rsidP="00E4398D">
            <w:pPr>
              <w:spacing w:before="0" w:after="120"/>
              <w:rPr>
                <w:rFonts w:cs="Calibri"/>
                <w:b w:val="0"/>
                <w:bCs w:val="0"/>
                <w:color w:val="auto"/>
                <w:szCs w:val="18"/>
              </w:rPr>
            </w:pPr>
            <w:r w:rsidRPr="00A4536F">
              <w:rPr>
                <w:rFonts w:cs="Calibri"/>
                <w:color w:val="auto"/>
                <w:szCs w:val="18"/>
              </w:rPr>
              <w:t>Kenya</w:t>
            </w:r>
          </w:p>
        </w:tc>
        <w:tc>
          <w:tcPr>
            <w:tcW w:w="1236" w:type="pct"/>
          </w:tcPr>
          <w:p w14:paraId="6CFB8837"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Yes</w:t>
            </w:r>
          </w:p>
        </w:tc>
        <w:tc>
          <w:tcPr>
            <w:tcW w:w="1236" w:type="pct"/>
          </w:tcPr>
          <w:p w14:paraId="08A59A7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58</w:t>
            </w:r>
          </w:p>
        </w:tc>
        <w:tc>
          <w:tcPr>
            <w:tcW w:w="1236" w:type="pct"/>
          </w:tcPr>
          <w:p w14:paraId="5424BEFF" w14:textId="77777777" w:rsidR="00315466" w:rsidRPr="00A4536F" w:rsidRDefault="001D4E15" w:rsidP="00E4398D">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100.0</w:t>
            </w:r>
          </w:p>
        </w:tc>
      </w:tr>
    </w:tbl>
    <w:p w14:paraId="03C0BCC8" w14:textId="3BF915BA" w:rsidR="00315466" w:rsidRPr="00A4536F" w:rsidRDefault="001D4E15" w:rsidP="0042524B">
      <w:pPr>
        <w:spacing w:after="120"/>
        <w:rPr>
          <w:rFonts w:cs="Calibri"/>
          <w:i/>
          <w:iCs/>
          <w:color w:val="auto"/>
          <w:szCs w:val="18"/>
          <w:highlight w:val="yellow"/>
        </w:rPr>
      </w:pPr>
      <w:r w:rsidRPr="00A4536F">
        <w:rPr>
          <w:rFonts w:cs="Calibri"/>
          <w:i/>
          <w:iCs/>
          <w:color w:val="auto"/>
          <w:szCs w:val="18"/>
        </w:rPr>
        <w:t>Question: Did the project use local systems and support local leadership, coordination, and strengthen capacity effectively?</w:t>
      </w:r>
    </w:p>
    <w:p w14:paraId="1416F6B6" w14:textId="0C2505E9" w:rsidR="00315466" w:rsidRPr="00A4536F" w:rsidRDefault="001D4E15" w:rsidP="00E4398D">
      <w:pPr>
        <w:spacing w:before="0" w:after="120"/>
        <w:rPr>
          <w:rFonts w:cs="Calibri"/>
          <w:color w:val="auto"/>
          <w:szCs w:val="18"/>
        </w:rPr>
      </w:pPr>
      <w:r w:rsidRPr="00A4536F">
        <w:rPr>
          <w:rFonts w:cs="Calibri"/>
          <w:color w:val="auto"/>
          <w:szCs w:val="18"/>
        </w:rPr>
        <w:lastRenderedPageBreak/>
        <w:t xml:space="preserve">Table </w:t>
      </w:r>
      <w:r w:rsidR="00BF2AC0">
        <w:rPr>
          <w:rFonts w:cs="Calibri"/>
          <w:color w:val="auto"/>
          <w:szCs w:val="18"/>
        </w:rPr>
        <w:t>6</w:t>
      </w:r>
      <w:r w:rsidRPr="00A4536F">
        <w:rPr>
          <w:rFonts w:cs="Calibri"/>
          <w:color w:val="auto"/>
          <w:szCs w:val="18"/>
        </w:rPr>
        <w:t xml:space="preserve"> above shows the views of the beneficiaries on whether the projects effectively utilised local systems and structures.  The beneficiaries expressed satisfaction with the projects' utilisation of local systems and the assistance given to local leadership and </w:t>
      </w:r>
      <w:r w:rsidR="00E571DE" w:rsidRPr="00A4536F">
        <w:rPr>
          <w:rFonts w:cs="Calibri"/>
          <w:color w:val="auto"/>
          <w:szCs w:val="18"/>
        </w:rPr>
        <w:t>c</w:t>
      </w:r>
      <w:r w:rsidRPr="00A4536F">
        <w:rPr>
          <w:rFonts w:cs="Calibri"/>
          <w:color w:val="auto"/>
          <w:szCs w:val="18"/>
        </w:rPr>
        <w:t>apacity development. Data collected from interviews with various stakeh</w:t>
      </w:r>
      <w:r w:rsidR="00E571DE" w:rsidRPr="00A4536F">
        <w:rPr>
          <w:rFonts w:cs="Calibri"/>
          <w:color w:val="auto"/>
          <w:szCs w:val="18"/>
        </w:rPr>
        <w:t>olders</w:t>
      </w:r>
      <w:r w:rsidRPr="00A4536F">
        <w:rPr>
          <w:rFonts w:cs="Calibri"/>
          <w:color w:val="auto"/>
          <w:szCs w:val="18"/>
        </w:rPr>
        <w:t xml:space="preserve">, including government officials, implementing partners' staff, community leaders, and project beneficiaries in FGDs, reinforces this positive feedback. </w:t>
      </w:r>
    </w:p>
    <w:p w14:paraId="3FFA282B" w14:textId="0E8C276D" w:rsidR="00315466" w:rsidRPr="00A4536F" w:rsidRDefault="001D4E15" w:rsidP="00E4398D">
      <w:pPr>
        <w:spacing w:before="0" w:after="120"/>
        <w:rPr>
          <w:rFonts w:cs="Calibri"/>
          <w:color w:val="auto"/>
          <w:szCs w:val="18"/>
        </w:rPr>
      </w:pPr>
      <w:r w:rsidRPr="00A4536F">
        <w:rPr>
          <w:rFonts w:cs="Calibri"/>
          <w:color w:val="auto"/>
          <w:szCs w:val="18"/>
        </w:rPr>
        <w:t xml:space="preserve">The FSL interventions achieved positive results thanks to the </w:t>
      </w:r>
      <w:r w:rsidR="00E571DE" w:rsidRPr="00A4536F">
        <w:rPr>
          <w:rFonts w:cs="Calibri"/>
          <w:color w:val="auto"/>
          <w:szCs w:val="18"/>
        </w:rPr>
        <w:t>c</w:t>
      </w:r>
      <w:r w:rsidRPr="00A4536F">
        <w:rPr>
          <w:rFonts w:cs="Calibri"/>
          <w:color w:val="auto"/>
          <w:szCs w:val="18"/>
        </w:rPr>
        <w:t>ollaboration between Australian NGOs and local organisations. In Ethiopia, for instance, Oxfam allocated 88% of its project funds to local partners (APDA, We-Action, REST), and in Kenya, 75% went to local partners (ASAL, AHN, SND, PACIDA, TUPADO). These local partners, with their existing ability, required little guidance, enabling local ownership of the implementation. In the same way, in the Plan International-led consortium, PIE and SCIE, which were locally incorporated, directly oversaw activities in Tigray and Somali Regions, in partnership with REST and PIADO respectively, and ANE in Oromia. This approach is consistent with the Grand Bargain commitments, supporting localisation, increasing efficiency, and ensuring that aid is more suitable and responsive to local needs. By enabling local organisations, the interventions leveraged their contextual knowledge and long-term presence, ultimately leading to more sustainable and effective outcomes.</w:t>
      </w:r>
    </w:p>
    <w:p w14:paraId="1BCB3864" w14:textId="1EE09A09" w:rsidR="00BF2AC0" w:rsidRPr="0042524B" w:rsidRDefault="13A43D1C" w:rsidP="0042524B">
      <w:pPr>
        <w:pStyle w:val="Heading3"/>
        <w:spacing w:after="240"/>
        <w:rPr>
          <w:rFonts w:ascii="Verdana" w:hAnsi="Verdana"/>
          <w:color w:val="auto"/>
          <w:sz w:val="20"/>
          <w:szCs w:val="20"/>
          <w:lang w:val="en-GB"/>
        </w:rPr>
      </w:pPr>
      <w:bookmarkStart w:id="178" w:name="_Toc164324029"/>
      <w:bookmarkStart w:id="179" w:name="_Toc164286990"/>
      <w:bookmarkStart w:id="180" w:name="_Toc164582580"/>
      <w:bookmarkStart w:id="181" w:name="_Toc165828000"/>
      <w:bookmarkStart w:id="182" w:name="_Toc174559908"/>
      <w:bookmarkStart w:id="183" w:name="_Toc181278055"/>
      <w:r w:rsidRPr="460E68A0">
        <w:rPr>
          <w:rFonts w:ascii="Verdana" w:hAnsi="Verdana"/>
          <w:color w:val="auto"/>
          <w:sz w:val="20"/>
          <w:szCs w:val="20"/>
          <w:lang w:val="en-GB"/>
        </w:rPr>
        <w:t xml:space="preserve">EQ 18. </w:t>
      </w:r>
      <w:r w:rsidRPr="460E68A0">
        <w:rPr>
          <w:rStyle w:val="cf01"/>
          <w:rFonts w:ascii="Verdana" w:hAnsi="Verdana" w:cs="Times New Roman"/>
          <w:color w:val="auto"/>
          <w:sz w:val="20"/>
          <w:szCs w:val="20"/>
          <w:lang w:val="en-GB"/>
        </w:rPr>
        <w:t>What are the anticipated benefits of localisation, the likely risks and possible intersection/clash with other outcomes?</w:t>
      </w:r>
      <w:bookmarkEnd w:id="178"/>
      <w:bookmarkEnd w:id="179"/>
      <w:bookmarkEnd w:id="180"/>
      <w:bookmarkEnd w:id="181"/>
      <w:bookmarkEnd w:id="182"/>
      <w:bookmarkEnd w:id="183"/>
    </w:p>
    <w:p w14:paraId="09D6B06A" w14:textId="77777777" w:rsidR="00315466" w:rsidRPr="00A4536F" w:rsidRDefault="001D4E15" w:rsidP="00BF2AC0">
      <w:pPr>
        <w:spacing w:before="0" w:after="0" w:line="240" w:lineRule="auto"/>
        <w:rPr>
          <w:rFonts w:cs="Calibri"/>
          <w:color w:val="auto"/>
          <w:szCs w:val="18"/>
        </w:rPr>
      </w:pPr>
      <w:r w:rsidRPr="00A4536F">
        <w:rPr>
          <w:rFonts w:cs="Calibri"/>
          <w:b/>
          <w:bCs/>
          <w:color w:val="auto"/>
          <w:szCs w:val="18"/>
          <w:u w:val="single"/>
        </w:rPr>
        <w:t>Finding</w:t>
      </w:r>
      <w:r w:rsidRPr="00A4536F">
        <w:rPr>
          <w:rFonts w:cs="Calibri"/>
          <w:b/>
          <w:bCs/>
          <w:color w:val="auto"/>
          <w:szCs w:val="18"/>
        </w:rPr>
        <w:t>:</w:t>
      </w:r>
      <w:r w:rsidRPr="00A4536F">
        <w:rPr>
          <w:rFonts w:cs="Calibri"/>
          <w:color w:val="auto"/>
          <w:szCs w:val="18"/>
        </w:rPr>
        <w:t xml:space="preserve"> </w:t>
      </w:r>
      <w:r w:rsidRPr="00A4536F">
        <w:rPr>
          <w:rFonts w:cs="Calibri"/>
          <w:b/>
          <w:bCs/>
          <w:color w:val="auto"/>
          <w:szCs w:val="18"/>
        </w:rPr>
        <w:t xml:space="preserve">Localisation can bring significant benefits, such as community ownership, economic empowerment, and sustainability. However, it requires careful risk management to avoid dependency, financial challenges, and integrity issues. </w:t>
      </w:r>
    </w:p>
    <w:p w14:paraId="0C3A9473"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Anticipated benefits of localisation</w:t>
      </w:r>
    </w:p>
    <w:p w14:paraId="3E5DAD42" w14:textId="77777777" w:rsidR="00315466" w:rsidRPr="00A4536F" w:rsidRDefault="001D4E15" w:rsidP="00E4398D">
      <w:pPr>
        <w:spacing w:before="0" w:after="120"/>
        <w:rPr>
          <w:rFonts w:cs="Calibri"/>
          <w:color w:val="auto"/>
          <w:szCs w:val="18"/>
        </w:rPr>
      </w:pPr>
      <w:r w:rsidRPr="00A4536F">
        <w:rPr>
          <w:rFonts w:cs="Calibri"/>
          <w:color w:val="auto"/>
          <w:szCs w:val="18"/>
        </w:rPr>
        <w:t>The evaluation found several benefits associated with localisation of the planning, coordination and delivering of the project activities.</w:t>
      </w:r>
    </w:p>
    <w:p w14:paraId="2ACCA0A2" w14:textId="77777777" w:rsidR="00315466" w:rsidRPr="00A4536F" w:rsidRDefault="001D4E15" w:rsidP="00E4398D">
      <w:pPr>
        <w:spacing w:before="0" w:after="120"/>
        <w:rPr>
          <w:rFonts w:cs="Calibri"/>
          <w:color w:val="auto"/>
          <w:szCs w:val="18"/>
        </w:rPr>
      </w:pPr>
      <w:r w:rsidRPr="00A4536F">
        <w:rPr>
          <w:rFonts w:cs="Calibri"/>
          <w:color w:val="auto"/>
          <w:szCs w:val="18"/>
        </w:rPr>
        <w:t>Leveraging local systems, such as local leadership and administrative structures, served to foster community ownership and engagement from the planning stage, enhancing the project's relevance and effectiveness. Additionally, close collaboration with government technical staff has provided the government with an opportunity to become better versed with different implementation modalities.</w:t>
      </w:r>
    </w:p>
    <w:p w14:paraId="073B30A9"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Utilising an E-Voucher system through local vendors served to strengthen the local economy and relationships within the community.  Fostering local competition amongst vendors also served to improve the quality of available products, according to FGD respondents. </w:t>
      </w:r>
    </w:p>
    <w:p w14:paraId="04C673A7"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Engaging Plan International Ethiopia and Oxfam in Ethiopia and Kenya as local (country) partners enabled successful mobilisation of additional resources to address funding gaps in their FSL projects. Plan International partnered with WFP to provide nutritional supplements and malnutrition support in Tigray, enhancing the project's impact. Oxfam Kenya secured internal funds to expand water borehole capacities in Kubi </w:t>
      </w:r>
      <w:proofErr w:type="spellStart"/>
      <w:r w:rsidRPr="00A4536F">
        <w:rPr>
          <w:rFonts w:cs="Calibri"/>
          <w:color w:val="auto"/>
          <w:szCs w:val="18"/>
        </w:rPr>
        <w:t>Dibayu</w:t>
      </w:r>
      <w:proofErr w:type="spellEnd"/>
      <w:r w:rsidRPr="00A4536F">
        <w:rPr>
          <w:rFonts w:cs="Calibri"/>
          <w:color w:val="auto"/>
          <w:szCs w:val="18"/>
        </w:rPr>
        <w:t xml:space="preserve"> and </w:t>
      </w:r>
      <w:proofErr w:type="spellStart"/>
      <w:r w:rsidRPr="00A4536F">
        <w:rPr>
          <w:rFonts w:cs="Calibri"/>
          <w:color w:val="auto"/>
          <w:szCs w:val="18"/>
        </w:rPr>
        <w:t>Narengerwoi</w:t>
      </w:r>
      <w:proofErr w:type="spellEnd"/>
      <w:r w:rsidRPr="00A4536F">
        <w:rPr>
          <w:rFonts w:cs="Calibri"/>
          <w:color w:val="auto"/>
          <w:szCs w:val="18"/>
        </w:rPr>
        <w:t>, thereby increasing the reach and scale of the AHP interventions in both countries.</w:t>
      </w:r>
    </w:p>
    <w:p w14:paraId="4C4F803F"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Potential risks and clashes</w:t>
      </w:r>
    </w:p>
    <w:p w14:paraId="20F7BBAB" w14:textId="77777777" w:rsidR="00315466" w:rsidRPr="00A4536F" w:rsidRDefault="001D4E15" w:rsidP="00E4398D">
      <w:pPr>
        <w:spacing w:before="0" w:after="120"/>
        <w:rPr>
          <w:rFonts w:cs="Calibri"/>
          <w:color w:val="auto"/>
          <w:szCs w:val="18"/>
        </w:rPr>
      </w:pPr>
      <w:r w:rsidRPr="00A4536F">
        <w:rPr>
          <w:rFonts w:cs="Calibri"/>
          <w:color w:val="auto"/>
          <w:szCs w:val="18"/>
        </w:rPr>
        <w:t xml:space="preserve">Alongside the </w:t>
      </w:r>
      <w:proofErr w:type="gramStart"/>
      <w:r w:rsidRPr="00A4536F">
        <w:rPr>
          <w:rFonts w:cs="Calibri"/>
          <w:color w:val="auto"/>
          <w:szCs w:val="18"/>
        </w:rPr>
        <w:t>aforementioned benefits</w:t>
      </w:r>
      <w:proofErr w:type="gramEnd"/>
      <w:r w:rsidRPr="00A4536F">
        <w:rPr>
          <w:rFonts w:cs="Calibri"/>
          <w:color w:val="auto"/>
          <w:szCs w:val="18"/>
        </w:rPr>
        <w:t xml:space="preserve">, there are potential risks and contradictions that require careful consideration. </w:t>
      </w:r>
    </w:p>
    <w:p w14:paraId="5AE74D3C" w14:textId="77777777" w:rsidR="00315466" w:rsidRPr="00A4536F" w:rsidRDefault="001D4E15" w:rsidP="00E4398D">
      <w:pPr>
        <w:spacing w:before="0" w:after="120"/>
        <w:rPr>
          <w:rFonts w:cs="Calibri"/>
          <w:color w:val="auto"/>
          <w:szCs w:val="18"/>
        </w:rPr>
      </w:pPr>
      <w:r w:rsidRPr="00A4536F">
        <w:rPr>
          <w:rFonts w:cs="Calibri"/>
          <w:color w:val="auto"/>
          <w:szCs w:val="18"/>
        </w:rPr>
        <w:t>One primary risk identified is the possibility of dependency on external funding and resources, which could undermine local sustainability if not managed effectively, as exemplified by the involvement of government officials seeking and receiving allowances to engage in project activities (technical support, monitoring visits, etc.). This means that when funding ends, their involvement cannot be counted on.  In addition, the engagement of government staff can also lead to conflicts of interest or perceptions of bias in resource allocation.  For example, they may influence procurement processes, or other actions that may undermine the principles of fairness and impartiality.</w:t>
      </w:r>
    </w:p>
    <w:p w14:paraId="2F31F4C6" w14:textId="78FD9633" w:rsidR="00473F20" w:rsidRPr="0042524B" w:rsidRDefault="001D4E15" w:rsidP="0042524B">
      <w:pPr>
        <w:pStyle w:val="Heading2"/>
        <w:spacing w:before="0" w:after="240" w:line="240" w:lineRule="auto"/>
        <w:rPr>
          <w:rFonts w:ascii="Verdana" w:hAnsi="Verdana" w:cstheme="majorHAnsi"/>
          <w:sz w:val="24"/>
          <w:szCs w:val="24"/>
        </w:rPr>
      </w:pPr>
      <w:bookmarkStart w:id="184" w:name="_Toc164324030"/>
      <w:bookmarkStart w:id="185" w:name="_Toc164286991"/>
      <w:bookmarkStart w:id="186" w:name="_Toc164582581"/>
      <w:bookmarkStart w:id="187" w:name="_Toc165828001"/>
      <w:bookmarkStart w:id="188" w:name="_Toc174559909"/>
      <w:bookmarkStart w:id="189" w:name="_Toc181278056"/>
      <w:r w:rsidRPr="00473F20">
        <w:rPr>
          <w:rFonts w:ascii="Verdana" w:hAnsi="Verdana" w:cstheme="majorHAnsi"/>
          <w:sz w:val="24"/>
          <w:szCs w:val="24"/>
        </w:rPr>
        <w:lastRenderedPageBreak/>
        <w:t>3.11 Climate Change</w:t>
      </w:r>
      <w:bookmarkEnd w:id="184"/>
      <w:bookmarkEnd w:id="185"/>
      <w:bookmarkEnd w:id="186"/>
      <w:bookmarkEnd w:id="187"/>
      <w:bookmarkEnd w:id="188"/>
      <w:bookmarkEnd w:id="189"/>
    </w:p>
    <w:p w14:paraId="7EC1099F" w14:textId="25052701" w:rsidR="00473F20" w:rsidRDefault="001D4E15" w:rsidP="0042524B">
      <w:pPr>
        <w:spacing w:before="0" w:line="240" w:lineRule="auto"/>
        <w:rPr>
          <w:rFonts w:cs="Calibri"/>
          <w:color w:val="auto"/>
          <w:szCs w:val="18"/>
        </w:rPr>
      </w:pPr>
      <w:bookmarkStart w:id="190" w:name="_Toc164324031"/>
      <w:bookmarkStart w:id="191" w:name="_Toc164582582"/>
      <w:bookmarkStart w:id="192" w:name="_Toc164286992"/>
      <w:r w:rsidRPr="00A4536F">
        <w:rPr>
          <w:rFonts w:cs="Calibri"/>
          <w:color w:val="auto"/>
          <w:szCs w:val="18"/>
        </w:rPr>
        <w:t>Climate change adaptation refers to the adaptations made to the intervention to minimise potential climate impacts, take advantage of opportunities or to cope with the consequences of climate change.</w:t>
      </w:r>
      <w:r w:rsidRPr="00A4536F">
        <w:rPr>
          <w:rFonts w:cs="Calibri"/>
          <w:color w:val="auto"/>
          <w:szCs w:val="18"/>
          <w:vertAlign w:val="superscript"/>
        </w:rPr>
        <w:footnoteReference w:id="21"/>
      </w:r>
      <w:r w:rsidRPr="00A4536F">
        <w:rPr>
          <w:rFonts w:cs="Calibri"/>
          <w:color w:val="auto"/>
          <w:szCs w:val="18"/>
        </w:rPr>
        <w:t xml:space="preserve">  This subsection answers the following question:</w:t>
      </w:r>
      <w:bookmarkStart w:id="193" w:name="_Toc165828002"/>
      <w:bookmarkStart w:id="194" w:name="_Toc174559910"/>
    </w:p>
    <w:p w14:paraId="4D3FC305" w14:textId="0515C7D9" w:rsidR="00473F20" w:rsidRPr="0042524B" w:rsidRDefault="001D4E15" w:rsidP="0042524B">
      <w:pPr>
        <w:pStyle w:val="Heading3"/>
        <w:spacing w:after="240"/>
        <w:rPr>
          <w:rFonts w:ascii="Verdana" w:hAnsi="Verdana" w:cs="Calibri"/>
          <w:color w:val="auto"/>
          <w:sz w:val="20"/>
          <w:szCs w:val="20"/>
          <w:lang w:val="en-GB"/>
        </w:rPr>
      </w:pPr>
      <w:bookmarkStart w:id="195" w:name="_Toc181278057"/>
      <w:r w:rsidRPr="00473F20">
        <w:rPr>
          <w:rFonts w:ascii="Verdana" w:hAnsi="Verdana" w:cs="Calibri"/>
          <w:color w:val="auto"/>
          <w:sz w:val="20"/>
          <w:szCs w:val="20"/>
          <w:lang w:val="en-GB"/>
        </w:rPr>
        <w:t>EQ 19. How have the interventions contributed to increased resilience in the face of climate change?</w:t>
      </w:r>
      <w:bookmarkEnd w:id="190"/>
      <w:bookmarkEnd w:id="191"/>
      <w:bookmarkEnd w:id="192"/>
      <w:bookmarkEnd w:id="193"/>
      <w:bookmarkEnd w:id="194"/>
      <w:bookmarkEnd w:id="195"/>
    </w:p>
    <w:p w14:paraId="0D3A6F76" w14:textId="1D1293A4" w:rsidR="00473F20" w:rsidRPr="0042524B" w:rsidRDefault="001D4E15" w:rsidP="0042524B">
      <w:pPr>
        <w:spacing w:before="0" w:line="240" w:lineRule="auto"/>
        <w:rPr>
          <w:rFonts w:cs="Calibri"/>
          <w:bCs/>
          <w:color w:val="auto"/>
          <w:szCs w:val="18"/>
        </w:rPr>
      </w:pPr>
      <w:r w:rsidRPr="00A4536F">
        <w:rPr>
          <w:rFonts w:cs="Calibri"/>
          <w:b/>
          <w:bCs/>
          <w:color w:val="auto"/>
          <w:szCs w:val="18"/>
          <w:u w:val="single"/>
        </w:rPr>
        <w:t>Finding</w:t>
      </w:r>
      <w:r w:rsidRPr="00A4536F">
        <w:rPr>
          <w:rFonts w:cs="Calibri"/>
          <w:b/>
          <w:bCs/>
          <w:color w:val="auto"/>
          <w:szCs w:val="18"/>
        </w:rPr>
        <w:t xml:space="preserve">: The interventions implemented have contributed to (or will contribute to) enhancing resilience in the face of climate change challenges in numerous ways. </w:t>
      </w:r>
    </w:p>
    <w:p w14:paraId="3E774981" w14:textId="453A74A8" w:rsidR="00473F20" w:rsidRPr="00A4536F" w:rsidRDefault="001D4E15" w:rsidP="0042524B">
      <w:pPr>
        <w:spacing w:before="0" w:line="240" w:lineRule="auto"/>
        <w:rPr>
          <w:rFonts w:cs="Calibri"/>
          <w:color w:val="auto"/>
          <w:szCs w:val="18"/>
        </w:rPr>
      </w:pPr>
      <w:r w:rsidRPr="00A4536F">
        <w:rPr>
          <w:rFonts w:cs="Calibri"/>
          <w:color w:val="auto"/>
          <w:szCs w:val="18"/>
        </w:rPr>
        <w:t>To respond to this question, community resilience is understood as improved community capacity to adapt, recover, and thrive despite environmental challenges. Several activities have promoted improved resilience:</w:t>
      </w:r>
    </w:p>
    <w:p w14:paraId="40D0BF53" w14:textId="3C73A585" w:rsidR="00315466" w:rsidRPr="00A4536F" w:rsidRDefault="001D4E15" w:rsidP="00E4398D">
      <w:pPr>
        <w:spacing w:before="0" w:after="120"/>
        <w:rPr>
          <w:rFonts w:cs="Calibri"/>
          <w:color w:val="auto"/>
          <w:szCs w:val="18"/>
        </w:rPr>
      </w:pPr>
      <w:r w:rsidRPr="00A4536F">
        <w:rPr>
          <w:rFonts w:cs="Calibri"/>
          <w:b/>
          <w:bCs/>
          <w:color w:val="auto"/>
          <w:szCs w:val="18"/>
        </w:rPr>
        <w:t>Diversifying livelihoods</w:t>
      </w:r>
      <w:r w:rsidRPr="00A4536F">
        <w:rPr>
          <w:rFonts w:cs="Calibri"/>
          <w:color w:val="auto"/>
          <w:szCs w:val="18"/>
        </w:rPr>
        <w:t xml:space="preserve"> has been an important contributor to resilience building. By enabling communities to engage in income-generating activities beyond traditional agriculture and livestock rearing, the projects reduced their vulnerability to climate fluctuations. Data from key informant interviews, surveys and FGDs highlighted tha</w:t>
      </w:r>
      <w:r w:rsidR="00434BC5" w:rsidRPr="00A4536F">
        <w:rPr>
          <w:rFonts w:cs="Calibri"/>
          <w:color w:val="auto"/>
          <w:szCs w:val="18"/>
        </w:rPr>
        <w:t>t</w:t>
      </w:r>
      <w:r w:rsidRPr="00A4536F">
        <w:rPr>
          <w:rFonts w:cs="Calibri"/>
          <w:color w:val="auto"/>
          <w:szCs w:val="18"/>
        </w:rPr>
        <w:t xml:space="preserve"> </w:t>
      </w:r>
      <w:r w:rsidR="003F2626" w:rsidRPr="00A4536F">
        <w:rPr>
          <w:rFonts w:cs="Calibri"/>
          <w:color w:val="auto"/>
          <w:szCs w:val="18"/>
        </w:rPr>
        <w:t xml:space="preserve">a </w:t>
      </w:r>
      <w:r w:rsidRPr="00A4536F">
        <w:rPr>
          <w:rFonts w:cs="Calibri"/>
          <w:color w:val="auto"/>
          <w:szCs w:val="18"/>
        </w:rPr>
        <w:t>shift</w:t>
      </w:r>
      <w:r w:rsidR="003F2626" w:rsidRPr="00A4536F">
        <w:rPr>
          <w:rFonts w:cs="Calibri"/>
          <w:color w:val="auto"/>
          <w:szCs w:val="18"/>
        </w:rPr>
        <w:t xml:space="preserve"> </w:t>
      </w:r>
      <w:r w:rsidRPr="00A4536F">
        <w:rPr>
          <w:rFonts w:cs="Calibri"/>
          <w:color w:val="auto"/>
          <w:szCs w:val="18"/>
        </w:rPr>
        <w:t xml:space="preserve">towards selling vegetables, and other activities less susceptible to climate impacts than livestock farming, had made their income base more stable. The expansion in activities has served to promote alternative income sources while spreading the risks, thus making communities more resilient to climate shocks affecting specific sectors. However, since the intervention has been short, it is not possible to know with certainty if the benefits can be maintained in the longer term. (See Recommendation </w:t>
      </w:r>
      <w:r w:rsidR="0082093A" w:rsidRPr="00A4536F">
        <w:rPr>
          <w:rFonts w:cs="Calibri"/>
          <w:color w:val="auto"/>
          <w:szCs w:val="18"/>
        </w:rPr>
        <w:t>4</w:t>
      </w:r>
      <w:r w:rsidRPr="00A4536F">
        <w:rPr>
          <w:rFonts w:cs="Calibri"/>
          <w:color w:val="auto"/>
          <w:szCs w:val="18"/>
        </w:rPr>
        <w:t>).</w:t>
      </w:r>
    </w:p>
    <w:p w14:paraId="23489D69" w14:textId="77777777" w:rsidR="00315466" w:rsidRPr="00A4536F" w:rsidRDefault="001D4E15" w:rsidP="00E4398D">
      <w:pPr>
        <w:spacing w:before="0" w:after="120"/>
        <w:rPr>
          <w:rFonts w:cs="Calibri"/>
          <w:color w:val="auto"/>
          <w:szCs w:val="18"/>
        </w:rPr>
      </w:pPr>
      <w:r w:rsidRPr="00A4536F">
        <w:rPr>
          <w:rFonts w:cs="Calibri"/>
          <w:b/>
          <w:bCs/>
          <w:color w:val="auto"/>
          <w:szCs w:val="18"/>
        </w:rPr>
        <w:t>Improved water management</w:t>
      </w:r>
      <w:r w:rsidRPr="00A4536F">
        <w:rPr>
          <w:rFonts w:cs="Calibri"/>
          <w:color w:val="auto"/>
          <w:szCs w:val="18"/>
        </w:rPr>
        <w:t xml:space="preserve"> has contributed to the building of community resilience. The provision of storage tanks and water-related interventions are expected to help communities access water during dry seasons. However, in some areas the enduring drought has meant that communities have yet to benefit from water storage. For example, the water tanks provided to schools in the project areas of </w:t>
      </w:r>
      <w:proofErr w:type="spellStart"/>
      <w:r w:rsidRPr="00A4536F">
        <w:rPr>
          <w:rFonts w:cs="Calibri"/>
          <w:color w:val="auto"/>
          <w:szCs w:val="18"/>
        </w:rPr>
        <w:t>Namarie</w:t>
      </w:r>
      <w:proofErr w:type="spellEnd"/>
      <w:r w:rsidRPr="00A4536F">
        <w:rPr>
          <w:rFonts w:cs="Calibri"/>
          <w:color w:val="auto"/>
          <w:szCs w:val="18"/>
        </w:rPr>
        <w:t xml:space="preserve"> and </w:t>
      </w:r>
      <w:proofErr w:type="spellStart"/>
      <w:r w:rsidRPr="00A4536F">
        <w:rPr>
          <w:rFonts w:cs="Calibri"/>
          <w:color w:val="auto"/>
          <w:szCs w:val="18"/>
        </w:rPr>
        <w:t>Farokeren</w:t>
      </w:r>
      <w:proofErr w:type="spellEnd"/>
      <w:r w:rsidRPr="00A4536F">
        <w:rPr>
          <w:rFonts w:cs="Calibri"/>
          <w:color w:val="auto"/>
          <w:szCs w:val="18"/>
        </w:rPr>
        <w:t xml:space="preserve"> have remained empty due to lack of water with which to fill them. </w:t>
      </w:r>
    </w:p>
    <w:p w14:paraId="49963E0C" w14:textId="2D62FD20" w:rsidR="006B6B35" w:rsidRPr="00A4536F" w:rsidRDefault="001D4E15" w:rsidP="00E4398D">
      <w:pPr>
        <w:spacing w:before="0" w:after="120"/>
        <w:rPr>
          <w:rFonts w:cs="Calibri"/>
          <w:color w:val="auto"/>
          <w:szCs w:val="18"/>
        </w:rPr>
      </w:pPr>
      <w:r w:rsidRPr="00A4536F">
        <w:rPr>
          <w:rFonts w:cs="Calibri"/>
          <w:b/>
          <w:bCs/>
          <w:color w:val="auto"/>
          <w:szCs w:val="18"/>
        </w:rPr>
        <w:t>Increased awareness of climate change issues within the community</w:t>
      </w:r>
      <w:r w:rsidRPr="00A4536F">
        <w:rPr>
          <w:rFonts w:cs="Calibri"/>
          <w:color w:val="auto"/>
          <w:szCs w:val="18"/>
        </w:rPr>
        <w:t>.</w:t>
      </w:r>
      <w:r w:rsidR="00AB3F00" w:rsidRPr="00A4536F">
        <w:rPr>
          <w:rFonts w:cs="Calibri"/>
          <w:color w:val="auto"/>
          <w:szCs w:val="18"/>
        </w:rPr>
        <w:t xml:space="preserve"> </w:t>
      </w:r>
      <w:r w:rsidR="008E2716" w:rsidRPr="00A4536F">
        <w:rPr>
          <w:rFonts w:cs="Calibri"/>
          <w:color w:val="auto"/>
          <w:szCs w:val="18"/>
        </w:rPr>
        <w:t xml:space="preserve">In this instance, the brief timeline of the project led to a primary focus on urgent food security concerns and did not allow for the incorporation of additional tangible initiatives addressing climate change beyond community awareness efforts. </w:t>
      </w:r>
      <w:r w:rsidR="00131A15" w:rsidRPr="00A4536F">
        <w:rPr>
          <w:rFonts w:cs="Calibri"/>
          <w:color w:val="auto"/>
          <w:szCs w:val="18"/>
        </w:rPr>
        <w:t xml:space="preserve">It is worth considering the inclusion of tree planting within the FSL activities, </w:t>
      </w:r>
      <w:proofErr w:type="gramStart"/>
      <w:r w:rsidR="00131A15" w:rsidRPr="00A4536F">
        <w:rPr>
          <w:rFonts w:cs="Calibri"/>
          <w:color w:val="auto"/>
          <w:szCs w:val="18"/>
        </w:rPr>
        <w:t xml:space="preserve">taking </w:t>
      </w:r>
      <w:r w:rsidR="006B6B35" w:rsidRPr="00A4536F">
        <w:rPr>
          <w:rFonts w:cs="Calibri"/>
          <w:color w:val="auto"/>
          <w:szCs w:val="18"/>
        </w:rPr>
        <w:t>into account</w:t>
      </w:r>
      <w:proofErr w:type="gramEnd"/>
      <w:r w:rsidR="006B6B35" w:rsidRPr="00A4536F">
        <w:rPr>
          <w:rFonts w:cs="Calibri"/>
          <w:color w:val="auto"/>
          <w:szCs w:val="18"/>
        </w:rPr>
        <w:t xml:space="preserve"> the advantages of tree planting for improving soil health, enhancing water retention, and mitigating soil erosion, which fortify community resilience. </w:t>
      </w:r>
    </w:p>
    <w:p w14:paraId="331279D3" w14:textId="650CBD1A" w:rsidR="00473F20" w:rsidRPr="0042524B" w:rsidRDefault="001D4E15" w:rsidP="008815FD">
      <w:pPr>
        <w:pStyle w:val="Heading1"/>
        <w:spacing w:after="240"/>
        <w:rPr>
          <w:rFonts w:ascii="Verdana" w:hAnsi="Verdana"/>
          <w:sz w:val="28"/>
          <w:szCs w:val="28"/>
        </w:rPr>
      </w:pPr>
      <w:bookmarkStart w:id="196" w:name="_Toc165828003"/>
      <w:bookmarkStart w:id="197" w:name="_Toc174559911"/>
      <w:bookmarkStart w:id="198" w:name="_Toc181278058"/>
      <w:r w:rsidRPr="00EA2E8F">
        <w:rPr>
          <w:rFonts w:ascii="Verdana" w:hAnsi="Verdana"/>
          <w:sz w:val="28"/>
          <w:szCs w:val="28"/>
        </w:rPr>
        <w:t>4.0. Emerging Lessons</w:t>
      </w:r>
      <w:bookmarkEnd w:id="196"/>
      <w:bookmarkEnd w:id="197"/>
      <w:bookmarkEnd w:id="198"/>
    </w:p>
    <w:p w14:paraId="4F7F6789" w14:textId="492EFAB3" w:rsidR="00473F20" w:rsidRPr="0042524B" w:rsidRDefault="001D4E15" w:rsidP="0042524B">
      <w:pPr>
        <w:spacing w:before="0" w:line="240" w:lineRule="auto"/>
        <w:rPr>
          <w:rFonts w:cs="Calibri"/>
          <w:color w:val="auto"/>
          <w:szCs w:val="18"/>
        </w:rPr>
      </w:pPr>
      <w:r w:rsidRPr="00A4536F">
        <w:rPr>
          <w:rFonts w:cs="Calibri"/>
          <w:color w:val="auto"/>
          <w:szCs w:val="18"/>
        </w:rPr>
        <w:t>In this section, the evaluation focuses on lessons learnt by each of the three consortia.</w:t>
      </w:r>
    </w:p>
    <w:p w14:paraId="44736489" w14:textId="073DA7A2" w:rsidR="00473F20" w:rsidRPr="00A4536F" w:rsidRDefault="001D4E15" w:rsidP="0042524B">
      <w:pPr>
        <w:spacing w:before="0" w:line="240" w:lineRule="auto"/>
        <w:rPr>
          <w:rFonts w:cs="Calibri"/>
          <w:b/>
          <w:bCs/>
          <w:color w:val="auto"/>
          <w:szCs w:val="18"/>
        </w:rPr>
      </w:pPr>
      <w:r w:rsidRPr="00A4536F">
        <w:rPr>
          <w:rFonts w:cs="Calibri"/>
          <w:b/>
          <w:bCs/>
          <w:color w:val="auto"/>
          <w:szCs w:val="18"/>
        </w:rPr>
        <w:t>Plan International Ethiopia</w:t>
      </w:r>
    </w:p>
    <w:p w14:paraId="71942CEC" w14:textId="77777777" w:rsidR="00315466" w:rsidRPr="00A4536F" w:rsidRDefault="001D4E15" w:rsidP="00903CED">
      <w:pPr>
        <w:pStyle w:val="ListParagraph"/>
        <w:numPr>
          <w:ilvl w:val="0"/>
          <w:numId w:val="42"/>
        </w:numPr>
        <w:spacing w:after="120"/>
        <w:rPr>
          <w:rFonts w:ascii="Verdana" w:hAnsi="Verdana" w:cs="Calibri"/>
          <w:sz w:val="18"/>
          <w:szCs w:val="18"/>
        </w:rPr>
      </w:pPr>
      <w:r w:rsidRPr="00A4536F">
        <w:rPr>
          <w:rFonts w:ascii="Verdana" w:hAnsi="Verdana" w:cs="Calibri"/>
          <w:b/>
          <w:bCs/>
          <w:sz w:val="18"/>
          <w:szCs w:val="18"/>
        </w:rPr>
        <w:t>Market Monitoring and Adaptation</w:t>
      </w:r>
      <w:r w:rsidRPr="00A4536F">
        <w:rPr>
          <w:rFonts w:ascii="Verdana" w:hAnsi="Verdana" w:cs="Calibri"/>
          <w:sz w:val="18"/>
          <w:szCs w:val="18"/>
        </w:rPr>
        <w:t xml:space="preserve">: The importance of continuously monitoring market conditions and adapting strategies accordingly. For example, they adjusted their approach to shoat restocking in </w:t>
      </w:r>
      <w:proofErr w:type="spellStart"/>
      <w:r w:rsidRPr="00A4536F">
        <w:rPr>
          <w:rFonts w:ascii="Verdana" w:hAnsi="Verdana" w:cs="Calibri"/>
          <w:sz w:val="18"/>
          <w:szCs w:val="18"/>
        </w:rPr>
        <w:t>Borena</w:t>
      </w:r>
      <w:proofErr w:type="spellEnd"/>
      <w:r w:rsidRPr="00A4536F">
        <w:rPr>
          <w:rFonts w:ascii="Verdana" w:hAnsi="Verdana" w:cs="Calibri"/>
          <w:sz w:val="18"/>
          <w:szCs w:val="18"/>
        </w:rPr>
        <w:t xml:space="preserve"> based on market inflation, ensuring cost-effectiveness and sustainability.</w:t>
      </w:r>
    </w:p>
    <w:p w14:paraId="5C8C403C" w14:textId="77777777" w:rsidR="00315466" w:rsidRPr="00A4536F" w:rsidRDefault="001D4E15" w:rsidP="00903CED">
      <w:pPr>
        <w:pStyle w:val="ListParagraph"/>
        <w:numPr>
          <w:ilvl w:val="0"/>
          <w:numId w:val="42"/>
        </w:numPr>
        <w:spacing w:after="120"/>
        <w:rPr>
          <w:rFonts w:ascii="Verdana" w:hAnsi="Verdana" w:cs="Calibri"/>
          <w:sz w:val="18"/>
          <w:szCs w:val="18"/>
        </w:rPr>
      </w:pPr>
      <w:r w:rsidRPr="00A4536F">
        <w:rPr>
          <w:rFonts w:ascii="Verdana" w:hAnsi="Verdana" w:cs="Calibri"/>
          <w:b/>
          <w:bCs/>
          <w:sz w:val="18"/>
          <w:szCs w:val="18"/>
        </w:rPr>
        <w:t>Robust Emergency Planning:</w:t>
      </w:r>
      <w:r w:rsidRPr="00A4536F">
        <w:rPr>
          <w:rFonts w:ascii="Verdana" w:hAnsi="Verdana" w:cs="Calibri"/>
          <w:sz w:val="18"/>
          <w:szCs w:val="18"/>
        </w:rPr>
        <w:t xml:space="preserve"> Through experience with disease outbreaks, rainfall shortages, and other emergencies, Plan International Ethiopia realised the importance of robust emergency response plans. These plans allowed them to contain and mitigate the impact of emergencies swiftly and effectively.</w:t>
      </w:r>
    </w:p>
    <w:p w14:paraId="0B892A39" w14:textId="77777777" w:rsidR="00315466" w:rsidRPr="00A4536F" w:rsidRDefault="001D4E15" w:rsidP="00903CED">
      <w:pPr>
        <w:pStyle w:val="ListParagraph"/>
        <w:numPr>
          <w:ilvl w:val="0"/>
          <w:numId w:val="42"/>
        </w:numPr>
        <w:spacing w:after="120"/>
        <w:rPr>
          <w:rFonts w:ascii="Verdana" w:hAnsi="Verdana" w:cs="Calibri"/>
          <w:sz w:val="18"/>
          <w:szCs w:val="18"/>
        </w:rPr>
      </w:pPr>
      <w:r w:rsidRPr="00A4536F">
        <w:rPr>
          <w:rFonts w:ascii="Verdana" w:hAnsi="Verdana" w:cs="Calibri"/>
          <w:b/>
          <w:bCs/>
          <w:sz w:val="18"/>
          <w:szCs w:val="18"/>
        </w:rPr>
        <w:t>Diversification for Resilience</w:t>
      </w:r>
      <w:r w:rsidRPr="00A4536F">
        <w:rPr>
          <w:rFonts w:ascii="Verdana" w:hAnsi="Verdana" w:cs="Calibri"/>
          <w:sz w:val="18"/>
          <w:szCs w:val="18"/>
        </w:rPr>
        <w:t xml:space="preserve">: The challenges faced in Tigray highlighted the necessity of diversifying food sources and building resilience against climate-related challenges. This </w:t>
      </w:r>
      <w:r w:rsidRPr="00A4536F">
        <w:rPr>
          <w:rFonts w:ascii="Verdana" w:hAnsi="Verdana" w:cs="Calibri"/>
          <w:sz w:val="18"/>
          <w:szCs w:val="18"/>
        </w:rPr>
        <w:lastRenderedPageBreak/>
        <w:t>approach helped them avoid dependency on vulnerable resources, ensuring food security in unpredictable conditions.</w:t>
      </w:r>
    </w:p>
    <w:p w14:paraId="282579D1" w14:textId="77777777" w:rsidR="00315466" w:rsidRPr="00A4536F" w:rsidRDefault="001D4E15" w:rsidP="00903CED">
      <w:pPr>
        <w:pStyle w:val="ListParagraph"/>
        <w:numPr>
          <w:ilvl w:val="0"/>
          <w:numId w:val="42"/>
        </w:numPr>
        <w:spacing w:after="120"/>
        <w:rPr>
          <w:rFonts w:ascii="Verdana" w:hAnsi="Verdana" w:cs="Calibri"/>
          <w:sz w:val="18"/>
          <w:szCs w:val="18"/>
        </w:rPr>
      </w:pPr>
      <w:r w:rsidRPr="00A4536F">
        <w:rPr>
          <w:rFonts w:ascii="Verdana" w:hAnsi="Verdana" w:cs="Calibri"/>
          <w:b/>
          <w:bCs/>
          <w:sz w:val="18"/>
          <w:szCs w:val="18"/>
        </w:rPr>
        <w:t>Efficient Supply Chain and Partnership Management</w:t>
      </w:r>
      <w:r w:rsidRPr="00A4536F">
        <w:rPr>
          <w:rFonts w:ascii="Verdana" w:hAnsi="Verdana" w:cs="Calibri"/>
          <w:sz w:val="18"/>
          <w:szCs w:val="18"/>
        </w:rPr>
        <w:t>: Recognising the importance of efficient supply chain management and proactive partnership management. Clear communication and timely action were crucial in maintaining uninterrupted service delivery and addressing partnership challenges promptly.</w:t>
      </w:r>
    </w:p>
    <w:p w14:paraId="40BF07BD" w14:textId="77777777" w:rsidR="00315466" w:rsidRPr="00A4536F" w:rsidRDefault="001D4E15" w:rsidP="00903CED">
      <w:pPr>
        <w:pStyle w:val="ListParagraph"/>
        <w:numPr>
          <w:ilvl w:val="0"/>
          <w:numId w:val="42"/>
        </w:numPr>
        <w:spacing w:after="120"/>
        <w:rPr>
          <w:rFonts w:ascii="Verdana" w:hAnsi="Verdana" w:cs="Calibri"/>
          <w:sz w:val="18"/>
          <w:szCs w:val="18"/>
        </w:rPr>
      </w:pPr>
      <w:r w:rsidRPr="00A4536F">
        <w:rPr>
          <w:rFonts w:ascii="Verdana" w:hAnsi="Verdana" w:cs="Calibri"/>
          <w:b/>
          <w:bCs/>
          <w:sz w:val="18"/>
          <w:szCs w:val="18"/>
        </w:rPr>
        <w:t>Capacity Building and Fair Compensation</w:t>
      </w:r>
      <w:r w:rsidRPr="00A4536F">
        <w:rPr>
          <w:rFonts w:ascii="Verdana" w:hAnsi="Verdana" w:cs="Calibri"/>
          <w:sz w:val="18"/>
          <w:szCs w:val="18"/>
        </w:rPr>
        <w:t>: Through addressing issues like trained staff turnover and inadequate compensation in Tigray, Plan International Ethiopia prioritised ongoing capacity-building, fair compensation practices, and streamlined financial processes. These efforts ensured project continuity, stakeholder engagement, and efficient financial management.</w:t>
      </w:r>
    </w:p>
    <w:p w14:paraId="7B98BC11" w14:textId="77777777" w:rsidR="00315466" w:rsidRPr="00A4536F" w:rsidRDefault="001D4E15" w:rsidP="00903CED">
      <w:pPr>
        <w:pStyle w:val="ListParagraph"/>
        <w:numPr>
          <w:ilvl w:val="0"/>
          <w:numId w:val="42"/>
        </w:numPr>
        <w:spacing w:after="120"/>
        <w:rPr>
          <w:rFonts w:ascii="Verdana" w:hAnsi="Verdana" w:cs="Calibri"/>
          <w:sz w:val="18"/>
          <w:szCs w:val="18"/>
        </w:rPr>
      </w:pPr>
      <w:r w:rsidRPr="00A4536F">
        <w:rPr>
          <w:rFonts w:ascii="Verdana" w:hAnsi="Verdana" w:cs="Calibri"/>
          <w:b/>
          <w:bCs/>
          <w:sz w:val="18"/>
          <w:szCs w:val="18"/>
        </w:rPr>
        <w:t>Security and Community Engagement:</w:t>
      </w:r>
      <w:r w:rsidRPr="00A4536F">
        <w:rPr>
          <w:rFonts w:ascii="Verdana" w:hAnsi="Verdana" w:cs="Calibri"/>
          <w:sz w:val="18"/>
          <w:szCs w:val="18"/>
        </w:rPr>
        <w:t xml:space="preserve"> Security concerns and challenges in implementing and monitoring the interventions in Tigray emphasised the importance of addressing security risks proactively while maintaining community engagement and trust through transparent communication and collaboration.</w:t>
      </w:r>
    </w:p>
    <w:p w14:paraId="2D73D349"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Oxfam Kenya</w:t>
      </w:r>
    </w:p>
    <w:p w14:paraId="4F7D5BC7" w14:textId="75A9BE43" w:rsidR="00315466" w:rsidRPr="00A4536F" w:rsidRDefault="001D4E15" w:rsidP="00903CED">
      <w:pPr>
        <w:pStyle w:val="ListParagraph"/>
        <w:numPr>
          <w:ilvl w:val="0"/>
          <w:numId w:val="43"/>
        </w:numPr>
        <w:spacing w:after="120"/>
        <w:rPr>
          <w:rFonts w:ascii="Verdana" w:hAnsi="Verdana" w:cs="Calibri"/>
          <w:sz w:val="18"/>
          <w:szCs w:val="18"/>
        </w:rPr>
      </w:pPr>
      <w:r w:rsidRPr="00A4536F">
        <w:rPr>
          <w:rFonts w:ascii="Verdana" w:hAnsi="Verdana" w:cs="Calibri"/>
          <w:b/>
          <w:bCs/>
          <w:sz w:val="18"/>
          <w:szCs w:val="18"/>
        </w:rPr>
        <w:t>Building a fund reserve</w:t>
      </w:r>
      <w:r w:rsidRPr="00A4536F">
        <w:rPr>
          <w:rFonts w:ascii="Verdana" w:hAnsi="Verdana" w:cs="Calibri"/>
          <w:sz w:val="18"/>
          <w:szCs w:val="18"/>
        </w:rPr>
        <w:t xml:space="preserve">: Delays in navigating through contracting processes for TUPADO highlighted the importance of building fund reserves and establishing contingency plans to avoid interruptions in project implementation. Since funding for Turkana was supplementary to what was originally secured for </w:t>
      </w:r>
      <w:proofErr w:type="spellStart"/>
      <w:r w:rsidRPr="00A4536F">
        <w:rPr>
          <w:rFonts w:ascii="Verdana" w:hAnsi="Verdana" w:cs="Calibri"/>
          <w:sz w:val="18"/>
          <w:szCs w:val="18"/>
        </w:rPr>
        <w:t>Marsabit</w:t>
      </w:r>
      <w:proofErr w:type="spellEnd"/>
      <w:r w:rsidRPr="00A4536F">
        <w:rPr>
          <w:rFonts w:ascii="Verdana" w:hAnsi="Verdana" w:cs="Calibri"/>
          <w:sz w:val="18"/>
          <w:szCs w:val="18"/>
        </w:rPr>
        <w:t xml:space="preserve">, TUPADO was under pressure to start implementing the project interventions while the contracting process was </w:t>
      </w:r>
      <w:r w:rsidR="003A0B31" w:rsidRPr="00A4536F">
        <w:rPr>
          <w:rFonts w:ascii="Verdana" w:hAnsi="Verdana" w:cs="Calibri"/>
          <w:sz w:val="18"/>
          <w:szCs w:val="18"/>
        </w:rPr>
        <w:t>ongoing,</w:t>
      </w:r>
      <w:r w:rsidRPr="00A4536F">
        <w:rPr>
          <w:rFonts w:ascii="Verdana" w:hAnsi="Verdana" w:cs="Calibri"/>
          <w:sz w:val="18"/>
          <w:szCs w:val="18"/>
        </w:rPr>
        <w:t xml:space="preserve"> but the organisation did not have the resources to do so. In addition, realising the magnitude of the need for safe water for domestic use in </w:t>
      </w:r>
      <w:proofErr w:type="spellStart"/>
      <w:r w:rsidRPr="00A4536F">
        <w:rPr>
          <w:rFonts w:ascii="Verdana" w:hAnsi="Verdana" w:cs="Calibri"/>
          <w:sz w:val="18"/>
          <w:szCs w:val="18"/>
        </w:rPr>
        <w:t>Marsabit</w:t>
      </w:r>
      <w:proofErr w:type="spellEnd"/>
      <w:r w:rsidRPr="00A4536F">
        <w:rPr>
          <w:rFonts w:ascii="Verdana" w:hAnsi="Verdana" w:cs="Calibri"/>
          <w:sz w:val="18"/>
          <w:szCs w:val="18"/>
        </w:rPr>
        <w:t xml:space="preserve"> and Turkana, as expressed by the people and the county government authorities, Oxfam had to raise more funds to invest in two large-scale water projects in </w:t>
      </w:r>
      <w:proofErr w:type="spellStart"/>
      <w:r w:rsidRPr="00A4536F">
        <w:rPr>
          <w:rFonts w:ascii="Verdana" w:hAnsi="Verdana" w:cs="Calibri"/>
          <w:sz w:val="18"/>
          <w:szCs w:val="18"/>
        </w:rPr>
        <w:t>Marsabit</w:t>
      </w:r>
      <w:proofErr w:type="spellEnd"/>
      <w:r w:rsidRPr="00A4536F">
        <w:rPr>
          <w:rFonts w:ascii="Verdana" w:hAnsi="Verdana" w:cs="Calibri"/>
          <w:sz w:val="18"/>
          <w:szCs w:val="18"/>
        </w:rPr>
        <w:t xml:space="preserve"> and Turkana. Hence, having reserve funds and/or having ways to access additional funds it an important lesson. </w:t>
      </w:r>
    </w:p>
    <w:p w14:paraId="1736CD58" w14:textId="77777777" w:rsidR="00315466" w:rsidRPr="00A4536F" w:rsidRDefault="001D4E15" w:rsidP="00903CED">
      <w:pPr>
        <w:pStyle w:val="ListParagraph"/>
        <w:numPr>
          <w:ilvl w:val="0"/>
          <w:numId w:val="43"/>
        </w:numPr>
        <w:spacing w:after="120"/>
        <w:rPr>
          <w:rFonts w:ascii="Verdana" w:hAnsi="Verdana" w:cs="Calibri"/>
          <w:sz w:val="18"/>
          <w:szCs w:val="18"/>
        </w:rPr>
      </w:pPr>
      <w:r w:rsidRPr="00A4536F">
        <w:rPr>
          <w:rFonts w:ascii="Verdana" w:hAnsi="Verdana" w:cs="Calibri"/>
          <w:b/>
          <w:bCs/>
          <w:sz w:val="18"/>
          <w:szCs w:val="18"/>
        </w:rPr>
        <w:t>Strategic Partnerships</w:t>
      </w:r>
      <w:r w:rsidRPr="00A4536F">
        <w:rPr>
          <w:rFonts w:ascii="Verdana" w:hAnsi="Verdana" w:cs="Calibri"/>
          <w:sz w:val="18"/>
          <w:szCs w:val="18"/>
        </w:rPr>
        <w:t>: Engaging with telecommunications companies like Airtel to address internet connectivity challenges in Turkana North showed the value of strategic partnerships in overcoming logistical barriers. Collaborating with businesses that stand to benefit can lead to mutually beneficial solutions.</w:t>
      </w:r>
    </w:p>
    <w:p w14:paraId="2C705999" w14:textId="77777777" w:rsidR="00315466" w:rsidRPr="00A4536F" w:rsidRDefault="001D4E15" w:rsidP="00903CED">
      <w:pPr>
        <w:pStyle w:val="ListParagraph"/>
        <w:numPr>
          <w:ilvl w:val="0"/>
          <w:numId w:val="43"/>
        </w:numPr>
        <w:spacing w:after="120"/>
        <w:rPr>
          <w:rFonts w:ascii="Verdana" w:hAnsi="Verdana" w:cs="Calibri"/>
          <w:sz w:val="18"/>
          <w:szCs w:val="18"/>
        </w:rPr>
      </w:pPr>
      <w:r w:rsidRPr="00A4536F">
        <w:rPr>
          <w:rFonts w:ascii="Verdana" w:hAnsi="Verdana" w:cs="Calibri"/>
          <w:b/>
          <w:bCs/>
          <w:sz w:val="18"/>
          <w:szCs w:val="18"/>
        </w:rPr>
        <w:t>Innovative Solutions for Environmental Challenges</w:t>
      </w:r>
      <w:r w:rsidRPr="00A4536F">
        <w:rPr>
          <w:rFonts w:ascii="Verdana" w:hAnsi="Verdana" w:cs="Calibri"/>
          <w:sz w:val="18"/>
          <w:szCs w:val="18"/>
        </w:rPr>
        <w:t>: Addressing challenges like loose soil structure in Turkana North which affected the implementation of WASH activities -- particularly the CLTS -- required adopting innovative approaches. The lesson learned is the importance of finding creative solutions to environmental obstacles that impact project implementation.</w:t>
      </w:r>
    </w:p>
    <w:p w14:paraId="6D2A17FF" w14:textId="77777777" w:rsidR="00315466" w:rsidRPr="00A4536F" w:rsidRDefault="001D4E15" w:rsidP="00903CED">
      <w:pPr>
        <w:pStyle w:val="ListParagraph"/>
        <w:numPr>
          <w:ilvl w:val="0"/>
          <w:numId w:val="43"/>
        </w:numPr>
        <w:spacing w:after="120"/>
        <w:rPr>
          <w:rFonts w:ascii="Verdana" w:hAnsi="Verdana" w:cs="Calibri"/>
          <w:sz w:val="18"/>
          <w:szCs w:val="18"/>
        </w:rPr>
      </w:pPr>
      <w:r w:rsidRPr="00A4536F">
        <w:rPr>
          <w:rFonts w:ascii="Verdana" w:hAnsi="Verdana" w:cs="Calibri"/>
          <w:b/>
          <w:bCs/>
          <w:sz w:val="18"/>
          <w:szCs w:val="18"/>
        </w:rPr>
        <w:t>Cultural Sensitivity and engagement</w:t>
      </w:r>
      <w:r w:rsidRPr="00A4536F">
        <w:rPr>
          <w:rFonts w:ascii="Verdana" w:hAnsi="Verdana" w:cs="Calibri"/>
          <w:sz w:val="18"/>
          <w:szCs w:val="18"/>
        </w:rPr>
        <w:t>: Dealing with cultural traditions affecting protection practices underscored the need for cultural sensitivity and community engagement. Understanding and respecting local customs while promoting protective measures is essential for effective program implementation.</w:t>
      </w:r>
    </w:p>
    <w:p w14:paraId="02E7948A" w14:textId="77777777" w:rsidR="00315466" w:rsidRPr="00A4536F" w:rsidRDefault="001D4E15" w:rsidP="00903CED">
      <w:pPr>
        <w:pStyle w:val="ListParagraph"/>
        <w:numPr>
          <w:ilvl w:val="0"/>
          <w:numId w:val="43"/>
        </w:numPr>
        <w:spacing w:after="120"/>
        <w:rPr>
          <w:rFonts w:ascii="Verdana" w:hAnsi="Verdana" w:cs="Calibri"/>
          <w:sz w:val="18"/>
          <w:szCs w:val="18"/>
        </w:rPr>
      </w:pPr>
      <w:r w:rsidRPr="00A4536F">
        <w:rPr>
          <w:rFonts w:ascii="Verdana" w:hAnsi="Verdana" w:cs="Calibri"/>
          <w:b/>
          <w:bCs/>
          <w:sz w:val="18"/>
          <w:szCs w:val="18"/>
        </w:rPr>
        <w:t>Adaptive Project Management</w:t>
      </w:r>
      <w:r w:rsidRPr="00A4536F">
        <w:rPr>
          <w:rFonts w:ascii="Verdana" w:hAnsi="Verdana" w:cs="Calibri"/>
          <w:sz w:val="18"/>
          <w:szCs w:val="18"/>
        </w:rPr>
        <w:t xml:space="preserve">: Anticipating delays in contracting extensive works like the </w:t>
      </w:r>
      <w:proofErr w:type="spellStart"/>
      <w:r w:rsidRPr="00A4536F">
        <w:rPr>
          <w:rFonts w:ascii="Verdana" w:hAnsi="Verdana" w:cs="Calibri"/>
          <w:sz w:val="18"/>
          <w:szCs w:val="18"/>
        </w:rPr>
        <w:t>Narengerwoi</w:t>
      </w:r>
      <w:proofErr w:type="spellEnd"/>
      <w:r w:rsidRPr="00A4536F">
        <w:rPr>
          <w:rFonts w:ascii="Verdana" w:hAnsi="Verdana" w:cs="Calibri"/>
          <w:sz w:val="18"/>
          <w:szCs w:val="18"/>
        </w:rPr>
        <w:t xml:space="preserve"> and Kubi </w:t>
      </w:r>
      <w:proofErr w:type="spellStart"/>
      <w:r w:rsidRPr="00A4536F">
        <w:rPr>
          <w:rFonts w:ascii="Verdana" w:hAnsi="Verdana" w:cs="Calibri"/>
          <w:sz w:val="18"/>
          <w:szCs w:val="18"/>
        </w:rPr>
        <w:t>Dibayu</w:t>
      </w:r>
      <w:proofErr w:type="spellEnd"/>
      <w:r w:rsidRPr="00A4536F">
        <w:rPr>
          <w:rFonts w:ascii="Verdana" w:hAnsi="Verdana" w:cs="Calibri"/>
          <w:sz w:val="18"/>
          <w:szCs w:val="18"/>
        </w:rPr>
        <w:t xml:space="preserve"> borehole works highlighted the importance of adaptive project management. Breaking down tasks into smaller, manageable lots by TUPADO in Turkana allowed for more efficient implementation within tight timelines, demonstrating the value of flexibility and adaptability in project planning.</w:t>
      </w:r>
    </w:p>
    <w:p w14:paraId="093A3233" w14:textId="77777777" w:rsidR="00315466" w:rsidRPr="00A4536F" w:rsidRDefault="001D4E15" w:rsidP="00E4398D">
      <w:pPr>
        <w:spacing w:before="0" w:after="120"/>
        <w:rPr>
          <w:rFonts w:cs="Calibri"/>
          <w:b/>
          <w:bCs/>
          <w:color w:val="auto"/>
          <w:szCs w:val="18"/>
        </w:rPr>
      </w:pPr>
      <w:r w:rsidRPr="00A4536F">
        <w:rPr>
          <w:rFonts w:cs="Calibri"/>
          <w:b/>
          <w:bCs/>
          <w:color w:val="auto"/>
          <w:szCs w:val="18"/>
        </w:rPr>
        <w:t>Oxfam Ethiopia</w:t>
      </w:r>
    </w:p>
    <w:p w14:paraId="46F1B88A" w14:textId="0516DCA4" w:rsidR="003A6978" w:rsidRPr="00A4536F" w:rsidRDefault="001D4E15" w:rsidP="00D41C74">
      <w:pPr>
        <w:pStyle w:val="ListParagraph"/>
        <w:numPr>
          <w:ilvl w:val="0"/>
          <w:numId w:val="73"/>
        </w:numPr>
        <w:spacing w:after="120"/>
        <w:rPr>
          <w:rFonts w:ascii="Verdana" w:hAnsi="Verdana" w:cs="Calibri"/>
          <w:sz w:val="18"/>
          <w:szCs w:val="18"/>
        </w:rPr>
      </w:pPr>
      <w:r w:rsidRPr="00A4536F">
        <w:rPr>
          <w:rFonts w:ascii="Verdana" w:hAnsi="Verdana" w:cs="Calibri"/>
          <w:b/>
          <w:bCs/>
          <w:sz w:val="18"/>
          <w:szCs w:val="18"/>
        </w:rPr>
        <w:t>Challenges of Remote Areas:</w:t>
      </w:r>
      <w:r w:rsidRPr="00A4536F">
        <w:rPr>
          <w:rFonts w:ascii="Verdana" w:hAnsi="Verdana" w:cs="Calibri"/>
          <w:sz w:val="18"/>
          <w:szCs w:val="18"/>
        </w:rPr>
        <w:t xml:space="preserve"> The need for strong logistical planning and infrastructure development was highlighted by the difficulties encountered in isolated regions such as Afar. Addressing transportation issues is crucial for the timely delivery of aid and the implementation of various project activities in remote regions.</w:t>
      </w:r>
      <w:r w:rsidR="003A6978" w:rsidRPr="00A4536F">
        <w:rPr>
          <w:rFonts w:ascii="Verdana" w:hAnsi="Verdana" w:cs="Calibri"/>
          <w:sz w:val="18"/>
          <w:szCs w:val="18"/>
        </w:rPr>
        <w:t xml:space="preserve"> </w:t>
      </w:r>
    </w:p>
    <w:p w14:paraId="0C0BC1AD" w14:textId="420F7CE0" w:rsidR="00D06B5D" w:rsidRDefault="001D4E15" w:rsidP="00D41C74">
      <w:pPr>
        <w:pStyle w:val="ListParagraph"/>
        <w:numPr>
          <w:ilvl w:val="0"/>
          <w:numId w:val="73"/>
        </w:numPr>
        <w:spacing w:after="120"/>
        <w:rPr>
          <w:rFonts w:ascii="Verdana" w:hAnsi="Verdana" w:cs="Calibri"/>
          <w:sz w:val="18"/>
          <w:szCs w:val="18"/>
        </w:rPr>
      </w:pPr>
      <w:r w:rsidRPr="00A4536F">
        <w:rPr>
          <w:rFonts w:ascii="Verdana" w:hAnsi="Verdana" w:cs="Calibri"/>
          <w:b/>
          <w:bCs/>
          <w:sz w:val="18"/>
          <w:szCs w:val="18"/>
        </w:rPr>
        <w:t>Cultural Sensitivity and Community Engagement</w:t>
      </w:r>
      <w:r w:rsidRPr="00A4536F">
        <w:rPr>
          <w:rFonts w:ascii="Verdana" w:hAnsi="Verdana" w:cs="Calibri"/>
          <w:sz w:val="18"/>
          <w:szCs w:val="18"/>
        </w:rPr>
        <w:t xml:space="preserve">: </w:t>
      </w:r>
      <w:r w:rsidR="003A6978" w:rsidRPr="00A4536F">
        <w:rPr>
          <w:rFonts w:ascii="Verdana" w:hAnsi="Verdana" w:cs="Calibri"/>
          <w:sz w:val="18"/>
          <w:szCs w:val="18"/>
        </w:rPr>
        <w:t xml:space="preserve"> </w:t>
      </w:r>
      <w:r w:rsidR="00023DC7" w:rsidRPr="00A4536F">
        <w:rPr>
          <w:rFonts w:ascii="Verdana" w:hAnsi="Verdana" w:cs="Calibri"/>
          <w:sz w:val="18"/>
          <w:szCs w:val="18"/>
        </w:rPr>
        <w:t xml:space="preserve">Tackling deep-rooted cultural customs such as female genital mutilation (FGM) and premature child marriages in areas like Afar and </w:t>
      </w:r>
      <w:proofErr w:type="spellStart"/>
      <w:r w:rsidR="00023DC7" w:rsidRPr="00A4536F">
        <w:rPr>
          <w:rFonts w:ascii="Verdana" w:hAnsi="Verdana" w:cs="Calibri"/>
          <w:sz w:val="18"/>
          <w:szCs w:val="18"/>
        </w:rPr>
        <w:t>Marsabit</w:t>
      </w:r>
      <w:proofErr w:type="spellEnd"/>
      <w:r w:rsidR="00023DC7" w:rsidRPr="00A4536F">
        <w:rPr>
          <w:rFonts w:ascii="Verdana" w:hAnsi="Verdana" w:cs="Calibri"/>
          <w:sz w:val="18"/>
          <w:szCs w:val="18"/>
        </w:rPr>
        <w:t xml:space="preserve"> necessitated approaches that were sensitive to the culture and involved robust participation from the community. Drawing on its widespread expertise in Kenya and Ethiopia, Oxfam executed programs via established local partners who had a thorough understanding of the societal settings. The approach was designed to respect cultural customs while fostering positive change, underscoring the value of incorporating local insight.</w:t>
      </w:r>
    </w:p>
    <w:p w14:paraId="68412F5E" w14:textId="4072E6A5" w:rsidR="00473F20" w:rsidRPr="0042524B" w:rsidRDefault="001D4E15" w:rsidP="0042524B">
      <w:pPr>
        <w:pStyle w:val="Heading1"/>
        <w:spacing w:before="0" w:after="240"/>
        <w:rPr>
          <w:rFonts w:ascii="Verdana" w:hAnsi="Verdana"/>
          <w:sz w:val="28"/>
          <w:szCs w:val="28"/>
        </w:rPr>
      </w:pPr>
      <w:bookmarkStart w:id="199" w:name="_Toc165828004"/>
      <w:bookmarkStart w:id="200" w:name="_Toc174559912"/>
      <w:bookmarkStart w:id="201" w:name="_Toc181278059"/>
      <w:r w:rsidRPr="00473F20">
        <w:rPr>
          <w:rFonts w:ascii="Verdana" w:hAnsi="Verdana"/>
          <w:sz w:val="28"/>
          <w:szCs w:val="28"/>
        </w:rPr>
        <w:lastRenderedPageBreak/>
        <w:t>5. Conclusions and Recommendations</w:t>
      </w:r>
      <w:bookmarkStart w:id="202" w:name="_Toc165828005"/>
      <w:bookmarkStart w:id="203" w:name="_Toc174559913"/>
      <w:bookmarkEnd w:id="199"/>
      <w:bookmarkEnd w:id="200"/>
      <w:bookmarkEnd w:id="201"/>
    </w:p>
    <w:p w14:paraId="0114018A" w14:textId="61F49DDA" w:rsidR="00473F20" w:rsidRPr="0042524B" w:rsidRDefault="001D4E15" w:rsidP="0042524B">
      <w:pPr>
        <w:pStyle w:val="Heading2"/>
        <w:spacing w:before="0" w:after="240" w:line="240" w:lineRule="auto"/>
        <w:rPr>
          <w:rFonts w:ascii="Verdana" w:hAnsi="Verdana"/>
          <w:sz w:val="24"/>
          <w:szCs w:val="24"/>
        </w:rPr>
      </w:pPr>
      <w:bookmarkStart w:id="204" w:name="_Toc181278060"/>
      <w:r w:rsidRPr="00473F20">
        <w:rPr>
          <w:rFonts w:ascii="Verdana" w:hAnsi="Verdana"/>
          <w:sz w:val="24"/>
          <w:szCs w:val="24"/>
        </w:rPr>
        <w:t>5.1 Conclusions</w:t>
      </w:r>
      <w:bookmarkStart w:id="205" w:name="_Toc165828006"/>
      <w:bookmarkEnd w:id="202"/>
      <w:bookmarkEnd w:id="203"/>
      <w:bookmarkEnd w:id="204"/>
    </w:p>
    <w:p w14:paraId="102F09AC" w14:textId="1FCA98AB" w:rsidR="00473F20" w:rsidRPr="00A4536F" w:rsidRDefault="001D4E15" w:rsidP="0042524B">
      <w:pPr>
        <w:autoSpaceDE w:val="0"/>
        <w:autoSpaceDN w:val="0"/>
        <w:adjustRightInd w:val="0"/>
        <w:spacing w:before="0" w:line="240" w:lineRule="auto"/>
        <w:rPr>
          <w:rFonts w:eastAsia="Calibri" w:cs="Calibri"/>
          <w:color w:val="auto"/>
          <w:szCs w:val="18"/>
        </w:rPr>
      </w:pPr>
      <w:r w:rsidRPr="00A4536F">
        <w:rPr>
          <w:rFonts w:eastAsia="Calibri" w:cs="Calibri"/>
          <w:color w:val="auto"/>
          <w:szCs w:val="18"/>
        </w:rPr>
        <w:t>The evaluation of the FSL interventions in Kenya and Ethiopia reveals a multi-faceted and impactful approach towards addressing food security, livelihoods, WASH, and protection needs in communities affected by drought and conflict. Here are the key conclusions derived from the analysis:</w:t>
      </w:r>
    </w:p>
    <w:p w14:paraId="39B43538" w14:textId="77777777" w:rsidR="00315466" w:rsidRPr="00A4536F" w:rsidRDefault="001D4E15" w:rsidP="00E4398D">
      <w:pPr>
        <w:autoSpaceDE w:val="0"/>
        <w:autoSpaceDN w:val="0"/>
        <w:adjustRightInd w:val="0"/>
        <w:spacing w:before="0" w:after="120"/>
        <w:rPr>
          <w:rFonts w:eastAsia="Calibri" w:cs="Calibri"/>
          <w:color w:val="auto"/>
          <w:szCs w:val="18"/>
        </w:rPr>
      </w:pPr>
      <w:r w:rsidRPr="00A4536F">
        <w:rPr>
          <w:rFonts w:eastAsia="Calibri" w:cs="Calibri"/>
          <w:color w:val="auto"/>
          <w:szCs w:val="18"/>
        </w:rPr>
        <w:t xml:space="preserve">1. </w:t>
      </w:r>
      <w:r w:rsidRPr="00A4536F">
        <w:rPr>
          <w:rFonts w:eastAsia="Calibri" w:cs="Calibri"/>
          <w:b/>
          <w:bCs/>
          <w:color w:val="auto"/>
          <w:szCs w:val="18"/>
        </w:rPr>
        <w:t xml:space="preserve">Relevance: </w:t>
      </w:r>
      <w:r w:rsidRPr="00A4536F">
        <w:rPr>
          <w:rFonts w:eastAsia="Calibri" w:cs="Calibri"/>
          <w:color w:val="auto"/>
          <w:szCs w:val="18"/>
        </w:rPr>
        <w:t xml:space="preserve">The FSL interventions were generally well-tailored to the needs of the target beneficiaries, aligning with local priorities and government efforts. However, there were notable gaps in addressing the specific needs of youth and </w:t>
      </w:r>
      <w:r w:rsidRPr="00A4536F">
        <w:rPr>
          <w:rFonts w:cs="Calibri"/>
          <w:color w:val="auto"/>
          <w:szCs w:val="18"/>
          <w:shd w:val="clear" w:color="auto" w:fill="FFFFFF"/>
        </w:rPr>
        <w:t>people</w:t>
      </w:r>
      <w:r w:rsidRPr="00A4536F">
        <w:rPr>
          <w:rFonts w:eastAsia="Calibri" w:cs="Calibri"/>
          <w:color w:val="auto"/>
          <w:szCs w:val="18"/>
        </w:rPr>
        <w:t xml:space="preserve"> with disabilities, indicating room for improvement in inclusivity and comprehensive support.</w:t>
      </w:r>
    </w:p>
    <w:p w14:paraId="516A7C56" w14:textId="77777777" w:rsidR="00315466" w:rsidRPr="00A4536F" w:rsidRDefault="001D4E15" w:rsidP="00E4398D">
      <w:pPr>
        <w:autoSpaceDE w:val="0"/>
        <w:autoSpaceDN w:val="0"/>
        <w:adjustRightInd w:val="0"/>
        <w:spacing w:before="0" w:after="120"/>
        <w:rPr>
          <w:rFonts w:eastAsia="Calibri" w:cs="Calibri"/>
          <w:color w:val="auto"/>
          <w:szCs w:val="18"/>
        </w:rPr>
      </w:pPr>
      <w:r w:rsidRPr="00A4536F">
        <w:rPr>
          <w:rFonts w:eastAsia="Calibri" w:cs="Calibri"/>
          <w:color w:val="auto"/>
          <w:szCs w:val="18"/>
        </w:rPr>
        <w:t xml:space="preserve">2. </w:t>
      </w:r>
      <w:r w:rsidRPr="00A4536F">
        <w:rPr>
          <w:rFonts w:eastAsia="Calibri" w:cs="Calibri"/>
          <w:b/>
          <w:bCs/>
          <w:color w:val="auto"/>
          <w:szCs w:val="18"/>
        </w:rPr>
        <w:t>Adaptability</w:t>
      </w:r>
      <w:r w:rsidRPr="00A4536F">
        <w:rPr>
          <w:rFonts w:eastAsia="Calibri" w:cs="Calibri"/>
          <w:color w:val="auto"/>
          <w:szCs w:val="18"/>
        </w:rPr>
        <w:t>: The interventions demonstrated a high level of adaptability to changing contexts, such as adjusting cash transfer rates in response to hyperinflation and participating in local sanitation campaigns. This responsiveness ensured that the support remained relevant and effective despite evolving challenges.</w:t>
      </w:r>
    </w:p>
    <w:p w14:paraId="7D30C4A8" w14:textId="77777777" w:rsidR="00315466" w:rsidRPr="00A4536F" w:rsidRDefault="001D4E15" w:rsidP="00E4398D">
      <w:pPr>
        <w:autoSpaceDE w:val="0"/>
        <w:autoSpaceDN w:val="0"/>
        <w:adjustRightInd w:val="0"/>
        <w:spacing w:before="0" w:after="120"/>
        <w:rPr>
          <w:rFonts w:eastAsia="Calibri" w:cs="Calibri"/>
          <w:color w:val="auto"/>
          <w:szCs w:val="18"/>
        </w:rPr>
      </w:pPr>
      <w:r w:rsidRPr="00A4536F">
        <w:rPr>
          <w:rFonts w:eastAsia="Calibri" w:cs="Calibri"/>
          <w:color w:val="auto"/>
          <w:szCs w:val="18"/>
        </w:rPr>
        <w:t xml:space="preserve">3. </w:t>
      </w:r>
      <w:r w:rsidRPr="00A4536F">
        <w:rPr>
          <w:rFonts w:eastAsia="Calibri" w:cs="Calibri"/>
          <w:b/>
          <w:bCs/>
          <w:color w:val="auto"/>
          <w:szCs w:val="18"/>
        </w:rPr>
        <w:t>Coherence:</w:t>
      </w:r>
      <w:r w:rsidRPr="00A4536F">
        <w:rPr>
          <w:rFonts w:eastAsia="Calibri" w:cs="Calibri"/>
          <w:color w:val="auto"/>
          <w:szCs w:val="18"/>
        </w:rPr>
        <w:t xml:space="preserve"> The interventions were well-coordinated with national and sub-national humanitarian platforms, enhancing collaboration and learning. However, there were missed opportunities in systematically collecting and sharing lessons learned, which could have further improved coordination efforts.</w:t>
      </w:r>
    </w:p>
    <w:p w14:paraId="52F563EE" w14:textId="77777777" w:rsidR="00315466" w:rsidRPr="00A4536F" w:rsidRDefault="001D4E15" w:rsidP="00E4398D">
      <w:pPr>
        <w:autoSpaceDE w:val="0"/>
        <w:autoSpaceDN w:val="0"/>
        <w:adjustRightInd w:val="0"/>
        <w:spacing w:before="0" w:after="120"/>
        <w:rPr>
          <w:rFonts w:eastAsia="Calibri" w:cs="Calibri"/>
          <w:color w:val="auto"/>
          <w:szCs w:val="18"/>
        </w:rPr>
      </w:pPr>
      <w:r w:rsidRPr="00A4536F">
        <w:rPr>
          <w:rFonts w:eastAsia="Calibri" w:cs="Calibri"/>
          <w:color w:val="auto"/>
          <w:szCs w:val="18"/>
        </w:rPr>
        <w:t xml:space="preserve">4. </w:t>
      </w:r>
      <w:r w:rsidRPr="00A4536F">
        <w:rPr>
          <w:rFonts w:eastAsia="Calibri" w:cs="Calibri"/>
          <w:b/>
          <w:bCs/>
          <w:color w:val="auto"/>
          <w:szCs w:val="18"/>
        </w:rPr>
        <w:t>Effectiveness</w:t>
      </w:r>
      <w:r w:rsidRPr="00A4536F">
        <w:rPr>
          <w:rFonts w:eastAsia="Calibri" w:cs="Calibri"/>
          <w:color w:val="auto"/>
          <w:szCs w:val="18"/>
        </w:rPr>
        <w:t>: The FSL interventions yielded positive results across different beneficiary groups, though the extent of benefits varied. Key factors influencing these variations included the implementation approach, community participation, and follow-up mechanisms. While some groups, particularly women and girls, gained more agency and improved their positions within communities, youth and children were less engaged in the decision-making processes affecting them.</w:t>
      </w:r>
    </w:p>
    <w:p w14:paraId="2B0787E4" w14:textId="77777777" w:rsidR="00315466" w:rsidRPr="00A4536F" w:rsidRDefault="001D4E15" w:rsidP="00E4398D">
      <w:pPr>
        <w:autoSpaceDE w:val="0"/>
        <w:autoSpaceDN w:val="0"/>
        <w:adjustRightInd w:val="0"/>
        <w:spacing w:before="0" w:after="120"/>
        <w:rPr>
          <w:rFonts w:eastAsia="Calibri" w:cs="Calibri"/>
          <w:color w:val="auto"/>
          <w:szCs w:val="18"/>
        </w:rPr>
      </w:pPr>
      <w:r w:rsidRPr="00A4536F">
        <w:rPr>
          <w:rFonts w:eastAsia="Calibri" w:cs="Calibri"/>
          <w:color w:val="auto"/>
          <w:szCs w:val="18"/>
        </w:rPr>
        <w:t>5.</w:t>
      </w:r>
      <w:r w:rsidRPr="00A4536F">
        <w:rPr>
          <w:rFonts w:eastAsia="Calibri" w:cs="Calibri"/>
          <w:b/>
          <w:bCs/>
          <w:color w:val="auto"/>
          <w:szCs w:val="18"/>
        </w:rPr>
        <w:t xml:space="preserve"> Integration</w:t>
      </w:r>
      <w:r w:rsidRPr="00A4536F">
        <w:rPr>
          <w:rFonts w:eastAsia="Calibri" w:cs="Calibri"/>
          <w:color w:val="auto"/>
          <w:szCs w:val="18"/>
        </w:rPr>
        <w:t>: Integrating FSL, WASH, and protection activities generally led to improved outcomes. However, the integration was not consistent across all consortia partners, with some instances of fragmentation impacting the sustainability and effectiveness of outcomes.</w:t>
      </w:r>
    </w:p>
    <w:p w14:paraId="5AF4F4EB" w14:textId="77777777" w:rsidR="00315466" w:rsidRPr="00A4536F" w:rsidRDefault="001D4E15" w:rsidP="00E4398D">
      <w:pPr>
        <w:autoSpaceDE w:val="0"/>
        <w:autoSpaceDN w:val="0"/>
        <w:adjustRightInd w:val="0"/>
        <w:spacing w:before="0" w:after="120"/>
        <w:rPr>
          <w:rFonts w:eastAsia="Calibri" w:cs="Calibri"/>
          <w:color w:val="auto"/>
          <w:szCs w:val="18"/>
        </w:rPr>
      </w:pPr>
      <w:r w:rsidRPr="00A4536F">
        <w:rPr>
          <w:rFonts w:eastAsia="Calibri" w:cs="Calibri"/>
          <w:color w:val="auto"/>
          <w:szCs w:val="18"/>
        </w:rPr>
        <w:t xml:space="preserve">6. </w:t>
      </w:r>
      <w:r w:rsidRPr="00A4536F">
        <w:rPr>
          <w:rFonts w:eastAsia="Calibri" w:cs="Calibri"/>
          <w:b/>
          <w:bCs/>
          <w:color w:val="auto"/>
          <w:szCs w:val="18"/>
        </w:rPr>
        <w:t>Inclusion and Diversity</w:t>
      </w:r>
      <w:r w:rsidRPr="00A4536F">
        <w:rPr>
          <w:rFonts w:eastAsia="Calibri" w:cs="Calibri"/>
          <w:color w:val="auto"/>
          <w:szCs w:val="18"/>
        </w:rPr>
        <w:t xml:space="preserve">: The targeting and inclusion mechanisms were generally effective in identifying and supporting the most vulnerable groups. However, certain groups, such as </w:t>
      </w:r>
      <w:r w:rsidRPr="00A4536F">
        <w:rPr>
          <w:rFonts w:cs="Calibri"/>
          <w:color w:val="auto"/>
          <w:szCs w:val="18"/>
          <w:shd w:val="clear" w:color="auto" w:fill="FFFFFF"/>
        </w:rPr>
        <w:t>people</w:t>
      </w:r>
      <w:r w:rsidRPr="00A4536F">
        <w:rPr>
          <w:rFonts w:eastAsia="Calibri" w:cs="Calibri"/>
          <w:color w:val="auto"/>
          <w:szCs w:val="18"/>
        </w:rPr>
        <w:t xml:space="preserve"> with disabilities and residents of IDP camps, were not fully considered, indicating a need for more comprehensive inclusion strategies.</w:t>
      </w:r>
    </w:p>
    <w:p w14:paraId="0264B2F7" w14:textId="77777777" w:rsidR="00315466" w:rsidRPr="00A4536F" w:rsidRDefault="001D4E15" w:rsidP="00E4398D">
      <w:pPr>
        <w:autoSpaceDE w:val="0"/>
        <w:autoSpaceDN w:val="0"/>
        <w:adjustRightInd w:val="0"/>
        <w:spacing w:before="0" w:after="120"/>
        <w:rPr>
          <w:rFonts w:eastAsia="Calibri" w:cs="Calibri"/>
          <w:color w:val="auto"/>
          <w:szCs w:val="18"/>
        </w:rPr>
      </w:pPr>
      <w:r w:rsidRPr="00A4536F">
        <w:rPr>
          <w:rFonts w:eastAsia="Calibri" w:cs="Calibri"/>
          <w:color w:val="auto"/>
          <w:szCs w:val="18"/>
        </w:rPr>
        <w:t xml:space="preserve">7. </w:t>
      </w:r>
      <w:r w:rsidRPr="00A4536F">
        <w:rPr>
          <w:rFonts w:eastAsia="Calibri" w:cs="Calibri"/>
          <w:b/>
          <w:bCs/>
          <w:color w:val="auto"/>
          <w:szCs w:val="18"/>
        </w:rPr>
        <w:t>Accountability</w:t>
      </w:r>
      <w:r w:rsidRPr="00A4536F">
        <w:rPr>
          <w:rFonts w:eastAsia="Calibri" w:cs="Calibri"/>
          <w:color w:val="auto"/>
          <w:szCs w:val="18"/>
        </w:rPr>
        <w:t>: Communication and feedback mechanisms significantly influenced the implementation of interventions, promoting transparency and community involvement. However, the design phase lacked sufficient engagement with beneficiaries, highlighting an area for improvement in future interventions.</w:t>
      </w:r>
    </w:p>
    <w:p w14:paraId="6C326E2B" w14:textId="77777777" w:rsidR="00315466" w:rsidRPr="00A4536F" w:rsidRDefault="001D4E15" w:rsidP="00E4398D">
      <w:pPr>
        <w:autoSpaceDE w:val="0"/>
        <w:autoSpaceDN w:val="0"/>
        <w:adjustRightInd w:val="0"/>
        <w:spacing w:before="0" w:after="120"/>
        <w:rPr>
          <w:rFonts w:eastAsia="Calibri" w:cs="Calibri"/>
          <w:color w:val="auto"/>
          <w:szCs w:val="18"/>
        </w:rPr>
      </w:pPr>
      <w:r w:rsidRPr="00A4536F">
        <w:rPr>
          <w:rFonts w:eastAsia="Calibri" w:cs="Calibri"/>
          <w:color w:val="auto"/>
          <w:szCs w:val="18"/>
        </w:rPr>
        <w:t xml:space="preserve">8. </w:t>
      </w:r>
      <w:r w:rsidRPr="00A4536F">
        <w:rPr>
          <w:rFonts w:eastAsia="Calibri" w:cs="Calibri"/>
          <w:b/>
          <w:bCs/>
          <w:color w:val="auto"/>
          <w:szCs w:val="18"/>
        </w:rPr>
        <w:t>Localisation:</w:t>
      </w:r>
      <w:r w:rsidRPr="00A4536F">
        <w:rPr>
          <w:rFonts w:eastAsia="Calibri" w:cs="Calibri"/>
          <w:color w:val="auto"/>
          <w:szCs w:val="18"/>
        </w:rPr>
        <w:t xml:space="preserve"> Utilising local systems and enhancing local leadership were effective in fostering community ownership and sustainability. However, there is a need to manage risks associated with dependency on external funding and potential conflicts of interest involving local government staff.</w:t>
      </w:r>
    </w:p>
    <w:p w14:paraId="65B9498E" w14:textId="77777777" w:rsidR="00315466" w:rsidRDefault="001D4E15" w:rsidP="00E4398D">
      <w:pPr>
        <w:autoSpaceDE w:val="0"/>
        <w:autoSpaceDN w:val="0"/>
        <w:adjustRightInd w:val="0"/>
        <w:spacing w:before="0" w:after="120"/>
        <w:rPr>
          <w:rFonts w:eastAsia="Calibri" w:cs="Calibri"/>
          <w:color w:val="auto"/>
          <w:szCs w:val="18"/>
        </w:rPr>
      </w:pPr>
      <w:r w:rsidRPr="00A4536F">
        <w:rPr>
          <w:rFonts w:eastAsia="Calibri" w:cs="Calibri"/>
          <w:color w:val="auto"/>
          <w:szCs w:val="18"/>
        </w:rPr>
        <w:t xml:space="preserve">9. </w:t>
      </w:r>
      <w:r w:rsidRPr="00A4536F">
        <w:rPr>
          <w:rFonts w:eastAsia="Calibri" w:cs="Calibri"/>
          <w:b/>
          <w:bCs/>
          <w:color w:val="auto"/>
          <w:szCs w:val="18"/>
        </w:rPr>
        <w:t>Climate Change Resilience</w:t>
      </w:r>
      <w:r w:rsidRPr="00A4536F">
        <w:rPr>
          <w:rFonts w:eastAsia="Calibri" w:cs="Calibri"/>
          <w:color w:val="auto"/>
          <w:szCs w:val="18"/>
        </w:rPr>
        <w:t>: The interventions contributed to increased resilience in the face of climate change through diversified livelihoods, improved water management, and enhanced community awareness. Nonetheless, the short duration of the projects limits the ability to fully assess long-term sustainability and resilience.</w:t>
      </w:r>
    </w:p>
    <w:p w14:paraId="0B6C09B2" w14:textId="65C2B416" w:rsidR="005E6462" w:rsidRDefault="005E6462">
      <w:pPr>
        <w:spacing w:before="0" w:after="0" w:line="240" w:lineRule="auto"/>
        <w:rPr>
          <w:rFonts w:eastAsia="Calibri" w:cs="Calibri"/>
          <w:color w:val="auto"/>
          <w:szCs w:val="18"/>
        </w:rPr>
      </w:pPr>
      <w:r>
        <w:rPr>
          <w:rFonts w:eastAsia="Calibri" w:cs="Calibri"/>
          <w:color w:val="auto"/>
          <w:szCs w:val="18"/>
        </w:rPr>
        <w:br w:type="page"/>
      </w:r>
    </w:p>
    <w:p w14:paraId="620E28EB" w14:textId="50CDBB50" w:rsidR="00473F20" w:rsidRPr="0042524B" w:rsidRDefault="001D4E15" w:rsidP="0042524B">
      <w:pPr>
        <w:pStyle w:val="Heading2"/>
        <w:spacing w:before="0" w:after="240" w:line="240" w:lineRule="auto"/>
        <w:rPr>
          <w:rFonts w:ascii="Verdana" w:hAnsi="Verdana"/>
          <w:sz w:val="24"/>
          <w:szCs w:val="24"/>
        </w:rPr>
      </w:pPr>
      <w:bookmarkStart w:id="206" w:name="_Toc174559914"/>
      <w:bookmarkStart w:id="207" w:name="_Toc181278061"/>
      <w:r w:rsidRPr="00473F20">
        <w:rPr>
          <w:rFonts w:ascii="Verdana" w:hAnsi="Verdana"/>
          <w:sz w:val="24"/>
          <w:szCs w:val="24"/>
        </w:rPr>
        <w:lastRenderedPageBreak/>
        <w:t>5.2. Recommendations</w:t>
      </w:r>
      <w:bookmarkEnd w:id="205"/>
      <w:bookmarkEnd w:id="206"/>
      <w:bookmarkEnd w:id="207"/>
    </w:p>
    <w:p w14:paraId="39727324" w14:textId="7635CBA8" w:rsidR="005E6462" w:rsidRPr="0042524B" w:rsidRDefault="001D4E15" w:rsidP="0042524B">
      <w:pPr>
        <w:spacing w:before="0" w:after="0" w:line="240" w:lineRule="auto"/>
        <w:rPr>
          <w:rFonts w:cs="Calibri"/>
          <w:color w:val="auto"/>
          <w:szCs w:val="18"/>
        </w:rPr>
      </w:pPr>
      <w:r w:rsidRPr="00A4536F">
        <w:rPr>
          <w:rFonts w:cs="Calibri"/>
          <w:color w:val="auto"/>
          <w:szCs w:val="18"/>
        </w:rPr>
        <w:t>Based on the analysis and the above conclusions, the team recommends the following:</w:t>
      </w:r>
      <w:bookmarkStart w:id="208" w:name="_Hlk173848291"/>
    </w:p>
    <w:p w14:paraId="1828EC21" w14:textId="77777777" w:rsidR="00175BEA" w:rsidRPr="009F7603" w:rsidRDefault="00175BEA" w:rsidP="008815FD">
      <w:pPr>
        <w:spacing w:after="120"/>
        <w:rPr>
          <w:b/>
          <w:bCs/>
        </w:rPr>
      </w:pPr>
      <w:r w:rsidRPr="009F7603">
        <w:rPr>
          <w:b/>
          <w:bCs/>
        </w:rPr>
        <w:t>Recommendations for AHP partners</w:t>
      </w:r>
    </w:p>
    <w:p w14:paraId="74F75E8A" w14:textId="77777777" w:rsidR="00175BEA" w:rsidRPr="009F7603" w:rsidRDefault="00175BEA" w:rsidP="00D41C74">
      <w:pPr>
        <w:numPr>
          <w:ilvl w:val="0"/>
          <w:numId w:val="77"/>
        </w:numPr>
        <w:snapToGrid w:val="0"/>
        <w:spacing w:before="0" w:after="120"/>
        <w:rPr>
          <w:rFonts w:eastAsia="Calibri"/>
          <w:color w:val="auto"/>
          <w:szCs w:val="18"/>
        </w:rPr>
      </w:pPr>
      <w:r>
        <w:rPr>
          <w:rFonts w:eastAsia="Calibri"/>
          <w:color w:val="auto"/>
          <w:szCs w:val="18"/>
        </w:rPr>
        <w:t>For</w:t>
      </w:r>
      <w:r w:rsidRPr="009F7603">
        <w:rPr>
          <w:rFonts w:eastAsia="Calibri"/>
          <w:color w:val="auto"/>
          <w:szCs w:val="18"/>
        </w:rPr>
        <w:t xml:space="preserve"> AHP partners and country-level consortium leads</w:t>
      </w:r>
      <w:r>
        <w:rPr>
          <w:rFonts w:eastAsia="Calibri"/>
          <w:color w:val="auto"/>
          <w:szCs w:val="18"/>
        </w:rPr>
        <w:t xml:space="preserve">, </w:t>
      </w:r>
      <w:r w:rsidRPr="009F7603">
        <w:rPr>
          <w:rFonts w:eastAsia="Calibri"/>
          <w:color w:val="auto"/>
          <w:szCs w:val="18"/>
        </w:rPr>
        <w:t>explore how to connect local and regional-level coordination mechanisms with national-level humanitarian coordination efforts so that they can learn from the field and influence national-level humanitarian policy.</w:t>
      </w:r>
    </w:p>
    <w:p w14:paraId="50F2C8F2" w14:textId="77777777" w:rsidR="00175BEA" w:rsidRPr="009F7603" w:rsidRDefault="00175BEA" w:rsidP="00D41C74">
      <w:pPr>
        <w:numPr>
          <w:ilvl w:val="0"/>
          <w:numId w:val="77"/>
        </w:numPr>
        <w:snapToGrid w:val="0"/>
        <w:spacing w:before="0" w:after="120"/>
        <w:rPr>
          <w:rFonts w:ascii="Calibri" w:eastAsia="Calibri" w:hAnsi="Calibri"/>
          <w:color w:val="auto"/>
          <w:sz w:val="22"/>
          <w:szCs w:val="18"/>
        </w:rPr>
      </w:pPr>
      <w:r>
        <w:rPr>
          <w:rFonts w:ascii="Calibri" w:eastAsia="Calibri" w:hAnsi="Calibri"/>
          <w:color w:val="auto"/>
          <w:sz w:val="22"/>
          <w:szCs w:val="18"/>
        </w:rPr>
        <w:t>For i</w:t>
      </w:r>
      <w:r w:rsidRPr="009F7603">
        <w:rPr>
          <w:rFonts w:ascii="Calibri" w:eastAsia="Calibri" w:hAnsi="Calibri"/>
          <w:color w:val="auto"/>
          <w:sz w:val="22"/>
          <w:szCs w:val="18"/>
        </w:rPr>
        <w:t>mplementing partners, whenever possible, identify local solutions and suppliers to ensure improved efficiency and to mitigate logistical challenges.</w:t>
      </w:r>
    </w:p>
    <w:p w14:paraId="0D13CCA6" w14:textId="77777777" w:rsidR="00175BEA" w:rsidRPr="009F7603" w:rsidRDefault="00175BEA" w:rsidP="00D41C74">
      <w:pPr>
        <w:numPr>
          <w:ilvl w:val="0"/>
          <w:numId w:val="77"/>
        </w:numPr>
        <w:snapToGrid w:val="0"/>
        <w:spacing w:before="0" w:after="120"/>
        <w:rPr>
          <w:rFonts w:eastAsia="Calibri"/>
          <w:color w:val="auto"/>
          <w:szCs w:val="18"/>
          <w:shd w:val="clear" w:color="auto" w:fill="FFFFFF"/>
        </w:rPr>
      </w:pPr>
      <w:r>
        <w:rPr>
          <w:rFonts w:eastAsia="Calibri"/>
          <w:color w:val="auto"/>
          <w:szCs w:val="18"/>
          <w:shd w:val="clear" w:color="auto" w:fill="FFFFFF"/>
        </w:rPr>
        <w:t>For i</w:t>
      </w:r>
      <w:r w:rsidRPr="009F7603">
        <w:rPr>
          <w:rFonts w:eastAsia="Calibri"/>
          <w:color w:val="auto"/>
          <w:szCs w:val="18"/>
          <w:shd w:val="clear" w:color="auto" w:fill="FFFFFF"/>
        </w:rPr>
        <w:t>mplementation partners and consortium leads</w:t>
      </w:r>
      <w:r>
        <w:rPr>
          <w:rFonts w:eastAsia="Calibri"/>
          <w:color w:val="auto"/>
          <w:szCs w:val="18"/>
          <w:shd w:val="clear" w:color="auto" w:fill="FFFFFF"/>
        </w:rPr>
        <w:t>,</w:t>
      </w:r>
      <w:r w:rsidRPr="009F7603">
        <w:rPr>
          <w:rFonts w:eastAsia="Calibri"/>
          <w:color w:val="auto"/>
          <w:szCs w:val="18"/>
          <w:shd w:val="clear" w:color="auto" w:fill="FFFFFF"/>
        </w:rPr>
        <w:t xml:space="preserve"> strengthen collaboration with organisations of people</w:t>
      </w:r>
      <w:r w:rsidRPr="009F7603" w:rsidDel="002836D9">
        <w:rPr>
          <w:rFonts w:eastAsia="Calibri"/>
          <w:color w:val="auto"/>
          <w:szCs w:val="18"/>
          <w:shd w:val="clear" w:color="auto" w:fill="FFFFFF"/>
        </w:rPr>
        <w:t xml:space="preserve"> </w:t>
      </w:r>
      <w:r w:rsidRPr="009F7603">
        <w:rPr>
          <w:rFonts w:eastAsia="Calibri"/>
          <w:color w:val="auto"/>
          <w:szCs w:val="18"/>
          <w:shd w:val="clear" w:color="auto" w:fill="FFFFFF"/>
        </w:rPr>
        <w:t>with disabilities while at the same time strengthening capacity of implementing organisations staff to plan and implement strategies that can ensure meaningful inclusion of people</w:t>
      </w:r>
      <w:r w:rsidRPr="009F7603" w:rsidDel="002836D9">
        <w:rPr>
          <w:rFonts w:eastAsia="Calibri"/>
          <w:color w:val="auto"/>
          <w:szCs w:val="18"/>
          <w:shd w:val="clear" w:color="auto" w:fill="FFFFFF"/>
        </w:rPr>
        <w:t xml:space="preserve"> </w:t>
      </w:r>
      <w:r w:rsidRPr="009F7603">
        <w:rPr>
          <w:rFonts w:eastAsia="Calibri"/>
          <w:color w:val="auto"/>
          <w:szCs w:val="18"/>
          <w:shd w:val="clear" w:color="auto" w:fill="FFFFFF"/>
        </w:rPr>
        <w:t>with disabilities.</w:t>
      </w:r>
    </w:p>
    <w:p w14:paraId="4B9EC2E3" w14:textId="77777777" w:rsidR="00175BEA" w:rsidRPr="009F7603" w:rsidRDefault="00175BEA" w:rsidP="00D41C74">
      <w:pPr>
        <w:numPr>
          <w:ilvl w:val="0"/>
          <w:numId w:val="77"/>
        </w:numPr>
        <w:spacing w:before="0" w:after="120"/>
        <w:rPr>
          <w:rFonts w:eastAsia="Calibri"/>
          <w:color w:val="auto"/>
          <w:szCs w:val="18"/>
        </w:rPr>
      </w:pPr>
      <w:r>
        <w:rPr>
          <w:rFonts w:eastAsia="Calibri"/>
          <w:color w:val="auto"/>
          <w:szCs w:val="18"/>
        </w:rPr>
        <w:t>For AHP partners, to</w:t>
      </w:r>
      <w:r w:rsidRPr="009F7603">
        <w:rPr>
          <w:rFonts w:eastAsia="Calibri"/>
          <w:color w:val="auto"/>
          <w:szCs w:val="18"/>
        </w:rPr>
        <w:t xml:space="preserve"> improve consistency in data collection, monitoring and evaluation, reporting, and learning</w:t>
      </w:r>
      <w:r>
        <w:rPr>
          <w:rFonts w:eastAsia="Calibri"/>
          <w:color w:val="auto"/>
          <w:szCs w:val="18"/>
        </w:rPr>
        <w:t xml:space="preserve"> for the response</w:t>
      </w:r>
      <w:r w:rsidRPr="009F7603">
        <w:rPr>
          <w:rFonts w:eastAsia="Calibri"/>
          <w:color w:val="auto"/>
          <w:szCs w:val="18"/>
        </w:rPr>
        <w:t>, establish a centralised digital platform that integrates data from all implementing partners and stakeholders. This platform should include standardised data collection tools, real-time monitoring dashboards, and automated reporting functionalities.</w:t>
      </w:r>
    </w:p>
    <w:p w14:paraId="7AEC8279" w14:textId="56273E81" w:rsidR="00FD41AB" w:rsidRPr="0042524B" w:rsidRDefault="00175BEA" w:rsidP="008815FD">
      <w:pPr>
        <w:numPr>
          <w:ilvl w:val="0"/>
          <w:numId w:val="77"/>
        </w:numPr>
        <w:snapToGrid w:val="0"/>
        <w:contextualSpacing/>
        <w:rPr>
          <w:rFonts w:eastAsia="Calibri"/>
          <w:color w:val="auto"/>
          <w:szCs w:val="18"/>
        </w:rPr>
      </w:pPr>
      <w:r w:rsidRPr="009F7603">
        <w:rPr>
          <w:rFonts w:eastAsia="Calibri"/>
          <w:color w:val="auto"/>
          <w:szCs w:val="18"/>
        </w:rPr>
        <w:t xml:space="preserve">Implementing partners should consider utilising short term funding opportunities like the one evaluated to promote government integration of FSL interventions into existing government programmes. This approach will help to </w:t>
      </w:r>
      <w:r>
        <w:rPr>
          <w:rFonts w:eastAsia="Calibri"/>
          <w:color w:val="auto"/>
          <w:szCs w:val="18"/>
        </w:rPr>
        <w:t>link</w:t>
      </w:r>
      <w:r w:rsidRPr="009F7603">
        <w:rPr>
          <w:rFonts w:eastAsia="Calibri"/>
          <w:color w:val="auto"/>
          <w:szCs w:val="18"/>
        </w:rPr>
        <w:t xml:space="preserve"> short-term humanitarian aid and longer-term development efforts</w:t>
      </w:r>
      <w:r>
        <w:rPr>
          <w:rFonts w:eastAsia="Calibri"/>
          <w:color w:val="auto"/>
          <w:szCs w:val="18"/>
        </w:rPr>
        <w:t xml:space="preserve"> where possible</w:t>
      </w:r>
      <w:r w:rsidRPr="009F7603">
        <w:rPr>
          <w:rFonts w:eastAsia="Calibri"/>
          <w:color w:val="auto"/>
          <w:szCs w:val="18"/>
        </w:rPr>
        <w:t>, ensuring that immediate lifesaving interventions are followed with, or contribute to, more sustainable development and enhanced resilience.</w:t>
      </w:r>
    </w:p>
    <w:p w14:paraId="438EB306" w14:textId="5A7FFBD2" w:rsidR="00175BEA" w:rsidRPr="009F7603" w:rsidRDefault="00175BEA" w:rsidP="0042524B">
      <w:pPr>
        <w:spacing w:after="120"/>
        <w:rPr>
          <w:bCs/>
        </w:rPr>
      </w:pPr>
      <w:r w:rsidRPr="009F7603">
        <w:rPr>
          <w:b/>
          <w:bCs/>
        </w:rPr>
        <w:t>Recommendations for DFAT</w:t>
      </w:r>
    </w:p>
    <w:p w14:paraId="4C61B700" w14:textId="77777777" w:rsidR="00447C1B" w:rsidRDefault="00175BEA" w:rsidP="008815FD">
      <w:pPr>
        <w:pStyle w:val="ListParagraph"/>
        <w:numPr>
          <w:ilvl w:val="0"/>
          <w:numId w:val="78"/>
        </w:numPr>
        <w:spacing w:before="240" w:after="120"/>
        <w:rPr>
          <w:rFonts w:ascii="Verdana" w:hAnsi="Verdana"/>
          <w:sz w:val="18"/>
          <w:szCs w:val="18"/>
        </w:rPr>
      </w:pPr>
      <w:r w:rsidRPr="003E0A7C">
        <w:rPr>
          <w:rFonts w:ascii="Verdana" w:hAnsi="Verdana"/>
          <w:sz w:val="18"/>
          <w:szCs w:val="18"/>
        </w:rPr>
        <w:t xml:space="preserve">Where possible identify opportunities where humanitarian funding, as a </w:t>
      </w:r>
      <w:proofErr w:type="gramStart"/>
      <w:r w:rsidRPr="003E0A7C">
        <w:rPr>
          <w:rFonts w:ascii="Verdana" w:hAnsi="Verdana"/>
          <w:sz w:val="18"/>
          <w:szCs w:val="18"/>
        </w:rPr>
        <w:t>short term</w:t>
      </w:r>
      <w:proofErr w:type="gramEnd"/>
      <w:r w:rsidRPr="003E0A7C">
        <w:rPr>
          <w:rFonts w:ascii="Verdana" w:hAnsi="Verdana"/>
          <w:sz w:val="18"/>
          <w:szCs w:val="18"/>
        </w:rPr>
        <w:t xml:space="preserve"> life saving effort, can be integrated or added to efforts that are more development oriented. This could serve to capitalize on and consolidate gains made through humanitarian funding. Specifically, this could include:</w:t>
      </w:r>
    </w:p>
    <w:p w14:paraId="3ECA2F23" w14:textId="77777777" w:rsidR="00447C1B" w:rsidRPr="00447C1B" w:rsidRDefault="00175BEA" w:rsidP="00D41C74">
      <w:pPr>
        <w:pStyle w:val="ListParagraph"/>
        <w:numPr>
          <w:ilvl w:val="1"/>
          <w:numId w:val="78"/>
        </w:numPr>
        <w:spacing w:after="120"/>
        <w:rPr>
          <w:rFonts w:ascii="Verdana" w:hAnsi="Verdana"/>
          <w:sz w:val="18"/>
          <w:szCs w:val="18"/>
        </w:rPr>
      </w:pPr>
      <w:r w:rsidRPr="00447C1B">
        <w:rPr>
          <w:szCs w:val="18"/>
        </w:rPr>
        <w:t>Encouraging partners to critically assess their interventions and seek funding, including informing partners of opportunities outside the humanitarian budget lines where available and within DFAT’s control, to continue elements which can benefit from longer term implementation.</w:t>
      </w:r>
    </w:p>
    <w:p w14:paraId="4828364E" w14:textId="7F32112F" w:rsidR="00175BEA" w:rsidRPr="00447C1B" w:rsidRDefault="00175BEA" w:rsidP="00D41C74">
      <w:pPr>
        <w:pStyle w:val="ListParagraph"/>
        <w:numPr>
          <w:ilvl w:val="1"/>
          <w:numId w:val="78"/>
        </w:numPr>
        <w:spacing w:after="120"/>
        <w:rPr>
          <w:rFonts w:ascii="Verdana" w:hAnsi="Verdana"/>
          <w:sz w:val="18"/>
          <w:szCs w:val="18"/>
        </w:rPr>
      </w:pPr>
      <w:r w:rsidRPr="00447C1B">
        <w:rPr>
          <w:szCs w:val="18"/>
        </w:rPr>
        <w:t xml:space="preserve">Encouraging partners to engage with government on options to absorb intervention elements into longer term development, or resilience building efforts. </w:t>
      </w:r>
    </w:p>
    <w:p w14:paraId="49B81A3D" w14:textId="77777777" w:rsidR="00175BEA" w:rsidRPr="00903CED" w:rsidRDefault="00175BEA" w:rsidP="00D41C74">
      <w:pPr>
        <w:pStyle w:val="ListParagraph"/>
        <w:numPr>
          <w:ilvl w:val="0"/>
          <w:numId w:val="78"/>
        </w:numPr>
        <w:spacing w:after="120"/>
        <w:rPr>
          <w:rFonts w:ascii="Verdana" w:hAnsi="Verdana"/>
          <w:sz w:val="18"/>
          <w:szCs w:val="18"/>
        </w:rPr>
      </w:pPr>
      <w:r w:rsidRPr="00903CED">
        <w:rPr>
          <w:rFonts w:ascii="Verdana" w:hAnsi="Verdana"/>
          <w:sz w:val="18"/>
          <w:szCs w:val="18"/>
        </w:rPr>
        <w:t>Contribute to</w:t>
      </w:r>
      <w:r>
        <w:rPr>
          <w:rFonts w:ascii="Verdana" w:hAnsi="Verdana"/>
          <w:sz w:val="18"/>
          <w:szCs w:val="18"/>
        </w:rPr>
        <w:t xml:space="preserve"> and support</w:t>
      </w:r>
      <w:r w:rsidRPr="00903CED">
        <w:rPr>
          <w:rFonts w:ascii="Verdana" w:hAnsi="Verdana"/>
          <w:sz w:val="18"/>
          <w:szCs w:val="18"/>
        </w:rPr>
        <w:t xml:space="preserve"> local and regional coordination</w:t>
      </w:r>
      <w:r>
        <w:rPr>
          <w:rFonts w:ascii="Verdana" w:hAnsi="Verdana"/>
          <w:sz w:val="18"/>
          <w:szCs w:val="18"/>
        </w:rPr>
        <w:t xml:space="preserve"> where possible to</w:t>
      </w:r>
      <w:r w:rsidRPr="00903CED">
        <w:rPr>
          <w:rFonts w:ascii="Verdana" w:hAnsi="Verdana"/>
          <w:sz w:val="18"/>
          <w:szCs w:val="18"/>
        </w:rPr>
        <w:t xml:space="preserve"> help promote the inclusion of field experiences into national-level humanitarian policy discussions.</w:t>
      </w:r>
    </w:p>
    <w:bookmarkEnd w:id="208"/>
    <w:p w14:paraId="2B64CD80" w14:textId="77777777" w:rsidR="00315466" w:rsidRPr="00A4536F" w:rsidRDefault="001D4E15">
      <w:pPr>
        <w:spacing w:before="0" w:after="120"/>
        <w:rPr>
          <w:rFonts w:cs="Calibri"/>
          <w:color w:val="auto"/>
          <w:szCs w:val="18"/>
        </w:rPr>
      </w:pPr>
      <w:r w:rsidRPr="00A4536F">
        <w:rPr>
          <w:rFonts w:cs="Calibri"/>
          <w:color w:val="auto"/>
          <w:szCs w:val="18"/>
        </w:rPr>
        <w:br w:type="page"/>
      </w:r>
    </w:p>
    <w:p w14:paraId="2E22D469" w14:textId="35E0FD99" w:rsidR="005E6462" w:rsidRPr="0042524B" w:rsidRDefault="001D4E15" w:rsidP="0042524B">
      <w:pPr>
        <w:pStyle w:val="Heading1"/>
        <w:spacing w:before="0" w:after="240"/>
        <w:rPr>
          <w:rFonts w:ascii="Verdana" w:hAnsi="Verdana"/>
          <w:color w:val="auto"/>
          <w:sz w:val="28"/>
          <w:szCs w:val="28"/>
        </w:rPr>
      </w:pPr>
      <w:bookmarkStart w:id="209" w:name="_Toc174559915"/>
      <w:bookmarkStart w:id="210" w:name="_Toc181278062"/>
      <w:bookmarkStart w:id="211" w:name="_Toc165828007"/>
      <w:r w:rsidRPr="005E6462">
        <w:rPr>
          <w:rFonts w:ascii="Verdana" w:hAnsi="Verdana"/>
          <w:color w:val="auto"/>
          <w:sz w:val="28"/>
          <w:szCs w:val="28"/>
        </w:rPr>
        <w:lastRenderedPageBreak/>
        <w:t>Bibliography</w:t>
      </w:r>
      <w:bookmarkEnd w:id="209"/>
      <w:bookmarkEnd w:id="210"/>
    </w:p>
    <w:p w14:paraId="3343DDBA" w14:textId="77777777" w:rsidR="00315466" w:rsidRDefault="001D4E15" w:rsidP="0042524B">
      <w:pPr>
        <w:spacing w:before="0" w:line="240" w:lineRule="auto"/>
        <w:ind w:left="-6" w:right="58" w:hanging="11"/>
        <w:rPr>
          <w:rFonts w:eastAsia="Times New Roman" w:cs="Calibri"/>
          <w:color w:val="auto"/>
          <w:szCs w:val="18"/>
          <w:lang w:eastAsia="en-GB"/>
        </w:rPr>
      </w:pPr>
      <w:r w:rsidRPr="00A4536F">
        <w:rPr>
          <w:rFonts w:eastAsia="Times New Roman" w:cs="Calibri"/>
          <w:color w:val="auto"/>
          <w:szCs w:val="18"/>
          <w:lang w:eastAsia="en-GB"/>
        </w:rPr>
        <w:t xml:space="preserve">Department of Foreign Affairs and Trade (DFAT). 2023. </w:t>
      </w:r>
      <w:r w:rsidRPr="00A4536F">
        <w:rPr>
          <w:rFonts w:cs="Calibri"/>
          <w:color w:val="auto"/>
          <w:szCs w:val="18"/>
        </w:rPr>
        <w:t xml:space="preserve">Design and Monitoring, Evaluation and Learning Standards </w:t>
      </w:r>
      <w:r w:rsidRPr="00A4536F">
        <w:rPr>
          <w:rFonts w:eastAsia="Times New Roman" w:cs="Calibri"/>
          <w:color w:val="auto"/>
          <w:szCs w:val="18"/>
          <w:lang w:eastAsia="en-GB"/>
        </w:rPr>
        <w:t>guidelines. DFAT</w:t>
      </w:r>
    </w:p>
    <w:p w14:paraId="4D9DF705" w14:textId="77777777" w:rsidR="00315466" w:rsidRPr="00A4536F" w:rsidRDefault="001D4E15">
      <w:pPr>
        <w:spacing w:before="0" w:after="120"/>
        <w:ind w:left="-6" w:right="58" w:hanging="11"/>
        <w:rPr>
          <w:rFonts w:cs="Calibri"/>
          <w:color w:val="auto"/>
          <w:szCs w:val="18"/>
        </w:rPr>
      </w:pPr>
      <w:r w:rsidRPr="00A4536F">
        <w:rPr>
          <w:rFonts w:eastAsia="Times New Roman" w:cs="Calibri"/>
          <w:color w:val="auto"/>
          <w:szCs w:val="18"/>
          <w:lang w:eastAsia="en-GB"/>
        </w:rPr>
        <w:t xml:space="preserve">OXFAM Australia. 2023. </w:t>
      </w:r>
      <w:r w:rsidRPr="00A4536F">
        <w:rPr>
          <w:rFonts w:cs="Calibri"/>
          <w:color w:val="auto"/>
          <w:szCs w:val="18"/>
        </w:rPr>
        <w:t xml:space="preserve">Multi-sectoral Emergency Response in Conflict and Drought-affected areas of Tigray, Afar and Amhara Regions, Ethiopia (Project Proposal Document) </w:t>
      </w:r>
    </w:p>
    <w:p w14:paraId="401A5B79" w14:textId="77777777" w:rsidR="00315466" w:rsidRPr="00A4536F" w:rsidRDefault="001D4E15">
      <w:pPr>
        <w:spacing w:before="0" w:after="120"/>
        <w:ind w:left="-6" w:right="58" w:hanging="11"/>
        <w:rPr>
          <w:rFonts w:cs="Calibri"/>
          <w:color w:val="auto"/>
          <w:szCs w:val="18"/>
        </w:rPr>
      </w:pPr>
      <w:r w:rsidRPr="00A4536F">
        <w:rPr>
          <w:rFonts w:cs="Calibri"/>
          <w:color w:val="auto"/>
          <w:szCs w:val="18"/>
        </w:rPr>
        <w:t>Oxfam Australia. 2024) Multi-sectoral Emergency Response in Conflict and Drought-affected areas of Tigray, Afar and Amhara Regions, Ethiopia. First Progress Report [Draft – Not for quoting yet]</w:t>
      </w:r>
    </w:p>
    <w:p w14:paraId="4E3416EF" w14:textId="77777777" w:rsidR="00315466" w:rsidRPr="00A4536F" w:rsidRDefault="001D4E15">
      <w:pPr>
        <w:spacing w:before="0" w:after="120"/>
        <w:ind w:left="-6" w:right="58" w:hanging="11"/>
        <w:rPr>
          <w:rFonts w:cs="Calibri"/>
          <w:color w:val="auto"/>
          <w:szCs w:val="18"/>
        </w:rPr>
      </w:pPr>
      <w:r w:rsidRPr="00A4536F">
        <w:rPr>
          <w:rFonts w:eastAsia="Times New Roman" w:cs="Calibri"/>
          <w:color w:val="auto"/>
          <w:szCs w:val="18"/>
          <w:lang w:eastAsia="en-GB"/>
        </w:rPr>
        <w:t xml:space="preserve">OXFAM Australia. 2023. </w:t>
      </w:r>
      <w:r w:rsidRPr="00A4536F">
        <w:rPr>
          <w:rFonts w:cs="Calibri"/>
          <w:color w:val="auto"/>
          <w:szCs w:val="18"/>
        </w:rPr>
        <w:t xml:space="preserve">Integrated Drought Response in </w:t>
      </w:r>
      <w:proofErr w:type="spellStart"/>
      <w:r w:rsidRPr="00A4536F">
        <w:rPr>
          <w:rFonts w:cs="Calibri"/>
          <w:color w:val="auto"/>
          <w:szCs w:val="18"/>
        </w:rPr>
        <w:t>Marsabit</w:t>
      </w:r>
      <w:proofErr w:type="spellEnd"/>
      <w:r w:rsidRPr="00A4536F">
        <w:rPr>
          <w:rFonts w:cs="Calibri"/>
          <w:color w:val="auto"/>
          <w:szCs w:val="18"/>
        </w:rPr>
        <w:t>-Kenya (2023/2024) (Project Proposal document)</w:t>
      </w:r>
    </w:p>
    <w:p w14:paraId="3F60B0D5" w14:textId="77777777" w:rsidR="00315466" w:rsidRPr="00A4536F" w:rsidRDefault="001D4E15">
      <w:pPr>
        <w:spacing w:before="0" w:after="120"/>
        <w:ind w:left="-6" w:right="58" w:hanging="11"/>
        <w:rPr>
          <w:rFonts w:cs="Calibri"/>
          <w:color w:val="auto"/>
          <w:szCs w:val="18"/>
        </w:rPr>
      </w:pPr>
      <w:r w:rsidRPr="00A4536F">
        <w:rPr>
          <w:rFonts w:eastAsia="Times New Roman" w:cs="Calibri"/>
          <w:color w:val="auto"/>
          <w:szCs w:val="18"/>
          <w:lang w:eastAsia="en-GB"/>
        </w:rPr>
        <w:t xml:space="preserve">OXFAM Australia. 2023. </w:t>
      </w:r>
      <w:r w:rsidRPr="00A4536F">
        <w:rPr>
          <w:rFonts w:cs="Calibri"/>
          <w:color w:val="auto"/>
          <w:szCs w:val="18"/>
        </w:rPr>
        <w:t xml:space="preserve">Integrated Drought Response in </w:t>
      </w:r>
      <w:proofErr w:type="spellStart"/>
      <w:r w:rsidRPr="00A4536F">
        <w:rPr>
          <w:rFonts w:cs="Calibri"/>
          <w:color w:val="auto"/>
          <w:szCs w:val="18"/>
        </w:rPr>
        <w:t>Marsabit</w:t>
      </w:r>
      <w:proofErr w:type="spellEnd"/>
      <w:r w:rsidRPr="00A4536F">
        <w:rPr>
          <w:rFonts w:cs="Calibri"/>
          <w:color w:val="auto"/>
          <w:szCs w:val="18"/>
        </w:rPr>
        <w:t>-Kenya (2023/2024). First Progress Report [Draft – Not for quoting yet]</w:t>
      </w:r>
    </w:p>
    <w:p w14:paraId="7B6CA554" w14:textId="77777777" w:rsidR="00315466" w:rsidRPr="00A4536F" w:rsidRDefault="001D4E15">
      <w:pPr>
        <w:spacing w:before="0" w:after="120"/>
        <w:ind w:left="-6" w:right="58" w:hanging="11"/>
        <w:rPr>
          <w:rFonts w:cs="Calibri"/>
          <w:color w:val="auto"/>
          <w:szCs w:val="18"/>
        </w:rPr>
      </w:pPr>
      <w:r w:rsidRPr="00A4536F">
        <w:rPr>
          <w:rFonts w:eastAsia="Times New Roman" w:cs="Calibri"/>
          <w:color w:val="auto"/>
          <w:szCs w:val="18"/>
          <w:lang w:eastAsia="en-GB"/>
        </w:rPr>
        <w:t xml:space="preserve">Plan International Australia (PIA). 2023. </w:t>
      </w:r>
      <w:r w:rsidRPr="00A4536F">
        <w:rPr>
          <w:rFonts w:cs="Calibri"/>
          <w:color w:val="auto"/>
          <w:szCs w:val="18"/>
        </w:rPr>
        <w:t xml:space="preserve">AHP Food Crisis Activation – Ethiopia (Project Proposal Document) </w:t>
      </w:r>
    </w:p>
    <w:p w14:paraId="120F9270" w14:textId="77777777" w:rsidR="00315466" w:rsidRPr="00A4536F" w:rsidRDefault="001D4E15">
      <w:pPr>
        <w:spacing w:before="0" w:after="120"/>
        <w:ind w:left="-6" w:right="58" w:hanging="11"/>
        <w:rPr>
          <w:rFonts w:cs="Calibri"/>
          <w:color w:val="auto"/>
          <w:szCs w:val="18"/>
        </w:rPr>
      </w:pPr>
      <w:r w:rsidRPr="00A4536F">
        <w:rPr>
          <w:rFonts w:eastAsia="Times New Roman" w:cs="Calibri"/>
          <w:color w:val="auto"/>
          <w:szCs w:val="18"/>
          <w:lang w:eastAsia="en-GB"/>
        </w:rPr>
        <w:t xml:space="preserve">Plan International Australia (PIA). 2023. </w:t>
      </w:r>
      <w:r w:rsidRPr="00A4536F">
        <w:rPr>
          <w:rFonts w:cs="Calibri"/>
          <w:color w:val="auto"/>
          <w:szCs w:val="18"/>
        </w:rPr>
        <w:t xml:space="preserve">AHP Food Crisis Activation – Ethiopia (First Progress Report) </w:t>
      </w:r>
    </w:p>
    <w:p w14:paraId="7A717D2B" w14:textId="77777777" w:rsidR="00315466" w:rsidRPr="00A4536F" w:rsidRDefault="001D4E15">
      <w:pPr>
        <w:spacing w:before="0" w:after="120"/>
        <w:ind w:left="-6" w:right="58" w:hanging="11"/>
        <w:rPr>
          <w:rFonts w:cs="Calibri"/>
          <w:iCs/>
          <w:color w:val="auto"/>
          <w:szCs w:val="18"/>
        </w:rPr>
      </w:pPr>
      <w:r w:rsidRPr="00A4536F">
        <w:rPr>
          <w:rFonts w:cs="Calibri"/>
          <w:color w:val="auto"/>
          <w:szCs w:val="18"/>
        </w:rPr>
        <w:t xml:space="preserve">UN OCHA, </w:t>
      </w:r>
      <w:r w:rsidRPr="00A4536F">
        <w:rPr>
          <w:rFonts w:eastAsia="Segoe UI" w:cs="Calibri"/>
          <w:iCs/>
          <w:color w:val="auto"/>
          <w:szCs w:val="18"/>
        </w:rPr>
        <w:t>Ethiopia Situation Report</w:t>
      </w:r>
      <w:r w:rsidRPr="00A4536F">
        <w:rPr>
          <w:rFonts w:cs="Calibri"/>
          <w:iCs/>
          <w:color w:val="auto"/>
          <w:szCs w:val="18"/>
        </w:rPr>
        <w:t>, Updated 7 Sept 2023.</w:t>
      </w:r>
    </w:p>
    <w:p w14:paraId="6EDBDA72" w14:textId="77777777" w:rsidR="00315466" w:rsidRPr="00A4536F" w:rsidRDefault="001D4E15">
      <w:pPr>
        <w:spacing w:before="0" w:after="120"/>
        <w:ind w:left="-6" w:right="58" w:hanging="11"/>
        <w:rPr>
          <w:rFonts w:cs="Calibri"/>
          <w:iCs/>
          <w:color w:val="auto"/>
          <w:szCs w:val="18"/>
        </w:rPr>
      </w:pPr>
      <w:r w:rsidRPr="00A4536F">
        <w:rPr>
          <w:rFonts w:eastAsia="Segoe UI" w:cs="Calibri"/>
          <w:iCs/>
          <w:color w:val="auto"/>
          <w:szCs w:val="18"/>
        </w:rPr>
        <w:t>UN OCHA, Kenya Drought Response Dashboard,</w:t>
      </w:r>
      <w:r w:rsidRPr="00A4536F">
        <w:rPr>
          <w:rFonts w:cs="Calibri"/>
          <w:iCs/>
          <w:color w:val="auto"/>
          <w:szCs w:val="18"/>
        </w:rPr>
        <w:t xml:space="preserve"> January to June 2023</w:t>
      </w:r>
    </w:p>
    <w:p w14:paraId="03584320" w14:textId="77777777" w:rsidR="00315466" w:rsidRPr="00A4536F" w:rsidRDefault="001D4E15">
      <w:pPr>
        <w:spacing w:before="0" w:after="120"/>
        <w:ind w:left="-6" w:right="58" w:hanging="11"/>
        <w:rPr>
          <w:rFonts w:cs="Calibri"/>
          <w:iCs/>
          <w:color w:val="auto"/>
          <w:szCs w:val="18"/>
        </w:rPr>
      </w:pPr>
      <w:r w:rsidRPr="00A4536F">
        <w:rPr>
          <w:rFonts w:cs="Calibri"/>
          <w:iCs/>
          <w:color w:val="auto"/>
          <w:szCs w:val="18"/>
        </w:rPr>
        <w:t xml:space="preserve">UN OCHA, </w:t>
      </w:r>
      <w:r w:rsidRPr="00A4536F">
        <w:rPr>
          <w:rFonts w:eastAsia="Segoe UI" w:cs="Calibri"/>
          <w:iCs/>
          <w:color w:val="auto"/>
          <w:szCs w:val="18"/>
        </w:rPr>
        <w:t>Ethiopia Cluster Status: Food</w:t>
      </w:r>
      <w:r w:rsidRPr="00A4536F">
        <w:rPr>
          <w:rFonts w:cs="Calibri"/>
          <w:iCs/>
          <w:color w:val="auto"/>
          <w:szCs w:val="18"/>
        </w:rPr>
        <w:t>, Updated 23 August 2023</w:t>
      </w:r>
    </w:p>
    <w:p w14:paraId="6C13D1E7" w14:textId="77777777" w:rsidR="00315466" w:rsidRPr="00A4536F" w:rsidRDefault="001D4E15">
      <w:pPr>
        <w:spacing w:before="0" w:after="120"/>
        <w:ind w:left="-6" w:right="58" w:hanging="11"/>
        <w:rPr>
          <w:rFonts w:cs="Calibri"/>
          <w:iCs/>
          <w:color w:val="auto"/>
          <w:szCs w:val="18"/>
        </w:rPr>
      </w:pPr>
      <w:r w:rsidRPr="00A4536F">
        <w:rPr>
          <w:rFonts w:cs="Calibri"/>
          <w:iCs/>
          <w:color w:val="auto"/>
          <w:szCs w:val="18"/>
        </w:rPr>
        <w:t xml:space="preserve">UNICEF, </w:t>
      </w:r>
      <w:r w:rsidRPr="00A4536F">
        <w:rPr>
          <w:rFonts w:eastAsia="Segoe UI" w:cs="Calibri"/>
          <w:iCs/>
          <w:color w:val="auto"/>
          <w:szCs w:val="18"/>
        </w:rPr>
        <w:t>Humanitarian Situation Report No. 5</w:t>
      </w:r>
      <w:r w:rsidRPr="00A4536F">
        <w:rPr>
          <w:rFonts w:cs="Calibri"/>
          <w:iCs/>
          <w:color w:val="auto"/>
          <w:szCs w:val="18"/>
        </w:rPr>
        <w:t>, July 2023</w:t>
      </w:r>
    </w:p>
    <w:p w14:paraId="4F687C5C" w14:textId="77777777" w:rsidR="00315466" w:rsidRPr="00A4536F" w:rsidRDefault="001D4E15">
      <w:pPr>
        <w:spacing w:before="0" w:after="120"/>
        <w:rPr>
          <w:rFonts w:cs="Calibri"/>
          <w:color w:val="auto"/>
          <w:szCs w:val="18"/>
        </w:rPr>
      </w:pPr>
      <w:r w:rsidRPr="00A4536F">
        <w:rPr>
          <w:rFonts w:cs="Calibri"/>
          <w:color w:val="auto"/>
          <w:szCs w:val="18"/>
        </w:rPr>
        <w:t>TUPADO Status report</w:t>
      </w:r>
    </w:p>
    <w:p w14:paraId="7677AF8F" w14:textId="77777777" w:rsidR="00315466" w:rsidRPr="00A4536F" w:rsidRDefault="00234B5F">
      <w:pPr>
        <w:spacing w:before="0" w:after="120"/>
        <w:rPr>
          <w:rFonts w:cs="Calibri"/>
          <w:color w:val="auto"/>
          <w:szCs w:val="18"/>
        </w:rPr>
      </w:pPr>
      <w:hyperlink r:id="rId20" w:history="1">
        <w:r w:rsidR="001D4E15" w:rsidRPr="00A4536F">
          <w:rPr>
            <w:rStyle w:val="Hyperlink"/>
            <w:rFonts w:cs="Calibri"/>
            <w:color w:val="auto"/>
            <w:szCs w:val="18"/>
          </w:rPr>
          <w:t>Localisation and the Australian NGO Cooperation Program (ANCP) 2019-20 (dfat.gov.au)</w:t>
        </w:r>
      </w:hyperlink>
    </w:p>
    <w:p w14:paraId="6896EE7E" w14:textId="77777777" w:rsidR="00315466" w:rsidRPr="00A4536F" w:rsidRDefault="001D4E15">
      <w:pPr>
        <w:pStyle w:val="FootnoteText"/>
        <w:snapToGrid w:val="0"/>
        <w:spacing w:after="120" w:line="276" w:lineRule="auto"/>
        <w:rPr>
          <w:rFonts w:cs="Calibri"/>
          <w:color w:val="auto"/>
          <w:sz w:val="18"/>
          <w:szCs w:val="18"/>
        </w:rPr>
      </w:pPr>
      <w:r w:rsidRPr="00A4536F">
        <w:rPr>
          <w:rFonts w:cs="Calibri"/>
          <w:color w:val="auto"/>
          <w:sz w:val="18"/>
          <w:szCs w:val="18"/>
        </w:rPr>
        <w:t>OCHA, 2024. Situation Report. Ethiopia. Updated on March 25, 2024.4.24.</w:t>
      </w:r>
    </w:p>
    <w:p w14:paraId="01484732" w14:textId="77777777" w:rsidR="00315466" w:rsidRPr="00A4536F" w:rsidRDefault="001D4E15">
      <w:pPr>
        <w:pStyle w:val="FootnoteText"/>
        <w:snapToGrid w:val="0"/>
        <w:spacing w:after="120" w:line="276" w:lineRule="auto"/>
        <w:rPr>
          <w:rFonts w:cs="Calibri"/>
          <w:color w:val="auto"/>
          <w:sz w:val="18"/>
          <w:szCs w:val="18"/>
        </w:rPr>
      </w:pPr>
      <w:r w:rsidRPr="00A4536F">
        <w:rPr>
          <w:rFonts w:cs="Calibri"/>
          <w:color w:val="auto"/>
          <w:sz w:val="18"/>
          <w:szCs w:val="18"/>
        </w:rPr>
        <w:t>https://reports.unocha.org/en/country/ethiopia/</w:t>
      </w:r>
    </w:p>
    <w:p w14:paraId="4CE00076" w14:textId="77777777" w:rsidR="00315466" w:rsidRPr="00A4536F" w:rsidRDefault="001D4E15">
      <w:pPr>
        <w:pStyle w:val="FootnoteText"/>
        <w:spacing w:after="120" w:line="276" w:lineRule="auto"/>
        <w:rPr>
          <w:rFonts w:cs="Calibri"/>
          <w:color w:val="auto"/>
          <w:sz w:val="18"/>
          <w:szCs w:val="18"/>
        </w:rPr>
      </w:pPr>
      <w:r w:rsidRPr="00A4536F">
        <w:rPr>
          <w:rFonts w:cs="Calibri"/>
          <w:color w:val="auto"/>
          <w:sz w:val="18"/>
          <w:szCs w:val="18"/>
        </w:rPr>
        <w:t xml:space="preserve">The INFORM Risk Index is a global, open-source risk assessment for humanitarian crises and disasters. It can support decisions about prevention, </w:t>
      </w:r>
      <w:proofErr w:type="gramStart"/>
      <w:r w:rsidRPr="00A4536F">
        <w:rPr>
          <w:rFonts w:cs="Calibri"/>
          <w:color w:val="auto"/>
          <w:sz w:val="18"/>
          <w:szCs w:val="18"/>
        </w:rPr>
        <w:t>preparedness</w:t>
      </w:r>
      <w:proofErr w:type="gramEnd"/>
      <w:r w:rsidRPr="00A4536F">
        <w:rPr>
          <w:rFonts w:cs="Calibri"/>
          <w:color w:val="auto"/>
          <w:sz w:val="18"/>
          <w:szCs w:val="18"/>
        </w:rPr>
        <w:t xml:space="preserve"> and response. </w:t>
      </w:r>
      <w:hyperlink r:id="rId21" w:history="1">
        <w:r w:rsidRPr="00A4536F">
          <w:rPr>
            <w:rStyle w:val="Hyperlink"/>
            <w:rFonts w:cs="Calibri"/>
            <w:color w:val="auto"/>
            <w:sz w:val="18"/>
            <w:szCs w:val="18"/>
          </w:rPr>
          <w:t>https://drmkc.jrc.ec.europa.eu/inform-index</w:t>
        </w:r>
      </w:hyperlink>
    </w:p>
    <w:p w14:paraId="487E8AA8" w14:textId="77777777" w:rsidR="00315466" w:rsidRPr="00A4536F" w:rsidRDefault="001D4E15">
      <w:pPr>
        <w:pStyle w:val="FootnoteText"/>
        <w:snapToGrid w:val="0"/>
        <w:spacing w:after="120" w:line="276" w:lineRule="auto"/>
        <w:rPr>
          <w:rFonts w:cs="Calibri"/>
          <w:color w:val="auto"/>
          <w:sz w:val="18"/>
          <w:szCs w:val="18"/>
        </w:rPr>
      </w:pPr>
      <w:r w:rsidRPr="00A4536F">
        <w:rPr>
          <w:rFonts w:cs="Calibri"/>
          <w:color w:val="auto"/>
          <w:sz w:val="18"/>
          <w:szCs w:val="18"/>
        </w:rPr>
        <w:t xml:space="preserve">OCHA, Situation Report - North Ethiopia Humanitarian Update. Dec 02, 2021. </w:t>
      </w:r>
    </w:p>
    <w:p w14:paraId="399A2187" w14:textId="77777777" w:rsidR="00315466" w:rsidRPr="00A4536F" w:rsidRDefault="001D4E15">
      <w:pPr>
        <w:pStyle w:val="FootnoteText"/>
        <w:snapToGrid w:val="0"/>
        <w:spacing w:after="120" w:line="276" w:lineRule="auto"/>
        <w:rPr>
          <w:rFonts w:cs="Calibri"/>
          <w:color w:val="auto"/>
          <w:sz w:val="18"/>
          <w:szCs w:val="18"/>
        </w:rPr>
      </w:pPr>
      <w:r w:rsidRPr="00A4536F">
        <w:rPr>
          <w:rFonts w:cs="Calibri"/>
          <w:color w:val="auto"/>
          <w:sz w:val="18"/>
          <w:szCs w:val="18"/>
        </w:rPr>
        <w:t>https://www.ipcinfo.org/ipc-country-analysis/details-map/en/c/1156542/?iso3=KEN</w:t>
      </w:r>
    </w:p>
    <w:p w14:paraId="6905115B" w14:textId="77777777" w:rsidR="00315466" w:rsidRPr="00A4536F" w:rsidRDefault="001D4E15">
      <w:pPr>
        <w:spacing w:before="0" w:after="120"/>
        <w:rPr>
          <w:rFonts w:cs="Calibri"/>
          <w:color w:val="auto"/>
          <w:szCs w:val="18"/>
        </w:rPr>
      </w:pPr>
      <w:proofErr w:type="gramStart"/>
      <w:r w:rsidRPr="00A4536F">
        <w:rPr>
          <w:rFonts w:cs="Calibri"/>
          <w:color w:val="auto"/>
          <w:szCs w:val="18"/>
        </w:rPr>
        <w:t>FAO  Impact</w:t>
      </w:r>
      <w:proofErr w:type="gramEnd"/>
      <w:r w:rsidRPr="00A4536F">
        <w:rPr>
          <w:rFonts w:cs="Calibri"/>
          <w:color w:val="auto"/>
          <w:szCs w:val="18"/>
        </w:rPr>
        <w:t xml:space="preserve"> of Drought on Social Structures in Kenya." Retrieved from </w:t>
      </w:r>
      <w:hyperlink r:id="rId22" w:tgtFrame="_new" w:history="1">
        <w:r w:rsidRPr="00A4536F">
          <w:rPr>
            <w:rStyle w:val="Hyperlink"/>
            <w:rFonts w:cs="Calibri"/>
            <w:color w:val="auto"/>
            <w:szCs w:val="18"/>
          </w:rPr>
          <w:t>FAO</w:t>
        </w:r>
      </w:hyperlink>
    </w:p>
    <w:p w14:paraId="0277BDAF" w14:textId="77777777" w:rsidR="00315466" w:rsidRPr="00A4536F" w:rsidRDefault="001D4E15">
      <w:pPr>
        <w:spacing w:before="0" w:after="120"/>
        <w:rPr>
          <w:rFonts w:cs="Calibri"/>
          <w:color w:val="auto"/>
          <w:szCs w:val="18"/>
        </w:rPr>
      </w:pPr>
      <w:r w:rsidRPr="00A4536F">
        <w:rPr>
          <w:rFonts w:cs="Calibri"/>
          <w:color w:val="auto"/>
          <w:szCs w:val="18"/>
        </w:rPr>
        <w:t xml:space="preserve">IPC. (2023). "Integrated Food Security Phase Classification - Ethiopia." Retrieved from </w:t>
      </w:r>
      <w:hyperlink r:id="rId23" w:tgtFrame="_new" w:history="1">
        <w:r w:rsidRPr="00A4536F">
          <w:rPr>
            <w:rStyle w:val="Hyperlink"/>
            <w:rFonts w:cs="Calibri"/>
            <w:color w:val="auto"/>
            <w:szCs w:val="18"/>
          </w:rPr>
          <w:t>IPC</w:t>
        </w:r>
      </w:hyperlink>
    </w:p>
    <w:p w14:paraId="46B48C16" w14:textId="77777777" w:rsidR="00315466" w:rsidRPr="00A4536F" w:rsidRDefault="001D4E15">
      <w:pPr>
        <w:spacing w:before="0" w:after="120"/>
        <w:rPr>
          <w:rFonts w:cs="Calibri"/>
          <w:color w:val="auto"/>
          <w:szCs w:val="18"/>
        </w:rPr>
      </w:pPr>
      <w:r w:rsidRPr="00A4536F">
        <w:rPr>
          <w:rFonts w:cs="Calibri"/>
          <w:color w:val="auto"/>
          <w:szCs w:val="18"/>
        </w:rPr>
        <w:t xml:space="preserve">Janice S. Biggs, Louise Farrell, Glenda </w:t>
      </w:r>
      <w:proofErr w:type="gramStart"/>
      <w:r w:rsidRPr="00A4536F">
        <w:rPr>
          <w:rFonts w:cs="Calibri"/>
          <w:color w:val="auto"/>
          <w:szCs w:val="18"/>
        </w:rPr>
        <w:t>Lawrence</w:t>
      </w:r>
      <w:proofErr w:type="gramEnd"/>
      <w:r w:rsidRPr="00A4536F">
        <w:rPr>
          <w:rFonts w:cs="Calibri"/>
          <w:color w:val="auto"/>
          <w:szCs w:val="18"/>
        </w:rPr>
        <w:t xml:space="preserve"> and Julie K. Johnson. 2014. A practical example of Contribution Analysis to a public health intervention Evaluation 2014 20: 214</w:t>
      </w:r>
    </w:p>
    <w:p w14:paraId="176EF39A" w14:textId="77777777" w:rsidR="00315466" w:rsidRPr="00A4536F" w:rsidRDefault="001D4E15">
      <w:pPr>
        <w:spacing w:before="0" w:after="120"/>
        <w:rPr>
          <w:rFonts w:cs="Calibri"/>
          <w:color w:val="auto"/>
          <w:szCs w:val="18"/>
        </w:rPr>
      </w:pPr>
      <w:r w:rsidRPr="00A4536F">
        <w:rPr>
          <w:rFonts w:cs="Calibri"/>
          <w:color w:val="auto"/>
          <w:szCs w:val="18"/>
        </w:rPr>
        <w:t xml:space="preserve">WHO. (2023). "Health Crisis in Drought and Conflict-Affected Areas of Ethiopia." Retrieved from </w:t>
      </w:r>
      <w:hyperlink r:id="rId24" w:tgtFrame="_new" w:history="1">
        <w:r w:rsidRPr="00A4536F">
          <w:rPr>
            <w:rStyle w:val="Hyperlink"/>
            <w:rFonts w:cs="Calibri"/>
            <w:color w:val="auto"/>
            <w:szCs w:val="18"/>
          </w:rPr>
          <w:t>WHO</w:t>
        </w:r>
      </w:hyperlink>
      <w:r w:rsidRPr="00A4536F">
        <w:rPr>
          <w:rFonts w:cs="Calibri"/>
          <w:color w:val="auto"/>
          <w:szCs w:val="18"/>
        </w:rPr>
        <w:t xml:space="preserve">; and WFP. (2023). "Humanitarian Assistance in Kenya." Retrieved from </w:t>
      </w:r>
      <w:hyperlink r:id="rId25" w:tgtFrame="_new" w:history="1">
        <w:r w:rsidRPr="00A4536F">
          <w:rPr>
            <w:rStyle w:val="Hyperlink"/>
            <w:rFonts w:cs="Calibri"/>
            <w:color w:val="auto"/>
            <w:szCs w:val="18"/>
          </w:rPr>
          <w:t>WFP</w:t>
        </w:r>
      </w:hyperlink>
    </w:p>
    <w:p w14:paraId="168409A1" w14:textId="77777777" w:rsidR="00315466" w:rsidRPr="00A4536F" w:rsidRDefault="001D4E15">
      <w:pPr>
        <w:spacing w:before="0" w:after="120"/>
        <w:rPr>
          <w:rFonts w:cs="Calibri"/>
          <w:color w:val="auto"/>
          <w:szCs w:val="18"/>
        </w:rPr>
      </w:pPr>
      <w:r w:rsidRPr="00A4536F">
        <w:rPr>
          <w:rFonts w:cs="Calibri"/>
          <w:color w:val="auto"/>
          <w:szCs w:val="18"/>
        </w:rPr>
        <w:t xml:space="preserve">IDMC. (2023). "Conflict-Induced Displacement in Ethiopia." Retrieved from </w:t>
      </w:r>
      <w:hyperlink r:id="rId26" w:tgtFrame="_new" w:history="1">
        <w:r w:rsidRPr="00A4536F">
          <w:rPr>
            <w:rStyle w:val="Hyperlink"/>
            <w:rFonts w:cs="Calibri"/>
            <w:color w:val="auto"/>
            <w:szCs w:val="18"/>
          </w:rPr>
          <w:t>IDMC</w:t>
        </w:r>
      </w:hyperlink>
      <w:r w:rsidRPr="00A4536F">
        <w:rPr>
          <w:rFonts w:cs="Calibri"/>
          <w:color w:val="auto"/>
          <w:szCs w:val="18"/>
        </w:rPr>
        <w:t xml:space="preserve">; and IDMC. (2023). "Conflict-Induced Displacement in Kenya." Retrieved from </w:t>
      </w:r>
      <w:hyperlink r:id="rId27" w:tgtFrame="_new" w:history="1">
        <w:r w:rsidRPr="00A4536F">
          <w:rPr>
            <w:rStyle w:val="Hyperlink"/>
            <w:rFonts w:cs="Calibri"/>
            <w:color w:val="auto"/>
            <w:szCs w:val="18"/>
          </w:rPr>
          <w:t>IDMC</w:t>
        </w:r>
      </w:hyperlink>
    </w:p>
    <w:p w14:paraId="62721F2E" w14:textId="77777777" w:rsidR="00315466" w:rsidRPr="00A4536F" w:rsidRDefault="001D4E15">
      <w:pPr>
        <w:spacing w:before="0" w:after="120"/>
        <w:rPr>
          <w:rFonts w:cs="Calibri"/>
          <w:color w:val="auto"/>
          <w:szCs w:val="18"/>
        </w:rPr>
      </w:pPr>
      <w:r w:rsidRPr="00A4536F">
        <w:rPr>
          <w:rFonts w:cs="Calibri"/>
          <w:color w:val="auto"/>
          <w:szCs w:val="18"/>
        </w:rPr>
        <w:t xml:space="preserve">OCHA. (2023). "Humanitarian Needs Overview: Ethiopia." Retrieved from </w:t>
      </w:r>
      <w:hyperlink r:id="rId28" w:tgtFrame="_new" w:history="1">
        <w:r w:rsidRPr="00A4536F">
          <w:rPr>
            <w:rStyle w:val="Hyperlink"/>
            <w:rFonts w:cs="Calibri"/>
            <w:color w:val="auto"/>
            <w:szCs w:val="18"/>
          </w:rPr>
          <w:t>OCHA</w:t>
        </w:r>
      </w:hyperlink>
    </w:p>
    <w:p w14:paraId="4F2322AB" w14:textId="77777777" w:rsidR="00315466" w:rsidRPr="00A4536F" w:rsidRDefault="001D4E15">
      <w:pPr>
        <w:spacing w:before="0" w:after="120"/>
        <w:rPr>
          <w:rFonts w:cs="Calibri"/>
          <w:color w:val="auto"/>
          <w:szCs w:val="18"/>
        </w:rPr>
      </w:pPr>
      <w:r w:rsidRPr="00A4536F">
        <w:rPr>
          <w:rFonts w:cs="Calibri"/>
          <w:color w:val="auto"/>
          <w:szCs w:val="18"/>
        </w:rPr>
        <w:t>NDMA. (2023). "National Drought Management Authority - Kenya."</w:t>
      </w:r>
    </w:p>
    <w:p w14:paraId="11F5D6BC" w14:textId="77777777" w:rsidR="00315466" w:rsidRPr="00A4536F" w:rsidRDefault="001D4E15">
      <w:pPr>
        <w:spacing w:before="0" w:after="120"/>
        <w:rPr>
          <w:rFonts w:cs="Calibri"/>
          <w:color w:val="auto"/>
          <w:szCs w:val="18"/>
        </w:rPr>
      </w:pPr>
      <w:r w:rsidRPr="00A4536F">
        <w:rPr>
          <w:rFonts w:cs="Calibri"/>
          <w:color w:val="auto"/>
          <w:szCs w:val="18"/>
        </w:rPr>
        <w:t xml:space="preserve">WFP. (2023). "Humanitarian Assistance in Kenya." Retrieved from </w:t>
      </w:r>
      <w:hyperlink r:id="rId29" w:tgtFrame="_new" w:history="1">
        <w:r w:rsidRPr="00A4536F">
          <w:rPr>
            <w:rStyle w:val="Hyperlink"/>
            <w:rFonts w:cs="Calibri"/>
            <w:color w:val="auto"/>
            <w:szCs w:val="18"/>
          </w:rPr>
          <w:t>WFP</w:t>
        </w:r>
      </w:hyperlink>
    </w:p>
    <w:p w14:paraId="1F3BB142" w14:textId="77777777" w:rsidR="00315466" w:rsidRPr="00A4536F" w:rsidRDefault="001D4E15">
      <w:pPr>
        <w:spacing w:before="0" w:after="120"/>
        <w:rPr>
          <w:rFonts w:cs="Calibri"/>
          <w:color w:val="auto"/>
          <w:szCs w:val="18"/>
        </w:rPr>
      </w:pPr>
      <w:r w:rsidRPr="00A4536F">
        <w:rPr>
          <w:rFonts w:cs="Calibri"/>
          <w:color w:val="auto"/>
          <w:szCs w:val="18"/>
        </w:rPr>
        <w:t>NDRMC. (2023). "National Disaster Risk Management Commission - Ethiopia."</w:t>
      </w:r>
    </w:p>
    <w:p w14:paraId="500BE4FA" w14:textId="77777777" w:rsidR="00315466" w:rsidRPr="00A4536F" w:rsidRDefault="001D4E15">
      <w:pPr>
        <w:spacing w:before="0" w:after="120"/>
        <w:rPr>
          <w:rFonts w:cs="Calibri"/>
          <w:color w:val="auto"/>
          <w:szCs w:val="18"/>
        </w:rPr>
      </w:pPr>
      <w:r w:rsidRPr="00A4536F">
        <w:rPr>
          <w:rFonts w:cs="Calibri"/>
          <w:color w:val="auto"/>
          <w:szCs w:val="18"/>
        </w:rPr>
        <w:t xml:space="preserve">FAO. (2023). "Livelihood Impact of Drought and Conflict in Ethiopia." Retrieved from </w:t>
      </w:r>
      <w:hyperlink r:id="rId30" w:tgtFrame="_new" w:history="1">
        <w:r w:rsidRPr="00A4536F">
          <w:rPr>
            <w:rStyle w:val="Hyperlink"/>
            <w:rFonts w:cs="Calibri"/>
            <w:color w:val="auto"/>
            <w:szCs w:val="18"/>
          </w:rPr>
          <w:t>FAO</w:t>
        </w:r>
      </w:hyperlink>
    </w:p>
    <w:p w14:paraId="735C26E8" w14:textId="77777777" w:rsidR="00315466" w:rsidRPr="00A4536F" w:rsidRDefault="001D4E15">
      <w:pPr>
        <w:pStyle w:val="FootnoteText"/>
        <w:spacing w:after="120" w:line="276" w:lineRule="auto"/>
        <w:rPr>
          <w:rFonts w:cs="Calibri"/>
          <w:color w:val="auto"/>
          <w:sz w:val="18"/>
          <w:szCs w:val="18"/>
        </w:rPr>
      </w:pPr>
      <w:r w:rsidRPr="00A4536F">
        <w:rPr>
          <w:rFonts w:cs="Calibri"/>
          <w:color w:val="auto"/>
          <w:sz w:val="18"/>
          <w:szCs w:val="18"/>
        </w:rPr>
        <w:t>Oxfam Project Progress Report, October 2023.</w:t>
      </w:r>
    </w:p>
    <w:p w14:paraId="314D7530" w14:textId="77777777" w:rsidR="00315466" w:rsidRPr="00A4536F" w:rsidRDefault="001D4E15">
      <w:pPr>
        <w:pStyle w:val="FootnoteText"/>
        <w:spacing w:after="120" w:line="276" w:lineRule="auto"/>
        <w:rPr>
          <w:rFonts w:cs="Calibri"/>
          <w:color w:val="auto"/>
          <w:sz w:val="18"/>
          <w:szCs w:val="18"/>
        </w:rPr>
      </w:pPr>
      <w:r w:rsidRPr="00A4536F">
        <w:rPr>
          <w:rFonts w:cs="Calibri"/>
          <w:color w:val="auto"/>
          <w:sz w:val="18"/>
          <w:szCs w:val="18"/>
        </w:rPr>
        <w:lastRenderedPageBreak/>
        <w:t xml:space="preserve">National Disaster Risk Management Commission (NDRMC). (2023). Retrieved from </w:t>
      </w:r>
      <w:hyperlink r:id="rId31" w:tgtFrame="_new" w:history="1">
        <w:r w:rsidRPr="00A4536F">
          <w:rPr>
            <w:rStyle w:val="Hyperlink"/>
            <w:rFonts w:cs="Calibri"/>
            <w:color w:val="auto"/>
            <w:sz w:val="18"/>
            <w:szCs w:val="18"/>
          </w:rPr>
          <w:t>NDRMC</w:t>
        </w:r>
      </w:hyperlink>
    </w:p>
    <w:p w14:paraId="0395834A" w14:textId="77777777" w:rsidR="00315466" w:rsidRPr="00A4536F" w:rsidRDefault="001D4E15">
      <w:pPr>
        <w:pStyle w:val="FootnoteText"/>
        <w:spacing w:after="120" w:line="276" w:lineRule="auto"/>
        <w:rPr>
          <w:rFonts w:cs="Calibri"/>
          <w:color w:val="auto"/>
          <w:sz w:val="18"/>
          <w:szCs w:val="18"/>
        </w:rPr>
      </w:pPr>
      <w:r w:rsidRPr="00A4536F">
        <w:rPr>
          <w:rFonts w:cs="Calibri"/>
          <w:color w:val="auto"/>
          <w:sz w:val="18"/>
          <w:szCs w:val="18"/>
        </w:rPr>
        <w:t>OCHA. (2023). "Ethiopia Humanitarian Response Plan." Retrieved from OCHA</w:t>
      </w:r>
    </w:p>
    <w:p w14:paraId="19DA60FD" w14:textId="77777777" w:rsidR="00315466" w:rsidRPr="00A4536F" w:rsidRDefault="001D4E15">
      <w:pPr>
        <w:pStyle w:val="FootnoteText"/>
        <w:spacing w:after="120" w:line="276" w:lineRule="auto"/>
        <w:rPr>
          <w:rFonts w:cs="Calibri"/>
          <w:color w:val="auto"/>
          <w:sz w:val="18"/>
          <w:szCs w:val="18"/>
        </w:rPr>
      </w:pPr>
      <w:r w:rsidRPr="00A4536F">
        <w:rPr>
          <w:rFonts w:cs="Calibri"/>
          <w:color w:val="auto"/>
          <w:sz w:val="18"/>
          <w:szCs w:val="18"/>
        </w:rPr>
        <w:t>National Drought Management Authority (NDMA). (2023). Retrieved from NDMA</w:t>
      </w:r>
    </w:p>
    <w:p w14:paraId="69C778BD" w14:textId="77777777" w:rsidR="00315466" w:rsidRPr="00A4536F" w:rsidRDefault="001D4E15">
      <w:pPr>
        <w:pStyle w:val="FootnoteText"/>
        <w:spacing w:after="120" w:line="276" w:lineRule="auto"/>
        <w:rPr>
          <w:rFonts w:cs="Calibri"/>
          <w:color w:val="auto"/>
          <w:sz w:val="18"/>
          <w:szCs w:val="18"/>
        </w:rPr>
      </w:pPr>
      <w:r w:rsidRPr="00A4536F">
        <w:rPr>
          <w:rFonts w:cs="Calibri"/>
          <w:color w:val="auto"/>
          <w:sz w:val="18"/>
          <w:szCs w:val="18"/>
        </w:rPr>
        <w:t>Kenya Food Security Steering Group (KFSSG). (2023). Retrieved from KFSSG</w:t>
      </w:r>
    </w:p>
    <w:p w14:paraId="246FD8A8" w14:textId="77777777" w:rsidR="00315466" w:rsidRPr="00A4536F" w:rsidRDefault="001D4E15">
      <w:pPr>
        <w:pStyle w:val="FootnoteText"/>
        <w:spacing w:after="120" w:line="276" w:lineRule="auto"/>
        <w:rPr>
          <w:rFonts w:cs="Calibri"/>
          <w:color w:val="auto"/>
          <w:sz w:val="18"/>
          <w:szCs w:val="18"/>
        </w:rPr>
      </w:pPr>
      <w:r w:rsidRPr="00A4536F">
        <w:rPr>
          <w:rFonts w:cs="Calibri"/>
          <w:color w:val="auto"/>
          <w:sz w:val="18"/>
          <w:szCs w:val="18"/>
        </w:rPr>
        <w:t>Oxfam Australia progress report, October 2023</w:t>
      </w:r>
    </w:p>
    <w:p w14:paraId="71D77161" w14:textId="77777777" w:rsidR="00315466" w:rsidRPr="00A4536F" w:rsidRDefault="00234B5F">
      <w:pPr>
        <w:pStyle w:val="FootnoteText"/>
        <w:spacing w:after="120" w:line="276" w:lineRule="auto"/>
        <w:rPr>
          <w:rFonts w:cs="Calibri"/>
          <w:color w:val="auto"/>
          <w:sz w:val="18"/>
          <w:szCs w:val="18"/>
        </w:rPr>
      </w:pPr>
      <w:hyperlink r:id="rId32" w:anchor="section-d1e3395" w:history="1">
        <w:r w:rsidR="001D4E15" w:rsidRPr="00A4536F">
          <w:rPr>
            <w:rStyle w:val="Hyperlink"/>
            <w:rFonts w:cs="Calibri"/>
            <w:color w:val="auto"/>
            <w:sz w:val="18"/>
            <w:szCs w:val="18"/>
          </w:rPr>
          <w:t>https://www.oecd-ilibrary.org/sites/543e84ed-en/1/3/4/index.html?itemId=/content/publication/543e84ed-en&amp;_csp_=535d2f2a848b7727d35502d7f36e4885&amp;itemIGO=oecd&amp;itemContentType=book#section-d1e3395</w:t>
        </w:r>
      </w:hyperlink>
    </w:p>
    <w:p w14:paraId="712599F6" w14:textId="77777777" w:rsidR="00315466" w:rsidRPr="00A4536F" w:rsidRDefault="00234B5F">
      <w:pPr>
        <w:spacing w:before="0" w:after="120"/>
        <w:rPr>
          <w:rFonts w:cs="Calibri"/>
          <w:color w:val="auto"/>
          <w:szCs w:val="18"/>
        </w:rPr>
      </w:pPr>
      <w:hyperlink r:id="rId33" w:history="1">
        <w:r w:rsidR="001D4E15" w:rsidRPr="00A4536F">
          <w:rPr>
            <w:rStyle w:val="Hyperlink"/>
            <w:rFonts w:cs="Calibri"/>
            <w:color w:val="auto"/>
            <w:szCs w:val="18"/>
          </w:rPr>
          <w:t>https://www.betterevaluation.org/methods-approaches/approaches/utilisation-focused-evaluation</w:t>
        </w:r>
      </w:hyperlink>
    </w:p>
    <w:p w14:paraId="4A9058CB" w14:textId="77777777" w:rsidR="00315466" w:rsidRPr="00A4536F" w:rsidRDefault="00234B5F">
      <w:pPr>
        <w:spacing w:before="0" w:after="120"/>
        <w:rPr>
          <w:rFonts w:cs="Calibri"/>
          <w:color w:val="auto"/>
          <w:szCs w:val="18"/>
          <w:shd w:val="clear" w:color="auto" w:fill="FFFFFF"/>
        </w:rPr>
      </w:pPr>
      <w:hyperlink r:id="rId34" w:history="1">
        <w:r w:rsidR="001D4E15" w:rsidRPr="00A4536F">
          <w:rPr>
            <w:rStyle w:val="Hyperlink"/>
            <w:rFonts w:cs="Calibri"/>
            <w:color w:val="auto"/>
            <w:szCs w:val="18"/>
            <w:shd w:val="clear" w:color="auto" w:fill="FFFFFF"/>
          </w:rPr>
          <w:t>https://docs.getodk.org/collect-intro/</w:t>
        </w:r>
      </w:hyperlink>
    </w:p>
    <w:p w14:paraId="1EAB4947" w14:textId="77777777" w:rsidR="00315466" w:rsidRPr="00A4536F" w:rsidRDefault="00234B5F">
      <w:pPr>
        <w:pStyle w:val="FootnoteText"/>
        <w:spacing w:after="120" w:line="276" w:lineRule="auto"/>
        <w:rPr>
          <w:rStyle w:val="Hyperlink"/>
          <w:rFonts w:cs="Calibri"/>
          <w:color w:val="auto"/>
          <w:sz w:val="18"/>
          <w:szCs w:val="18"/>
        </w:rPr>
      </w:pPr>
      <w:hyperlink r:id="rId35" w:anchor="section-d1e3395" w:history="1">
        <w:r w:rsidR="001D4E15" w:rsidRPr="00A4536F">
          <w:rPr>
            <w:rStyle w:val="Hyperlink"/>
            <w:rFonts w:cs="Calibri"/>
            <w:color w:val="auto"/>
            <w:sz w:val="18"/>
            <w:szCs w:val="18"/>
          </w:rPr>
          <w:t>https://www.oecd-ilibrary.org/sites/543e84ed-en/1/3/4/index.html?itemId=/content/publication/543e84ed-en&amp;_csp_=535d2f2a848b7727d35502d7f36e4885&amp;itemIGO=oecd&amp;itemContentType=book#section-d1e3395</w:t>
        </w:r>
      </w:hyperlink>
    </w:p>
    <w:p w14:paraId="2C26E0FE" w14:textId="77777777" w:rsidR="00315466" w:rsidRPr="00A4536F" w:rsidRDefault="00234B5F">
      <w:pPr>
        <w:spacing w:before="0" w:after="120"/>
        <w:rPr>
          <w:rFonts w:cs="Calibri"/>
          <w:color w:val="auto"/>
          <w:szCs w:val="18"/>
        </w:rPr>
      </w:pPr>
      <w:hyperlink r:id="rId36" w:history="1">
        <w:r w:rsidR="001D4E15" w:rsidRPr="00A4536F">
          <w:rPr>
            <w:rStyle w:val="Hyperlink"/>
            <w:rFonts w:cs="Calibri"/>
            <w:color w:val="auto"/>
            <w:szCs w:val="18"/>
          </w:rPr>
          <w:t>https://openknowledge.fao.org/server/api/core/bitstreams/1961df5b-aa3b-42de-8647-a33d2baca7a7/content</w:t>
        </w:r>
      </w:hyperlink>
    </w:p>
    <w:p w14:paraId="6A922C97" w14:textId="77777777" w:rsidR="00315466" w:rsidRPr="00A4536F" w:rsidRDefault="00234B5F">
      <w:pPr>
        <w:pStyle w:val="FootnoteText"/>
        <w:spacing w:after="120" w:line="276" w:lineRule="auto"/>
        <w:rPr>
          <w:rFonts w:cs="Calibri"/>
          <w:color w:val="auto"/>
          <w:sz w:val="18"/>
          <w:szCs w:val="18"/>
        </w:rPr>
      </w:pPr>
      <w:hyperlink r:id="rId37" w:history="1">
        <w:r w:rsidR="001D4E15" w:rsidRPr="00A4536F">
          <w:rPr>
            <w:rStyle w:val="Hyperlink"/>
            <w:rFonts w:cs="Calibri"/>
            <w:color w:val="auto"/>
            <w:sz w:val="18"/>
            <w:szCs w:val="18"/>
          </w:rPr>
          <w:t>https://one.oecd.org/document/DCD/DAC(2019)58/FINAL/En/pdf</w:t>
        </w:r>
      </w:hyperlink>
    </w:p>
    <w:bookmarkEnd w:id="211"/>
    <w:p w14:paraId="448AE4B7" w14:textId="77777777" w:rsidR="00315466" w:rsidRPr="00A4536F" w:rsidRDefault="001D4E15">
      <w:pPr>
        <w:spacing w:before="0" w:after="120"/>
        <w:rPr>
          <w:rFonts w:cs="Calibri"/>
          <w:color w:val="auto"/>
          <w:szCs w:val="18"/>
        </w:rPr>
      </w:pPr>
      <w:r w:rsidRPr="00A4536F">
        <w:rPr>
          <w:rFonts w:cs="Calibri"/>
          <w:color w:val="auto"/>
          <w:szCs w:val="18"/>
        </w:rPr>
        <w:br w:type="page"/>
      </w:r>
    </w:p>
    <w:p w14:paraId="6A2F1114" w14:textId="3A7CCD8D" w:rsidR="00315466" w:rsidRPr="0042524B" w:rsidRDefault="001D4E15" w:rsidP="0042524B">
      <w:pPr>
        <w:pStyle w:val="Heading1"/>
        <w:spacing w:after="240"/>
        <w:rPr>
          <w:rFonts w:ascii="Verdana" w:hAnsi="Verdana"/>
          <w:sz w:val="28"/>
          <w:szCs w:val="28"/>
        </w:rPr>
      </w:pPr>
      <w:bookmarkStart w:id="212" w:name="_Toc164582599"/>
      <w:bookmarkStart w:id="213" w:name="_Toc164287009"/>
      <w:bookmarkStart w:id="214" w:name="_Toc164324048"/>
      <w:bookmarkStart w:id="215" w:name="_Toc165828008"/>
      <w:bookmarkStart w:id="216" w:name="_Toc174559916"/>
      <w:bookmarkStart w:id="217" w:name="_Toc181278063"/>
      <w:r w:rsidRPr="005E6462">
        <w:rPr>
          <w:rFonts w:ascii="Verdana" w:hAnsi="Verdana"/>
          <w:sz w:val="28"/>
          <w:szCs w:val="28"/>
        </w:rPr>
        <w:lastRenderedPageBreak/>
        <w:t>6</w:t>
      </w:r>
      <w:r w:rsidR="00863310">
        <w:rPr>
          <w:rFonts w:ascii="Verdana" w:hAnsi="Verdana"/>
          <w:sz w:val="28"/>
          <w:szCs w:val="28"/>
        </w:rPr>
        <w:t>.</w:t>
      </w:r>
      <w:r w:rsidRPr="005E6462">
        <w:rPr>
          <w:rFonts w:ascii="Verdana" w:hAnsi="Verdana"/>
          <w:sz w:val="28"/>
          <w:szCs w:val="28"/>
        </w:rPr>
        <w:t>0 Annexes</w:t>
      </w:r>
      <w:bookmarkStart w:id="218" w:name="_Toc164324049"/>
      <w:bookmarkStart w:id="219" w:name="_Toc164287010"/>
      <w:bookmarkStart w:id="220" w:name="_Toc164582600"/>
      <w:bookmarkEnd w:id="212"/>
      <w:bookmarkEnd w:id="213"/>
      <w:bookmarkEnd w:id="214"/>
      <w:bookmarkEnd w:id="215"/>
      <w:bookmarkEnd w:id="216"/>
      <w:bookmarkEnd w:id="217"/>
    </w:p>
    <w:p w14:paraId="05A864AB" w14:textId="7421420D" w:rsidR="005E6462" w:rsidRPr="0042524B" w:rsidRDefault="001D4E15" w:rsidP="0042524B">
      <w:pPr>
        <w:pStyle w:val="Heading2"/>
        <w:spacing w:after="240"/>
        <w:rPr>
          <w:rFonts w:ascii="Verdana" w:hAnsi="Verdana"/>
          <w:sz w:val="24"/>
          <w:szCs w:val="24"/>
        </w:rPr>
      </w:pPr>
      <w:bookmarkStart w:id="221" w:name="_Toc164324053"/>
      <w:bookmarkStart w:id="222" w:name="_Toc164582604"/>
      <w:bookmarkStart w:id="223" w:name="_Toc164287014"/>
      <w:bookmarkStart w:id="224" w:name="_Toc165828009"/>
      <w:bookmarkStart w:id="225" w:name="_Toc174559917"/>
      <w:bookmarkStart w:id="226" w:name="_Toc181278064"/>
      <w:bookmarkEnd w:id="218"/>
      <w:bookmarkEnd w:id="219"/>
      <w:bookmarkEnd w:id="220"/>
      <w:r w:rsidRPr="005E6462">
        <w:rPr>
          <w:rFonts w:ascii="Verdana" w:hAnsi="Verdana"/>
          <w:sz w:val="24"/>
          <w:szCs w:val="24"/>
        </w:rPr>
        <w:t>Annex 1 Terms of Reference</w:t>
      </w:r>
      <w:bookmarkEnd w:id="221"/>
      <w:bookmarkEnd w:id="222"/>
      <w:bookmarkEnd w:id="223"/>
      <w:bookmarkEnd w:id="224"/>
      <w:bookmarkEnd w:id="225"/>
      <w:bookmarkEnd w:id="226"/>
      <w:r w:rsidRPr="005E6462">
        <w:rPr>
          <w:rFonts w:ascii="Verdana" w:hAnsi="Verdana"/>
          <w:sz w:val="24"/>
          <w:szCs w:val="24"/>
        </w:rPr>
        <w:t xml:space="preserve"> </w:t>
      </w:r>
    </w:p>
    <w:p w14:paraId="1D440987" w14:textId="77777777" w:rsidR="00315466" w:rsidRPr="00A4536F" w:rsidRDefault="001D4E15">
      <w:pPr>
        <w:spacing w:before="0" w:after="120"/>
        <w:rPr>
          <w:rFonts w:cs="Calibri"/>
          <w:b/>
          <w:bCs/>
          <w:color w:val="auto"/>
          <w:szCs w:val="18"/>
        </w:rPr>
      </w:pPr>
      <w:r w:rsidRPr="00A4536F">
        <w:rPr>
          <w:rFonts w:eastAsia="Segoe UI" w:cs="Calibri"/>
          <w:b/>
          <w:bCs/>
          <w:color w:val="auto"/>
          <w:szCs w:val="18"/>
        </w:rPr>
        <w:t xml:space="preserve">SUMMARY </w:t>
      </w:r>
    </w:p>
    <w:p w14:paraId="04E9FB2B" w14:textId="77777777" w:rsidR="00761EFA" w:rsidRPr="005E6462" w:rsidRDefault="00761EFA" w:rsidP="00761EFA">
      <w:pPr>
        <w:spacing w:before="0" w:after="120"/>
        <w:rPr>
          <w:rFonts w:cs="Calibri"/>
          <w:color w:val="auto"/>
          <w:szCs w:val="18"/>
        </w:rPr>
      </w:pPr>
      <w:r w:rsidRPr="005E6462">
        <w:rPr>
          <w:rFonts w:cs="Calibri"/>
          <w:color w:val="auto"/>
          <w:szCs w:val="18"/>
        </w:rPr>
        <w:t xml:space="preserve">Evaluation of the Australian Humanitarian Partnership’s Activations on Food Security and Livelihoods in Ethiopia and Kenya </w:t>
      </w:r>
      <w:r w:rsidRPr="005E6462">
        <w:rPr>
          <w:rFonts w:cs="Calibri"/>
          <w:color w:val="auto"/>
          <w:szCs w:val="18"/>
        </w:rPr>
        <w:tab/>
        <w:t xml:space="preserve"> </w:t>
      </w:r>
    </w:p>
    <w:p w14:paraId="1F554A6F" w14:textId="282A9AB6" w:rsidR="00761EFA" w:rsidRPr="005E6462" w:rsidRDefault="00761EFA" w:rsidP="00761EFA">
      <w:pPr>
        <w:spacing w:before="0" w:after="120"/>
        <w:rPr>
          <w:rFonts w:cs="Calibri"/>
          <w:color w:val="auto"/>
          <w:szCs w:val="18"/>
        </w:rPr>
      </w:pPr>
      <w:r w:rsidRPr="005E6462">
        <w:rPr>
          <w:rFonts w:cs="Calibri"/>
          <w:color w:val="auto"/>
          <w:szCs w:val="18"/>
        </w:rPr>
        <w:t xml:space="preserve">Start Date:  November 2023  </w:t>
      </w:r>
    </w:p>
    <w:p w14:paraId="26154570" w14:textId="057E0080" w:rsidR="00761EFA" w:rsidRPr="005E6462" w:rsidRDefault="00761EFA" w:rsidP="00761EFA">
      <w:pPr>
        <w:spacing w:before="0" w:after="120"/>
        <w:rPr>
          <w:rFonts w:cs="Calibri"/>
          <w:color w:val="auto"/>
          <w:szCs w:val="18"/>
        </w:rPr>
      </w:pPr>
      <w:r w:rsidRPr="005E6462">
        <w:rPr>
          <w:rFonts w:cs="Calibri"/>
          <w:color w:val="auto"/>
          <w:szCs w:val="18"/>
        </w:rPr>
        <w:t xml:space="preserve">End Date:  April 2024 </w:t>
      </w:r>
      <w:r w:rsidRPr="005E6462">
        <w:rPr>
          <w:rFonts w:cs="Calibri"/>
          <w:color w:val="auto"/>
          <w:szCs w:val="18"/>
        </w:rPr>
        <w:tab/>
        <w:t xml:space="preserve"> </w:t>
      </w:r>
    </w:p>
    <w:p w14:paraId="46E88167" w14:textId="1915AD9C" w:rsidR="00315466" w:rsidRPr="005E6462" w:rsidRDefault="00761EFA" w:rsidP="00761EFA">
      <w:pPr>
        <w:spacing w:before="0" w:after="120"/>
        <w:rPr>
          <w:rFonts w:cs="Calibri"/>
          <w:color w:val="auto"/>
          <w:szCs w:val="18"/>
        </w:rPr>
      </w:pPr>
      <w:r w:rsidRPr="005E6462">
        <w:rPr>
          <w:rFonts w:cs="Calibri"/>
          <w:color w:val="auto"/>
          <w:szCs w:val="18"/>
        </w:rPr>
        <w:t>Submissions due:  COB Wednesday, November 1st</w:t>
      </w:r>
      <w:proofErr w:type="gramStart"/>
      <w:r w:rsidRPr="005E6462">
        <w:rPr>
          <w:rFonts w:cs="Calibri"/>
          <w:color w:val="auto"/>
          <w:szCs w:val="18"/>
        </w:rPr>
        <w:t xml:space="preserve"> 2023</w:t>
      </w:r>
      <w:proofErr w:type="gramEnd"/>
    </w:p>
    <w:p w14:paraId="60B93072"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INTRODUCTION </w:t>
      </w:r>
    </w:p>
    <w:p w14:paraId="3B847210" w14:textId="77777777" w:rsidR="00315466" w:rsidRPr="00A4536F" w:rsidRDefault="001D4E15">
      <w:pPr>
        <w:spacing w:before="0" w:after="120"/>
        <w:ind w:left="-6" w:right="40" w:hanging="11"/>
        <w:rPr>
          <w:rFonts w:cs="Calibri"/>
          <w:color w:val="auto"/>
          <w:szCs w:val="18"/>
        </w:rPr>
      </w:pPr>
      <w:r w:rsidRPr="00A4536F">
        <w:rPr>
          <w:rFonts w:cs="Calibri"/>
          <w:color w:val="auto"/>
          <w:szCs w:val="18"/>
        </w:rPr>
        <w:t xml:space="preserve">Global food insecurity is rising due to the increasing frequency and severity of climate shocks and regional conflicts. Russia's illegal war in Ukraine has exacerbated this situation. Higher food prices disproportionately impact poor households and net food importing countries. Australia is responding to growing global food insecurity through a variety of measures including humanitarian assistance. </w:t>
      </w:r>
    </w:p>
    <w:p w14:paraId="631891D3" w14:textId="77777777" w:rsidR="00315466" w:rsidRPr="00A4536F" w:rsidRDefault="001D4E15">
      <w:pPr>
        <w:spacing w:before="0" w:after="120"/>
        <w:ind w:left="-6" w:right="40" w:hanging="11"/>
        <w:rPr>
          <w:rFonts w:cs="Calibri"/>
          <w:color w:val="auto"/>
          <w:szCs w:val="18"/>
        </w:rPr>
      </w:pPr>
      <w:r w:rsidRPr="00A4536F">
        <w:rPr>
          <w:rFonts w:cs="Calibri"/>
          <w:color w:val="auto"/>
          <w:szCs w:val="18"/>
        </w:rPr>
        <w:t xml:space="preserve">The Australian Humanitarian Partnership (AHP), a partnership between the Australian Government and six AHP Partners (Australian non-government organisations), is responding to food crises and severe droughts in Ethiopia and Kenya. AHP Partners - Plan International (Ethiopia) and Oxfam Australia (Ethiopia and Kenya) - are leading Consortiums to deliver these responses alongside their national and local partners. The responses will be the subject of a thematic evaluation on food security and livelihood. The purpose of the evaluation is to inform future programming by the AHP, the Australian </w:t>
      </w:r>
      <w:r w:rsidRPr="00A4536F">
        <w:rPr>
          <w:rFonts w:eastAsia="Segoe UI" w:cs="Calibri"/>
          <w:color w:val="auto"/>
          <w:szCs w:val="18"/>
        </w:rPr>
        <w:t>Government’s D</w:t>
      </w:r>
      <w:r w:rsidRPr="00A4536F">
        <w:rPr>
          <w:rFonts w:cs="Calibri"/>
          <w:color w:val="auto"/>
          <w:szCs w:val="18"/>
        </w:rPr>
        <w:t xml:space="preserve">epartment of Foreign Affairs and Trade (DFAT) and the broader humanitarian sector.  </w:t>
      </w:r>
    </w:p>
    <w:p w14:paraId="409F2677" w14:textId="77777777" w:rsidR="00315466" w:rsidRPr="00A4536F" w:rsidRDefault="001D4E15">
      <w:pPr>
        <w:spacing w:before="0" w:after="120"/>
        <w:ind w:left="-6" w:right="40" w:hanging="11"/>
        <w:rPr>
          <w:rFonts w:cs="Calibri"/>
          <w:b/>
          <w:bCs/>
          <w:color w:val="auto"/>
          <w:szCs w:val="18"/>
        </w:rPr>
      </w:pPr>
      <w:r w:rsidRPr="00A4536F">
        <w:rPr>
          <w:rFonts w:cs="Calibri"/>
          <w:b/>
          <w:bCs/>
          <w:color w:val="auto"/>
          <w:szCs w:val="18"/>
        </w:rPr>
        <w:t xml:space="preserve">Country Contexts </w:t>
      </w:r>
    </w:p>
    <w:p w14:paraId="349382C4" w14:textId="77777777" w:rsidR="00315466" w:rsidRPr="00A4536F" w:rsidRDefault="001D4E15">
      <w:pPr>
        <w:spacing w:before="0" w:after="120"/>
        <w:ind w:left="-6" w:right="58" w:hanging="11"/>
        <w:rPr>
          <w:rFonts w:cs="Calibri"/>
          <w:color w:val="auto"/>
          <w:szCs w:val="18"/>
        </w:rPr>
      </w:pPr>
      <w:r w:rsidRPr="00A4536F">
        <w:rPr>
          <w:rFonts w:cs="Calibri"/>
          <w:color w:val="auto"/>
          <w:szCs w:val="18"/>
        </w:rPr>
        <w:t xml:space="preserve">Both Ethiopia and Kenya face similar challenges from conflict, displacement, climate-related </w:t>
      </w:r>
      <w:proofErr w:type="gramStart"/>
      <w:r w:rsidRPr="00A4536F">
        <w:rPr>
          <w:rFonts w:cs="Calibri"/>
          <w:color w:val="auto"/>
          <w:szCs w:val="18"/>
        </w:rPr>
        <w:t>shocks</w:t>
      </w:r>
      <w:proofErr w:type="gramEnd"/>
      <w:r w:rsidRPr="00A4536F">
        <w:rPr>
          <w:rFonts w:cs="Calibri"/>
          <w:color w:val="auto"/>
          <w:szCs w:val="18"/>
        </w:rPr>
        <w:t xml:space="preserve"> and persistent disease outbreak, including cholera. Despite some recent rains in Kenya, malnutrition persists in both countries. The scale of need is somewhat different however, with UN OCHA estimating around 20 million people require some form of assistance in Ethiopia and 6.4 million in need in Kenya (UN OCHA, </w:t>
      </w:r>
      <w:r w:rsidRPr="00A4536F">
        <w:rPr>
          <w:rFonts w:eastAsia="Segoe UI" w:cs="Calibri"/>
          <w:i/>
          <w:color w:val="auto"/>
          <w:szCs w:val="18"/>
        </w:rPr>
        <w:t>Ethiopia Situation Report</w:t>
      </w:r>
      <w:r w:rsidRPr="00A4536F">
        <w:rPr>
          <w:rFonts w:cs="Calibri"/>
          <w:color w:val="auto"/>
          <w:szCs w:val="18"/>
        </w:rPr>
        <w:t xml:space="preserve">, Updated 7 Sept 2023; </w:t>
      </w:r>
      <w:r w:rsidRPr="00A4536F">
        <w:rPr>
          <w:rFonts w:eastAsia="Segoe UI" w:cs="Calibri"/>
          <w:i/>
          <w:color w:val="auto"/>
          <w:szCs w:val="18"/>
        </w:rPr>
        <w:t>UN OCHA Kenya Drought Response Dashboard,</w:t>
      </w:r>
      <w:r w:rsidRPr="00A4536F">
        <w:rPr>
          <w:rFonts w:cs="Calibri"/>
          <w:color w:val="auto"/>
          <w:szCs w:val="18"/>
        </w:rPr>
        <w:t xml:space="preserve"> January to June 2023). Food assistance is the most primary need.  </w:t>
      </w:r>
    </w:p>
    <w:p w14:paraId="1A0C6363" w14:textId="77777777" w:rsidR="00315466" w:rsidRPr="00A4536F" w:rsidRDefault="001D4E15">
      <w:pPr>
        <w:spacing w:before="0" w:after="120"/>
        <w:ind w:left="-6" w:right="58" w:hanging="11"/>
        <w:rPr>
          <w:rFonts w:cs="Calibri"/>
          <w:color w:val="auto"/>
          <w:szCs w:val="18"/>
        </w:rPr>
      </w:pPr>
      <w:r w:rsidRPr="00A4536F">
        <w:rPr>
          <w:rFonts w:cs="Calibri"/>
          <w:color w:val="auto"/>
          <w:szCs w:val="18"/>
        </w:rPr>
        <w:t xml:space="preserve">Ethiopia is highly vulnerable to climatic shocks and the country is currently in severe drought. The drought situation has severely impacted pastoralist and </w:t>
      </w:r>
      <w:proofErr w:type="spellStart"/>
      <w:r w:rsidRPr="00A4536F">
        <w:rPr>
          <w:rFonts w:cs="Calibri"/>
          <w:color w:val="auto"/>
          <w:szCs w:val="18"/>
        </w:rPr>
        <w:t>agro</w:t>
      </w:r>
      <w:proofErr w:type="spellEnd"/>
      <w:r w:rsidRPr="00A4536F">
        <w:rPr>
          <w:rFonts w:cs="Calibri"/>
          <w:color w:val="auto"/>
          <w:szCs w:val="18"/>
        </w:rPr>
        <w:t xml:space="preserve">-pastoralist communities, aggravating food insecurity, malnutrition, access to water and a worsening health situation. Oromia, Somali and Tigray regions are amongst the worst affected locations. These parts of Ethiopia have been critically affected by both drought and conflict simultaneously, with additional implications for internal displacement and gender and protection concerns. 15.1 million people require emergency food assistance as of July 2023 (UN OCHA, </w:t>
      </w:r>
      <w:r w:rsidRPr="00A4536F">
        <w:rPr>
          <w:rFonts w:eastAsia="Segoe UI" w:cs="Calibri"/>
          <w:i/>
          <w:color w:val="auto"/>
          <w:szCs w:val="18"/>
        </w:rPr>
        <w:t>Ethiopia Cluster Status: Food</w:t>
      </w:r>
      <w:r w:rsidRPr="00A4536F">
        <w:rPr>
          <w:rFonts w:cs="Calibri"/>
          <w:color w:val="auto"/>
          <w:szCs w:val="18"/>
        </w:rPr>
        <w:t xml:space="preserve">, Updated 23 August 2023). </w:t>
      </w:r>
    </w:p>
    <w:p w14:paraId="684D79B2" w14:textId="77777777" w:rsidR="00315466" w:rsidRPr="00A4536F" w:rsidRDefault="001D4E15">
      <w:pPr>
        <w:spacing w:before="0" w:after="120"/>
        <w:ind w:left="-6" w:right="58" w:hanging="11"/>
        <w:rPr>
          <w:rFonts w:cs="Calibri"/>
          <w:color w:val="auto"/>
          <w:szCs w:val="18"/>
        </w:rPr>
      </w:pPr>
      <w:r w:rsidRPr="00A4536F">
        <w:rPr>
          <w:rFonts w:cs="Calibri"/>
          <w:color w:val="auto"/>
          <w:szCs w:val="18"/>
        </w:rPr>
        <w:t xml:space="preserve">Kenya has recently experienced severe drought of historic levels, compounded by conflict and insecurity in the Arid and Semi-Arid Lands counties (UNICEF, </w:t>
      </w:r>
      <w:r w:rsidRPr="00A4536F">
        <w:rPr>
          <w:rFonts w:eastAsia="Segoe UI" w:cs="Calibri"/>
          <w:i/>
          <w:color w:val="auto"/>
          <w:szCs w:val="18"/>
        </w:rPr>
        <w:t>Humanitarian Situation Report No. 5</w:t>
      </w:r>
      <w:r w:rsidRPr="00A4536F">
        <w:rPr>
          <w:rFonts w:cs="Calibri"/>
          <w:color w:val="auto"/>
          <w:szCs w:val="18"/>
        </w:rPr>
        <w:t xml:space="preserve">, July 2023). Rainfall in March to May 2023 has brought some recovery from the severe drought, however, they have also brought floods and heightened risk of cholera outbreaks. There is a lag between drought recovery and food availability. The number of acutely food insecure people in Kenya is 4.4 million, with over 970,000 children under 5-years old requiring treatment for malnutrition. The drought has also caused resource-based conflicts and made women and children more vulnerable.  </w:t>
      </w:r>
    </w:p>
    <w:p w14:paraId="370F9870"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BACKGROUND </w:t>
      </w:r>
    </w:p>
    <w:p w14:paraId="6C57D3A1" w14:textId="77777777" w:rsidR="00315466" w:rsidRPr="00A4536F" w:rsidRDefault="001D4E15">
      <w:pPr>
        <w:spacing w:before="0" w:after="120"/>
        <w:ind w:left="-6" w:right="40" w:hanging="11"/>
        <w:rPr>
          <w:rFonts w:cs="Calibri"/>
          <w:b/>
          <w:bCs/>
          <w:color w:val="auto"/>
          <w:szCs w:val="18"/>
        </w:rPr>
      </w:pPr>
      <w:r w:rsidRPr="00A4536F">
        <w:rPr>
          <w:rFonts w:cs="Calibri"/>
          <w:b/>
          <w:bCs/>
          <w:color w:val="auto"/>
          <w:szCs w:val="18"/>
        </w:rPr>
        <w:t xml:space="preserve">Overview - AHP Horn of Africa Food Security and Livelihood (FSL) Activations </w:t>
      </w:r>
    </w:p>
    <w:p w14:paraId="005ECA9E" w14:textId="77777777" w:rsidR="00315466" w:rsidRPr="00A4536F" w:rsidRDefault="001D4E15">
      <w:pPr>
        <w:spacing w:before="0" w:after="120"/>
        <w:ind w:left="-6" w:right="58" w:hanging="11"/>
        <w:rPr>
          <w:rFonts w:cs="Calibri"/>
          <w:color w:val="auto"/>
          <w:szCs w:val="18"/>
        </w:rPr>
      </w:pPr>
      <w:r w:rsidRPr="00A4536F">
        <w:rPr>
          <w:rFonts w:cs="Calibri"/>
          <w:color w:val="auto"/>
          <w:szCs w:val="18"/>
        </w:rPr>
        <w:lastRenderedPageBreak/>
        <w:t xml:space="preserve">The AHP Responses in the Horn of Africa are being led by Oxfam and Plan International in Ethiopia and Oxfam in Kenya. This section provides an overview of the consortium partners, locations, </w:t>
      </w:r>
      <w:proofErr w:type="gramStart"/>
      <w:r w:rsidRPr="00A4536F">
        <w:rPr>
          <w:rFonts w:cs="Calibri"/>
          <w:color w:val="auto"/>
          <w:szCs w:val="18"/>
        </w:rPr>
        <w:t>timeframes</w:t>
      </w:r>
      <w:proofErr w:type="gramEnd"/>
      <w:r w:rsidRPr="00A4536F">
        <w:rPr>
          <w:rFonts w:cs="Calibri"/>
          <w:color w:val="auto"/>
          <w:szCs w:val="18"/>
        </w:rPr>
        <w:t xml:space="preserve"> and overall objectives of these activations. Annex One to this </w:t>
      </w:r>
      <w:proofErr w:type="spellStart"/>
      <w:r w:rsidRPr="00A4536F">
        <w:rPr>
          <w:rFonts w:cs="Calibri"/>
          <w:color w:val="auto"/>
          <w:szCs w:val="18"/>
        </w:rPr>
        <w:t>ToR</w:t>
      </w:r>
      <w:proofErr w:type="spellEnd"/>
      <w:r w:rsidRPr="00A4536F">
        <w:rPr>
          <w:rFonts w:cs="Calibri"/>
          <w:color w:val="auto"/>
          <w:szCs w:val="18"/>
        </w:rPr>
        <w:t xml:space="preserve"> provides further details about the outcomes included in the </w:t>
      </w:r>
      <w:proofErr w:type="spellStart"/>
      <w:r w:rsidRPr="00A4536F">
        <w:rPr>
          <w:rFonts w:cs="Calibri"/>
          <w:color w:val="auto"/>
          <w:szCs w:val="18"/>
        </w:rPr>
        <w:t>logframes</w:t>
      </w:r>
      <w:proofErr w:type="spellEnd"/>
      <w:r w:rsidRPr="00A4536F">
        <w:rPr>
          <w:rFonts w:cs="Calibri"/>
          <w:color w:val="auto"/>
          <w:szCs w:val="18"/>
        </w:rPr>
        <w:t xml:space="preserve"> for each of the three activations in Ethiopia (2) and Kenya (1).  </w:t>
      </w:r>
    </w:p>
    <w:p w14:paraId="4F8FBE14" w14:textId="77777777" w:rsidR="00315466" w:rsidRPr="00A4536F" w:rsidRDefault="001D4E15">
      <w:pPr>
        <w:spacing w:before="0" w:after="120"/>
        <w:ind w:left="-6" w:right="58" w:hanging="11"/>
        <w:rPr>
          <w:rFonts w:cs="Calibri"/>
          <w:color w:val="auto"/>
          <w:szCs w:val="18"/>
        </w:rPr>
      </w:pPr>
      <w:r w:rsidRPr="00A4536F">
        <w:rPr>
          <w:rFonts w:cs="Calibri"/>
          <w:color w:val="auto"/>
          <w:szCs w:val="18"/>
        </w:rPr>
        <w:t xml:space="preserve">In Ethiopia, the Oxfam project is being implemented with long-standing partners: Mission for Community Development Programme (MCDP), Afar Pastoralist Development Association (APDA) and Women Empowerment </w:t>
      </w:r>
      <w:r w:rsidRPr="00A4536F">
        <w:rPr>
          <w:rFonts w:eastAsia="Segoe UI" w:cs="Calibri"/>
          <w:color w:val="auto"/>
          <w:szCs w:val="18"/>
        </w:rPr>
        <w:t>–</w:t>
      </w:r>
      <w:r w:rsidRPr="00A4536F">
        <w:rPr>
          <w:rFonts w:cs="Calibri"/>
          <w:color w:val="auto"/>
          <w:szCs w:val="18"/>
        </w:rPr>
        <w:t xml:space="preserve"> Action (WE-Action). It commenced in April 2023 with a budget of AUD 5 million and will be completed by 30 March 2024. The response is focused on </w:t>
      </w:r>
      <w:proofErr w:type="spellStart"/>
      <w:r w:rsidRPr="00A4536F">
        <w:rPr>
          <w:rFonts w:cs="Calibri"/>
          <w:color w:val="auto"/>
          <w:szCs w:val="18"/>
        </w:rPr>
        <w:t>Kilaalu</w:t>
      </w:r>
      <w:proofErr w:type="spellEnd"/>
      <w:r w:rsidRPr="00A4536F">
        <w:rPr>
          <w:rFonts w:cs="Calibri"/>
          <w:color w:val="auto"/>
          <w:szCs w:val="18"/>
        </w:rPr>
        <w:t xml:space="preserve"> and </w:t>
      </w:r>
      <w:proofErr w:type="spellStart"/>
      <w:r w:rsidRPr="00A4536F">
        <w:rPr>
          <w:rFonts w:cs="Calibri"/>
          <w:color w:val="auto"/>
          <w:szCs w:val="18"/>
        </w:rPr>
        <w:t>Sibeeba</w:t>
      </w:r>
      <w:proofErr w:type="spellEnd"/>
      <w:r w:rsidRPr="00A4536F">
        <w:rPr>
          <w:rFonts w:cs="Calibri"/>
          <w:color w:val="auto"/>
          <w:szCs w:val="18"/>
        </w:rPr>
        <w:t xml:space="preserve"> districts of Zone-6 (ADPA), the </w:t>
      </w:r>
      <w:proofErr w:type="spellStart"/>
      <w:r w:rsidRPr="00A4536F">
        <w:rPr>
          <w:rFonts w:cs="Calibri"/>
          <w:color w:val="auto"/>
          <w:szCs w:val="18"/>
        </w:rPr>
        <w:t>Waghimra</w:t>
      </w:r>
      <w:proofErr w:type="spellEnd"/>
      <w:r w:rsidRPr="00A4536F">
        <w:rPr>
          <w:rFonts w:cs="Calibri"/>
          <w:color w:val="auto"/>
          <w:szCs w:val="18"/>
        </w:rPr>
        <w:t xml:space="preserve"> Zone of Amhara (WE-Action) and </w:t>
      </w:r>
      <w:proofErr w:type="spellStart"/>
      <w:r w:rsidRPr="00A4536F">
        <w:rPr>
          <w:rFonts w:cs="Calibri"/>
          <w:color w:val="auto"/>
          <w:szCs w:val="18"/>
        </w:rPr>
        <w:t>Adigrat</w:t>
      </w:r>
      <w:proofErr w:type="spellEnd"/>
      <w:r w:rsidRPr="00A4536F">
        <w:rPr>
          <w:rFonts w:cs="Calibri"/>
          <w:color w:val="auto"/>
          <w:szCs w:val="18"/>
        </w:rPr>
        <w:t xml:space="preserve"> Town of Eastern-Tigray Region (MCDP). Immediate needs will be addressed through nutritional screening, treatment, and immediate food/cash assistance in Tigray, Afar and Amhara. The project will also implement early recovery interventions, such as livelihood restoration, that will promote resilience and sustain the long-term needs of the communities. Protection activities will ensure that vulnerable and hard-to-reach communities have access to lifesaving services and are able to restore safety, </w:t>
      </w:r>
      <w:proofErr w:type="gramStart"/>
      <w:r w:rsidRPr="00A4536F">
        <w:rPr>
          <w:rFonts w:cs="Calibri"/>
          <w:color w:val="auto"/>
          <w:szCs w:val="18"/>
        </w:rPr>
        <w:t>dignity</w:t>
      </w:r>
      <w:proofErr w:type="gramEnd"/>
      <w:r w:rsidRPr="00A4536F">
        <w:rPr>
          <w:rFonts w:cs="Calibri"/>
          <w:color w:val="auto"/>
          <w:szCs w:val="18"/>
        </w:rPr>
        <w:t xml:space="preserve"> and human rights. The project also targets the most vulnerable segments of the communities that it works in, particularly women, children, the elderly, and people with disabilities. </w:t>
      </w:r>
    </w:p>
    <w:p w14:paraId="587BE553" w14:textId="77777777" w:rsidR="00315466" w:rsidRPr="00A4536F" w:rsidRDefault="001D4E15">
      <w:pPr>
        <w:spacing w:before="0" w:after="120"/>
        <w:ind w:left="-6" w:right="58" w:hanging="11"/>
        <w:rPr>
          <w:rFonts w:cs="Calibri"/>
          <w:color w:val="auto"/>
          <w:szCs w:val="18"/>
        </w:rPr>
      </w:pPr>
      <w:r w:rsidRPr="00A4536F">
        <w:rPr>
          <w:rFonts w:cs="Calibri"/>
          <w:color w:val="auto"/>
          <w:szCs w:val="18"/>
        </w:rPr>
        <w:t>The Plan International Australia project in Ethiopia is being delivered by a consortium including Plan International Ethiopia (PIE), Action for Needy Ethiopia (ANE), Save the Children International Ethiopia (SCIE) (supported by Save the Children Australia), and Pastoralist in Action Development Organisation (PIADO). The AUD 5 million response commenced in July 2023 and will finish at end-June 2024. PIE will deliver assistance in Ganta-</w:t>
      </w:r>
      <w:proofErr w:type="spellStart"/>
      <w:r w:rsidRPr="00A4536F">
        <w:rPr>
          <w:rFonts w:cs="Calibri"/>
          <w:color w:val="auto"/>
          <w:szCs w:val="18"/>
        </w:rPr>
        <w:t>Afeshum</w:t>
      </w:r>
      <w:proofErr w:type="spellEnd"/>
      <w:r w:rsidRPr="00A4536F">
        <w:rPr>
          <w:rFonts w:cs="Calibri"/>
          <w:color w:val="auto"/>
          <w:szCs w:val="18"/>
        </w:rPr>
        <w:t xml:space="preserve"> and </w:t>
      </w:r>
      <w:proofErr w:type="spellStart"/>
      <w:r w:rsidRPr="00A4536F">
        <w:rPr>
          <w:rFonts w:cs="Calibri"/>
          <w:color w:val="auto"/>
          <w:szCs w:val="18"/>
        </w:rPr>
        <w:t>Gulomekeda</w:t>
      </w:r>
      <w:proofErr w:type="spellEnd"/>
      <w:r w:rsidRPr="00A4536F">
        <w:rPr>
          <w:rFonts w:cs="Calibri"/>
          <w:color w:val="auto"/>
          <w:szCs w:val="18"/>
        </w:rPr>
        <w:t xml:space="preserve"> district (Tigray region), ANE will provide support to participants in </w:t>
      </w:r>
      <w:proofErr w:type="spellStart"/>
      <w:r w:rsidRPr="00A4536F">
        <w:rPr>
          <w:rFonts w:cs="Calibri"/>
          <w:color w:val="auto"/>
          <w:szCs w:val="18"/>
        </w:rPr>
        <w:t>Borena</w:t>
      </w:r>
      <w:proofErr w:type="spellEnd"/>
      <w:r w:rsidRPr="00A4536F">
        <w:rPr>
          <w:rFonts w:cs="Calibri"/>
          <w:color w:val="auto"/>
          <w:szCs w:val="18"/>
        </w:rPr>
        <w:t xml:space="preserve"> district (Oromia region), and SCI and its partner PIADO will deliver assistance in Moyale and </w:t>
      </w:r>
      <w:proofErr w:type="spellStart"/>
      <w:r w:rsidRPr="00A4536F">
        <w:rPr>
          <w:rFonts w:cs="Calibri"/>
          <w:color w:val="auto"/>
          <w:szCs w:val="18"/>
        </w:rPr>
        <w:t>Qadaduma</w:t>
      </w:r>
      <w:proofErr w:type="spellEnd"/>
      <w:r w:rsidRPr="00A4536F">
        <w:rPr>
          <w:rFonts w:cs="Calibri"/>
          <w:color w:val="auto"/>
          <w:szCs w:val="18"/>
        </w:rPr>
        <w:t xml:space="preserve"> district (Somali region).  The interventions will focus on: 1) Food security and livelihoods including improved crop seeds, restocked dairy goats, pasture enclosure and pond rehabilitation; 2) Nutrition: support to community management of acute malnutrition and maternal infant and young children feeding in emergencies, and; 3) Cash Programming: to help overcome income gaps and mitigate against negative coping mechanisms, particularly for vulnerable households (e.g. female-headed households, adolescent girls, or those with severe acutely malnourished children). Child protection will be an inter-sectoral theme. </w:t>
      </w:r>
    </w:p>
    <w:p w14:paraId="24198422" w14:textId="77777777" w:rsidR="00315466" w:rsidRPr="00A4536F" w:rsidRDefault="001D4E15">
      <w:pPr>
        <w:spacing w:before="0" w:after="120"/>
        <w:ind w:left="-6" w:right="58" w:hanging="11"/>
        <w:rPr>
          <w:rFonts w:cs="Calibri"/>
          <w:color w:val="auto"/>
          <w:szCs w:val="18"/>
        </w:rPr>
      </w:pPr>
      <w:r w:rsidRPr="00A4536F">
        <w:rPr>
          <w:rFonts w:cs="Calibri"/>
          <w:color w:val="auto"/>
          <w:szCs w:val="18"/>
        </w:rPr>
        <w:t xml:space="preserve">The project in Kenya is being implemented by Oxfam Australia through its national affiliate (Oxfam in Kenya) and three independent national organisations including Strategies for Northern Development (SND), Pastoralist Community Initiative and Development Assistance (PACIDA), and Turkana Pastoralist Development Organisation (TUPADO) working under the umbrella of the Arid and Semi-arid Lands Humanitarian Network (AHN). The AUD 3 million project </w:t>
      </w:r>
      <w:proofErr w:type="gramStart"/>
      <w:r w:rsidRPr="00A4536F">
        <w:rPr>
          <w:rFonts w:cs="Calibri"/>
          <w:color w:val="auto"/>
          <w:szCs w:val="18"/>
        </w:rPr>
        <w:t>is located in</w:t>
      </w:r>
      <w:proofErr w:type="gramEnd"/>
      <w:r w:rsidRPr="00A4536F">
        <w:rPr>
          <w:rFonts w:cs="Calibri"/>
          <w:color w:val="auto"/>
          <w:szCs w:val="18"/>
        </w:rPr>
        <w:t xml:space="preserve"> </w:t>
      </w:r>
      <w:proofErr w:type="spellStart"/>
      <w:r w:rsidRPr="00A4536F">
        <w:rPr>
          <w:rFonts w:cs="Calibri"/>
          <w:color w:val="auto"/>
          <w:szCs w:val="18"/>
        </w:rPr>
        <w:t>Marsabit</w:t>
      </w:r>
      <w:proofErr w:type="spellEnd"/>
      <w:r w:rsidRPr="00A4536F">
        <w:rPr>
          <w:rFonts w:cs="Calibri"/>
          <w:color w:val="auto"/>
          <w:szCs w:val="18"/>
        </w:rPr>
        <w:t xml:space="preserve"> and Turkana Counties and will run from April 2023 to August 2024. It will address food security and malnutrition through multi-purpose cash assistance and assist with acute water stress and public health risks exacerbated by the drought through tailored Water, Sanitation and Hygiene (WASH) infrastructure and public health measures. The project is also focused on addressing gender and protection concerns facing drought-affected communities and deepening localisation of humanitarian response. </w:t>
      </w:r>
    </w:p>
    <w:p w14:paraId="44B41AF7"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SCOPE </w:t>
      </w:r>
    </w:p>
    <w:p w14:paraId="4C7B4B4D" w14:textId="77777777" w:rsidR="00315466" w:rsidRPr="00A4536F" w:rsidRDefault="001D4E15">
      <w:pPr>
        <w:spacing w:before="0" w:after="120"/>
        <w:ind w:left="-5" w:right="40"/>
        <w:rPr>
          <w:rFonts w:cs="Calibri"/>
          <w:b/>
          <w:bCs/>
          <w:color w:val="auto"/>
          <w:szCs w:val="18"/>
        </w:rPr>
      </w:pPr>
      <w:r w:rsidRPr="00A4536F">
        <w:rPr>
          <w:rFonts w:cs="Calibri"/>
          <w:b/>
          <w:bCs/>
          <w:color w:val="auto"/>
          <w:szCs w:val="18"/>
        </w:rPr>
        <w:t xml:space="preserve">Evaluation purpose  </w:t>
      </w:r>
    </w:p>
    <w:p w14:paraId="3104A416"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Rising global food insecurity will be a long-term challenge with climate change exerting increasing pressure on already stressed food systems. The main purpose of this thematic evaluation is to develop cross-cutting lessons, including success stories, on food security and livelihoods to innovate and feed into AHP and broader sector learning for specific responses and broader strategies. </w:t>
      </w:r>
    </w:p>
    <w:p w14:paraId="1A17B50A"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This evaluation will assess the </w:t>
      </w:r>
      <w:r w:rsidRPr="00A4536F">
        <w:rPr>
          <w:rFonts w:eastAsia="Segoe UI" w:cs="Calibri"/>
          <w:color w:val="auto"/>
          <w:szCs w:val="18"/>
        </w:rPr>
        <w:t xml:space="preserve">AHP partners’ approach to addressing food security </w:t>
      </w:r>
      <w:r w:rsidRPr="00A4536F">
        <w:rPr>
          <w:rFonts w:cs="Calibri"/>
          <w:color w:val="auto"/>
          <w:szCs w:val="18"/>
        </w:rPr>
        <w:t xml:space="preserve">and livelihoods during activations in Ethiopia and Kenya. Objectives of the evaluation include: </w:t>
      </w:r>
    </w:p>
    <w:p w14:paraId="2C04139C" w14:textId="77777777" w:rsidR="00863310" w:rsidRPr="00863310" w:rsidRDefault="001D4E15" w:rsidP="00D41C74">
      <w:pPr>
        <w:pStyle w:val="ListParagraph"/>
        <w:numPr>
          <w:ilvl w:val="0"/>
          <w:numId w:val="79"/>
        </w:numPr>
        <w:spacing w:after="120"/>
        <w:ind w:right="58"/>
        <w:rPr>
          <w:rFonts w:cs="Calibri"/>
          <w:szCs w:val="18"/>
        </w:rPr>
      </w:pPr>
      <w:r w:rsidRPr="00863310">
        <w:rPr>
          <w:rFonts w:eastAsiaTheme="minorEastAsia" w:cs="Calibri"/>
          <w:b/>
          <w:bCs/>
          <w:szCs w:val="18"/>
          <w:lang w:eastAsia="en-GB"/>
        </w:rPr>
        <w:lastRenderedPageBreak/>
        <w:t>Learning</w:t>
      </w:r>
      <w:r w:rsidRPr="00863310">
        <w:rPr>
          <w:rFonts w:eastAsiaTheme="minorEastAsia" w:cs="Calibri"/>
          <w:szCs w:val="18"/>
          <w:lang w:eastAsia="en-GB"/>
        </w:rPr>
        <w:t xml:space="preserve"> - The evaluation will determine the reasons why certain results occurred, or did not occur, to draw lessons, derive good practices and develop pointers for learning about food security and livelihood responses. Findings will be actively disseminated to inform operational and strategic decision-making by DFAT and the ANGOs, and lessons will be incorporated into future AHP responses. </w:t>
      </w:r>
    </w:p>
    <w:p w14:paraId="13F83D1D" w14:textId="0CA188A7" w:rsidR="00315466" w:rsidRPr="00863310" w:rsidRDefault="001D4E15" w:rsidP="00D41C74">
      <w:pPr>
        <w:pStyle w:val="ListParagraph"/>
        <w:numPr>
          <w:ilvl w:val="0"/>
          <w:numId w:val="79"/>
        </w:numPr>
        <w:spacing w:after="120"/>
        <w:ind w:right="58"/>
        <w:rPr>
          <w:rFonts w:cs="Calibri"/>
          <w:szCs w:val="18"/>
        </w:rPr>
      </w:pPr>
      <w:r w:rsidRPr="00863310">
        <w:rPr>
          <w:rFonts w:eastAsiaTheme="minorEastAsia" w:cs="Calibri"/>
          <w:b/>
          <w:bCs/>
          <w:szCs w:val="18"/>
          <w:lang w:eastAsia="en-GB"/>
        </w:rPr>
        <w:t>Accountability</w:t>
      </w:r>
      <w:r w:rsidRPr="00863310">
        <w:rPr>
          <w:rFonts w:eastAsiaTheme="minorEastAsia" w:cs="Calibri"/>
          <w:szCs w:val="18"/>
          <w:lang w:eastAsia="en-GB"/>
        </w:rPr>
        <w:t xml:space="preserve"> </w:t>
      </w:r>
      <w:r w:rsidRPr="00863310">
        <w:rPr>
          <w:rFonts w:eastAsia="Segoe UI" w:cs="Calibri"/>
          <w:szCs w:val="18"/>
          <w:lang w:eastAsia="en-GB"/>
        </w:rPr>
        <w:t>–</w:t>
      </w:r>
      <w:r w:rsidRPr="00863310">
        <w:rPr>
          <w:rFonts w:eastAsiaTheme="minorEastAsia" w:cs="Calibri"/>
          <w:szCs w:val="18"/>
          <w:lang w:eastAsia="en-GB"/>
        </w:rPr>
        <w:t xml:space="preserve"> The evaluation will provide a high-level assessment on the results of approaches to food security and livelihoods under the Ethiopia and Kenya activations. There will be some limitations connected to timeframes, noting that only one project will be finished and two will still be underway when the evaluation is completed. It is not expected that this evaluation will provide an overall evaluative assessment of each of the three AHP projects in Ethiopia and Kenya as they also involve broader sectors that will not be evaluated (i.e. WASH, protection).  Within these limitations, the evaluation will help AHP present high quality and credible evidence of realised and likely impacts on FSL to DFAT and stakeholders.</w:t>
      </w:r>
    </w:p>
    <w:p w14:paraId="354D37C9"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The thematic evaluation will provide a touchstone of AHP work on food security and livelihoods, shining a spotlight on the challenges, as well as useful insights and valuable recommendations to address challenges more systematically.  </w:t>
      </w:r>
    </w:p>
    <w:p w14:paraId="6E61E0F9"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The AHP Ethiopia and Kenya responses share the following components on FSL, which will be the focus of this evaluation:  </w:t>
      </w:r>
    </w:p>
    <w:p w14:paraId="244BAEEF" w14:textId="77777777" w:rsidR="00514F4A" w:rsidRDefault="001D4E15" w:rsidP="00D41C74">
      <w:pPr>
        <w:pStyle w:val="ListParagraph"/>
        <w:numPr>
          <w:ilvl w:val="0"/>
          <w:numId w:val="80"/>
        </w:numPr>
        <w:spacing w:after="120"/>
        <w:ind w:right="58"/>
        <w:rPr>
          <w:rFonts w:cs="Calibri"/>
          <w:szCs w:val="18"/>
        </w:rPr>
      </w:pPr>
      <w:r w:rsidRPr="00514F4A">
        <w:rPr>
          <w:rFonts w:cs="Calibri"/>
          <w:szCs w:val="18"/>
        </w:rPr>
        <w:t xml:space="preserve">Emergency nutrition interventions to targeted affected populations including children under five years of age and pregnant and lactating women. </w:t>
      </w:r>
    </w:p>
    <w:p w14:paraId="56460FFE" w14:textId="77777777" w:rsidR="00514F4A" w:rsidRDefault="001D4E15" w:rsidP="00D41C74">
      <w:pPr>
        <w:pStyle w:val="ListParagraph"/>
        <w:numPr>
          <w:ilvl w:val="0"/>
          <w:numId w:val="80"/>
        </w:numPr>
        <w:spacing w:after="120"/>
        <w:ind w:right="58"/>
        <w:rPr>
          <w:rFonts w:cs="Calibri"/>
          <w:szCs w:val="18"/>
        </w:rPr>
      </w:pPr>
      <w:r w:rsidRPr="00514F4A">
        <w:rPr>
          <w:rFonts w:cs="Calibri"/>
          <w:szCs w:val="18"/>
        </w:rPr>
        <w:t xml:space="preserve">Cash assistance transfers to support immediate needs, food security and livelihoods. </w:t>
      </w:r>
    </w:p>
    <w:p w14:paraId="13D5AB8B" w14:textId="38455120" w:rsidR="00315466" w:rsidRPr="00514F4A" w:rsidRDefault="001D4E15" w:rsidP="00D41C74">
      <w:pPr>
        <w:pStyle w:val="ListParagraph"/>
        <w:numPr>
          <w:ilvl w:val="0"/>
          <w:numId w:val="80"/>
        </w:numPr>
        <w:spacing w:after="120"/>
        <w:ind w:right="58"/>
        <w:rPr>
          <w:rFonts w:cs="Calibri"/>
          <w:szCs w:val="18"/>
        </w:rPr>
      </w:pPr>
      <w:r w:rsidRPr="00514F4A">
        <w:rPr>
          <w:rFonts w:cs="Calibri"/>
          <w:szCs w:val="18"/>
        </w:rPr>
        <w:t xml:space="preserve">The provision of agricultural inputs and cash for work activities to enhance incomes and improve families access to nutritious food in drought-affected areas. </w:t>
      </w:r>
    </w:p>
    <w:p w14:paraId="0722BC1B" w14:textId="77777777" w:rsidR="00315466" w:rsidRPr="00A4536F" w:rsidRDefault="001D4E15">
      <w:pPr>
        <w:spacing w:before="0" w:after="120"/>
        <w:ind w:left="-5" w:right="58"/>
        <w:rPr>
          <w:rFonts w:cs="Calibri"/>
          <w:b/>
          <w:bCs/>
          <w:color w:val="auto"/>
          <w:szCs w:val="18"/>
        </w:rPr>
      </w:pPr>
      <w:r w:rsidRPr="00A4536F">
        <w:rPr>
          <w:rFonts w:cs="Calibri"/>
          <w:b/>
          <w:bCs/>
          <w:color w:val="auto"/>
          <w:szCs w:val="18"/>
        </w:rPr>
        <w:t xml:space="preserve">Evaluation users </w:t>
      </w:r>
    </w:p>
    <w:p w14:paraId="5A971729" w14:textId="77777777" w:rsidR="00315466" w:rsidRPr="00A4536F" w:rsidRDefault="001D4E15">
      <w:pPr>
        <w:spacing w:before="0" w:after="120"/>
        <w:ind w:left="-5" w:right="58"/>
        <w:rPr>
          <w:rFonts w:cs="Calibri"/>
          <w:color w:val="auto"/>
          <w:szCs w:val="18"/>
        </w:rPr>
      </w:pPr>
      <w:r w:rsidRPr="00A4536F">
        <w:rPr>
          <w:rFonts w:eastAsia="Segoe UI" w:cs="Calibri"/>
          <w:color w:val="auto"/>
          <w:szCs w:val="18"/>
        </w:rPr>
        <w:t>Primary users will include the Australian Government’s Department of Foreign Affairs and Trade</w:t>
      </w:r>
      <w:r w:rsidRPr="00A4536F">
        <w:rPr>
          <w:rFonts w:cs="Calibri"/>
          <w:color w:val="auto"/>
          <w:szCs w:val="18"/>
        </w:rPr>
        <w:t xml:space="preserve"> (DFAT) and the six AHP ANGO partners. Secondary users include the broader humanitarian sector.  </w:t>
      </w:r>
    </w:p>
    <w:p w14:paraId="18D0DDE7"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EVALUATION CRITERIA </w:t>
      </w:r>
    </w:p>
    <w:p w14:paraId="1FDD941A" w14:textId="77777777" w:rsidR="00315466" w:rsidRPr="00A4536F" w:rsidRDefault="001D4E15">
      <w:pPr>
        <w:spacing w:before="0" w:after="120"/>
        <w:ind w:left="-6" w:right="57" w:hanging="11"/>
        <w:rPr>
          <w:rFonts w:cs="Calibri"/>
          <w:color w:val="auto"/>
          <w:szCs w:val="18"/>
        </w:rPr>
      </w:pPr>
      <w:r w:rsidRPr="00A4536F">
        <w:rPr>
          <w:rFonts w:cs="Calibri"/>
          <w:color w:val="auto"/>
          <w:szCs w:val="18"/>
        </w:rPr>
        <w:t xml:space="preserve">The evaluation will assess the impact, relevance, coherence, effectiveness and efficiency and sustainability of the activations in Ethiopia and Kenya.  </w:t>
      </w:r>
    </w:p>
    <w:p w14:paraId="1287713B" w14:textId="77777777" w:rsidR="00315466" w:rsidRPr="00A4536F" w:rsidRDefault="001D4E15">
      <w:pPr>
        <w:spacing w:before="0" w:after="120"/>
        <w:ind w:left="-6" w:right="57" w:hanging="11"/>
        <w:rPr>
          <w:rFonts w:cs="Calibri"/>
          <w:color w:val="auto"/>
          <w:szCs w:val="18"/>
        </w:rPr>
      </w:pPr>
      <w:r w:rsidRPr="00A4536F">
        <w:rPr>
          <w:rFonts w:cs="Calibri"/>
          <w:color w:val="auto"/>
          <w:szCs w:val="18"/>
        </w:rPr>
        <w:t xml:space="preserve">Impact and effectiveness criteria will be dealt with in the greatest depth due to the thematic nature of the evaluation and </w:t>
      </w:r>
      <w:r w:rsidRPr="00A4536F">
        <w:rPr>
          <w:rFonts w:eastAsia="Segoe UI" w:cs="Calibri"/>
          <w:color w:val="auto"/>
          <w:szCs w:val="18"/>
        </w:rPr>
        <w:t>it’s cross</w:t>
      </w:r>
      <w:r w:rsidRPr="00A4536F">
        <w:rPr>
          <w:rFonts w:cs="Calibri"/>
          <w:color w:val="auto"/>
          <w:szCs w:val="18"/>
        </w:rPr>
        <w:t xml:space="preserve">-cutting focus. The evaluation will use a food security and livelihoods lens, putting more focus on strategic lessons for </w:t>
      </w:r>
      <w:r w:rsidRPr="00A4536F">
        <w:rPr>
          <w:rFonts w:eastAsia="Segoe UI" w:cs="Calibri"/>
          <w:color w:val="auto"/>
          <w:szCs w:val="18"/>
        </w:rPr>
        <w:t>future interventions and developing evidence of what worked and what didn’t work and why</w:t>
      </w:r>
      <w:r w:rsidRPr="00A4536F">
        <w:rPr>
          <w:rFonts w:cs="Calibri"/>
          <w:color w:val="auto"/>
          <w:szCs w:val="18"/>
        </w:rPr>
        <w:t xml:space="preserve">. It will however touch upon the synergies between the FSL interventions and other interventions (i.e. WASH, protection) in the activations.  </w:t>
      </w:r>
    </w:p>
    <w:p w14:paraId="572FDB9F" w14:textId="77777777" w:rsidR="00514F4A" w:rsidRDefault="001D4E15" w:rsidP="00514F4A">
      <w:pPr>
        <w:spacing w:before="0" w:after="120"/>
        <w:ind w:left="-5" w:right="58"/>
        <w:rPr>
          <w:rFonts w:cs="Calibri"/>
          <w:color w:val="auto"/>
          <w:szCs w:val="18"/>
        </w:rPr>
      </w:pPr>
      <w:r w:rsidRPr="00A4536F">
        <w:rPr>
          <w:rFonts w:cs="Calibri"/>
          <w:color w:val="auto"/>
          <w:szCs w:val="18"/>
        </w:rPr>
        <w:t>All AHP evaluations also investigate four common cross-cutting issues:</w:t>
      </w:r>
    </w:p>
    <w:p w14:paraId="009A2B0C" w14:textId="77777777" w:rsidR="00514F4A" w:rsidRDefault="001D4E15" w:rsidP="00D41C74">
      <w:pPr>
        <w:pStyle w:val="ListParagraph"/>
        <w:numPr>
          <w:ilvl w:val="0"/>
          <w:numId w:val="44"/>
        </w:numPr>
        <w:spacing w:after="120"/>
        <w:ind w:right="58"/>
        <w:rPr>
          <w:rFonts w:cs="Calibri"/>
          <w:szCs w:val="18"/>
        </w:rPr>
      </w:pPr>
      <w:r w:rsidRPr="00514F4A">
        <w:rPr>
          <w:rFonts w:cs="Calibri"/>
          <w:b/>
          <w:bCs/>
          <w:szCs w:val="18"/>
        </w:rPr>
        <w:t xml:space="preserve">inclusion </w:t>
      </w:r>
      <w:r w:rsidRPr="00514F4A">
        <w:rPr>
          <w:rFonts w:cs="Calibri"/>
          <w:szCs w:val="18"/>
        </w:rPr>
        <w:t xml:space="preserve">– the inclusion of marginalised populations including women, people with a disability, SOGIESC communities and those affected by other social disadvantage including related to age and ethnic </w:t>
      </w:r>
      <w:proofErr w:type="gramStart"/>
      <w:r w:rsidRPr="00514F4A">
        <w:rPr>
          <w:rFonts w:cs="Calibri"/>
          <w:szCs w:val="18"/>
        </w:rPr>
        <w:t>minority</w:t>
      </w:r>
      <w:proofErr w:type="gramEnd"/>
      <w:r w:rsidRPr="00514F4A">
        <w:rPr>
          <w:rFonts w:cs="Calibri"/>
          <w:szCs w:val="18"/>
        </w:rPr>
        <w:t xml:space="preserve"> </w:t>
      </w:r>
    </w:p>
    <w:p w14:paraId="20DD4E08" w14:textId="77777777" w:rsidR="00514F4A" w:rsidRDefault="001D4E15" w:rsidP="00D41C74">
      <w:pPr>
        <w:pStyle w:val="ListParagraph"/>
        <w:numPr>
          <w:ilvl w:val="0"/>
          <w:numId w:val="44"/>
        </w:numPr>
        <w:spacing w:after="120"/>
        <w:ind w:right="58"/>
        <w:rPr>
          <w:rFonts w:cs="Calibri"/>
          <w:szCs w:val="18"/>
        </w:rPr>
      </w:pPr>
      <w:r w:rsidRPr="00514F4A">
        <w:rPr>
          <w:rFonts w:cs="Calibri"/>
          <w:b/>
          <w:bCs/>
          <w:szCs w:val="18"/>
        </w:rPr>
        <w:t>accountability to affected populations (AAP)</w:t>
      </w:r>
      <w:r w:rsidRPr="00514F4A">
        <w:rPr>
          <w:rFonts w:cs="Calibri"/>
          <w:szCs w:val="18"/>
        </w:rPr>
        <w:t xml:space="preserve"> – including safe and responsive feedback mechanisms, the sharing of information and the genuine participation of affected populations in activity design, </w:t>
      </w:r>
      <w:proofErr w:type="gramStart"/>
      <w:r w:rsidRPr="00514F4A">
        <w:rPr>
          <w:rFonts w:cs="Calibri"/>
          <w:szCs w:val="18"/>
        </w:rPr>
        <w:t>implementation</w:t>
      </w:r>
      <w:proofErr w:type="gramEnd"/>
      <w:r w:rsidRPr="00514F4A">
        <w:rPr>
          <w:rFonts w:cs="Calibri"/>
          <w:szCs w:val="18"/>
        </w:rPr>
        <w:t xml:space="preserve"> and review.</w:t>
      </w:r>
    </w:p>
    <w:p w14:paraId="060F5A13" w14:textId="77777777" w:rsidR="00514F4A" w:rsidRDefault="001D4E15" w:rsidP="00D41C74">
      <w:pPr>
        <w:pStyle w:val="ListParagraph"/>
        <w:numPr>
          <w:ilvl w:val="0"/>
          <w:numId w:val="44"/>
        </w:numPr>
        <w:spacing w:after="120"/>
        <w:ind w:right="58"/>
        <w:rPr>
          <w:rFonts w:cs="Calibri"/>
          <w:szCs w:val="18"/>
        </w:rPr>
      </w:pPr>
      <w:r w:rsidRPr="00514F4A">
        <w:rPr>
          <w:rFonts w:cs="Calibri"/>
          <w:b/>
          <w:bCs/>
          <w:szCs w:val="18"/>
        </w:rPr>
        <w:lastRenderedPageBreak/>
        <w:t>localisation</w:t>
      </w:r>
      <w:r w:rsidRPr="00514F4A">
        <w:rPr>
          <w:rFonts w:cs="Calibri"/>
          <w:szCs w:val="18"/>
        </w:rPr>
        <w:t xml:space="preserve"> – defined as recognising, </w:t>
      </w:r>
      <w:proofErr w:type="gramStart"/>
      <w:r w:rsidRPr="00514F4A">
        <w:rPr>
          <w:rFonts w:cs="Calibri"/>
          <w:szCs w:val="18"/>
        </w:rPr>
        <w:t>respecting</w:t>
      </w:r>
      <w:proofErr w:type="gramEnd"/>
      <w:r w:rsidRPr="00514F4A">
        <w:rPr>
          <w:rFonts w:cs="Calibri"/>
          <w:szCs w:val="18"/>
        </w:rPr>
        <w:t xml:space="preserve"> and strengthening leadership and decision-making by national and local actors in humanitarian action, in order to better address the needs of affected populations</w:t>
      </w:r>
      <w:r w:rsidRPr="00A4536F">
        <w:rPr>
          <w:vertAlign w:val="superscript"/>
        </w:rPr>
        <w:footnoteReference w:id="22"/>
      </w:r>
    </w:p>
    <w:p w14:paraId="2595FF02" w14:textId="0B779803" w:rsidR="00315466" w:rsidRPr="00514F4A" w:rsidRDefault="001D4E15" w:rsidP="00D41C74">
      <w:pPr>
        <w:pStyle w:val="ListParagraph"/>
        <w:numPr>
          <w:ilvl w:val="0"/>
          <w:numId w:val="44"/>
        </w:numPr>
        <w:spacing w:after="120"/>
        <w:ind w:right="58"/>
        <w:rPr>
          <w:rFonts w:cs="Calibri"/>
          <w:szCs w:val="18"/>
        </w:rPr>
      </w:pPr>
      <w:r w:rsidRPr="00514F4A">
        <w:rPr>
          <w:rFonts w:cs="Calibri"/>
          <w:b/>
          <w:bCs/>
          <w:szCs w:val="18"/>
        </w:rPr>
        <w:t>climate change</w:t>
      </w:r>
      <w:r w:rsidRPr="00514F4A">
        <w:rPr>
          <w:rFonts w:cs="Calibri"/>
          <w:szCs w:val="18"/>
        </w:rPr>
        <w:t xml:space="preserve"> –climate change adaptation is the ability to adjust to climate change to minimise potential impacts, take advantage of opportunities or to cope with the consequences</w:t>
      </w:r>
      <w:r w:rsidRPr="00A4536F">
        <w:rPr>
          <w:vertAlign w:val="superscript"/>
        </w:rPr>
        <w:footnoteReference w:id="23"/>
      </w:r>
      <w:r w:rsidRPr="00514F4A">
        <w:rPr>
          <w:rFonts w:cs="Calibri"/>
          <w:szCs w:val="18"/>
        </w:rPr>
        <w:t xml:space="preserve">.  </w:t>
      </w:r>
    </w:p>
    <w:p w14:paraId="5FA1BEDE" w14:textId="3BE5F049" w:rsidR="00315466" w:rsidRPr="00A4536F" w:rsidRDefault="001D4E15" w:rsidP="00276955">
      <w:pPr>
        <w:spacing w:before="0" w:after="120"/>
        <w:ind w:left="-5" w:right="58"/>
        <w:rPr>
          <w:rFonts w:cs="Calibri"/>
          <w:b/>
          <w:bCs/>
          <w:color w:val="auto"/>
          <w:szCs w:val="18"/>
        </w:rPr>
      </w:pPr>
      <w:r w:rsidRPr="00A4536F">
        <w:rPr>
          <w:rFonts w:cs="Calibri"/>
          <w:color w:val="auto"/>
          <w:szCs w:val="18"/>
        </w:rPr>
        <w:t xml:space="preserve"> </w:t>
      </w:r>
      <w:r w:rsidRPr="00A4536F">
        <w:rPr>
          <w:rFonts w:cs="Calibri"/>
          <w:b/>
          <w:bCs/>
          <w:color w:val="auto"/>
          <w:szCs w:val="18"/>
        </w:rPr>
        <w:t xml:space="preserve">EVALUATION QUESTIONS </w:t>
      </w:r>
    </w:p>
    <w:p w14:paraId="53DC13F2" w14:textId="4C2EE241" w:rsidR="00276955" w:rsidRPr="00A4536F" w:rsidRDefault="001D4E15" w:rsidP="00BB3AC5">
      <w:pPr>
        <w:spacing w:before="0" w:after="120"/>
        <w:ind w:left="-5" w:right="58"/>
        <w:rPr>
          <w:rFonts w:cs="Calibri"/>
          <w:color w:val="auto"/>
          <w:szCs w:val="18"/>
        </w:rPr>
      </w:pPr>
      <w:r w:rsidRPr="00A4536F">
        <w:rPr>
          <w:rFonts w:cs="Calibri"/>
          <w:color w:val="auto"/>
          <w:szCs w:val="18"/>
        </w:rPr>
        <w:t xml:space="preserve">The following key questions provide a guide for the evaluation. They will be further developed/revised by the evaluation team during the inception phase.  </w:t>
      </w:r>
    </w:p>
    <w:tbl>
      <w:tblPr>
        <w:tblStyle w:val="GridTable4-Accent11"/>
        <w:tblW w:w="9351" w:type="dxa"/>
        <w:tblLook w:val="04A0" w:firstRow="1" w:lastRow="0" w:firstColumn="1" w:lastColumn="0" w:noHBand="0" w:noVBand="1"/>
      </w:tblPr>
      <w:tblGrid>
        <w:gridCol w:w="1659"/>
        <w:gridCol w:w="7692"/>
      </w:tblGrid>
      <w:tr w:rsidR="00090EFB" w:rsidRPr="00A4536F" w14:paraId="11A30D2E" w14:textId="77777777" w:rsidTr="002E7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shd w:val="clear" w:color="auto" w:fill="FFFFFF" w:themeFill="background1"/>
          </w:tcPr>
          <w:p w14:paraId="19332C10" w14:textId="77777777" w:rsidR="00315466" w:rsidRPr="00A4536F" w:rsidRDefault="001D4E15">
            <w:pPr>
              <w:spacing w:before="0" w:after="120"/>
              <w:ind w:right="58"/>
              <w:rPr>
                <w:rFonts w:cs="Calibri"/>
                <w:b w:val="0"/>
                <w:bCs w:val="0"/>
                <w:color w:val="auto"/>
                <w:szCs w:val="18"/>
              </w:rPr>
            </w:pPr>
            <w:r w:rsidRPr="00A4536F">
              <w:rPr>
                <w:rFonts w:eastAsia="Segoe UI" w:cs="Calibri"/>
                <w:color w:val="auto"/>
                <w:szCs w:val="18"/>
              </w:rPr>
              <w:t xml:space="preserve">Criteria </w:t>
            </w:r>
          </w:p>
        </w:tc>
        <w:tc>
          <w:tcPr>
            <w:tcW w:w="7692" w:type="dxa"/>
            <w:shd w:val="clear" w:color="auto" w:fill="FFFFFF" w:themeFill="background1"/>
          </w:tcPr>
          <w:p w14:paraId="5B2E1330" w14:textId="77777777" w:rsidR="00315466" w:rsidRPr="00A4536F" w:rsidRDefault="001D4E15">
            <w:pPr>
              <w:spacing w:before="0" w:after="120"/>
              <w:ind w:right="58"/>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A4536F">
              <w:rPr>
                <w:rFonts w:eastAsia="Segoe UI" w:cs="Calibri"/>
                <w:color w:val="auto"/>
                <w:szCs w:val="18"/>
              </w:rPr>
              <w:t xml:space="preserve">Key Evaluation Questions </w:t>
            </w:r>
          </w:p>
        </w:tc>
      </w:tr>
      <w:tr w:rsidR="00090EFB" w:rsidRPr="00A4536F" w14:paraId="75C4B121" w14:textId="77777777" w:rsidTr="002E7B6C">
        <w:tc>
          <w:tcPr>
            <w:cnfStyle w:val="001000000000" w:firstRow="0" w:lastRow="0" w:firstColumn="1" w:lastColumn="0" w:oddVBand="0" w:evenVBand="0" w:oddHBand="0" w:evenHBand="0" w:firstRowFirstColumn="0" w:firstRowLastColumn="0" w:lastRowFirstColumn="0" w:lastRowLastColumn="0"/>
            <w:tcW w:w="1659" w:type="dxa"/>
          </w:tcPr>
          <w:p w14:paraId="373D510A" w14:textId="77777777" w:rsidR="00315466" w:rsidRPr="00A4536F" w:rsidRDefault="001D4E15">
            <w:pPr>
              <w:spacing w:before="0" w:after="120"/>
              <w:ind w:right="58"/>
              <w:rPr>
                <w:rFonts w:cs="Calibri"/>
                <w:b w:val="0"/>
                <w:bCs w:val="0"/>
                <w:color w:val="auto"/>
                <w:szCs w:val="18"/>
              </w:rPr>
            </w:pPr>
            <w:r w:rsidRPr="00A4536F">
              <w:rPr>
                <w:rFonts w:cs="Calibri"/>
                <w:color w:val="auto"/>
                <w:szCs w:val="18"/>
              </w:rPr>
              <w:t xml:space="preserve">Relevance </w:t>
            </w:r>
          </w:p>
        </w:tc>
        <w:tc>
          <w:tcPr>
            <w:tcW w:w="7692" w:type="dxa"/>
          </w:tcPr>
          <w:p w14:paraId="465AB05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Were the intended participants of the FSL interventions reached with the right mix of assistance to meet their needs?  </w:t>
            </w:r>
          </w:p>
          <w:p w14:paraId="202CE7C8" w14:textId="77777777" w:rsidR="00315466" w:rsidRPr="00A4536F" w:rsidRDefault="001D4E15">
            <w:pPr>
              <w:spacing w:before="0" w:after="120"/>
              <w:ind w:right="5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Segoe UI Symbol" w:cs="Calibri"/>
                <w:color w:val="auto"/>
                <w:szCs w:val="18"/>
              </w:rPr>
              <w:t>•</w:t>
            </w:r>
            <w:r w:rsidRPr="00A4536F">
              <w:rPr>
                <w:rFonts w:eastAsia="Arial" w:cs="Calibri"/>
                <w:color w:val="auto"/>
                <w:szCs w:val="18"/>
              </w:rPr>
              <w:t xml:space="preserve"> </w:t>
            </w:r>
            <w:r w:rsidRPr="00A4536F">
              <w:rPr>
                <w:rFonts w:cs="Calibri"/>
                <w:color w:val="auto"/>
                <w:szCs w:val="18"/>
              </w:rPr>
              <w:t>In what ways were the interventions able to adapt to any changes in context?</w:t>
            </w:r>
            <w:r w:rsidRPr="00A4536F">
              <w:rPr>
                <w:rFonts w:eastAsia="Calibri" w:cs="Calibri"/>
                <w:color w:val="auto"/>
                <w:szCs w:val="18"/>
              </w:rPr>
              <w:t xml:space="preserve"> </w:t>
            </w:r>
          </w:p>
        </w:tc>
      </w:tr>
      <w:tr w:rsidR="00090EFB" w:rsidRPr="00A4536F" w14:paraId="5A90557E" w14:textId="77777777" w:rsidTr="002E7B6C">
        <w:tc>
          <w:tcPr>
            <w:cnfStyle w:val="001000000000" w:firstRow="0" w:lastRow="0" w:firstColumn="1" w:lastColumn="0" w:oddVBand="0" w:evenVBand="0" w:oddHBand="0" w:evenHBand="0" w:firstRowFirstColumn="0" w:firstRowLastColumn="0" w:lastRowFirstColumn="0" w:lastRowLastColumn="0"/>
            <w:tcW w:w="1659" w:type="dxa"/>
          </w:tcPr>
          <w:p w14:paraId="15CC3826" w14:textId="77777777" w:rsidR="00315466" w:rsidRPr="00A4536F" w:rsidRDefault="001D4E15">
            <w:pPr>
              <w:spacing w:before="0" w:after="120"/>
              <w:ind w:right="58"/>
              <w:rPr>
                <w:rFonts w:cs="Calibri"/>
                <w:b w:val="0"/>
                <w:bCs w:val="0"/>
                <w:color w:val="auto"/>
                <w:szCs w:val="18"/>
              </w:rPr>
            </w:pPr>
            <w:r w:rsidRPr="00A4536F">
              <w:rPr>
                <w:rFonts w:cs="Calibri"/>
                <w:color w:val="auto"/>
                <w:szCs w:val="18"/>
              </w:rPr>
              <w:t xml:space="preserve">Coherence </w:t>
            </w:r>
          </w:p>
        </w:tc>
        <w:tc>
          <w:tcPr>
            <w:tcW w:w="7692" w:type="dxa"/>
          </w:tcPr>
          <w:p w14:paraId="5692D8B4" w14:textId="77777777" w:rsidR="00315466" w:rsidRPr="00A4536F" w:rsidRDefault="001D4E15">
            <w:pPr>
              <w:spacing w:before="0" w:after="120"/>
              <w:ind w:right="5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To what extent did the interventions coordinate with relevant </w:t>
            </w:r>
            <w:proofErr w:type="spellStart"/>
            <w:r w:rsidRPr="00A4536F">
              <w:rPr>
                <w:rFonts w:cs="Calibri"/>
                <w:color w:val="auto"/>
                <w:szCs w:val="18"/>
              </w:rPr>
              <w:t>actors</w:t>
            </w:r>
            <w:proofErr w:type="spellEnd"/>
            <w:r w:rsidRPr="00A4536F">
              <w:rPr>
                <w:rFonts w:cs="Calibri"/>
                <w:color w:val="auto"/>
                <w:szCs w:val="18"/>
              </w:rPr>
              <w:t xml:space="preserve"> such as humanitarian coordination platforms and relevant clusters? </w:t>
            </w:r>
          </w:p>
        </w:tc>
      </w:tr>
      <w:tr w:rsidR="00090EFB" w:rsidRPr="00A4536F" w14:paraId="3F64C693" w14:textId="77777777" w:rsidTr="002E7B6C">
        <w:tc>
          <w:tcPr>
            <w:cnfStyle w:val="001000000000" w:firstRow="0" w:lastRow="0" w:firstColumn="1" w:lastColumn="0" w:oddVBand="0" w:evenVBand="0" w:oddHBand="0" w:evenHBand="0" w:firstRowFirstColumn="0" w:firstRowLastColumn="0" w:lastRowFirstColumn="0" w:lastRowLastColumn="0"/>
            <w:tcW w:w="1659" w:type="dxa"/>
          </w:tcPr>
          <w:p w14:paraId="6E2CB663" w14:textId="77777777" w:rsidR="00315466" w:rsidRPr="00A4536F" w:rsidRDefault="001D4E15">
            <w:pPr>
              <w:spacing w:before="0" w:after="120"/>
              <w:ind w:right="58"/>
              <w:rPr>
                <w:rFonts w:cs="Calibri"/>
                <w:b w:val="0"/>
                <w:bCs w:val="0"/>
                <w:color w:val="auto"/>
                <w:szCs w:val="18"/>
              </w:rPr>
            </w:pPr>
            <w:r w:rsidRPr="00A4536F">
              <w:rPr>
                <w:rFonts w:cs="Calibri"/>
                <w:color w:val="auto"/>
                <w:szCs w:val="18"/>
              </w:rPr>
              <w:t xml:space="preserve">Effectiveness </w:t>
            </w:r>
          </w:p>
        </w:tc>
        <w:tc>
          <w:tcPr>
            <w:tcW w:w="7692" w:type="dxa"/>
          </w:tcPr>
          <w:p w14:paraId="445DD838" w14:textId="77777777" w:rsidR="00315466" w:rsidRPr="00A4536F" w:rsidRDefault="001D4E15">
            <w:pPr>
              <w:spacing w:before="0" w:after="120"/>
              <w:ind w:left="5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Did the FSL interventions deliver results for women and girls, </w:t>
            </w:r>
            <w:proofErr w:type="gramStart"/>
            <w:r w:rsidRPr="00A4536F">
              <w:rPr>
                <w:rFonts w:cs="Calibri"/>
                <w:color w:val="auto"/>
                <w:szCs w:val="18"/>
              </w:rPr>
              <w:t>men</w:t>
            </w:r>
            <w:proofErr w:type="gramEnd"/>
            <w:r w:rsidRPr="00A4536F">
              <w:rPr>
                <w:rFonts w:cs="Calibri"/>
                <w:color w:val="auto"/>
                <w:szCs w:val="18"/>
              </w:rPr>
              <w:t xml:space="preserve"> and boys?  </w:t>
            </w:r>
          </w:p>
          <w:p w14:paraId="5F3CB7AE" w14:textId="77777777" w:rsidR="00315466" w:rsidRPr="00A4536F" w:rsidRDefault="001D4E15" w:rsidP="00D41C74">
            <w:pPr>
              <w:pStyle w:val="ListParagraph"/>
              <w:numPr>
                <w:ilvl w:val="0"/>
                <w:numId w:val="45"/>
              </w:numPr>
              <w:spacing w:after="120"/>
              <w:cnfStyle w:val="000000000000" w:firstRow="0" w:lastRow="0" w:firstColumn="0" w:lastColumn="0" w:oddVBand="0" w:evenVBand="0" w:oddHBand="0" w:evenHBand="0" w:firstRowFirstColumn="0" w:firstRowLastColumn="0" w:lastRowFirstColumn="0" w:lastRowLastColumn="0"/>
              <w:rPr>
                <w:rFonts w:ascii="Verdana" w:hAnsi="Verdana" w:cs="Calibri"/>
                <w:sz w:val="18"/>
                <w:szCs w:val="18"/>
              </w:rPr>
            </w:pPr>
            <w:r w:rsidRPr="00A4536F">
              <w:rPr>
                <w:rFonts w:ascii="Verdana" w:hAnsi="Verdana" w:cs="Calibri"/>
                <w:sz w:val="18"/>
                <w:szCs w:val="18"/>
              </w:rPr>
              <w:t xml:space="preserve">To what extent were there differential results for marginalised groups, including women and girls and people with disabilities? </w:t>
            </w:r>
          </w:p>
          <w:p w14:paraId="375F7829" w14:textId="77777777" w:rsidR="00315466" w:rsidRPr="00A4536F" w:rsidRDefault="001D4E15" w:rsidP="00D41C74">
            <w:pPr>
              <w:pStyle w:val="ListParagraph"/>
              <w:numPr>
                <w:ilvl w:val="0"/>
                <w:numId w:val="45"/>
              </w:numPr>
              <w:spacing w:after="120"/>
              <w:cnfStyle w:val="000000000000" w:firstRow="0" w:lastRow="0" w:firstColumn="0" w:lastColumn="0" w:oddVBand="0" w:evenVBand="0" w:oddHBand="0" w:evenHBand="0" w:firstRowFirstColumn="0" w:firstRowLastColumn="0" w:lastRowFirstColumn="0" w:lastRowLastColumn="0"/>
              <w:rPr>
                <w:rFonts w:ascii="Verdana" w:hAnsi="Verdana" w:cs="Calibri"/>
                <w:sz w:val="18"/>
                <w:szCs w:val="18"/>
              </w:rPr>
            </w:pPr>
            <w:r w:rsidRPr="00A4536F">
              <w:rPr>
                <w:rFonts w:ascii="Verdana" w:hAnsi="Verdana" w:cs="Calibri"/>
                <w:sz w:val="18"/>
                <w:szCs w:val="18"/>
              </w:rPr>
              <w:t xml:space="preserve">What barriers and enablers influenced progress in achieving the FSL outcomes/objectives of the intervention (for example socio-cultural factors, Programme implementation approaches, government policy)? </w:t>
            </w:r>
          </w:p>
          <w:p w14:paraId="64919096" w14:textId="77777777" w:rsidR="00315466" w:rsidRPr="00A4536F" w:rsidRDefault="001D4E15" w:rsidP="00D41C74">
            <w:pPr>
              <w:pStyle w:val="ListParagraph"/>
              <w:numPr>
                <w:ilvl w:val="0"/>
                <w:numId w:val="45"/>
              </w:numPr>
              <w:spacing w:after="120"/>
              <w:ind w:right="58"/>
              <w:cnfStyle w:val="000000000000" w:firstRow="0" w:lastRow="0" w:firstColumn="0" w:lastColumn="0" w:oddVBand="0" w:evenVBand="0" w:oddHBand="0" w:evenHBand="0" w:firstRowFirstColumn="0" w:firstRowLastColumn="0" w:lastRowFirstColumn="0" w:lastRowLastColumn="0"/>
              <w:rPr>
                <w:rFonts w:ascii="Verdana" w:hAnsi="Verdana" w:cs="Calibri"/>
                <w:sz w:val="18"/>
                <w:szCs w:val="18"/>
              </w:rPr>
            </w:pPr>
            <w:r w:rsidRPr="00A4536F">
              <w:rPr>
                <w:rFonts w:ascii="Verdana" w:hAnsi="Verdana" w:cs="Calibri"/>
                <w:sz w:val="18"/>
                <w:szCs w:val="18"/>
              </w:rPr>
              <w:t xml:space="preserve">To what extent did the interventions provide adequate protection for drought-affected girls, women, </w:t>
            </w:r>
            <w:proofErr w:type="gramStart"/>
            <w:r w:rsidRPr="00A4536F">
              <w:rPr>
                <w:rFonts w:ascii="Verdana" w:hAnsi="Verdana" w:cs="Calibri"/>
                <w:sz w:val="18"/>
                <w:szCs w:val="18"/>
              </w:rPr>
              <w:t>boys</w:t>
            </w:r>
            <w:proofErr w:type="gramEnd"/>
            <w:r w:rsidRPr="00A4536F">
              <w:rPr>
                <w:rFonts w:ascii="Verdana" w:hAnsi="Verdana" w:cs="Calibri"/>
                <w:sz w:val="18"/>
                <w:szCs w:val="18"/>
              </w:rPr>
              <w:t xml:space="preserve"> and men through actions such as referral pathways, psycho-social support and other assistance? </w:t>
            </w:r>
          </w:p>
        </w:tc>
      </w:tr>
      <w:tr w:rsidR="00090EFB" w:rsidRPr="00A4536F" w14:paraId="04D105EE" w14:textId="77777777" w:rsidTr="002E7B6C">
        <w:tc>
          <w:tcPr>
            <w:cnfStyle w:val="001000000000" w:firstRow="0" w:lastRow="0" w:firstColumn="1" w:lastColumn="0" w:oddVBand="0" w:evenVBand="0" w:oddHBand="0" w:evenHBand="0" w:firstRowFirstColumn="0" w:firstRowLastColumn="0" w:lastRowFirstColumn="0" w:lastRowLastColumn="0"/>
            <w:tcW w:w="1659" w:type="dxa"/>
          </w:tcPr>
          <w:p w14:paraId="1822C774" w14:textId="77777777" w:rsidR="00315466" w:rsidRPr="00A4536F" w:rsidRDefault="001D4E15">
            <w:pPr>
              <w:spacing w:before="0" w:after="120"/>
              <w:ind w:right="58"/>
              <w:rPr>
                <w:rFonts w:cs="Calibri"/>
                <w:b w:val="0"/>
                <w:bCs w:val="0"/>
                <w:color w:val="auto"/>
                <w:szCs w:val="18"/>
              </w:rPr>
            </w:pPr>
            <w:r w:rsidRPr="00A4536F">
              <w:rPr>
                <w:rFonts w:cs="Calibri"/>
                <w:color w:val="auto"/>
                <w:szCs w:val="18"/>
              </w:rPr>
              <w:t xml:space="preserve">Efficiency </w:t>
            </w:r>
          </w:p>
        </w:tc>
        <w:tc>
          <w:tcPr>
            <w:tcW w:w="7692" w:type="dxa"/>
          </w:tcPr>
          <w:p w14:paraId="094A5CA6" w14:textId="77777777" w:rsidR="00315466" w:rsidRPr="00A4536F" w:rsidRDefault="001D4E15">
            <w:pPr>
              <w:spacing w:before="0" w:after="120"/>
              <w:ind w:right="5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To what extent were the FSL interventions delivered in an economic and timely way?  </w:t>
            </w:r>
          </w:p>
        </w:tc>
      </w:tr>
      <w:tr w:rsidR="00090EFB" w:rsidRPr="00A4536F" w14:paraId="62639563" w14:textId="77777777" w:rsidTr="002E7B6C">
        <w:tc>
          <w:tcPr>
            <w:cnfStyle w:val="001000000000" w:firstRow="0" w:lastRow="0" w:firstColumn="1" w:lastColumn="0" w:oddVBand="0" w:evenVBand="0" w:oddHBand="0" w:evenHBand="0" w:firstRowFirstColumn="0" w:firstRowLastColumn="0" w:lastRowFirstColumn="0" w:lastRowLastColumn="0"/>
            <w:tcW w:w="1659" w:type="dxa"/>
          </w:tcPr>
          <w:p w14:paraId="61DD22B9" w14:textId="77777777" w:rsidR="00315466" w:rsidRPr="00A4536F" w:rsidRDefault="001D4E15">
            <w:pPr>
              <w:spacing w:before="0" w:after="120"/>
              <w:ind w:right="58"/>
              <w:rPr>
                <w:rFonts w:cs="Calibri"/>
                <w:b w:val="0"/>
                <w:bCs w:val="0"/>
                <w:color w:val="auto"/>
                <w:szCs w:val="18"/>
              </w:rPr>
            </w:pPr>
            <w:r w:rsidRPr="00A4536F">
              <w:rPr>
                <w:rFonts w:cs="Calibri"/>
                <w:color w:val="auto"/>
                <w:szCs w:val="18"/>
              </w:rPr>
              <w:t xml:space="preserve">Impact </w:t>
            </w:r>
          </w:p>
        </w:tc>
        <w:tc>
          <w:tcPr>
            <w:tcW w:w="7692" w:type="dxa"/>
          </w:tcPr>
          <w:p w14:paraId="7B89F3F0" w14:textId="77777777" w:rsidR="00315466" w:rsidRPr="00A4536F" w:rsidRDefault="001D4E15">
            <w:pPr>
              <w:spacing w:before="0" w:after="120"/>
              <w:ind w:left="5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What are the medium-term effects of the FSL interventions on </w:t>
            </w:r>
            <w:r w:rsidRPr="00A4536F">
              <w:rPr>
                <w:rFonts w:eastAsia="Segoe UI" w:cs="Calibri"/>
                <w:color w:val="auto"/>
                <w:szCs w:val="18"/>
              </w:rPr>
              <w:t xml:space="preserve">participants’ </w:t>
            </w:r>
            <w:r w:rsidRPr="00A4536F">
              <w:rPr>
                <w:rFonts w:cs="Calibri"/>
                <w:color w:val="auto"/>
                <w:szCs w:val="18"/>
              </w:rPr>
              <w:t xml:space="preserve">lives?  </w:t>
            </w:r>
          </w:p>
          <w:p w14:paraId="76602B21" w14:textId="77777777" w:rsidR="00315466" w:rsidRPr="00A4536F" w:rsidRDefault="001D4E15" w:rsidP="00D41C74">
            <w:pPr>
              <w:pStyle w:val="ListParagraph"/>
              <w:numPr>
                <w:ilvl w:val="0"/>
                <w:numId w:val="46"/>
              </w:numPr>
              <w:spacing w:after="120"/>
              <w:ind w:right="58"/>
              <w:cnfStyle w:val="000000000000" w:firstRow="0" w:lastRow="0" w:firstColumn="0" w:lastColumn="0" w:oddVBand="0" w:evenVBand="0" w:oddHBand="0" w:evenHBand="0" w:firstRowFirstColumn="0" w:firstRowLastColumn="0" w:lastRowFirstColumn="0" w:lastRowLastColumn="0"/>
              <w:rPr>
                <w:rFonts w:ascii="Verdana" w:hAnsi="Verdana" w:cs="Calibri"/>
                <w:sz w:val="18"/>
                <w:szCs w:val="18"/>
              </w:rPr>
            </w:pPr>
            <w:r w:rsidRPr="00A4536F">
              <w:rPr>
                <w:rFonts w:ascii="Verdana" w:hAnsi="Verdana" w:cs="Calibri"/>
                <w:sz w:val="18"/>
                <w:szCs w:val="18"/>
              </w:rPr>
              <w:t xml:space="preserve">Have there been any unintended outcomes, either positive or negative, from the interventions? </w:t>
            </w:r>
          </w:p>
        </w:tc>
      </w:tr>
      <w:tr w:rsidR="00090EFB" w:rsidRPr="00A4536F" w14:paraId="29E84ECE" w14:textId="77777777" w:rsidTr="002E7B6C">
        <w:tc>
          <w:tcPr>
            <w:cnfStyle w:val="001000000000" w:firstRow="0" w:lastRow="0" w:firstColumn="1" w:lastColumn="0" w:oddVBand="0" w:evenVBand="0" w:oddHBand="0" w:evenHBand="0" w:firstRowFirstColumn="0" w:firstRowLastColumn="0" w:lastRowFirstColumn="0" w:lastRowLastColumn="0"/>
            <w:tcW w:w="1659" w:type="dxa"/>
          </w:tcPr>
          <w:p w14:paraId="2166CF4F" w14:textId="77777777" w:rsidR="00315466" w:rsidRPr="00A4536F" w:rsidRDefault="001D4E15">
            <w:pPr>
              <w:spacing w:before="0" w:after="120"/>
              <w:ind w:right="58"/>
              <w:rPr>
                <w:rFonts w:cs="Calibri"/>
                <w:b w:val="0"/>
                <w:bCs w:val="0"/>
                <w:color w:val="auto"/>
                <w:szCs w:val="18"/>
              </w:rPr>
            </w:pPr>
            <w:r w:rsidRPr="00A4536F">
              <w:rPr>
                <w:rFonts w:cs="Calibri"/>
                <w:color w:val="auto"/>
                <w:szCs w:val="18"/>
              </w:rPr>
              <w:t xml:space="preserve">Sustainability </w:t>
            </w:r>
          </w:p>
        </w:tc>
        <w:tc>
          <w:tcPr>
            <w:tcW w:w="7692" w:type="dxa"/>
          </w:tcPr>
          <w:p w14:paraId="002BC319" w14:textId="77777777" w:rsidR="00315466" w:rsidRPr="00A4536F" w:rsidRDefault="001D4E15">
            <w:pPr>
              <w:spacing w:before="0" w:after="120"/>
              <w:ind w:right="5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To what extent did the interventions successfully blend emergency response with livelihood and capacity building interventions to sustain impacts in the longer term? </w:t>
            </w:r>
          </w:p>
        </w:tc>
      </w:tr>
      <w:tr w:rsidR="00090EFB" w:rsidRPr="00A4536F" w14:paraId="5F1138C1" w14:textId="77777777" w:rsidTr="002E7B6C">
        <w:tc>
          <w:tcPr>
            <w:cnfStyle w:val="001000000000" w:firstRow="0" w:lastRow="0" w:firstColumn="1" w:lastColumn="0" w:oddVBand="0" w:evenVBand="0" w:oddHBand="0" w:evenHBand="0" w:firstRowFirstColumn="0" w:firstRowLastColumn="0" w:lastRowFirstColumn="0" w:lastRowLastColumn="0"/>
            <w:tcW w:w="1659" w:type="dxa"/>
          </w:tcPr>
          <w:p w14:paraId="5023FB92" w14:textId="77777777" w:rsidR="00315466" w:rsidRPr="00A4536F" w:rsidRDefault="001D4E15">
            <w:pPr>
              <w:spacing w:before="0" w:after="120"/>
              <w:ind w:right="58"/>
              <w:rPr>
                <w:rFonts w:cs="Calibri"/>
                <w:b w:val="0"/>
                <w:bCs w:val="0"/>
                <w:color w:val="auto"/>
                <w:szCs w:val="18"/>
              </w:rPr>
            </w:pPr>
            <w:r w:rsidRPr="00A4536F">
              <w:rPr>
                <w:rFonts w:cs="Calibri"/>
                <w:color w:val="auto"/>
                <w:szCs w:val="18"/>
              </w:rPr>
              <w:t xml:space="preserve">Synergies </w:t>
            </w:r>
          </w:p>
        </w:tc>
        <w:tc>
          <w:tcPr>
            <w:tcW w:w="7692" w:type="dxa"/>
          </w:tcPr>
          <w:p w14:paraId="0F76E3E3" w14:textId="77777777" w:rsidR="00315466" w:rsidRPr="00A4536F" w:rsidRDefault="001D4E15">
            <w:pPr>
              <w:spacing w:before="0" w:after="120"/>
              <w:ind w:right="5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How well did the other interventions in the Ethiopia and Kenya activations (i.e. WASH, protection) complement the FSL interventions? </w:t>
            </w:r>
          </w:p>
        </w:tc>
      </w:tr>
      <w:tr w:rsidR="00090EFB" w:rsidRPr="00A4536F" w14:paraId="4ADF78DF" w14:textId="77777777" w:rsidTr="002E7B6C">
        <w:tc>
          <w:tcPr>
            <w:cnfStyle w:val="001000000000" w:firstRow="0" w:lastRow="0" w:firstColumn="1" w:lastColumn="0" w:oddVBand="0" w:evenVBand="0" w:oddHBand="0" w:evenHBand="0" w:firstRowFirstColumn="0" w:firstRowLastColumn="0" w:lastRowFirstColumn="0" w:lastRowLastColumn="0"/>
            <w:tcW w:w="1659" w:type="dxa"/>
          </w:tcPr>
          <w:p w14:paraId="32BB3448" w14:textId="77777777" w:rsidR="00315466" w:rsidRPr="00A4536F" w:rsidRDefault="001D4E15">
            <w:pPr>
              <w:spacing w:before="0" w:after="120"/>
              <w:ind w:right="58"/>
              <w:rPr>
                <w:rFonts w:cs="Calibri"/>
                <w:b w:val="0"/>
                <w:bCs w:val="0"/>
                <w:color w:val="auto"/>
                <w:szCs w:val="18"/>
              </w:rPr>
            </w:pPr>
            <w:r w:rsidRPr="00A4536F">
              <w:rPr>
                <w:rFonts w:cs="Calibri"/>
                <w:color w:val="auto"/>
                <w:szCs w:val="18"/>
              </w:rPr>
              <w:t xml:space="preserve">Inclusion </w:t>
            </w:r>
          </w:p>
        </w:tc>
        <w:tc>
          <w:tcPr>
            <w:tcW w:w="7692" w:type="dxa"/>
          </w:tcPr>
          <w:p w14:paraId="52D184C6" w14:textId="77777777" w:rsidR="00315466" w:rsidRPr="00A4536F" w:rsidRDefault="001D4E15">
            <w:pPr>
              <w:spacing w:before="0" w:after="120"/>
              <w:ind w:right="5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Were affected communities satisfied with the targeting of participants for the interventions?  </w:t>
            </w:r>
          </w:p>
        </w:tc>
      </w:tr>
      <w:tr w:rsidR="00090EFB" w:rsidRPr="00A4536F" w14:paraId="5577C217" w14:textId="77777777" w:rsidTr="002E7B6C">
        <w:tc>
          <w:tcPr>
            <w:cnfStyle w:val="001000000000" w:firstRow="0" w:lastRow="0" w:firstColumn="1" w:lastColumn="0" w:oddVBand="0" w:evenVBand="0" w:oddHBand="0" w:evenHBand="0" w:firstRowFirstColumn="0" w:firstRowLastColumn="0" w:lastRowFirstColumn="0" w:lastRowLastColumn="0"/>
            <w:tcW w:w="1659" w:type="dxa"/>
          </w:tcPr>
          <w:p w14:paraId="7A2CCDC9" w14:textId="77777777" w:rsidR="00315466" w:rsidRPr="00A4536F" w:rsidRDefault="001D4E15">
            <w:pPr>
              <w:spacing w:before="0" w:after="120"/>
              <w:ind w:right="58"/>
              <w:rPr>
                <w:rFonts w:cs="Calibri"/>
                <w:b w:val="0"/>
                <w:bCs w:val="0"/>
                <w:color w:val="auto"/>
                <w:szCs w:val="18"/>
              </w:rPr>
            </w:pPr>
            <w:r w:rsidRPr="00A4536F">
              <w:rPr>
                <w:rFonts w:cs="Calibri"/>
                <w:color w:val="auto"/>
                <w:szCs w:val="18"/>
              </w:rPr>
              <w:t xml:space="preserve">AAP </w:t>
            </w:r>
          </w:p>
        </w:tc>
        <w:tc>
          <w:tcPr>
            <w:tcW w:w="7692" w:type="dxa"/>
          </w:tcPr>
          <w:p w14:paraId="23DFA2DD" w14:textId="77777777" w:rsidR="00315466" w:rsidRPr="00A4536F" w:rsidRDefault="001D4E15">
            <w:pPr>
              <w:spacing w:before="0" w:after="120"/>
              <w:ind w:right="5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To what extent did communication and feedback mechanisms for affected peoples and communities influence the design and implementation of the interventions? </w:t>
            </w:r>
          </w:p>
        </w:tc>
      </w:tr>
      <w:tr w:rsidR="00090EFB" w:rsidRPr="00A4536F" w14:paraId="0C424AE9" w14:textId="77777777" w:rsidTr="002E7B6C">
        <w:tc>
          <w:tcPr>
            <w:cnfStyle w:val="001000000000" w:firstRow="0" w:lastRow="0" w:firstColumn="1" w:lastColumn="0" w:oddVBand="0" w:evenVBand="0" w:oddHBand="0" w:evenHBand="0" w:firstRowFirstColumn="0" w:firstRowLastColumn="0" w:lastRowFirstColumn="0" w:lastRowLastColumn="0"/>
            <w:tcW w:w="1659" w:type="dxa"/>
          </w:tcPr>
          <w:p w14:paraId="6E5DC2F8" w14:textId="77777777" w:rsidR="00315466" w:rsidRPr="00A4536F" w:rsidRDefault="001D4E15">
            <w:pPr>
              <w:spacing w:before="0" w:after="120"/>
              <w:ind w:right="58"/>
              <w:rPr>
                <w:rFonts w:cs="Calibri"/>
                <w:b w:val="0"/>
                <w:bCs w:val="0"/>
                <w:color w:val="auto"/>
                <w:szCs w:val="18"/>
              </w:rPr>
            </w:pPr>
            <w:r w:rsidRPr="00A4536F">
              <w:rPr>
                <w:rFonts w:cs="Calibri"/>
                <w:color w:val="auto"/>
                <w:szCs w:val="18"/>
              </w:rPr>
              <w:t xml:space="preserve">Localisation </w:t>
            </w:r>
          </w:p>
        </w:tc>
        <w:tc>
          <w:tcPr>
            <w:tcW w:w="7692" w:type="dxa"/>
          </w:tcPr>
          <w:p w14:paraId="1E0DA366" w14:textId="77777777" w:rsidR="00315466" w:rsidRPr="00A4536F" w:rsidRDefault="001D4E15">
            <w:pPr>
              <w:spacing w:before="0" w:after="120"/>
              <w:ind w:right="5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To what extent did the interventions use local systems and strengthen local leadership, </w:t>
            </w:r>
            <w:proofErr w:type="gramStart"/>
            <w:r w:rsidRPr="00A4536F">
              <w:rPr>
                <w:rFonts w:cs="Calibri"/>
                <w:color w:val="auto"/>
                <w:szCs w:val="18"/>
              </w:rPr>
              <w:t>coordination</w:t>
            </w:r>
            <w:proofErr w:type="gramEnd"/>
            <w:r w:rsidRPr="00A4536F">
              <w:rPr>
                <w:rFonts w:cs="Calibri"/>
                <w:color w:val="auto"/>
                <w:szCs w:val="18"/>
              </w:rPr>
              <w:t xml:space="preserve"> and capacity? </w:t>
            </w:r>
          </w:p>
        </w:tc>
      </w:tr>
      <w:tr w:rsidR="00090EFB" w:rsidRPr="00A4536F" w14:paraId="29D43C85" w14:textId="77777777" w:rsidTr="002E7B6C">
        <w:tc>
          <w:tcPr>
            <w:cnfStyle w:val="001000000000" w:firstRow="0" w:lastRow="0" w:firstColumn="1" w:lastColumn="0" w:oddVBand="0" w:evenVBand="0" w:oddHBand="0" w:evenHBand="0" w:firstRowFirstColumn="0" w:firstRowLastColumn="0" w:lastRowFirstColumn="0" w:lastRowLastColumn="0"/>
            <w:tcW w:w="1659" w:type="dxa"/>
          </w:tcPr>
          <w:p w14:paraId="664091BA" w14:textId="77777777" w:rsidR="00315466" w:rsidRPr="00A4536F" w:rsidRDefault="001D4E15">
            <w:pPr>
              <w:spacing w:before="0" w:after="120"/>
              <w:ind w:right="58"/>
              <w:rPr>
                <w:rFonts w:cs="Calibri"/>
                <w:b w:val="0"/>
                <w:bCs w:val="0"/>
                <w:color w:val="auto"/>
                <w:szCs w:val="18"/>
              </w:rPr>
            </w:pPr>
            <w:r w:rsidRPr="00A4536F">
              <w:rPr>
                <w:rFonts w:cs="Calibri"/>
                <w:color w:val="auto"/>
                <w:szCs w:val="18"/>
              </w:rPr>
              <w:t xml:space="preserve">Climate Change </w:t>
            </w:r>
          </w:p>
        </w:tc>
        <w:tc>
          <w:tcPr>
            <w:tcW w:w="7692" w:type="dxa"/>
          </w:tcPr>
          <w:p w14:paraId="5623788A" w14:textId="77777777" w:rsidR="00315466" w:rsidRPr="00A4536F" w:rsidRDefault="001D4E15">
            <w:pPr>
              <w:spacing w:before="0" w:after="120"/>
              <w:ind w:right="5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To what extent did the interventions increase resilience in the face of climate change?  </w:t>
            </w:r>
          </w:p>
        </w:tc>
      </w:tr>
    </w:tbl>
    <w:p w14:paraId="4E2293DB" w14:textId="77777777" w:rsidR="00315466" w:rsidRPr="00A4536F" w:rsidRDefault="001D4E15" w:rsidP="0042524B">
      <w:pPr>
        <w:spacing w:after="120"/>
        <w:rPr>
          <w:rFonts w:cs="Calibri"/>
          <w:b/>
          <w:bCs/>
          <w:color w:val="auto"/>
          <w:szCs w:val="18"/>
        </w:rPr>
      </w:pPr>
      <w:r w:rsidRPr="00A4536F">
        <w:rPr>
          <w:rFonts w:cs="Calibri"/>
          <w:b/>
          <w:bCs/>
          <w:color w:val="auto"/>
          <w:szCs w:val="18"/>
        </w:rPr>
        <w:lastRenderedPageBreak/>
        <w:t xml:space="preserve">METHODOLOGY </w:t>
      </w:r>
    </w:p>
    <w:p w14:paraId="1F8F14B9"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The evaluation team will develop a comprehensive and rigorous evaluation methodology. The methodology for the evaluation will be designed in detail by the evaluation team of the selected company during the inception phase. However, each bidding consulting company should indicate the methodology it employs for answering the evaluation criteria and questions in its technical proposal as this will be one of the main criteria for selection of the consulting company for this evaluation.  </w:t>
      </w:r>
    </w:p>
    <w:p w14:paraId="4F1AC0B8"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The evaluation will assess the food security and livelihood components of the three responses (led by Oxfam and Plan International) in Ethiopia and Kenya. Subject to discussions with the evaluation team, it is proposed that data collection in Ethiopia should take place in-country but data in Kenya may be collected remotely if necessary to keep the evaluation scope commensurate with the available resources. The two Ethiopia interventions should thus be the primary focus of the evaluation, with the Kenya response a secondary focus.  </w:t>
      </w:r>
    </w:p>
    <w:p w14:paraId="50601F92" w14:textId="77777777" w:rsidR="00315466" w:rsidRPr="00A4536F" w:rsidRDefault="001D4E15">
      <w:pPr>
        <w:spacing w:before="0" w:after="120"/>
        <w:ind w:left="-5" w:right="58"/>
        <w:rPr>
          <w:rFonts w:cs="Calibri"/>
          <w:color w:val="auto"/>
          <w:szCs w:val="18"/>
        </w:rPr>
      </w:pPr>
      <w:r w:rsidRPr="00A4536F">
        <w:rPr>
          <w:rFonts w:cs="Calibri"/>
          <w:color w:val="auto"/>
          <w:szCs w:val="18"/>
        </w:rPr>
        <w:t>The methodology will be documented in an Evaluation Plan that includes the relevant data collection and analysis tools. The evaluation methodology will address the requirements of DFAT's Monitoring and Evaluation Standards</w:t>
      </w:r>
      <w:r w:rsidRPr="00A4536F">
        <w:rPr>
          <w:rFonts w:cs="Calibri"/>
          <w:color w:val="auto"/>
          <w:szCs w:val="18"/>
          <w:vertAlign w:val="superscript"/>
        </w:rPr>
        <w:t xml:space="preserve"> </w:t>
      </w:r>
      <w:hyperlink r:id="rId38">
        <w:r w:rsidRPr="00A4536F">
          <w:rPr>
            <w:rFonts w:cs="Calibri"/>
            <w:color w:val="auto"/>
            <w:szCs w:val="18"/>
          </w:rPr>
          <w:t>(</w:t>
        </w:r>
      </w:hyperlink>
      <w:hyperlink r:id="rId39">
        <w:r w:rsidRPr="00A4536F">
          <w:rPr>
            <w:rFonts w:cs="Calibri"/>
            <w:color w:val="auto"/>
            <w:szCs w:val="18"/>
            <w:u w:val="single" w:color="0000FF"/>
          </w:rPr>
          <w:t>DFAT Design</w:t>
        </w:r>
      </w:hyperlink>
      <w:hyperlink r:id="rId40">
        <w:r w:rsidRPr="00A4536F">
          <w:rPr>
            <w:rFonts w:cs="Calibri"/>
            <w:color w:val="auto"/>
            <w:szCs w:val="18"/>
          </w:rPr>
          <w:t xml:space="preserve"> </w:t>
        </w:r>
      </w:hyperlink>
      <w:hyperlink r:id="rId41">
        <w:r w:rsidRPr="00A4536F">
          <w:rPr>
            <w:rFonts w:cs="Calibri"/>
            <w:color w:val="auto"/>
            <w:szCs w:val="18"/>
            <w:u w:val="single" w:color="0000FF"/>
          </w:rPr>
          <w:t>and Monitoring and Evaluation Standards | Australian Government Department of Foreign Affairs and Trade</w:t>
        </w:r>
      </w:hyperlink>
      <w:hyperlink r:id="rId42">
        <w:r w:rsidRPr="00A4536F">
          <w:rPr>
            <w:rFonts w:cs="Calibri"/>
            <w:color w:val="auto"/>
            <w:szCs w:val="18"/>
            <w:u w:val="single" w:color="0000FF"/>
          </w:rPr>
          <w:t>)</w:t>
        </w:r>
      </w:hyperlink>
      <w:r w:rsidRPr="00A4536F">
        <w:rPr>
          <w:rFonts w:cs="Calibri"/>
          <w:color w:val="auto"/>
          <w:szCs w:val="18"/>
          <w:u w:val="single" w:color="0000FF"/>
        </w:rPr>
        <w:t>.</w:t>
      </w:r>
      <w:r w:rsidRPr="00A4536F">
        <w:rPr>
          <w:rFonts w:cs="Calibri"/>
          <w:color w:val="auto"/>
          <w:szCs w:val="18"/>
        </w:rPr>
        <w:t xml:space="preserve"> The </w:t>
      </w:r>
      <w:r w:rsidRPr="00A4536F">
        <w:rPr>
          <w:rFonts w:eastAsia="Segoe UI" w:cs="Calibri"/>
          <w:color w:val="auto"/>
          <w:szCs w:val="18"/>
        </w:rPr>
        <w:t>evaluation approach should take full account of the Programme’s focus on inclusivit</w:t>
      </w:r>
      <w:r w:rsidRPr="00A4536F">
        <w:rPr>
          <w:rFonts w:cs="Calibri"/>
          <w:color w:val="auto"/>
          <w:szCs w:val="18"/>
        </w:rPr>
        <w:t xml:space="preserve">y.  </w:t>
      </w:r>
    </w:p>
    <w:p w14:paraId="12A7FDE2"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The approach to data collection will involve several different methods to triangulate data. It should also use tested frameworks and data collection tools. While the consulting company will design the data collection methodology, it should involve:  </w:t>
      </w:r>
    </w:p>
    <w:p w14:paraId="3B92B8C7" w14:textId="77777777" w:rsidR="00514F4A" w:rsidRPr="00514F4A" w:rsidRDefault="001D4E15" w:rsidP="00D41C74">
      <w:pPr>
        <w:pStyle w:val="ListParagraph"/>
        <w:numPr>
          <w:ilvl w:val="0"/>
          <w:numId w:val="81"/>
        </w:numPr>
        <w:spacing w:after="120"/>
        <w:ind w:right="58"/>
        <w:rPr>
          <w:rFonts w:cs="Calibri"/>
          <w:szCs w:val="18"/>
        </w:rPr>
      </w:pPr>
      <w:r w:rsidRPr="00514F4A">
        <w:rPr>
          <w:rFonts w:eastAsiaTheme="minorEastAsia" w:cs="Calibri"/>
          <w:szCs w:val="18"/>
          <w:lang w:eastAsia="en-GB"/>
        </w:rPr>
        <w:t xml:space="preserve">Desk Review and Context Analysis  </w:t>
      </w:r>
    </w:p>
    <w:p w14:paraId="4CE4E31F" w14:textId="77777777" w:rsidR="00514F4A" w:rsidRPr="00514F4A" w:rsidRDefault="001D4E15" w:rsidP="00D41C74">
      <w:pPr>
        <w:pStyle w:val="ListParagraph"/>
        <w:numPr>
          <w:ilvl w:val="0"/>
          <w:numId w:val="81"/>
        </w:numPr>
        <w:spacing w:after="120"/>
        <w:ind w:right="58"/>
        <w:rPr>
          <w:rFonts w:cs="Calibri"/>
          <w:szCs w:val="18"/>
        </w:rPr>
      </w:pPr>
      <w:r w:rsidRPr="00514F4A">
        <w:rPr>
          <w:rFonts w:eastAsiaTheme="minorEastAsia" w:cs="Calibri"/>
          <w:szCs w:val="18"/>
          <w:lang w:eastAsia="en-GB"/>
        </w:rPr>
        <w:t>Quantitative data collection</w:t>
      </w:r>
    </w:p>
    <w:p w14:paraId="7483F0BA" w14:textId="77777777" w:rsidR="00514F4A" w:rsidRPr="00514F4A" w:rsidRDefault="001D4E15" w:rsidP="00D41C74">
      <w:pPr>
        <w:pStyle w:val="ListParagraph"/>
        <w:numPr>
          <w:ilvl w:val="0"/>
          <w:numId w:val="81"/>
        </w:numPr>
        <w:spacing w:after="120"/>
        <w:ind w:right="58"/>
        <w:rPr>
          <w:rFonts w:cs="Calibri"/>
          <w:szCs w:val="18"/>
        </w:rPr>
      </w:pPr>
      <w:r w:rsidRPr="00514F4A">
        <w:rPr>
          <w:rFonts w:eastAsiaTheme="minorEastAsia" w:cs="Calibri"/>
          <w:szCs w:val="18"/>
          <w:lang w:eastAsia="en-GB"/>
        </w:rPr>
        <w:t>Qualitative primary data collection</w:t>
      </w:r>
    </w:p>
    <w:p w14:paraId="37401A64" w14:textId="16A2898F" w:rsidR="00315466" w:rsidRPr="00514F4A" w:rsidRDefault="001D4E15" w:rsidP="00D41C74">
      <w:pPr>
        <w:pStyle w:val="ListParagraph"/>
        <w:numPr>
          <w:ilvl w:val="0"/>
          <w:numId w:val="81"/>
        </w:numPr>
        <w:spacing w:after="120"/>
        <w:ind w:right="58"/>
        <w:rPr>
          <w:rFonts w:cs="Calibri"/>
          <w:szCs w:val="18"/>
        </w:rPr>
      </w:pPr>
      <w:r w:rsidRPr="00514F4A">
        <w:rPr>
          <w:rFonts w:eastAsiaTheme="minorEastAsia" w:cs="Calibri"/>
          <w:szCs w:val="18"/>
          <w:lang w:eastAsia="en-GB"/>
        </w:rPr>
        <w:t xml:space="preserve">A data quality assurance plan that sets out the systems and processes for quality assuring the evaluation process and deliverables.  </w:t>
      </w:r>
    </w:p>
    <w:p w14:paraId="31413A4E"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The approach to ethics and safeguarding will be documented in the Evaluation Plan and must include high standards of ethical conduct. </w:t>
      </w:r>
      <w:r w:rsidRPr="00A4536F">
        <w:rPr>
          <w:rFonts w:eastAsia="Segoe UI" w:cs="Calibri"/>
          <w:color w:val="auto"/>
          <w:szCs w:val="18"/>
        </w:rPr>
        <w:t xml:space="preserve">The evaluation process must be conducted in line with DFAT’s Environmental and Social </w:t>
      </w:r>
      <w:r w:rsidRPr="00A4536F">
        <w:rPr>
          <w:rFonts w:cs="Calibri"/>
          <w:color w:val="auto"/>
          <w:szCs w:val="18"/>
        </w:rPr>
        <w:t>Safeguard Policy</w:t>
      </w:r>
      <w:r w:rsidRPr="00A4536F">
        <w:rPr>
          <w:rFonts w:cs="Calibri"/>
          <w:color w:val="auto"/>
          <w:szCs w:val="18"/>
          <w:vertAlign w:val="superscript"/>
        </w:rPr>
        <w:t>3</w:t>
      </w:r>
      <w:r w:rsidRPr="00A4536F">
        <w:rPr>
          <w:rFonts w:cs="Calibri"/>
          <w:color w:val="auto"/>
          <w:szCs w:val="18"/>
        </w:rPr>
        <w:t xml:space="preserve"> </w:t>
      </w:r>
      <w:r w:rsidRPr="00A4536F">
        <w:rPr>
          <w:rFonts w:eastAsia="Segoe UI" w:cs="Calibri"/>
          <w:color w:val="auto"/>
          <w:szCs w:val="18"/>
        </w:rPr>
        <w:t>and DFAT’s Ethical Research and Evaluation Guidance</w:t>
      </w:r>
      <w:r w:rsidRPr="00A4536F">
        <w:rPr>
          <w:rFonts w:cs="Calibri"/>
          <w:color w:val="auto"/>
          <w:szCs w:val="18"/>
          <w:vertAlign w:val="superscript"/>
        </w:rPr>
        <w:t>4</w:t>
      </w:r>
      <w:r w:rsidRPr="00A4536F">
        <w:rPr>
          <w:rFonts w:cs="Calibri"/>
          <w:color w:val="auto"/>
          <w:szCs w:val="18"/>
        </w:rPr>
        <w:t xml:space="preserve">. The following points should be addressed: </w:t>
      </w:r>
    </w:p>
    <w:p w14:paraId="79652FD3" w14:textId="77777777" w:rsidR="00514F4A" w:rsidRPr="00514F4A" w:rsidRDefault="001D4E15" w:rsidP="00D41C74">
      <w:pPr>
        <w:pStyle w:val="ListParagraph"/>
        <w:numPr>
          <w:ilvl w:val="0"/>
          <w:numId w:val="82"/>
        </w:numPr>
        <w:spacing w:after="120"/>
        <w:rPr>
          <w:rFonts w:cs="Calibri"/>
          <w:szCs w:val="18"/>
        </w:rPr>
      </w:pPr>
      <w:r w:rsidRPr="00514F4A">
        <w:rPr>
          <w:rFonts w:eastAsiaTheme="minorEastAsia" w:cs="Calibri"/>
          <w:szCs w:val="18"/>
          <w:lang w:eastAsia="en-GB"/>
        </w:rPr>
        <w:t xml:space="preserve">child protection and safeguarding protection policies </w:t>
      </w:r>
    </w:p>
    <w:p w14:paraId="671088A4" w14:textId="77777777" w:rsidR="00514F4A" w:rsidRPr="00514F4A" w:rsidRDefault="001D4E15" w:rsidP="00D41C74">
      <w:pPr>
        <w:pStyle w:val="ListParagraph"/>
        <w:numPr>
          <w:ilvl w:val="0"/>
          <w:numId w:val="82"/>
        </w:numPr>
        <w:spacing w:after="120"/>
        <w:rPr>
          <w:rFonts w:cs="Calibri"/>
          <w:szCs w:val="18"/>
        </w:rPr>
      </w:pPr>
      <w:r w:rsidRPr="00514F4A">
        <w:rPr>
          <w:rFonts w:eastAsiaTheme="minorEastAsia" w:cs="Calibri"/>
          <w:szCs w:val="18"/>
          <w:lang w:eastAsia="en-GB"/>
        </w:rPr>
        <w:t xml:space="preserve">informed consent practices for evaluation participants </w:t>
      </w:r>
    </w:p>
    <w:p w14:paraId="7569A62E" w14:textId="77777777" w:rsidR="00514F4A" w:rsidRPr="00514F4A" w:rsidRDefault="001D4E15" w:rsidP="00D41C74">
      <w:pPr>
        <w:pStyle w:val="ListParagraph"/>
        <w:numPr>
          <w:ilvl w:val="0"/>
          <w:numId w:val="82"/>
        </w:numPr>
        <w:spacing w:after="120"/>
        <w:rPr>
          <w:rFonts w:cs="Calibri"/>
          <w:szCs w:val="18"/>
        </w:rPr>
      </w:pPr>
      <w:r w:rsidRPr="00514F4A">
        <w:rPr>
          <w:rFonts w:eastAsiaTheme="minorEastAsia" w:cs="Calibri"/>
          <w:szCs w:val="18"/>
          <w:lang w:eastAsia="en-GB"/>
        </w:rPr>
        <w:t xml:space="preserve">the management of confidentiality and privacy considerations </w:t>
      </w:r>
    </w:p>
    <w:p w14:paraId="702ACEA7" w14:textId="77777777" w:rsidR="00514F4A" w:rsidRPr="00514F4A" w:rsidRDefault="001D4E15" w:rsidP="00D41C74">
      <w:pPr>
        <w:pStyle w:val="ListParagraph"/>
        <w:numPr>
          <w:ilvl w:val="0"/>
          <w:numId w:val="82"/>
        </w:numPr>
        <w:spacing w:after="120"/>
        <w:rPr>
          <w:rFonts w:cs="Calibri"/>
          <w:szCs w:val="18"/>
        </w:rPr>
      </w:pPr>
      <w:r w:rsidRPr="00514F4A">
        <w:rPr>
          <w:rFonts w:eastAsiaTheme="minorEastAsia" w:cs="Calibri"/>
          <w:szCs w:val="18"/>
          <w:lang w:eastAsia="en-GB"/>
        </w:rPr>
        <w:t xml:space="preserve">the management of expectations of evaluation participants </w:t>
      </w:r>
    </w:p>
    <w:p w14:paraId="64FE273F" w14:textId="77777777" w:rsidR="00514F4A" w:rsidRPr="00514F4A" w:rsidRDefault="001D4E15" w:rsidP="00D41C74">
      <w:pPr>
        <w:pStyle w:val="ListParagraph"/>
        <w:numPr>
          <w:ilvl w:val="0"/>
          <w:numId w:val="82"/>
        </w:numPr>
        <w:spacing w:after="120"/>
        <w:rPr>
          <w:rFonts w:cs="Calibri"/>
          <w:szCs w:val="18"/>
        </w:rPr>
      </w:pPr>
      <w:r w:rsidRPr="00514F4A">
        <w:rPr>
          <w:rFonts w:eastAsiaTheme="minorEastAsia" w:cs="Calibri"/>
          <w:szCs w:val="18"/>
          <w:lang w:eastAsia="en-GB"/>
        </w:rPr>
        <w:t xml:space="preserve">data protection and data sharing practices </w:t>
      </w:r>
    </w:p>
    <w:p w14:paraId="562E27F2" w14:textId="176A52FB" w:rsidR="00315466" w:rsidRPr="00514F4A" w:rsidRDefault="001D4E15" w:rsidP="00D41C74">
      <w:pPr>
        <w:pStyle w:val="ListParagraph"/>
        <w:numPr>
          <w:ilvl w:val="0"/>
          <w:numId w:val="82"/>
        </w:numPr>
        <w:spacing w:after="120"/>
        <w:rPr>
          <w:rFonts w:cs="Calibri"/>
          <w:szCs w:val="18"/>
        </w:rPr>
      </w:pPr>
      <w:r w:rsidRPr="00514F4A">
        <w:rPr>
          <w:rFonts w:eastAsiaTheme="minorEastAsia" w:cs="Calibri"/>
          <w:szCs w:val="18"/>
          <w:lang w:eastAsia="en-GB"/>
        </w:rPr>
        <w:t>training of data collectors on the above</w:t>
      </w:r>
    </w:p>
    <w:p w14:paraId="43BF4708" w14:textId="77777777" w:rsidR="00315466" w:rsidRPr="00A4536F" w:rsidRDefault="001D4E15">
      <w:pPr>
        <w:spacing w:before="0" w:after="120"/>
        <w:ind w:left="-5" w:right="57"/>
        <w:rPr>
          <w:rFonts w:cs="Calibri"/>
          <w:color w:val="auto"/>
          <w:szCs w:val="18"/>
        </w:rPr>
      </w:pPr>
      <w:r w:rsidRPr="00A4536F">
        <w:rPr>
          <w:rFonts w:cs="Calibri"/>
          <w:color w:val="auto"/>
          <w:szCs w:val="18"/>
        </w:rPr>
        <w:t xml:space="preserve">Key steps in the evaluation will include: </w:t>
      </w:r>
    </w:p>
    <w:p w14:paraId="1C14C8C3" w14:textId="77777777" w:rsidR="00315466" w:rsidRPr="00A4536F" w:rsidRDefault="001D4E15" w:rsidP="00D41C74">
      <w:pPr>
        <w:numPr>
          <w:ilvl w:val="0"/>
          <w:numId w:val="47"/>
        </w:numPr>
        <w:spacing w:before="0" w:after="120"/>
        <w:ind w:right="57" w:hanging="425"/>
        <w:rPr>
          <w:rFonts w:cs="Calibri"/>
          <w:color w:val="auto"/>
          <w:szCs w:val="18"/>
        </w:rPr>
      </w:pPr>
      <w:r w:rsidRPr="00A4536F">
        <w:rPr>
          <w:rFonts w:cs="Calibri"/>
          <w:color w:val="auto"/>
          <w:szCs w:val="18"/>
        </w:rPr>
        <w:t xml:space="preserve">Developing a detailed evaluation plan, including methodologies, evaluation question matrix, data collection tools, interview guides, a framework for data analysis, and timeline. The evaluation team should ensure that the perspectives of the affected peoples are central to the evaluation plan. The evaluation plan will be updated and finalised based on feedback from the AHP NGOs, DFAT and the AHPSU. </w:t>
      </w:r>
    </w:p>
    <w:p w14:paraId="6466A5EC" w14:textId="77777777" w:rsidR="00315466" w:rsidRPr="00A4536F" w:rsidRDefault="001D4E15" w:rsidP="00D41C74">
      <w:pPr>
        <w:numPr>
          <w:ilvl w:val="0"/>
          <w:numId w:val="47"/>
        </w:numPr>
        <w:spacing w:before="0" w:after="120"/>
        <w:ind w:right="57" w:hanging="425"/>
        <w:rPr>
          <w:rFonts w:cs="Calibri"/>
          <w:color w:val="auto"/>
          <w:szCs w:val="18"/>
        </w:rPr>
      </w:pPr>
      <w:r w:rsidRPr="00A4536F">
        <w:rPr>
          <w:rFonts w:cs="Calibri"/>
          <w:color w:val="auto"/>
          <w:szCs w:val="18"/>
        </w:rPr>
        <w:t xml:space="preserve">Developing a rubric with input from key stakeholders identifying clear standards for each of the evaluation questions to enable the evaluation team to make a transparent judgement. </w:t>
      </w:r>
    </w:p>
    <w:p w14:paraId="50F83AB5" w14:textId="77777777" w:rsidR="00315466" w:rsidRPr="00A4536F" w:rsidRDefault="001D4E15" w:rsidP="00D41C74">
      <w:pPr>
        <w:numPr>
          <w:ilvl w:val="0"/>
          <w:numId w:val="47"/>
        </w:numPr>
        <w:spacing w:before="0" w:after="120"/>
        <w:ind w:right="57" w:hanging="425"/>
        <w:rPr>
          <w:rFonts w:cs="Calibri"/>
          <w:color w:val="auto"/>
          <w:szCs w:val="18"/>
        </w:rPr>
      </w:pPr>
      <w:r w:rsidRPr="00A4536F">
        <w:rPr>
          <w:rFonts w:cs="Calibri"/>
          <w:color w:val="auto"/>
          <w:szCs w:val="18"/>
        </w:rPr>
        <w:t xml:space="preserve">A desk review of background document and development of data collection tools.  </w:t>
      </w:r>
    </w:p>
    <w:p w14:paraId="5DF101C7" w14:textId="77777777" w:rsidR="00315466" w:rsidRPr="00A4536F" w:rsidRDefault="001D4E15" w:rsidP="00D41C74">
      <w:pPr>
        <w:numPr>
          <w:ilvl w:val="0"/>
          <w:numId w:val="47"/>
        </w:numPr>
        <w:spacing w:before="0" w:after="120"/>
        <w:ind w:right="57" w:hanging="425"/>
        <w:rPr>
          <w:rFonts w:cs="Calibri"/>
          <w:color w:val="auto"/>
          <w:szCs w:val="18"/>
        </w:rPr>
      </w:pPr>
      <w:r w:rsidRPr="00A4536F">
        <w:rPr>
          <w:rFonts w:cs="Calibri"/>
          <w:color w:val="auto"/>
          <w:szCs w:val="18"/>
        </w:rPr>
        <w:lastRenderedPageBreak/>
        <w:t xml:space="preserve">Collect data through key informant interviews, focus groups, surveys, direct observation and/or other appropriate data collection techniques. Ensure all sectors of the community are reached, including people with disabilities. Other stakeholders to include are government, civil society organisations and humanitarian coordination platforms and clusters. </w:t>
      </w:r>
    </w:p>
    <w:p w14:paraId="01DE08D6" w14:textId="77777777" w:rsidR="00315466" w:rsidRPr="00A4536F" w:rsidRDefault="001D4E15" w:rsidP="00D41C74">
      <w:pPr>
        <w:numPr>
          <w:ilvl w:val="0"/>
          <w:numId w:val="47"/>
        </w:numPr>
        <w:spacing w:before="0" w:after="120"/>
        <w:ind w:right="57" w:hanging="425"/>
        <w:rPr>
          <w:rFonts w:cs="Calibri"/>
          <w:color w:val="auto"/>
          <w:szCs w:val="18"/>
        </w:rPr>
      </w:pPr>
      <w:r w:rsidRPr="00A4536F">
        <w:rPr>
          <w:rFonts w:cs="Calibri"/>
          <w:color w:val="auto"/>
          <w:szCs w:val="18"/>
        </w:rPr>
        <w:t xml:space="preserve">Analyse and triangulate data against the evaluation questions and rubric.  </w:t>
      </w:r>
    </w:p>
    <w:p w14:paraId="3E05AF8B" w14:textId="77777777" w:rsidR="00315466" w:rsidRPr="00A4536F" w:rsidRDefault="001D4E15" w:rsidP="00D41C74">
      <w:pPr>
        <w:numPr>
          <w:ilvl w:val="0"/>
          <w:numId w:val="47"/>
        </w:numPr>
        <w:spacing w:before="0" w:after="120"/>
        <w:ind w:right="57" w:hanging="425"/>
        <w:rPr>
          <w:rFonts w:cs="Calibri"/>
          <w:color w:val="auto"/>
          <w:szCs w:val="18"/>
        </w:rPr>
      </w:pPr>
      <w:r w:rsidRPr="00A4536F">
        <w:rPr>
          <w:rFonts w:cs="Calibri"/>
          <w:color w:val="auto"/>
          <w:szCs w:val="18"/>
        </w:rPr>
        <w:t xml:space="preserve">Present preliminary findings for sense checking with ANGO consortium stakeholders, relevant DFAT representatives and the AHP staff and partners. It will be important for partners to see how input from various stakeholders (e.g., local communities, project beneficiaries, and implementing partners) have informed the findings through an evidence matrix or similar.  </w:t>
      </w:r>
    </w:p>
    <w:p w14:paraId="7B2C2B01" w14:textId="77777777" w:rsidR="00315466" w:rsidRPr="00A4536F" w:rsidRDefault="001D4E15" w:rsidP="00D41C74">
      <w:pPr>
        <w:numPr>
          <w:ilvl w:val="0"/>
          <w:numId w:val="47"/>
        </w:numPr>
        <w:spacing w:before="0" w:after="120"/>
        <w:ind w:right="57" w:hanging="425"/>
        <w:rPr>
          <w:rFonts w:cs="Calibri"/>
          <w:color w:val="auto"/>
          <w:szCs w:val="18"/>
        </w:rPr>
      </w:pPr>
      <w:r w:rsidRPr="00A4536F">
        <w:rPr>
          <w:rFonts w:cs="Calibri"/>
          <w:color w:val="auto"/>
          <w:szCs w:val="18"/>
        </w:rPr>
        <w:t xml:space="preserve">Write an evaluation report suitable for publication, which may be published on DFAT's official website, the AHP website and elsewhere.  </w:t>
      </w:r>
    </w:p>
    <w:p w14:paraId="687ACF74" w14:textId="77777777" w:rsidR="00315466" w:rsidRPr="00A4536F" w:rsidRDefault="001D4E15" w:rsidP="00D41C74">
      <w:pPr>
        <w:numPr>
          <w:ilvl w:val="0"/>
          <w:numId w:val="47"/>
        </w:numPr>
        <w:spacing w:before="0" w:after="120"/>
        <w:ind w:right="57" w:hanging="425"/>
        <w:rPr>
          <w:rFonts w:cs="Calibri"/>
          <w:color w:val="auto"/>
          <w:szCs w:val="18"/>
        </w:rPr>
      </w:pPr>
      <w:r w:rsidRPr="00A4536F">
        <w:rPr>
          <w:rFonts w:cs="Calibri"/>
          <w:color w:val="auto"/>
          <w:szCs w:val="18"/>
        </w:rPr>
        <w:t xml:space="preserve">Communicate key findings through a verbal report to the Evaluation Review Committee members and AHP NGOs. </w:t>
      </w:r>
    </w:p>
    <w:p w14:paraId="4A758C5A" w14:textId="77777777" w:rsidR="00315466" w:rsidRPr="00A4536F" w:rsidRDefault="001D4E15">
      <w:pPr>
        <w:spacing w:before="0" w:after="120"/>
        <w:ind w:left="370" w:right="57"/>
        <w:rPr>
          <w:rFonts w:cs="Calibri"/>
          <w:color w:val="auto"/>
          <w:szCs w:val="18"/>
        </w:rPr>
      </w:pPr>
      <w:r w:rsidRPr="00A4536F">
        <w:rPr>
          <w:rFonts w:cs="Calibri"/>
          <w:color w:val="auto"/>
          <w:szCs w:val="18"/>
        </w:rPr>
        <w:t xml:space="preserve">This may be delivered remotely.  </w:t>
      </w:r>
    </w:p>
    <w:p w14:paraId="1A96322A"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Notes: </w:t>
      </w:r>
    </w:p>
    <w:p w14:paraId="045B9E0F" w14:textId="77777777" w:rsidR="00514F4A" w:rsidRDefault="001D4E15" w:rsidP="00D41C74">
      <w:pPr>
        <w:pStyle w:val="ListParagraph"/>
        <w:numPr>
          <w:ilvl w:val="0"/>
          <w:numId w:val="83"/>
        </w:numPr>
        <w:tabs>
          <w:tab w:val="center" w:pos="508"/>
          <w:tab w:val="center" w:pos="4918"/>
        </w:tabs>
        <w:spacing w:after="120"/>
        <w:rPr>
          <w:rFonts w:cs="Calibri"/>
          <w:szCs w:val="18"/>
        </w:rPr>
      </w:pPr>
      <w:r w:rsidRPr="00514F4A">
        <w:rPr>
          <w:rFonts w:cs="Calibri"/>
          <w:szCs w:val="18"/>
        </w:rPr>
        <w:t xml:space="preserve">Data collection will need to be culturally appropriate and consider issues of language and literacy. </w:t>
      </w:r>
    </w:p>
    <w:p w14:paraId="52E84DFC" w14:textId="001D6FEE" w:rsidR="00315466" w:rsidRPr="00514F4A" w:rsidRDefault="001D4E15" w:rsidP="00D41C74">
      <w:pPr>
        <w:pStyle w:val="ListParagraph"/>
        <w:numPr>
          <w:ilvl w:val="0"/>
          <w:numId w:val="83"/>
        </w:numPr>
        <w:tabs>
          <w:tab w:val="center" w:pos="508"/>
          <w:tab w:val="center" w:pos="4918"/>
        </w:tabs>
        <w:spacing w:after="120"/>
        <w:rPr>
          <w:rFonts w:cs="Calibri"/>
          <w:szCs w:val="18"/>
        </w:rPr>
      </w:pPr>
      <w:r w:rsidRPr="00514F4A">
        <w:rPr>
          <w:rFonts w:cs="Calibri"/>
          <w:szCs w:val="18"/>
        </w:rPr>
        <w:t xml:space="preserve">Data collected will be disaggregated by gender, disability, and other relevant attributes.  </w:t>
      </w:r>
    </w:p>
    <w:p w14:paraId="0FC47AB4"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EVALUATION GOVERNANCE  </w:t>
      </w:r>
    </w:p>
    <w:p w14:paraId="7FA40B4D" w14:textId="77777777" w:rsidR="00315466" w:rsidRPr="00A4536F" w:rsidRDefault="001D4E15">
      <w:pPr>
        <w:spacing w:before="0" w:after="120"/>
        <w:ind w:left="-6" w:right="40" w:hanging="11"/>
        <w:rPr>
          <w:rFonts w:cs="Calibri"/>
          <w:b/>
          <w:bCs/>
          <w:color w:val="auto"/>
          <w:szCs w:val="18"/>
        </w:rPr>
      </w:pPr>
      <w:r w:rsidRPr="00A4536F">
        <w:rPr>
          <w:rFonts w:cs="Calibri"/>
          <w:b/>
          <w:bCs/>
          <w:color w:val="auto"/>
          <w:szCs w:val="18"/>
        </w:rPr>
        <w:t xml:space="preserve">Evaluation Utilisation </w:t>
      </w:r>
    </w:p>
    <w:p w14:paraId="535286DA" w14:textId="77777777" w:rsidR="00315466" w:rsidRPr="00A4536F" w:rsidRDefault="001D4E15">
      <w:pPr>
        <w:spacing w:before="0" w:after="120"/>
        <w:ind w:left="-6" w:right="58" w:hanging="11"/>
        <w:rPr>
          <w:rFonts w:cs="Calibri"/>
          <w:color w:val="auto"/>
          <w:szCs w:val="18"/>
        </w:rPr>
      </w:pPr>
      <w:r w:rsidRPr="00A4536F">
        <w:rPr>
          <w:rFonts w:cs="Calibri"/>
          <w:color w:val="auto"/>
          <w:szCs w:val="18"/>
        </w:rPr>
        <w:t xml:space="preserve">The evaluation is intended to demonstrate results to communities, stakeholders, AHP partners and donors. The evaluation will also demonstrate ways that Australian humanitarian assistance on food security and livelihoods can be best delivered in the context of increasing humanitarian needs and global climate change. </w:t>
      </w:r>
    </w:p>
    <w:p w14:paraId="200C3908" w14:textId="77777777" w:rsidR="00315466" w:rsidRPr="00A4536F" w:rsidRDefault="001D4E15">
      <w:pPr>
        <w:spacing w:before="0" w:after="120"/>
        <w:ind w:left="-6" w:right="58" w:hanging="11"/>
        <w:rPr>
          <w:rFonts w:cs="Calibri"/>
          <w:color w:val="auto"/>
          <w:szCs w:val="18"/>
        </w:rPr>
      </w:pPr>
      <w:r w:rsidRPr="00A4536F">
        <w:rPr>
          <w:rFonts w:cs="Calibri"/>
          <w:color w:val="auto"/>
          <w:szCs w:val="18"/>
        </w:rPr>
        <w:t xml:space="preserve">The evaluation process, and the report produced, must be suitable for circulation as DFAT may publish the evaluation report. The report should also provide the basis for partners to share findings with affected communities and to generate wider learning through the AHP. To facilitate this, the Evaluation Report summary document should be suitable for wider circulation through the AHP NGOs.  </w:t>
      </w:r>
    </w:p>
    <w:p w14:paraId="0FF4A799" w14:textId="77777777" w:rsidR="00315466" w:rsidRPr="00A4536F" w:rsidRDefault="001D4E15">
      <w:pPr>
        <w:spacing w:before="0" w:after="120"/>
        <w:ind w:left="-5" w:right="40"/>
        <w:rPr>
          <w:rFonts w:cs="Calibri"/>
          <w:b/>
          <w:bCs/>
          <w:color w:val="auto"/>
          <w:szCs w:val="18"/>
        </w:rPr>
      </w:pPr>
      <w:r w:rsidRPr="00A4536F">
        <w:rPr>
          <w:rFonts w:cs="Calibri"/>
          <w:b/>
          <w:bCs/>
          <w:color w:val="auto"/>
          <w:szCs w:val="18"/>
        </w:rPr>
        <w:t xml:space="preserve">Evaluation Review Committee </w:t>
      </w:r>
    </w:p>
    <w:p w14:paraId="37CE5B32"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The AHPSU will set up an Evaluation Review Committee to oversee the evaluation. The Review Committee will include representatives from the AHP Partners delivering the response, DFAT and AHPSU. The role of the Review Committee will include: </w:t>
      </w:r>
    </w:p>
    <w:p w14:paraId="187E94DA" w14:textId="77777777" w:rsidR="00514F4A" w:rsidRDefault="001D4E15" w:rsidP="00D41C74">
      <w:pPr>
        <w:pStyle w:val="ListParagraph"/>
        <w:numPr>
          <w:ilvl w:val="0"/>
          <w:numId w:val="84"/>
        </w:numPr>
        <w:spacing w:after="120"/>
        <w:rPr>
          <w:rFonts w:cs="Calibri"/>
          <w:szCs w:val="18"/>
        </w:rPr>
      </w:pPr>
      <w:r w:rsidRPr="00514F4A">
        <w:rPr>
          <w:rFonts w:cs="Calibri"/>
          <w:szCs w:val="18"/>
        </w:rPr>
        <w:t xml:space="preserve">reviewing the evaluation plan and coordinating feedback  </w:t>
      </w:r>
    </w:p>
    <w:p w14:paraId="1E825DC6" w14:textId="77777777" w:rsidR="00514F4A" w:rsidRDefault="001D4E15" w:rsidP="00D41C74">
      <w:pPr>
        <w:pStyle w:val="ListParagraph"/>
        <w:numPr>
          <w:ilvl w:val="0"/>
          <w:numId w:val="84"/>
        </w:numPr>
        <w:spacing w:after="120"/>
        <w:rPr>
          <w:rFonts w:cs="Calibri"/>
          <w:szCs w:val="18"/>
        </w:rPr>
      </w:pPr>
      <w:r w:rsidRPr="00514F4A">
        <w:rPr>
          <w:rFonts w:cs="Calibri"/>
          <w:szCs w:val="18"/>
        </w:rPr>
        <w:t xml:space="preserve">reviewing the draft evaluation report and coordinating feedback  </w:t>
      </w:r>
    </w:p>
    <w:p w14:paraId="3AC2D643" w14:textId="77777777" w:rsidR="00514F4A" w:rsidRDefault="001D4E15" w:rsidP="00D41C74">
      <w:pPr>
        <w:pStyle w:val="ListParagraph"/>
        <w:numPr>
          <w:ilvl w:val="0"/>
          <w:numId w:val="84"/>
        </w:numPr>
        <w:spacing w:after="120"/>
        <w:rPr>
          <w:rFonts w:cs="Calibri"/>
          <w:szCs w:val="18"/>
        </w:rPr>
      </w:pPr>
      <w:r w:rsidRPr="00514F4A">
        <w:rPr>
          <w:rFonts w:cs="Calibri"/>
          <w:szCs w:val="18"/>
        </w:rPr>
        <w:t xml:space="preserve">reviewing and endorsing the final evaluation report </w:t>
      </w:r>
    </w:p>
    <w:p w14:paraId="5CA4777A" w14:textId="0F90A2D1" w:rsidR="00315466" w:rsidRPr="00514F4A" w:rsidRDefault="001D4E15" w:rsidP="00D41C74">
      <w:pPr>
        <w:pStyle w:val="ListParagraph"/>
        <w:numPr>
          <w:ilvl w:val="0"/>
          <w:numId w:val="84"/>
        </w:numPr>
        <w:spacing w:after="120"/>
        <w:rPr>
          <w:rFonts w:cs="Calibri"/>
          <w:szCs w:val="18"/>
        </w:rPr>
      </w:pPr>
      <w:r w:rsidRPr="00514F4A">
        <w:rPr>
          <w:rFonts w:cs="Calibri"/>
          <w:szCs w:val="18"/>
        </w:rPr>
        <w:t>participating in other ad hoc meetings and discussions on the evaluation as required.</w:t>
      </w:r>
    </w:p>
    <w:p w14:paraId="7B0F8915" w14:textId="77777777" w:rsidR="00514F4A" w:rsidRDefault="001D4E15">
      <w:pPr>
        <w:spacing w:before="0" w:after="120"/>
        <w:ind w:right="58"/>
        <w:rPr>
          <w:rFonts w:cs="Calibri"/>
          <w:color w:val="auto"/>
          <w:szCs w:val="18"/>
        </w:rPr>
      </w:pPr>
      <w:r w:rsidRPr="00A4536F">
        <w:rPr>
          <w:rFonts w:cs="Calibri"/>
          <w:color w:val="auto"/>
          <w:szCs w:val="18"/>
        </w:rPr>
        <w:t xml:space="preserve">Some members of the Evaluation Review Committee may also have a role in collating key documents for the evaluation team, assisting with contacts, scheduling in-country data </w:t>
      </w:r>
      <w:proofErr w:type="gramStart"/>
      <w:r w:rsidRPr="00A4536F">
        <w:rPr>
          <w:rFonts w:cs="Calibri"/>
          <w:color w:val="auto"/>
          <w:szCs w:val="18"/>
        </w:rPr>
        <w:t>collection</w:t>
      </w:r>
      <w:proofErr w:type="gramEnd"/>
      <w:r w:rsidRPr="00A4536F">
        <w:rPr>
          <w:rFonts w:cs="Calibri"/>
          <w:color w:val="auto"/>
          <w:szCs w:val="18"/>
        </w:rPr>
        <w:t xml:space="preserve"> and supporting other coordination activities. The AHPSU will facilitate this process and support the Review Committee to fulfil its role. </w:t>
      </w:r>
    </w:p>
    <w:p w14:paraId="5332DD44" w14:textId="77777777" w:rsidR="008C1BD7" w:rsidRDefault="008C1BD7">
      <w:pPr>
        <w:spacing w:before="0" w:after="0" w:line="240" w:lineRule="auto"/>
        <w:rPr>
          <w:rFonts w:cs="Calibri"/>
          <w:color w:val="auto"/>
          <w:szCs w:val="18"/>
        </w:rPr>
      </w:pPr>
      <w:r>
        <w:rPr>
          <w:rFonts w:cs="Calibri"/>
          <w:color w:val="auto"/>
          <w:szCs w:val="18"/>
        </w:rPr>
        <w:br w:type="page"/>
      </w:r>
    </w:p>
    <w:p w14:paraId="0A7C08B4" w14:textId="2D91B664" w:rsidR="00315466" w:rsidRPr="00A4536F" w:rsidRDefault="001D4E15" w:rsidP="0042524B">
      <w:pPr>
        <w:spacing w:before="0" w:line="240" w:lineRule="auto"/>
        <w:rPr>
          <w:rFonts w:cs="Calibri"/>
          <w:b/>
          <w:bCs/>
          <w:color w:val="auto"/>
          <w:szCs w:val="18"/>
        </w:rPr>
      </w:pPr>
      <w:r w:rsidRPr="00A4536F">
        <w:rPr>
          <w:rFonts w:cs="Calibri"/>
          <w:b/>
          <w:bCs/>
          <w:color w:val="auto"/>
          <w:szCs w:val="18"/>
        </w:rPr>
        <w:lastRenderedPageBreak/>
        <w:t xml:space="preserve">Regular Partner Feedback </w:t>
      </w:r>
    </w:p>
    <w:p w14:paraId="536695FD"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AHP partners and their consortiums consider regular feedback throughout the evaluation process essential to ensure that any challenges in their programming or in the evaluation can be addressed in real time. A mechanism to promote regular engagement between the evaluation team and the AHP and local partners will be discussed as part of the process of developing the evaluation plan. This may involve regular briefings to the AHPSU MEL Manager, DFAT, AHP partners, and in-country partners as required. </w:t>
      </w:r>
    </w:p>
    <w:p w14:paraId="2194F862" w14:textId="77777777" w:rsidR="00315466" w:rsidRPr="00A4536F" w:rsidRDefault="001D4E15">
      <w:pPr>
        <w:spacing w:before="0" w:after="120"/>
        <w:ind w:left="-5" w:right="58"/>
        <w:rPr>
          <w:rFonts w:cs="Calibri"/>
          <w:b/>
          <w:bCs/>
          <w:color w:val="auto"/>
          <w:szCs w:val="18"/>
        </w:rPr>
      </w:pPr>
      <w:r w:rsidRPr="00A4536F">
        <w:rPr>
          <w:rFonts w:cs="Calibri"/>
          <w:b/>
          <w:bCs/>
          <w:color w:val="auto"/>
          <w:szCs w:val="18"/>
        </w:rPr>
        <w:t xml:space="preserve">Dissemination </w:t>
      </w:r>
    </w:p>
    <w:p w14:paraId="6B098989"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The findings of the evaluation will be disseminated to AHP partners, the broader </w:t>
      </w:r>
      <w:proofErr w:type="gramStart"/>
      <w:r w:rsidRPr="00A4536F">
        <w:rPr>
          <w:rFonts w:cs="Calibri"/>
          <w:color w:val="auto"/>
          <w:szCs w:val="18"/>
        </w:rPr>
        <w:t>consortium</w:t>
      </w:r>
      <w:proofErr w:type="gramEnd"/>
      <w:r w:rsidRPr="00A4536F">
        <w:rPr>
          <w:rFonts w:cs="Calibri"/>
          <w:color w:val="auto"/>
          <w:szCs w:val="18"/>
        </w:rPr>
        <w:t xml:space="preserve"> and wider networks to promote broad learning and uptake of lessons.  </w:t>
      </w:r>
    </w:p>
    <w:p w14:paraId="67EE46FA"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KEY DOCUMENTS </w:t>
      </w:r>
    </w:p>
    <w:p w14:paraId="3B25C88D"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Some documents that will be useful for the evaluation are included below. The NGO partners, the AHPSU and DFAT will also make available to the Team Leader other information and documents relating to the project and the AHP as required. The evaluation team is expected to independently source other relevant material and literature. </w:t>
      </w:r>
    </w:p>
    <w:p w14:paraId="338B99FF"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The key documents will include: </w:t>
      </w:r>
    </w:p>
    <w:p w14:paraId="72705320" w14:textId="77777777" w:rsidR="008C1BD7" w:rsidRDefault="001D4E15" w:rsidP="00D41C74">
      <w:pPr>
        <w:pStyle w:val="ListParagraph"/>
        <w:numPr>
          <w:ilvl w:val="0"/>
          <w:numId w:val="85"/>
        </w:numPr>
        <w:spacing w:after="120"/>
        <w:rPr>
          <w:rFonts w:cs="Calibri"/>
          <w:szCs w:val="18"/>
        </w:rPr>
      </w:pPr>
      <w:r w:rsidRPr="008C1BD7">
        <w:rPr>
          <w:rFonts w:cs="Calibri"/>
          <w:szCs w:val="18"/>
        </w:rPr>
        <w:t xml:space="preserve">Project documents including project proposals and annexes (e.g. MEL </w:t>
      </w:r>
      <w:proofErr w:type="spellStart"/>
      <w:r w:rsidRPr="008C1BD7">
        <w:rPr>
          <w:rFonts w:cs="Calibri"/>
          <w:szCs w:val="18"/>
        </w:rPr>
        <w:t>logframes</w:t>
      </w:r>
      <w:proofErr w:type="spellEnd"/>
      <w:r w:rsidRPr="008C1BD7">
        <w:rPr>
          <w:rFonts w:cs="Calibri"/>
          <w:szCs w:val="18"/>
        </w:rPr>
        <w:t xml:space="preserve">, Gender Equality, Disability and Social Inclusion (GEDSI) plans, activity plans, risk register) </w:t>
      </w:r>
    </w:p>
    <w:p w14:paraId="4ADF3E65" w14:textId="77777777" w:rsidR="008C1BD7" w:rsidRPr="008C1BD7" w:rsidRDefault="001D4E15" w:rsidP="00D41C74">
      <w:pPr>
        <w:pStyle w:val="ListParagraph"/>
        <w:numPr>
          <w:ilvl w:val="0"/>
          <w:numId w:val="85"/>
        </w:numPr>
        <w:spacing w:after="120"/>
        <w:rPr>
          <w:rFonts w:cs="Calibri"/>
          <w:szCs w:val="18"/>
        </w:rPr>
      </w:pPr>
      <w:r w:rsidRPr="008C1BD7">
        <w:rPr>
          <w:rFonts w:eastAsia="Segoe UI" w:cs="Calibri"/>
          <w:i/>
          <w:szCs w:val="18"/>
        </w:rPr>
        <w:t xml:space="preserve">Australia’s International Development Policy: For a Peaceful, Stable and Prosperous Indo-Pacific, </w:t>
      </w:r>
      <w:r w:rsidRPr="008C1BD7">
        <w:rPr>
          <w:rFonts w:cs="Calibri"/>
          <w:szCs w:val="18"/>
        </w:rPr>
        <w:t>Commonwealth of Australia, August 2023</w:t>
      </w:r>
      <w:hyperlink r:id="rId43">
        <w:r w:rsidRPr="008C1BD7">
          <w:rPr>
            <w:rFonts w:cs="Calibri"/>
            <w:szCs w:val="18"/>
          </w:rPr>
          <w:t xml:space="preserve"> </w:t>
        </w:r>
      </w:hyperlink>
      <w:hyperlink r:id="rId44">
        <w:r w:rsidRPr="008C1BD7">
          <w:rPr>
            <w:rFonts w:eastAsia="Segoe UI" w:cs="Calibri"/>
            <w:szCs w:val="18"/>
            <w:u w:val="single" w:color="0000FF"/>
          </w:rPr>
          <w:t>Australia’s International Development Policy | Australian Government Department of</w:t>
        </w:r>
      </w:hyperlink>
      <w:hyperlink r:id="rId45">
        <w:r w:rsidRPr="008C1BD7">
          <w:rPr>
            <w:rFonts w:eastAsia="Segoe UI" w:cs="Calibri"/>
            <w:szCs w:val="18"/>
          </w:rPr>
          <w:t xml:space="preserve"> </w:t>
        </w:r>
      </w:hyperlink>
      <w:hyperlink r:id="rId46">
        <w:r w:rsidRPr="008C1BD7">
          <w:rPr>
            <w:rFonts w:cs="Calibri"/>
            <w:szCs w:val="18"/>
            <w:u w:val="single" w:color="0000FF"/>
          </w:rPr>
          <w:t>Foreign Affairs and Trade (dfat.gov.au)</w:t>
        </w:r>
      </w:hyperlink>
      <w:hyperlink r:id="rId47">
        <w:r w:rsidRPr="008C1BD7">
          <w:rPr>
            <w:rFonts w:eastAsia="Segoe UI" w:cs="Calibri"/>
            <w:i/>
            <w:szCs w:val="18"/>
          </w:rPr>
          <w:t xml:space="preserve"> </w:t>
        </w:r>
      </w:hyperlink>
    </w:p>
    <w:p w14:paraId="76719FEB" w14:textId="77777777" w:rsidR="008C1BD7" w:rsidRDefault="00234B5F" w:rsidP="00D41C74">
      <w:pPr>
        <w:pStyle w:val="ListParagraph"/>
        <w:numPr>
          <w:ilvl w:val="0"/>
          <w:numId w:val="85"/>
        </w:numPr>
        <w:spacing w:after="120"/>
        <w:rPr>
          <w:rFonts w:cs="Calibri"/>
          <w:szCs w:val="18"/>
        </w:rPr>
      </w:pPr>
      <w:hyperlink r:id="rId48">
        <w:r w:rsidR="001D4E15" w:rsidRPr="008C1BD7">
          <w:rPr>
            <w:rFonts w:cs="Calibri"/>
            <w:szCs w:val="18"/>
          </w:rPr>
          <w:t xml:space="preserve"> </w:t>
        </w:r>
      </w:hyperlink>
      <w:hyperlink r:id="rId49">
        <w:r w:rsidR="001D4E15" w:rsidRPr="008C1BD7">
          <w:rPr>
            <w:rFonts w:cs="Calibri"/>
            <w:szCs w:val="18"/>
            <w:u w:val="single" w:color="0000FF"/>
          </w:rPr>
          <w:t>Environmental and social safeguards | Australian Government Department of Foreign Affairs and Trade (dfat.gov.au)</w:t>
        </w:r>
      </w:hyperlink>
      <w:hyperlink r:id="rId50">
        <w:r w:rsidR="001D4E15" w:rsidRPr="008C1BD7">
          <w:rPr>
            <w:rFonts w:cs="Calibri"/>
            <w:szCs w:val="18"/>
          </w:rPr>
          <w:t xml:space="preserve"> </w:t>
        </w:r>
      </w:hyperlink>
    </w:p>
    <w:p w14:paraId="1EE72F7D" w14:textId="77777777" w:rsidR="008C1BD7" w:rsidRDefault="00234B5F" w:rsidP="00D41C74">
      <w:pPr>
        <w:pStyle w:val="ListParagraph"/>
        <w:numPr>
          <w:ilvl w:val="0"/>
          <w:numId w:val="85"/>
        </w:numPr>
        <w:spacing w:after="120"/>
        <w:rPr>
          <w:rFonts w:cs="Calibri"/>
          <w:szCs w:val="18"/>
        </w:rPr>
      </w:pPr>
      <w:hyperlink r:id="rId51">
        <w:r w:rsidR="001D4E15" w:rsidRPr="008C1BD7">
          <w:rPr>
            <w:rFonts w:cs="Calibri"/>
            <w:szCs w:val="18"/>
            <w:u w:val="single" w:color="0000FF"/>
          </w:rPr>
          <w:t>Ethical Research and Evaluation Guidance Note (dfat.gov.au)</w:t>
        </w:r>
      </w:hyperlink>
      <w:hyperlink r:id="rId52">
        <w:r w:rsidR="001D4E15" w:rsidRPr="008C1BD7">
          <w:rPr>
            <w:rFonts w:cs="Calibri"/>
            <w:szCs w:val="18"/>
          </w:rPr>
          <w:t xml:space="preserve"> </w:t>
        </w:r>
      </w:hyperlink>
    </w:p>
    <w:p w14:paraId="6A0F2ADC" w14:textId="77777777" w:rsidR="008C1BD7" w:rsidRDefault="001D4E15" w:rsidP="00D41C74">
      <w:pPr>
        <w:pStyle w:val="ListParagraph"/>
        <w:numPr>
          <w:ilvl w:val="0"/>
          <w:numId w:val="85"/>
        </w:numPr>
        <w:spacing w:after="120"/>
        <w:rPr>
          <w:rFonts w:cs="Calibri"/>
          <w:szCs w:val="18"/>
        </w:rPr>
      </w:pPr>
      <w:r w:rsidRPr="008C1BD7">
        <w:rPr>
          <w:rFonts w:eastAsia="Segoe UI" w:cs="Calibri"/>
          <w:i/>
          <w:szCs w:val="18"/>
        </w:rPr>
        <w:t xml:space="preserve">Food Security as a Modality for Change, </w:t>
      </w:r>
      <w:r w:rsidRPr="008C1BD7">
        <w:rPr>
          <w:rFonts w:cs="Calibri"/>
          <w:szCs w:val="18"/>
        </w:rPr>
        <w:t>Plan International research</w:t>
      </w:r>
      <w:hyperlink r:id="rId53" w:anchor=":~:text=The%20purpose%20of%20the%20Food%20Security%20as%20a,results%20and%20activities%20to%20outcome%20based%2Flong%20term%20results.">
        <w:r w:rsidRPr="008C1BD7">
          <w:rPr>
            <w:rFonts w:cs="Calibri"/>
            <w:szCs w:val="18"/>
          </w:rPr>
          <w:t xml:space="preserve"> </w:t>
        </w:r>
      </w:hyperlink>
      <w:hyperlink r:id="rId54" w:anchor=":~:text=The%20purpose%20of%20the%20Food%20Security%20as%20a,results%20and%20activities%20to%20outcome%20based%2Flong%20term%20results.">
        <w:r w:rsidRPr="008C1BD7">
          <w:rPr>
            <w:rFonts w:cs="Calibri"/>
            <w:szCs w:val="18"/>
            <w:u w:val="single" w:color="0000FF"/>
          </w:rPr>
          <w:t>Food Security as a Modality</w:t>
        </w:r>
      </w:hyperlink>
      <w:hyperlink r:id="rId55" w:anchor=":~:text=The%20purpose%20of%20the%20Food%20Security%20as%20a,results%20and%20activities%20to%20outcome%20based%2Flong%20term%20results.">
        <w:r w:rsidRPr="008C1BD7">
          <w:rPr>
            <w:rFonts w:cs="Calibri"/>
            <w:szCs w:val="18"/>
            <w:u w:val="single" w:color="0000FF"/>
          </w:rPr>
          <w:t xml:space="preserve"> </w:t>
        </w:r>
      </w:hyperlink>
      <w:hyperlink r:id="rId56" w:anchor=":~:text=The%20purpose%20of%20the%20Food%20Security%20as%20a,results%20and%20activities%20to%20outcome%20based%2Flong%20term%20results.">
        <w:r w:rsidRPr="008C1BD7">
          <w:rPr>
            <w:rFonts w:cs="Calibri"/>
            <w:szCs w:val="18"/>
            <w:u w:val="single" w:color="0000FF"/>
          </w:rPr>
          <w:t xml:space="preserve">for Change </w:t>
        </w:r>
      </w:hyperlink>
      <w:hyperlink r:id="rId57" w:anchor=":~:text=The%20purpose%20of%20the%20Food%20Security%20as%20a,results%20and%20activities%20to%20outcome%20based%2Flong%20term%20results.">
        <w:r w:rsidRPr="008C1BD7">
          <w:rPr>
            <w:rFonts w:cs="Calibri"/>
            <w:szCs w:val="18"/>
            <w:u w:val="single" w:color="0000FF"/>
          </w:rPr>
          <w:t xml:space="preserve">- </w:t>
        </w:r>
      </w:hyperlink>
      <w:hyperlink r:id="rId58" w:anchor=":~:text=The%20purpose%20of%20the%20Food%20Security%20as%20a,results%20and%20activities%20to%20outcome%20based%2Flong%20term%20results.">
        <w:r w:rsidRPr="008C1BD7">
          <w:rPr>
            <w:rFonts w:cs="Calibri"/>
            <w:szCs w:val="18"/>
            <w:u w:val="single" w:color="0000FF"/>
          </w:rPr>
          <w:t>Plan</w:t>
        </w:r>
      </w:hyperlink>
      <w:hyperlink r:id="rId59" w:anchor=":~:text=The%20purpose%20of%20the%20Food%20Security%20as%20a,results%20and%20activities%20to%20outcome%20based%2Flong%20term%20results.">
        <w:r w:rsidRPr="008C1BD7">
          <w:rPr>
            <w:rFonts w:cs="Calibri"/>
            <w:szCs w:val="18"/>
          </w:rPr>
          <w:t xml:space="preserve"> </w:t>
        </w:r>
      </w:hyperlink>
      <w:hyperlink r:id="rId60" w:anchor=":~:text=The%20purpose%20of%20the%20Food%20Security%20as%20a,results%20and%20activities%20to%20outcome%20based%2Flong%20term%20results.">
        <w:r w:rsidRPr="008C1BD7">
          <w:rPr>
            <w:rFonts w:cs="Calibri"/>
            <w:szCs w:val="18"/>
            <w:u w:val="single" w:color="0000FF"/>
          </w:rPr>
          <w:t>International Australia</w:t>
        </w:r>
      </w:hyperlink>
      <w:hyperlink r:id="rId61" w:anchor=":~:text=The%20purpose%20of%20the%20Food%20Security%20as%20a,results%20and%20activities%20to%20outcome%20based%2Flong%20term%20results.">
        <w:r w:rsidRPr="008C1BD7">
          <w:rPr>
            <w:rFonts w:cs="Calibri"/>
            <w:szCs w:val="18"/>
          </w:rPr>
          <w:t xml:space="preserve"> </w:t>
        </w:r>
      </w:hyperlink>
    </w:p>
    <w:p w14:paraId="6749BAA5" w14:textId="77777777" w:rsidR="008C1BD7" w:rsidRDefault="001D4E15" w:rsidP="00D41C74">
      <w:pPr>
        <w:pStyle w:val="ListParagraph"/>
        <w:numPr>
          <w:ilvl w:val="0"/>
          <w:numId w:val="85"/>
        </w:numPr>
        <w:spacing w:after="120"/>
        <w:rPr>
          <w:rFonts w:cs="Calibri"/>
          <w:szCs w:val="18"/>
        </w:rPr>
      </w:pPr>
      <w:r w:rsidRPr="008C1BD7">
        <w:rPr>
          <w:rFonts w:eastAsia="Segoe UI" w:cs="Calibri"/>
          <w:i/>
          <w:szCs w:val="18"/>
        </w:rPr>
        <w:t>Resourcing Families for Better Nutrition Common Approach</w:t>
      </w:r>
      <w:r w:rsidRPr="008C1BD7">
        <w:rPr>
          <w:rFonts w:cs="Calibri"/>
          <w:szCs w:val="18"/>
        </w:rPr>
        <w:t xml:space="preserve">, Save the Children International </w:t>
      </w:r>
      <w:hyperlink r:id="rId62">
        <w:r w:rsidRPr="008C1BD7">
          <w:rPr>
            <w:rFonts w:cs="Calibri"/>
            <w:szCs w:val="18"/>
            <w:u w:val="single" w:color="0000FF"/>
          </w:rPr>
          <w:t>Resourcing Families</w:t>
        </w:r>
      </w:hyperlink>
      <w:hyperlink r:id="rId63">
        <w:r w:rsidRPr="008C1BD7">
          <w:rPr>
            <w:rFonts w:cs="Calibri"/>
            <w:szCs w:val="18"/>
          </w:rPr>
          <w:t xml:space="preserve"> </w:t>
        </w:r>
      </w:hyperlink>
      <w:hyperlink r:id="rId64">
        <w:r w:rsidRPr="008C1BD7">
          <w:rPr>
            <w:rFonts w:eastAsia="Segoe UI" w:cs="Calibri"/>
            <w:szCs w:val="18"/>
            <w:u w:val="single" w:color="0000FF"/>
          </w:rPr>
          <w:t>for Better Nutrition: Common Approach | Save the Children’s Resource Centre</w:t>
        </w:r>
      </w:hyperlink>
      <w:hyperlink r:id="rId65">
        <w:r w:rsidRPr="008C1BD7">
          <w:rPr>
            <w:rFonts w:cs="Calibri"/>
            <w:szCs w:val="18"/>
          </w:rPr>
          <w:t xml:space="preserve"> </w:t>
        </w:r>
      </w:hyperlink>
    </w:p>
    <w:p w14:paraId="6E217C5F" w14:textId="77777777" w:rsidR="008C1BD7" w:rsidRDefault="001D4E15" w:rsidP="00D41C74">
      <w:pPr>
        <w:pStyle w:val="ListParagraph"/>
        <w:numPr>
          <w:ilvl w:val="0"/>
          <w:numId w:val="85"/>
        </w:numPr>
        <w:spacing w:after="120"/>
        <w:rPr>
          <w:rFonts w:cs="Calibri"/>
          <w:szCs w:val="18"/>
        </w:rPr>
      </w:pPr>
      <w:r w:rsidRPr="008C1BD7">
        <w:rPr>
          <w:rFonts w:eastAsia="Segoe UI" w:cs="Calibri"/>
          <w:i/>
          <w:szCs w:val="18"/>
        </w:rPr>
        <w:t>Covid-19 Pacific and Timor-Leste Preparedness and Recovery NGO Partnership: Final Evaluation Report</w:t>
      </w:r>
      <w:r w:rsidRPr="008C1BD7">
        <w:rPr>
          <w:rFonts w:cs="Calibri"/>
          <w:szCs w:val="18"/>
        </w:rPr>
        <w:t xml:space="preserve">, February 2023 </w:t>
      </w:r>
      <w:r w:rsidRPr="008C1BD7">
        <w:rPr>
          <w:rFonts w:eastAsia="Segoe UI" w:cs="Calibri"/>
          <w:szCs w:val="18"/>
        </w:rPr>
        <w:t>–</w:t>
      </w:r>
      <w:r w:rsidRPr="008C1BD7">
        <w:rPr>
          <w:rFonts w:cs="Calibri"/>
          <w:szCs w:val="18"/>
        </w:rPr>
        <w:t xml:space="preserve"> relevant for other AHP food security and livelihoods interventions </w:t>
      </w:r>
    </w:p>
    <w:p w14:paraId="7E4CEF04" w14:textId="77777777" w:rsidR="008C1BD7" w:rsidRDefault="001D4E15" w:rsidP="00D41C74">
      <w:pPr>
        <w:pStyle w:val="ListParagraph"/>
        <w:numPr>
          <w:ilvl w:val="0"/>
          <w:numId w:val="85"/>
        </w:numPr>
        <w:spacing w:after="120"/>
        <w:rPr>
          <w:rFonts w:cs="Calibri"/>
          <w:szCs w:val="18"/>
        </w:rPr>
      </w:pPr>
      <w:r w:rsidRPr="008C1BD7">
        <w:rPr>
          <w:rFonts w:cs="Calibri"/>
          <w:szCs w:val="18"/>
        </w:rPr>
        <w:t xml:space="preserve">Other reports examining food security and livelihoods approaches and gaps in current humanitarian assistance, in the Horn of Africa and more broadly, to ensure a broad evidence base for the evaluation. </w:t>
      </w:r>
    </w:p>
    <w:p w14:paraId="040799F5" w14:textId="77777777" w:rsidR="008C1BD7" w:rsidRDefault="001D4E15" w:rsidP="00D41C74">
      <w:pPr>
        <w:pStyle w:val="ListParagraph"/>
        <w:numPr>
          <w:ilvl w:val="0"/>
          <w:numId w:val="85"/>
        </w:numPr>
        <w:spacing w:after="120"/>
        <w:rPr>
          <w:rFonts w:cs="Calibri"/>
          <w:szCs w:val="18"/>
        </w:rPr>
      </w:pPr>
      <w:r w:rsidRPr="008C1BD7">
        <w:rPr>
          <w:rFonts w:eastAsia="Segoe UI" w:cs="Calibri"/>
          <w:i/>
          <w:szCs w:val="18"/>
        </w:rPr>
        <w:t>DFAT Monitoring and Evaluation Standards</w:t>
      </w:r>
      <w:hyperlink r:id="rId66">
        <w:r w:rsidRPr="008C1BD7">
          <w:rPr>
            <w:rFonts w:eastAsia="Segoe UI" w:cs="Calibri"/>
            <w:i/>
            <w:szCs w:val="18"/>
          </w:rPr>
          <w:t xml:space="preserve"> </w:t>
        </w:r>
      </w:hyperlink>
      <w:hyperlink r:id="rId67">
        <w:r w:rsidRPr="008C1BD7">
          <w:rPr>
            <w:rFonts w:cs="Calibri"/>
            <w:szCs w:val="18"/>
            <w:u w:val="single" w:color="0000FF"/>
          </w:rPr>
          <w:t>dfat</w:t>
        </w:r>
      </w:hyperlink>
      <w:hyperlink r:id="rId68">
        <w:r w:rsidRPr="008C1BD7">
          <w:rPr>
            <w:rFonts w:cs="Calibri"/>
            <w:szCs w:val="18"/>
            <w:u w:val="single" w:color="0000FF"/>
          </w:rPr>
          <w:t>-</w:t>
        </w:r>
      </w:hyperlink>
      <w:hyperlink r:id="rId69">
        <w:r w:rsidRPr="008C1BD7">
          <w:rPr>
            <w:rFonts w:cs="Calibri"/>
            <w:szCs w:val="18"/>
            <w:u w:val="single" w:color="0000FF"/>
          </w:rPr>
          <w:t>design</w:t>
        </w:r>
      </w:hyperlink>
      <w:hyperlink r:id="rId70">
        <w:r w:rsidRPr="008C1BD7">
          <w:rPr>
            <w:rFonts w:cs="Calibri"/>
            <w:szCs w:val="18"/>
            <w:u w:val="single" w:color="0000FF"/>
          </w:rPr>
          <w:t>-</w:t>
        </w:r>
      </w:hyperlink>
      <w:hyperlink r:id="rId71">
        <w:r w:rsidRPr="008C1BD7">
          <w:rPr>
            <w:rFonts w:cs="Calibri"/>
            <w:szCs w:val="18"/>
            <w:u w:val="single" w:color="0000FF"/>
          </w:rPr>
          <w:t>monitoring</w:t>
        </w:r>
      </w:hyperlink>
      <w:hyperlink r:id="rId72">
        <w:r w:rsidRPr="008C1BD7">
          <w:rPr>
            <w:rFonts w:cs="Calibri"/>
            <w:szCs w:val="18"/>
            <w:u w:val="single" w:color="0000FF"/>
          </w:rPr>
          <w:t>-</w:t>
        </w:r>
      </w:hyperlink>
      <w:hyperlink r:id="rId73">
        <w:r w:rsidRPr="008C1BD7">
          <w:rPr>
            <w:rFonts w:cs="Calibri"/>
            <w:szCs w:val="18"/>
            <w:u w:val="single" w:color="0000FF"/>
          </w:rPr>
          <w:t>evaluation</w:t>
        </w:r>
      </w:hyperlink>
      <w:hyperlink r:id="rId74">
        <w:r w:rsidRPr="008C1BD7">
          <w:rPr>
            <w:rFonts w:cs="Calibri"/>
            <w:szCs w:val="18"/>
            <w:u w:val="single" w:color="0000FF"/>
          </w:rPr>
          <w:t>-</w:t>
        </w:r>
      </w:hyperlink>
      <w:hyperlink r:id="rId75">
        <w:r w:rsidRPr="008C1BD7">
          <w:rPr>
            <w:rFonts w:cs="Calibri"/>
            <w:szCs w:val="18"/>
            <w:u w:val="single" w:color="0000FF"/>
          </w:rPr>
          <w:t>learning</w:t>
        </w:r>
      </w:hyperlink>
      <w:hyperlink r:id="rId76">
        <w:r w:rsidRPr="008C1BD7">
          <w:rPr>
            <w:rFonts w:cs="Calibri"/>
            <w:szCs w:val="18"/>
            <w:u w:val="single" w:color="0000FF"/>
          </w:rPr>
          <w:t>-</w:t>
        </w:r>
      </w:hyperlink>
      <w:hyperlink r:id="rId77">
        <w:r w:rsidRPr="008C1BD7">
          <w:rPr>
            <w:rFonts w:cs="Calibri"/>
            <w:szCs w:val="18"/>
            <w:u w:val="single" w:color="0000FF"/>
          </w:rPr>
          <w:t>standards.docx (live.com)</w:t>
        </w:r>
      </w:hyperlink>
      <w:hyperlink r:id="rId78">
        <w:r w:rsidRPr="008C1BD7">
          <w:rPr>
            <w:rFonts w:cs="Calibri"/>
            <w:szCs w:val="18"/>
          </w:rPr>
          <w:t xml:space="preserve"> </w:t>
        </w:r>
      </w:hyperlink>
      <w:r w:rsidRPr="008C1BD7">
        <w:rPr>
          <w:rFonts w:cs="Calibri"/>
          <w:szCs w:val="18"/>
        </w:rPr>
        <w:t xml:space="preserve">including </w:t>
      </w:r>
      <w:hyperlink r:id="rId79">
        <w:r w:rsidRPr="008C1BD7">
          <w:rPr>
            <w:rFonts w:eastAsia="Segoe UI" w:cs="Calibri"/>
            <w:i/>
            <w:szCs w:val="18"/>
          </w:rPr>
          <w:t xml:space="preserve">DFAT’s Ethical Research and </w:t>
        </w:r>
      </w:hyperlink>
      <w:hyperlink r:id="rId80">
        <w:r w:rsidRPr="008C1BD7">
          <w:rPr>
            <w:rFonts w:eastAsia="Segoe UI" w:cs="Calibri"/>
            <w:i/>
            <w:szCs w:val="18"/>
          </w:rPr>
          <w:t>Evaluation Guidance</w:t>
        </w:r>
      </w:hyperlink>
      <w:hyperlink r:id="rId81">
        <w:r w:rsidRPr="008C1BD7">
          <w:rPr>
            <w:rFonts w:cs="Calibri"/>
            <w:szCs w:val="18"/>
          </w:rPr>
          <w:t xml:space="preserve"> </w:t>
        </w:r>
      </w:hyperlink>
    </w:p>
    <w:p w14:paraId="75453579" w14:textId="282DE71A" w:rsidR="00315466" w:rsidRPr="008C1BD7" w:rsidRDefault="001D4E15" w:rsidP="00D41C74">
      <w:pPr>
        <w:pStyle w:val="ListParagraph"/>
        <w:numPr>
          <w:ilvl w:val="0"/>
          <w:numId w:val="85"/>
        </w:numPr>
        <w:spacing w:after="120"/>
        <w:rPr>
          <w:rFonts w:cs="Calibri"/>
          <w:szCs w:val="18"/>
        </w:rPr>
      </w:pPr>
      <w:r w:rsidRPr="008C1BD7">
        <w:rPr>
          <w:rFonts w:cs="Calibri"/>
          <w:szCs w:val="18"/>
        </w:rPr>
        <w:t xml:space="preserve">Australasian Evaluation Society </w:t>
      </w:r>
      <w:r w:rsidRPr="008C1BD7">
        <w:rPr>
          <w:rFonts w:eastAsia="Segoe UI" w:cs="Calibri"/>
          <w:i/>
          <w:szCs w:val="18"/>
        </w:rPr>
        <w:t>Guidelines for the Ethical Conduct of Evaluations</w:t>
      </w:r>
      <w:r w:rsidRPr="008C1BD7">
        <w:rPr>
          <w:rFonts w:cs="Calibri"/>
          <w:szCs w:val="18"/>
        </w:rPr>
        <w:t>,</w:t>
      </w:r>
      <w:hyperlink r:id="rId82">
        <w:r w:rsidRPr="008C1BD7">
          <w:rPr>
            <w:rFonts w:cs="Calibri"/>
            <w:szCs w:val="18"/>
          </w:rPr>
          <w:t xml:space="preserve"> </w:t>
        </w:r>
      </w:hyperlink>
      <w:hyperlink r:id="rId83">
        <w:r w:rsidRPr="008C1BD7">
          <w:rPr>
            <w:rFonts w:cs="Calibri"/>
            <w:szCs w:val="18"/>
            <w:u w:val="single" w:color="0000FF"/>
          </w:rPr>
          <w:t>AES_Guidelines_web_v2.pdf</w:t>
        </w:r>
      </w:hyperlink>
      <w:hyperlink r:id="rId84">
        <w:r w:rsidRPr="008C1BD7">
          <w:rPr>
            <w:rFonts w:cs="Calibri"/>
            <w:szCs w:val="18"/>
          </w:rPr>
          <w:t xml:space="preserve"> </w:t>
        </w:r>
      </w:hyperlink>
      <w:r w:rsidRPr="008C1BD7">
        <w:rPr>
          <w:rFonts w:cs="Calibri"/>
          <w:szCs w:val="18"/>
        </w:rPr>
        <w:t xml:space="preserve">and the AES </w:t>
      </w:r>
      <w:r w:rsidRPr="008C1BD7">
        <w:rPr>
          <w:rFonts w:eastAsia="Segoe UI" w:cs="Calibri"/>
          <w:i/>
          <w:szCs w:val="18"/>
        </w:rPr>
        <w:t>Code of Ethics</w:t>
      </w:r>
      <w:hyperlink r:id="rId85">
        <w:r w:rsidRPr="008C1BD7">
          <w:rPr>
            <w:rFonts w:cs="Calibri"/>
            <w:szCs w:val="18"/>
          </w:rPr>
          <w:t xml:space="preserve"> </w:t>
        </w:r>
      </w:hyperlink>
      <w:hyperlink r:id="rId86">
        <w:r w:rsidRPr="008C1BD7">
          <w:rPr>
            <w:rFonts w:cs="Calibri"/>
            <w:szCs w:val="18"/>
            <w:u w:val="single" w:color="0000FF"/>
          </w:rPr>
          <w:t>AES_Code_of_Ethics_web.pdf</w:t>
        </w:r>
      </w:hyperlink>
      <w:hyperlink r:id="rId87">
        <w:r w:rsidRPr="008C1BD7">
          <w:rPr>
            <w:rFonts w:cs="Calibri"/>
            <w:szCs w:val="18"/>
          </w:rPr>
          <w:t xml:space="preserve"> </w:t>
        </w:r>
      </w:hyperlink>
    </w:p>
    <w:p w14:paraId="7B216242"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EVALUATION DELIVERABLES </w:t>
      </w:r>
    </w:p>
    <w:p w14:paraId="4AC36F31" w14:textId="77777777" w:rsidR="00315466" w:rsidRPr="00A4536F" w:rsidRDefault="001D4E15">
      <w:pPr>
        <w:spacing w:before="0" w:after="120"/>
        <w:rPr>
          <w:rFonts w:cs="Calibri"/>
          <w:color w:val="auto"/>
          <w:szCs w:val="18"/>
        </w:rPr>
      </w:pPr>
      <w:r w:rsidRPr="00A4536F">
        <w:rPr>
          <w:rFonts w:cs="Calibri"/>
          <w:color w:val="auto"/>
          <w:szCs w:val="18"/>
        </w:rPr>
        <w:t xml:space="preserve">The following deliverables will be expected from the evaluation team. </w:t>
      </w:r>
    </w:p>
    <w:p w14:paraId="43B991C0" w14:textId="77777777" w:rsidR="008C1BD7" w:rsidRDefault="001D4E15" w:rsidP="00D41C74">
      <w:pPr>
        <w:pStyle w:val="ListParagraph"/>
        <w:numPr>
          <w:ilvl w:val="0"/>
          <w:numId w:val="86"/>
        </w:numPr>
        <w:spacing w:after="120"/>
        <w:rPr>
          <w:rFonts w:cs="Calibri"/>
          <w:szCs w:val="18"/>
        </w:rPr>
      </w:pPr>
      <w:r w:rsidRPr="008C1BD7">
        <w:rPr>
          <w:rFonts w:cs="Calibri"/>
          <w:szCs w:val="18"/>
        </w:rPr>
        <w:t xml:space="preserve">Draft evaluation plan  </w:t>
      </w:r>
    </w:p>
    <w:p w14:paraId="5846EC32" w14:textId="77777777" w:rsidR="008C1BD7" w:rsidRDefault="001D4E15" w:rsidP="00D41C74">
      <w:pPr>
        <w:pStyle w:val="ListParagraph"/>
        <w:numPr>
          <w:ilvl w:val="0"/>
          <w:numId w:val="86"/>
        </w:numPr>
        <w:spacing w:after="120"/>
        <w:rPr>
          <w:rFonts w:cs="Calibri"/>
          <w:szCs w:val="18"/>
        </w:rPr>
      </w:pPr>
      <w:r w:rsidRPr="008C1BD7">
        <w:rPr>
          <w:rFonts w:cs="Calibri"/>
          <w:szCs w:val="18"/>
        </w:rPr>
        <w:t xml:space="preserve">Final evaluation plan </w:t>
      </w:r>
    </w:p>
    <w:p w14:paraId="37420B2E" w14:textId="77777777" w:rsidR="008C1BD7" w:rsidRDefault="001D4E15" w:rsidP="00D41C74">
      <w:pPr>
        <w:pStyle w:val="ListParagraph"/>
        <w:numPr>
          <w:ilvl w:val="0"/>
          <w:numId w:val="86"/>
        </w:numPr>
        <w:spacing w:after="120"/>
        <w:rPr>
          <w:rFonts w:cs="Calibri"/>
          <w:szCs w:val="18"/>
        </w:rPr>
      </w:pPr>
      <w:r w:rsidRPr="008C1BD7">
        <w:rPr>
          <w:rFonts w:cs="Calibri"/>
          <w:szCs w:val="18"/>
        </w:rPr>
        <w:t>Validation workshop to stakeholders with preliminary findings</w:t>
      </w:r>
    </w:p>
    <w:p w14:paraId="135BAFFF" w14:textId="77777777" w:rsidR="008C1BD7" w:rsidRDefault="001D4E15" w:rsidP="00D41C74">
      <w:pPr>
        <w:pStyle w:val="ListParagraph"/>
        <w:numPr>
          <w:ilvl w:val="0"/>
          <w:numId w:val="86"/>
        </w:numPr>
        <w:spacing w:after="120"/>
        <w:rPr>
          <w:rFonts w:cs="Calibri"/>
          <w:szCs w:val="18"/>
        </w:rPr>
      </w:pPr>
      <w:r w:rsidRPr="008C1BD7">
        <w:rPr>
          <w:rFonts w:cs="Calibri"/>
          <w:szCs w:val="18"/>
        </w:rPr>
        <w:t>Aide memoire presentation</w:t>
      </w:r>
    </w:p>
    <w:p w14:paraId="3185A66E" w14:textId="77777777" w:rsidR="008C1BD7" w:rsidRDefault="001D4E15" w:rsidP="00D41C74">
      <w:pPr>
        <w:pStyle w:val="ListParagraph"/>
        <w:numPr>
          <w:ilvl w:val="0"/>
          <w:numId w:val="86"/>
        </w:numPr>
        <w:spacing w:after="120"/>
        <w:rPr>
          <w:rFonts w:cs="Calibri"/>
          <w:szCs w:val="18"/>
        </w:rPr>
      </w:pPr>
      <w:r w:rsidRPr="008C1BD7">
        <w:rPr>
          <w:rFonts w:cs="Calibri"/>
          <w:szCs w:val="18"/>
        </w:rPr>
        <w:lastRenderedPageBreak/>
        <w:t xml:space="preserve">Draft evaluation report </w:t>
      </w:r>
    </w:p>
    <w:p w14:paraId="54E71CD5" w14:textId="77777777" w:rsidR="008C1BD7" w:rsidRDefault="001D4E15" w:rsidP="00D41C74">
      <w:pPr>
        <w:pStyle w:val="ListParagraph"/>
        <w:numPr>
          <w:ilvl w:val="0"/>
          <w:numId w:val="86"/>
        </w:numPr>
        <w:spacing w:after="120"/>
        <w:rPr>
          <w:rFonts w:cs="Calibri"/>
          <w:szCs w:val="18"/>
        </w:rPr>
      </w:pPr>
      <w:r w:rsidRPr="008C1BD7">
        <w:rPr>
          <w:rFonts w:cs="Calibri"/>
          <w:szCs w:val="18"/>
        </w:rPr>
        <w:t xml:space="preserve">Final evaluation report </w:t>
      </w:r>
    </w:p>
    <w:p w14:paraId="7A787C9D" w14:textId="77777777" w:rsidR="008C1BD7" w:rsidRDefault="001D4E15" w:rsidP="00D41C74">
      <w:pPr>
        <w:pStyle w:val="ListParagraph"/>
        <w:numPr>
          <w:ilvl w:val="1"/>
          <w:numId w:val="86"/>
        </w:numPr>
        <w:spacing w:after="120"/>
        <w:rPr>
          <w:rFonts w:cs="Calibri"/>
          <w:szCs w:val="18"/>
        </w:rPr>
      </w:pPr>
      <w:r w:rsidRPr="008C1BD7">
        <w:rPr>
          <w:rFonts w:cs="Calibri"/>
          <w:szCs w:val="18"/>
        </w:rPr>
        <w:t xml:space="preserve">maximum 35-page report plus annexes </w:t>
      </w:r>
    </w:p>
    <w:p w14:paraId="5D5D4D03" w14:textId="77777777" w:rsidR="008C1BD7" w:rsidRDefault="001D4E15" w:rsidP="00D41C74">
      <w:pPr>
        <w:pStyle w:val="ListParagraph"/>
        <w:numPr>
          <w:ilvl w:val="1"/>
          <w:numId w:val="86"/>
        </w:numPr>
        <w:spacing w:after="120"/>
        <w:rPr>
          <w:rFonts w:cs="Calibri"/>
          <w:szCs w:val="18"/>
        </w:rPr>
      </w:pPr>
      <w:r w:rsidRPr="008C1BD7">
        <w:rPr>
          <w:rFonts w:cs="Calibri"/>
          <w:szCs w:val="18"/>
        </w:rPr>
        <w:t xml:space="preserve">Including visuals and thematic case studies </w:t>
      </w:r>
    </w:p>
    <w:p w14:paraId="26761117" w14:textId="637A13FA" w:rsidR="00315466" w:rsidRPr="008C1BD7" w:rsidRDefault="001D4E15" w:rsidP="00D41C74">
      <w:pPr>
        <w:pStyle w:val="ListParagraph"/>
        <w:numPr>
          <w:ilvl w:val="1"/>
          <w:numId w:val="86"/>
        </w:numPr>
        <w:spacing w:after="120"/>
        <w:rPr>
          <w:rFonts w:cs="Calibri"/>
          <w:szCs w:val="18"/>
        </w:rPr>
      </w:pPr>
      <w:r w:rsidRPr="008C1BD7">
        <w:rPr>
          <w:rFonts w:cs="Calibri"/>
          <w:szCs w:val="18"/>
        </w:rPr>
        <w:t xml:space="preserve">3-page infographic summary version for ease of accessibility by stakeholders. </w:t>
      </w:r>
    </w:p>
    <w:p w14:paraId="68A5F8F3"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EVALUATION TEAM </w:t>
      </w:r>
    </w:p>
    <w:p w14:paraId="424C6B8D" w14:textId="77777777" w:rsidR="00315466" w:rsidRPr="00A4536F" w:rsidRDefault="001D4E15">
      <w:pPr>
        <w:spacing w:before="0" w:after="120"/>
        <w:ind w:left="-5" w:right="57"/>
        <w:rPr>
          <w:rFonts w:cs="Calibri"/>
          <w:color w:val="auto"/>
          <w:szCs w:val="18"/>
        </w:rPr>
      </w:pPr>
      <w:r w:rsidRPr="00A4536F">
        <w:rPr>
          <w:rFonts w:cs="Calibri"/>
          <w:color w:val="auto"/>
          <w:szCs w:val="18"/>
        </w:rPr>
        <w:t xml:space="preserve">The evaluation will be conducted by a team of consultants. The evaluation team will include: </w:t>
      </w:r>
    </w:p>
    <w:p w14:paraId="7FBE1859" w14:textId="77777777" w:rsidR="008C1BD7" w:rsidRDefault="001D4E15" w:rsidP="00D41C74">
      <w:pPr>
        <w:pStyle w:val="ListParagraph"/>
        <w:numPr>
          <w:ilvl w:val="0"/>
          <w:numId w:val="87"/>
        </w:numPr>
        <w:spacing w:after="120"/>
        <w:ind w:right="57"/>
        <w:rPr>
          <w:rFonts w:cs="Calibri"/>
          <w:szCs w:val="18"/>
        </w:rPr>
      </w:pPr>
      <w:r w:rsidRPr="008C1BD7">
        <w:rPr>
          <w:rFonts w:cs="Calibri"/>
          <w:szCs w:val="18"/>
        </w:rPr>
        <w:t xml:space="preserve">Evaluation Team Leader </w:t>
      </w:r>
      <w:r w:rsidRPr="008C1BD7">
        <w:rPr>
          <w:rFonts w:eastAsia="Segoe UI" w:cs="Calibri"/>
          <w:szCs w:val="18"/>
        </w:rPr>
        <w:t>–</w:t>
      </w:r>
      <w:r w:rsidRPr="008C1BD7">
        <w:rPr>
          <w:rFonts w:cs="Calibri"/>
          <w:szCs w:val="18"/>
        </w:rPr>
        <w:t xml:space="preserve"> a senior evaluation specialist with thematic experience in food security and livelihoods, including in evaluations in complex humanitarian responses. The Team Leader is responsible for producing the Evaluation Plan and ensuring the team delivers on the plan, including delivery of a good quality final report.  </w:t>
      </w:r>
    </w:p>
    <w:p w14:paraId="50D63BE8" w14:textId="000FF888" w:rsidR="00315466" w:rsidRPr="008C1BD7" w:rsidRDefault="001D4E15" w:rsidP="00D41C74">
      <w:pPr>
        <w:pStyle w:val="ListParagraph"/>
        <w:numPr>
          <w:ilvl w:val="0"/>
          <w:numId w:val="87"/>
        </w:numPr>
        <w:spacing w:after="120"/>
        <w:ind w:right="57"/>
        <w:rPr>
          <w:rFonts w:cs="Calibri"/>
          <w:szCs w:val="18"/>
        </w:rPr>
      </w:pPr>
      <w:r w:rsidRPr="008C1BD7">
        <w:rPr>
          <w:rFonts w:cs="Calibri"/>
          <w:szCs w:val="18"/>
        </w:rPr>
        <w:t xml:space="preserve">Team Members </w:t>
      </w:r>
      <w:r w:rsidRPr="008C1BD7">
        <w:rPr>
          <w:rFonts w:eastAsia="Segoe UI" w:cs="Calibri"/>
          <w:szCs w:val="18"/>
        </w:rPr>
        <w:t>–</w:t>
      </w:r>
      <w:r w:rsidRPr="008C1BD7">
        <w:rPr>
          <w:rFonts w:cs="Calibri"/>
          <w:szCs w:val="18"/>
        </w:rPr>
        <w:t xml:space="preserve"> with experience in evaluations or social research and a strong knowledge of the local languages and context in Ethiopia, and preferably Kenya.  </w:t>
      </w:r>
    </w:p>
    <w:p w14:paraId="45C501F5" w14:textId="77777777" w:rsidR="00315466" w:rsidRPr="00A4536F" w:rsidRDefault="001D4E15">
      <w:pPr>
        <w:spacing w:before="0" w:after="120"/>
        <w:ind w:left="-5" w:right="57"/>
        <w:rPr>
          <w:rFonts w:cs="Calibri"/>
          <w:color w:val="auto"/>
          <w:szCs w:val="18"/>
        </w:rPr>
      </w:pPr>
      <w:r w:rsidRPr="00A4536F">
        <w:rPr>
          <w:rFonts w:cs="Calibri"/>
          <w:color w:val="auto"/>
          <w:szCs w:val="18"/>
        </w:rPr>
        <w:t xml:space="preserve">It is expected that the team will have diverse gender representation. Additionally, all team members must have at least an awareness level knowledge of gender equality and social inclusion with one team member having more substantial gender expertise. This should be able to be demonstrated through the inclusion of GEDSI considerations in previous work or roles, preferably in relation to the implementation of humanitarian Programmes.  </w:t>
      </w:r>
    </w:p>
    <w:p w14:paraId="31E8E334" w14:textId="77777777" w:rsidR="00315466" w:rsidRPr="00A4536F" w:rsidRDefault="001D4E15">
      <w:pPr>
        <w:spacing w:before="0" w:after="120"/>
        <w:ind w:left="-5" w:right="57"/>
        <w:rPr>
          <w:rFonts w:cs="Calibri"/>
          <w:color w:val="auto"/>
          <w:szCs w:val="18"/>
        </w:rPr>
      </w:pPr>
      <w:r w:rsidRPr="00A4536F">
        <w:rPr>
          <w:rFonts w:cs="Calibri"/>
          <w:color w:val="auto"/>
          <w:szCs w:val="18"/>
        </w:rPr>
        <w:t xml:space="preserve">The consultants will be engaged by the AHP Support Unit (AHPSU). </w:t>
      </w:r>
    </w:p>
    <w:p w14:paraId="4E611B81"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EVALUATION TIMELINE </w:t>
      </w:r>
    </w:p>
    <w:p w14:paraId="7E6906FD" w14:textId="77777777" w:rsidR="00315466" w:rsidRPr="00A4536F" w:rsidRDefault="001D4E15">
      <w:pPr>
        <w:spacing w:before="0" w:after="120"/>
        <w:ind w:left="-5" w:right="40"/>
        <w:rPr>
          <w:rFonts w:cs="Calibri"/>
          <w:color w:val="auto"/>
          <w:szCs w:val="18"/>
        </w:rPr>
      </w:pPr>
      <w:r w:rsidRPr="00A4536F">
        <w:rPr>
          <w:rFonts w:cs="Calibri"/>
          <w:color w:val="auto"/>
          <w:szCs w:val="18"/>
        </w:rPr>
        <w:t xml:space="preserve">The evaluation is expected to commence in November 2023 and to be completed by March 2024.  </w:t>
      </w:r>
    </w:p>
    <w:p w14:paraId="1E3E2407"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BUDGET </w:t>
      </w:r>
    </w:p>
    <w:p w14:paraId="50F8EDCB"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The budget for the evaluation will be structured according to the following: </w:t>
      </w:r>
    </w:p>
    <w:p w14:paraId="1161E798" w14:textId="77777777" w:rsidR="008C1BD7" w:rsidRDefault="001D4E15" w:rsidP="00D41C74">
      <w:pPr>
        <w:pStyle w:val="ListParagraph"/>
        <w:numPr>
          <w:ilvl w:val="0"/>
          <w:numId w:val="88"/>
        </w:numPr>
        <w:spacing w:after="120"/>
        <w:ind w:right="58"/>
        <w:rPr>
          <w:rFonts w:cs="Calibri"/>
          <w:szCs w:val="18"/>
        </w:rPr>
      </w:pPr>
      <w:r w:rsidRPr="008C1BD7">
        <w:rPr>
          <w:rFonts w:cs="Calibri"/>
          <w:szCs w:val="18"/>
        </w:rPr>
        <w:t xml:space="preserve">The total budget for the evaluation (all inclusive) is up to AUD 100,000.  </w:t>
      </w:r>
    </w:p>
    <w:p w14:paraId="31A7B12E" w14:textId="77777777" w:rsidR="008C1BD7" w:rsidRDefault="001D4E15" w:rsidP="00D41C74">
      <w:pPr>
        <w:pStyle w:val="ListParagraph"/>
        <w:numPr>
          <w:ilvl w:val="0"/>
          <w:numId w:val="88"/>
        </w:numPr>
        <w:spacing w:after="120"/>
        <w:ind w:right="58"/>
        <w:rPr>
          <w:rFonts w:cs="Calibri"/>
          <w:szCs w:val="18"/>
        </w:rPr>
      </w:pPr>
      <w:r w:rsidRPr="008C1BD7">
        <w:rPr>
          <w:rFonts w:cs="Calibri"/>
          <w:szCs w:val="18"/>
        </w:rPr>
        <w:t xml:space="preserve">Milestone payments will be released in tranches against the high quality and timely delivery of specific key deliverables (i.e. evaluation plan, validation workshop/aide memoire, and the evaluation report).  </w:t>
      </w:r>
    </w:p>
    <w:p w14:paraId="3306565C" w14:textId="77777777" w:rsidR="008C1BD7" w:rsidRDefault="001D4E15" w:rsidP="00D41C74">
      <w:pPr>
        <w:pStyle w:val="ListParagraph"/>
        <w:numPr>
          <w:ilvl w:val="0"/>
          <w:numId w:val="88"/>
        </w:numPr>
        <w:spacing w:after="120"/>
        <w:ind w:right="58"/>
        <w:rPr>
          <w:rFonts w:cs="Calibri"/>
          <w:szCs w:val="18"/>
        </w:rPr>
      </w:pPr>
      <w:r w:rsidRPr="008C1BD7">
        <w:rPr>
          <w:rFonts w:cs="Calibri"/>
          <w:szCs w:val="18"/>
        </w:rPr>
        <w:t>The proposals will be assessed according to technical and financial criteria. Companies are encouraged to submit realistic, but competitive financial proposals.</w:t>
      </w:r>
    </w:p>
    <w:p w14:paraId="3C0BB096" w14:textId="11E255E8" w:rsidR="00315466" w:rsidRPr="008C1BD7" w:rsidRDefault="001D4E15" w:rsidP="00D41C74">
      <w:pPr>
        <w:pStyle w:val="ListParagraph"/>
        <w:numPr>
          <w:ilvl w:val="0"/>
          <w:numId w:val="88"/>
        </w:numPr>
        <w:spacing w:after="120"/>
        <w:ind w:right="58"/>
        <w:rPr>
          <w:rFonts w:cs="Calibri"/>
          <w:szCs w:val="18"/>
        </w:rPr>
      </w:pPr>
      <w:r w:rsidRPr="008C1BD7">
        <w:rPr>
          <w:rFonts w:cs="Calibri"/>
          <w:szCs w:val="18"/>
        </w:rPr>
        <w:t>The budget is inclusive of all travel, subsistence and other expenses, any workshops or communication products that need to be delivered.</w:t>
      </w:r>
    </w:p>
    <w:p w14:paraId="27823B57" w14:textId="77777777" w:rsidR="00315466" w:rsidRDefault="001D4E15">
      <w:pPr>
        <w:spacing w:before="0" w:after="120"/>
        <w:ind w:left="-5" w:right="58"/>
        <w:rPr>
          <w:rFonts w:cs="Calibri"/>
          <w:b/>
          <w:bCs/>
          <w:color w:val="auto"/>
          <w:szCs w:val="18"/>
        </w:rPr>
      </w:pPr>
      <w:r w:rsidRPr="00A4536F">
        <w:rPr>
          <w:rFonts w:cs="Calibri"/>
          <w:b/>
          <w:bCs/>
          <w:color w:val="auto"/>
          <w:szCs w:val="18"/>
        </w:rPr>
        <w:t xml:space="preserve">Milestone payments </w:t>
      </w:r>
    </w:p>
    <w:p w14:paraId="533649E6" w14:textId="45EE7FAC" w:rsidR="00BB3AC5" w:rsidRPr="009641A9" w:rsidRDefault="00BB3AC5" w:rsidP="009641A9">
      <w:pPr>
        <w:spacing w:before="0" w:after="0" w:line="240" w:lineRule="auto"/>
        <w:ind w:left="-6" w:right="57"/>
        <w:rPr>
          <w:rFonts w:cs="Calibri"/>
          <w:color w:val="auto"/>
          <w:szCs w:val="18"/>
        </w:rPr>
      </w:pPr>
      <w:r w:rsidRPr="009641A9">
        <w:rPr>
          <w:rFonts w:cs="Calibri"/>
          <w:color w:val="auto"/>
          <w:szCs w:val="18"/>
        </w:rPr>
        <w:t>Milestone 1</w:t>
      </w:r>
      <w:r w:rsidR="009641A9" w:rsidRPr="009641A9">
        <w:rPr>
          <w:rFonts w:cs="Calibri"/>
          <w:color w:val="auto"/>
          <w:szCs w:val="18"/>
        </w:rPr>
        <w:t>: Signature of Contract</w:t>
      </w:r>
    </w:p>
    <w:p w14:paraId="723F094D" w14:textId="6FA1C224" w:rsidR="009641A9" w:rsidRPr="009641A9" w:rsidRDefault="009641A9" w:rsidP="009641A9">
      <w:pPr>
        <w:spacing w:before="0" w:after="0" w:line="240" w:lineRule="auto"/>
        <w:ind w:left="-6" w:right="57"/>
        <w:rPr>
          <w:rFonts w:cs="Calibri"/>
          <w:color w:val="auto"/>
          <w:szCs w:val="18"/>
        </w:rPr>
      </w:pPr>
      <w:r w:rsidRPr="009641A9">
        <w:rPr>
          <w:rFonts w:cs="Calibri"/>
          <w:color w:val="auto"/>
          <w:szCs w:val="18"/>
        </w:rPr>
        <w:t>Tranche Payment 20%</w:t>
      </w:r>
    </w:p>
    <w:p w14:paraId="7BE2E031" w14:textId="6A952767" w:rsidR="009641A9" w:rsidRPr="009641A9" w:rsidRDefault="009641A9" w:rsidP="009641A9">
      <w:pPr>
        <w:spacing w:before="0" w:after="0" w:line="240" w:lineRule="auto"/>
        <w:ind w:left="-6" w:right="57"/>
        <w:rPr>
          <w:rFonts w:cs="Calibri"/>
          <w:color w:val="auto"/>
          <w:szCs w:val="18"/>
        </w:rPr>
      </w:pPr>
      <w:r w:rsidRPr="009641A9">
        <w:rPr>
          <w:rFonts w:cs="Calibri"/>
          <w:color w:val="auto"/>
          <w:szCs w:val="18"/>
        </w:rPr>
        <w:t>Milestone 2: Final Evaluation Approved</w:t>
      </w:r>
    </w:p>
    <w:p w14:paraId="0EB2074A" w14:textId="0D7F7D03" w:rsidR="009641A9" w:rsidRPr="009641A9" w:rsidRDefault="009641A9" w:rsidP="009641A9">
      <w:pPr>
        <w:spacing w:before="0" w:after="0" w:line="240" w:lineRule="auto"/>
        <w:ind w:left="-6" w:right="57"/>
        <w:rPr>
          <w:rFonts w:cs="Calibri"/>
          <w:color w:val="auto"/>
          <w:szCs w:val="18"/>
        </w:rPr>
      </w:pPr>
      <w:r w:rsidRPr="009641A9">
        <w:rPr>
          <w:rFonts w:cs="Calibri"/>
          <w:color w:val="auto"/>
          <w:szCs w:val="18"/>
        </w:rPr>
        <w:t>Tranche Payment 20%</w:t>
      </w:r>
    </w:p>
    <w:p w14:paraId="5E6B19C9" w14:textId="12EA27AA" w:rsidR="009641A9" w:rsidRPr="009641A9" w:rsidRDefault="009641A9" w:rsidP="009641A9">
      <w:pPr>
        <w:spacing w:before="0" w:after="0" w:line="240" w:lineRule="auto"/>
        <w:ind w:left="-6" w:right="57"/>
        <w:rPr>
          <w:rFonts w:cs="Calibri"/>
          <w:color w:val="auto"/>
          <w:szCs w:val="18"/>
        </w:rPr>
      </w:pPr>
      <w:r w:rsidRPr="009641A9">
        <w:rPr>
          <w:rFonts w:cs="Calibri"/>
          <w:color w:val="auto"/>
          <w:szCs w:val="18"/>
        </w:rPr>
        <w:t xml:space="preserve">Milestone 3: Validation workshop and aide memoire </w:t>
      </w:r>
      <w:proofErr w:type="gramStart"/>
      <w:r w:rsidRPr="009641A9">
        <w:rPr>
          <w:rFonts w:cs="Calibri"/>
          <w:color w:val="auto"/>
          <w:szCs w:val="18"/>
        </w:rPr>
        <w:t>delivered</w:t>
      </w:r>
      <w:proofErr w:type="gramEnd"/>
    </w:p>
    <w:p w14:paraId="76F1E8B0" w14:textId="7AB5F2A7" w:rsidR="009641A9" w:rsidRPr="009641A9" w:rsidRDefault="009641A9" w:rsidP="009641A9">
      <w:pPr>
        <w:spacing w:before="0" w:after="0" w:line="240" w:lineRule="auto"/>
        <w:ind w:left="-6" w:right="57"/>
        <w:rPr>
          <w:rFonts w:cs="Calibri"/>
          <w:color w:val="auto"/>
          <w:szCs w:val="18"/>
        </w:rPr>
      </w:pPr>
      <w:r w:rsidRPr="009641A9">
        <w:rPr>
          <w:rFonts w:cs="Calibri"/>
          <w:color w:val="auto"/>
          <w:szCs w:val="18"/>
        </w:rPr>
        <w:t>Tranche Payment 20%</w:t>
      </w:r>
    </w:p>
    <w:p w14:paraId="54CC8AC3" w14:textId="12EB540C" w:rsidR="009641A9" w:rsidRPr="009641A9" w:rsidRDefault="009641A9" w:rsidP="009641A9">
      <w:pPr>
        <w:spacing w:before="0" w:after="0" w:line="240" w:lineRule="auto"/>
        <w:ind w:left="-6" w:right="57"/>
        <w:rPr>
          <w:rFonts w:cs="Calibri"/>
          <w:color w:val="auto"/>
          <w:szCs w:val="18"/>
        </w:rPr>
      </w:pPr>
      <w:r w:rsidRPr="009641A9">
        <w:rPr>
          <w:rFonts w:cs="Calibri"/>
          <w:color w:val="auto"/>
          <w:szCs w:val="18"/>
        </w:rPr>
        <w:t>Milestone 4: Final Evaluation Report</w:t>
      </w:r>
    </w:p>
    <w:p w14:paraId="587EACA6" w14:textId="294FCCE1" w:rsidR="009641A9" w:rsidRPr="009641A9" w:rsidRDefault="009641A9" w:rsidP="0042524B">
      <w:pPr>
        <w:spacing w:before="0" w:line="240" w:lineRule="auto"/>
        <w:ind w:left="-6" w:right="57"/>
        <w:rPr>
          <w:rFonts w:cs="Calibri"/>
          <w:color w:val="auto"/>
          <w:szCs w:val="18"/>
        </w:rPr>
      </w:pPr>
      <w:r w:rsidRPr="009641A9">
        <w:rPr>
          <w:rFonts w:cs="Calibri"/>
          <w:color w:val="auto"/>
          <w:szCs w:val="18"/>
        </w:rPr>
        <w:t>Tranche Payment 40%</w:t>
      </w:r>
    </w:p>
    <w:p w14:paraId="1EAB5122" w14:textId="5829FC73" w:rsidR="00315466" w:rsidRPr="00A4536F" w:rsidRDefault="001D4E15">
      <w:pPr>
        <w:spacing w:before="0" w:after="120"/>
        <w:rPr>
          <w:rFonts w:cs="Calibri"/>
          <w:b/>
          <w:bCs/>
          <w:color w:val="auto"/>
          <w:szCs w:val="18"/>
        </w:rPr>
      </w:pPr>
      <w:r w:rsidRPr="00A4536F">
        <w:rPr>
          <w:rFonts w:cs="Calibri"/>
          <w:b/>
          <w:bCs/>
          <w:color w:val="auto"/>
          <w:szCs w:val="18"/>
        </w:rPr>
        <w:t xml:space="preserve">SELECTION CRITERIA  </w:t>
      </w:r>
    </w:p>
    <w:p w14:paraId="2D5447F7" w14:textId="77777777" w:rsidR="00315466" w:rsidRPr="00A4536F" w:rsidRDefault="001D4E15">
      <w:pPr>
        <w:spacing w:before="0" w:after="120"/>
        <w:ind w:left="-5" w:right="40"/>
        <w:rPr>
          <w:rFonts w:cs="Calibri"/>
          <w:b/>
          <w:bCs/>
          <w:color w:val="auto"/>
          <w:szCs w:val="18"/>
        </w:rPr>
      </w:pPr>
      <w:r w:rsidRPr="00A4536F">
        <w:rPr>
          <w:rFonts w:cs="Calibri"/>
          <w:b/>
          <w:bCs/>
          <w:color w:val="auto"/>
          <w:szCs w:val="18"/>
        </w:rPr>
        <w:t xml:space="preserve">Team Leader </w:t>
      </w:r>
    </w:p>
    <w:p w14:paraId="15599491" w14:textId="77777777" w:rsidR="00315466" w:rsidRPr="00A4536F" w:rsidRDefault="001D4E15">
      <w:pPr>
        <w:spacing w:before="0" w:after="120"/>
        <w:ind w:left="-5" w:right="40"/>
        <w:rPr>
          <w:rFonts w:cs="Calibri"/>
          <w:color w:val="auto"/>
          <w:szCs w:val="18"/>
        </w:rPr>
      </w:pPr>
      <w:r w:rsidRPr="00A4536F">
        <w:rPr>
          <w:rFonts w:cs="Calibri"/>
          <w:color w:val="auto"/>
          <w:szCs w:val="18"/>
        </w:rPr>
        <w:t xml:space="preserve">Required skills, </w:t>
      </w:r>
      <w:proofErr w:type="gramStart"/>
      <w:r w:rsidRPr="00A4536F">
        <w:rPr>
          <w:rFonts w:cs="Calibri"/>
          <w:color w:val="auto"/>
          <w:szCs w:val="18"/>
        </w:rPr>
        <w:t>qualifications</w:t>
      </w:r>
      <w:proofErr w:type="gramEnd"/>
      <w:r w:rsidRPr="00A4536F">
        <w:rPr>
          <w:rFonts w:cs="Calibri"/>
          <w:color w:val="auto"/>
          <w:szCs w:val="18"/>
        </w:rPr>
        <w:t xml:space="preserve"> and experience. </w:t>
      </w:r>
    </w:p>
    <w:p w14:paraId="6C36A12C" w14:textId="77777777" w:rsidR="00125B2E" w:rsidRDefault="001D4E15" w:rsidP="00D41C74">
      <w:pPr>
        <w:pStyle w:val="ListParagraph"/>
        <w:numPr>
          <w:ilvl w:val="0"/>
          <w:numId w:val="89"/>
        </w:numPr>
        <w:spacing w:after="120"/>
        <w:ind w:right="40"/>
        <w:rPr>
          <w:rFonts w:cs="Calibri"/>
          <w:szCs w:val="18"/>
        </w:rPr>
      </w:pPr>
      <w:r w:rsidRPr="00125B2E">
        <w:rPr>
          <w:rFonts w:cs="Calibri"/>
          <w:szCs w:val="18"/>
        </w:rPr>
        <w:t>Significant demonstrated experience undertaking evaluations in the humanitarian sector.</w:t>
      </w:r>
    </w:p>
    <w:p w14:paraId="21EE7BF1" w14:textId="77777777" w:rsidR="00125B2E" w:rsidRDefault="001D4E15" w:rsidP="00D41C74">
      <w:pPr>
        <w:pStyle w:val="ListParagraph"/>
        <w:numPr>
          <w:ilvl w:val="0"/>
          <w:numId w:val="89"/>
        </w:numPr>
        <w:spacing w:after="120"/>
        <w:ind w:right="40"/>
        <w:rPr>
          <w:rFonts w:cs="Calibri"/>
          <w:szCs w:val="18"/>
        </w:rPr>
      </w:pPr>
      <w:r w:rsidRPr="00125B2E">
        <w:rPr>
          <w:rFonts w:cs="Calibri"/>
          <w:szCs w:val="18"/>
        </w:rPr>
        <w:lastRenderedPageBreak/>
        <w:t xml:space="preserve">Advanced academic degree in Evaluation, International Development, Food Security and Nutrition, Humanitarian Action, or a related field </w:t>
      </w:r>
    </w:p>
    <w:p w14:paraId="233FCD43" w14:textId="77777777" w:rsidR="00125B2E" w:rsidRDefault="001D4E15" w:rsidP="00D41C74">
      <w:pPr>
        <w:pStyle w:val="ListParagraph"/>
        <w:numPr>
          <w:ilvl w:val="0"/>
          <w:numId w:val="89"/>
        </w:numPr>
        <w:spacing w:after="120"/>
        <w:ind w:right="40"/>
        <w:rPr>
          <w:rFonts w:cs="Calibri"/>
          <w:szCs w:val="18"/>
        </w:rPr>
      </w:pPr>
      <w:r w:rsidRPr="00125B2E">
        <w:rPr>
          <w:rFonts w:cs="Calibri"/>
          <w:szCs w:val="18"/>
        </w:rPr>
        <w:t>Relevant subject matter knowledge and experience regarding food security and livelihoods and the crosscutting themes (i.e. inclusion, accountability to affected populations, localisation, climate change).</w:t>
      </w:r>
    </w:p>
    <w:p w14:paraId="669AEF94" w14:textId="77777777" w:rsidR="00125B2E" w:rsidRDefault="001D4E15" w:rsidP="00D41C74">
      <w:pPr>
        <w:pStyle w:val="ListParagraph"/>
        <w:numPr>
          <w:ilvl w:val="0"/>
          <w:numId w:val="89"/>
        </w:numPr>
        <w:spacing w:after="120"/>
        <w:ind w:right="40"/>
        <w:rPr>
          <w:rFonts w:cs="Calibri"/>
          <w:szCs w:val="18"/>
        </w:rPr>
      </w:pPr>
      <w:r w:rsidRPr="00125B2E">
        <w:rPr>
          <w:rFonts w:cs="Calibri"/>
          <w:szCs w:val="18"/>
        </w:rPr>
        <w:t>High level skills with quantitative and qualitative research and analysis and report writing.</w:t>
      </w:r>
    </w:p>
    <w:p w14:paraId="0853EA85" w14:textId="77777777" w:rsidR="00125B2E" w:rsidRDefault="001D4E15" w:rsidP="00D41C74">
      <w:pPr>
        <w:pStyle w:val="ListParagraph"/>
        <w:numPr>
          <w:ilvl w:val="0"/>
          <w:numId w:val="89"/>
        </w:numPr>
        <w:spacing w:after="120"/>
        <w:ind w:right="40"/>
        <w:rPr>
          <w:rFonts w:cs="Calibri"/>
          <w:szCs w:val="18"/>
        </w:rPr>
      </w:pPr>
      <w:r w:rsidRPr="00125B2E">
        <w:rPr>
          <w:rFonts w:cs="Calibri"/>
          <w:szCs w:val="18"/>
        </w:rPr>
        <w:t>Highly developed communication skills, including advanced English speaking and writing skills, and proven record of communicating with beneficiaries, including through interpreters.</w:t>
      </w:r>
    </w:p>
    <w:p w14:paraId="07457E84" w14:textId="77777777" w:rsidR="00125B2E" w:rsidRDefault="001D4E15" w:rsidP="00D41C74">
      <w:pPr>
        <w:pStyle w:val="ListParagraph"/>
        <w:numPr>
          <w:ilvl w:val="0"/>
          <w:numId w:val="89"/>
        </w:numPr>
        <w:spacing w:after="120"/>
        <w:ind w:right="40"/>
        <w:rPr>
          <w:rFonts w:cs="Calibri"/>
          <w:szCs w:val="18"/>
        </w:rPr>
      </w:pPr>
      <w:r w:rsidRPr="00125B2E">
        <w:rPr>
          <w:rFonts w:cs="Calibri"/>
          <w:szCs w:val="18"/>
        </w:rPr>
        <w:t xml:space="preserve">Experience in working with international organisations or NGOs, including abiding by their child protection and prevention of sexual harassment, </w:t>
      </w:r>
      <w:proofErr w:type="gramStart"/>
      <w:r w:rsidRPr="00125B2E">
        <w:rPr>
          <w:rFonts w:cs="Calibri"/>
          <w:szCs w:val="18"/>
        </w:rPr>
        <w:t>exploitation</w:t>
      </w:r>
      <w:proofErr w:type="gramEnd"/>
      <w:r w:rsidRPr="00125B2E">
        <w:rPr>
          <w:rFonts w:cs="Calibri"/>
          <w:szCs w:val="18"/>
        </w:rPr>
        <w:t xml:space="preserve"> and abuse policies.</w:t>
      </w:r>
    </w:p>
    <w:p w14:paraId="4829526C" w14:textId="77777777" w:rsidR="00125B2E" w:rsidRDefault="001D4E15" w:rsidP="00D41C74">
      <w:pPr>
        <w:pStyle w:val="ListParagraph"/>
        <w:numPr>
          <w:ilvl w:val="0"/>
          <w:numId w:val="89"/>
        </w:numPr>
        <w:spacing w:after="120"/>
        <w:ind w:right="40"/>
        <w:rPr>
          <w:rFonts w:cs="Calibri"/>
          <w:szCs w:val="18"/>
        </w:rPr>
      </w:pPr>
      <w:r w:rsidRPr="00125B2E">
        <w:rPr>
          <w:rFonts w:cs="Calibri"/>
          <w:szCs w:val="18"/>
        </w:rPr>
        <w:t xml:space="preserve">Demonstrated experience in humanitarian response, knowledge of humanitarian standards (Core Humanitarian Standards, Sphere, Code of Conduct), and understanding and commitment to humanitarian and evaluation ethics. </w:t>
      </w:r>
    </w:p>
    <w:p w14:paraId="61874C39" w14:textId="3CD4BB7C" w:rsidR="00315466" w:rsidRPr="00125B2E" w:rsidRDefault="001D4E15" w:rsidP="00D41C74">
      <w:pPr>
        <w:pStyle w:val="ListParagraph"/>
        <w:numPr>
          <w:ilvl w:val="0"/>
          <w:numId w:val="89"/>
        </w:numPr>
        <w:spacing w:after="120"/>
        <w:ind w:right="40"/>
        <w:rPr>
          <w:rFonts w:cs="Calibri"/>
          <w:szCs w:val="18"/>
        </w:rPr>
      </w:pPr>
      <w:r w:rsidRPr="00125B2E">
        <w:rPr>
          <w:rFonts w:cs="Calibri"/>
          <w:szCs w:val="18"/>
        </w:rPr>
        <w:t>Experience of implementing evaluations of Australian Government Department of Foreign Affairs and Trade (DFAT) funded Programmes or ability to quickly develop an understanding of DFAT evaluation processes.</w:t>
      </w:r>
    </w:p>
    <w:p w14:paraId="1E841108" w14:textId="77777777" w:rsidR="00315466" w:rsidRPr="00A4536F" w:rsidRDefault="001D4E15">
      <w:pPr>
        <w:spacing w:before="0" w:after="120"/>
        <w:ind w:left="-5" w:right="40"/>
        <w:rPr>
          <w:rFonts w:cs="Calibri"/>
          <w:b/>
          <w:bCs/>
          <w:color w:val="auto"/>
          <w:szCs w:val="18"/>
        </w:rPr>
      </w:pPr>
      <w:r w:rsidRPr="00A4536F">
        <w:rPr>
          <w:rFonts w:cs="Calibri"/>
          <w:b/>
          <w:bCs/>
          <w:color w:val="auto"/>
          <w:szCs w:val="18"/>
        </w:rPr>
        <w:t xml:space="preserve">Desirable skills, </w:t>
      </w:r>
      <w:proofErr w:type="gramStart"/>
      <w:r w:rsidRPr="00A4536F">
        <w:rPr>
          <w:rFonts w:cs="Calibri"/>
          <w:b/>
          <w:bCs/>
          <w:color w:val="auto"/>
          <w:szCs w:val="18"/>
        </w:rPr>
        <w:t>qualifications</w:t>
      </w:r>
      <w:proofErr w:type="gramEnd"/>
      <w:r w:rsidRPr="00A4536F">
        <w:rPr>
          <w:rFonts w:cs="Calibri"/>
          <w:b/>
          <w:bCs/>
          <w:color w:val="auto"/>
          <w:szCs w:val="18"/>
        </w:rPr>
        <w:t xml:space="preserve"> and experience </w:t>
      </w:r>
    </w:p>
    <w:p w14:paraId="13067AD8" w14:textId="77777777" w:rsidR="00125B2E" w:rsidRDefault="001D4E15" w:rsidP="00D41C74">
      <w:pPr>
        <w:pStyle w:val="ListParagraph"/>
        <w:numPr>
          <w:ilvl w:val="0"/>
          <w:numId w:val="90"/>
        </w:numPr>
        <w:tabs>
          <w:tab w:val="center" w:pos="508"/>
          <w:tab w:val="center" w:pos="3276"/>
        </w:tabs>
        <w:spacing w:after="120"/>
        <w:rPr>
          <w:rFonts w:cs="Calibri"/>
          <w:szCs w:val="18"/>
        </w:rPr>
      </w:pPr>
      <w:r w:rsidRPr="00125B2E">
        <w:rPr>
          <w:rFonts w:cs="Calibri"/>
          <w:szCs w:val="18"/>
        </w:rPr>
        <w:t xml:space="preserve">Demonstrated experience of working in Ethiopia or Kenya.  </w:t>
      </w:r>
    </w:p>
    <w:p w14:paraId="73F69F55" w14:textId="77777777" w:rsidR="00125B2E" w:rsidRDefault="001D4E15" w:rsidP="00D41C74">
      <w:pPr>
        <w:pStyle w:val="ListParagraph"/>
        <w:numPr>
          <w:ilvl w:val="0"/>
          <w:numId w:val="90"/>
        </w:numPr>
        <w:tabs>
          <w:tab w:val="center" w:pos="508"/>
          <w:tab w:val="center" w:pos="3276"/>
        </w:tabs>
        <w:spacing w:after="120"/>
        <w:rPr>
          <w:rFonts w:cs="Calibri"/>
          <w:szCs w:val="18"/>
        </w:rPr>
      </w:pPr>
      <w:r w:rsidRPr="00125B2E">
        <w:rPr>
          <w:rFonts w:cs="Calibri"/>
          <w:szCs w:val="18"/>
        </w:rPr>
        <w:t xml:space="preserve">Demonstrated experience undertaking a thematic evaluation of a food security and livelihoods project.  </w:t>
      </w:r>
    </w:p>
    <w:p w14:paraId="68278AF1" w14:textId="1226C23F" w:rsidR="00315466" w:rsidRPr="00125B2E" w:rsidRDefault="001D4E15" w:rsidP="00D41C74">
      <w:pPr>
        <w:pStyle w:val="ListParagraph"/>
        <w:numPr>
          <w:ilvl w:val="0"/>
          <w:numId w:val="90"/>
        </w:numPr>
        <w:tabs>
          <w:tab w:val="center" w:pos="508"/>
          <w:tab w:val="center" w:pos="3276"/>
        </w:tabs>
        <w:spacing w:after="120"/>
        <w:rPr>
          <w:rFonts w:cs="Calibri"/>
          <w:szCs w:val="18"/>
        </w:rPr>
      </w:pPr>
      <w:r w:rsidRPr="00125B2E">
        <w:rPr>
          <w:rFonts w:cs="Calibri"/>
          <w:szCs w:val="18"/>
        </w:rPr>
        <w:t xml:space="preserve">Expertise in one or more of the following areas: Gender equality; Disability inclusion; Climate Change; Accountability to Affected Populations, Localisation. </w:t>
      </w:r>
    </w:p>
    <w:p w14:paraId="500A2A2C" w14:textId="77777777" w:rsidR="00315466" w:rsidRPr="00A4536F" w:rsidRDefault="001D4E15">
      <w:pPr>
        <w:spacing w:before="0" w:after="120"/>
        <w:ind w:left="-5" w:right="40"/>
        <w:rPr>
          <w:rFonts w:cs="Calibri"/>
          <w:b/>
          <w:bCs/>
          <w:color w:val="auto"/>
          <w:szCs w:val="18"/>
        </w:rPr>
      </w:pPr>
      <w:r w:rsidRPr="00A4536F">
        <w:rPr>
          <w:rFonts w:cs="Calibri"/>
          <w:b/>
          <w:bCs/>
          <w:color w:val="auto"/>
          <w:szCs w:val="18"/>
        </w:rPr>
        <w:t xml:space="preserve">Team Members  </w:t>
      </w:r>
    </w:p>
    <w:p w14:paraId="3100C608" w14:textId="77777777" w:rsidR="00315466" w:rsidRPr="00A4536F" w:rsidRDefault="001D4E15">
      <w:pPr>
        <w:spacing w:before="0" w:after="120"/>
        <w:ind w:left="-5" w:right="40"/>
        <w:rPr>
          <w:rFonts w:cs="Calibri"/>
          <w:b/>
          <w:bCs/>
          <w:color w:val="auto"/>
          <w:szCs w:val="18"/>
        </w:rPr>
      </w:pPr>
      <w:r w:rsidRPr="00A4536F">
        <w:rPr>
          <w:rFonts w:cs="Calibri"/>
          <w:b/>
          <w:bCs/>
          <w:color w:val="auto"/>
          <w:szCs w:val="18"/>
        </w:rPr>
        <w:t xml:space="preserve">Required skills, </w:t>
      </w:r>
      <w:proofErr w:type="gramStart"/>
      <w:r w:rsidRPr="00A4536F">
        <w:rPr>
          <w:rFonts w:cs="Calibri"/>
          <w:b/>
          <w:bCs/>
          <w:color w:val="auto"/>
          <w:szCs w:val="18"/>
        </w:rPr>
        <w:t>qualifications</w:t>
      </w:r>
      <w:proofErr w:type="gramEnd"/>
      <w:r w:rsidRPr="00A4536F">
        <w:rPr>
          <w:rFonts w:cs="Calibri"/>
          <w:b/>
          <w:bCs/>
          <w:color w:val="auto"/>
          <w:szCs w:val="18"/>
        </w:rPr>
        <w:t xml:space="preserve"> and experience. </w:t>
      </w:r>
    </w:p>
    <w:p w14:paraId="26DC69E8" w14:textId="77777777" w:rsidR="00125B2E" w:rsidRPr="00125B2E" w:rsidRDefault="001D4E15" w:rsidP="00D41C74">
      <w:pPr>
        <w:pStyle w:val="ListParagraph"/>
        <w:numPr>
          <w:ilvl w:val="0"/>
          <w:numId w:val="91"/>
        </w:numPr>
        <w:spacing w:after="120"/>
        <w:ind w:right="40"/>
        <w:rPr>
          <w:rFonts w:cs="Calibri"/>
          <w:b/>
          <w:bCs/>
          <w:szCs w:val="18"/>
        </w:rPr>
      </w:pPr>
      <w:r w:rsidRPr="00125B2E">
        <w:rPr>
          <w:rFonts w:cs="Calibri"/>
          <w:szCs w:val="18"/>
        </w:rPr>
        <w:t>Academic degree in International Development, Humanitarian Action, GEDSI or a related field.</w:t>
      </w:r>
    </w:p>
    <w:p w14:paraId="4B06F58F" w14:textId="77777777" w:rsidR="00125B2E" w:rsidRPr="00125B2E" w:rsidRDefault="001D4E15" w:rsidP="00D41C74">
      <w:pPr>
        <w:pStyle w:val="ListParagraph"/>
        <w:numPr>
          <w:ilvl w:val="0"/>
          <w:numId w:val="91"/>
        </w:numPr>
        <w:spacing w:after="120"/>
        <w:ind w:right="40"/>
        <w:rPr>
          <w:rFonts w:cs="Calibri"/>
          <w:b/>
          <w:bCs/>
          <w:szCs w:val="18"/>
        </w:rPr>
      </w:pPr>
      <w:r w:rsidRPr="00125B2E">
        <w:rPr>
          <w:rFonts w:cs="Calibri"/>
          <w:szCs w:val="18"/>
        </w:rPr>
        <w:t>Thorough understanding of data collection methods.</w:t>
      </w:r>
    </w:p>
    <w:p w14:paraId="336BDFDD" w14:textId="77777777" w:rsidR="00125B2E" w:rsidRPr="00125B2E" w:rsidRDefault="001D4E15" w:rsidP="00D41C74">
      <w:pPr>
        <w:pStyle w:val="ListParagraph"/>
        <w:numPr>
          <w:ilvl w:val="0"/>
          <w:numId w:val="91"/>
        </w:numPr>
        <w:spacing w:after="120"/>
        <w:ind w:right="40"/>
        <w:rPr>
          <w:rFonts w:cs="Calibri"/>
          <w:b/>
          <w:bCs/>
          <w:szCs w:val="18"/>
        </w:rPr>
      </w:pPr>
      <w:r w:rsidRPr="00125B2E">
        <w:rPr>
          <w:rFonts w:cs="Calibri"/>
          <w:szCs w:val="18"/>
        </w:rPr>
        <w:t>Knowledge of Core Humanitarian Standards, a strong understanding of humanitarian and evaluation ethics and a commitment to ethical working practices</w:t>
      </w:r>
    </w:p>
    <w:p w14:paraId="32ED8A7E" w14:textId="77777777" w:rsidR="00125B2E" w:rsidRPr="00125B2E" w:rsidRDefault="001D4E15" w:rsidP="00D41C74">
      <w:pPr>
        <w:pStyle w:val="ListParagraph"/>
        <w:numPr>
          <w:ilvl w:val="0"/>
          <w:numId w:val="91"/>
        </w:numPr>
        <w:spacing w:after="120"/>
        <w:ind w:right="40"/>
        <w:rPr>
          <w:rFonts w:cs="Calibri"/>
          <w:b/>
          <w:bCs/>
          <w:szCs w:val="18"/>
        </w:rPr>
      </w:pPr>
      <w:r w:rsidRPr="00125B2E">
        <w:rPr>
          <w:rFonts w:cs="Calibri"/>
          <w:szCs w:val="18"/>
        </w:rPr>
        <w:t>Demonstrated experience of working in Ethiopia or Kenya</w:t>
      </w:r>
    </w:p>
    <w:p w14:paraId="447914FA" w14:textId="77777777" w:rsidR="00125B2E" w:rsidRPr="00125B2E" w:rsidRDefault="001D4E15" w:rsidP="00D41C74">
      <w:pPr>
        <w:pStyle w:val="ListParagraph"/>
        <w:numPr>
          <w:ilvl w:val="0"/>
          <w:numId w:val="91"/>
        </w:numPr>
        <w:spacing w:after="120"/>
        <w:ind w:right="40"/>
        <w:rPr>
          <w:rFonts w:cs="Calibri"/>
          <w:b/>
          <w:bCs/>
          <w:szCs w:val="18"/>
        </w:rPr>
      </w:pPr>
      <w:r w:rsidRPr="00125B2E">
        <w:rPr>
          <w:rFonts w:cs="Calibri"/>
          <w:szCs w:val="18"/>
        </w:rPr>
        <w:t xml:space="preserve">Proven record of communicating with beneficiaries, including through interpreters, and with children using child friendly methods. </w:t>
      </w:r>
    </w:p>
    <w:p w14:paraId="0B5571DB" w14:textId="77777777" w:rsidR="00125B2E" w:rsidRPr="00125B2E" w:rsidRDefault="001D4E15" w:rsidP="00D41C74">
      <w:pPr>
        <w:pStyle w:val="ListParagraph"/>
        <w:numPr>
          <w:ilvl w:val="0"/>
          <w:numId w:val="91"/>
        </w:numPr>
        <w:spacing w:after="120"/>
        <w:ind w:right="40"/>
        <w:rPr>
          <w:rFonts w:cs="Calibri"/>
          <w:b/>
          <w:bCs/>
          <w:szCs w:val="18"/>
        </w:rPr>
      </w:pPr>
      <w:r w:rsidRPr="00125B2E">
        <w:rPr>
          <w:rFonts w:cs="Calibri"/>
          <w:szCs w:val="18"/>
        </w:rPr>
        <w:t>Fluency in English.</w:t>
      </w:r>
    </w:p>
    <w:p w14:paraId="0ADE2F08" w14:textId="32E4B736" w:rsidR="00315466" w:rsidRPr="00125B2E" w:rsidRDefault="001D4E15" w:rsidP="00D41C74">
      <w:pPr>
        <w:pStyle w:val="ListParagraph"/>
        <w:numPr>
          <w:ilvl w:val="0"/>
          <w:numId w:val="91"/>
        </w:numPr>
        <w:spacing w:after="120"/>
        <w:ind w:right="40"/>
        <w:rPr>
          <w:rFonts w:cs="Calibri"/>
          <w:b/>
          <w:bCs/>
          <w:szCs w:val="18"/>
        </w:rPr>
      </w:pPr>
      <w:r w:rsidRPr="00125B2E">
        <w:rPr>
          <w:rFonts w:cs="Calibri"/>
          <w:szCs w:val="18"/>
        </w:rPr>
        <w:t>Strong interpersonal and communication skills.</w:t>
      </w:r>
    </w:p>
    <w:p w14:paraId="08BF0513" w14:textId="77777777" w:rsidR="00315466" w:rsidRPr="00A4536F" w:rsidRDefault="001D4E15">
      <w:pPr>
        <w:spacing w:before="0" w:after="120"/>
        <w:ind w:left="-5" w:right="40"/>
        <w:rPr>
          <w:rFonts w:cs="Calibri"/>
          <w:b/>
          <w:bCs/>
          <w:color w:val="auto"/>
          <w:szCs w:val="18"/>
        </w:rPr>
      </w:pPr>
      <w:r w:rsidRPr="00A4536F">
        <w:rPr>
          <w:rFonts w:cs="Calibri"/>
          <w:b/>
          <w:bCs/>
          <w:color w:val="auto"/>
          <w:szCs w:val="18"/>
        </w:rPr>
        <w:t xml:space="preserve">Desirable skills, </w:t>
      </w:r>
      <w:proofErr w:type="gramStart"/>
      <w:r w:rsidRPr="00A4536F">
        <w:rPr>
          <w:rFonts w:cs="Calibri"/>
          <w:b/>
          <w:bCs/>
          <w:color w:val="auto"/>
          <w:szCs w:val="18"/>
        </w:rPr>
        <w:t>qualifications</w:t>
      </w:r>
      <w:proofErr w:type="gramEnd"/>
      <w:r w:rsidRPr="00A4536F">
        <w:rPr>
          <w:rFonts w:cs="Calibri"/>
          <w:b/>
          <w:bCs/>
          <w:color w:val="auto"/>
          <w:szCs w:val="18"/>
        </w:rPr>
        <w:t xml:space="preserve"> and experience </w:t>
      </w:r>
    </w:p>
    <w:p w14:paraId="69C41332" w14:textId="77777777" w:rsidR="00125B2E" w:rsidRDefault="001D4E15" w:rsidP="00D41C74">
      <w:pPr>
        <w:pStyle w:val="ListParagraph"/>
        <w:numPr>
          <w:ilvl w:val="0"/>
          <w:numId w:val="92"/>
        </w:numPr>
        <w:tabs>
          <w:tab w:val="center" w:pos="508"/>
          <w:tab w:val="center" w:pos="3674"/>
        </w:tabs>
        <w:spacing w:after="120"/>
        <w:rPr>
          <w:rFonts w:cs="Calibri"/>
          <w:szCs w:val="18"/>
        </w:rPr>
      </w:pPr>
      <w:r w:rsidRPr="00125B2E">
        <w:rPr>
          <w:rFonts w:cs="Calibri"/>
          <w:szCs w:val="18"/>
        </w:rPr>
        <w:t xml:space="preserve">Previous experience conducting evaluations for large-scale projects. </w:t>
      </w:r>
    </w:p>
    <w:p w14:paraId="5EEA3BC3" w14:textId="4E03258B" w:rsidR="00315466" w:rsidRPr="00125B2E" w:rsidRDefault="001D4E15" w:rsidP="00D41C74">
      <w:pPr>
        <w:pStyle w:val="ListParagraph"/>
        <w:numPr>
          <w:ilvl w:val="0"/>
          <w:numId w:val="92"/>
        </w:numPr>
        <w:tabs>
          <w:tab w:val="center" w:pos="508"/>
          <w:tab w:val="center" w:pos="3674"/>
        </w:tabs>
        <w:spacing w:after="120"/>
        <w:rPr>
          <w:rFonts w:cs="Calibri"/>
          <w:szCs w:val="18"/>
        </w:rPr>
      </w:pPr>
      <w:r w:rsidRPr="00125B2E">
        <w:rPr>
          <w:rFonts w:cs="Calibri"/>
          <w:szCs w:val="18"/>
        </w:rPr>
        <w:t xml:space="preserve">Experience in food security and livelihoods projects.  </w:t>
      </w:r>
    </w:p>
    <w:p w14:paraId="31D79345"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SUBMISSIONS </w:t>
      </w:r>
    </w:p>
    <w:p w14:paraId="36399223"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Submissions are due by COB AEST 1 November 2023. Late submissions will not be considered. </w:t>
      </w:r>
    </w:p>
    <w:p w14:paraId="59A81AE9" w14:textId="77777777" w:rsidR="00315466" w:rsidRPr="00A4536F" w:rsidRDefault="001D4E15">
      <w:pPr>
        <w:spacing w:before="0" w:after="120"/>
        <w:ind w:left="-5" w:right="40"/>
        <w:rPr>
          <w:rFonts w:cs="Calibri"/>
          <w:color w:val="auto"/>
          <w:szCs w:val="18"/>
        </w:rPr>
      </w:pPr>
      <w:r w:rsidRPr="00A4536F">
        <w:rPr>
          <w:rFonts w:cs="Calibri"/>
          <w:color w:val="auto"/>
          <w:szCs w:val="18"/>
        </w:rPr>
        <w:t xml:space="preserve">A submission from a company provider is the preferred approach for this evaluation. The team will include a Team Leader with some international and food security and livelihoods experience and proven experience in leading large, complex evaluations, as well as team members, potentially </w:t>
      </w:r>
      <w:r w:rsidRPr="00A4536F">
        <w:rPr>
          <w:rFonts w:cs="Calibri"/>
          <w:color w:val="auto"/>
          <w:szCs w:val="18"/>
        </w:rPr>
        <w:lastRenderedPageBreak/>
        <w:t xml:space="preserve">Ethiopian or Kenyan nationals, or specialists with appropriate cultural, </w:t>
      </w:r>
      <w:proofErr w:type="gramStart"/>
      <w:r w:rsidRPr="00A4536F">
        <w:rPr>
          <w:rFonts w:cs="Calibri"/>
          <w:color w:val="auto"/>
          <w:szCs w:val="18"/>
        </w:rPr>
        <w:t>linguistic</w:t>
      </w:r>
      <w:proofErr w:type="gramEnd"/>
      <w:r w:rsidRPr="00A4536F">
        <w:rPr>
          <w:rFonts w:cs="Calibri"/>
          <w:color w:val="auto"/>
          <w:szCs w:val="18"/>
        </w:rPr>
        <w:t xml:space="preserve"> and contextual understanding.  </w:t>
      </w:r>
    </w:p>
    <w:p w14:paraId="211D4074" w14:textId="77777777" w:rsidR="00315466" w:rsidRPr="00A4536F" w:rsidRDefault="001D4E15">
      <w:pPr>
        <w:spacing w:before="0" w:after="120"/>
        <w:ind w:left="-5" w:right="58"/>
        <w:rPr>
          <w:rFonts w:cs="Calibri"/>
          <w:color w:val="auto"/>
          <w:szCs w:val="18"/>
        </w:rPr>
      </w:pPr>
      <w:r w:rsidRPr="00A4536F">
        <w:rPr>
          <w:rFonts w:cs="Calibri"/>
          <w:color w:val="auto"/>
          <w:szCs w:val="18"/>
        </w:rPr>
        <w:t xml:space="preserve">Applicants must submit four items as per the table below:  </w:t>
      </w:r>
    </w:p>
    <w:tbl>
      <w:tblPr>
        <w:tblStyle w:val="TableGrid0"/>
        <w:tblW w:w="8920" w:type="dxa"/>
        <w:tblInd w:w="6" w:type="dxa"/>
        <w:tblCellMar>
          <w:left w:w="158" w:type="dxa"/>
          <w:right w:w="115" w:type="dxa"/>
        </w:tblCellMar>
        <w:tblLook w:val="04A0" w:firstRow="1" w:lastRow="0" w:firstColumn="1" w:lastColumn="0" w:noHBand="0" w:noVBand="1"/>
      </w:tblPr>
      <w:tblGrid>
        <w:gridCol w:w="2399"/>
        <w:gridCol w:w="2552"/>
        <w:gridCol w:w="3969"/>
      </w:tblGrid>
      <w:tr w:rsidR="00090EFB" w:rsidRPr="00A4536F" w14:paraId="092F51C1" w14:textId="77777777" w:rsidTr="009641A9">
        <w:trPr>
          <w:trHeight w:val="20"/>
        </w:trPr>
        <w:tc>
          <w:tcPr>
            <w:tcW w:w="23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E5384" w14:textId="77777777" w:rsidR="00315466" w:rsidRPr="00A4536F" w:rsidRDefault="001D4E15">
            <w:pPr>
              <w:spacing w:before="0" w:after="120"/>
              <w:ind w:left="88"/>
              <w:rPr>
                <w:rFonts w:cs="Calibri"/>
                <w:color w:val="auto"/>
                <w:szCs w:val="18"/>
              </w:rPr>
            </w:pPr>
            <w:r w:rsidRPr="00A4536F">
              <w:rPr>
                <w:rFonts w:cs="Calibri"/>
                <w:color w:val="auto"/>
                <w:szCs w:val="18"/>
              </w:rPr>
              <w:t xml:space="preserve">ITEM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16E3B1" w14:textId="7F0AC715" w:rsidR="00315466" w:rsidRPr="00A4536F" w:rsidRDefault="001D4E15">
            <w:pPr>
              <w:tabs>
                <w:tab w:val="center" w:pos="1397"/>
              </w:tabs>
              <w:spacing w:before="0" w:after="120"/>
              <w:rPr>
                <w:rFonts w:cs="Calibri"/>
                <w:color w:val="auto"/>
                <w:szCs w:val="18"/>
              </w:rPr>
            </w:pPr>
            <w:r w:rsidRPr="00A4536F">
              <w:rPr>
                <w:rFonts w:cs="Calibri"/>
                <w:color w:val="auto"/>
                <w:szCs w:val="18"/>
              </w:rPr>
              <w:t xml:space="preserve">DETAILS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29D724" w14:textId="77777777" w:rsidR="00315466" w:rsidRPr="00A4536F" w:rsidRDefault="001D4E15">
            <w:pPr>
              <w:spacing w:before="0" w:after="120"/>
              <w:ind w:left="40"/>
              <w:rPr>
                <w:rFonts w:cs="Calibri"/>
                <w:color w:val="auto"/>
                <w:szCs w:val="18"/>
              </w:rPr>
            </w:pPr>
            <w:r w:rsidRPr="00A4536F">
              <w:rPr>
                <w:rFonts w:cs="Calibri"/>
                <w:color w:val="auto"/>
                <w:szCs w:val="18"/>
              </w:rPr>
              <w:t xml:space="preserve">CRITERIA </w:t>
            </w:r>
          </w:p>
        </w:tc>
      </w:tr>
      <w:tr w:rsidR="00090EFB" w:rsidRPr="00A4536F" w14:paraId="158E9156" w14:textId="77777777">
        <w:trPr>
          <w:trHeight w:val="20"/>
        </w:trPr>
        <w:tc>
          <w:tcPr>
            <w:tcW w:w="2399" w:type="dxa"/>
            <w:tcBorders>
              <w:top w:val="single" w:sz="4" w:space="0" w:color="000000"/>
              <w:left w:val="single" w:sz="4" w:space="0" w:color="000000"/>
              <w:bottom w:val="single" w:sz="4" w:space="0" w:color="000000"/>
              <w:right w:val="single" w:sz="4" w:space="0" w:color="000000"/>
            </w:tcBorders>
            <w:vAlign w:val="center"/>
          </w:tcPr>
          <w:p w14:paraId="77600C23" w14:textId="77777777" w:rsidR="00315466" w:rsidRPr="00A4536F" w:rsidRDefault="001D4E15">
            <w:pPr>
              <w:spacing w:before="0" w:after="120"/>
              <w:ind w:left="88"/>
              <w:rPr>
                <w:rFonts w:cs="Calibri"/>
                <w:color w:val="auto"/>
                <w:szCs w:val="18"/>
              </w:rPr>
            </w:pPr>
            <w:r w:rsidRPr="00A4536F">
              <w:rPr>
                <w:rFonts w:cs="Calibri"/>
                <w:color w:val="auto"/>
                <w:szCs w:val="18"/>
              </w:rPr>
              <w:t xml:space="preserve">Cover letter addressing criteria </w:t>
            </w:r>
          </w:p>
        </w:tc>
        <w:tc>
          <w:tcPr>
            <w:tcW w:w="2552" w:type="dxa"/>
            <w:tcBorders>
              <w:top w:val="single" w:sz="4" w:space="0" w:color="000000"/>
              <w:left w:val="single" w:sz="4" w:space="0" w:color="000000"/>
              <w:bottom w:val="single" w:sz="4" w:space="0" w:color="000000"/>
              <w:right w:val="single" w:sz="4" w:space="0" w:color="000000"/>
            </w:tcBorders>
            <w:vAlign w:val="center"/>
          </w:tcPr>
          <w:p w14:paraId="3ABE8F4E" w14:textId="77777777" w:rsidR="00315466" w:rsidRPr="00A4536F" w:rsidRDefault="001D4E15">
            <w:pPr>
              <w:spacing w:before="0" w:after="120"/>
              <w:rPr>
                <w:rFonts w:cs="Calibri"/>
                <w:color w:val="auto"/>
                <w:szCs w:val="18"/>
              </w:rPr>
            </w:pPr>
            <w:r w:rsidRPr="00A4536F">
              <w:rPr>
                <w:rFonts w:cs="Calibri"/>
                <w:color w:val="auto"/>
                <w:szCs w:val="18"/>
              </w:rPr>
              <w:t xml:space="preserve">Maximum 2 pages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3B8C6F17" w14:textId="77777777" w:rsidR="00315466" w:rsidRPr="00A4536F" w:rsidRDefault="001D4E15">
            <w:pPr>
              <w:spacing w:before="0" w:after="120"/>
              <w:ind w:left="40"/>
              <w:rPr>
                <w:rFonts w:cs="Calibri"/>
                <w:color w:val="auto"/>
                <w:szCs w:val="18"/>
              </w:rPr>
            </w:pPr>
            <w:r w:rsidRPr="00A4536F">
              <w:rPr>
                <w:rFonts w:cs="Calibri"/>
                <w:color w:val="auto"/>
                <w:szCs w:val="18"/>
              </w:rPr>
              <w:t xml:space="preserve">Quality of relevant experience </w:t>
            </w:r>
          </w:p>
        </w:tc>
      </w:tr>
      <w:tr w:rsidR="00090EFB" w:rsidRPr="00A4536F" w14:paraId="00D5C142" w14:textId="77777777">
        <w:trPr>
          <w:trHeight w:val="20"/>
        </w:trPr>
        <w:tc>
          <w:tcPr>
            <w:tcW w:w="2399" w:type="dxa"/>
            <w:tcBorders>
              <w:top w:val="single" w:sz="4" w:space="0" w:color="000000"/>
              <w:left w:val="single" w:sz="4" w:space="0" w:color="000000"/>
              <w:bottom w:val="single" w:sz="4" w:space="0" w:color="000000"/>
              <w:right w:val="single" w:sz="4" w:space="0" w:color="000000"/>
            </w:tcBorders>
            <w:vAlign w:val="center"/>
          </w:tcPr>
          <w:p w14:paraId="196A4AC4" w14:textId="77777777" w:rsidR="00315466" w:rsidRPr="00A4536F" w:rsidRDefault="001D4E15">
            <w:pPr>
              <w:spacing w:before="0" w:after="120"/>
              <w:ind w:left="88"/>
              <w:rPr>
                <w:rFonts w:cs="Calibri"/>
                <w:color w:val="auto"/>
                <w:szCs w:val="18"/>
              </w:rPr>
            </w:pPr>
            <w:r w:rsidRPr="00A4536F">
              <w:rPr>
                <w:rFonts w:cs="Calibri"/>
                <w:color w:val="auto"/>
                <w:szCs w:val="18"/>
              </w:rPr>
              <w:t xml:space="preserve">Resumes of the Team members </w:t>
            </w:r>
          </w:p>
        </w:tc>
        <w:tc>
          <w:tcPr>
            <w:tcW w:w="2552" w:type="dxa"/>
            <w:tcBorders>
              <w:top w:val="single" w:sz="4" w:space="0" w:color="000000"/>
              <w:left w:val="single" w:sz="4" w:space="0" w:color="000000"/>
              <w:bottom w:val="single" w:sz="4" w:space="0" w:color="000000"/>
              <w:right w:val="single" w:sz="4" w:space="0" w:color="000000"/>
            </w:tcBorders>
            <w:vAlign w:val="center"/>
          </w:tcPr>
          <w:p w14:paraId="1DC2EF5D" w14:textId="77777777" w:rsidR="00315466" w:rsidRPr="00A4536F" w:rsidRDefault="001D4E15">
            <w:pPr>
              <w:spacing w:before="0" w:after="120"/>
              <w:rPr>
                <w:rFonts w:cs="Calibri"/>
                <w:color w:val="auto"/>
                <w:szCs w:val="18"/>
              </w:rPr>
            </w:pPr>
            <w:r w:rsidRPr="00A4536F">
              <w:rPr>
                <w:rFonts w:cs="Calibri"/>
                <w:color w:val="auto"/>
                <w:szCs w:val="18"/>
              </w:rPr>
              <w:t xml:space="preserve">Maximum of 3 pages (each) </w:t>
            </w:r>
          </w:p>
        </w:tc>
        <w:tc>
          <w:tcPr>
            <w:tcW w:w="3969" w:type="dxa"/>
            <w:tcBorders>
              <w:top w:val="single" w:sz="4" w:space="0" w:color="000000"/>
              <w:left w:val="single" w:sz="4" w:space="0" w:color="000000"/>
              <w:bottom w:val="single" w:sz="4" w:space="0" w:color="000000"/>
              <w:right w:val="single" w:sz="4" w:space="0" w:color="000000"/>
            </w:tcBorders>
            <w:vAlign w:val="center"/>
          </w:tcPr>
          <w:p w14:paraId="5A657210" w14:textId="77777777" w:rsidR="00315466" w:rsidRPr="00A4536F" w:rsidRDefault="001D4E15">
            <w:pPr>
              <w:spacing w:before="0" w:after="120"/>
              <w:ind w:left="40"/>
              <w:rPr>
                <w:rFonts w:cs="Calibri"/>
                <w:color w:val="auto"/>
                <w:szCs w:val="18"/>
              </w:rPr>
            </w:pPr>
            <w:r w:rsidRPr="00A4536F">
              <w:rPr>
                <w:rFonts w:cs="Calibri"/>
                <w:color w:val="auto"/>
                <w:szCs w:val="18"/>
              </w:rPr>
              <w:t xml:space="preserve">Quality of relevant experience </w:t>
            </w:r>
          </w:p>
        </w:tc>
      </w:tr>
      <w:tr w:rsidR="00090EFB" w:rsidRPr="00A4536F" w14:paraId="20083E76" w14:textId="77777777">
        <w:trPr>
          <w:trHeight w:val="20"/>
        </w:trPr>
        <w:tc>
          <w:tcPr>
            <w:tcW w:w="2399" w:type="dxa"/>
            <w:tcBorders>
              <w:top w:val="single" w:sz="4" w:space="0" w:color="000000"/>
              <w:left w:val="single" w:sz="4" w:space="0" w:color="000000"/>
              <w:bottom w:val="single" w:sz="4" w:space="0" w:color="000000"/>
              <w:right w:val="single" w:sz="4" w:space="0" w:color="000000"/>
            </w:tcBorders>
            <w:vAlign w:val="center"/>
          </w:tcPr>
          <w:p w14:paraId="2363B49B" w14:textId="77777777" w:rsidR="00315466" w:rsidRPr="00A4536F" w:rsidRDefault="001D4E15">
            <w:pPr>
              <w:spacing w:before="0" w:after="120"/>
              <w:ind w:left="88"/>
              <w:rPr>
                <w:rFonts w:cs="Calibri"/>
                <w:color w:val="auto"/>
                <w:szCs w:val="18"/>
              </w:rPr>
            </w:pPr>
            <w:r w:rsidRPr="00A4536F">
              <w:rPr>
                <w:rFonts w:cs="Calibri"/>
                <w:color w:val="auto"/>
                <w:szCs w:val="18"/>
              </w:rPr>
              <w:t xml:space="preserve">Proposed Methodology </w:t>
            </w:r>
          </w:p>
        </w:tc>
        <w:tc>
          <w:tcPr>
            <w:tcW w:w="2552" w:type="dxa"/>
            <w:tcBorders>
              <w:top w:val="single" w:sz="4" w:space="0" w:color="000000"/>
              <w:left w:val="single" w:sz="4" w:space="0" w:color="000000"/>
              <w:bottom w:val="single" w:sz="4" w:space="0" w:color="000000"/>
              <w:right w:val="single" w:sz="4" w:space="0" w:color="000000"/>
            </w:tcBorders>
            <w:vAlign w:val="center"/>
          </w:tcPr>
          <w:p w14:paraId="4314578E" w14:textId="77777777" w:rsidR="00315466" w:rsidRPr="00A4536F" w:rsidRDefault="001D4E15">
            <w:pPr>
              <w:spacing w:before="0" w:after="120"/>
              <w:rPr>
                <w:rFonts w:cs="Calibri"/>
                <w:color w:val="auto"/>
                <w:szCs w:val="18"/>
              </w:rPr>
            </w:pPr>
            <w:r w:rsidRPr="00A4536F">
              <w:rPr>
                <w:rFonts w:cs="Calibri"/>
                <w:color w:val="auto"/>
                <w:szCs w:val="18"/>
              </w:rPr>
              <w:t xml:space="preserve">Maximum of 4 pages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7E6FBF3B" w14:textId="77777777" w:rsidR="00315466" w:rsidRPr="00A4536F" w:rsidRDefault="001D4E15">
            <w:pPr>
              <w:spacing w:before="0" w:after="120"/>
              <w:ind w:left="40"/>
              <w:rPr>
                <w:rFonts w:cs="Calibri"/>
                <w:color w:val="auto"/>
                <w:szCs w:val="18"/>
              </w:rPr>
            </w:pPr>
            <w:r w:rsidRPr="00A4536F">
              <w:rPr>
                <w:rFonts w:cs="Calibri"/>
                <w:color w:val="auto"/>
                <w:szCs w:val="18"/>
              </w:rPr>
              <w:t xml:space="preserve">Quality in terms of the technical methodology and approach </w:t>
            </w:r>
          </w:p>
        </w:tc>
      </w:tr>
      <w:tr w:rsidR="009857B1" w:rsidRPr="00A4536F" w14:paraId="5D2D0AD0" w14:textId="77777777">
        <w:trPr>
          <w:trHeight w:val="20"/>
        </w:trPr>
        <w:tc>
          <w:tcPr>
            <w:tcW w:w="2399" w:type="dxa"/>
            <w:tcBorders>
              <w:top w:val="single" w:sz="4" w:space="0" w:color="000000"/>
              <w:left w:val="single" w:sz="4" w:space="0" w:color="000000"/>
              <w:bottom w:val="single" w:sz="4" w:space="0" w:color="000000"/>
              <w:right w:val="single" w:sz="4" w:space="0" w:color="000000"/>
            </w:tcBorders>
            <w:vAlign w:val="center"/>
          </w:tcPr>
          <w:p w14:paraId="7750EA70" w14:textId="77777777" w:rsidR="00315466" w:rsidRPr="00A4536F" w:rsidRDefault="001D4E15">
            <w:pPr>
              <w:spacing w:before="0" w:after="120"/>
              <w:ind w:left="88"/>
              <w:rPr>
                <w:rFonts w:cs="Calibri"/>
                <w:color w:val="auto"/>
                <w:szCs w:val="18"/>
              </w:rPr>
            </w:pPr>
            <w:r w:rsidRPr="00A4536F">
              <w:rPr>
                <w:rFonts w:cs="Calibri"/>
                <w:color w:val="auto"/>
                <w:szCs w:val="18"/>
              </w:rPr>
              <w:t xml:space="preserve">Indicative budget </w:t>
            </w:r>
          </w:p>
        </w:tc>
        <w:tc>
          <w:tcPr>
            <w:tcW w:w="2552" w:type="dxa"/>
            <w:tcBorders>
              <w:top w:val="single" w:sz="4" w:space="0" w:color="000000"/>
              <w:left w:val="single" w:sz="4" w:space="0" w:color="000000"/>
              <w:bottom w:val="single" w:sz="4" w:space="0" w:color="000000"/>
              <w:right w:val="single" w:sz="4" w:space="0" w:color="000000"/>
            </w:tcBorders>
            <w:vAlign w:val="center"/>
          </w:tcPr>
          <w:p w14:paraId="763EC604" w14:textId="77777777" w:rsidR="00315466" w:rsidRPr="00A4536F" w:rsidRDefault="001D4E15">
            <w:pPr>
              <w:spacing w:before="0" w:after="120"/>
              <w:rPr>
                <w:rFonts w:cs="Calibri"/>
                <w:color w:val="auto"/>
                <w:szCs w:val="18"/>
              </w:rPr>
            </w:pPr>
            <w:r w:rsidRPr="00A4536F">
              <w:rPr>
                <w:rFonts w:cs="Calibri"/>
                <w:color w:val="auto"/>
                <w:szCs w:val="18"/>
              </w:rPr>
              <w:t xml:space="preserve"> Maximum of 1 page </w:t>
            </w:r>
          </w:p>
        </w:tc>
        <w:tc>
          <w:tcPr>
            <w:tcW w:w="3969" w:type="dxa"/>
            <w:tcBorders>
              <w:top w:val="single" w:sz="4" w:space="0" w:color="000000"/>
              <w:left w:val="single" w:sz="4" w:space="0" w:color="000000"/>
              <w:bottom w:val="single" w:sz="4" w:space="0" w:color="000000"/>
              <w:right w:val="single" w:sz="4" w:space="0" w:color="000000"/>
            </w:tcBorders>
            <w:vAlign w:val="center"/>
          </w:tcPr>
          <w:p w14:paraId="613F870E" w14:textId="77777777" w:rsidR="00315466" w:rsidRPr="00A4536F" w:rsidRDefault="001D4E15">
            <w:pPr>
              <w:spacing w:before="0" w:after="120"/>
              <w:ind w:left="40" w:right="112"/>
              <w:rPr>
                <w:rFonts w:cs="Calibri"/>
                <w:color w:val="auto"/>
                <w:szCs w:val="18"/>
              </w:rPr>
            </w:pPr>
            <w:r w:rsidRPr="00A4536F">
              <w:rPr>
                <w:rFonts w:cs="Calibri"/>
                <w:color w:val="auto"/>
                <w:szCs w:val="18"/>
              </w:rPr>
              <w:t xml:space="preserve">Budget represents value for money </w:t>
            </w:r>
          </w:p>
        </w:tc>
      </w:tr>
    </w:tbl>
    <w:p w14:paraId="2404A887" w14:textId="77777777" w:rsidR="00315466" w:rsidRPr="00A4536F" w:rsidRDefault="001D4E15" w:rsidP="0042524B">
      <w:pPr>
        <w:spacing w:after="120"/>
        <w:rPr>
          <w:rFonts w:cs="Calibri"/>
          <w:b/>
          <w:bCs/>
          <w:color w:val="auto"/>
          <w:szCs w:val="18"/>
        </w:rPr>
      </w:pPr>
      <w:r w:rsidRPr="00A4536F">
        <w:rPr>
          <w:rFonts w:cs="Calibri"/>
          <w:b/>
          <w:bCs/>
          <w:color w:val="auto"/>
          <w:szCs w:val="18"/>
        </w:rPr>
        <w:t xml:space="preserve">CONTACT  </w:t>
      </w:r>
    </w:p>
    <w:p w14:paraId="61C20A26" w14:textId="77777777" w:rsidR="00315466" w:rsidRPr="00A4536F" w:rsidRDefault="001D4E15">
      <w:pPr>
        <w:spacing w:before="0" w:after="120"/>
        <w:ind w:left="-5" w:right="40"/>
        <w:rPr>
          <w:rFonts w:cs="Calibri"/>
          <w:color w:val="auto"/>
          <w:szCs w:val="18"/>
        </w:rPr>
      </w:pPr>
      <w:r w:rsidRPr="00A4536F">
        <w:rPr>
          <w:rFonts w:cs="Calibri"/>
          <w:color w:val="auto"/>
          <w:szCs w:val="18"/>
        </w:rPr>
        <w:t xml:space="preserve">Please send any queries to:  </w:t>
      </w:r>
    </w:p>
    <w:p w14:paraId="6C0C3C1A" w14:textId="77777777" w:rsidR="00315466" w:rsidRPr="00A4536F" w:rsidRDefault="001D4E15">
      <w:pPr>
        <w:spacing w:before="0" w:after="120"/>
        <w:ind w:left="-5" w:right="374"/>
        <w:rPr>
          <w:rFonts w:cs="Calibri"/>
          <w:color w:val="auto"/>
          <w:szCs w:val="18"/>
        </w:rPr>
      </w:pPr>
      <w:r w:rsidRPr="00A4536F">
        <w:rPr>
          <w:rFonts w:cs="Calibri"/>
          <w:color w:val="auto"/>
          <w:szCs w:val="18"/>
        </w:rPr>
        <w:t xml:space="preserve">Laura Holbeck, Monitoring, Evaluation and Learning Manager, Australian Humanitarian Partnership Support Unit Email: Laura.Holbeck@ahpsu.com, Mobile: +61 413 682 367 </w:t>
      </w:r>
    </w:p>
    <w:p w14:paraId="2C6AABA8"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ANNEX 1. OUTCOMES OF FOOD SECURITY AND LIVELIHOOD ACTIVATIONS IN ETHIOPIA AND KENYA </w:t>
      </w:r>
    </w:p>
    <w:p w14:paraId="13480967" w14:textId="102656D3" w:rsidR="00315466" w:rsidRPr="00A4536F" w:rsidRDefault="001D4E15">
      <w:pPr>
        <w:spacing w:before="0" w:after="120"/>
        <w:ind w:left="-5" w:right="58"/>
        <w:rPr>
          <w:rFonts w:cs="Calibri"/>
          <w:color w:val="auto"/>
          <w:szCs w:val="18"/>
        </w:rPr>
      </w:pPr>
      <w:r w:rsidRPr="00A4536F">
        <w:rPr>
          <w:rFonts w:cs="Calibri"/>
          <w:color w:val="auto"/>
          <w:szCs w:val="18"/>
        </w:rPr>
        <w:t xml:space="preserve">Each of the three AHP activations in Horn of Africa has distinct intended outcomes, but all focus on providing emergency nutrition services and food security and livelihoods support to affected populations in Ethiopia and Kenya. Protection is also an outcome </w:t>
      </w:r>
      <w:r w:rsidR="003A0B31" w:rsidRPr="00A4536F">
        <w:rPr>
          <w:rFonts w:cs="Calibri"/>
          <w:color w:val="auto"/>
          <w:szCs w:val="18"/>
        </w:rPr>
        <w:t>cross cutting</w:t>
      </w:r>
      <w:r w:rsidRPr="00A4536F">
        <w:rPr>
          <w:rFonts w:cs="Calibri"/>
          <w:color w:val="auto"/>
          <w:szCs w:val="18"/>
        </w:rPr>
        <w:t xml:space="preserve"> each of these activations.  </w:t>
      </w:r>
    </w:p>
    <w:p w14:paraId="4D9D5ED4" w14:textId="77777777" w:rsidR="00315466" w:rsidRPr="00A4536F" w:rsidRDefault="001D4E15">
      <w:pPr>
        <w:spacing w:before="0" w:after="120"/>
        <w:rPr>
          <w:rFonts w:cs="Calibri"/>
          <w:color w:val="auto"/>
          <w:szCs w:val="18"/>
        </w:rPr>
      </w:pPr>
      <w:r w:rsidRPr="00A4536F">
        <w:rPr>
          <w:rFonts w:cs="Calibri"/>
          <w:color w:val="auto"/>
          <w:szCs w:val="18"/>
        </w:rPr>
        <w:t xml:space="preserve">The Oxfam Australia consortium has the following Intended Outcomes for their Ethiopia activation:  </w:t>
      </w:r>
    </w:p>
    <w:p w14:paraId="6179C568" w14:textId="77777777" w:rsidR="00125B2E" w:rsidRDefault="001D4E15" w:rsidP="00D41C74">
      <w:pPr>
        <w:pStyle w:val="ListParagraph"/>
        <w:numPr>
          <w:ilvl w:val="0"/>
          <w:numId w:val="93"/>
        </w:numPr>
        <w:spacing w:after="120"/>
        <w:ind w:right="14"/>
        <w:rPr>
          <w:rFonts w:cs="Calibri"/>
          <w:szCs w:val="18"/>
        </w:rPr>
      </w:pPr>
      <w:r w:rsidRPr="00125B2E">
        <w:rPr>
          <w:rFonts w:cs="Calibri"/>
          <w:szCs w:val="18"/>
        </w:rPr>
        <w:t xml:space="preserve">Outcome 1. Increased access to quality emergency nutrition services to prevent, identify and treat acute malnourished cases among infants, children, pregnant and lactating mothers in Tigray, Afar and Amhara Regions, Ethiopia. </w:t>
      </w:r>
    </w:p>
    <w:p w14:paraId="5D000A7C" w14:textId="77777777" w:rsidR="00125B2E" w:rsidRDefault="001D4E15" w:rsidP="00D41C74">
      <w:pPr>
        <w:pStyle w:val="ListParagraph"/>
        <w:numPr>
          <w:ilvl w:val="0"/>
          <w:numId w:val="93"/>
        </w:numPr>
        <w:spacing w:after="120"/>
        <w:ind w:right="14"/>
        <w:rPr>
          <w:rFonts w:cs="Calibri"/>
          <w:szCs w:val="18"/>
        </w:rPr>
      </w:pPr>
      <w:r w:rsidRPr="00125B2E">
        <w:rPr>
          <w:rFonts w:cs="Calibri"/>
          <w:szCs w:val="18"/>
        </w:rPr>
        <w:t xml:space="preserve">Outcome 2. Conflict and drought affected households in Tigray, Afar and Amhara have improved access to food security and livelihoods. </w:t>
      </w:r>
    </w:p>
    <w:p w14:paraId="2218428A" w14:textId="1AC6F05E" w:rsidR="00315466" w:rsidRPr="00125B2E" w:rsidRDefault="001D4E15" w:rsidP="00D41C74">
      <w:pPr>
        <w:pStyle w:val="ListParagraph"/>
        <w:numPr>
          <w:ilvl w:val="0"/>
          <w:numId w:val="93"/>
        </w:numPr>
        <w:spacing w:after="120"/>
        <w:ind w:right="14"/>
        <w:rPr>
          <w:rFonts w:cs="Calibri"/>
          <w:szCs w:val="18"/>
        </w:rPr>
      </w:pPr>
      <w:r w:rsidRPr="00125B2E">
        <w:rPr>
          <w:rFonts w:cs="Calibri"/>
          <w:szCs w:val="18"/>
        </w:rPr>
        <w:t xml:space="preserve">Outcome 3. Improved protection for conflict and drought affected women, men, </w:t>
      </w:r>
      <w:proofErr w:type="gramStart"/>
      <w:r w:rsidRPr="00125B2E">
        <w:rPr>
          <w:rFonts w:cs="Calibri"/>
          <w:szCs w:val="18"/>
        </w:rPr>
        <w:t>boys</w:t>
      </w:r>
      <w:proofErr w:type="gramEnd"/>
      <w:r w:rsidRPr="00125B2E">
        <w:rPr>
          <w:rFonts w:cs="Calibri"/>
          <w:szCs w:val="18"/>
        </w:rPr>
        <w:t xml:space="preserve"> and girls in Tigray, Afar and Amhara </w:t>
      </w:r>
    </w:p>
    <w:p w14:paraId="17BD7802" w14:textId="77777777" w:rsidR="00315466" w:rsidRPr="00A4536F" w:rsidRDefault="001D4E15">
      <w:pPr>
        <w:spacing w:before="0" w:after="120"/>
        <w:rPr>
          <w:rFonts w:cs="Calibri"/>
          <w:color w:val="auto"/>
          <w:szCs w:val="18"/>
        </w:rPr>
      </w:pPr>
      <w:r w:rsidRPr="00A4536F">
        <w:rPr>
          <w:rFonts w:cs="Calibri"/>
          <w:color w:val="auto"/>
          <w:szCs w:val="18"/>
        </w:rPr>
        <w:t xml:space="preserve">The Plan International Australia consortium in Ethiopia has the following outcomes for their activation:  </w:t>
      </w:r>
    </w:p>
    <w:p w14:paraId="1C595798" w14:textId="77777777" w:rsidR="00125B2E" w:rsidRDefault="001D4E15" w:rsidP="00D41C74">
      <w:pPr>
        <w:pStyle w:val="ListParagraph"/>
        <w:numPr>
          <w:ilvl w:val="0"/>
          <w:numId w:val="94"/>
        </w:numPr>
        <w:spacing w:after="120"/>
        <w:ind w:right="14"/>
        <w:rPr>
          <w:rFonts w:cs="Calibri"/>
          <w:szCs w:val="18"/>
        </w:rPr>
      </w:pPr>
      <w:r w:rsidRPr="00125B2E">
        <w:rPr>
          <w:rFonts w:cs="Calibri"/>
          <w:szCs w:val="18"/>
        </w:rPr>
        <w:t xml:space="preserve">Outcome 1. Increased access to emergency curative and preventive nutrition services for drought -affected children under five years of age, pregnant and lactating women, elders, and mothers/caretakers of children under two years in </w:t>
      </w:r>
      <w:proofErr w:type="spellStart"/>
      <w:r w:rsidRPr="00125B2E">
        <w:rPr>
          <w:rFonts w:cs="Calibri"/>
          <w:szCs w:val="18"/>
        </w:rPr>
        <w:t>Yabello</w:t>
      </w:r>
      <w:proofErr w:type="spellEnd"/>
      <w:r w:rsidRPr="00125B2E">
        <w:rPr>
          <w:rFonts w:cs="Calibri"/>
          <w:szCs w:val="18"/>
        </w:rPr>
        <w:t xml:space="preserve"> and </w:t>
      </w:r>
      <w:proofErr w:type="spellStart"/>
      <w:r w:rsidRPr="00125B2E">
        <w:rPr>
          <w:rFonts w:cs="Calibri"/>
          <w:szCs w:val="18"/>
        </w:rPr>
        <w:t>Gomole</w:t>
      </w:r>
      <w:proofErr w:type="spellEnd"/>
      <w:r w:rsidRPr="00125B2E">
        <w:rPr>
          <w:rFonts w:cs="Calibri"/>
          <w:szCs w:val="18"/>
        </w:rPr>
        <w:t xml:space="preserve"> woredas of </w:t>
      </w:r>
      <w:proofErr w:type="spellStart"/>
      <w:r w:rsidRPr="00125B2E">
        <w:rPr>
          <w:rFonts w:cs="Calibri"/>
          <w:szCs w:val="18"/>
        </w:rPr>
        <w:t>Borena</w:t>
      </w:r>
      <w:proofErr w:type="spellEnd"/>
      <w:r w:rsidRPr="00125B2E">
        <w:rPr>
          <w:rFonts w:cs="Calibri"/>
          <w:szCs w:val="18"/>
        </w:rPr>
        <w:t xml:space="preserve"> Zone, Oromia Region. </w:t>
      </w:r>
    </w:p>
    <w:p w14:paraId="3FE9B1B1" w14:textId="77777777" w:rsidR="00125B2E" w:rsidRDefault="001D4E15" w:rsidP="00D41C74">
      <w:pPr>
        <w:pStyle w:val="ListParagraph"/>
        <w:numPr>
          <w:ilvl w:val="0"/>
          <w:numId w:val="94"/>
        </w:numPr>
        <w:spacing w:after="120"/>
        <w:ind w:right="14"/>
        <w:rPr>
          <w:rFonts w:cs="Calibri"/>
          <w:szCs w:val="18"/>
        </w:rPr>
      </w:pPr>
      <w:r w:rsidRPr="00125B2E">
        <w:rPr>
          <w:rFonts w:cs="Calibri"/>
          <w:szCs w:val="18"/>
        </w:rPr>
        <w:t>Outcome 2:  At risk groups including women, pregnant and lactating women (which may include adolescent girls), and women headed households, girls and boys, adolescent girls and boys, people with disabilities and the elderly impacted by the food crisis have enhanced resilience through meeting their immediate needs, food security and livelihoods support. (</w:t>
      </w:r>
      <w:proofErr w:type="spellStart"/>
      <w:r w:rsidRPr="00125B2E">
        <w:rPr>
          <w:rFonts w:cs="Calibri"/>
          <w:szCs w:val="18"/>
        </w:rPr>
        <w:t>Borena</w:t>
      </w:r>
      <w:proofErr w:type="spellEnd"/>
      <w:r w:rsidRPr="00125B2E">
        <w:rPr>
          <w:rFonts w:cs="Calibri"/>
          <w:szCs w:val="18"/>
        </w:rPr>
        <w:t xml:space="preserve"> zone, Oromia region, and Tigray Region) </w:t>
      </w:r>
    </w:p>
    <w:p w14:paraId="7000A27E" w14:textId="20F05B42" w:rsidR="00315466" w:rsidRPr="00125B2E" w:rsidRDefault="001D4E15" w:rsidP="00D41C74">
      <w:pPr>
        <w:pStyle w:val="ListParagraph"/>
        <w:numPr>
          <w:ilvl w:val="0"/>
          <w:numId w:val="94"/>
        </w:numPr>
        <w:spacing w:after="120"/>
        <w:ind w:right="14"/>
        <w:rPr>
          <w:rFonts w:cs="Calibri"/>
          <w:szCs w:val="18"/>
        </w:rPr>
      </w:pPr>
      <w:r w:rsidRPr="00125B2E">
        <w:rPr>
          <w:rFonts w:cs="Calibri"/>
          <w:szCs w:val="18"/>
        </w:rPr>
        <w:t xml:space="preserve">Outcome 3:  Chronically food insecure drought-affected households’ purchasing power and nutritional outcomes improved to meet their immediate needs and avoid negative coping strategies for two woredas in Somali Region. </w:t>
      </w:r>
    </w:p>
    <w:p w14:paraId="6366B5FB" w14:textId="77777777" w:rsidR="00315466" w:rsidRPr="00A4536F" w:rsidRDefault="001D4E15">
      <w:pPr>
        <w:spacing w:before="0" w:after="120"/>
        <w:rPr>
          <w:rFonts w:cs="Calibri"/>
          <w:color w:val="auto"/>
          <w:szCs w:val="18"/>
        </w:rPr>
      </w:pPr>
      <w:r w:rsidRPr="00A4536F">
        <w:rPr>
          <w:rFonts w:cs="Calibri"/>
          <w:color w:val="auto"/>
          <w:szCs w:val="18"/>
        </w:rPr>
        <w:t xml:space="preserve">The Oxfam Australia consortium in Kenya has the following outcomes for their activation:  </w:t>
      </w:r>
    </w:p>
    <w:p w14:paraId="39928EE8" w14:textId="77777777" w:rsidR="00125B2E" w:rsidRDefault="001D4E15" w:rsidP="00D41C74">
      <w:pPr>
        <w:pStyle w:val="ListParagraph"/>
        <w:numPr>
          <w:ilvl w:val="0"/>
          <w:numId w:val="95"/>
        </w:numPr>
        <w:spacing w:after="120"/>
        <w:ind w:right="14"/>
        <w:rPr>
          <w:rFonts w:cs="Calibri"/>
          <w:szCs w:val="18"/>
        </w:rPr>
      </w:pPr>
      <w:r w:rsidRPr="00125B2E">
        <w:rPr>
          <w:rFonts w:cs="Calibri"/>
          <w:szCs w:val="18"/>
        </w:rPr>
        <w:lastRenderedPageBreak/>
        <w:t xml:space="preserve">Outcome 1: The food security of 1500 households (9,800 Programme participants, including 3,080 women, 2,590 girls, 980 men and 3,150 boys) will be improved through five cycles of multi-purpose cash assistance.  </w:t>
      </w:r>
    </w:p>
    <w:p w14:paraId="2ED882AD" w14:textId="77777777" w:rsidR="00125B2E" w:rsidRDefault="001D4E15" w:rsidP="00D41C74">
      <w:pPr>
        <w:pStyle w:val="ListParagraph"/>
        <w:numPr>
          <w:ilvl w:val="0"/>
          <w:numId w:val="95"/>
        </w:numPr>
        <w:spacing w:after="120"/>
        <w:ind w:right="14"/>
        <w:rPr>
          <w:rFonts w:cs="Calibri"/>
          <w:szCs w:val="18"/>
        </w:rPr>
      </w:pPr>
      <w:r w:rsidRPr="00125B2E">
        <w:rPr>
          <w:rFonts w:cs="Calibri"/>
          <w:szCs w:val="18"/>
        </w:rPr>
        <w:t xml:space="preserve">Outcome 2: WASH: Improved access to safe and adequate water and WASH related information for the prevention of diseases for 6,100 Households (41,600: -Women 12,957, girls 10,059, Men 6,763 and boys 11,821) in </w:t>
      </w:r>
      <w:proofErr w:type="spellStart"/>
      <w:r w:rsidRPr="00125B2E">
        <w:rPr>
          <w:rFonts w:cs="Calibri"/>
          <w:szCs w:val="18"/>
        </w:rPr>
        <w:t>Marsabit</w:t>
      </w:r>
      <w:proofErr w:type="spellEnd"/>
      <w:r w:rsidRPr="00125B2E">
        <w:rPr>
          <w:rFonts w:cs="Calibri"/>
          <w:szCs w:val="18"/>
        </w:rPr>
        <w:t xml:space="preserve"> (</w:t>
      </w:r>
      <w:proofErr w:type="spellStart"/>
      <w:r w:rsidRPr="00125B2E">
        <w:rPr>
          <w:rFonts w:cs="Calibri"/>
          <w:szCs w:val="18"/>
        </w:rPr>
        <w:t>Laisamis</w:t>
      </w:r>
      <w:proofErr w:type="spellEnd"/>
      <w:r w:rsidRPr="00125B2E">
        <w:rPr>
          <w:rFonts w:cs="Calibri"/>
          <w:szCs w:val="18"/>
        </w:rPr>
        <w:t>), and Turkana (</w:t>
      </w:r>
      <w:proofErr w:type="spellStart"/>
      <w:r w:rsidRPr="00125B2E">
        <w:rPr>
          <w:rFonts w:cs="Calibri"/>
          <w:szCs w:val="18"/>
        </w:rPr>
        <w:t>Nerengewoi</w:t>
      </w:r>
      <w:proofErr w:type="spellEnd"/>
      <w:r w:rsidRPr="00125B2E">
        <w:rPr>
          <w:rFonts w:cs="Calibri"/>
          <w:szCs w:val="18"/>
        </w:rPr>
        <w:t xml:space="preserve"> and </w:t>
      </w:r>
      <w:proofErr w:type="spellStart"/>
      <w:r w:rsidRPr="00125B2E">
        <w:rPr>
          <w:rFonts w:cs="Calibri"/>
          <w:szCs w:val="18"/>
        </w:rPr>
        <w:t>Nariokotome</w:t>
      </w:r>
      <w:proofErr w:type="spellEnd"/>
      <w:r w:rsidRPr="00125B2E">
        <w:rPr>
          <w:rFonts w:cs="Calibri"/>
          <w:szCs w:val="18"/>
        </w:rPr>
        <w:t xml:space="preserve">) Counties. </w:t>
      </w:r>
    </w:p>
    <w:p w14:paraId="1785914E" w14:textId="2D2CE84C" w:rsidR="00315466" w:rsidRPr="00125B2E" w:rsidRDefault="001D4E15" w:rsidP="00D41C74">
      <w:pPr>
        <w:pStyle w:val="ListParagraph"/>
        <w:numPr>
          <w:ilvl w:val="0"/>
          <w:numId w:val="95"/>
        </w:numPr>
        <w:spacing w:after="120"/>
        <w:ind w:right="14"/>
        <w:rPr>
          <w:rFonts w:cs="Calibri"/>
          <w:szCs w:val="18"/>
        </w:rPr>
      </w:pPr>
      <w:r w:rsidRPr="00125B2E">
        <w:rPr>
          <w:rFonts w:cs="Calibri"/>
          <w:szCs w:val="18"/>
        </w:rPr>
        <w:t xml:space="preserve">Outcome 3: Drought affected 2917 households (Women 5090, Girls 4033, Men 4303, Boys 4074) are protected against gender-based violence and drought induced protection risks and survivors supported to access protection services.  </w:t>
      </w:r>
    </w:p>
    <w:p w14:paraId="7A241E38" w14:textId="77777777" w:rsidR="00315466" w:rsidRPr="00A4536F" w:rsidRDefault="001D4E15">
      <w:pPr>
        <w:spacing w:before="0" w:after="120"/>
        <w:rPr>
          <w:rFonts w:cs="Calibri"/>
          <w:color w:val="auto"/>
          <w:szCs w:val="18"/>
        </w:rPr>
      </w:pPr>
      <w:r w:rsidRPr="00A4536F">
        <w:rPr>
          <w:rFonts w:cs="Calibri"/>
          <w:color w:val="auto"/>
          <w:szCs w:val="18"/>
        </w:rPr>
        <w:br w:type="page"/>
      </w:r>
    </w:p>
    <w:p w14:paraId="56A85615" w14:textId="77777777" w:rsidR="00315466" w:rsidRPr="009641A9" w:rsidRDefault="001D4E15" w:rsidP="0042524B">
      <w:pPr>
        <w:pStyle w:val="Heading2"/>
        <w:spacing w:after="240"/>
        <w:rPr>
          <w:rFonts w:ascii="Verdana" w:hAnsi="Verdana"/>
          <w:sz w:val="24"/>
          <w:szCs w:val="24"/>
        </w:rPr>
      </w:pPr>
      <w:bookmarkStart w:id="227" w:name="_Toc165828010"/>
      <w:bookmarkStart w:id="228" w:name="_Toc174559918"/>
      <w:bookmarkStart w:id="229" w:name="_Toc181278065"/>
      <w:r w:rsidRPr="009641A9">
        <w:rPr>
          <w:rFonts w:ascii="Verdana" w:hAnsi="Verdana"/>
          <w:sz w:val="24"/>
          <w:szCs w:val="24"/>
        </w:rPr>
        <w:lastRenderedPageBreak/>
        <w:t>Annex 2 Thematic case studies</w:t>
      </w:r>
      <w:bookmarkEnd w:id="227"/>
      <w:bookmarkEnd w:id="228"/>
      <w:bookmarkEnd w:id="229"/>
    </w:p>
    <w:p w14:paraId="4FD303D4" w14:textId="3765E012" w:rsidR="00315466" w:rsidRPr="009641A9" w:rsidRDefault="001D4E15" w:rsidP="0042524B">
      <w:pPr>
        <w:pStyle w:val="Heading3"/>
        <w:spacing w:after="240"/>
        <w:rPr>
          <w:rFonts w:ascii="Verdana" w:hAnsi="Verdana"/>
          <w:sz w:val="20"/>
          <w:szCs w:val="20"/>
        </w:rPr>
      </w:pPr>
      <w:bookmarkStart w:id="230" w:name="_Toc165828011"/>
      <w:bookmarkStart w:id="231" w:name="_Toc174559919"/>
      <w:bookmarkStart w:id="232" w:name="_Toc181278066"/>
      <w:r w:rsidRPr="009641A9">
        <w:rPr>
          <w:rFonts w:ascii="Verdana" w:hAnsi="Verdana"/>
          <w:sz w:val="20"/>
          <w:szCs w:val="20"/>
        </w:rPr>
        <w:t>Case Study 1: Food Security in the Horn of Africa</w:t>
      </w:r>
      <w:bookmarkEnd w:id="230"/>
      <w:bookmarkEnd w:id="231"/>
      <w:bookmarkEnd w:id="232"/>
    </w:p>
    <w:p w14:paraId="6D46B973" w14:textId="24CC4F22" w:rsidR="00315466" w:rsidRDefault="001D4E15" w:rsidP="0042524B">
      <w:pPr>
        <w:spacing w:before="0" w:line="240" w:lineRule="auto"/>
        <w:rPr>
          <w:rFonts w:cs="Calibri"/>
          <w:b/>
          <w:bCs/>
          <w:color w:val="auto"/>
          <w:szCs w:val="18"/>
        </w:rPr>
      </w:pPr>
      <w:r w:rsidRPr="00A4536F">
        <w:rPr>
          <w:rFonts w:cs="Calibri"/>
          <w:b/>
          <w:bCs/>
          <w:color w:val="auto"/>
          <w:szCs w:val="18"/>
        </w:rPr>
        <w:t xml:space="preserve">Introduction </w:t>
      </w:r>
    </w:p>
    <w:p w14:paraId="4D455E06" w14:textId="77777777" w:rsidR="00315466" w:rsidRPr="00A4536F" w:rsidRDefault="001D4E15">
      <w:pPr>
        <w:spacing w:before="0" w:after="120"/>
        <w:rPr>
          <w:rFonts w:cs="Calibri"/>
          <w:color w:val="auto"/>
          <w:szCs w:val="18"/>
        </w:rPr>
      </w:pPr>
      <w:r w:rsidRPr="00A4536F">
        <w:rPr>
          <w:rFonts w:cs="Calibri"/>
          <w:color w:val="auto"/>
          <w:szCs w:val="18"/>
        </w:rPr>
        <w:t>Food security, nutrition, and livelihoods are interconnected elements essential for the well-being and resilience of communities, particularly in areas affected by conflict, drought, and climate change. This case study examines the food security, nutrition, and livelihood components of the Australian Humanitarian Partnership (AHP) Horn of Africa Food Security and Livelihood (FSL) Activations in Ethiopia and Kenya.</w:t>
      </w:r>
    </w:p>
    <w:p w14:paraId="7934DFB9"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Context and Project Overview </w:t>
      </w:r>
    </w:p>
    <w:p w14:paraId="7C77AA59" w14:textId="77777777" w:rsidR="00315466" w:rsidRPr="00A4536F" w:rsidRDefault="001D4E15">
      <w:pPr>
        <w:spacing w:before="0" w:after="120"/>
        <w:rPr>
          <w:rFonts w:cs="Calibri"/>
          <w:color w:val="auto"/>
          <w:szCs w:val="18"/>
        </w:rPr>
      </w:pPr>
      <w:r w:rsidRPr="00A4536F">
        <w:rPr>
          <w:rFonts w:cs="Calibri"/>
          <w:color w:val="auto"/>
          <w:szCs w:val="18"/>
        </w:rPr>
        <w:t>In both Ethiopia and Kenya, communities faced challenges related to food insecurity, malnutrition, and limited livelihood opportunities, exacerbated by factors such as conflict, displacement, and environmental degradation. Under the AHP activations, interventions aimed to enhance food security, improve nutritional outcomes, and build sustainable livelihoods for vulnerable populations. Activities included cash transfers, agricultural support, and income-generating projects targeting households affected by drought and conflict.</w:t>
      </w:r>
    </w:p>
    <w:p w14:paraId="15CF1923"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Implementation </w:t>
      </w:r>
    </w:p>
    <w:p w14:paraId="4504107B" w14:textId="77777777" w:rsidR="00315466" w:rsidRPr="00A4536F" w:rsidRDefault="001D4E15">
      <w:pPr>
        <w:spacing w:before="0" w:after="120"/>
        <w:rPr>
          <w:rFonts w:cs="Calibri"/>
          <w:color w:val="auto"/>
          <w:szCs w:val="18"/>
        </w:rPr>
      </w:pPr>
      <w:r w:rsidRPr="00A4536F">
        <w:rPr>
          <w:rFonts w:cs="Calibri"/>
          <w:color w:val="auto"/>
          <w:szCs w:val="18"/>
        </w:rPr>
        <w:t>Local partners, in collaboration with international NGOs and government agencies, implemented food security and livelihood interventions. Cash transfers were provided to vulnerable households, while agricultural training and support were offered to improve agricultural productivity and diversify livelihoods.</w:t>
      </w:r>
    </w:p>
    <w:p w14:paraId="47F92470" w14:textId="77777777" w:rsidR="00315466" w:rsidRPr="00A4536F" w:rsidRDefault="001D4E15">
      <w:pPr>
        <w:spacing w:before="0" w:after="120"/>
        <w:rPr>
          <w:rFonts w:cs="Calibri"/>
          <w:b/>
          <w:bCs/>
          <w:color w:val="auto"/>
          <w:szCs w:val="18"/>
        </w:rPr>
      </w:pPr>
      <w:r w:rsidRPr="00A4536F">
        <w:rPr>
          <w:rFonts w:cs="Calibri"/>
          <w:b/>
          <w:bCs/>
          <w:color w:val="auto"/>
          <w:szCs w:val="18"/>
        </w:rPr>
        <w:t>Achievements and Impact</w:t>
      </w:r>
    </w:p>
    <w:p w14:paraId="3BF7A9CA" w14:textId="77777777" w:rsidR="00315466" w:rsidRPr="00A4536F" w:rsidRDefault="001D4E15">
      <w:pPr>
        <w:spacing w:before="0" w:after="120"/>
        <w:rPr>
          <w:rFonts w:cs="Calibri"/>
          <w:color w:val="auto"/>
          <w:szCs w:val="18"/>
        </w:rPr>
      </w:pPr>
      <w:r w:rsidRPr="00A4536F">
        <w:rPr>
          <w:rFonts w:cs="Calibri"/>
          <w:color w:val="auto"/>
          <w:szCs w:val="18"/>
        </w:rPr>
        <w:t xml:space="preserve">The FSL interventions in Ethiopia and Kenya have registered achievements regarding food security and nutrition, and livelihoods: </w:t>
      </w:r>
    </w:p>
    <w:p w14:paraId="273980B4" w14:textId="77777777" w:rsidR="00315466" w:rsidRPr="00A4536F" w:rsidRDefault="001D4E15">
      <w:pPr>
        <w:spacing w:before="0" w:after="120"/>
        <w:rPr>
          <w:rFonts w:cs="Calibri"/>
          <w:color w:val="auto"/>
          <w:szCs w:val="18"/>
        </w:rPr>
      </w:pPr>
      <w:r w:rsidRPr="00A4536F">
        <w:rPr>
          <w:rFonts w:cs="Calibri"/>
          <w:b/>
          <w:bCs/>
          <w:color w:val="auto"/>
          <w:szCs w:val="18"/>
        </w:rPr>
        <w:t xml:space="preserve">Improved Dietary Diversity and Nutrition: </w:t>
      </w:r>
      <w:r w:rsidRPr="00A4536F">
        <w:rPr>
          <w:rFonts w:cs="Calibri"/>
          <w:color w:val="auto"/>
          <w:szCs w:val="18"/>
        </w:rPr>
        <w:t xml:space="preserve">In Kenya, the provision of emergency support, such as cash transfers, ensured immediate access to food during crises, leading to improved dietary diversity and better nutrition. In Turkana, almost 100% of beneficiaries reported life-changing effects, such as improved access to nutritious foods and enhanced resilience during food shortages. In Ethiopia, beneficiaries noted that the interventions helped fill their food gaps during crises, with significant improvements in dietary diversity and nutritional intake observed across the community. A beneficiary in Kenya, remarked that </w:t>
      </w:r>
      <w:r w:rsidRPr="00A4536F">
        <w:rPr>
          <w:rFonts w:cs="Calibri"/>
          <w:i/>
          <w:iCs/>
          <w:color w:val="auto"/>
          <w:szCs w:val="18"/>
        </w:rPr>
        <w:t>“The MPCA intervention has restored dignity to target beneficiaries, preventing starvation.</w:t>
      </w:r>
      <w:r w:rsidRPr="00A4536F">
        <w:rPr>
          <w:rFonts w:cs="Calibri"/>
          <w:color w:val="auto"/>
          <w:szCs w:val="18"/>
        </w:rPr>
        <w:t>’’ (FGD Participant from Kenya). The distribution of dairy goats, pullets, and improved crop seeds by Plan International helped households enhance their nutritional intake and food diversity. Additionally, emergency nutrition interventions have been highly effective in addressing malnutrition, particularly in children. Participants from Ethiopia and Kenya noted:</w:t>
      </w:r>
    </w:p>
    <w:p w14:paraId="640B3675" w14:textId="77777777" w:rsidR="00315466" w:rsidRPr="00A4536F" w:rsidRDefault="001D4E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120"/>
        <w:ind w:left="567" w:right="567"/>
        <w:rPr>
          <w:rFonts w:cs="Calibri"/>
          <w:color w:val="auto"/>
          <w:szCs w:val="18"/>
        </w:rPr>
      </w:pPr>
      <w:r w:rsidRPr="00A4536F">
        <w:rPr>
          <w:rFonts w:cs="Calibri"/>
          <w:i/>
          <w:iCs/>
          <w:color w:val="auto"/>
          <w:szCs w:val="18"/>
        </w:rPr>
        <w:t>“We are now able to have three meals a day. Before we used to eat one meal in 24 hours or even 48 hours. This has changed our lives, and the children are now healthy”</w:t>
      </w:r>
      <w:r w:rsidRPr="00A4536F">
        <w:rPr>
          <w:rFonts w:cs="Calibri"/>
          <w:color w:val="auto"/>
          <w:szCs w:val="18"/>
        </w:rPr>
        <w:t xml:space="preserve"> (Beneficiary participant, Ethiopia) </w:t>
      </w:r>
    </w:p>
    <w:p w14:paraId="1D3501C5" w14:textId="77777777" w:rsidR="00315466" w:rsidRPr="00A4536F" w:rsidRDefault="001D4E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120"/>
        <w:ind w:left="567" w:right="567"/>
        <w:rPr>
          <w:rFonts w:cs="Calibri"/>
          <w:color w:val="auto"/>
          <w:szCs w:val="18"/>
        </w:rPr>
      </w:pPr>
      <w:r w:rsidRPr="00A4536F">
        <w:rPr>
          <w:rFonts w:cs="Calibri"/>
          <w:color w:val="auto"/>
          <w:szCs w:val="18"/>
        </w:rPr>
        <w:t>“</w:t>
      </w:r>
      <w:r w:rsidRPr="00A4536F">
        <w:rPr>
          <w:rFonts w:cs="Calibri"/>
          <w:i/>
          <w:iCs/>
          <w:color w:val="auto"/>
          <w:szCs w:val="18"/>
        </w:rPr>
        <w:t xml:space="preserve">Some beneficiaries have managed to access food, preventing them from hunger and malnutrition ... some have bought some animals. The project restored </w:t>
      </w:r>
      <w:proofErr w:type="gramStart"/>
      <w:r w:rsidRPr="00A4536F">
        <w:rPr>
          <w:rFonts w:cs="Calibri"/>
          <w:i/>
          <w:iCs/>
          <w:color w:val="auto"/>
          <w:szCs w:val="18"/>
        </w:rPr>
        <w:t>people's  (</w:t>
      </w:r>
      <w:proofErr w:type="gramEnd"/>
      <w:r w:rsidRPr="00A4536F">
        <w:rPr>
          <w:rFonts w:cs="Calibri"/>
          <w:i/>
          <w:iCs/>
          <w:color w:val="auto"/>
          <w:szCs w:val="18"/>
        </w:rPr>
        <w:t>especially the most vulnerable) hope for survival.  Others could have died probably, had it not been for the intervention</w:t>
      </w:r>
      <w:r w:rsidRPr="00A4536F">
        <w:rPr>
          <w:rFonts w:cs="Calibri"/>
          <w:color w:val="auto"/>
          <w:szCs w:val="18"/>
        </w:rPr>
        <w:t>.” (Community leader, Kenya)</w:t>
      </w:r>
    </w:p>
    <w:p w14:paraId="15919F30" w14:textId="77777777" w:rsidR="00315466" w:rsidRPr="00A4536F" w:rsidRDefault="001D4E15">
      <w:pPr>
        <w:spacing w:before="0" w:after="120"/>
        <w:rPr>
          <w:rFonts w:cs="Calibri"/>
          <w:color w:val="auto"/>
          <w:szCs w:val="18"/>
        </w:rPr>
      </w:pPr>
      <w:r w:rsidRPr="00A4536F">
        <w:rPr>
          <w:rFonts w:cs="Calibri"/>
          <w:b/>
          <w:bCs/>
          <w:color w:val="auto"/>
          <w:szCs w:val="18"/>
        </w:rPr>
        <w:t xml:space="preserve">Adoption of Sustainable Agricultural Practices: </w:t>
      </w:r>
      <w:r w:rsidRPr="00A4536F">
        <w:rPr>
          <w:rFonts w:cs="Calibri"/>
          <w:color w:val="auto"/>
          <w:szCs w:val="18"/>
        </w:rPr>
        <w:t xml:space="preserve">In both Ethiopia and Kenya, households have shown a mindset shift from relying solely on livestock to embracing crop agriculture. This is evidenced by the increased adoption of kitchen gardens and crop cultivation, promoting household-level food production and self-sufficiency. In Ethiopia, beneficiaries have started cultivating drought-resistant crops, contributing to long-term food security and resilience against climate change. Both in Ethiopia and Kenya, recipients of cash transfers have used part of the cash to buy livestock and other farming inputs.  </w:t>
      </w:r>
    </w:p>
    <w:p w14:paraId="0E94A5E5" w14:textId="77777777" w:rsidR="00315466" w:rsidRPr="00A4536F" w:rsidRDefault="001D4E15">
      <w:pPr>
        <w:spacing w:before="0" w:after="120"/>
        <w:rPr>
          <w:rFonts w:cs="Calibri"/>
          <w:color w:val="auto"/>
          <w:szCs w:val="18"/>
        </w:rPr>
      </w:pPr>
      <w:r w:rsidRPr="00A4536F">
        <w:rPr>
          <w:rFonts w:cs="Calibri"/>
          <w:color w:val="auto"/>
          <w:szCs w:val="18"/>
        </w:rPr>
        <w:lastRenderedPageBreak/>
        <w:t>Regarding improved livelihoods, the FSL interventions have improved the livelihoods of the targeted communities by diversifying income sources and enhancing economic resilience through:</w:t>
      </w:r>
    </w:p>
    <w:p w14:paraId="77ACF12B" w14:textId="77777777" w:rsidR="00315466" w:rsidRPr="00A4536F" w:rsidRDefault="001D4E15">
      <w:pPr>
        <w:spacing w:before="0" w:after="120"/>
        <w:rPr>
          <w:rFonts w:cs="Calibri"/>
          <w:color w:val="auto"/>
          <w:szCs w:val="18"/>
        </w:rPr>
      </w:pPr>
      <w:r w:rsidRPr="00A4536F">
        <w:rPr>
          <w:rFonts w:cs="Calibri"/>
          <w:b/>
          <w:bCs/>
          <w:color w:val="auto"/>
          <w:szCs w:val="18"/>
        </w:rPr>
        <w:t xml:space="preserve">Livelihood Diversification: </w:t>
      </w:r>
      <w:r w:rsidRPr="00A4536F">
        <w:rPr>
          <w:rFonts w:cs="Calibri"/>
          <w:color w:val="auto"/>
          <w:szCs w:val="18"/>
        </w:rPr>
        <w:t>The introduction of kitchen gardens and other income-generating activities has empowered households to diversify their livelihoods. Beneficiaries are selling produce from their kitchen gardens and engaging in small-scale petty trades, such as buying and breeding livestock. This diversification has increased household income and economic stability. A participant in Ethiopia acknowledged the importance of distribution of inputs for restocking and improved agronomical practices.</w:t>
      </w:r>
    </w:p>
    <w:p w14:paraId="40ACFA8E" w14:textId="77777777" w:rsidR="00315466" w:rsidRPr="00A4536F" w:rsidRDefault="001D4E15">
      <w:pPr>
        <w:spacing w:before="0" w:after="120"/>
        <w:ind w:left="567" w:right="567"/>
        <w:rPr>
          <w:rFonts w:cs="Calibri"/>
          <w:color w:val="auto"/>
          <w:szCs w:val="18"/>
        </w:rPr>
      </w:pPr>
      <w:r w:rsidRPr="00A4536F">
        <w:rPr>
          <w:rFonts w:cs="Calibri"/>
          <w:i/>
          <w:iCs/>
          <w:color w:val="auto"/>
          <w:szCs w:val="18"/>
        </w:rPr>
        <w:t xml:space="preserve"> “Some beneficiaries were also provided inputs to restock their lost shoats and poultry during the war. Quick-maturing and drought-resistant chickpea seeds were also important for beneficiaries”</w:t>
      </w:r>
      <w:r w:rsidRPr="00A4536F">
        <w:rPr>
          <w:rFonts w:cs="Calibri"/>
          <w:color w:val="auto"/>
          <w:szCs w:val="18"/>
        </w:rPr>
        <w:t xml:space="preserve"> (Participant, Ethiopia)</w:t>
      </w:r>
    </w:p>
    <w:p w14:paraId="4714DDD8" w14:textId="77777777" w:rsidR="00315466" w:rsidRPr="00A4536F" w:rsidRDefault="001D4E15">
      <w:pPr>
        <w:spacing w:before="0" w:after="120"/>
        <w:rPr>
          <w:rFonts w:cs="Calibri"/>
          <w:color w:val="auto"/>
          <w:szCs w:val="18"/>
        </w:rPr>
      </w:pPr>
      <w:r w:rsidRPr="00A4536F">
        <w:rPr>
          <w:rFonts w:cs="Calibri"/>
          <w:b/>
          <w:bCs/>
          <w:color w:val="auto"/>
          <w:szCs w:val="18"/>
        </w:rPr>
        <w:t xml:space="preserve">Empowerment of Marginalised Groups: </w:t>
      </w:r>
      <w:r w:rsidRPr="00A4536F">
        <w:rPr>
          <w:rFonts w:cs="Calibri"/>
          <w:color w:val="auto"/>
          <w:szCs w:val="18"/>
        </w:rPr>
        <w:t>The FSL interventions included training programs that equipped beneficiaries with skills to improve their livelihoods. Community members received training on agricultural practices, financial literacy, and business management, enhancing their ability to sustain their livelihoods and improve economic resilience. Specific interventions have targeted marginalised groups, including women and people with disabilities, providing them with economic opportunities and enhancing their agency. Cash transfers have enabled women to gain decision-making power and control over household economic resources, shifting power dynamics within families. People with disabilities have become more visible and engaged in community activities, improving their social and economic standing.</w:t>
      </w:r>
    </w:p>
    <w:p w14:paraId="068F9385" w14:textId="77777777" w:rsidR="00315466" w:rsidRPr="00A4536F" w:rsidRDefault="001D4E15">
      <w:pPr>
        <w:spacing w:before="0" w:after="120"/>
        <w:rPr>
          <w:rFonts w:cs="Calibri"/>
          <w:b/>
          <w:bCs/>
          <w:color w:val="auto"/>
          <w:szCs w:val="18"/>
        </w:rPr>
      </w:pPr>
      <w:r w:rsidRPr="00A4536F">
        <w:rPr>
          <w:rFonts w:cs="Calibri"/>
          <w:b/>
          <w:bCs/>
          <w:color w:val="auto"/>
          <w:szCs w:val="18"/>
        </w:rPr>
        <w:t>Challenges and Recommendations</w:t>
      </w:r>
    </w:p>
    <w:p w14:paraId="4D1B05F2" w14:textId="77777777" w:rsidR="00315466" w:rsidRPr="00A4536F" w:rsidRDefault="001D4E15">
      <w:pPr>
        <w:spacing w:before="0" w:after="120"/>
        <w:rPr>
          <w:rFonts w:cs="Calibri"/>
          <w:color w:val="auto"/>
          <w:szCs w:val="18"/>
        </w:rPr>
      </w:pPr>
      <w:r w:rsidRPr="00A4536F">
        <w:rPr>
          <w:rFonts w:cs="Calibri"/>
          <w:color w:val="auto"/>
          <w:szCs w:val="18"/>
        </w:rPr>
        <w:t>While the FSL interventions have yielded significant achievements, certain challenges remain. These include:</w:t>
      </w:r>
    </w:p>
    <w:p w14:paraId="416BF019" w14:textId="77777777" w:rsidR="00125B2E" w:rsidRDefault="001D4E15" w:rsidP="00D41C74">
      <w:pPr>
        <w:pStyle w:val="ListParagraph"/>
        <w:numPr>
          <w:ilvl w:val="0"/>
          <w:numId w:val="96"/>
        </w:numPr>
        <w:spacing w:after="120"/>
        <w:rPr>
          <w:rFonts w:cs="Calibri"/>
          <w:szCs w:val="18"/>
        </w:rPr>
      </w:pPr>
      <w:r w:rsidRPr="00125B2E">
        <w:rPr>
          <w:rFonts w:cs="Calibri"/>
          <w:szCs w:val="18"/>
        </w:rPr>
        <w:t>In some regions, there was a lack of integration between FSL and other components, leading to disjointed service delivery.</w:t>
      </w:r>
    </w:p>
    <w:p w14:paraId="7F75DB77" w14:textId="77777777" w:rsidR="00125B2E" w:rsidRDefault="001D4E15" w:rsidP="00D41C74">
      <w:pPr>
        <w:pStyle w:val="ListParagraph"/>
        <w:numPr>
          <w:ilvl w:val="0"/>
          <w:numId w:val="96"/>
        </w:numPr>
        <w:spacing w:after="120"/>
        <w:rPr>
          <w:rFonts w:cs="Calibri"/>
          <w:szCs w:val="18"/>
        </w:rPr>
      </w:pPr>
      <w:r w:rsidRPr="00125B2E">
        <w:rPr>
          <w:rFonts w:cs="Calibri"/>
          <w:szCs w:val="18"/>
        </w:rPr>
        <w:t>Resource constraints and inadequate training for project staff hindered the effective integration of activities.</w:t>
      </w:r>
    </w:p>
    <w:p w14:paraId="3C9017DC" w14:textId="095AE7A8" w:rsidR="00315466" w:rsidRPr="00125B2E" w:rsidRDefault="001D4E15" w:rsidP="00D41C74">
      <w:pPr>
        <w:pStyle w:val="ListParagraph"/>
        <w:numPr>
          <w:ilvl w:val="0"/>
          <w:numId w:val="96"/>
        </w:numPr>
        <w:spacing w:after="120"/>
        <w:rPr>
          <w:rFonts w:cs="Calibri"/>
          <w:szCs w:val="18"/>
        </w:rPr>
      </w:pPr>
      <w:r w:rsidRPr="00125B2E">
        <w:rPr>
          <w:rFonts w:cs="Calibri"/>
          <w:szCs w:val="18"/>
        </w:rPr>
        <w:t>Traditional gender roles and cultural norms often restricted women's participation in economic activities.</w:t>
      </w:r>
    </w:p>
    <w:p w14:paraId="7EF0318E" w14:textId="77777777" w:rsidR="00315466" w:rsidRPr="00A4536F" w:rsidRDefault="001D4E15">
      <w:pPr>
        <w:spacing w:before="0" w:after="120"/>
        <w:rPr>
          <w:rFonts w:cs="Calibri"/>
          <w:b/>
          <w:bCs/>
          <w:color w:val="auto"/>
          <w:szCs w:val="18"/>
        </w:rPr>
      </w:pPr>
      <w:r w:rsidRPr="00A4536F">
        <w:rPr>
          <w:rFonts w:cs="Calibri"/>
          <w:b/>
          <w:bCs/>
          <w:color w:val="auto"/>
          <w:szCs w:val="18"/>
        </w:rPr>
        <w:t>Lessons Learned:</w:t>
      </w:r>
    </w:p>
    <w:p w14:paraId="5FA9FE3C" w14:textId="77777777" w:rsidR="00315466" w:rsidRPr="00A4536F" w:rsidRDefault="001D4E15">
      <w:pPr>
        <w:spacing w:before="0" w:after="120"/>
        <w:rPr>
          <w:rFonts w:cs="Calibri"/>
          <w:color w:val="auto"/>
          <w:szCs w:val="18"/>
        </w:rPr>
      </w:pPr>
      <w:r w:rsidRPr="00A4536F">
        <w:rPr>
          <w:rFonts w:cs="Calibri"/>
          <w:color w:val="auto"/>
          <w:szCs w:val="18"/>
        </w:rPr>
        <w:t>Targeted Assistance: Tailoring interventions to the specific needs and capacities of households enhanced effectiveness and ensured maximum impact on food security and livelihoods.</w:t>
      </w:r>
    </w:p>
    <w:p w14:paraId="178B2222" w14:textId="77777777" w:rsidR="00315466" w:rsidRPr="00A4536F" w:rsidRDefault="001D4E15">
      <w:pPr>
        <w:spacing w:before="0" w:after="120"/>
        <w:rPr>
          <w:rFonts w:cs="Calibri"/>
          <w:color w:val="auto"/>
          <w:szCs w:val="18"/>
        </w:rPr>
      </w:pPr>
      <w:r w:rsidRPr="00A4536F">
        <w:rPr>
          <w:rFonts w:cs="Calibri"/>
          <w:color w:val="auto"/>
          <w:szCs w:val="18"/>
        </w:rPr>
        <w:t>Sustainable Practices: Promoting sustainable agricultural practices and livelihood strategies contributed to building resilience to climate change and fostering long-term food security.</w:t>
      </w:r>
    </w:p>
    <w:p w14:paraId="4FA94020" w14:textId="77777777" w:rsidR="00315466" w:rsidRPr="00A4536F" w:rsidRDefault="001D4E15">
      <w:pPr>
        <w:spacing w:before="0" w:after="120"/>
        <w:rPr>
          <w:rFonts w:cs="Calibri"/>
          <w:b/>
          <w:bCs/>
          <w:color w:val="auto"/>
          <w:szCs w:val="18"/>
        </w:rPr>
      </w:pPr>
      <w:r w:rsidRPr="00A4536F">
        <w:rPr>
          <w:rFonts w:cs="Calibri"/>
          <w:b/>
          <w:bCs/>
          <w:color w:val="auto"/>
          <w:szCs w:val="18"/>
        </w:rPr>
        <w:t>Conclusion</w:t>
      </w:r>
    </w:p>
    <w:p w14:paraId="2B0DFA4C" w14:textId="77777777" w:rsidR="00315466" w:rsidRPr="00A4536F" w:rsidRDefault="001D4E15">
      <w:pPr>
        <w:spacing w:before="0" w:after="120"/>
        <w:rPr>
          <w:rFonts w:cs="Calibri"/>
          <w:color w:val="auto"/>
          <w:szCs w:val="18"/>
        </w:rPr>
      </w:pPr>
      <w:r w:rsidRPr="00A4536F">
        <w:rPr>
          <w:rFonts w:cs="Calibri"/>
          <w:color w:val="auto"/>
          <w:szCs w:val="18"/>
        </w:rPr>
        <w:t>In conclusion, the AHP FSL interventions have made substantial progress in enhancing food security, nutrition, and livelihoods in the targeted communities of Kenya and Ethiopia. Continued efforts to integrate activities, build capacity, and address sociocultural barriers will be essential for sustaining these achievements and further improving the well-being of vulnerable populations.</w:t>
      </w:r>
    </w:p>
    <w:p w14:paraId="6DC5799B" w14:textId="77777777" w:rsidR="00315466" w:rsidRPr="00A4536F" w:rsidRDefault="001D4E15">
      <w:pPr>
        <w:spacing w:before="0" w:after="0" w:line="240" w:lineRule="auto"/>
        <w:rPr>
          <w:rFonts w:cs="Calibri"/>
          <w:color w:val="auto"/>
          <w:szCs w:val="18"/>
        </w:rPr>
      </w:pPr>
      <w:r w:rsidRPr="00A4536F">
        <w:rPr>
          <w:rFonts w:cs="Calibri"/>
          <w:color w:val="auto"/>
          <w:szCs w:val="18"/>
        </w:rPr>
        <w:br w:type="page"/>
      </w:r>
    </w:p>
    <w:p w14:paraId="16A84AFD" w14:textId="427E1FB8" w:rsidR="009641A9" w:rsidRPr="0042524B" w:rsidRDefault="001D4E15" w:rsidP="0042524B">
      <w:pPr>
        <w:pStyle w:val="Heading3"/>
        <w:spacing w:after="240"/>
        <w:rPr>
          <w:rFonts w:ascii="Verdana" w:hAnsi="Verdana"/>
          <w:sz w:val="20"/>
          <w:szCs w:val="20"/>
        </w:rPr>
      </w:pPr>
      <w:bookmarkStart w:id="233" w:name="_Toc165828012"/>
      <w:bookmarkStart w:id="234" w:name="_Toc174559920"/>
      <w:bookmarkStart w:id="235" w:name="_Toc181278067"/>
      <w:r w:rsidRPr="009641A9">
        <w:rPr>
          <w:rFonts w:ascii="Verdana" w:hAnsi="Verdana"/>
          <w:sz w:val="20"/>
          <w:szCs w:val="20"/>
        </w:rPr>
        <w:lastRenderedPageBreak/>
        <w:t>Case Study 2: Water, Sanitation, and Hygiene (WASH) Intervention in the Horn of Africa</w:t>
      </w:r>
      <w:bookmarkEnd w:id="233"/>
      <w:bookmarkEnd w:id="234"/>
      <w:bookmarkEnd w:id="235"/>
    </w:p>
    <w:p w14:paraId="69A81340" w14:textId="5BF6ABBE" w:rsidR="009641A9" w:rsidRPr="00A4536F" w:rsidRDefault="001D4E15" w:rsidP="0042524B">
      <w:pPr>
        <w:spacing w:before="0" w:line="240" w:lineRule="auto"/>
        <w:rPr>
          <w:rFonts w:cs="Calibri"/>
          <w:b/>
          <w:bCs/>
          <w:color w:val="auto"/>
          <w:szCs w:val="18"/>
        </w:rPr>
      </w:pPr>
      <w:r w:rsidRPr="00A4536F">
        <w:rPr>
          <w:rFonts w:cs="Calibri"/>
          <w:b/>
          <w:bCs/>
          <w:color w:val="auto"/>
          <w:szCs w:val="18"/>
        </w:rPr>
        <w:t>Introduction</w:t>
      </w:r>
    </w:p>
    <w:p w14:paraId="2309666F" w14:textId="77777777" w:rsidR="00315466" w:rsidRPr="00A4536F" w:rsidRDefault="001D4E15">
      <w:pPr>
        <w:spacing w:before="0" w:after="120"/>
        <w:rPr>
          <w:rFonts w:cs="Calibri"/>
          <w:color w:val="auto"/>
          <w:szCs w:val="18"/>
        </w:rPr>
      </w:pPr>
      <w:r w:rsidRPr="00A4536F">
        <w:rPr>
          <w:rFonts w:cs="Calibri"/>
          <w:color w:val="auto"/>
          <w:szCs w:val="18"/>
        </w:rPr>
        <w:t>The Water, Sanitation, and Hygiene (WASH) component of the Australian Humanitarian Partnership (AHP) Horn of Africa Food Security and Livelihood (FSL) Activations aimed to improve access to safe water and sanitation facilities, promote hygiene practices, and prevent diseases among vulnerable populations in Ethiopia and Kenya.</w:t>
      </w:r>
    </w:p>
    <w:p w14:paraId="3AAB702A" w14:textId="77777777" w:rsidR="00315466" w:rsidRPr="00A4536F" w:rsidRDefault="001D4E15">
      <w:pPr>
        <w:spacing w:before="0" w:after="120"/>
        <w:rPr>
          <w:rFonts w:cs="Calibri"/>
          <w:b/>
          <w:bCs/>
          <w:color w:val="auto"/>
          <w:szCs w:val="18"/>
        </w:rPr>
      </w:pPr>
      <w:r w:rsidRPr="00A4536F">
        <w:rPr>
          <w:rFonts w:cs="Calibri"/>
          <w:b/>
          <w:bCs/>
          <w:color w:val="auto"/>
          <w:szCs w:val="18"/>
        </w:rPr>
        <w:t>Context</w:t>
      </w:r>
    </w:p>
    <w:p w14:paraId="5DFACBCE" w14:textId="77777777" w:rsidR="00315466" w:rsidRPr="00A4536F" w:rsidRDefault="001D4E15">
      <w:pPr>
        <w:spacing w:before="0" w:after="120"/>
        <w:rPr>
          <w:rFonts w:cs="Calibri"/>
          <w:color w:val="auto"/>
          <w:szCs w:val="18"/>
        </w:rPr>
      </w:pPr>
      <w:r w:rsidRPr="00A4536F">
        <w:rPr>
          <w:rFonts w:cs="Calibri"/>
          <w:color w:val="auto"/>
          <w:szCs w:val="18"/>
        </w:rPr>
        <w:t>Ethiopia and Kenya, like many countries in the Horn of Africa, face challenges related to inadequate access to clean water and sanitation, particularly in rural and conflict-affected areas. Poor WASH infrastructure contributes to waterborne diseases, malnutrition, and other health issues, exacerbating food insecurity and livelihood challenges.</w:t>
      </w:r>
    </w:p>
    <w:p w14:paraId="796981C9" w14:textId="77777777" w:rsidR="00315466" w:rsidRPr="00A4536F" w:rsidRDefault="001D4E15">
      <w:pPr>
        <w:spacing w:before="0" w:after="120"/>
        <w:rPr>
          <w:rFonts w:cs="Calibri"/>
          <w:b/>
          <w:bCs/>
          <w:color w:val="auto"/>
          <w:szCs w:val="18"/>
        </w:rPr>
      </w:pPr>
      <w:r w:rsidRPr="00A4536F">
        <w:rPr>
          <w:rFonts w:cs="Calibri"/>
          <w:b/>
          <w:bCs/>
          <w:color w:val="auto"/>
          <w:szCs w:val="18"/>
        </w:rPr>
        <w:t>Project Overview</w:t>
      </w:r>
    </w:p>
    <w:p w14:paraId="5FA5080F" w14:textId="77777777" w:rsidR="00315466" w:rsidRPr="00A4536F" w:rsidRDefault="001D4E15">
      <w:pPr>
        <w:spacing w:before="0" w:after="120"/>
        <w:rPr>
          <w:rFonts w:cs="Calibri"/>
          <w:color w:val="auto"/>
          <w:szCs w:val="18"/>
        </w:rPr>
      </w:pPr>
      <w:r w:rsidRPr="00A4536F">
        <w:rPr>
          <w:rFonts w:cs="Calibri"/>
          <w:color w:val="auto"/>
          <w:szCs w:val="18"/>
        </w:rPr>
        <w:t>The AHP activations in Ethiopia and Kenya included WASH interventions as a critical component of the broader FSL response. Key activities under the WASH component included:</w:t>
      </w:r>
    </w:p>
    <w:p w14:paraId="013D1EAC" w14:textId="77777777" w:rsidR="00125B2E" w:rsidRDefault="001D4E15" w:rsidP="00D41C74">
      <w:pPr>
        <w:pStyle w:val="ListParagraph"/>
        <w:numPr>
          <w:ilvl w:val="0"/>
          <w:numId w:val="97"/>
        </w:numPr>
        <w:spacing w:after="120"/>
        <w:rPr>
          <w:rFonts w:cs="Calibri"/>
          <w:szCs w:val="18"/>
        </w:rPr>
      </w:pPr>
      <w:r w:rsidRPr="00125B2E">
        <w:rPr>
          <w:rFonts w:cs="Calibri"/>
          <w:b/>
          <w:bCs/>
          <w:szCs w:val="18"/>
        </w:rPr>
        <w:t>Infrastructure Development</w:t>
      </w:r>
      <w:r w:rsidRPr="00125B2E">
        <w:rPr>
          <w:rFonts w:cs="Calibri"/>
          <w:szCs w:val="18"/>
        </w:rPr>
        <w:t>: Construction and rehabilitation of water sources such as boreholes, wells, and water points to increase access to safe drinking water for households and communities.</w:t>
      </w:r>
    </w:p>
    <w:p w14:paraId="71FE99EE" w14:textId="77777777" w:rsidR="00125B2E" w:rsidRDefault="001D4E15" w:rsidP="00D41C74">
      <w:pPr>
        <w:pStyle w:val="ListParagraph"/>
        <w:numPr>
          <w:ilvl w:val="0"/>
          <w:numId w:val="97"/>
        </w:numPr>
        <w:spacing w:after="120"/>
        <w:rPr>
          <w:rFonts w:cs="Calibri"/>
          <w:szCs w:val="18"/>
        </w:rPr>
      </w:pPr>
      <w:r w:rsidRPr="00125B2E">
        <w:rPr>
          <w:rFonts w:cs="Calibri"/>
          <w:b/>
          <w:bCs/>
          <w:szCs w:val="18"/>
        </w:rPr>
        <w:t>Hygiene Promotion</w:t>
      </w:r>
      <w:r w:rsidRPr="00125B2E">
        <w:rPr>
          <w:rFonts w:cs="Calibri"/>
          <w:szCs w:val="18"/>
        </w:rPr>
        <w:t>: Community-based hygiene education and awareness campaigns to promote safe sanitation practices, handwashing, and proper hygiene behaviours.</w:t>
      </w:r>
    </w:p>
    <w:p w14:paraId="1FCD9AA5" w14:textId="0C855445" w:rsidR="00315466" w:rsidRPr="00125B2E" w:rsidRDefault="001D4E15" w:rsidP="00D41C74">
      <w:pPr>
        <w:pStyle w:val="ListParagraph"/>
        <w:numPr>
          <w:ilvl w:val="0"/>
          <w:numId w:val="97"/>
        </w:numPr>
        <w:spacing w:after="120"/>
        <w:rPr>
          <w:rFonts w:cs="Calibri"/>
          <w:szCs w:val="18"/>
        </w:rPr>
      </w:pPr>
      <w:r w:rsidRPr="00125B2E">
        <w:rPr>
          <w:rFonts w:cs="Calibri"/>
          <w:b/>
          <w:bCs/>
          <w:szCs w:val="18"/>
        </w:rPr>
        <w:t>Sanitation Improvement</w:t>
      </w:r>
      <w:r w:rsidRPr="00125B2E">
        <w:rPr>
          <w:rFonts w:cs="Calibri"/>
          <w:szCs w:val="18"/>
        </w:rPr>
        <w:t>: Distribution of hygiene kits, latrine construction, and improvement of sanitation facilities in households, schools, and health centres to ensure proper waste disposal and sanitation.</w:t>
      </w:r>
    </w:p>
    <w:p w14:paraId="2DB264BD" w14:textId="77777777" w:rsidR="00315466" w:rsidRPr="00A4536F" w:rsidRDefault="001D4E15">
      <w:pPr>
        <w:spacing w:before="0" w:after="120"/>
        <w:rPr>
          <w:rFonts w:cs="Calibri"/>
          <w:b/>
          <w:bCs/>
          <w:color w:val="auto"/>
          <w:szCs w:val="18"/>
        </w:rPr>
      </w:pPr>
      <w:r w:rsidRPr="00A4536F">
        <w:rPr>
          <w:rFonts w:cs="Calibri"/>
          <w:b/>
          <w:bCs/>
          <w:color w:val="auto"/>
          <w:szCs w:val="18"/>
        </w:rPr>
        <w:t>Implementation</w:t>
      </w:r>
    </w:p>
    <w:p w14:paraId="2FCF745D" w14:textId="77777777" w:rsidR="00315466" w:rsidRPr="00A4536F" w:rsidRDefault="001D4E15">
      <w:pPr>
        <w:spacing w:before="0" w:after="120"/>
        <w:rPr>
          <w:rFonts w:cs="Calibri"/>
          <w:color w:val="auto"/>
          <w:szCs w:val="18"/>
        </w:rPr>
      </w:pPr>
      <w:r w:rsidRPr="00A4536F">
        <w:rPr>
          <w:rFonts w:cs="Calibri"/>
          <w:color w:val="auto"/>
          <w:szCs w:val="18"/>
        </w:rPr>
        <w:t>The WASH interventions were implemented through partnerships with local organizations, government agencies, and community leaders. Community engagement and participation were central to the project's success, with communities actively involved in decision-making, planning, and implementation of WASH activities. Technical expertise and support were provided to ensure the sustainability and effectiveness of WASH infrastructure and interventions.</w:t>
      </w:r>
    </w:p>
    <w:p w14:paraId="44AFD51F" w14:textId="77777777" w:rsidR="00315466" w:rsidRPr="00A4536F" w:rsidRDefault="001D4E15">
      <w:pPr>
        <w:spacing w:before="0" w:after="120"/>
        <w:rPr>
          <w:rFonts w:cs="Calibri"/>
          <w:b/>
          <w:bCs/>
          <w:color w:val="auto"/>
          <w:szCs w:val="18"/>
        </w:rPr>
      </w:pPr>
      <w:r w:rsidRPr="00A4536F">
        <w:rPr>
          <w:rFonts w:cs="Calibri"/>
          <w:b/>
          <w:bCs/>
          <w:color w:val="auto"/>
          <w:szCs w:val="18"/>
        </w:rPr>
        <w:t>Achievements</w:t>
      </w:r>
    </w:p>
    <w:p w14:paraId="288FEF17" w14:textId="77777777" w:rsidR="00315466" w:rsidRPr="00A4536F" w:rsidRDefault="001D4E15">
      <w:pPr>
        <w:spacing w:before="0" w:after="120"/>
        <w:rPr>
          <w:rFonts w:cs="Calibri"/>
          <w:color w:val="auto"/>
          <w:szCs w:val="18"/>
        </w:rPr>
      </w:pPr>
      <w:r w:rsidRPr="00A4536F">
        <w:rPr>
          <w:rFonts w:cs="Calibri"/>
          <w:color w:val="auto"/>
          <w:szCs w:val="18"/>
        </w:rPr>
        <w:t>The AHP FSL interventions in Ethiopia and Kenya have overall contributed to improved access to clean water, sanitation facilities, and hygiene practices in targeted communities in Ethiopia and Kenya.</w:t>
      </w:r>
    </w:p>
    <w:p w14:paraId="34D3FD41" w14:textId="77777777" w:rsidR="00315466" w:rsidRPr="00A4536F" w:rsidRDefault="001D4E15">
      <w:pPr>
        <w:spacing w:before="0" w:after="120"/>
        <w:rPr>
          <w:rFonts w:cs="Calibri"/>
          <w:color w:val="auto"/>
          <w:szCs w:val="18"/>
        </w:rPr>
      </w:pPr>
      <w:r w:rsidRPr="00A4536F">
        <w:rPr>
          <w:rFonts w:cs="Calibri"/>
          <w:color w:val="auto"/>
          <w:szCs w:val="18"/>
        </w:rPr>
        <w:t>In Ethiopia, the Plan International Consortium supported the provision of water for production in Afar region while the Oxfam consortium supported provision of WASH kits, contributing to improved hygiene practices. Meanwhile, in Kenya, the Oxfam-led consortium emphasised community health promoters and collaboration with sub-county structures, ensuring effective implementation of WASH interventions. Robust community feedback mechanisms and public relations efforts facilitated accountability and awareness. Integration of WASH with cash-based support and protection measures enhanced resilience and reduced gender-based vulnerabilities.</w:t>
      </w:r>
    </w:p>
    <w:p w14:paraId="43A76D6C" w14:textId="77777777" w:rsidR="00315466" w:rsidRPr="00A4536F" w:rsidRDefault="001D4E15">
      <w:pPr>
        <w:spacing w:before="0" w:after="120"/>
        <w:rPr>
          <w:rFonts w:cs="Calibri"/>
          <w:color w:val="auto"/>
          <w:szCs w:val="18"/>
        </w:rPr>
      </w:pPr>
      <w:r w:rsidRPr="00A4536F">
        <w:rPr>
          <w:rFonts w:cs="Calibri"/>
          <w:color w:val="auto"/>
          <w:szCs w:val="18"/>
        </w:rPr>
        <w:t>All the three consortia projects integrated FSL and WASH components which are instrumental in improving livelihoods and overall well-being, as one beneficiary in Ethiopia observed:</w:t>
      </w:r>
    </w:p>
    <w:p w14:paraId="091D94AA" w14:textId="77777777" w:rsidR="00315466" w:rsidRPr="00A4536F" w:rsidRDefault="001D4E15">
      <w:pPr>
        <w:spacing w:before="0" w:after="120"/>
        <w:ind w:left="567" w:right="567"/>
        <w:rPr>
          <w:rFonts w:cs="Calibri"/>
          <w:color w:val="auto"/>
          <w:szCs w:val="18"/>
        </w:rPr>
      </w:pPr>
      <w:r w:rsidRPr="00A4536F">
        <w:rPr>
          <w:rFonts w:cs="Calibri"/>
          <w:i/>
          <w:iCs/>
          <w:color w:val="auto"/>
          <w:szCs w:val="18"/>
        </w:rPr>
        <w:t>“We grateful to Oxfam and our local partner APDA (Afar Pastoral Development Association). Their assistance was invaluable, providing us with life's essentials especially food and water. Food and water are essential for our survival, and thanks to the FSL interventions, we received these vital necessities.”</w:t>
      </w:r>
      <w:r w:rsidRPr="00A4536F">
        <w:rPr>
          <w:rFonts w:cs="Calibri"/>
          <w:color w:val="auto"/>
          <w:szCs w:val="18"/>
        </w:rPr>
        <w:t xml:space="preserve"> (A beneficiary in Afar)</w:t>
      </w:r>
    </w:p>
    <w:p w14:paraId="4EDCFBB9" w14:textId="77777777" w:rsidR="00315466" w:rsidRPr="00A4536F" w:rsidRDefault="001D4E15">
      <w:pPr>
        <w:spacing w:before="0" w:after="120"/>
        <w:rPr>
          <w:rFonts w:cs="Calibri"/>
          <w:color w:val="auto"/>
          <w:szCs w:val="18"/>
        </w:rPr>
      </w:pPr>
      <w:r w:rsidRPr="00A4536F">
        <w:rPr>
          <w:rFonts w:cs="Calibri"/>
          <w:color w:val="auto"/>
          <w:szCs w:val="18"/>
        </w:rPr>
        <w:lastRenderedPageBreak/>
        <w:t>The synergistic outcomes, such as improved health outcomes and strengthened protection mechanisms, underscored the holistic approach adopted in addressing the WASH needs of vulnerable populations.</w:t>
      </w:r>
    </w:p>
    <w:p w14:paraId="0EB1CA5E" w14:textId="77777777" w:rsidR="00315466" w:rsidRPr="00A4536F" w:rsidRDefault="001D4E15">
      <w:pPr>
        <w:spacing w:before="0" w:after="120"/>
        <w:rPr>
          <w:rFonts w:cs="Calibri"/>
          <w:color w:val="auto"/>
          <w:szCs w:val="18"/>
        </w:rPr>
      </w:pPr>
      <w:r w:rsidRPr="00A4536F">
        <w:rPr>
          <w:rFonts w:cs="Calibri"/>
          <w:color w:val="auto"/>
          <w:szCs w:val="18"/>
        </w:rPr>
        <w:t>Despite challenges like fragmentation of approaches and limited resources, the interventions showcased notable achievements in enhancing WASH outcomes, paving the way for sustainable improvements in water access, sanitation, and hygiene practices in Ethiopia and Kenya's drought-affected communities.</w:t>
      </w:r>
    </w:p>
    <w:p w14:paraId="55AD29AD" w14:textId="77777777" w:rsidR="00315466" w:rsidRPr="00A4536F" w:rsidRDefault="001D4E15">
      <w:pPr>
        <w:spacing w:before="0" w:after="120"/>
        <w:rPr>
          <w:rFonts w:cs="Calibri"/>
          <w:b/>
          <w:bCs/>
          <w:color w:val="auto"/>
          <w:szCs w:val="18"/>
        </w:rPr>
      </w:pPr>
      <w:r w:rsidRPr="00A4536F">
        <w:rPr>
          <w:rFonts w:cs="Calibri"/>
          <w:b/>
          <w:bCs/>
          <w:color w:val="auto"/>
          <w:szCs w:val="18"/>
        </w:rPr>
        <w:t>Impact</w:t>
      </w:r>
    </w:p>
    <w:p w14:paraId="6F24AE28" w14:textId="77777777" w:rsidR="00315466" w:rsidRPr="00A4536F" w:rsidRDefault="001D4E15">
      <w:pPr>
        <w:spacing w:before="0" w:after="120"/>
        <w:rPr>
          <w:rFonts w:cs="Calibri"/>
          <w:color w:val="auto"/>
          <w:szCs w:val="18"/>
        </w:rPr>
      </w:pPr>
      <w:r w:rsidRPr="00A4536F">
        <w:rPr>
          <w:rFonts w:cs="Calibri"/>
          <w:color w:val="auto"/>
          <w:szCs w:val="18"/>
        </w:rPr>
        <w:t>The WASH interventions had a notable impact on the well-being and livelihoods of vulnerable populations in Ethiopia and Kenya:</w:t>
      </w:r>
    </w:p>
    <w:p w14:paraId="6D3A2C57" w14:textId="77777777" w:rsidR="00315466" w:rsidRPr="00A4536F" w:rsidRDefault="001D4E15">
      <w:pPr>
        <w:spacing w:before="0" w:after="120"/>
        <w:rPr>
          <w:rFonts w:cs="Calibri"/>
          <w:color w:val="auto"/>
          <w:szCs w:val="18"/>
        </w:rPr>
      </w:pPr>
      <w:r w:rsidRPr="00A4536F">
        <w:rPr>
          <w:rFonts w:cs="Calibri"/>
          <w:b/>
          <w:bCs/>
          <w:color w:val="auto"/>
          <w:szCs w:val="18"/>
        </w:rPr>
        <w:t>Improved Health Outcomes:</w:t>
      </w:r>
      <w:r w:rsidRPr="00A4536F">
        <w:rPr>
          <w:rFonts w:cs="Calibri"/>
          <w:color w:val="auto"/>
          <w:szCs w:val="18"/>
        </w:rPr>
        <w:t xml:space="preserve"> Access to safe water and sanitation facilities led to a reduction in waterborne diseases, improving overall health and well-being. Hygiene promotion activities contributed to the adoption of safer hygiene practices, further reducing the risk of disease transmission. A community leader, noted:</w:t>
      </w:r>
    </w:p>
    <w:p w14:paraId="6BC3F087" w14:textId="77777777" w:rsidR="00315466" w:rsidRPr="00A4536F" w:rsidRDefault="001D4E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120"/>
        <w:ind w:left="567" w:right="567"/>
        <w:rPr>
          <w:rFonts w:cs="Calibri"/>
          <w:color w:val="auto"/>
          <w:szCs w:val="18"/>
        </w:rPr>
      </w:pPr>
      <w:r w:rsidRPr="00A4536F">
        <w:rPr>
          <w:rFonts w:cs="Calibri"/>
          <w:i/>
          <w:iCs/>
          <w:color w:val="auto"/>
          <w:szCs w:val="18"/>
        </w:rPr>
        <w:t>“.. supply of female underpants, sanitary pads, water filters has played a major role in improvement the health condition in the community. They can drink clean water and free from diseases. Girls and women are able to attend their menses in a hygienic way."</w:t>
      </w:r>
      <w:r w:rsidRPr="00A4536F">
        <w:rPr>
          <w:rFonts w:cs="Calibri"/>
          <w:color w:val="auto"/>
          <w:szCs w:val="18"/>
        </w:rPr>
        <w:t xml:space="preserve"> (a participant, Kenya)</w:t>
      </w:r>
    </w:p>
    <w:p w14:paraId="56EF4CAC" w14:textId="77777777" w:rsidR="00315466" w:rsidRPr="00A4536F" w:rsidRDefault="001D4E15">
      <w:pPr>
        <w:spacing w:before="0" w:after="120"/>
        <w:rPr>
          <w:rFonts w:cs="Calibri"/>
          <w:color w:val="auto"/>
          <w:szCs w:val="18"/>
        </w:rPr>
      </w:pPr>
      <w:r w:rsidRPr="00A4536F">
        <w:rPr>
          <w:rFonts w:cs="Calibri"/>
          <w:b/>
          <w:bCs/>
          <w:color w:val="auto"/>
          <w:szCs w:val="18"/>
        </w:rPr>
        <w:t>Enhanced Livelihoods</w:t>
      </w:r>
      <w:r w:rsidRPr="00A4536F">
        <w:rPr>
          <w:rFonts w:cs="Calibri"/>
          <w:color w:val="auto"/>
          <w:szCs w:val="18"/>
        </w:rPr>
        <w:t>: Improved access to water for irrigation and livestock watering supported agricultural productivity and livelihood diversification, particularly for women and marginalised groups. Reduced time spent fetching water allowed women and girls to engage in income-generating activities and pursue education. One female participant noted:</w:t>
      </w:r>
    </w:p>
    <w:p w14:paraId="355D5666" w14:textId="77777777" w:rsidR="00315466" w:rsidRPr="00A4536F" w:rsidRDefault="001D4E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120"/>
        <w:ind w:left="567" w:right="567"/>
        <w:rPr>
          <w:rFonts w:cs="Calibri"/>
          <w:color w:val="auto"/>
          <w:szCs w:val="18"/>
        </w:rPr>
      </w:pPr>
      <w:r w:rsidRPr="00A4536F">
        <w:rPr>
          <w:rFonts w:cs="Calibri"/>
          <w:i/>
          <w:iCs/>
          <w:color w:val="auto"/>
          <w:szCs w:val="18"/>
        </w:rPr>
        <w:t>“The supplied jerricans and water tanks have increased the amount of water stored for future use. This also helps animals to drink. It has also reduced the distance we have walk daily since we can have more water for more days</w:t>
      </w:r>
      <w:r w:rsidRPr="00A4536F">
        <w:rPr>
          <w:rFonts w:cs="Calibri"/>
          <w:color w:val="auto"/>
          <w:szCs w:val="18"/>
        </w:rPr>
        <w:t>.” (a Participant in Ethiopia)</w:t>
      </w:r>
    </w:p>
    <w:p w14:paraId="58C860D1" w14:textId="77777777" w:rsidR="00315466" w:rsidRPr="00A4536F" w:rsidRDefault="001D4E15">
      <w:pPr>
        <w:spacing w:before="0" w:after="120"/>
        <w:rPr>
          <w:rFonts w:cs="Calibri"/>
          <w:color w:val="auto"/>
          <w:szCs w:val="18"/>
        </w:rPr>
      </w:pPr>
      <w:r w:rsidRPr="00A4536F">
        <w:rPr>
          <w:rFonts w:cs="Calibri"/>
          <w:b/>
          <w:bCs/>
          <w:color w:val="auto"/>
          <w:szCs w:val="18"/>
        </w:rPr>
        <w:t>Community Empowerment</w:t>
      </w:r>
      <w:r w:rsidRPr="00A4536F">
        <w:rPr>
          <w:rFonts w:cs="Calibri"/>
          <w:color w:val="auto"/>
          <w:szCs w:val="18"/>
        </w:rPr>
        <w:t>: Participation in WASH activities fostered a sense of ownership and empowerment within communities, as they took charge of managing and maintaining water sources and sanitation facilities. Community-led initiatives, such as water user committees, ensured the sustainability of WASH infrastructure beyond the project duration.</w:t>
      </w:r>
    </w:p>
    <w:p w14:paraId="1A3722FF" w14:textId="77777777" w:rsidR="00315466" w:rsidRPr="00A4536F" w:rsidRDefault="001D4E15">
      <w:pPr>
        <w:spacing w:before="0" w:after="120"/>
        <w:rPr>
          <w:rFonts w:cs="Calibri"/>
          <w:b/>
          <w:bCs/>
          <w:color w:val="auto"/>
          <w:szCs w:val="18"/>
        </w:rPr>
      </w:pPr>
      <w:r w:rsidRPr="00A4536F">
        <w:rPr>
          <w:rFonts w:cs="Calibri"/>
          <w:b/>
          <w:bCs/>
          <w:color w:val="auto"/>
          <w:szCs w:val="18"/>
        </w:rPr>
        <w:t>Lessons Learned</w:t>
      </w:r>
    </w:p>
    <w:p w14:paraId="504647C9" w14:textId="77777777" w:rsidR="00315466" w:rsidRPr="00A4536F" w:rsidRDefault="001D4E15">
      <w:pPr>
        <w:spacing w:before="0" w:after="120"/>
        <w:rPr>
          <w:rFonts w:cs="Calibri"/>
          <w:color w:val="auto"/>
          <w:szCs w:val="18"/>
        </w:rPr>
      </w:pPr>
      <w:r w:rsidRPr="00A4536F">
        <w:rPr>
          <w:rFonts w:cs="Calibri"/>
          <w:color w:val="auto"/>
          <w:szCs w:val="18"/>
        </w:rPr>
        <w:t>The WASH interventions yielded valuable lessons for future programming:</w:t>
      </w:r>
    </w:p>
    <w:p w14:paraId="333CB7DF" w14:textId="77777777" w:rsidR="00315466" w:rsidRPr="00A4536F" w:rsidRDefault="001D4E15">
      <w:pPr>
        <w:spacing w:before="0" w:after="120"/>
        <w:rPr>
          <w:rFonts w:cs="Calibri"/>
          <w:color w:val="auto"/>
          <w:szCs w:val="18"/>
        </w:rPr>
      </w:pPr>
      <w:r w:rsidRPr="00A4536F">
        <w:rPr>
          <w:rFonts w:cs="Calibri"/>
          <w:b/>
          <w:bCs/>
          <w:color w:val="auto"/>
          <w:szCs w:val="18"/>
        </w:rPr>
        <w:t>Community Participation</w:t>
      </w:r>
      <w:r w:rsidRPr="00A4536F">
        <w:rPr>
          <w:rFonts w:cs="Calibri"/>
          <w:color w:val="auto"/>
          <w:szCs w:val="18"/>
        </w:rPr>
        <w:t>: Meaningful engagement of communities in decision-making and implementation processes was essential for the success and sustainability of WASH interventions. Empowering communities to take ownership of WASH infrastructure enhances accountability and ensures long-term functionality.</w:t>
      </w:r>
    </w:p>
    <w:p w14:paraId="3B66B549" w14:textId="77777777" w:rsidR="00315466" w:rsidRPr="00A4536F" w:rsidRDefault="001D4E15">
      <w:pPr>
        <w:pStyle w:val="ListParagraph"/>
        <w:spacing w:after="120"/>
        <w:ind w:right="567"/>
        <w:rPr>
          <w:rFonts w:ascii="Verdana" w:hAnsi="Verdana" w:cs="Calibri"/>
          <w:sz w:val="18"/>
          <w:szCs w:val="18"/>
        </w:rPr>
      </w:pPr>
      <w:r w:rsidRPr="00A4536F">
        <w:rPr>
          <w:rFonts w:ascii="Verdana" w:hAnsi="Verdana" w:cs="Calibri"/>
          <w:i/>
          <w:iCs/>
          <w:sz w:val="18"/>
          <w:szCs w:val="18"/>
        </w:rPr>
        <w:t>“The community members have been instrumental in working with our contractors to ensure that the works on the ground are done properly; we are now planning with communities to have a water user management committee in place that will manage and operate the system.”</w:t>
      </w:r>
      <w:r w:rsidRPr="00A4536F">
        <w:rPr>
          <w:rFonts w:ascii="Verdana" w:hAnsi="Verdana" w:cs="Calibri"/>
          <w:sz w:val="18"/>
          <w:szCs w:val="18"/>
        </w:rPr>
        <w:t xml:space="preserve"> (Staff of Implementing Partner, Kenya) </w:t>
      </w:r>
    </w:p>
    <w:p w14:paraId="6E459219" w14:textId="77777777" w:rsidR="00315466" w:rsidRPr="00A4536F" w:rsidRDefault="001D4E15">
      <w:pPr>
        <w:spacing w:before="0" w:after="120"/>
        <w:rPr>
          <w:rFonts w:cs="Calibri"/>
          <w:color w:val="auto"/>
          <w:szCs w:val="18"/>
        </w:rPr>
      </w:pPr>
      <w:r w:rsidRPr="00A4536F">
        <w:rPr>
          <w:rFonts w:cs="Calibri"/>
          <w:b/>
          <w:bCs/>
          <w:color w:val="auto"/>
          <w:szCs w:val="18"/>
        </w:rPr>
        <w:t>Behaviour Change Communication</w:t>
      </w:r>
      <w:r w:rsidRPr="00A4536F">
        <w:rPr>
          <w:rFonts w:cs="Calibri"/>
          <w:color w:val="auto"/>
          <w:szCs w:val="18"/>
        </w:rPr>
        <w:t>: Effective behaviour change communication strategies are crucial for promoting hygiene practices and sustaining behaviour change. Tailoring messaging to local contexts and cultural norms improves the uptake of hygienic behaviours. A public health officer in Kenya, noted:</w:t>
      </w:r>
    </w:p>
    <w:p w14:paraId="7E02CE73" w14:textId="77777777" w:rsidR="00315466" w:rsidRPr="00A4536F" w:rsidRDefault="001D4E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120"/>
        <w:ind w:left="567" w:right="567"/>
        <w:rPr>
          <w:rFonts w:cs="Calibri"/>
          <w:color w:val="auto"/>
          <w:szCs w:val="18"/>
        </w:rPr>
      </w:pPr>
      <w:r w:rsidRPr="00A4536F">
        <w:rPr>
          <w:rFonts w:cs="Calibri"/>
          <w:color w:val="auto"/>
          <w:szCs w:val="18"/>
        </w:rPr>
        <w:t>“</w:t>
      </w:r>
      <w:r w:rsidRPr="00A4536F">
        <w:rPr>
          <w:rFonts w:cs="Calibri"/>
          <w:i/>
          <w:iCs/>
          <w:color w:val="auto"/>
          <w:szCs w:val="18"/>
        </w:rPr>
        <w:t>Out of the 10 villages that were assigned to SND to participate in the CLTS Open Defecation Free (ODF) activities SDN has managed to achieve results ... 8 out of 10 have been certified Open Defecation Free (ODF) which is a tremendous result in such a short time. This is total behavioural change. When I interact with the health facilities, I see fewer cases of diarrheal infections reported from those villages.</w:t>
      </w:r>
      <w:r w:rsidRPr="00A4536F">
        <w:rPr>
          <w:rFonts w:cs="Calibri"/>
          <w:color w:val="auto"/>
          <w:szCs w:val="18"/>
        </w:rPr>
        <w:t>” (a Public Health Official, Kenya)</w:t>
      </w:r>
    </w:p>
    <w:p w14:paraId="4CB71E44" w14:textId="77777777" w:rsidR="00315466" w:rsidRPr="00A4536F" w:rsidRDefault="001D4E15">
      <w:pPr>
        <w:spacing w:before="0" w:after="120"/>
        <w:rPr>
          <w:rFonts w:cs="Calibri"/>
          <w:color w:val="auto"/>
          <w:szCs w:val="18"/>
        </w:rPr>
      </w:pPr>
      <w:r w:rsidRPr="00A4536F">
        <w:rPr>
          <w:rFonts w:cs="Calibri"/>
          <w:b/>
          <w:bCs/>
          <w:color w:val="auto"/>
          <w:szCs w:val="18"/>
        </w:rPr>
        <w:lastRenderedPageBreak/>
        <w:t>Integrated Approaches:</w:t>
      </w:r>
      <w:r w:rsidRPr="00A4536F">
        <w:rPr>
          <w:rFonts w:cs="Calibri"/>
          <w:color w:val="auto"/>
          <w:szCs w:val="18"/>
        </w:rPr>
        <w:t xml:space="preserve"> Integrating WASH interventions with broader FSL initiatives maximised impact and promoted synergies between health, nutrition, and livelihood outcomes. Holistic approaches address the underlying determinants of poor health and livelihoods, contributing to sustainable development.</w:t>
      </w:r>
    </w:p>
    <w:p w14:paraId="281106B9" w14:textId="77777777" w:rsidR="00315466" w:rsidRPr="00A4536F" w:rsidRDefault="001D4E15">
      <w:pPr>
        <w:spacing w:before="0" w:after="120"/>
        <w:rPr>
          <w:rFonts w:cs="Calibri"/>
          <w:b/>
          <w:bCs/>
          <w:color w:val="auto"/>
          <w:szCs w:val="18"/>
        </w:rPr>
      </w:pPr>
      <w:r w:rsidRPr="00A4536F">
        <w:rPr>
          <w:rFonts w:cs="Calibri"/>
          <w:b/>
          <w:bCs/>
          <w:color w:val="auto"/>
          <w:szCs w:val="18"/>
        </w:rPr>
        <w:t>Conclusion</w:t>
      </w:r>
    </w:p>
    <w:p w14:paraId="303BAFE4" w14:textId="77777777" w:rsidR="00315466" w:rsidRPr="00A4536F" w:rsidRDefault="001D4E15">
      <w:pPr>
        <w:spacing w:before="0" w:after="120"/>
        <w:rPr>
          <w:rFonts w:cs="Calibri"/>
          <w:color w:val="auto"/>
          <w:szCs w:val="18"/>
        </w:rPr>
      </w:pPr>
      <w:r w:rsidRPr="00A4536F">
        <w:rPr>
          <w:rFonts w:cs="Calibri"/>
          <w:color w:val="auto"/>
          <w:szCs w:val="18"/>
        </w:rPr>
        <w:t>The WASH interventions under the AHP Horn of Africa FSL Activations have demonstrated the importance of access to safe water, sanitation, and hygiene for improving health, enhancing livelihoods, and building resilient communities in Ethiopia and Kenya. By prioritizing WASH interventions and adopting community-led approaches, humanitarian actors can address the root causes of poverty and food insecurity, contributing to sustainable development and positive social change. The case study emphasises the importance of integrated approaches, community engagement, capacity building, and ongoing support for sustainable WASH interventions in vulnerable regions.</w:t>
      </w:r>
    </w:p>
    <w:p w14:paraId="2FC9A267" w14:textId="77777777" w:rsidR="00315466" w:rsidRPr="00A4536F" w:rsidRDefault="001D4E15">
      <w:pPr>
        <w:spacing w:before="0" w:after="120"/>
        <w:rPr>
          <w:rFonts w:cs="Calibri"/>
          <w:color w:val="auto"/>
          <w:szCs w:val="18"/>
        </w:rPr>
      </w:pPr>
      <w:r w:rsidRPr="00A4536F">
        <w:rPr>
          <w:rFonts w:cs="Calibri"/>
          <w:color w:val="auto"/>
          <w:szCs w:val="18"/>
        </w:rPr>
        <w:br w:type="page"/>
      </w:r>
    </w:p>
    <w:p w14:paraId="65681611" w14:textId="77777777" w:rsidR="00315466" w:rsidRPr="009641A9" w:rsidRDefault="001D4E15" w:rsidP="0042524B">
      <w:pPr>
        <w:pStyle w:val="Heading3"/>
        <w:spacing w:after="240"/>
        <w:rPr>
          <w:rFonts w:ascii="Verdana" w:hAnsi="Verdana"/>
          <w:sz w:val="20"/>
          <w:szCs w:val="20"/>
        </w:rPr>
      </w:pPr>
      <w:bookmarkStart w:id="236" w:name="_Toc165828013"/>
      <w:bookmarkStart w:id="237" w:name="_Toc174559921"/>
      <w:bookmarkStart w:id="238" w:name="_Toc181278068"/>
      <w:r w:rsidRPr="009641A9">
        <w:rPr>
          <w:rFonts w:ascii="Verdana" w:hAnsi="Verdana"/>
          <w:sz w:val="20"/>
          <w:szCs w:val="20"/>
        </w:rPr>
        <w:lastRenderedPageBreak/>
        <w:t>Case Study 3: Gender-Based Violence (GBV) and Protection in the Horn of Africa</w:t>
      </w:r>
      <w:bookmarkEnd w:id="236"/>
      <w:bookmarkEnd w:id="237"/>
      <w:bookmarkEnd w:id="238"/>
    </w:p>
    <w:p w14:paraId="65238368" w14:textId="767D2E36" w:rsidR="00315466" w:rsidRDefault="001D4E15" w:rsidP="0042524B">
      <w:pPr>
        <w:spacing w:before="0" w:line="240" w:lineRule="auto"/>
        <w:rPr>
          <w:rFonts w:cs="Calibri"/>
          <w:b/>
          <w:bCs/>
          <w:color w:val="auto"/>
          <w:szCs w:val="18"/>
        </w:rPr>
      </w:pPr>
      <w:r w:rsidRPr="00A4536F">
        <w:rPr>
          <w:rFonts w:cs="Calibri"/>
          <w:b/>
          <w:bCs/>
          <w:color w:val="auto"/>
          <w:szCs w:val="18"/>
        </w:rPr>
        <w:t xml:space="preserve">Introduction </w:t>
      </w:r>
    </w:p>
    <w:p w14:paraId="1E7528F1" w14:textId="77777777" w:rsidR="00315466" w:rsidRPr="00A4536F" w:rsidRDefault="001D4E15">
      <w:pPr>
        <w:spacing w:before="0" w:after="120"/>
        <w:rPr>
          <w:rFonts w:cs="Calibri"/>
          <w:color w:val="auto"/>
          <w:szCs w:val="18"/>
        </w:rPr>
      </w:pPr>
      <w:r w:rsidRPr="00A4536F">
        <w:rPr>
          <w:rFonts w:cs="Calibri"/>
          <w:color w:val="auto"/>
          <w:szCs w:val="18"/>
        </w:rPr>
        <w:t>Protection interventions are crucial in humanitarian settings to safeguard the rights and dignity of vulnerable populations, including women, children, and refugees. This case study examines the protection components of the Australian Humanitarian Partnership (AHP) Horn of Africa Food Security and Livelihood (FSL) Activations in Ethiopia and Kenya.</w:t>
      </w:r>
    </w:p>
    <w:p w14:paraId="0FB05835" w14:textId="77777777" w:rsidR="00315466" w:rsidRPr="00A4536F" w:rsidRDefault="001D4E15">
      <w:pPr>
        <w:spacing w:before="0" w:after="120"/>
        <w:rPr>
          <w:rFonts w:cs="Calibri"/>
          <w:color w:val="auto"/>
          <w:szCs w:val="18"/>
        </w:rPr>
      </w:pPr>
      <w:r w:rsidRPr="00A4536F">
        <w:rPr>
          <w:rFonts w:cs="Calibri"/>
          <w:b/>
          <w:bCs/>
          <w:color w:val="auto"/>
          <w:szCs w:val="18"/>
        </w:rPr>
        <w:t>Context</w:t>
      </w:r>
      <w:r w:rsidRPr="00A4536F">
        <w:rPr>
          <w:rFonts w:cs="Calibri"/>
          <w:color w:val="auto"/>
          <w:szCs w:val="18"/>
        </w:rPr>
        <w:t xml:space="preserve"> </w:t>
      </w:r>
    </w:p>
    <w:p w14:paraId="7B3494A2" w14:textId="77777777" w:rsidR="00315466" w:rsidRPr="00A4536F" w:rsidRDefault="001D4E15">
      <w:pPr>
        <w:spacing w:before="0" w:after="120"/>
        <w:rPr>
          <w:rFonts w:cs="Calibri"/>
          <w:color w:val="auto"/>
          <w:szCs w:val="18"/>
        </w:rPr>
      </w:pPr>
      <w:r w:rsidRPr="00A4536F">
        <w:rPr>
          <w:rFonts w:cs="Calibri"/>
          <w:color w:val="auto"/>
          <w:szCs w:val="18"/>
        </w:rPr>
        <w:t>In both Ethiopia and Kenya, conflict, displacement, and natural disasters expose populations to various protection risks, including gender-based violence (GBV), exploitation, and abuse.</w:t>
      </w:r>
    </w:p>
    <w:p w14:paraId="2B371193" w14:textId="77777777" w:rsidR="00315466" w:rsidRPr="00A4536F" w:rsidRDefault="001D4E15">
      <w:pPr>
        <w:spacing w:before="0" w:after="120"/>
        <w:rPr>
          <w:rFonts w:cs="Calibri"/>
          <w:color w:val="auto"/>
          <w:szCs w:val="18"/>
        </w:rPr>
      </w:pPr>
      <w:r w:rsidRPr="00A4536F">
        <w:rPr>
          <w:rFonts w:cs="Calibri"/>
          <w:b/>
          <w:bCs/>
          <w:color w:val="auto"/>
          <w:szCs w:val="18"/>
        </w:rPr>
        <w:t>Project Overview</w:t>
      </w:r>
      <w:r w:rsidRPr="00A4536F">
        <w:rPr>
          <w:rFonts w:cs="Calibri"/>
          <w:color w:val="auto"/>
          <w:szCs w:val="18"/>
        </w:rPr>
        <w:t xml:space="preserve"> </w:t>
      </w:r>
    </w:p>
    <w:p w14:paraId="7AA9FEA7" w14:textId="77777777" w:rsidR="00315466" w:rsidRPr="00A4536F" w:rsidRDefault="001D4E15">
      <w:pPr>
        <w:spacing w:before="0" w:after="120"/>
        <w:rPr>
          <w:rFonts w:cs="Calibri"/>
          <w:color w:val="auto"/>
          <w:szCs w:val="18"/>
        </w:rPr>
      </w:pPr>
      <w:r w:rsidRPr="00A4536F">
        <w:rPr>
          <w:rFonts w:cs="Calibri"/>
          <w:color w:val="auto"/>
          <w:szCs w:val="18"/>
        </w:rPr>
        <w:t>Under the AHP activations, protection interventions aimed to mitigate protection risks and support survivors of violence and exploitation. In Ethiopia, projects focused on GBV prevention, survivor assistance, and awareness-raising activities. In Kenya, efforts were made to protect vulnerable households from GBV and drought-induced protection risks.</w:t>
      </w:r>
    </w:p>
    <w:p w14:paraId="669B4D18" w14:textId="77777777" w:rsidR="00315466" w:rsidRPr="00A4536F" w:rsidRDefault="001D4E15">
      <w:pPr>
        <w:spacing w:before="0" w:after="120"/>
        <w:rPr>
          <w:rFonts w:cs="Calibri"/>
          <w:color w:val="auto"/>
          <w:szCs w:val="18"/>
        </w:rPr>
      </w:pPr>
      <w:r w:rsidRPr="00A4536F">
        <w:rPr>
          <w:rFonts w:cs="Calibri"/>
          <w:b/>
          <w:bCs/>
          <w:color w:val="auto"/>
          <w:szCs w:val="18"/>
        </w:rPr>
        <w:t>Implementation</w:t>
      </w:r>
      <w:r w:rsidRPr="00A4536F">
        <w:rPr>
          <w:rFonts w:cs="Calibri"/>
          <w:color w:val="auto"/>
          <w:szCs w:val="18"/>
        </w:rPr>
        <w:t xml:space="preserve"> </w:t>
      </w:r>
    </w:p>
    <w:p w14:paraId="6EE97871" w14:textId="77777777" w:rsidR="00315466" w:rsidRPr="00A4536F" w:rsidRDefault="001D4E15">
      <w:pPr>
        <w:spacing w:before="0" w:after="120"/>
        <w:rPr>
          <w:rFonts w:cs="Calibri"/>
          <w:color w:val="auto"/>
          <w:szCs w:val="18"/>
        </w:rPr>
      </w:pPr>
      <w:r w:rsidRPr="00A4536F">
        <w:rPr>
          <w:rFonts w:cs="Calibri"/>
          <w:color w:val="auto"/>
          <w:szCs w:val="18"/>
        </w:rPr>
        <w:t>Local partner organisations in Ethiopia and Kenya working under the consortia projects led by Plan International Australia and Oxfam Australia implemented protection interventions in close collaboration with government agencies.  The protection interventions under the FSL aimed to safeguard vulnerable populations, particularly women, girls, and people with disabilities, from gender-based violence (GBV) and other protection risks. The interventions included cash assistance, psychosocial support for survivors, community awareness, capacity building, and the establishment of referral pathways.</w:t>
      </w:r>
    </w:p>
    <w:p w14:paraId="0DBE8861" w14:textId="77777777" w:rsidR="00315466" w:rsidRPr="00A4536F" w:rsidRDefault="001D4E15">
      <w:pPr>
        <w:spacing w:before="0" w:after="120"/>
        <w:rPr>
          <w:rFonts w:cs="Calibri"/>
          <w:b/>
          <w:bCs/>
          <w:color w:val="auto"/>
          <w:szCs w:val="18"/>
        </w:rPr>
      </w:pPr>
      <w:r w:rsidRPr="00A4536F">
        <w:rPr>
          <w:rFonts w:cs="Calibri"/>
          <w:b/>
          <w:bCs/>
          <w:color w:val="auto"/>
          <w:szCs w:val="18"/>
        </w:rPr>
        <w:t>Key Achievements</w:t>
      </w:r>
    </w:p>
    <w:p w14:paraId="6182B87E" w14:textId="77777777" w:rsidR="00315466" w:rsidRPr="00A4536F" w:rsidRDefault="001D4E15">
      <w:pPr>
        <w:spacing w:before="0" w:after="120"/>
        <w:rPr>
          <w:rFonts w:cs="Calibri"/>
          <w:color w:val="auto"/>
          <w:szCs w:val="18"/>
        </w:rPr>
      </w:pPr>
      <w:r w:rsidRPr="00A4536F">
        <w:rPr>
          <w:rFonts w:cs="Calibri"/>
          <w:b/>
          <w:bCs/>
          <w:color w:val="auto"/>
          <w:szCs w:val="18"/>
        </w:rPr>
        <w:t xml:space="preserve">Emergency Cash Assistance and Protection Referrals: </w:t>
      </w:r>
      <w:r w:rsidRPr="00A4536F">
        <w:rPr>
          <w:rFonts w:cs="Calibri"/>
          <w:color w:val="auto"/>
          <w:szCs w:val="18"/>
        </w:rPr>
        <w:t>In Ethiopia, Plan International provided emergency cash assistance to individuals at risk of violence, enabling them to access protection services. This support included referrals to health care and psychosocial services. Oxfam Ethiopia’s efforts included the distribution of dignity kits, emergency cash aid, and the establishment of gender-responsive protection mechanisms for conflict and drought-affected communities. In Kenya, Oxfam identified and supported GBV survivors through gender analysis, mapping protection pathways, and raising community awareness about GBV. A participant, in Kenya, noted:</w:t>
      </w:r>
    </w:p>
    <w:p w14:paraId="6EECB002" w14:textId="77777777" w:rsidR="00315466" w:rsidRPr="00A4536F" w:rsidRDefault="001D4E15">
      <w:pPr>
        <w:spacing w:before="0" w:after="120"/>
        <w:ind w:left="567" w:right="567"/>
        <w:rPr>
          <w:rFonts w:cs="Calibri"/>
          <w:i/>
          <w:iCs/>
          <w:color w:val="auto"/>
          <w:szCs w:val="18"/>
        </w:rPr>
      </w:pPr>
      <w:r w:rsidRPr="00A4536F">
        <w:rPr>
          <w:rFonts w:cs="Calibri"/>
          <w:i/>
          <w:iCs/>
          <w:color w:val="auto"/>
          <w:szCs w:val="18"/>
        </w:rPr>
        <w:t>"… protective measures, including referral pathways and psychosocial support, have been effective in aiding chronically ill, disabled, and vulnerable households. Establishment of safe places and hotlines for reporting GBV cases have provided critical support to victims and survivors." (</w:t>
      </w:r>
      <w:r w:rsidRPr="00A4536F">
        <w:rPr>
          <w:rFonts w:cs="Calibri"/>
          <w:color w:val="auto"/>
          <w:szCs w:val="18"/>
        </w:rPr>
        <w:t>FGD participant female beneficiary, Kenya)</w:t>
      </w:r>
      <w:r w:rsidRPr="00A4536F">
        <w:rPr>
          <w:rFonts w:cs="Calibri"/>
          <w:i/>
          <w:iCs/>
          <w:color w:val="auto"/>
          <w:szCs w:val="18"/>
        </w:rPr>
        <w:t>.</w:t>
      </w:r>
    </w:p>
    <w:p w14:paraId="09292EB2" w14:textId="77777777" w:rsidR="00315466" w:rsidRPr="00A4536F" w:rsidRDefault="001D4E15">
      <w:pPr>
        <w:spacing w:before="0" w:after="120"/>
        <w:rPr>
          <w:rFonts w:cs="Calibri"/>
          <w:i/>
          <w:iCs/>
          <w:color w:val="auto"/>
          <w:szCs w:val="18"/>
        </w:rPr>
      </w:pPr>
      <w:r w:rsidRPr="00A4536F">
        <w:rPr>
          <w:rFonts w:cs="Calibri"/>
          <w:b/>
          <w:bCs/>
          <w:color w:val="auto"/>
          <w:szCs w:val="18"/>
        </w:rPr>
        <w:t xml:space="preserve">Community Awareness and Training: </w:t>
      </w:r>
      <w:r w:rsidRPr="00A4536F">
        <w:rPr>
          <w:rFonts w:cs="Calibri"/>
          <w:color w:val="auto"/>
          <w:szCs w:val="18"/>
        </w:rPr>
        <w:t xml:space="preserve">Extensive community awareness campaigns were conducted to educate the population on the dangers and consequences of GBV, early marriage, and female genital mutilation (FGM). Training for health and social workers, as well as community leaders, was integral in ensuring that protection measures were effectively communicated and implemented. </w:t>
      </w:r>
    </w:p>
    <w:p w14:paraId="0BF120C8" w14:textId="77777777" w:rsidR="00315466" w:rsidRPr="00A4536F" w:rsidRDefault="001D4E15">
      <w:pPr>
        <w:spacing w:before="0" w:after="120"/>
        <w:rPr>
          <w:rFonts w:cs="Calibri"/>
          <w:color w:val="auto"/>
          <w:szCs w:val="18"/>
        </w:rPr>
      </w:pPr>
      <w:r w:rsidRPr="00A4536F">
        <w:rPr>
          <w:rFonts w:cs="Calibri"/>
          <w:b/>
          <w:bCs/>
          <w:color w:val="auto"/>
          <w:szCs w:val="18"/>
        </w:rPr>
        <w:t xml:space="preserve">Psychosocial Support: </w:t>
      </w:r>
      <w:r w:rsidRPr="00A4536F">
        <w:rPr>
          <w:rFonts w:cs="Calibri"/>
          <w:color w:val="auto"/>
          <w:szCs w:val="18"/>
        </w:rPr>
        <w:t xml:space="preserve">Plan International and Save the Children International (SCIE) in Ethiopia strengthened health systems and trained health workers to provide psychosocial support. Community-based case management and referral pathways were established to address GBV comprehensively. In Kenya, safe spaces and skills training were provided for vulnerable households, along with psychosocial support to assist survivors in accessing essential services. One community leader observed: </w:t>
      </w:r>
    </w:p>
    <w:p w14:paraId="3C836263" w14:textId="77777777" w:rsidR="00315466" w:rsidRPr="00A4536F" w:rsidRDefault="001D4E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120"/>
        <w:ind w:left="567" w:right="567"/>
        <w:rPr>
          <w:rFonts w:cs="Calibri"/>
          <w:color w:val="auto"/>
          <w:szCs w:val="18"/>
        </w:rPr>
      </w:pPr>
      <w:r w:rsidRPr="00A4536F">
        <w:rPr>
          <w:rFonts w:cs="Calibri"/>
          <w:i/>
          <w:iCs/>
          <w:color w:val="auto"/>
          <w:szCs w:val="18"/>
        </w:rPr>
        <w:t xml:space="preserve">Because of the psychosocial support and counselling provided under the project, beneficiaries have started to believe they can improve their lives after the conflict and severe drought. </w:t>
      </w:r>
      <w:r w:rsidRPr="00A4536F">
        <w:rPr>
          <w:rFonts w:cs="Calibri"/>
          <w:color w:val="auto"/>
          <w:szCs w:val="18"/>
        </w:rPr>
        <w:t>(community leader, Ethiopia)</w:t>
      </w:r>
    </w:p>
    <w:p w14:paraId="17623F9E" w14:textId="77777777" w:rsidR="00315466" w:rsidRPr="00A4536F" w:rsidRDefault="001D4E15">
      <w:pPr>
        <w:spacing w:before="0" w:after="120"/>
        <w:rPr>
          <w:rFonts w:cs="Calibri"/>
          <w:color w:val="auto"/>
          <w:szCs w:val="18"/>
        </w:rPr>
      </w:pPr>
      <w:r w:rsidRPr="00A4536F">
        <w:rPr>
          <w:rFonts w:cs="Calibri"/>
          <w:b/>
          <w:bCs/>
          <w:color w:val="auto"/>
          <w:szCs w:val="18"/>
        </w:rPr>
        <w:lastRenderedPageBreak/>
        <w:t xml:space="preserve">Strengthening Protection Mechanisms: </w:t>
      </w:r>
      <w:r w:rsidRPr="00A4536F">
        <w:rPr>
          <w:rFonts w:cs="Calibri"/>
          <w:color w:val="auto"/>
          <w:szCs w:val="18"/>
        </w:rPr>
        <w:t>The FSL interventions have strengthened protection mechanisms, resulting in improved access to essential services, including psychosocial support and referral pathways for vulnerable individuals. There was increased community knowledge and support for victims of GBV, with more women seeking counselling and treatment for GBV-related problems.</w:t>
      </w:r>
    </w:p>
    <w:p w14:paraId="2F2F4719"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Increased Agency and Visibility: </w:t>
      </w:r>
    </w:p>
    <w:p w14:paraId="43C7547C" w14:textId="77777777" w:rsidR="00315466" w:rsidRPr="00A4536F" w:rsidRDefault="001D4E15">
      <w:pPr>
        <w:spacing w:before="0" w:after="120"/>
        <w:rPr>
          <w:rFonts w:cs="Calibri"/>
          <w:color w:val="auto"/>
          <w:szCs w:val="18"/>
        </w:rPr>
      </w:pPr>
      <w:r w:rsidRPr="00A4536F">
        <w:rPr>
          <w:rFonts w:cs="Calibri"/>
          <w:color w:val="auto"/>
          <w:szCs w:val="18"/>
        </w:rPr>
        <w:t xml:space="preserve">Cash transfers enabled women and people with disabilities to gain increased agency within their households and communities. This shift in power dynamics has allowed for better decision-making and control over economic resources. People with disabilities became more visible and actively engaged in local activities, reducing </w:t>
      </w:r>
      <w:proofErr w:type="gramStart"/>
      <w:r w:rsidRPr="00A4536F">
        <w:rPr>
          <w:rFonts w:cs="Calibri"/>
          <w:color w:val="auto"/>
          <w:szCs w:val="18"/>
        </w:rPr>
        <w:t>stigma</w:t>
      </w:r>
      <w:proofErr w:type="gramEnd"/>
      <w:r w:rsidRPr="00A4536F">
        <w:rPr>
          <w:rFonts w:cs="Calibri"/>
          <w:color w:val="auto"/>
          <w:szCs w:val="18"/>
        </w:rPr>
        <w:t xml:space="preserve"> and promoting inclusivity.</w:t>
      </w:r>
    </w:p>
    <w:p w14:paraId="5101010C" w14:textId="77777777" w:rsidR="00315466" w:rsidRPr="00A4536F" w:rsidRDefault="001D4E15">
      <w:pPr>
        <w:spacing w:before="0" w:after="120"/>
        <w:rPr>
          <w:rFonts w:cs="Calibri"/>
          <w:color w:val="auto"/>
          <w:szCs w:val="18"/>
        </w:rPr>
      </w:pPr>
      <w:r w:rsidRPr="00A4536F">
        <w:rPr>
          <w:rFonts w:cs="Calibri"/>
          <w:b/>
          <w:bCs/>
          <w:color w:val="auto"/>
          <w:szCs w:val="18"/>
        </w:rPr>
        <w:t xml:space="preserve">Community Feedback and Response Mechanisms: </w:t>
      </w:r>
      <w:r w:rsidRPr="00A4536F">
        <w:rPr>
          <w:rFonts w:cs="Calibri"/>
          <w:color w:val="auto"/>
          <w:szCs w:val="18"/>
        </w:rPr>
        <w:t>Mechanisms such as suggestion boxes, feedback desks, and hotlines were established to create accountability and ensure that the needs and concerns of beneficiaries were addressed promptly and effectively.</w:t>
      </w:r>
    </w:p>
    <w:p w14:paraId="2E9207B2" w14:textId="77777777" w:rsidR="00315466" w:rsidRPr="00A4536F" w:rsidRDefault="001D4E15">
      <w:pPr>
        <w:spacing w:before="0" w:after="120"/>
        <w:rPr>
          <w:rFonts w:cs="Calibri"/>
          <w:b/>
          <w:bCs/>
          <w:color w:val="auto"/>
          <w:szCs w:val="18"/>
        </w:rPr>
      </w:pPr>
      <w:r w:rsidRPr="00A4536F">
        <w:rPr>
          <w:rFonts w:cs="Calibri"/>
          <w:b/>
          <w:bCs/>
          <w:color w:val="auto"/>
          <w:szCs w:val="18"/>
        </w:rPr>
        <w:t>Challenges</w:t>
      </w:r>
    </w:p>
    <w:p w14:paraId="333E0571" w14:textId="77777777" w:rsidR="00315466" w:rsidRPr="00A4536F" w:rsidRDefault="001D4E15">
      <w:pPr>
        <w:spacing w:before="0" w:after="120"/>
        <w:rPr>
          <w:rFonts w:cs="Calibri"/>
          <w:color w:val="auto"/>
          <w:szCs w:val="18"/>
        </w:rPr>
      </w:pPr>
      <w:r w:rsidRPr="00A4536F">
        <w:rPr>
          <w:rFonts w:cs="Calibri"/>
          <w:color w:val="auto"/>
          <w:szCs w:val="18"/>
        </w:rPr>
        <w:t>Despite the successes, several challenges hindered the full effectiveness of the protection components:</w:t>
      </w:r>
    </w:p>
    <w:p w14:paraId="03D4B789" w14:textId="77777777" w:rsidR="00125B2E" w:rsidRDefault="001D4E15" w:rsidP="00D41C74">
      <w:pPr>
        <w:pStyle w:val="ListParagraph"/>
        <w:numPr>
          <w:ilvl w:val="0"/>
          <w:numId w:val="98"/>
        </w:numPr>
        <w:spacing w:after="120"/>
        <w:rPr>
          <w:rFonts w:cs="Calibri"/>
          <w:szCs w:val="18"/>
        </w:rPr>
      </w:pPr>
      <w:r w:rsidRPr="00125B2E">
        <w:rPr>
          <w:rFonts w:cs="Calibri"/>
          <w:szCs w:val="18"/>
        </w:rPr>
        <w:t>Cultural barriers and traditional dispute resolution mechanisms often discouraged women and girls from reporting GBV cases.</w:t>
      </w:r>
    </w:p>
    <w:p w14:paraId="3E71D5CF" w14:textId="77777777" w:rsidR="00125B2E" w:rsidRDefault="001D4E15" w:rsidP="00D41C74">
      <w:pPr>
        <w:pStyle w:val="ListParagraph"/>
        <w:numPr>
          <w:ilvl w:val="0"/>
          <w:numId w:val="98"/>
        </w:numPr>
        <w:spacing w:after="120"/>
        <w:rPr>
          <w:rFonts w:cs="Calibri"/>
          <w:szCs w:val="18"/>
        </w:rPr>
      </w:pPr>
      <w:r w:rsidRPr="00125B2E">
        <w:rPr>
          <w:rFonts w:cs="Calibri"/>
          <w:szCs w:val="18"/>
        </w:rPr>
        <w:t>Resource constraints affected the integration and implementation of protection activities.</w:t>
      </w:r>
    </w:p>
    <w:p w14:paraId="534804E4" w14:textId="04CCC36D" w:rsidR="00315466" w:rsidRPr="00125B2E" w:rsidRDefault="001D4E15" w:rsidP="00D41C74">
      <w:pPr>
        <w:pStyle w:val="ListParagraph"/>
        <w:numPr>
          <w:ilvl w:val="0"/>
          <w:numId w:val="98"/>
        </w:numPr>
        <w:spacing w:after="120"/>
        <w:rPr>
          <w:rFonts w:cs="Calibri"/>
          <w:szCs w:val="18"/>
        </w:rPr>
      </w:pPr>
      <w:r w:rsidRPr="00125B2E">
        <w:rPr>
          <w:rFonts w:cs="Calibri"/>
          <w:szCs w:val="18"/>
        </w:rPr>
        <w:t>Limited availability and accessibility of psychosocial support services, particularly in remote areas, posed significant hurdles</w:t>
      </w:r>
      <w:r w:rsidRPr="00125B2E">
        <w:rPr>
          <w:rFonts w:cs="Calibri"/>
          <w:i/>
          <w:iCs/>
          <w:szCs w:val="18"/>
        </w:rPr>
        <w:t xml:space="preserve">. </w:t>
      </w:r>
    </w:p>
    <w:p w14:paraId="1E72EFC4" w14:textId="77777777" w:rsidR="00315466" w:rsidRPr="00A4536F" w:rsidRDefault="001D4E15">
      <w:pPr>
        <w:spacing w:before="0" w:after="120"/>
        <w:ind w:left="567" w:right="567"/>
        <w:rPr>
          <w:rFonts w:cs="Calibri"/>
          <w:i/>
          <w:iCs/>
          <w:color w:val="auto"/>
          <w:szCs w:val="18"/>
        </w:rPr>
      </w:pPr>
      <w:r w:rsidRPr="00A4536F">
        <w:rPr>
          <w:rFonts w:cs="Calibri"/>
          <w:i/>
          <w:iCs/>
          <w:color w:val="auto"/>
          <w:szCs w:val="18"/>
        </w:rPr>
        <w:t>“The insecurity and remoteness of the area makes most public servants not available in the community, the distance to the health facility being more than 25 kms away.” (community leader, Kenya)</w:t>
      </w:r>
    </w:p>
    <w:p w14:paraId="4C840D9B" w14:textId="77777777" w:rsidR="00315466" w:rsidRPr="00A4536F" w:rsidRDefault="001D4E15">
      <w:pPr>
        <w:spacing w:before="0" w:after="120"/>
        <w:rPr>
          <w:rFonts w:cs="Calibri"/>
          <w:b/>
          <w:bCs/>
          <w:color w:val="auto"/>
          <w:szCs w:val="18"/>
        </w:rPr>
      </w:pPr>
      <w:r w:rsidRPr="00A4536F">
        <w:rPr>
          <w:rFonts w:cs="Calibri"/>
          <w:b/>
          <w:bCs/>
          <w:color w:val="auto"/>
          <w:szCs w:val="18"/>
        </w:rPr>
        <w:t xml:space="preserve">Impact </w:t>
      </w:r>
    </w:p>
    <w:p w14:paraId="010AD17F" w14:textId="77777777" w:rsidR="00315466" w:rsidRPr="00A4536F" w:rsidRDefault="001D4E15">
      <w:pPr>
        <w:spacing w:before="0" w:after="120"/>
        <w:rPr>
          <w:rFonts w:cs="Calibri"/>
          <w:color w:val="auto"/>
          <w:szCs w:val="18"/>
        </w:rPr>
      </w:pPr>
      <w:r w:rsidRPr="00A4536F">
        <w:rPr>
          <w:rFonts w:cs="Calibri"/>
          <w:color w:val="auto"/>
          <w:szCs w:val="18"/>
        </w:rPr>
        <w:t>The protection interventions had a significant impact on vulnerable populations:</w:t>
      </w:r>
    </w:p>
    <w:p w14:paraId="1713B4FA" w14:textId="77777777" w:rsidR="00315466" w:rsidRPr="00A4536F" w:rsidRDefault="001D4E15">
      <w:pPr>
        <w:spacing w:before="0" w:after="120"/>
        <w:rPr>
          <w:rFonts w:cs="Calibri"/>
          <w:color w:val="auto"/>
          <w:szCs w:val="18"/>
        </w:rPr>
      </w:pPr>
      <w:r w:rsidRPr="00A4536F">
        <w:rPr>
          <w:rFonts w:cs="Calibri"/>
          <w:color w:val="auto"/>
          <w:szCs w:val="18"/>
        </w:rPr>
        <w:t xml:space="preserve">GBV prevention training and awareness-raising campaigns led to increased knowledge and awareness among communities, reducing the incidence of GBV and exploitation. One beneficiary in Ethiopia noted: </w:t>
      </w:r>
    </w:p>
    <w:p w14:paraId="6A12AB5E" w14:textId="77777777" w:rsidR="00315466" w:rsidRPr="00A4536F" w:rsidRDefault="001D4E15">
      <w:pPr>
        <w:spacing w:before="0" w:after="120"/>
        <w:ind w:left="567" w:right="567"/>
        <w:rPr>
          <w:rFonts w:cs="Calibri"/>
          <w:i/>
          <w:iCs/>
          <w:color w:val="auto"/>
          <w:szCs w:val="18"/>
        </w:rPr>
      </w:pPr>
      <w:r w:rsidRPr="00A4536F">
        <w:rPr>
          <w:rFonts w:cs="Calibri"/>
          <w:i/>
          <w:iCs/>
          <w:color w:val="auto"/>
          <w:szCs w:val="18"/>
        </w:rPr>
        <w:t xml:space="preserve">Trained social workers and women volunteers have raised awareness about women’s rights and harmful practices, aiming to eradicate FGM, early marriage, forced marriages, and GBV.As a result, </w:t>
      </w:r>
      <w:proofErr w:type="gramStart"/>
      <w:r w:rsidRPr="00A4536F">
        <w:rPr>
          <w:rFonts w:cs="Calibri"/>
          <w:i/>
          <w:iCs/>
          <w:color w:val="auto"/>
          <w:szCs w:val="18"/>
        </w:rPr>
        <w:t>the majority of</w:t>
      </w:r>
      <w:proofErr w:type="gramEnd"/>
      <w:r w:rsidRPr="00A4536F">
        <w:rPr>
          <w:rFonts w:cs="Calibri"/>
          <w:i/>
          <w:iCs/>
          <w:color w:val="auto"/>
          <w:szCs w:val="18"/>
        </w:rPr>
        <w:t xml:space="preserve"> girls now speak openly about their needs and report GBV incidents publicly. </w:t>
      </w:r>
      <w:r w:rsidRPr="00A4536F">
        <w:rPr>
          <w:rFonts w:cs="Calibri"/>
          <w:color w:val="auto"/>
          <w:szCs w:val="18"/>
        </w:rPr>
        <w:t>(female beneficiary, Ethiopia)</w:t>
      </w:r>
    </w:p>
    <w:p w14:paraId="6945249A" w14:textId="77777777" w:rsidR="00315466" w:rsidRPr="00A4536F" w:rsidRDefault="001D4E15">
      <w:pPr>
        <w:spacing w:before="0" w:after="120"/>
        <w:rPr>
          <w:rFonts w:cs="Calibri"/>
          <w:color w:val="auto"/>
          <w:szCs w:val="18"/>
        </w:rPr>
      </w:pPr>
      <w:r w:rsidRPr="00A4536F">
        <w:rPr>
          <w:rFonts w:cs="Calibri"/>
          <w:color w:val="auto"/>
          <w:szCs w:val="18"/>
        </w:rPr>
        <w:t>Survivors of GBV received timely and appropriate support, including medical care, counselling, and legal assistance, empowering them to seek justice and recovery.</w:t>
      </w:r>
    </w:p>
    <w:p w14:paraId="1C9A1C3D" w14:textId="77777777" w:rsidR="00315466" w:rsidRPr="00A4536F" w:rsidRDefault="001D4E15">
      <w:pPr>
        <w:spacing w:before="0" w:after="120"/>
        <w:ind w:left="567" w:right="567"/>
        <w:rPr>
          <w:rFonts w:cs="Calibri"/>
          <w:i/>
          <w:iCs/>
          <w:color w:val="auto"/>
          <w:szCs w:val="18"/>
        </w:rPr>
      </w:pPr>
      <w:r w:rsidRPr="00A4536F">
        <w:rPr>
          <w:rFonts w:cs="Calibri"/>
          <w:i/>
          <w:iCs/>
          <w:color w:val="auto"/>
          <w:szCs w:val="18"/>
        </w:rPr>
        <w:t xml:space="preserve">"The project's referral pathways and psychosocial support have been instrumental in transforming mindsets and behaviours. Children in schools have formed clubs to address gender-based violence, and women have safe places for counselling on GBV without further exposure to danger." </w:t>
      </w:r>
      <w:r w:rsidRPr="00A4536F">
        <w:rPr>
          <w:rFonts w:cs="Calibri"/>
          <w:color w:val="auto"/>
          <w:szCs w:val="18"/>
        </w:rPr>
        <w:t>(Key informant, Ethiopia)</w:t>
      </w:r>
    </w:p>
    <w:p w14:paraId="5F3A000A" w14:textId="37735346" w:rsidR="00315466" w:rsidRPr="00A4536F" w:rsidRDefault="001D4E15">
      <w:pPr>
        <w:spacing w:before="0" w:after="120"/>
        <w:rPr>
          <w:rFonts w:cs="Calibri"/>
          <w:b/>
          <w:bCs/>
          <w:color w:val="auto"/>
          <w:szCs w:val="18"/>
        </w:rPr>
      </w:pPr>
      <w:r w:rsidRPr="00A4536F">
        <w:rPr>
          <w:rFonts w:cs="Calibri"/>
          <w:b/>
          <w:bCs/>
          <w:color w:val="auto"/>
          <w:szCs w:val="18"/>
        </w:rPr>
        <w:t>Lessons Learned</w:t>
      </w:r>
    </w:p>
    <w:p w14:paraId="4F205C18" w14:textId="77777777" w:rsidR="00315466" w:rsidRPr="00A4536F" w:rsidRDefault="001D4E15">
      <w:pPr>
        <w:spacing w:before="0" w:after="120"/>
        <w:rPr>
          <w:rFonts w:cs="Calibri"/>
          <w:color w:val="auto"/>
          <w:szCs w:val="18"/>
        </w:rPr>
      </w:pPr>
      <w:r w:rsidRPr="00A4536F">
        <w:rPr>
          <w:rFonts w:cs="Calibri"/>
          <w:color w:val="auto"/>
          <w:szCs w:val="18"/>
        </w:rPr>
        <w:t>Sensitising communities about protection issues was crucial for changing attitudes and behaviours towards GBV and exploitation.</w:t>
      </w:r>
    </w:p>
    <w:p w14:paraId="2779E41B" w14:textId="77777777" w:rsidR="00315466" w:rsidRPr="00A4536F" w:rsidRDefault="001D4E15">
      <w:pPr>
        <w:spacing w:before="0" w:after="120"/>
        <w:rPr>
          <w:rFonts w:cs="Calibri"/>
          <w:color w:val="auto"/>
          <w:szCs w:val="18"/>
        </w:rPr>
      </w:pPr>
      <w:r w:rsidRPr="00A4536F">
        <w:rPr>
          <w:rFonts w:cs="Calibri"/>
          <w:color w:val="auto"/>
          <w:szCs w:val="18"/>
        </w:rPr>
        <w:t>Integration of protection interventions with other sectors such as health, livelihoods, and education enhanced overall impact and addresses the root causes of vulnerability.</w:t>
      </w:r>
    </w:p>
    <w:p w14:paraId="54ED4A45" w14:textId="54F9ED53" w:rsidR="005C2290" w:rsidRDefault="001D4E15">
      <w:pPr>
        <w:spacing w:before="0" w:after="120"/>
        <w:rPr>
          <w:rFonts w:cs="Calibri"/>
          <w:b/>
          <w:bCs/>
          <w:color w:val="auto"/>
          <w:szCs w:val="18"/>
        </w:rPr>
      </w:pPr>
      <w:r w:rsidRPr="00A4536F">
        <w:rPr>
          <w:rFonts w:cs="Calibri"/>
          <w:color w:val="auto"/>
          <w:szCs w:val="18"/>
        </w:rPr>
        <w:t>Building the capacity of local actors to identify, prevent, and respond to protection risks strengthened community resilience and response mechanisms.</w:t>
      </w:r>
    </w:p>
    <w:p w14:paraId="6E6E324C" w14:textId="77777777" w:rsidR="005C2290" w:rsidRDefault="005C2290">
      <w:pPr>
        <w:spacing w:before="0" w:after="0" w:line="240" w:lineRule="auto"/>
        <w:rPr>
          <w:rFonts w:cs="Calibri"/>
          <w:b/>
          <w:bCs/>
          <w:color w:val="auto"/>
          <w:szCs w:val="18"/>
        </w:rPr>
      </w:pPr>
      <w:r>
        <w:rPr>
          <w:rFonts w:cs="Calibri"/>
          <w:b/>
          <w:bCs/>
          <w:color w:val="auto"/>
          <w:szCs w:val="18"/>
        </w:rPr>
        <w:br w:type="page"/>
      </w:r>
    </w:p>
    <w:p w14:paraId="10B629EE" w14:textId="4053EB14" w:rsidR="005C2290" w:rsidRDefault="001D4E15">
      <w:pPr>
        <w:spacing w:before="0" w:after="120"/>
        <w:rPr>
          <w:rFonts w:cs="Calibri"/>
          <w:b/>
          <w:bCs/>
          <w:color w:val="auto"/>
          <w:szCs w:val="18"/>
        </w:rPr>
      </w:pPr>
      <w:r w:rsidRPr="00A4536F">
        <w:rPr>
          <w:rFonts w:cs="Calibri"/>
          <w:b/>
          <w:bCs/>
          <w:color w:val="auto"/>
          <w:szCs w:val="18"/>
        </w:rPr>
        <w:lastRenderedPageBreak/>
        <w:t>Conclusion</w:t>
      </w:r>
    </w:p>
    <w:p w14:paraId="695A7B65" w14:textId="35156450" w:rsidR="00315466" w:rsidRPr="00A4536F" w:rsidRDefault="001D4E15">
      <w:pPr>
        <w:spacing w:before="0" w:after="120"/>
        <w:rPr>
          <w:rFonts w:cs="Calibri"/>
          <w:color w:val="auto"/>
          <w:szCs w:val="18"/>
        </w:rPr>
      </w:pPr>
      <w:r w:rsidRPr="00A4536F">
        <w:rPr>
          <w:rFonts w:cs="Calibri"/>
          <w:color w:val="auto"/>
          <w:szCs w:val="18"/>
        </w:rPr>
        <w:t>The FSL interventions in Ethiopia and Kenya have made notable strides in enhancing protection for vulnerable populations. The integrated approach, involving cash assistance, community awareness, training, and psychosocial support, has contributed to the empowerment and safety of women, girls, and people with disabilities. However, ongoing efforts are needed to address the challenges and ensure sustainable and inclusive protection mechanisms for all beneficiaries. The case study underscores the importance of multi-sectoral collaboration, sustained investment, and evidence-based approaches in addressing GBV and protecting the rights of vulnerable groups in humanitarian contexts.</w:t>
      </w:r>
    </w:p>
    <w:p w14:paraId="6A615A77" w14:textId="77777777" w:rsidR="00315466" w:rsidRPr="00A4536F" w:rsidRDefault="001D4E15">
      <w:pPr>
        <w:spacing w:before="0" w:after="120"/>
        <w:rPr>
          <w:rFonts w:cs="Calibri"/>
          <w:color w:val="auto"/>
          <w:szCs w:val="18"/>
        </w:rPr>
      </w:pPr>
      <w:r w:rsidRPr="00A4536F">
        <w:rPr>
          <w:rFonts w:cs="Calibri"/>
          <w:color w:val="auto"/>
          <w:szCs w:val="18"/>
        </w:rPr>
        <w:br w:type="page"/>
      </w:r>
    </w:p>
    <w:p w14:paraId="33D87FA4" w14:textId="77777777" w:rsidR="00315466" w:rsidRDefault="001D4E15" w:rsidP="00F50637">
      <w:pPr>
        <w:pStyle w:val="Heading2"/>
        <w:spacing w:after="240"/>
        <w:rPr>
          <w:rFonts w:ascii="Verdana" w:hAnsi="Verdana"/>
          <w:sz w:val="24"/>
          <w:szCs w:val="24"/>
        </w:rPr>
      </w:pPr>
      <w:bookmarkStart w:id="239" w:name="_Toc174559922"/>
      <w:bookmarkStart w:id="240" w:name="_Toc181278069"/>
      <w:r w:rsidRPr="005C2290">
        <w:rPr>
          <w:rFonts w:ascii="Verdana" w:hAnsi="Verdana"/>
          <w:sz w:val="24"/>
          <w:szCs w:val="24"/>
        </w:rPr>
        <w:lastRenderedPageBreak/>
        <w:t>Annex 3. Contribution analysis</w:t>
      </w:r>
      <w:bookmarkEnd w:id="239"/>
      <w:bookmarkEnd w:id="240"/>
      <w:r w:rsidRPr="005C2290">
        <w:rPr>
          <w:rFonts w:ascii="Verdana" w:hAnsi="Verdana"/>
          <w:sz w:val="24"/>
          <w:szCs w:val="24"/>
        </w:rPr>
        <w:t xml:space="preserve"> </w:t>
      </w:r>
    </w:p>
    <w:tbl>
      <w:tblPr>
        <w:tblStyle w:val="GridTable1Light-Accent12"/>
        <w:tblW w:w="5267" w:type="pct"/>
        <w:tblInd w:w="-5" w:type="dxa"/>
        <w:tblLayout w:type="fixed"/>
        <w:tblLook w:val="04A0" w:firstRow="1" w:lastRow="0" w:firstColumn="1" w:lastColumn="0" w:noHBand="0" w:noVBand="1"/>
      </w:tblPr>
      <w:tblGrid>
        <w:gridCol w:w="2555"/>
        <w:gridCol w:w="992"/>
        <w:gridCol w:w="1132"/>
        <w:gridCol w:w="1279"/>
        <w:gridCol w:w="992"/>
        <w:gridCol w:w="1364"/>
        <w:gridCol w:w="1185"/>
      </w:tblGrid>
      <w:tr w:rsidR="00813644" w:rsidRPr="00A4536F" w14:paraId="6EA10AF1" w14:textId="77777777" w:rsidTr="00F50637">
        <w:trPr>
          <w:cnfStyle w:val="100000000000" w:firstRow="1" w:lastRow="0" w:firstColumn="0" w:lastColumn="0" w:oddVBand="0" w:evenVBand="0" w:oddHBand="0" w:evenHBand="0" w:firstRowFirstColumn="0" w:firstRowLastColumn="0" w:lastRowFirstColumn="0" w:lastRowLastColumn="0"/>
          <w:cantSplit/>
          <w:trHeight w:val="1757"/>
        </w:trPr>
        <w:tc>
          <w:tcPr>
            <w:cnfStyle w:val="001000000000" w:firstRow="0" w:lastRow="0" w:firstColumn="1" w:lastColumn="0" w:oddVBand="0" w:evenVBand="0" w:oddHBand="0" w:evenHBand="0" w:firstRowFirstColumn="0" w:firstRowLastColumn="0" w:lastRowFirstColumn="0" w:lastRowLastColumn="0"/>
            <w:tcW w:w="1345" w:type="pct"/>
            <w:textDirection w:val="btLr"/>
          </w:tcPr>
          <w:p w14:paraId="13A58C73" w14:textId="77777777" w:rsidR="00315466" w:rsidRPr="005C2290" w:rsidRDefault="001D4E15" w:rsidP="00813644">
            <w:pPr>
              <w:spacing w:before="0" w:after="120"/>
              <w:ind w:left="113" w:right="38"/>
              <w:rPr>
                <w:rFonts w:cs="Calibri"/>
                <w:b w:val="0"/>
                <w:bCs w:val="0"/>
                <w:color w:val="auto"/>
                <w:szCs w:val="18"/>
              </w:rPr>
            </w:pPr>
            <w:r w:rsidRPr="005C2290">
              <w:rPr>
                <w:rFonts w:cs="Calibri"/>
                <w:b w:val="0"/>
                <w:bCs w:val="0"/>
                <w:color w:val="auto"/>
                <w:szCs w:val="18"/>
              </w:rPr>
              <w:t>Activities under analysis</w:t>
            </w:r>
          </w:p>
        </w:tc>
        <w:tc>
          <w:tcPr>
            <w:tcW w:w="522" w:type="pct"/>
            <w:textDirection w:val="btLr"/>
          </w:tcPr>
          <w:p w14:paraId="5109D166" w14:textId="7D5A2C8B" w:rsidR="00315466" w:rsidRPr="005C2290" w:rsidRDefault="001D4E15" w:rsidP="00813644">
            <w:pPr>
              <w:spacing w:before="0" w:after="120"/>
              <w:ind w:left="113" w:right="38"/>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5C2290">
              <w:rPr>
                <w:rFonts w:cs="Calibri"/>
                <w:b w:val="0"/>
                <w:bCs w:val="0"/>
                <w:color w:val="auto"/>
                <w:szCs w:val="18"/>
              </w:rPr>
              <w:t>Implementing partners</w:t>
            </w:r>
          </w:p>
        </w:tc>
        <w:tc>
          <w:tcPr>
            <w:tcW w:w="596" w:type="pct"/>
            <w:textDirection w:val="btLr"/>
          </w:tcPr>
          <w:p w14:paraId="614ED73C" w14:textId="77777777" w:rsidR="00315466" w:rsidRPr="005C2290" w:rsidRDefault="001D4E15" w:rsidP="00813644">
            <w:pPr>
              <w:spacing w:before="0" w:after="120"/>
              <w:ind w:left="113" w:right="38"/>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5C2290">
              <w:rPr>
                <w:rFonts w:cs="Calibri"/>
                <w:b w:val="0"/>
                <w:bCs w:val="0"/>
                <w:color w:val="auto"/>
                <w:szCs w:val="18"/>
              </w:rPr>
              <w:t>Degree of Contribution to impact</w:t>
            </w:r>
          </w:p>
        </w:tc>
        <w:tc>
          <w:tcPr>
            <w:tcW w:w="673" w:type="pct"/>
            <w:textDirection w:val="btLr"/>
          </w:tcPr>
          <w:p w14:paraId="28A3FE7A" w14:textId="77777777" w:rsidR="00315466" w:rsidRPr="005C2290" w:rsidRDefault="001D4E15" w:rsidP="00813644">
            <w:pPr>
              <w:spacing w:before="0" w:after="120"/>
              <w:ind w:left="113" w:right="38"/>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5C2290">
              <w:rPr>
                <w:rFonts w:cs="Calibri"/>
                <w:b w:val="0"/>
                <w:bCs w:val="0"/>
                <w:color w:val="auto"/>
                <w:szCs w:val="18"/>
              </w:rPr>
              <w:t>Degree of Contribution to impact</w:t>
            </w:r>
          </w:p>
        </w:tc>
        <w:tc>
          <w:tcPr>
            <w:tcW w:w="522" w:type="pct"/>
            <w:textDirection w:val="btLr"/>
          </w:tcPr>
          <w:p w14:paraId="36665474" w14:textId="77777777" w:rsidR="00315466" w:rsidRPr="005C2290" w:rsidRDefault="001D4E15" w:rsidP="00813644">
            <w:pPr>
              <w:spacing w:before="0" w:after="120"/>
              <w:ind w:left="113" w:right="38"/>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5C2290">
              <w:rPr>
                <w:rFonts w:cs="Calibri"/>
                <w:b w:val="0"/>
                <w:bCs w:val="0"/>
                <w:color w:val="auto"/>
                <w:szCs w:val="18"/>
              </w:rPr>
              <w:t>Degree of Contribution to impact</w:t>
            </w:r>
          </w:p>
        </w:tc>
        <w:tc>
          <w:tcPr>
            <w:tcW w:w="718" w:type="pct"/>
            <w:textDirection w:val="btLr"/>
          </w:tcPr>
          <w:p w14:paraId="0EC2C095" w14:textId="77777777" w:rsidR="00315466" w:rsidRPr="005C2290" w:rsidRDefault="001D4E15" w:rsidP="00813644">
            <w:pPr>
              <w:spacing w:before="0" w:after="120"/>
              <w:ind w:left="113" w:right="38"/>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5C2290">
              <w:rPr>
                <w:rFonts w:cs="Calibri"/>
                <w:b w:val="0"/>
                <w:bCs w:val="0"/>
                <w:color w:val="auto"/>
                <w:szCs w:val="18"/>
              </w:rPr>
              <w:t>Degree of Contribution to impact</w:t>
            </w:r>
          </w:p>
        </w:tc>
        <w:tc>
          <w:tcPr>
            <w:tcW w:w="624" w:type="pct"/>
            <w:textDirection w:val="btLr"/>
          </w:tcPr>
          <w:p w14:paraId="00B303AF" w14:textId="77777777" w:rsidR="00315466" w:rsidRPr="005C2290" w:rsidRDefault="001D4E15" w:rsidP="00813644">
            <w:pPr>
              <w:spacing w:before="0" w:after="120"/>
              <w:ind w:left="113" w:right="38"/>
              <w:cnfStyle w:val="100000000000" w:firstRow="1" w:lastRow="0" w:firstColumn="0" w:lastColumn="0" w:oddVBand="0" w:evenVBand="0" w:oddHBand="0" w:evenHBand="0" w:firstRowFirstColumn="0" w:firstRowLastColumn="0" w:lastRowFirstColumn="0" w:lastRowLastColumn="0"/>
              <w:rPr>
                <w:rFonts w:cs="Calibri"/>
                <w:b w:val="0"/>
                <w:bCs w:val="0"/>
                <w:color w:val="auto"/>
                <w:szCs w:val="18"/>
              </w:rPr>
            </w:pPr>
            <w:r w:rsidRPr="005C2290">
              <w:rPr>
                <w:rFonts w:cs="Calibri"/>
                <w:b w:val="0"/>
                <w:bCs w:val="0"/>
                <w:color w:val="auto"/>
                <w:szCs w:val="18"/>
              </w:rPr>
              <w:t>Degree of Contribution to impact</w:t>
            </w:r>
          </w:p>
        </w:tc>
      </w:tr>
      <w:tr w:rsidR="00813644" w:rsidRPr="00A4536F" w14:paraId="34AA74BA" w14:textId="77777777" w:rsidTr="00F50637">
        <w:trPr>
          <w:trHeight w:val="458"/>
        </w:trPr>
        <w:tc>
          <w:tcPr>
            <w:cnfStyle w:val="001000000000" w:firstRow="0" w:lastRow="0" w:firstColumn="1" w:lastColumn="0" w:oddVBand="0" w:evenVBand="0" w:oddHBand="0" w:evenHBand="0" w:firstRowFirstColumn="0" w:firstRowLastColumn="0" w:lastRowFirstColumn="0" w:lastRowLastColumn="0"/>
            <w:tcW w:w="1345" w:type="pct"/>
          </w:tcPr>
          <w:p w14:paraId="332DAC80" w14:textId="50E5C56E" w:rsidR="00315466" w:rsidRPr="00A4536F" w:rsidRDefault="00813644">
            <w:pPr>
              <w:spacing w:before="0" w:after="120"/>
              <w:rPr>
                <w:rFonts w:cs="Calibri"/>
                <w:b w:val="0"/>
                <w:bCs w:val="0"/>
                <w:color w:val="auto"/>
                <w:szCs w:val="18"/>
                <w:lang w:eastAsia="zh-CN"/>
              </w:rPr>
            </w:pPr>
            <w:r>
              <w:rPr>
                <w:rFonts w:cs="Calibri"/>
                <w:b w:val="0"/>
                <w:bCs w:val="0"/>
                <w:color w:val="auto"/>
                <w:szCs w:val="18"/>
                <w:lang w:eastAsia="zh-CN"/>
              </w:rPr>
              <w:t>Activities</w:t>
            </w:r>
          </w:p>
        </w:tc>
        <w:tc>
          <w:tcPr>
            <w:tcW w:w="522" w:type="pct"/>
          </w:tcPr>
          <w:p w14:paraId="7A3F6D8F" w14:textId="10A1907C" w:rsidR="00315466" w:rsidRPr="00A4536F" w:rsidRDefault="00813644">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Pr>
                <w:rFonts w:cs="Calibri"/>
                <w:color w:val="auto"/>
                <w:szCs w:val="18"/>
              </w:rPr>
              <w:t>Partners</w:t>
            </w:r>
          </w:p>
        </w:tc>
        <w:tc>
          <w:tcPr>
            <w:tcW w:w="596" w:type="pct"/>
          </w:tcPr>
          <w:p w14:paraId="6E5AF697"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Certainty</w:t>
            </w:r>
          </w:p>
        </w:tc>
        <w:tc>
          <w:tcPr>
            <w:tcW w:w="673" w:type="pct"/>
          </w:tcPr>
          <w:p w14:paraId="32B2F192"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Robustness</w:t>
            </w:r>
          </w:p>
        </w:tc>
        <w:tc>
          <w:tcPr>
            <w:tcW w:w="522" w:type="pct"/>
          </w:tcPr>
          <w:p w14:paraId="15EA4B7A"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Range</w:t>
            </w:r>
          </w:p>
        </w:tc>
        <w:tc>
          <w:tcPr>
            <w:tcW w:w="718" w:type="pct"/>
          </w:tcPr>
          <w:p w14:paraId="585E4E34"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Prevalence</w:t>
            </w:r>
          </w:p>
        </w:tc>
        <w:tc>
          <w:tcPr>
            <w:tcW w:w="624" w:type="pct"/>
          </w:tcPr>
          <w:p w14:paraId="34EAF449"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Aggregate </w:t>
            </w:r>
          </w:p>
        </w:tc>
      </w:tr>
      <w:tr w:rsidR="00813644" w:rsidRPr="00A4536F" w14:paraId="617282FD"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0A4CE61B" w14:textId="77777777" w:rsidR="00315466" w:rsidRPr="00813644" w:rsidRDefault="001D4E15">
            <w:pPr>
              <w:spacing w:before="0" w:after="120"/>
              <w:rPr>
                <w:rFonts w:cs="Calibri"/>
                <w:b w:val="0"/>
                <w:bCs w:val="0"/>
                <w:color w:val="auto"/>
                <w:szCs w:val="18"/>
              </w:rPr>
            </w:pPr>
            <w:r w:rsidRPr="00813644">
              <w:rPr>
                <w:rFonts w:cs="Calibri"/>
                <w:b w:val="0"/>
                <w:bCs w:val="0"/>
                <w:color w:val="auto"/>
                <w:szCs w:val="18"/>
                <w:lang w:eastAsia="zh-CN"/>
              </w:rPr>
              <w:t xml:space="preserve">Reduction of acute malnutrition amongst children under five years of age (U-5s) and PREGANANT AND LACTATING WOMEN </w:t>
            </w:r>
          </w:p>
        </w:tc>
        <w:tc>
          <w:tcPr>
            <w:tcW w:w="522" w:type="pct"/>
          </w:tcPr>
          <w:p w14:paraId="432447D1"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PIE, Oxfam Eth</w:t>
            </w:r>
          </w:p>
        </w:tc>
        <w:tc>
          <w:tcPr>
            <w:tcW w:w="596" w:type="pct"/>
          </w:tcPr>
          <w:p w14:paraId="61E3E4A1"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673" w:type="pct"/>
          </w:tcPr>
          <w:p w14:paraId="7EC6EE2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30ABE73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718" w:type="pct"/>
          </w:tcPr>
          <w:p w14:paraId="4DD25C6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624" w:type="pct"/>
          </w:tcPr>
          <w:p w14:paraId="1A30E94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r>
      <w:tr w:rsidR="00813644" w:rsidRPr="00A4536F" w14:paraId="51558A96"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01180C37" w14:textId="77777777" w:rsidR="00315466" w:rsidRPr="00813644" w:rsidRDefault="001D4E15">
            <w:pPr>
              <w:spacing w:before="0" w:after="120"/>
              <w:rPr>
                <w:rFonts w:cs="Calibri"/>
                <w:b w:val="0"/>
                <w:bCs w:val="0"/>
                <w:color w:val="auto"/>
                <w:szCs w:val="18"/>
              </w:rPr>
            </w:pPr>
            <w:r w:rsidRPr="00813644">
              <w:rPr>
                <w:rFonts w:cs="Calibri"/>
                <w:b w:val="0"/>
                <w:bCs w:val="0"/>
                <w:color w:val="auto"/>
                <w:szCs w:val="18"/>
                <w:lang w:eastAsia="zh-CN"/>
              </w:rPr>
              <w:t xml:space="preserve">Provide training for mothers/care takers on nutrition screening </w:t>
            </w:r>
          </w:p>
        </w:tc>
        <w:tc>
          <w:tcPr>
            <w:tcW w:w="522" w:type="pct"/>
          </w:tcPr>
          <w:p w14:paraId="1299477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PIE, Oxfam Eth</w:t>
            </w:r>
          </w:p>
        </w:tc>
        <w:tc>
          <w:tcPr>
            <w:tcW w:w="596" w:type="pct"/>
          </w:tcPr>
          <w:p w14:paraId="1D575D87"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673" w:type="pct"/>
          </w:tcPr>
          <w:p w14:paraId="3BABB2F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44FE52D0"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718" w:type="pct"/>
          </w:tcPr>
          <w:p w14:paraId="6BBBCEE0"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624" w:type="pct"/>
          </w:tcPr>
          <w:p w14:paraId="1EFC54F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r>
      <w:tr w:rsidR="00813644" w:rsidRPr="00A4536F" w14:paraId="1EA797D7" w14:textId="77777777" w:rsidTr="00F50637">
        <w:trPr>
          <w:trHeight w:val="593"/>
        </w:trPr>
        <w:tc>
          <w:tcPr>
            <w:cnfStyle w:val="001000000000" w:firstRow="0" w:lastRow="0" w:firstColumn="1" w:lastColumn="0" w:oddVBand="0" w:evenVBand="0" w:oddHBand="0" w:evenHBand="0" w:firstRowFirstColumn="0" w:firstRowLastColumn="0" w:lastRowFirstColumn="0" w:lastRowLastColumn="0"/>
            <w:tcW w:w="1345" w:type="pct"/>
          </w:tcPr>
          <w:p w14:paraId="59B26F10" w14:textId="77777777" w:rsidR="00315466" w:rsidRPr="00813644" w:rsidRDefault="001D4E15">
            <w:pPr>
              <w:spacing w:before="0" w:after="120"/>
              <w:rPr>
                <w:rFonts w:cs="Calibri"/>
                <w:b w:val="0"/>
                <w:bCs w:val="0"/>
                <w:color w:val="auto"/>
                <w:szCs w:val="18"/>
              </w:rPr>
            </w:pPr>
            <w:r w:rsidRPr="00813644">
              <w:rPr>
                <w:rFonts w:cs="Calibri"/>
                <w:b w:val="0"/>
                <w:bCs w:val="0"/>
                <w:color w:val="auto"/>
                <w:szCs w:val="18"/>
                <w:lang w:eastAsia="zh-CN"/>
              </w:rPr>
              <w:t xml:space="preserve">Provide multi-purpose cash transfers to vulnerable households </w:t>
            </w:r>
          </w:p>
        </w:tc>
        <w:tc>
          <w:tcPr>
            <w:tcW w:w="522" w:type="pct"/>
          </w:tcPr>
          <w:p w14:paraId="2D5B9919"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PIE, Oxfam Eth, Oxfam Kenya</w:t>
            </w:r>
          </w:p>
        </w:tc>
        <w:tc>
          <w:tcPr>
            <w:tcW w:w="596" w:type="pct"/>
          </w:tcPr>
          <w:p w14:paraId="2E0D1738"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673" w:type="pct"/>
          </w:tcPr>
          <w:p w14:paraId="47408F9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12D1824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718" w:type="pct"/>
          </w:tcPr>
          <w:p w14:paraId="0A8093C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624" w:type="pct"/>
          </w:tcPr>
          <w:p w14:paraId="01B1D791"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r>
      <w:tr w:rsidR="00813644" w:rsidRPr="00A4536F" w14:paraId="39B24DBF" w14:textId="77777777" w:rsidTr="00F50637">
        <w:trPr>
          <w:trHeight w:val="800"/>
        </w:trPr>
        <w:tc>
          <w:tcPr>
            <w:cnfStyle w:val="001000000000" w:firstRow="0" w:lastRow="0" w:firstColumn="1" w:lastColumn="0" w:oddVBand="0" w:evenVBand="0" w:oddHBand="0" w:evenHBand="0" w:firstRowFirstColumn="0" w:firstRowLastColumn="0" w:lastRowFirstColumn="0" w:lastRowLastColumn="0"/>
            <w:tcW w:w="1345" w:type="pct"/>
          </w:tcPr>
          <w:p w14:paraId="1E78D57F" w14:textId="77777777" w:rsidR="00315466" w:rsidRPr="00813644" w:rsidRDefault="001D4E15">
            <w:pPr>
              <w:spacing w:before="0" w:after="120"/>
              <w:rPr>
                <w:rFonts w:cs="Calibri"/>
                <w:b w:val="0"/>
                <w:bCs w:val="0"/>
                <w:color w:val="auto"/>
                <w:szCs w:val="18"/>
              </w:rPr>
            </w:pPr>
            <w:r w:rsidRPr="00813644">
              <w:rPr>
                <w:rFonts w:cs="Calibri"/>
                <w:b w:val="0"/>
                <w:bCs w:val="0"/>
                <w:color w:val="auto"/>
                <w:szCs w:val="18"/>
                <w:lang w:eastAsia="zh-CN"/>
              </w:rPr>
              <w:t>Provide conditional cash support through implementation of cash for work (</w:t>
            </w:r>
            <w:proofErr w:type="spellStart"/>
            <w:r w:rsidRPr="00813644">
              <w:rPr>
                <w:rFonts w:cs="Calibri"/>
                <w:b w:val="0"/>
                <w:bCs w:val="0"/>
                <w:color w:val="auto"/>
                <w:szCs w:val="18"/>
                <w:lang w:eastAsia="zh-CN"/>
              </w:rPr>
              <w:t>CfW</w:t>
            </w:r>
            <w:proofErr w:type="spellEnd"/>
            <w:r w:rsidRPr="00813644">
              <w:rPr>
                <w:rFonts w:cs="Calibri"/>
                <w:b w:val="0"/>
                <w:bCs w:val="0"/>
                <w:color w:val="auto"/>
                <w:szCs w:val="18"/>
                <w:lang w:eastAsia="zh-CN"/>
              </w:rPr>
              <w:t xml:space="preserve">) activities </w:t>
            </w:r>
          </w:p>
        </w:tc>
        <w:tc>
          <w:tcPr>
            <w:tcW w:w="522" w:type="pct"/>
          </w:tcPr>
          <w:p w14:paraId="1CA33112"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PIE</w:t>
            </w:r>
          </w:p>
        </w:tc>
        <w:tc>
          <w:tcPr>
            <w:tcW w:w="596" w:type="pct"/>
          </w:tcPr>
          <w:p w14:paraId="3B9E4167"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673" w:type="pct"/>
          </w:tcPr>
          <w:p w14:paraId="413FD94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497FFA0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718" w:type="pct"/>
          </w:tcPr>
          <w:p w14:paraId="4DA7819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624" w:type="pct"/>
          </w:tcPr>
          <w:p w14:paraId="2E2417D0"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r>
      <w:tr w:rsidR="00813644" w:rsidRPr="00A4536F" w14:paraId="582C8C59"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085D614C" w14:textId="77777777" w:rsidR="00315466" w:rsidRPr="00813644" w:rsidRDefault="001D4E15">
            <w:pPr>
              <w:spacing w:before="0" w:after="120"/>
              <w:rPr>
                <w:rFonts w:cs="Calibri"/>
                <w:b w:val="0"/>
                <w:bCs w:val="0"/>
                <w:color w:val="auto"/>
                <w:szCs w:val="18"/>
              </w:rPr>
            </w:pPr>
            <w:r w:rsidRPr="00813644">
              <w:rPr>
                <w:rFonts w:cs="Calibri"/>
                <w:b w:val="0"/>
                <w:bCs w:val="0"/>
                <w:color w:val="auto"/>
                <w:szCs w:val="18"/>
                <w:lang w:eastAsia="zh-CN"/>
              </w:rPr>
              <w:t xml:space="preserve">Provide sheep and goats </w:t>
            </w:r>
          </w:p>
        </w:tc>
        <w:tc>
          <w:tcPr>
            <w:tcW w:w="522" w:type="pct"/>
          </w:tcPr>
          <w:p w14:paraId="016A49F9"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PIE</w:t>
            </w:r>
          </w:p>
        </w:tc>
        <w:tc>
          <w:tcPr>
            <w:tcW w:w="596" w:type="pct"/>
          </w:tcPr>
          <w:p w14:paraId="65A4931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673" w:type="pct"/>
          </w:tcPr>
          <w:p w14:paraId="75ACF8E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07D5D020"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718" w:type="pct"/>
          </w:tcPr>
          <w:p w14:paraId="309E083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624" w:type="pct"/>
          </w:tcPr>
          <w:p w14:paraId="39ADB604"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r>
      <w:tr w:rsidR="00813644" w:rsidRPr="00A4536F" w14:paraId="4CC92DF0" w14:textId="77777777" w:rsidTr="00F50637">
        <w:trPr>
          <w:trHeight w:val="377"/>
        </w:trPr>
        <w:tc>
          <w:tcPr>
            <w:cnfStyle w:val="001000000000" w:firstRow="0" w:lastRow="0" w:firstColumn="1" w:lastColumn="0" w:oddVBand="0" w:evenVBand="0" w:oddHBand="0" w:evenHBand="0" w:firstRowFirstColumn="0" w:firstRowLastColumn="0" w:lastRowFirstColumn="0" w:lastRowLastColumn="0"/>
            <w:tcW w:w="1345" w:type="pct"/>
          </w:tcPr>
          <w:p w14:paraId="40110474"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 xml:space="preserve">Provide drought-resistant improved crops </w:t>
            </w:r>
          </w:p>
        </w:tc>
        <w:tc>
          <w:tcPr>
            <w:tcW w:w="522" w:type="pct"/>
          </w:tcPr>
          <w:p w14:paraId="67E4B2FA"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PIE</w:t>
            </w:r>
          </w:p>
        </w:tc>
        <w:tc>
          <w:tcPr>
            <w:tcW w:w="596" w:type="pct"/>
          </w:tcPr>
          <w:p w14:paraId="4BB2FCAF"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673" w:type="pct"/>
          </w:tcPr>
          <w:p w14:paraId="2C949393"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5AEE4B9D"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718" w:type="pct"/>
          </w:tcPr>
          <w:p w14:paraId="02D79E61"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624" w:type="pct"/>
          </w:tcPr>
          <w:p w14:paraId="24E3A8A3"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r>
      <w:tr w:rsidR="00813644" w:rsidRPr="00A4536F" w14:paraId="349EE8FC"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5CF42DEC"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 xml:space="preserve">Provide trainings on nutrition diversification and food preparation </w:t>
            </w:r>
          </w:p>
        </w:tc>
        <w:tc>
          <w:tcPr>
            <w:tcW w:w="522" w:type="pct"/>
          </w:tcPr>
          <w:p w14:paraId="1E92997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rPr>
              <w:t>PIE, Oxfam Eth</w:t>
            </w:r>
          </w:p>
        </w:tc>
        <w:tc>
          <w:tcPr>
            <w:tcW w:w="596" w:type="pct"/>
          </w:tcPr>
          <w:p w14:paraId="791739AE"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673" w:type="pct"/>
          </w:tcPr>
          <w:p w14:paraId="0B0CD049"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059F2E9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718" w:type="pct"/>
          </w:tcPr>
          <w:p w14:paraId="46CB989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624" w:type="pct"/>
          </w:tcPr>
          <w:p w14:paraId="0BAADAF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r>
      <w:tr w:rsidR="00813644" w:rsidRPr="00A4536F" w14:paraId="5016755D" w14:textId="77777777" w:rsidTr="00F50637">
        <w:trPr>
          <w:trHeight w:val="810"/>
        </w:trPr>
        <w:tc>
          <w:tcPr>
            <w:cnfStyle w:val="001000000000" w:firstRow="0" w:lastRow="0" w:firstColumn="1" w:lastColumn="0" w:oddVBand="0" w:evenVBand="0" w:oddHBand="0" w:evenHBand="0" w:firstRowFirstColumn="0" w:firstRowLastColumn="0" w:lastRowFirstColumn="0" w:lastRowLastColumn="0"/>
            <w:tcW w:w="1345" w:type="pct"/>
          </w:tcPr>
          <w:p w14:paraId="4F5CC850"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 xml:space="preserve">Provide seed money, </w:t>
            </w:r>
            <w:proofErr w:type="gramStart"/>
            <w:r w:rsidRPr="00813644">
              <w:rPr>
                <w:rFonts w:cs="Calibri"/>
                <w:b w:val="0"/>
                <w:bCs w:val="0"/>
                <w:color w:val="auto"/>
                <w:szCs w:val="18"/>
                <w:lang w:eastAsia="zh-CN"/>
              </w:rPr>
              <w:t>material</w:t>
            </w:r>
            <w:proofErr w:type="gramEnd"/>
            <w:r w:rsidRPr="00813644">
              <w:rPr>
                <w:rFonts w:cs="Calibri"/>
                <w:b w:val="0"/>
                <w:bCs w:val="0"/>
                <w:color w:val="auto"/>
                <w:szCs w:val="18"/>
                <w:lang w:eastAsia="zh-CN"/>
              </w:rPr>
              <w:t xml:space="preserve"> and stationary support for RUSACO’s</w:t>
            </w:r>
          </w:p>
        </w:tc>
        <w:tc>
          <w:tcPr>
            <w:tcW w:w="522" w:type="pct"/>
          </w:tcPr>
          <w:p w14:paraId="357D8AD1"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rPr>
              <w:t>Oxfam Eth</w:t>
            </w:r>
          </w:p>
        </w:tc>
        <w:tc>
          <w:tcPr>
            <w:tcW w:w="596" w:type="pct"/>
          </w:tcPr>
          <w:p w14:paraId="2C43410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673" w:type="pct"/>
          </w:tcPr>
          <w:p w14:paraId="2B227FDD"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658FFE5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718" w:type="pct"/>
          </w:tcPr>
          <w:p w14:paraId="601D9DF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624" w:type="pct"/>
          </w:tcPr>
          <w:p w14:paraId="6B41A2F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r>
      <w:tr w:rsidR="00813644" w:rsidRPr="00A4536F" w14:paraId="2D862525"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08A14622"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Provision of chicken with feed</w:t>
            </w:r>
          </w:p>
        </w:tc>
        <w:tc>
          <w:tcPr>
            <w:tcW w:w="522" w:type="pct"/>
          </w:tcPr>
          <w:p w14:paraId="2E0C358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rPr>
              <w:t>Oxfam Eth</w:t>
            </w:r>
          </w:p>
        </w:tc>
        <w:tc>
          <w:tcPr>
            <w:tcW w:w="596" w:type="pct"/>
          </w:tcPr>
          <w:p w14:paraId="256F7310"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Low</w:t>
            </w:r>
          </w:p>
        </w:tc>
        <w:tc>
          <w:tcPr>
            <w:tcW w:w="673" w:type="pct"/>
          </w:tcPr>
          <w:p w14:paraId="3F9DE48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2756212F"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High</w:t>
            </w:r>
          </w:p>
        </w:tc>
        <w:tc>
          <w:tcPr>
            <w:tcW w:w="718" w:type="pct"/>
          </w:tcPr>
          <w:p w14:paraId="2E43DCBF"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High</w:t>
            </w:r>
          </w:p>
        </w:tc>
        <w:tc>
          <w:tcPr>
            <w:tcW w:w="624" w:type="pct"/>
          </w:tcPr>
          <w:p w14:paraId="7C78489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Med</w:t>
            </w:r>
          </w:p>
        </w:tc>
      </w:tr>
      <w:tr w:rsidR="00813644" w:rsidRPr="00A4536F" w14:paraId="21778CB0"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0E4BD72F"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 xml:space="preserve">Provision of water cans </w:t>
            </w:r>
          </w:p>
        </w:tc>
        <w:tc>
          <w:tcPr>
            <w:tcW w:w="522" w:type="pct"/>
          </w:tcPr>
          <w:p w14:paraId="0E8AD848" w14:textId="1607C29A"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Oxfam Kenya, Oxfam Eth</w:t>
            </w:r>
          </w:p>
        </w:tc>
        <w:tc>
          <w:tcPr>
            <w:tcW w:w="596" w:type="pct"/>
          </w:tcPr>
          <w:p w14:paraId="7F97EA17"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rPr>
              <w:t>High</w:t>
            </w:r>
          </w:p>
        </w:tc>
        <w:tc>
          <w:tcPr>
            <w:tcW w:w="673" w:type="pct"/>
          </w:tcPr>
          <w:p w14:paraId="01FC6D72"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4BFF4FE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718" w:type="pct"/>
          </w:tcPr>
          <w:p w14:paraId="1CA9588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624" w:type="pct"/>
          </w:tcPr>
          <w:p w14:paraId="27B68E23"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r>
      <w:tr w:rsidR="00813644" w:rsidRPr="00A4536F" w14:paraId="45D1E578"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025D09B8"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 xml:space="preserve">Provide cash for Gender-Based Violence survivors </w:t>
            </w:r>
          </w:p>
        </w:tc>
        <w:tc>
          <w:tcPr>
            <w:tcW w:w="522" w:type="pct"/>
          </w:tcPr>
          <w:p w14:paraId="464A79C9" w14:textId="684F9210"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Oxfam Eth</w:t>
            </w:r>
          </w:p>
        </w:tc>
        <w:tc>
          <w:tcPr>
            <w:tcW w:w="596" w:type="pct"/>
          </w:tcPr>
          <w:p w14:paraId="322EF8B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High</w:t>
            </w:r>
          </w:p>
        </w:tc>
        <w:tc>
          <w:tcPr>
            <w:tcW w:w="673" w:type="pct"/>
          </w:tcPr>
          <w:p w14:paraId="4F08C6D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1EC12D0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c>
          <w:tcPr>
            <w:tcW w:w="718" w:type="pct"/>
          </w:tcPr>
          <w:p w14:paraId="73EA2AB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c>
          <w:tcPr>
            <w:tcW w:w="624" w:type="pct"/>
          </w:tcPr>
          <w:p w14:paraId="79762E0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r>
      <w:tr w:rsidR="003416CE" w:rsidRPr="005C2290" w14:paraId="72A9B7D4" w14:textId="77777777" w:rsidTr="00F50637">
        <w:trPr>
          <w:cantSplit/>
          <w:trHeight w:val="1757"/>
        </w:trPr>
        <w:tc>
          <w:tcPr>
            <w:cnfStyle w:val="001000000000" w:firstRow="0" w:lastRow="0" w:firstColumn="1" w:lastColumn="0" w:oddVBand="0" w:evenVBand="0" w:oddHBand="0" w:evenHBand="0" w:firstRowFirstColumn="0" w:firstRowLastColumn="0" w:lastRowFirstColumn="0" w:lastRowLastColumn="0"/>
            <w:tcW w:w="1345" w:type="pct"/>
            <w:textDirection w:val="btLr"/>
          </w:tcPr>
          <w:p w14:paraId="6956483D" w14:textId="77777777" w:rsidR="003416CE" w:rsidRPr="005C2290" w:rsidRDefault="003416CE" w:rsidP="00A439A1">
            <w:pPr>
              <w:spacing w:before="0" w:after="120"/>
              <w:ind w:left="113" w:right="38"/>
              <w:rPr>
                <w:rFonts w:cs="Calibri"/>
                <w:b w:val="0"/>
                <w:bCs w:val="0"/>
                <w:color w:val="auto"/>
                <w:szCs w:val="18"/>
              </w:rPr>
            </w:pPr>
            <w:r w:rsidRPr="005C2290">
              <w:rPr>
                <w:rFonts w:cs="Calibri"/>
                <w:b w:val="0"/>
                <w:bCs w:val="0"/>
                <w:color w:val="auto"/>
                <w:szCs w:val="18"/>
              </w:rPr>
              <w:lastRenderedPageBreak/>
              <w:t>Activities under analysis</w:t>
            </w:r>
          </w:p>
        </w:tc>
        <w:tc>
          <w:tcPr>
            <w:tcW w:w="522" w:type="pct"/>
            <w:textDirection w:val="btLr"/>
          </w:tcPr>
          <w:p w14:paraId="2E1E4C97" w14:textId="77777777" w:rsidR="003416CE" w:rsidRPr="005C2290" w:rsidRDefault="003416CE" w:rsidP="00A439A1">
            <w:pPr>
              <w:spacing w:before="0" w:after="120"/>
              <w:ind w:left="113" w:right="38"/>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5C2290">
              <w:rPr>
                <w:rFonts w:cs="Calibri"/>
                <w:color w:val="auto"/>
                <w:szCs w:val="18"/>
              </w:rPr>
              <w:t>Implementing partners</w:t>
            </w:r>
          </w:p>
        </w:tc>
        <w:tc>
          <w:tcPr>
            <w:tcW w:w="596" w:type="pct"/>
            <w:textDirection w:val="btLr"/>
          </w:tcPr>
          <w:p w14:paraId="5B6CFD11" w14:textId="77777777" w:rsidR="003416CE" w:rsidRPr="005C2290" w:rsidRDefault="003416CE" w:rsidP="00A439A1">
            <w:pPr>
              <w:spacing w:before="0" w:after="120"/>
              <w:ind w:left="113" w:right="38"/>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5C2290">
              <w:rPr>
                <w:rFonts w:cs="Calibri"/>
                <w:color w:val="auto"/>
                <w:szCs w:val="18"/>
              </w:rPr>
              <w:t>Degree of Contribution to impact</w:t>
            </w:r>
          </w:p>
        </w:tc>
        <w:tc>
          <w:tcPr>
            <w:tcW w:w="673" w:type="pct"/>
            <w:textDirection w:val="btLr"/>
          </w:tcPr>
          <w:p w14:paraId="7F356890" w14:textId="77777777" w:rsidR="003416CE" w:rsidRPr="005C2290" w:rsidRDefault="003416CE" w:rsidP="00A439A1">
            <w:pPr>
              <w:spacing w:before="0" w:after="120"/>
              <w:ind w:left="113" w:right="38"/>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5C2290">
              <w:rPr>
                <w:rFonts w:cs="Calibri"/>
                <w:color w:val="auto"/>
                <w:szCs w:val="18"/>
              </w:rPr>
              <w:t>Degree of Contribution to impact</w:t>
            </w:r>
          </w:p>
        </w:tc>
        <w:tc>
          <w:tcPr>
            <w:tcW w:w="522" w:type="pct"/>
            <w:textDirection w:val="btLr"/>
          </w:tcPr>
          <w:p w14:paraId="3EF95206" w14:textId="77777777" w:rsidR="003416CE" w:rsidRPr="005C2290" w:rsidRDefault="003416CE" w:rsidP="00A439A1">
            <w:pPr>
              <w:spacing w:before="0" w:after="120"/>
              <w:ind w:left="113" w:right="38"/>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5C2290">
              <w:rPr>
                <w:rFonts w:cs="Calibri"/>
                <w:color w:val="auto"/>
                <w:szCs w:val="18"/>
              </w:rPr>
              <w:t>Degree of Contribution to impact</w:t>
            </w:r>
          </w:p>
        </w:tc>
        <w:tc>
          <w:tcPr>
            <w:tcW w:w="718" w:type="pct"/>
            <w:textDirection w:val="btLr"/>
          </w:tcPr>
          <w:p w14:paraId="7DCC97CD" w14:textId="77777777" w:rsidR="003416CE" w:rsidRPr="005C2290" w:rsidRDefault="003416CE" w:rsidP="00A439A1">
            <w:pPr>
              <w:spacing w:before="0" w:after="120"/>
              <w:ind w:left="113" w:right="38"/>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5C2290">
              <w:rPr>
                <w:rFonts w:cs="Calibri"/>
                <w:color w:val="auto"/>
                <w:szCs w:val="18"/>
              </w:rPr>
              <w:t>Degree of Contribution to impact</w:t>
            </w:r>
          </w:p>
        </w:tc>
        <w:tc>
          <w:tcPr>
            <w:tcW w:w="624" w:type="pct"/>
            <w:textDirection w:val="btLr"/>
          </w:tcPr>
          <w:p w14:paraId="2CE89BB2" w14:textId="77777777" w:rsidR="003416CE" w:rsidRPr="005C2290" w:rsidRDefault="003416CE" w:rsidP="00A439A1">
            <w:pPr>
              <w:spacing w:before="0" w:after="120"/>
              <w:ind w:left="113" w:right="38"/>
              <w:cnfStyle w:val="000000000000" w:firstRow="0" w:lastRow="0" w:firstColumn="0" w:lastColumn="0" w:oddVBand="0" w:evenVBand="0" w:oddHBand="0" w:evenHBand="0" w:firstRowFirstColumn="0" w:firstRowLastColumn="0" w:lastRowFirstColumn="0" w:lastRowLastColumn="0"/>
              <w:rPr>
                <w:rFonts w:cs="Calibri"/>
                <w:b/>
                <w:bCs/>
                <w:color w:val="auto"/>
                <w:szCs w:val="18"/>
              </w:rPr>
            </w:pPr>
            <w:r w:rsidRPr="005C2290">
              <w:rPr>
                <w:rFonts w:cs="Calibri"/>
                <w:color w:val="auto"/>
                <w:szCs w:val="18"/>
              </w:rPr>
              <w:t>Degree of Contribution to impact</w:t>
            </w:r>
          </w:p>
        </w:tc>
      </w:tr>
      <w:tr w:rsidR="00813644" w:rsidRPr="00A4536F" w14:paraId="5B1DB2C9"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205CF55A"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 xml:space="preserve">Provide psychosocial support (PSS) for needy women, girls, men, and adolescents </w:t>
            </w:r>
          </w:p>
        </w:tc>
        <w:tc>
          <w:tcPr>
            <w:tcW w:w="522" w:type="pct"/>
          </w:tcPr>
          <w:p w14:paraId="293D3F7C" w14:textId="280C3440"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Oxfam Eth, Oxfam Kenya</w:t>
            </w:r>
          </w:p>
        </w:tc>
        <w:tc>
          <w:tcPr>
            <w:tcW w:w="596" w:type="pct"/>
          </w:tcPr>
          <w:p w14:paraId="2DB93DF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High</w:t>
            </w:r>
          </w:p>
        </w:tc>
        <w:tc>
          <w:tcPr>
            <w:tcW w:w="673" w:type="pct"/>
          </w:tcPr>
          <w:p w14:paraId="368AA58A"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7FFD682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c>
          <w:tcPr>
            <w:tcW w:w="718" w:type="pct"/>
          </w:tcPr>
          <w:p w14:paraId="3792D719"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Med</w:t>
            </w:r>
          </w:p>
        </w:tc>
        <w:tc>
          <w:tcPr>
            <w:tcW w:w="624" w:type="pct"/>
          </w:tcPr>
          <w:p w14:paraId="1752B60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r>
      <w:tr w:rsidR="00813644" w:rsidRPr="00A4536F" w14:paraId="5082AC39"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1D60A21D"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Provision of sanitation pads for adolescent girls and young women, GBV survivors</w:t>
            </w:r>
          </w:p>
        </w:tc>
        <w:tc>
          <w:tcPr>
            <w:tcW w:w="522" w:type="pct"/>
          </w:tcPr>
          <w:p w14:paraId="1F37E4E4" w14:textId="5614890D"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Oxfam Kenya, Oxfam Eth</w:t>
            </w:r>
          </w:p>
        </w:tc>
        <w:tc>
          <w:tcPr>
            <w:tcW w:w="596" w:type="pct"/>
          </w:tcPr>
          <w:p w14:paraId="3E54B4B4"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High</w:t>
            </w:r>
          </w:p>
        </w:tc>
        <w:tc>
          <w:tcPr>
            <w:tcW w:w="673" w:type="pct"/>
          </w:tcPr>
          <w:p w14:paraId="52A527D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24F75E9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c>
          <w:tcPr>
            <w:tcW w:w="718" w:type="pct"/>
          </w:tcPr>
          <w:p w14:paraId="40F5AD9D"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c>
          <w:tcPr>
            <w:tcW w:w="624" w:type="pct"/>
          </w:tcPr>
          <w:p w14:paraId="2C122E30"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r>
      <w:tr w:rsidR="00813644" w:rsidRPr="00A4536F" w14:paraId="7010FCE2"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4015D6CE"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 xml:space="preserve">Provision of safe drinking water at the community level using drilled boreholes </w:t>
            </w:r>
          </w:p>
        </w:tc>
        <w:tc>
          <w:tcPr>
            <w:tcW w:w="522" w:type="pct"/>
          </w:tcPr>
          <w:p w14:paraId="20DE7D59"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Oxfam Kenya</w:t>
            </w:r>
          </w:p>
        </w:tc>
        <w:tc>
          <w:tcPr>
            <w:tcW w:w="596" w:type="pct"/>
          </w:tcPr>
          <w:p w14:paraId="127B7103"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Med</w:t>
            </w:r>
          </w:p>
        </w:tc>
        <w:tc>
          <w:tcPr>
            <w:tcW w:w="673" w:type="pct"/>
          </w:tcPr>
          <w:p w14:paraId="24AB43F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595B970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c>
          <w:tcPr>
            <w:tcW w:w="718" w:type="pct"/>
          </w:tcPr>
          <w:p w14:paraId="29BDACC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c>
          <w:tcPr>
            <w:tcW w:w="624" w:type="pct"/>
          </w:tcPr>
          <w:p w14:paraId="6C9A21D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r>
      <w:tr w:rsidR="00813644" w:rsidRPr="00A4536F" w14:paraId="7C84CE14"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56C26AE7"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 xml:space="preserve">Organizing hygiene campaigns; Health Clubs </w:t>
            </w:r>
          </w:p>
        </w:tc>
        <w:tc>
          <w:tcPr>
            <w:tcW w:w="522" w:type="pct"/>
          </w:tcPr>
          <w:p w14:paraId="7B8C030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Oxfam Kenya</w:t>
            </w:r>
          </w:p>
        </w:tc>
        <w:tc>
          <w:tcPr>
            <w:tcW w:w="596" w:type="pct"/>
          </w:tcPr>
          <w:p w14:paraId="455DC91D"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High</w:t>
            </w:r>
          </w:p>
        </w:tc>
        <w:tc>
          <w:tcPr>
            <w:tcW w:w="673" w:type="pct"/>
          </w:tcPr>
          <w:p w14:paraId="39F92AC9"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26EB454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c>
          <w:tcPr>
            <w:tcW w:w="718" w:type="pct"/>
          </w:tcPr>
          <w:p w14:paraId="2ACD699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624" w:type="pct"/>
          </w:tcPr>
          <w:p w14:paraId="2559AE6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r>
      <w:tr w:rsidR="00813644" w:rsidRPr="00A4536F" w14:paraId="589A508E"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0DE2D09A"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Provision of ceramic filters and Solar Water Disinfection (SODIS)</w:t>
            </w:r>
          </w:p>
        </w:tc>
        <w:tc>
          <w:tcPr>
            <w:tcW w:w="522" w:type="pct"/>
          </w:tcPr>
          <w:p w14:paraId="516956D2"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Oxfam Kenya</w:t>
            </w:r>
          </w:p>
        </w:tc>
        <w:tc>
          <w:tcPr>
            <w:tcW w:w="596" w:type="pct"/>
          </w:tcPr>
          <w:p w14:paraId="51349CF1"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High</w:t>
            </w:r>
          </w:p>
        </w:tc>
        <w:tc>
          <w:tcPr>
            <w:tcW w:w="673" w:type="pct"/>
          </w:tcPr>
          <w:p w14:paraId="6A759D8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3D29CF1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c>
          <w:tcPr>
            <w:tcW w:w="718" w:type="pct"/>
          </w:tcPr>
          <w:p w14:paraId="07FA66E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624" w:type="pct"/>
          </w:tcPr>
          <w:p w14:paraId="2C4B1CBD"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r>
      <w:tr w:rsidR="00813644" w:rsidRPr="00A4536F" w14:paraId="0FD1465C"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331145E2"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 xml:space="preserve">Support kitchen gardening for micro-nutritional access </w:t>
            </w:r>
          </w:p>
        </w:tc>
        <w:tc>
          <w:tcPr>
            <w:tcW w:w="522" w:type="pct"/>
          </w:tcPr>
          <w:p w14:paraId="38B2B0F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Oxfam Kenya</w:t>
            </w:r>
          </w:p>
        </w:tc>
        <w:tc>
          <w:tcPr>
            <w:tcW w:w="596" w:type="pct"/>
          </w:tcPr>
          <w:p w14:paraId="3A3BC09C"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High</w:t>
            </w:r>
          </w:p>
        </w:tc>
        <w:tc>
          <w:tcPr>
            <w:tcW w:w="673" w:type="pct"/>
          </w:tcPr>
          <w:p w14:paraId="2158E21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69E62F6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c>
          <w:tcPr>
            <w:tcW w:w="718" w:type="pct"/>
          </w:tcPr>
          <w:p w14:paraId="3EB61C60"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624" w:type="pct"/>
          </w:tcPr>
          <w:p w14:paraId="6B6B560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High</w:t>
            </w:r>
          </w:p>
        </w:tc>
      </w:tr>
      <w:tr w:rsidR="00813644" w:rsidRPr="00A4536F" w14:paraId="08693258" w14:textId="77777777" w:rsidTr="00F50637">
        <w:tc>
          <w:tcPr>
            <w:cnfStyle w:val="001000000000" w:firstRow="0" w:lastRow="0" w:firstColumn="1" w:lastColumn="0" w:oddVBand="0" w:evenVBand="0" w:oddHBand="0" w:evenHBand="0" w:firstRowFirstColumn="0" w:firstRowLastColumn="0" w:lastRowFirstColumn="0" w:lastRowLastColumn="0"/>
            <w:tcW w:w="1345" w:type="pct"/>
          </w:tcPr>
          <w:p w14:paraId="6A84E0DB" w14:textId="77777777" w:rsidR="00315466" w:rsidRPr="00813644" w:rsidRDefault="001D4E15">
            <w:pPr>
              <w:spacing w:before="0" w:after="120"/>
              <w:rPr>
                <w:rFonts w:cs="Calibri"/>
                <w:b w:val="0"/>
                <w:bCs w:val="0"/>
                <w:color w:val="auto"/>
                <w:szCs w:val="18"/>
                <w:lang w:eastAsia="zh-CN"/>
              </w:rPr>
            </w:pPr>
            <w:r w:rsidRPr="00813644">
              <w:rPr>
                <w:rFonts w:cs="Calibri"/>
                <w:b w:val="0"/>
                <w:bCs w:val="0"/>
                <w:color w:val="auto"/>
                <w:szCs w:val="18"/>
                <w:lang w:eastAsia="zh-CN"/>
              </w:rPr>
              <w:t>Provide trainings on harmful traditional practices (FGM and Early Marriage</w:t>
            </w:r>
            <w:proofErr w:type="gramStart"/>
            <w:r w:rsidRPr="00813644">
              <w:rPr>
                <w:rFonts w:cs="Calibri"/>
                <w:b w:val="0"/>
                <w:bCs w:val="0"/>
                <w:color w:val="auto"/>
                <w:szCs w:val="18"/>
                <w:lang w:eastAsia="zh-CN"/>
              </w:rPr>
              <w:t>),GBV</w:t>
            </w:r>
            <w:proofErr w:type="gramEnd"/>
          </w:p>
        </w:tc>
        <w:tc>
          <w:tcPr>
            <w:tcW w:w="522" w:type="pct"/>
          </w:tcPr>
          <w:p w14:paraId="06B31C8F" w14:textId="5E6F03EE"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lang w:eastAsia="zh-CN"/>
              </w:rPr>
              <w:t>Oxfam Kenya, Oxfam Eth</w:t>
            </w:r>
          </w:p>
        </w:tc>
        <w:tc>
          <w:tcPr>
            <w:tcW w:w="596" w:type="pct"/>
          </w:tcPr>
          <w:p w14:paraId="205B5C1D"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 xml:space="preserve">High </w:t>
            </w:r>
          </w:p>
        </w:tc>
        <w:tc>
          <w:tcPr>
            <w:tcW w:w="673" w:type="pct"/>
          </w:tcPr>
          <w:p w14:paraId="6BE986EB" w14:textId="77777777" w:rsidR="00315466" w:rsidRPr="00A4536F" w:rsidRDefault="001D4E15">
            <w:pPr>
              <w:spacing w:before="0" w:after="120"/>
              <w:ind w:right="38"/>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High</w:t>
            </w:r>
          </w:p>
        </w:tc>
        <w:tc>
          <w:tcPr>
            <w:tcW w:w="522" w:type="pct"/>
          </w:tcPr>
          <w:p w14:paraId="78E9E30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 xml:space="preserve">High </w:t>
            </w:r>
          </w:p>
        </w:tc>
        <w:tc>
          <w:tcPr>
            <w:tcW w:w="718" w:type="pct"/>
          </w:tcPr>
          <w:p w14:paraId="3FB74E8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Med</w:t>
            </w:r>
          </w:p>
        </w:tc>
        <w:tc>
          <w:tcPr>
            <w:tcW w:w="624" w:type="pct"/>
          </w:tcPr>
          <w:p w14:paraId="764D23F4"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lang w:eastAsia="zh-CN"/>
              </w:rPr>
            </w:pPr>
            <w:r w:rsidRPr="00A4536F">
              <w:rPr>
                <w:rFonts w:cs="Calibri"/>
                <w:color w:val="auto"/>
                <w:szCs w:val="18"/>
                <w:lang w:eastAsia="zh-CN"/>
              </w:rPr>
              <w:t xml:space="preserve">High </w:t>
            </w:r>
          </w:p>
        </w:tc>
      </w:tr>
    </w:tbl>
    <w:p w14:paraId="46BD0042" w14:textId="77777777" w:rsidR="00315466" w:rsidRPr="00A4536F" w:rsidRDefault="00315466">
      <w:pPr>
        <w:tabs>
          <w:tab w:val="left" w:pos="6675"/>
        </w:tabs>
        <w:spacing w:before="0" w:after="120"/>
        <w:ind w:left="110"/>
        <w:rPr>
          <w:rFonts w:cs="Calibri"/>
          <w:color w:val="auto"/>
          <w:szCs w:val="18"/>
        </w:rPr>
      </w:pPr>
    </w:p>
    <w:p w14:paraId="177DBC5D" w14:textId="4DAFF5A1" w:rsidR="00D54D66" w:rsidRDefault="00D54D66">
      <w:pPr>
        <w:spacing w:before="0" w:after="0" w:line="240" w:lineRule="auto"/>
        <w:rPr>
          <w:rFonts w:cs="Calibri"/>
          <w:b/>
          <w:bCs/>
          <w:color w:val="auto"/>
          <w:w w:val="90"/>
          <w:szCs w:val="18"/>
        </w:rPr>
      </w:pPr>
      <w:r>
        <w:rPr>
          <w:rFonts w:cs="Calibri"/>
          <w:b/>
          <w:bCs/>
          <w:color w:val="auto"/>
          <w:w w:val="90"/>
          <w:szCs w:val="18"/>
        </w:rPr>
        <w:br w:type="page"/>
      </w:r>
    </w:p>
    <w:p w14:paraId="5BBFB6D9" w14:textId="67432F62" w:rsidR="00315466" w:rsidRDefault="001D4E15">
      <w:pPr>
        <w:tabs>
          <w:tab w:val="left" w:pos="6675"/>
        </w:tabs>
        <w:spacing w:before="0" w:after="120"/>
        <w:ind w:left="110"/>
        <w:rPr>
          <w:rFonts w:cs="Calibri"/>
          <w:b/>
          <w:bCs/>
          <w:color w:val="auto"/>
          <w:spacing w:val="-2"/>
          <w:w w:val="90"/>
          <w:szCs w:val="18"/>
        </w:rPr>
      </w:pPr>
      <w:r w:rsidRPr="00A4536F">
        <w:rPr>
          <w:rFonts w:cs="Calibri"/>
          <w:b/>
          <w:bCs/>
          <w:color w:val="auto"/>
          <w:w w:val="90"/>
          <w:szCs w:val="18"/>
        </w:rPr>
        <w:lastRenderedPageBreak/>
        <w:t>Legend: Rating</w:t>
      </w:r>
      <w:r w:rsidRPr="00A4536F">
        <w:rPr>
          <w:rFonts w:cs="Calibri"/>
          <w:b/>
          <w:bCs/>
          <w:color w:val="auto"/>
          <w:spacing w:val="-2"/>
          <w:szCs w:val="18"/>
        </w:rPr>
        <w:t xml:space="preserve"> </w:t>
      </w:r>
      <w:r w:rsidRPr="00A4536F">
        <w:rPr>
          <w:rFonts w:cs="Calibri"/>
          <w:b/>
          <w:bCs/>
          <w:color w:val="auto"/>
          <w:w w:val="90"/>
          <w:szCs w:val="18"/>
        </w:rPr>
        <w:t>system</w:t>
      </w:r>
      <w:r w:rsidRPr="00A4536F">
        <w:rPr>
          <w:rFonts w:cs="Calibri"/>
          <w:b/>
          <w:bCs/>
          <w:color w:val="auto"/>
          <w:spacing w:val="-2"/>
          <w:szCs w:val="18"/>
        </w:rPr>
        <w:t xml:space="preserve"> </w:t>
      </w:r>
      <w:r w:rsidRPr="00A4536F">
        <w:rPr>
          <w:rFonts w:cs="Calibri"/>
          <w:b/>
          <w:bCs/>
          <w:color w:val="auto"/>
          <w:w w:val="90"/>
          <w:szCs w:val="18"/>
        </w:rPr>
        <w:t>to</w:t>
      </w:r>
      <w:r w:rsidRPr="00A4536F">
        <w:rPr>
          <w:rFonts w:cs="Calibri"/>
          <w:b/>
          <w:bCs/>
          <w:color w:val="auto"/>
          <w:spacing w:val="-2"/>
          <w:szCs w:val="18"/>
        </w:rPr>
        <w:t xml:space="preserve"> </w:t>
      </w:r>
      <w:r w:rsidRPr="00A4536F">
        <w:rPr>
          <w:rFonts w:cs="Calibri"/>
          <w:b/>
          <w:bCs/>
          <w:color w:val="auto"/>
          <w:w w:val="90"/>
          <w:szCs w:val="18"/>
        </w:rPr>
        <w:t>assess</w:t>
      </w:r>
      <w:r w:rsidRPr="00A4536F">
        <w:rPr>
          <w:rFonts w:cs="Calibri"/>
          <w:b/>
          <w:bCs/>
          <w:color w:val="auto"/>
          <w:spacing w:val="-2"/>
          <w:szCs w:val="18"/>
        </w:rPr>
        <w:t xml:space="preserve"> </w:t>
      </w:r>
      <w:r w:rsidRPr="00A4536F">
        <w:rPr>
          <w:rFonts w:cs="Calibri"/>
          <w:b/>
          <w:bCs/>
          <w:color w:val="auto"/>
          <w:w w:val="90"/>
          <w:szCs w:val="18"/>
        </w:rPr>
        <w:t>the</w:t>
      </w:r>
      <w:r w:rsidRPr="00A4536F">
        <w:rPr>
          <w:rFonts w:cs="Calibri"/>
          <w:b/>
          <w:bCs/>
          <w:color w:val="auto"/>
          <w:spacing w:val="-2"/>
          <w:szCs w:val="18"/>
        </w:rPr>
        <w:t xml:space="preserve"> </w:t>
      </w:r>
      <w:r w:rsidRPr="00A4536F">
        <w:rPr>
          <w:rFonts w:cs="Calibri"/>
          <w:b/>
          <w:bCs/>
          <w:color w:val="auto"/>
          <w:w w:val="90"/>
          <w:szCs w:val="18"/>
        </w:rPr>
        <w:t>degree</w:t>
      </w:r>
      <w:r w:rsidRPr="00A4536F">
        <w:rPr>
          <w:rFonts w:cs="Calibri"/>
          <w:b/>
          <w:bCs/>
          <w:color w:val="auto"/>
          <w:spacing w:val="-2"/>
          <w:szCs w:val="18"/>
        </w:rPr>
        <w:t xml:space="preserve"> </w:t>
      </w:r>
      <w:r w:rsidRPr="00A4536F">
        <w:rPr>
          <w:rFonts w:cs="Calibri"/>
          <w:b/>
          <w:bCs/>
          <w:color w:val="auto"/>
          <w:w w:val="90"/>
          <w:szCs w:val="18"/>
        </w:rPr>
        <w:t>of</w:t>
      </w:r>
      <w:r w:rsidRPr="00A4536F">
        <w:rPr>
          <w:rFonts w:cs="Calibri"/>
          <w:b/>
          <w:bCs/>
          <w:color w:val="auto"/>
          <w:spacing w:val="-1"/>
          <w:szCs w:val="18"/>
        </w:rPr>
        <w:t xml:space="preserve"> </w:t>
      </w:r>
      <w:r w:rsidRPr="00A4536F">
        <w:rPr>
          <w:rFonts w:cs="Calibri"/>
          <w:b/>
          <w:bCs/>
          <w:color w:val="auto"/>
          <w:spacing w:val="-2"/>
          <w:w w:val="90"/>
          <w:szCs w:val="18"/>
        </w:rPr>
        <w:t>influence</w:t>
      </w:r>
    </w:p>
    <w:tbl>
      <w:tblPr>
        <w:tblStyle w:val="TableGrid2"/>
        <w:tblW w:w="9072" w:type="dxa"/>
        <w:tblInd w:w="137" w:type="dxa"/>
        <w:tblLook w:val="04A0" w:firstRow="1" w:lastRow="0" w:firstColumn="1" w:lastColumn="0" w:noHBand="0" w:noVBand="1"/>
      </w:tblPr>
      <w:tblGrid>
        <w:gridCol w:w="1230"/>
        <w:gridCol w:w="3081"/>
        <w:gridCol w:w="4761"/>
      </w:tblGrid>
      <w:tr w:rsidR="00090EFB" w:rsidRPr="00A4536F" w14:paraId="7F6F2002" w14:textId="77777777" w:rsidTr="00D54D66">
        <w:trPr>
          <w:trHeight w:val="737"/>
        </w:trPr>
        <w:tc>
          <w:tcPr>
            <w:tcW w:w="1230" w:type="dxa"/>
          </w:tcPr>
          <w:p w14:paraId="64D6789F" w14:textId="77777777" w:rsidR="00315466" w:rsidRPr="00A4536F" w:rsidRDefault="001D4E15">
            <w:pPr>
              <w:pStyle w:val="BodyText"/>
              <w:spacing w:before="0"/>
              <w:rPr>
                <w:rFonts w:cs="Calibri"/>
                <w:b/>
                <w:bCs/>
                <w:color w:val="auto"/>
                <w:szCs w:val="18"/>
              </w:rPr>
            </w:pPr>
            <w:bookmarkStart w:id="241" w:name="_Hlk174632518"/>
            <w:r w:rsidRPr="00A4536F">
              <w:rPr>
                <w:rFonts w:cs="Calibri"/>
                <w:b/>
                <w:bCs/>
                <w:color w:val="auto"/>
                <w:szCs w:val="18"/>
              </w:rPr>
              <w:t>Degree of Influence</w:t>
            </w:r>
          </w:p>
        </w:tc>
        <w:tc>
          <w:tcPr>
            <w:tcW w:w="3081" w:type="dxa"/>
          </w:tcPr>
          <w:p w14:paraId="12DE6B25" w14:textId="77777777" w:rsidR="00315466" w:rsidRPr="00A4536F" w:rsidRDefault="001D4E15">
            <w:pPr>
              <w:pStyle w:val="BodyText"/>
              <w:spacing w:before="0"/>
              <w:rPr>
                <w:rFonts w:cs="Calibri"/>
                <w:b/>
                <w:bCs/>
                <w:color w:val="auto"/>
                <w:szCs w:val="18"/>
              </w:rPr>
            </w:pPr>
            <w:r w:rsidRPr="00A4536F">
              <w:rPr>
                <w:rFonts w:cs="Calibri"/>
                <w:b/>
                <w:bCs/>
                <w:color w:val="auto"/>
                <w:szCs w:val="18"/>
              </w:rPr>
              <w:t>Explanation</w:t>
            </w:r>
          </w:p>
        </w:tc>
        <w:tc>
          <w:tcPr>
            <w:tcW w:w="4761" w:type="dxa"/>
          </w:tcPr>
          <w:p w14:paraId="79C115D2" w14:textId="77777777" w:rsidR="00315466" w:rsidRPr="00A4536F" w:rsidRDefault="001D4E15">
            <w:pPr>
              <w:pStyle w:val="BodyText"/>
              <w:spacing w:before="0"/>
              <w:rPr>
                <w:rFonts w:cs="Calibri"/>
                <w:b/>
                <w:bCs/>
                <w:color w:val="auto"/>
                <w:szCs w:val="18"/>
              </w:rPr>
            </w:pPr>
            <w:r w:rsidRPr="00A4536F">
              <w:rPr>
                <w:rFonts w:cs="Calibri"/>
                <w:b/>
                <w:bCs/>
                <w:color w:val="auto"/>
                <w:szCs w:val="18"/>
              </w:rPr>
              <w:t>Measure</w:t>
            </w:r>
          </w:p>
        </w:tc>
      </w:tr>
      <w:bookmarkEnd w:id="241"/>
      <w:tr w:rsidR="00090EFB" w:rsidRPr="00A4536F" w14:paraId="44CEAE58" w14:textId="77777777" w:rsidTr="00D54D66">
        <w:tc>
          <w:tcPr>
            <w:tcW w:w="1230" w:type="dxa"/>
          </w:tcPr>
          <w:p w14:paraId="652BDD58" w14:textId="77777777" w:rsidR="00315466" w:rsidRPr="00A4536F" w:rsidRDefault="001D4E15">
            <w:pPr>
              <w:pStyle w:val="BodyText"/>
              <w:spacing w:before="0"/>
              <w:rPr>
                <w:rFonts w:cs="Calibri"/>
                <w:color w:val="auto"/>
                <w:szCs w:val="18"/>
              </w:rPr>
            </w:pPr>
            <w:r w:rsidRPr="00A4536F">
              <w:rPr>
                <w:rFonts w:cs="Calibri"/>
                <w:color w:val="auto"/>
                <w:spacing w:val="-2"/>
                <w:szCs w:val="18"/>
              </w:rPr>
              <w:t>Certainty</w:t>
            </w:r>
          </w:p>
        </w:tc>
        <w:tc>
          <w:tcPr>
            <w:tcW w:w="3081" w:type="dxa"/>
          </w:tcPr>
          <w:p w14:paraId="5ED7531B" w14:textId="77777777" w:rsidR="00315466" w:rsidRPr="00A4536F" w:rsidRDefault="001D4E15">
            <w:pPr>
              <w:tabs>
                <w:tab w:val="left" w:pos="1690"/>
              </w:tabs>
              <w:spacing w:before="0" w:after="120"/>
              <w:rPr>
                <w:rFonts w:cs="Calibri"/>
                <w:color w:val="auto"/>
                <w:szCs w:val="18"/>
              </w:rPr>
            </w:pPr>
            <w:r w:rsidRPr="00A4536F">
              <w:rPr>
                <w:rFonts w:cs="Calibri"/>
                <w:color w:val="auto"/>
                <w:szCs w:val="18"/>
              </w:rPr>
              <w:t>The degree to which the</w:t>
            </w:r>
            <w:r w:rsidRPr="00A4536F">
              <w:rPr>
                <w:rFonts w:cs="Calibri"/>
                <w:color w:val="auto"/>
                <w:spacing w:val="-15"/>
                <w:szCs w:val="18"/>
              </w:rPr>
              <w:t xml:space="preserve"> </w:t>
            </w:r>
            <w:r w:rsidRPr="00A4536F">
              <w:rPr>
                <w:rFonts w:cs="Calibri"/>
                <w:color w:val="auto"/>
                <w:szCs w:val="18"/>
              </w:rPr>
              <w:t>observed</w:t>
            </w:r>
            <w:r w:rsidRPr="00A4536F">
              <w:rPr>
                <w:rFonts w:cs="Calibri"/>
                <w:color w:val="auto"/>
                <w:spacing w:val="-12"/>
                <w:szCs w:val="18"/>
              </w:rPr>
              <w:t xml:space="preserve"> </w:t>
            </w:r>
            <w:r w:rsidRPr="00A4536F">
              <w:rPr>
                <w:rFonts w:cs="Calibri"/>
                <w:color w:val="auto"/>
                <w:szCs w:val="18"/>
              </w:rPr>
              <w:t xml:space="preserve">activity matches the one </w:t>
            </w:r>
            <w:r w:rsidRPr="00A4536F">
              <w:rPr>
                <w:rFonts w:cs="Calibri"/>
                <w:color w:val="auto"/>
                <w:w w:val="90"/>
                <w:szCs w:val="18"/>
              </w:rPr>
              <w:t>predicted/</w:t>
            </w:r>
            <w:proofErr w:type="gramStart"/>
            <w:r w:rsidRPr="00A4536F">
              <w:rPr>
                <w:rFonts w:cs="Calibri"/>
                <w:color w:val="auto"/>
                <w:w w:val="90"/>
                <w:szCs w:val="18"/>
              </w:rPr>
              <w:t>targeted</w:t>
            </w:r>
            <w:proofErr w:type="gramEnd"/>
          </w:p>
          <w:p w14:paraId="059C205C" w14:textId="77777777" w:rsidR="00315466" w:rsidRPr="00A4536F" w:rsidRDefault="00315466">
            <w:pPr>
              <w:pStyle w:val="BodyText"/>
              <w:spacing w:before="0"/>
              <w:rPr>
                <w:rFonts w:cs="Calibri"/>
                <w:color w:val="auto"/>
                <w:szCs w:val="18"/>
              </w:rPr>
            </w:pPr>
          </w:p>
        </w:tc>
        <w:tc>
          <w:tcPr>
            <w:tcW w:w="4761" w:type="dxa"/>
          </w:tcPr>
          <w:p w14:paraId="51920BF7" w14:textId="77777777" w:rsidR="00315466" w:rsidRPr="00A4536F" w:rsidRDefault="001D4E15">
            <w:pPr>
              <w:spacing w:before="0" w:after="120"/>
              <w:ind w:left="110" w:right="239"/>
              <w:rPr>
                <w:rFonts w:cs="Calibri"/>
                <w:color w:val="auto"/>
                <w:szCs w:val="18"/>
              </w:rPr>
            </w:pPr>
            <w:r w:rsidRPr="00A4536F">
              <w:rPr>
                <w:rFonts w:cs="Calibri"/>
                <w:b/>
                <w:color w:val="auto"/>
                <w:szCs w:val="18"/>
              </w:rPr>
              <w:t>Low</w:t>
            </w:r>
            <w:r w:rsidRPr="00A4536F">
              <w:rPr>
                <w:rFonts w:cs="Calibri"/>
                <w:b/>
                <w:color w:val="auto"/>
                <w:spacing w:val="-14"/>
                <w:szCs w:val="18"/>
              </w:rPr>
              <w:t xml:space="preserve"> </w:t>
            </w:r>
            <w:r w:rsidRPr="00A4536F">
              <w:rPr>
                <w:rFonts w:cs="Calibri"/>
                <w:color w:val="auto"/>
                <w:szCs w:val="18"/>
              </w:rPr>
              <w:t>–</w:t>
            </w:r>
            <w:r w:rsidRPr="00A4536F">
              <w:rPr>
                <w:rFonts w:cs="Calibri"/>
                <w:color w:val="auto"/>
                <w:spacing w:val="-8"/>
                <w:szCs w:val="18"/>
              </w:rPr>
              <w:t xml:space="preserve"> </w:t>
            </w:r>
            <w:r w:rsidRPr="00A4536F">
              <w:rPr>
                <w:rFonts w:cs="Calibri"/>
                <w:color w:val="auto"/>
                <w:szCs w:val="18"/>
              </w:rPr>
              <w:t>little</w:t>
            </w:r>
            <w:r w:rsidRPr="00A4536F">
              <w:rPr>
                <w:rFonts w:cs="Calibri"/>
                <w:color w:val="auto"/>
                <w:spacing w:val="-9"/>
                <w:szCs w:val="18"/>
              </w:rPr>
              <w:t xml:space="preserve"> </w:t>
            </w:r>
            <w:r w:rsidRPr="00A4536F">
              <w:rPr>
                <w:rFonts w:cs="Calibri"/>
                <w:color w:val="auto"/>
                <w:szCs w:val="18"/>
              </w:rPr>
              <w:t>evidence</w:t>
            </w:r>
            <w:r w:rsidRPr="00A4536F">
              <w:rPr>
                <w:rFonts w:cs="Calibri"/>
                <w:color w:val="auto"/>
                <w:spacing w:val="-9"/>
                <w:szCs w:val="18"/>
              </w:rPr>
              <w:t xml:space="preserve"> </w:t>
            </w:r>
            <w:r w:rsidRPr="00A4536F">
              <w:rPr>
                <w:rFonts w:cs="Calibri"/>
                <w:color w:val="auto"/>
                <w:w w:val="90"/>
                <w:szCs w:val="18"/>
              </w:rPr>
              <w:t xml:space="preserve">from the data sources confirm </w:t>
            </w:r>
            <w:r w:rsidRPr="00A4536F">
              <w:rPr>
                <w:rFonts w:cs="Calibri"/>
                <w:color w:val="auto"/>
                <w:spacing w:val="-6"/>
                <w:szCs w:val="18"/>
              </w:rPr>
              <w:t xml:space="preserve">that the observed outcome matches the outcome </w:t>
            </w:r>
            <w:r w:rsidRPr="00A4536F">
              <w:rPr>
                <w:rFonts w:cs="Calibri"/>
                <w:color w:val="auto"/>
                <w:szCs w:val="18"/>
              </w:rPr>
              <w:t>described</w:t>
            </w:r>
            <w:r w:rsidRPr="00A4536F">
              <w:rPr>
                <w:rFonts w:cs="Calibri"/>
                <w:color w:val="auto"/>
                <w:spacing w:val="-3"/>
                <w:szCs w:val="18"/>
              </w:rPr>
              <w:t xml:space="preserve"> </w:t>
            </w:r>
            <w:r w:rsidRPr="00A4536F">
              <w:rPr>
                <w:rFonts w:cs="Calibri"/>
                <w:color w:val="auto"/>
                <w:szCs w:val="18"/>
              </w:rPr>
              <w:t>in</w:t>
            </w:r>
            <w:r w:rsidRPr="00A4536F">
              <w:rPr>
                <w:rFonts w:cs="Calibri"/>
                <w:color w:val="auto"/>
                <w:spacing w:val="-3"/>
                <w:szCs w:val="18"/>
              </w:rPr>
              <w:t xml:space="preserve"> </w:t>
            </w:r>
            <w:r w:rsidRPr="00A4536F">
              <w:rPr>
                <w:rFonts w:cs="Calibri"/>
                <w:color w:val="auto"/>
                <w:szCs w:val="18"/>
              </w:rPr>
              <w:t>the</w:t>
            </w:r>
            <w:r w:rsidRPr="00A4536F">
              <w:rPr>
                <w:rFonts w:cs="Calibri"/>
                <w:color w:val="auto"/>
                <w:spacing w:val="-3"/>
                <w:szCs w:val="18"/>
              </w:rPr>
              <w:t xml:space="preserve"> </w:t>
            </w:r>
            <w:r w:rsidRPr="00A4536F">
              <w:rPr>
                <w:rFonts w:cs="Calibri"/>
                <w:color w:val="auto"/>
                <w:szCs w:val="18"/>
              </w:rPr>
              <w:t>logic</w:t>
            </w:r>
            <w:r w:rsidRPr="00A4536F">
              <w:rPr>
                <w:rFonts w:cs="Calibri"/>
                <w:color w:val="auto"/>
                <w:spacing w:val="-3"/>
                <w:szCs w:val="18"/>
              </w:rPr>
              <w:t xml:space="preserve"> </w:t>
            </w:r>
            <w:proofErr w:type="gramStart"/>
            <w:r w:rsidRPr="00A4536F">
              <w:rPr>
                <w:rFonts w:cs="Calibri"/>
                <w:color w:val="auto"/>
                <w:szCs w:val="18"/>
              </w:rPr>
              <w:t>model</w:t>
            </w:r>
            <w:proofErr w:type="gramEnd"/>
          </w:p>
          <w:p w14:paraId="6AE1D274" w14:textId="77777777" w:rsidR="00315466" w:rsidRPr="00A4536F" w:rsidRDefault="001D4E15">
            <w:pPr>
              <w:spacing w:before="0" w:after="120"/>
              <w:ind w:left="110" w:right="257"/>
              <w:rPr>
                <w:rFonts w:cs="Calibri"/>
                <w:color w:val="auto"/>
                <w:szCs w:val="18"/>
              </w:rPr>
            </w:pPr>
            <w:r w:rsidRPr="00A4536F">
              <w:rPr>
                <w:rFonts w:cs="Calibri"/>
                <w:b/>
                <w:color w:val="auto"/>
                <w:szCs w:val="18"/>
              </w:rPr>
              <w:t>Medium</w:t>
            </w:r>
            <w:r w:rsidRPr="00A4536F">
              <w:rPr>
                <w:rFonts w:cs="Calibri"/>
                <w:b/>
                <w:color w:val="auto"/>
                <w:spacing w:val="-11"/>
                <w:szCs w:val="18"/>
              </w:rPr>
              <w:t xml:space="preserve"> </w:t>
            </w:r>
            <w:r w:rsidRPr="00A4536F">
              <w:rPr>
                <w:rFonts w:cs="Calibri"/>
                <w:color w:val="auto"/>
                <w:szCs w:val="18"/>
              </w:rPr>
              <w:t>–</w:t>
            </w:r>
            <w:r w:rsidRPr="00A4536F">
              <w:rPr>
                <w:rFonts w:cs="Calibri"/>
                <w:color w:val="auto"/>
                <w:spacing w:val="-6"/>
                <w:szCs w:val="18"/>
              </w:rPr>
              <w:t xml:space="preserve"> </w:t>
            </w:r>
            <w:r w:rsidRPr="00A4536F">
              <w:rPr>
                <w:rFonts w:cs="Calibri"/>
                <w:color w:val="auto"/>
                <w:szCs w:val="18"/>
              </w:rPr>
              <w:t>approximately</w:t>
            </w:r>
            <w:r w:rsidRPr="00A4536F">
              <w:rPr>
                <w:rFonts w:cs="Calibri"/>
                <w:color w:val="auto"/>
                <w:spacing w:val="-6"/>
                <w:szCs w:val="18"/>
              </w:rPr>
              <w:t xml:space="preserve"> </w:t>
            </w:r>
            <w:r w:rsidRPr="00A4536F">
              <w:rPr>
                <w:rFonts w:cs="Calibri"/>
                <w:color w:val="auto"/>
                <w:szCs w:val="18"/>
              </w:rPr>
              <w:t>half</w:t>
            </w:r>
            <w:r w:rsidRPr="00A4536F">
              <w:rPr>
                <w:rFonts w:cs="Calibri"/>
                <w:color w:val="auto"/>
                <w:spacing w:val="-6"/>
                <w:szCs w:val="18"/>
              </w:rPr>
              <w:t xml:space="preserve"> </w:t>
            </w:r>
            <w:r w:rsidRPr="00A4536F">
              <w:rPr>
                <w:rFonts w:cs="Calibri"/>
                <w:color w:val="auto"/>
                <w:w w:val="90"/>
                <w:szCs w:val="18"/>
              </w:rPr>
              <w:t xml:space="preserve">the evidence from the data sources </w:t>
            </w:r>
            <w:r w:rsidRPr="00A4536F">
              <w:rPr>
                <w:rFonts w:cs="Calibri"/>
                <w:color w:val="auto"/>
                <w:spacing w:val="-6"/>
                <w:szCs w:val="18"/>
              </w:rPr>
              <w:t>confirm</w:t>
            </w:r>
            <w:r w:rsidRPr="00A4536F">
              <w:rPr>
                <w:rFonts w:cs="Calibri"/>
                <w:color w:val="auto"/>
                <w:spacing w:val="-7"/>
                <w:szCs w:val="18"/>
              </w:rPr>
              <w:t xml:space="preserve"> </w:t>
            </w:r>
            <w:r w:rsidRPr="00A4536F">
              <w:rPr>
                <w:rFonts w:cs="Calibri"/>
                <w:color w:val="auto"/>
                <w:spacing w:val="-6"/>
                <w:szCs w:val="18"/>
              </w:rPr>
              <w:t>that the</w:t>
            </w:r>
            <w:r w:rsidRPr="00A4536F">
              <w:rPr>
                <w:rFonts w:cs="Calibri"/>
                <w:color w:val="auto"/>
                <w:spacing w:val="-7"/>
                <w:szCs w:val="18"/>
              </w:rPr>
              <w:t xml:space="preserve"> </w:t>
            </w:r>
            <w:r w:rsidRPr="00A4536F">
              <w:rPr>
                <w:rFonts w:cs="Calibri"/>
                <w:color w:val="auto"/>
                <w:spacing w:val="-6"/>
                <w:szCs w:val="18"/>
              </w:rPr>
              <w:t>observed outcome</w:t>
            </w:r>
            <w:r w:rsidRPr="00A4536F">
              <w:rPr>
                <w:rFonts w:cs="Calibri"/>
                <w:color w:val="auto"/>
                <w:spacing w:val="-7"/>
                <w:szCs w:val="18"/>
              </w:rPr>
              <w:t xml:space="preserve"> </w:t>
            </w:r>
            <w:r w:rsidRPr="00A4536F">
              <w:rPr>
                <w:rFonts w:cs="Calibri"/>
                <w:color w:val="auto"/>
                <w:spacing w:val="-6"/>
                <w:szCs w:val="18"/>
              </w:rPr>
              <w:t>matches</w:t>
            </w:r>
            <w:r w:rsidRPr="00A4536F">
              <w:rPr>
                <w:rFonts w:cs="Calibri"/>
                <w:color w:val="auto"/>
                <w:spacing w:val="-7"/>
                <w:szCs w:val="18"/>
              </w:rPr>
              <w:t xml:space="preserve"> </w:t>
            </w:r>
            <w:r w:rsidRPr="00A4536F">
              <w:rPr>
                <w:rFonts w:cs="Calibri"/>
                <w:color w:val="auto"/>
                <w:spacing w:val="-6"/>
                <w:szCs w:val="18"/>
              </w:rPr>
              <w:t xml:space="preserve">the </w:t>
            </w:r>
            <w:r w:rsidRPr="00A4536F">
              <w:rPr>
                <w:rFonts w:cs="Calibri"/>
                <w:color w:val="auto"/>
                <w:szCs w:val="18"/>
              </w:rPr>
              <w:t xml:space="preserve">one </w:t>
            </w:r>
            <w:proofErr w:type="gramStart"/>
            <w:r w:rsidRPr="00A4536F">
              <w:rPr>
                <w:rFonts w:cs="Calibri"/>
                <w:color w:val="auto"/>
                <w:szCs w:val="18"/>
              </w:rPr>
              <w:t>predicted</w:t>
            </w:r>
            <w:proofErr w:type="gramEnd"/>
          </w:p>
          <w:p w14:paraId="21325F2E" w14:textId="77777777" w:rsidR="00315466" w:rsidRDefault="001D4E15">
            <w:pPr>
              <w:spacing w:before="0" w:after="120"/>
              <w:ind w:left="110" w:right="257"/>
              <w:rPr>
                <w:rFonts w:cs="Calibri"/>
                <w:color w:val="auto"/>
                <w:szCs w:val="18"/>
              </w:rPr>
            </w:pPr>
            <w:r w:rsidRPr="00A4536F">
              <w:rPr>
                <w:rFonts w:cs="Calibri"/>
                <w:b/>
                <w:color w:val="auto"/>
                <w:szCs w:val="18"/>
              </w:rPr>
              <w:t>High</w:t>
            </w:r>
            <w:r w:rsidRPr="00A4536F">
              <w:rPr>
                <w:rFonts w:cs="Calibri"/>
                <w:b/>
                <w:color w:val="auto"/>
                <w:spacing w:val="-14"/>
                <w:szCs w:val="18"/>
              </w:rPr>
              <w:t xml:space="preserve"> </w:t>
            </w:r>
            <w:r w:rsidRPr="00A4536F">
              <w:rPr>
                <w:rFonts w:cs="Calibri"/>
                <w:color w:val="auto"/>
                <w:szCs w:val="18"/>
              </w:rPr>
              <w:t>–</w:t>
            </w:r>
            <w:r w:rsidRPr="00A4536F">
              <w:rPr>
                <w:rFonts w:cs="Calibri"/>
                <w:color w:val="auto"/>
                <w:spacing w:val="-12"/>
                <w:szCs w:val="18"/>
              </w:rPr>
              <w:t xml:space="preserve"> </w:t>
            </w:r>
            <w:r w:rsidRPr="00A4536F">
              <w:rPr>
                <w:rFonts w:cs="Calibri"/>
                <w:color w:val="auto"/>
                <w:szCs w:val="18"/>
              </w:rPr>
              <w:t>it</w:t>
            </w:r>
            <w:r w:rsidRPr="00A4536F">
              <w:rPr>
                <w:rFonts w:cs="Calibri"/>
                <w:color w:val="auto"/>
                <w:spacing w:val="-10"/>
                <w:szCs w:val="18"/>
              </w:rPr>
              <w:t xml:space="preserve"> </w:t>
            </w:r>
            <w:r w:rsidRPr="00A4536F">
              <w:rPr>
                <w:rFonts w:cs="Calibri"/>
                <w:color w:val="auto"/>
                <w:szCs w:val="18"/>
              </w:rPr>
              <w:t>was</w:t>
            </w:r>
            <w:r w:rsidRPr="00A4536F">
              <w:rPr>
                <w:rFonts w:cs="Calibri"/>
                <w:color w:val="auto"/>
                <w:spacing w:val="-11"/>
                <w:szCs w:val="18"/>
              </w:rPr>
              <w:t xml:space="preserve"> </w:t>
            </w:r>
            <w:r w:rsidRPr="00A4536F">
              <w:rPr>
                <w:rFonts w:cs="Calibri"/>
                <w:color w:val="auto"/>
                <w:szCs w:val="18"/>
              </w:rPr>
              <w:t>noted</w:t>
            </w:r>
            <w:r w:rsidRPr="00A4536F">
              <w:rPr>
                <w:rFonts w:cs="Calibri"/>
                <w:color w:val="auto"/>
                <w:spacing w:val="-11"/>
                <w:szCs w:val="18"/>
              </w:rPr>
              <w:t xml:space="preserve"> </w:t>
            </w:r>
            <w:r w:rsidRPr="00A4536F">
              <w:rPr>
                <w:rFonts w:cs="Calibri"/>
                <w:color w:val="auto"/>
                <w:szCs w:val="18"/>
              </w:rPr>
              <w:t>across</w:t>
            </w:r>
            <w:r w:rsidRPr="00A4536F">
              <w:rPr>
                <w:rFonts w:cs="Calibri"/>
                <w:color w:val="auto"/>
                <w:spacing w:val="-11"/>
                <w:szCs w:val="18"/>
              </w:rPr>
              <w:t xml:space="preserve"> </w:t>
            </w:r>
            <w:r w:rsidRPr="00A4536F">
              <w:rPr>
                <w:rFonts w:cs="Calibri"/>
                <w:color w:val="auto"/>
                <w:szCs w:val="18"/>
              </w:rPr>
              <w:t>a</w:t>
            </w:r>
            <w:r w:rsidRPr="00A4536F">
              <w:rPr>
                <w:rFonts w:cs="Calibri"/>
                <w:color w:val="auto"/>
                <w:spacing w:val="-11"/>
                <w:szCs w:val="18"/>
              </w:rPr>
              <w:t xml:space="preserve"> </w:t>
            </w:r>
            <w:r w:rsidRPr="00A4536F">
              <w:rPr>
                <w:rFonts w:cs="Calibri"/>
                <w:color w:val="auto"/>
                <w:szCs w:val="18"/>
              </w:rPr>
              <w:t>range</w:t>
            </w:r>
            <w:r w:rsidRPr="00A4536F">
              <w:rPr>
                <w:rFonts w:cs="Calibri"/>
                <w:color w:val="auto"/>
                <w:spacing w:val="-11"/>
                <w:szCs w:val="18"/>
              </w:rPr>
              <w:t xml:space="preserve"> </w:t>
            </w:r>
            <w:r w:rsidRPr="00A4536F">
              <w:rPr>
                <w:rFonts w:cs="Calibri"/>
                <w:color w:val="auto"/>
                <w:szCs w:val="18"/>
              </w:rPr>
              <w:t>of</w:t>
            </w:r>
            <w:r w:rsidRPr="00A4536F">
              <w:rPr>
                <w:rFonts w:cs="Calibri"/>
                <w:color w:val="auto"/>
                <w:spacing w:val="-11"/>
                <w:szCs w:val="18"/>
              </w:rPr>
              <w:t xml:space="preserve"> </w:t>
            </w:r>
            <w:r w:rsidRPr="00A4536F">
              <w:rPr>
                <w:rFonts w:cs="Calibri"/>
                <w:color w:val="auto"/>
                <w:szCs w:val="18"/>
              </w:rPr>
              <w:t xml:space="preserve">different </w:t>
            </w:r>
            <w:r w:rsidRPr="00A4536F">
              <w:rPr>
                <w:rFonts w:cs="Calibri"/>
                <w:color w:val="auto"/>
                <w:w w:val="90"/>
                <w:szCs w:val="18"/>
              </w:rPr>
              <w:t xml:space="preserve">data sources that the observed outcome matches </w:t>
            </w:r>
            <w:r w:rsidRPr="00A4536F">
              <w:rPr>
                <w:rFonts w:cs="Calibri"/>
                <w:color w:val="auto"/>
                <w:szCs w:val="18"/>
              </w:rPr>
              <w:t xml:space="preserve">the one </w:t>
            </w:r>
            <w:proofErr w:type="gramStart"/>
            <w:r w:rsidRPr="00A4536F">
              <w:rPr>
                <w:rFonts w:cs="Calibri"/>
                <w:color w:val="auto"/>
                <w:szCs w:val="18"/>
              </w:rPr>
              <w:t>predicted</w:t>
            </w:r>
            <w:proofErr w:type="gramEnd"/>
          </w:p>
          <w:p w14:paraId="7453902B" w14:textId="77777777" w:rsidR="00D54D66" w:rsidRPr="00A4536F" w:rsidRDefault="00D54D66">
            <w:pPr>
              <w:spacing w:before="0" w:after="120"/>
              <w:ind w:left="110" w:right="257"/>
              <w:rPr>
                <w:rFonts w:cs="Calibri"/>
                <w:color w:val="auto"/>
                <w:szCs w:val="18"/>
              </w:rPr>
            </w:pPr>
          </w:p>
        </w:tc>
      </w:tr>
      <w:tr w:rsidR="00D54D66" w:rsidRPr="00A4536F" w14:paraId="405F50DD" w14:textId="77777777" w:rsidTr="00D54D66">
        <w:tc>
          <w:tcPr>
            <w:tcW w:w="1230" w:type="dxa"/>
          </w:tcPr>
          <w:p w14:paraId="48032F06" w14:textId="77777777" w:rsidR="00D54D66" w:rsidRPr="00A4536F" w:rsidRDefault="00D54D66" w:rsidP="00D54D66">
            <w:pPr>
              <w:pStyle w:val="BodyText"/>
              <w:spacing w:before="0"/>
              <w:rPr>
                <w:rFonts w:cs="Calibri"/>
                <w:color w:val="auto"/>
                <w:szCs w:val="18"/>
              </w:rPr>
            </w:pPr>
            <w:r w:rsidRPr="00A4536F">
              <w:rPr>
                <w:rFonts w:cs="Calibri"/>
                <w:color w:val="auto"/>
                <w:spacing w:val="-2"/>
                <w:szCs w:val="18"/>
              </w:rPr>
              <w:t>Robustness</w:t>
            </w:r>
          </w:p>
        </w:tc>
        <w:tc>
          <w:tcPr>
            <w:tcW w:w="3081" w:type="dxa"/>
          </w:tcPr>
          <w:p w14:paraId="3D2FD6D7" w14:textId="77777777" w:rsidR="00D54D66" w:rsidRPr="00A4536F" w:rsidRDefault="00D54D66" w:rsidP="00D54D66">
            <w:pPr>
              <w:tabs>
                <w:tab w:val="left" w:pos="1690"/>
              </w:tabs>
              <w:spacing w:before="0" w:after="120"/>
              <w:rPr>
                <w:rFonts w:cs="Calibri"/>
                <w:color w:val="auto"/>
                <w:szCs w:val="18"/>
              </w:rPr>
            </w:pPr>
            <w:r w:rsidRPr="00A4536F">
              <w:rPr>
                <w:rFonts w:cs="Calibri"/>
                <w:color w:val="auto"/>
                <w:szCs w:val="18"/>
              </w:rPr>
              <w:t xml:space="preserve">The degree to which the </w:t>
            </w:r>
            <w:r w:rsidRPr="00A4536F">
              <w:rPr>
                <w:rFonts w:cs="Calibri"/>
                <w:color w:val="auto"/>
                <w:w w:val="90"/>
                <w:szCs w:val="18"/>
              </w:rPr>
              <w:t xml:space="preserve">activity </w:t>
            </w:r>
            <w:r w:rsidRPr="00A4536F">
              <w:rPr>
                <w:rFonts w:cs="Calibri"/>
                <w:color w:val="auto"/>
                <w:spacing w:val="-4"/>
                <w:szCs w:val="18"/>
              </w:rPr>
              <w:t>is</w:t>
            </w:r>
            <w:r w:rsidRPr="00A4536F">
              <w:rPr>
                <w:rFonts w:cs="Calibri"/>
                <w:color w:val="auto"/>
                <w:spacing w:val="-11"/>
                <w:szCs w:val="18"/>
              </w:rPr>
              <w:t xml:space="preserve"> </w:t>
            </w:r>
            <w:r w:rsidRPr="00A4536F">
              <w:rPr>
                <w:rFonts w:cs="Calibri"/>
                <w:color w:val="auto"/>
                <w:spacing w:val="-4"/>
                <w:szCs w:val="18"/>
              </w:rPr>
              <w:t>identified</w:t>
            </w:r>
            <w:r w:rsidRPr="00A4536F">
              <w:rPr>
                <w:rFonts w:cs="Calibri"/>
                <w:color w:val="auto"/>
                <w:spacing w:val="-8"/>
                <w:szCs w:val="18"/>
              </w:rPr>
              <w:t xml:space="preserve"> </w:t>
            </w:r>
            <w:r w:rsidRPr="00A4536F">
              <w:rPr>
                <w:rFonts w:cs="Calibri"/>
                <w:color w:val="auto"/>
                <w:spacing w:val="-4"/>
                <w:szCs w:val="18"/>
              </w:rPr>
              <w:t>as</w:t>
            </w:r>
            <w:r w:rsidRPr="00A4536F">
              <w:rPr>
                <w:rFonts w:cs="Calibri"/>
                <w:color w:val="auto"/>
                <w:spacing w:val="-9"/>
                <w:szCs w:val="18"/>
              </w:rPr>
              <w:t xml:space="preserve"> </w:t>
            </w:r>
            <w:r w:rsidRPr="00A4536F">
              <w:rPr>
                <w:rFonts w:cs="Calibri"/>
                <w:color w:val="auto"/>
                <w:spacing w:val="-4"/>
                <w:szCs w:val="18"/>
              </w:rPr>
              <w:t>a</w:t>
            </w:r>
            <w:r w:rsidRPr="00A4536F">
              <w:rPr>
                <w:rFonts w:cs="Calibri"/>
                <w:color w:val="auto"/>
                <w:spacing w:val="-8"/>
                <w:szCs w:val="18"/>
              </w:rPr>
              <w:t xml:space="preserve"> </w:t>
            </w:r>
            <w:r w:rsidRPr="00A4536F">
              <w:rPr>
                <w:rFonts w:cs="Calibri"/>
                <w:color w:val="auto"/>
                <w:spacing w:val="-4"/>
                <w:szCs w:val="18"/>
              </w:rPr>
              <w:t xml:space="preserve">significant </w:t>
            </w:r>
            <w:r w:rsidRPr="00A4536F">
              <w:rPr>
                <w:rFonts w:cs="Calibri"/>
                <w:color w:val="auto"/>
                <w:szCs w:val="18"/>
              </w:rPr>
              <w:t>contributor to impact/</w:t>
            </w:r>
            <w:proofErr w:type="gramStart"/>
            <w:r w:rsidRPr="00A4536F">
              <w:rPr>
                <w:rFonts w:cs="Calibri"/>
                <w:color w:val="auto"/>
                <w:szCs w:val="18"/>
              </w:rPr>
              <w:t>result</w:t>
            </w:r>
            <w:proofErr w:type="gramEnd"/>
          </w:p>
          <w:p w14:paraId="6F51D1E4" w14:textId="77777777" w:rsidR="00D54D66" w:rsidRPr="00A4536F" w:rsidRDefault="00D54D66" w:rsidP="00D54D66">
            <w:pPr>
              <w:pStyle w:val="BodyText"/>
              <w:spacing w:before="0"/>
              <w:rPr>
                <w:rFonts w:cs="Calibri"/>
                <w:color w:val="auto"/>
                <w:szCs w:val="18"/>
              </w:rPr>
            </w:pPr>
          </w:p>
        </w:tc>
        <w:tc>
          <w:tcPr>
            <w:tcW w:w="4761" w:type="dxa"/>
          </w:tcPr>
          <w:p w14:paraId="30EE053A" w14:textId="77777777" w:rsidR="00D54D66" w:rsidRPr="00A4536F" w:rsidRDefault="00D54D66" w:rsidP="00D54D66">
            <w:pPr>
              <w:spacing w:before="0" w:after="120"/>
              <w:ind w:left="110" w:right="267"/>
              <w:rPr>
                <w:rFonts w:cs="Calibri"/>
                <w:color w:val="auto"/>
                <w:szCs w:val="18"/>
              </w:rPr>
            </w:pPr>
            <w:r w:rsidRPr="00A4536F">
              <w:rPr>
                <w:rFonts w:cs="Calibri"/>
                <w:b/>
                <w:color w:val="auto"/>
                <w:szCs w:val="18"/>
              </w:rPr>
              <w:t>Low</w:t>
            </w:r>
            <w:r w:rsidRPr="00A4536F">
              <w:rPr>
                <w:rFonts w:cs="Calibri"/>
                <w:b/>
                <w:color w:val="auto"/>
                <w:spacing w:val="-14"/>
                <w:szCs w:val="18"/>
              </w:rPr>
              <w:t xml:space="preserve"> </w:t>
            </w:r>
            <w:r w:rsidRPr="00A4536F">
              <w:rPr>
                <w:rFonts w:cs="Calibri"/>
                <w:color w:val="auto"/>
                <w:szCs w:val="18"/>
              </w:rPr>
              <w:t>–</w:t>
            </w:r>
            <w:r w:rsidRPr="00A4536F">
              <w:rPr>
                <w:rFonts w:cs="Calibri"/>
                <w:color w:val="auto"/>
                <w:spacing w:val="-12"/>
                <w:szCs w:val="18"/>
              </w:rPr>
              <w:t xml:space="preserve"> </w:t>
            </w:r>
            <w:r w:rsidRPr="00A4536F">
              <w:rPr>
                <w:rFonts w:cs="Calibri"/>
                <w:color w:val="auto"/>
                <w:szCs w:val="18"/>
              </w:rPr>
              <w:t>across</w:t>
            </w:r>
            <w:r w:rsidRPr="00A4536F">
              <w:rPr>
                <w:rFonts w:cs="Calibri"/>
                <w:color w:val="auto"/>
                <w:spacing w:val="-11"/>
                <w:szCs w:val="18"/>
              </w:rPr>
              <w:t xml:space="preserve"> </w:t>
            </w:r>
            <w:r w:rsidRPr="00A4536F">
              <w:rPr>
                <w:rFonts w:cs="Calibri"/>
                <w:color w:val="auto"/>
                <w:szCs w:val="18"/>
              </w:rPr>
              <w:t>data</w:t>
            </w:r>
            <w:r w:rsidRPr="00A4536F">
              <w:rPr>
                <w:rFonts w:cs="Calibri"/>
                <w:color w:val="auto"/>
                <w:spacing w:val="-11"/>
                <w:szCs w:val="18"/>
              </w:rPr>
              <w:t xml:space="preserve"> </w:t>
            </w:r>
            <w:r w:rsidRPr="00A4536F">
              <w:rPr>
                <w:rFonts w:cs="Calibri"/>
                <w:color w:val="auto"/>
                <w:szCs w:val="18"/>
              </w:rPr>
              <w:t>sources</w:t>
            </w:r>
            <w:r w:rsidRPr="00A4536F">
              <w:rPr>
                <w:rFonts w:cs="Calibri"/>
                <w:color w:val="auto"/>
                <w:spacing w:val="-11"/>
                <w:szCs w:val="18"/>
              </w:rPr>
              <w:t xml:space="preserve"> </w:t>
            </w:r>
            <w:r w:rsidRPr="00A4536F">
              <w:rPr>
                <w:rFonts w:cs="Calibri"/>
                <w:color w:val="auto"/>
                <w:szCs w:val="18"/>
              </w:rPr>
              <w:t>there</w:t>
            </w:r>
            <w:r w:rsidRPr="00A4536F">
              <w:rPr>
                <w:rFonts w:cs="Calibri"/>
                <w:color w:val="auto"/>
                <w:spacing w:val="-11"/>
                <w:szCs w:val="18"/>
              </w:rPr>
              <w:t xml:space="preserve"> </w:t>
            </w:r>
            <w:r w:rsidRPr="00A4536F">
              <w:rPr>
                <w:rFonts w:cs="Calibri"/>
                <w:color w:val="auto"/>
                <w:szCs w:val="18"/>
              </w:rPr>
              <w:t>is</w:t>
            </w:r>
            <w:r w:rsidRPr="00A4536F">
              <w:rPr>
                <w:rFonts w:cs="Calibri"/>
                <w:color w:val="auto"/>
                <w:spacing w:val="-11"/>
                <w:szCs w:val="18"/>
              </w:rPr>
              <w:t xml:space="preserve"> </w:t>
            </w:r>
            <w:r w:rsidRPr="00A4536F">
              <w:rPr>
                <w:rFonts w:cs="Calibri"/>
                <w:color w:val="auto"/>
                <w:szCs w:val="18"/>
              </w:rPr>
              <w:t xml:space="preserve">limited </w:t>
            </w:r>
            <w:r w:rsidRPr="00A4536F">
              <w:rPr>
                <w:rFonts w:cs="Calibri"/>
                <w:color w:val="auto"/>
                <w:w w:val="90"/>
                <w:szCs w:val="18"/>
              </w:rPr>
              <w:t xml:space="preserve">evidence </w:t>
            </w:r>
            <w:r w:rsidRPr="00A4536F">
              <w:rPr>
                <w:rFonts w:cs="Calibri"/>
                <w:color w:val="auto"/>
                <w:spacing w:val="-2"/>
                <w:szCs w:val="18"/>
              </w:rPr>
              <w:t>to</w:t>
            </w:r>
            <w:r w:rsidRPr="00A4536F">
              <w:rPr>
                <w:rFonts w:cs="Calibri"/>
                <w:color w:val="auto"/>
                <w:spacing w:val="-9"/>
                <w:szCs w:val="18"/>
              </w:rPr>
              <w:t xml:space="preserve"> </w:t>
            </w:r>
            <w:r w:rsidRPr="00A4536F">
              <w:rPr>
                <w:rFonts w:cs="Calibri"/>
                <w:color w:val="auto"/>
                <w:spacing w:val="-2"/>
                <w:szCs w:val="18"/>
              </w:rPr>
              <w:t>show</w:t>
            </w:r>
            <w:r w:rsidRPr="00A4536F">
              <w:rPr>
                <w:rFonts w:cs="Calibri"/>
                <w:color w:val="auto"/>
                <w:spacing w:val="-9"/>
                <w:szCs w:val="18"/>
              </w:rPr>
              <w:t xml:space="preserve"> </w:t>
            </w:r>
            <w:r w:rsidRPr="00A4536F">
              <w:rPr>
                <w:rFonts w:cs="Calibri"/>
                <w:color w:val="auto"/>
                <w:spacing w:val="-2"/>
                <w:szCs w:val="18"/>
              </w:rPr>
              <w:t>that</w:t>
            </w:r>
            <w:r w:rsidRPr="00A4536F">
              <w:rPr>
                <w:rFonts w:cs="Calibri"/>
                <w:color w:val="auto"/>
                <w:spacing w:val="-9"/>
                <w:szCs w:val="18"/>
              </w:rPr>
              <w:t xml:space="preserve"> </w:t>
            </w:r>
            <w:r w:rsidRPr="00A4536F">
              <w:rPr>
                <w:rFonts w:cs="Calibri"/>
                <w:color w:val="auto"/>
                <w:spacing w:val="-2"/>
                <w:szCs w:val="18"/>
              </w:rPr>
              <w:t>the</w:t>
            </w:r>
            <w:r w:rsidRPr="00A4536F">
              <w:rPr>
                <w:rFonts w:cs="Calibri"/>
                <w:color w:val="auto"/>
                <w:spacing w:val="-9"/>
                <w:szCs w:val="18"/>
              </w:rPr>
              <w:t xml:space="preserve"> </w:t>
            </w:r>
            <w:r w:rsidRPr="00A4536F">
              <w:rPr>
                <w:rFonts w:cs="Calibri"/>
                <w:color w:val="auto"/>
                <w:spacing w:val="-2"/>
                <w:szCs w:val="18"/>
              </w:rPr>
              <w:t>activity</w:t>
            </w:r>
            <w:r w:rsidRPr="00A4536F">
              <w:rPr>
                <w:rFonts w:cs="Calibri"/>
                <w:color w:val="auto"/>
                <w:spacing w:val="-9"/>
                <w:szCs w:val="18"/>
              </w:rPr>
              <w:t xml:space="preserve"> </w:t>
            </w:r>
            <w:r w:rsidRPr="00A4536F">
              <w:rPr>
                <w:rFonts w:cs="Calibri"/>
                <w:color w:val="auto"/>
                <w:spacing w:val="-2"/>
                <w:szCs w:val="18"/>
              </w:rPr>
              <w:t>is</w:t>
            </w:r>
            <w:r w:rsidRPr="00A4536F">
              <w:rPr>
                <w:rFonts w:cs="Calibri"/>
                <w:color w:val="auto"/>
                <w:spacing w:val="-9"/>
                <w:szCs w:val="18"/>
              </w:rPr>
              <w:t xml:space="preserve"> </w:t>
            </w:r>
            <w:r w:rsidRPr="00A4536F">
              <w:rPr>
                <w:rFonts w:cs="Calibri"/>
                <w:color w:val="auto"/>
                <w:spacing w:val="-2"/>
                <w:szCs w:val="18"/>
              </w:rPr>
              <w:t xml:space="preserve">a </w:t>
            </w:r>
            <w:r w:rsidRPr="00A4536F">
              <w:rPr>
                <w:rFonts w:cs="Calibri"/>
                <w:color w:val="auto"/>
                <w:szCs w:val="18"/>
              </w:rPr>
              <w:t>significant</w:t>
            </w:r>
            <w:r w:rsidRPr="00A4536F">
              <w:rPr>
                <w:rFonts w:cs="Calibri"/>
                <w:color w:val="auto"/>
                <w:spacing w:val="-15"/>
                <w:szCs w:val="18"/>
              </w:rPr>
              <w:t xml:space="preserve"> </w:t>
            </w:r>
            <w:r w:rsidRPr="00A4536F">
              <w:rPr>
                <w:rFonts w:cs="Calibri"/>
                <w:color w:val="auto"/>
                <w:szCs w:val="18"/>
              </w:rPr>
              <w:t>contributor</w:t>
            </w:r>
            <w:r w:rsidRPr="00A4536F">
              <w:rPr>
                <w:rFonts w:cs="Calibri"/>
                <w:color w:val="auto"/>
                <w:spacing w:val="-12"/>
                <w:szCs w:val="18"/>
              </w:rPr>
              <w:t xml:space="preserve"> </w:t>
            </w:r>
            <w:r w:rsidRPr="00A4536F">
              <w:rPr>
                <w:rFonts w:cs="Calibri"/>
                <w:color w:val="auto"/>
                <w:szCs w:val="18"/>
              </w:rPr>
              <w:t>to</w:t>
            </w:r>
            <w:r w:rsidRPr="00A4536F">
              <w:rPr>
                <w:rFonts w:cs="Calibri"/>
                <w:color w:val="auto"/>
                <w:spacing w:val="-13"/>
                <w:szCs w:val="18"/>
              </w:rPr>
              <w:t xml:space="preserve"> </w:t>
            </w:r>
            <w:r w:rsidRPr="00A4536F">
              <w:rPr>
                <w:rFonts w:cs="Calibri"/>
                <w:color w:val="auto"/>
                <w:szCs w:val="18"/>
              </w:rPr>
              <w:t>achieving</w:t>
            </w:r>
            <w:r w:rsidRPr="00A4536F">
              <w:rPr>
                <w:rFonts w:cs="Calibri"/>
                <w:color w:val="auto"/>
                <w:spacing w:val="-12"/>
                <w:szCs w:val="18"/>
              </w:rPr>
              <w:t xml:space="preserve"> </w:t>
            </w:r>
            <w:proofErr w:type="gramStart"/>
            <w:r w:rsidRPr="00A4536F">
              <w:rPr>
                <w:rFonts w:cs="Calibri"/>
                <w:color w:val="auto"/>
                <w:szCs w:val="18"/>
              </w:rPr>
              <w:t>results</w:t>
            </w:r>
            <w:proofErr w:type="gramEnd"/>
            <w:r w:rsidRPr="00A4536F">
              <w:rPr>
                <w:rFonts w:cs="Calibri"/>
                <w:color w:val="auto"/>
                <w:szCs w:val="18"/>
              </w:rPr>
              <w:t xml:space="preserve"> </w:t>
            </w:r>
          </w:p>
          <w:p w14:paraId="364B3D0A" w14:textId="77777777" w:rsidR="00D54D66" w:rsidRPr="00A4536F" w:rsidRDefault="00D54D66" w:rsidP="00D54D66">
            <w:pPr>
              <w:spacing w:before="0" w:after="120"/>
              <w:ind w:left="110" w:right="267"/>
              <w:rPr>
                <w:rFonts w:cs="Calibri"/>
                <w:color w:val="auto"/>
                <w:szCs w:val="18"/>
              </w:rPr>
            </w:pPr>
            <w:r w:rsidRPr="00A4536F">
              <w:rPr>
                <w:rFonts w:cs="Calibri"/>
                <w:b/>
                <w:color w:val="auto"/>
                <w:szCs w:val="18"/>
              </w:rPr>
              <w:t>Medium</w:t>
            </w:r>
            <w:r w:rsidRPr="00A4536F">
              <w:rPr>
                <w:rFonts w:cs="Calibri"/>
                <w:b/>
                <w:color w:val="auto"/>
                <w:spacing w:val="-13"/>
                <w:szCs w:val="18"/>
              </w:rPr>
              <w:t xml:space="preserve"> </w:t>
            </w:r>
            <w:r w:rsidRPr="00A4536F">
              <w:rPr>
                <w:rFonts w:cs="Calibri"/>
                <w:color w:val="auto"/>
                <w:szCs w:val="18"/>
              </w:rPr>
              <w:t>–</w:t>
            </w:r>
            <w:r w:rsidRPr="00A4536F">
              <w:rPr>
                <w:rFonts w:cs="Calibri"/>
                <w:color w:val="auto"/>
                <w:spacing w:val="-9"/>
                <w:szCs w:val="18"/>
              </w:rPr>
              <w:t xml:space="preserve"> </w:t>
            </w:r>
            <w:r w:rsidRPr="00A4536F">
              <w:rPr>
                <w:rFonts w:cs="Calibri"/>
                <w:color w:val="auto"/>
                <w:szCs w:val="18"/>
              </w:rPr>
              <w:t>across</w:t>
            </w:r>
            <w:r w:rsidRPr="00A4536F">
              <w:rPr>
                <w:rFonts w:cs="Calibri"/>
                <w:color w:val="auto"/>
                <w:spacing w:val="-9"/>
                <w:szCs w:val="18"/>
              </w:rPr>
              <w:t xml:space="preserve"> </w:t>
            </w:r>
            <w:r w:rsidRPr="00A4536F">
              <w:rPr>
                <w:rFonts w:cs="Calibri"/>
                <w:color w:val="auto"/>
                <w:szCs w:val="18"/>
              </w:rPr>
              <w:t>data</w:t>
            </w:r>
            <w:r w:rsidRPr="00A4536F">
              <w:rPr>
                <w:rFonts w:cs="Calibri"/>
                <w:color w:val="auto"/>
                <w:spacing w:val="-9"/>
                <w:szCs w:val="18"/>
              </w:rPr>
              <w:t xml:space="preserve"> </w:t>
            </w:r>
            <w:r w:rsidRPr="00A4536F">
              <w:rPr>
                <w:rFonts w:cs="Calibri"/>
                <w:color w:val="auto"/>
                <w:szCs w:val="18"/>
              </w:rPr>
              <w:t>sources</w:t>
            </w:r>
            <w:r w:rsidRPr="00A4536F">
              <w:rPr>
                <w:rFonts w:cs="Calibri"/>
                <w:color w:val="auto"/>
                <w:spacing w:val="-9"/>
                <w:szCs w:val="18"/>
              </w:rPr>
              <w:t xml:space="preserve"> </w:t>
            </w:r>
            <w:r w:rsidRPr="00A4536F">
              <w:rPr>
                <w:rFonts w:cs="Calibri"/>
                <w:color w:val="auto"/>
                <w:szCs w:val="18"/>
              </w:rPr>
              <w:t>there</w:t>
            </w:r>
            <w:r w:rsidRPr="00A4536F">
              <w:rPr>
                <w:rFonts w:cs="Calibri"/>
                <w:color w:val="auto"/>
                <w:spacing w:val="-9"/>
                <w:szCs w:val="18"/>
              </w:rPr>
              <w:t xml:space="preserve"> </w:t>
            </w:r>
            <w:r w:rsidRPr="00A4536F">
              <w:rPr>
                <w:rFonts w:cs="Calibri"/>
                <w:color w:val="auto"/>
                <w:szCs w:val="18"/>
              </w:rPr>
              <w:t>is</w:t>
            </w:r>
            <w:r w:rsidRPr="00A4536F">
              <w:rPr>
                <w:rFonts w:cs="Calibri"/>
                <w:color w:val="auto"/>
                <w:spacing w:val="-9"/>
                <w:szCs w:val="18"/>
              </w:rPr>
              <w:t xml:space="preserve"> </w:t>
            </w:r>
            <w:r w:rsidRPr="00A4536F">
              <w:rPr>
                <w:rFonts w:cs="Calibri"/>
                <w:color w:val="auto"/>
                <w:szCs w:val="18"/>
              </w:rPr>
              <w:t xml:space="preserve">limited </w:t>
            </w:r>
            <w:r w:rsidRPr="00A4536F">
              <w:rPr>
                <w:rFonts w:cs="Calibri"/>
                <w:color w:val="auto"/>
                <w:spacing w:val="-2"/>
                <w:szCs w:val="18"/>
              </w:rPr>
              <w:t>evidence</w:t>
            </w:r>
            <w:r w:rsidRPr="00A4536F">
              <w:rPr>
                <w:rFonts w:cs="Calibri"/>
                <w:color w:val="auto"/>
                <w:spacing w:val="-11"/>
                <w:szCs w:val="18"/>
              </w:rPr>
              <w:t xml:space="preserve"> </w:t>
            </w:r>
            <w:r w:rsidRPr="00A4536F">
              <w:rPr>
                <w:rFonts w:cs="Calibri"/>
                <w:color w:val="auto"/>
                <w:w w:val="90"/>
                <w:szCs w:val="18"/>
              </w:rPr>
              <w:t>that the activity is</w:t>
            </w:r>
            <w:r w:rsidRPr="00A4536F">
              <w:rPr>
                <w:rFonts w:cs="Calibri"/>
                <w:color w:val="auto"/>
                <w:szCs w:val="18"/>
              </w:rPr>
              <w:t xml:space="preserve"> </w:t>
            </w:r>
            <w:r w:rsidRPr="00A4536F">
              <w:rPr>
                <w:rFonts w:cs="Calibri"/>
                <w:color w:val="auto"/>
                <w:spacing w:val="-2"/>
                <w:szCs w:val="18"/>
              </w:rPr>
              <w:t>a</w:t>
            </w:r>
            <w:r w:rsidRPr="00A4536F">
              <w:rPr>
                <w:rFonts w:cs="Calibri"/>
                <w:color w:val="auto"/>
                <w:spacing w:val="-4"/>
                <w:szCs w:val="18"/>
              </w:rPr>
              <w:t xml:space="preserve"> </w:t>
            </w:r>
            <w:r w:rsidRPr="00A4536F">
              <w:rPr>
                <w:rFonts w:cs="Calibri"/>
                <w:color w:val="auto"/>
                <w:spacing w:val="-2"/>
                <w:szCs w:val="18"/>
              </w:rPr>
              <w:t>significant</w:t>
            </w:r>
            <w:r w:rsidRPr="00A4536F">
              <w:rPr>
                <w:rFonts w:cs="Calibri"/>
                <w:color w:val="auto"/>
                <w:spacing w:val="-4"/>
                <w:szCs w:val="18"/>
              </w:rPr>
              <w:t xml:space="preserve"> </w:t>
            </w:r>
            <w:r w:rsidRPr="00A4536F">
              <w:rPr>
                <w:rFonts w:cs="Calibri"/>
                <w:color w:val="auto"/>
                <w:spacing w:val="-2"/>
                <w:szCs w:val="18"/>
              </w:rPr>
              <w:t>contributor</w:t>
            </w:r>
            <w:r w:rsidRPr="00A4536F">
              <w:rPr>
                <w:rFonts w:cs="Calibri"/>
                <w:color w:val="auto"/>
                <w:spacing w:val="-4"/>
                <w:szCs w:val="18"/>
              </w:rPr>
              <w:t xml:space="preserve"> </w:t>
            </w:r>
            <w:r w:rsidRPr="00A4536F">
              <w:rPr>
                <w:rFonts w:cs="Calibri"/>
                <w:color w:val="auto"/>
                <w:spacing w:val="-2"/>
                <w:szCs w:val="18"/>
              </w:rPr>
              <w:t>to</w:t>
            </w:r>
            <w:r w:rsidRPr="00A4536F">
              <w:rPr>
                <w:rFonts w:cs="Calibri"/>
                <w:color w:val="auto"/>
                <w:spacing w:val="-4"/>
                <w:szCs w:val="18"/>
              </w:rPr>
              <w:t xml:space="preserve"> </w:t>
            </w:r>
            <w:r w:rsidRPr="00A4536F">
              <w:rPr>
                <w:rFonts w:cs="Calibri"/>
                <w:color w:val="auto"/>
                <w:spacing w:val="-2"/>
                <w:szCs w:val="18"/>
              </w:rPr>
              <w:t>achieving</w:t>
            </w:r>
            <w:r w:rsidRPr="00A4536F">
              <w:rPr>
                <w:rFonts w:cs="Calibri"/>
                <w:color w:val="auto"/>
                <w:spacing w:val="-4"/>
                <w:szCs w:val="18"/>
              </w:rPr>
              <w:t xml:space="preserve"> </w:t>
            </w:r>
            <w:proofErr w:type="gramStart"/>
            <w:r w:rsidRPr="00A4536F">
              <w:rPr>
                <w:rFonts w:cs="Calibri"/>
                <w:color w:val="auto"/>
                <w:spacing w:val="-2"/>
                <w:szCs w:val="18"/>
              </w:rPr>
              <w:t>results</w:t>
            </w:r>
            <w:proofErr w:type="gramEnd"/>
          </w:p>
          <w:p w14:paraId="7F718098" w14:textId="77777777" w:rsidR="00D54D66" w:rsidRPr="00A4536F" w:rsidRDefault="00D54D66" w:rsidP="00D54D66">
            <w:pPr>
              <w:spacing w:before="0" w:after="120"/>
              <w:ind w:left="110" w:right="239"/>
              <w:rPr>
                <w:rFonts w:cs="Calibri"/>
                <w:color w:val="auto"/>
                <w:szCs w:val="18"/>
              </w:rPr>
            </w:pPr>
            <w:r w:rsidRPr="00A4536F">
              <w:rPr>
                <w:rFonts w:cs="Calibri"/>
                <w:b/>
                <w:color w:val="auto"/>
                <w:szCs w:val="18"/>
              </w:rPr>
              <w:t>High</w:t>
            </w:r>
            <w:r w:rsidRPr="00A4536F">
              <w:rPr>
                <w:rFonts w:cs="Calibri"/>
                <w:b/>
                <w:color w:val="auto"/>
                <w:spacing w:val="-14"/>
                <w:szCs w:val="18"/>
              </w:rPr>
              <w:t xml:space="preserve"> </w:t>
            </w:r>
            <w:r w:rsidRPr="00A4536F">
              <w:rPr>
                <w:rFonts w:cs="Calibri"/>
                <w:color w:val="auto"/>
                <w:szCs w:val="18"/>
              </w:rPr>
              <w:t>–</w:t>
            </w:r>
            <w:r w:rsidRPr="00A4536F">
              <w:rPr>
                <w:rFonts w:cs="Calibri"/>
                <w:color w:val="auto"/>
                <w:spacing w:val="-8"/>
                <w:szCs w:val="18"/>
              </w:rPr>
              <w:t xml:space="preserve"> </w:t>
            </w:r>
            <w:r w:rsidRPr="00A4536F">
              <w:rPr>
                <w:rFonts w:cs="Calibri"/>
                <w:color w:val="auto"/>
                <w:szCs w:val="18"/>
              </w:rPr>
              <w:t>It</w:t>
            </w:r>
            <w:r w:rsidRPr="00A4536F">
              <w:rPr>
                <w:rFonts w:cs="Calibri"/>
                <w:color w:val="auto"/>
                <w:spacing w:val="-9"/>
                <w:szCs w:val="18"/>
              </w:rPr>
              <w:t xml:space="preserve"> </w:t>
            </w:r>
            <w:r w:rsidRPr="00A4536F">
              <w:rPr>
                <w:rFonts w:cs="Calibri"/>
                <w:color w:val="auto"/>
                <w:szCs w:val="18"/>
              </w:rPr>
              <w:t>was</w:t>
            </w:r>
            <w:r w:rsidRPr="00A4536F">
              <w:rPr>
                <w:rFonts w:cs="Calibri"/>
                <w:color w:val="auto"/>
                <w:spacing w:val="-9"/>
                <w:szCs w:val="18"/>
              </w:rPr>
              <w:t xml:space="preserve"> </w:t>
            </w:r>
            <w:r w:rsidRPr="00A4536F">
              <w:rPr>
                <w:rFonts w:cs="Calibri"/>
                <w:color w:val="auto"/>
                <w:szCs w:val="18"/>
              </w:rPr>
              <w:t>noted</w:t>
            </w:r>
            <w:r w:rsidRPr="00A4536F">
              <w:rPr>
                <w:rFonts w:cs="Calibri"/>
                <w:color w:val="auto"/>
                <w:spacing w:val="-9"/>
                <w:szCs w:val="18"/>
              </w:rPr>
              <w:t xml:space="preserve"> </w:t>
            </w:r>
            <w:r w:rsidRPr="00A4536F">
              <w:rPr>
                <w:rFonts w:cs="Calibri"/>
                <w:color w:val="auto"/>
                <w:szCs w:val="18"/>
              </w:rPr>
              <w:t>across</w:t>
            </w:r>
            <w:r w:rsidRPr="00A4536F">
              <w:rPr>
                <w:rFonts w:cs="Calibri"/>
                <w:color w:val="auto"/>
                <w:spacing w:val="-9"/>
                <w:szCs w:val="18"/>
              </w:rPr>
              <w:t xml:space="preserve"> </w:t>
            </w:r>
            <w:r w:rsidRPr="00A4536F">
              <w:rPr>
                <w:rFonts w:cs="Calibri"/>
                <w:color w:val="auto"/>
                <w:szCs w:val="18"/>
              </w:rPr>
              <w:t>a</w:t>
            </w:r>
            <w:r w:rsidRPr="00A4536F">
              <w:rPr>
                <w:rFonts w:cs="Calibri"/>
                <w:color w:val="auto"/>
                <w:spacing w:val="-9"/>
                <w:szCs w:val="18"/>
              </w:rPr>
              <w:t xml:space="preserve"> </w:t>
            </w:r>
            <w:r w:rsidRPr="00A4536F">
              <w:rPr>
                <w:rFonts w:cs="Calibri"/>
                <w:color w:val="auto"/>
                <w:szCs w:val="18"/>
              </w:rPr>
              <w:t>range</w:t>
            </w:r>
            <w:r w:rsidRPr="00A4536F">
              <w:rPr>
                <w:rFonts w:cs="Calibri"/>
                <w:color w:val="auto"/>
                <w:spacing w:val="-9"/>
                <w:szCs w:val="18"/>
              </w:rPr>
              <w:t xml:space="preserve"> </w:t>
            </w:r>
            <w:r w:rsidRPr="00A4536F">
              <w:rPr>
                <w:rFonts w:cs="Calibri"/>
                <w:color w:val="auto"/>
                <w:szCs w:val="18"/>
              </w:rPr>
              <w:t>of</w:t>
            </w:r>
            <w:r w:rsidRPr="00A4536F">
              <w:rPr>
                <w:rFonts w:cs="Calibri"/>
                <w:color w:val="auto"/>
                <w:spacing w:val="-9"/>
                <w:szCs w:val="18"/>
              </w:rPr>
              <w:t xml:space="preserve"> </w:t>
            </w:r>
            <w:r w:rsidRPr="00A4536F">
              <w:rPr>
                <w:rFonts w:cs="Calibri"/>
                <w:color w:val="auto"/>
                <w:szCs w:val="18"/>
              </w:rPr>
              <w:t xml:space="preserve">different </w:t>
            </w:r>
            <w:r w:rsidRPr="00A4536F">
              <w:rPr>
                <w:rFonts w:cs="Calibri"/>
                <w:color w:val="auto"/>
                <w:w w:val="90"/>
                <w:szCs w:val="18"/>
              </w:rPr>
              <w:t xml:space="preserve">data sources that the activity is </w:t>
            </w:r>
            <w:r w:rsidRPr="00A4536F">
              <w:rPr>
                <w:rFonts w:cs="Calibri"/>
                <w:color w:val="auto"/>
                <w:spacing w:val="-2"/>
                <w:szCs w:val="18"/>
              </w:rPr>
              <w:t>a</w:t>
            </w:r>
            <w:r w:rsidRPr="00A4536F">
              <w:rPr>
                <w:rFonts w:cs="Calibri"/>
                <w:color w:val="auto"/>
                <w:spacing w:val="-4"/>
                <w:szCs w:val="18"/>
              </w:rPr>
              <w:t xml:space="preserve"> </w:t>
            </w:r>
            <w:r w:rsidRPr="00A4536F">
              <w:rPr>
                <w:rFonts w:cs="Calibri"/>
                <w:color w:val="auto"/>
                <w:spacing w:val="-2"/>
                <w:szCs w:val="18"/>
              </w:rPr>
              <w:t>significant</w:t>
            </w:r>
            <w:r w:rsidRPr="00A4536F">
              <w:rPr>
                <w:rFonts w:cs="Calibri"/>
                <w:color w:val="auto"/>
                <w:spacing w:val="-4"/>
                <w:szCs w:val="18"/>
              </w:rPr>
              <w:t xml:space="preserve"> </w:t>
            </w:r>
            <w:r w:rsidRPr="00A4536F">
              <w:rPr>
                <w:rFonts w:cs="Calibri"/>
                <w:color w:val="auto"/>
                <w:spacing w:val="-2"/>
                <w:szCs w:val="18"/>
              </w:rPr>
              <w:t>contributor</w:t>
            </w:r>
            <w:r w:rsidRPr="00A4536F">
              <w:rPr>
                <w:rFonts w:cs="Calibri"/>
                <w:color w:val="auto"/>
                <w:spacing w:val="-4"/>
                <w:szCs w:val="18"/>
              </w:rPr>
              <w:t xml:space="preserve"> </w:t>
            </w:r>
            <w:r w:rsidRPr="00A4536F">
              <w:rPr>
                <w:rFonts w:cs="Calibri"/>
                <w:color w:val="auto"/>
                <w:spacing w:val="-2"/>
                <w:szCs w:val="18"/>
              </w:rPr>
              <w:t>to</w:t>
            </w:r>
            <w:r w:rsidRPr="00A4536F">
              <w:rPr>
                <w:rFonts w:cs="Calibri"/>
                <w:color w:val="auto"/>
                <w:spacing w:val="-4"/>
                <w:szCs w:val="18"/>
              </w:rPr>
              <w:t xml:space="preserve"> </w:t>
            </w:r>
            <w:r w:rsidRPr="00A4536F">
              <w:rPr>
                <w:rFonts w:cs="Calibri"/>
                <w:color w:val="auto"/>
                <w:spacing w:val="-2"/>
                <w:szCs w:val="18"/>
              </w:rPr>
              <w:t>achieving</w:t>
            </w:r>
            <w:r w:rsidRPr="00A4536F">
              <w:rPr>
                <w:rFonts w:cs="Calibri"/>
                <w:color w:val="auto"/>
                <w:spacing w:val="-4"/>
                <w:szCs w:val="18"/>
              </w:rPr>
              <w:t xml:space="preserve"> </w:t>
            </w:r>
            <w:r w:rsidRPr="00A4536F">
              <w:rPr>
                <w:rFonts w:cs="Calibri"/>
                <w:color w:val="auto"/>
                <w:spacing w:val="-2"/>
                <w:szCs w:val="18"/>
              </w:rPr>
              <w:t>results</w:t>
            </w:r>
          </w:p>
        </w:tc>
      </w:tr>
      <w:tr w:rsidR="00D54D66" w:rsidRPr="00A4536F" w14:paraId="66E19829" w14:textId="77777777" w:rsidTr="00D54D66">
        <w:tc>
          <w:tcPr>
            <w:tcW w:w="1230" w:type="dxa"/>
          </w:tcPr>
          <w:p w14:paraId="23ADFBB0" w14:textId="77777777" w:rsidR="00D54D66" w:rsidRPr="00A4536F" w:rsidRDefault="00D54D66" w:rsidP="00D54D66">
            <w:pPr>
              <w:pStyle w:val="BodyText"/>
              <w:spacing w:before="0"/>
              <w:rPr>
                <w:rFonts w:cs="Calibri"/>
                <w:color w:val="auto"/>
                <w:szCs w:val="18"/>
              </w:rPr>
            </w:pPr>
            <w:r w:rsidRPr="00A4536F">
              <w:rPr>
                <w:rFonts w:cs="Calibri"/>
                <w:color w:val="auto"/>
                <w:spacing w:val="-2"/>
                <w:szCs w:val="18"/>
              </w:rPr>
              <w:t>Prevalence</w:t>
            </w:r>
          </w:p>
        </w:tc>
        <w:tc>
          <w:tcPr>
            <w:tcW w:w="3081" w:type="dxa"/>
          </w:tcPr>
          <w:p w14:paraId="649D5AC3" w14:textId="77777777" w:rsidR="00D54D66" w:rsidRPr="00A4536F" w:rsidRDefault="00D54D66" w:rsidP="00D54D66">
            <w:pPr>
              <w:tabs>
                <w:tab w:val="left" w:pos="1690"/>
              </w:tabs>
              <w:spacing w:before="0" w:after="120"/>
              <w:rPr>
                <w:rFonts w:cs="Calibri"/>
                <w:color w:val="auto"/>
                <w:szCs w:val="18"/>
              </w:rPr>
            </w:pPr>
            <w:r w:rsidRPr="00A4536F">
              <w:rPr>
                <w:rFonts w:cs="Calibri"/>
                <w:color w:val="auto"/>
                <w:spacing w:val="-8"/>
                <w:szCs w:val="18"/>
              </w:rPr>
              <w:t>The</w:t>
            </w:r>
            <w:r w:rsidRPr="00A4536F">
              <w:rPr>
                <w:rFonts w:cs="Calibri"/>
                <w:color w:val="auto"/>
                <w:spacing w:val="-5"/>
                <w:szCs w:val="18"/>
              </w:rPr>
              <w:t xml:space="preserve"> </w:t>
            </w:r>
            <w:r w:rsidRPr="00A4536F">
              <w:rPr>
                <w:rFonts w:cs="Calibri"/>
                <w:color w:val="auto"/>
                <w:spacing w:val="-8"/>
                <w:szCs w:val="18"/>
              </w:rPr>
              <w:t>degree</w:t>
            </w:r>
            <w:r w:rsidRPr="00A4536F">
              <w:rPr>
                <w:rFonts w:cs="Calibri"/>
                <w:color w:val="auto"/>
                <w:spacing w:val="-4"/>
                <w:szCs w:val="18"/>
              </w:rPr>
              <w:t xml:space="preserve"> </w:t>
            </w:r>
            <w:r w:rsidRPr="00A4536F">
              <w:rPr>
                <w:rFonts w:cs="Calibri"/>
                <w:color w:val="auto"/>
                <w:spacing w:val="-8"/>
                <w:szCs w:val="18"/>
              </w:rPr>
              <w:t>to</w:t>
            </w:r>
            <w:r w:rsidRPr="00A4536F">
              <w:rPr>
                <w:rFonts w:cs="Calibri"/>
                <w:color w:val="auto"/>
                <w:spacing w:val="-5"/>
                <w:szCs w:val="18"/>
              </w:rPr>
              <w:t xml:space="preserve"> </w:t>
            </w:r>
            <w:r w:rsidRPr="00A4536F">
              <w:rPr>
                <w:rFonts w:cs="Calibri"/>
                <w:color w:val="auto"/>
                <w:spacing w:val="-8"/>
                <w:szCs w:val="18"/>
              </w:rPr>
              <w:t xml:space="preserve">which </w:t>
            </w:r>
            <w:r w:rsidRPr="00A4536F">
              <w:rPr>
                <w:rFonts w:cs="Calibri"/>
                <w:color w:val="auto"/>
                <w:szCs w:val="18"/>
              </w:rPr>
              <w:t>the</w:t>
            </w:r>
            <w:r w:rsidRPr="00A4536F">
              <w:rPr>
                <w:rFonts w:cs="Calibri"/>
                <w:color w:val="auto"/>
                <w:spacing w:val="-4"/>
                <w:szCs w:val="18"/>
              </w:rPr>
              <w:t xml:space="preserve"> </w:t>
            </w:r>
            <w:r w:rsidRPr="00A4536F">
              <w:rPr>
                <w:rFonts w:cs="Calibri"/>
                <w:color w:val="auto"/>
                <w:szCs w:val="18"/>
              </w:rPr>
              <w:t>activity</w:t>
            </w:r>
            <w:r w:rsidRPr="00A4536F">
              <w:rPr>
                <w:rFonts w:cs="Calibri"/>
                <w:color w:val="auto"/>
                <w:w w:val="90"/>
                <w:szCs w:val="18"/>
              </w:rPr>
              <w:t xml:space="preserve"> contributes to </w:t>
            </w:r>
            <w:r w:rsidRPr="00A4536F">
              <w:rPr>
                <w:rFonts w:cs="Calibri"/>
                <w:color w:val="auto"/>
                <w:szCs w:val="18"/>
              </w:rPr>
              <w:t>the outcomes of interest across</w:t>
            </w:r>
            <w:r w:rsidRPr="00A4536F">
              <w:rPr>
                <w:rFonts w:cs="Calibri"/>
                <w:color w:val="auto"/>
                <w:spacing w:val="-5"/>
                <w:szCs w:val="18"/>
              </w:rPr>
              <w:t xml:space="preserve"> </w:t>
            </w:r>
            <w:r w:rsidRPr="00A4536F">
              <w:rPr>
                <w:rFonts w:cs="Calibri"/>
                <w:color w:val="auto"/>
                <w:szCs w:val="18"/>
              </w:rPr>
              <w:t>a</w:t>
            </w:r>
            <w:r w:rsidRPr="00A4536F">
              <w:rPr>
                <w:rFonts w:cs="Calibri"/>
                <w:color w:val="auto"/>
                <w:spacing w:val="-5"/>
                <w:szCs w:val="18"/>
              </w:rPr>
              <w:t xml:space="preserve"> </w:t>
            </w:r>
            <w:r w:rsidRPr="00A4536F">
              <w:rPr>
                <w:rFonts w:cs="Calibri"/>
                <w:color w:val="auto"/>
                <w:szCs w:val="18"/>
              </w:rPr>
              <w:t>wide</w:t>
            </w:r>
            <w:r w:rsidRPr="00A4536F">
              <w:rPr>
                <w:rFonts w:cs="Calibri"/>
                <w:color w:val="auto"/>
                <w:spacing w:val="-5"/>
                <w:szCs w:val="18"/>
              </w:rPr>
              <w:t xml:space="preserve"> </w:t>
            </w:r>
            <w:r w:rsidRPr="00A4536F">
              <w:rPr>
                <w:rFonts w:cs="Calibri"/>
                <w:color w:val="auto"/>
                <w:szCs w:val="18"/>
              </w:rPr>
              <w:t>range</w:t>
            </w:r>
            <w:r w:rsidRPr="00A4536F">
              <w:rPr>
                <w:rFonts w:cs="Calibri"/>
                <w:color w:val="auto"/>
                <w:spacing w:val="-5"/>
                <w:szCs w:val="18"/>
              </w:rPr>
              <w:t xml:space="preserve"> </w:t>
            </w:r>
            <w:r w:rsidRPr="00A4536F">
              <w:rPr>
                <w:rFonts w:cs="Calibri"/>
                <w:color w:val="auto"/>
                <w:szCs w:val="18"/>
              </w:rPr>
              <w:t>of implementation sites</w:t>
            </w:r>
          </w:p>
        </w:tc>
        <w:tc>
          <w:tcPr>
            <w:tcW w:w="4761" w:type="dxa"/>
          </w:tcPr>
          <w:p w14:paraId="03AFE427" w14:textId="77777777" w:rsidR="00D54D66" w:rsidRPr="00A4536F" w:rsidRDefault="00D54D66" w:rsidP="00D54D66">
            <w:pPr>
              <w:spacing w:before="0" w:after="120"/>
              <w:ind w:left="110" w:right="409"/>
              <w:rPr>
                <w:rFonts w:cs="Calibri"/>
                <w:color w:val="auto"/>
                <w:szCs w:val="18"/>
              </w:rPr>
            </w:pPr>
            <w:r w:rsidRPr="00A4536F">
              <w:rPr>
                <w:rFonts w:cs="Calibri"/>
                <w:b/>
                <w:color w:val="auto"/>
                <w:w w:val="90"/>
                <w:szCs w:val="18"/>
              </w:rPr>
              <w:t xml:space="preserve">Low </w:t>
            </w:r>
            <w:r w:rsidRPr="00A4536F">
              <w:rPr>
                <w:rFonts w:cs="Calibri"/>
                <w:color w:val="auto"/>
                <w:w w:val="90"/>
                <w:szCs w:val="18"/>
              </w:rPr>
              <w:t>– activity affects limited implementation sites (less than a quarter sites</w:t>
            </w:r>
            <w:r w:rsidRPr="00A4536F">
              <w:rPr>
                <w:rFonts w:cs="Calibri"/>
                <w:color w:val="auto"/>
                <w:spacing w:val="-2"/>
                <w:szCs w:val="18"/>
              </w:rPr>
              <w:t>)</w:t>
            </w:r>
          </w:p>
          <w:p w14:paraId="0DD06292" w14:textId="77777777" w:rsidR="00D54D66" w:rsidRPr="00A4536F" w:rsidRDefault="00D54D66" w:rsidP="00D54D66">
            <w:pPr>
              <w:spacing w:before="0" w:after="120"/>
              <w:ind w:left="110" w:right="594"/>
              <w:rPr>
                <w:rFonts w:cs="Calibri"/>
                <w:color w:val="auto"/>
                <w:szCs w:val="18"/>
              </w:rPr>
            </w:pPr>
            <w:r w:rsidRPr="00A4536F">
              <w:rPr>
                <w:rFonts w:cs="Calibri"/>
                <w:b/>
                <w:color w:val="auto"/>
                <w:spacing w:val="-8"/>
                <w:szCs w:val="18"/>
              </w:rPr>
              <w:t>Medium</w:t>
            </w:r>
            <w:r w:rsidRPr="00A4536F">
              <w:rPr>
                <w:rFonts w:cs="Calibri"/>
                <w:b/>
                <w:color w:val="auto"/>
                <w:spacing w:val="-3"/>
                <w:szCs w:val="18"/>
              </w:rPr>
              <w:t xml:space="preserve"> </w:t>
            </w:r>
            <w:r w:rsidRPr="00A4536F">
              <w:rPr>
                <w:rFonts w:cs="Calibri"/>
                <w:color w:val="auto"/>
                <w:spacing w:val="-8"/>
                <w:szCs w:val="18"/>
              </w:rPr>
              <w:t>–</w:t>
            </w:r>
            <w:r w:rsidRPr="00A4536F">
              <w:rPr>
                <w:rFonts w:cs="Calibri"/>
                <w:color w:val="auto"/>
                <w:szCs w:val="18"/>
              </w:rPr>
              <w:t xml:space="preserve"> </w:t>
            </w:r>
            <w:r w:rsidRPr="00A4536F">
              <w:rPr>
                <w:rFonts w:cs="Calibri"/>
                <w:color w:val="auto"/>
                <w:spacing w:val="-8"/>
                <w:szCs w:val="18"/>
              </w:rPr>
              <w:t>activity</w:t>
            </w:r>
            <w:r w:rsidRPr="00A4536F">
              <w:rPr>
                <w:rFonts w:cs="Calibri"/>
                <w:color w:val="auto"/>
                <w:szCs w:val="18"/>
              </w:rPr>
              <w:t xml:space="preserve"> </w:t>
            </w:r>
            <w:r w:rsidRPr="00A4536F">
              <w:rPr>
                <w:rFonts w:cs="Calibri"/>
                <w:color w:val="auto"/>
                <w:spacing w:val="-8"/>
                <w:szCs w:val="18"/>
              </w:rPr>
              <w:t xml:space="preserve">affects </w:t>
            </w:r>
            <w:r w:rsidRPr="00A4536F">
              <w:rPr>
                <w:rFonts w:cs="Calibri"/>
                <w:color w:val="auto"/>
                <w:spacing w:val="-2"/>
                <w:szCs w:val="18"/>
              </w:rPr>
              <w:t>a</w:t>
            </w:r>
            <w:r w:rsidRPr="00A4536F">
              <w:rPr>
                <w:rFonts w:cs="Calibri"/>
                <w:color w:val="auto"/>
                <w:spacing w:val="-5"/>
                <w:szCs w:val="18"/>
              </w:rPr>
              <w:t xml:space="preserve"> </w:t>
            </w:r>
            <w:r w:rsidRPr="00A4536F">
              <w:rPr>
                <w:rFonts w:cs="Calibri"/>
                <w:color w:val="auto"/>
                <w:spacing w:val="-2"/>
                <w:szCs w:val="18"/>
              </w:rPr>
              <w:t>range</w:t>
            </w:r>
            <w:r w:rsidRPr="00A4536F">
              <w:rPr>
                <w:rFonts w:cs="Calibri"/>
                <w:color w:val="auto"/>
                <w:spacing w:val="-5"/>
                <w:szCs w:val="18"/>
              </w:rPr>
              <w:t xml:space="preserve"> </w:t>
            </w:r>
            <w:r w:rsidRPr="00A4536F">
              <w:rPr>
                <w:rFonts w:cs="Calibri"/>
                <w:color w:val="auto"/>
                <w:spacing w:val="-2"/>
                <w:szCs w:val="18"/>
              </w:rPr>
              <w:t>of</w:t>
            </w:r>
            <w:r w:rsidRPr="00A4536F">
              <w:rPr>
                <w:rFonts w:cs="Calibri"/>
                <w:color w:val="auto"/>
                <w:spacing w:val="-5"/>
                <w:szCs w:val="18"/>
              </w:rPr>
              <w:t xml:space="preserve"> </w:t>
            </w:r>
            <w:r w:rsidRPr="00A4536F">
              <w:rPr>
                <w:rFonts w:cs="Calibri"/>
                <w:color w:val="auto"/>
                <w:spacing w:val="-2"/>
                <w:szCs w:val="18"/>
              </w:rPr>
              <w:t>different</w:t>
            </w:r>
            <w:r w:rsidRPr="00A4536F">
              <w:rPr>
                <w:rFonts w:cs="Calibri"/>
                <w:color w:val="auto"/>
                <w:spacing w:val="-5"/>
                <w:szCs w:val="18"/>
              </w:rPr>
              <w:t xml:space="preserve"> </w:t>
            </w:r>
            <w:r w:rsidRPr="00A4536F">
              <w:rPr>
                <w:rFonts w:cs="Calibri"/>
                <w:color w:val="auto"/>
                <w:spacing w:val="-2"/>
                <w:szCs w:val="18"/>
              </w:rPr>
              <w:t>implementation</w:t>
            </w:r>
            <w:r w:rsidRPr="00A4536F">
              <w:rPr>
                <w:rFonts w:cs="Calibri"/>
                <w:color w:val="auto"/>
                <w:spacing w:val="-5"/>
                <w:szCs w:val="18"/>
              </w:rPr>
              <w:t xml:space="preserve"> </w:t>
            </w:r>
            <w:r w:rsidRPr="00A4536F">
              <w:rPr>
                <w:rFonts w:cs="Calibri"/>
                <w:color w:val="auto"/>
                <w:spacing w:val="-2"/>
                <w:szCs w:val="18"/>
              </w:rPr>
              <w:t xml:space="preserve">sites </w:t>
            </w:r>
            <w:r w:rsidRPr="00A4536F">
              <w:rPr>
                <w:rFonts w:cs="Calibri"/>
                <w:color w:val="auto"/>
                <w:szCs w:val="18"/>
              </w:rPr>
              <w:t>(approximately half)</w:t>
            </w:r>
          </w:p>
          <w:p w14:paraId="0E622993" w14:textId="77777777" w:rsidR="00D54D66" w:rsidRPr="00A4536F" w:rsidRDefault="00D54D66" w:rsidP="00D54D66">
            <w:pPr>
              <w:spacing w:before="0" w:after="120"/>
              <w:ind w:left="110" w:right="257"/>
              <w:rPr>
                <w:rFonts w:cs="Calibri"/>
                <w:color w:val="auto"/>
                <w:szCs w:val="18"/>
              </w:rPr>
            </w:pPr>
            <w:r w:rsidRPr="00A4536F">
              <w:rPr>
                <w:rFonts w:cs="Calibri"/>
                <w:b/>
                <w:color w:val="auto"/>
                <w:spacing w:val="-2"/>
                <w:szCs w:val="18"/>
              </w:rPr>
              <w:t>High</w:t>
            </w:r>
            <w:r w:rsidRPr="00A4536F">
              <w:rPr>
                <w:rFonts w:cs="Calibri"/>
                <w:b/>
                <w:color w:val="auto"/>
                <w:spacing w:val="-12"/>
                <w:szCs w:val="18"/>
              </w:rPr>
              <w:t xml:space="preserve"> </w:t>
            </w:r>
            <w:r w:rsidRPr="00A4536F">
              <w:rPr>
                <w:rFonts w:cs="Calibri"/>
                <w:color w:val="auto"/>
                <w:spacing w:val="-2"/>
                <w:szCs w:val="18"/>
              </w:rPr>
              <w:t>–</w:t>
            </w:r>
            <w:r w:rsidRPr="00A4536F">
              <w:rPr>
                <w:rFonts w:cs="Calibri"/>
                <w:color w:val="auto"/>
                <w:spacing w:val="-9"/>
                <w:szCs w:val="18"/>
              </w:rPr>
              <w:t xml:space="preserve"> </w:t>
            </w:r>
            <w:r w:rsidRPr="00A4536F">
              <w:rPr>
                <w:rFonts w:cs="Calibri"/>
                <w:color w:val="auto"/>
                <w:spacing w:val="-2"/>
                <w:szCs w:val="18"/>
              </w:rPr>
              <w:t>activity</w:t>
            </w:r>
            <w:r w:rsidRPr="00A4536F">
              <w:rPr>
                <w:rFonts w:cs="Calibri"/>
                <w:color w:val="auto"/>
                <w:spacing w:val="-8"/>
                <w:szCs w:val="18"/>
              </w:rPr>
              <w:t xml:space="preserve"> </w:t>
            </w:r>
            <w:r w:rsidRPr="00A4536F">
              <w:rPr>
                <w:rFonts w:cs="Calibri"/>
                <w:color w:val="auto"/>
                <w:spacing w:val="-2"/>
                <w:szCs w:val="18"/>
              </w:rPr>
              <w:t>affects</w:t>
            </w:r>
            <w:r w:rsidRPr="00A4536F">
              <w:rPr>
                <w:rFonts w:cs="Calibri"/>
                <w:color w:val="auto"/>
                <w:spacing w:val="-8"/>
                <w:szCs w:val="18"/>
              </w:rPr>
              <w:t xml:space="preserve"> </w:t>
            </w:r>
            <w:proofErr w:type="gramStart"/>
            <w:r w:rsidRPr="00A4536F">
              <w:rPr>
                <w:rFonts w:cs="Calibri"/>
                <w:color w:val="auto"/>
                <w:spacing w:val="-2"/>
                <w:szCs w:val="18"/>
              </w:rPr>
              <w:t xml:space="preserve">a </w:t>
            </w:r>
            <w:r w:rsidRPr="00A4536F">
              <w:rPr>
                <w:rFonts w:cs="Calibri"/>
                <w:color w:val="auto"/>
                <w:szCs w:val="18"/>
              </w:rPr>
              <w:t>majority</w:t>
            </w:r>
            <w:r w:rsidRPr="00A4536F">
              <w:rPr>
                <w:rFonts w:cs="Calibri"/>
                <w:color w:val="auto"/>
                <w:spacing w:val="-13"/>
                <w:szCs w:val="18"/>
              </w:rPr>
              <w:t xml:space="preserve"> </w:t>
            </w:r>
            <w:r w:rsidRPr="00A4536F">
              <w:rPr>
                <w:rFonts w:cs="Calibri"/>
                <w:color w:val="auto"/>
                <w:szCs w:val="18"/>
              </w:rPr>
              <w:t>of</w:t>
            </w:r>
            <w:proofErr w:type="gramEnd"/>
            <w:r w:rsidRPr="00A4536F">
              <w:rPr>
                <w:rFonts w:cs="Calibri"/>
                <w:color w:val="auto"/>
                <w:spacing w:val="-12"/>
                <w:szCs w:val="18"/>
              </w:rPr>
              <w:t xml:space="preserve"> </w:t>
            </w:r>
            <w:r w:rsidRPr="00A4536F">
              <w:rPr>
                <w:rFonts w:cs="Calibri"/>
                <w:color w:val="auto"/>
                <w:szCs w:val="18"/>
              </w:rPr>
              <w:t>implementation</w:t>
            </w:r>
            <w:r w:rsidRPr="00A4536F">
              <w:rPr>
                <w:rFonts w:cs="Calibri"/>
                <w:color w:val="auto"/>
                <w:spacing w:val="-13"/>
                <w:szCs w:val="18"/>
              </w:rPr>
              <w:t xml:space="preserve"> </w:t>
            </w:r>
            <w:r w:rsidRPr="00A4536F">
              <w:rPr>
                <w:rFonts w:cs="Calibri"/>
                <w:color w:val="auto"/>
                <w:szCs w:val="18"/>
              </w:rPr>
              <w:t>sites</w:t>
            </w:r>
            <w:r w:rsidRPr="00A4536F">
              <w:rPr>
                <w:rFonts w:cs="Calibri"/>
                <w:color w:val="auto"/>
                <w:spacing w:val="-12"/>
                <w:szCs w:val="18"/>
              </w:rPr>
              <w:t xml:space="preserve"> </w:t>
            </w:r>
            <w:r w:rsidRPr="00A4536F">
              <w:rPr>
                <w:rFonts w:cs="Calibri"/>
                <w:color w:val="auto"/>
                <w:szCs w:val="18"/>
              </w:rPr>
              <w:t>across</w:t>
            </w:r>
            <w:r w:rsidRPr="00A4536F">
              <w:rPr>
                <w:rFonts w:cs="Calibri"/>
                <w:color w:val="auto"/>
                <w:spacing w:val="-13"/>
                <w:szCs w:val="18"/>
              </w:rPr>
              <w:t xml:space="preserve"> FSL sites</w:t>
            </w:r>
          </w:p>
        </w:tc>
      </w:tr>
      <w:tr w:rsidR="00D54D66" w:rsidRPr="00A4536F" w14:paraId="552D2F9B" w14:textId="77777777" w:rsidTr="00D54D66">
        <w:tc>
          <w:tcPr>
            <w:tcW w:w="1230" w:type="dxa"/>
          </w:tcPr>
          <w:p w14:paraId="779739BA" w14:textId="77777777" w:rsidR="00D54D66" w:rsidRPr="00A4536F" w:rsidRDefault="00D54D66" w:rsidP="00D54D66">
            <w:pPr>
              <w:pStyle w:val="BodyText"/>
              <w:spacing w:before="0"/>
              <w:rPr>
                <w:rFonts w:cs="Calibri"/>
                <w:color w:val="auto"/>
                <w:szCs w:val="18"/>
              </w:rPr>
            </w:pPr>
            <w:r w:rsidRPr="00A4536F">
              <w:rPr>
                <w:rFonts w:cs="Calibri"/>
                <w:color w:val="auto"/>
                <w:spacing w:val="-2"/>
                <w:szCs w:val="18"/>
              </w:rPr>
              <w:t>Range</w:t>
            </w:r>
          </w:p>
        </w:tc>
        <w:tc>
          <w:tcPr>
            <w:tcW w:w="3081" w:type="dxa"/>
          </w:tcPr>
          <w:p w14:paraId="7F8E96CB" w14:textId="76FD38F5" w:rsidR="00D54D66" w:rsidRPr="00A4536F" w:rsidRDefault="00D54D66" w:rsidP="00D54D66">
            <w:pPr>
              <w:tabs>
                <w:tab w:val="left" w:pos="1690"/>
              </w:tabs>
              <w:spacing w:before="0" w:after="120"/>
              <w:ind w:right="-57"/>
              <w:rPr>
                <w:rFonts w:cs="Calibri"/>
                <w:color w:val="auto"/>
                <w:szCs w:val="18"/>
              </w:rPr>
            </w:pPr>
            <w:r w:rsidRPr="00A4536F">
              <w:rPr>
                <w:rFonts w:cs="Calibri"/>
                <w:color w:val="auto"/>
                <w:szCs w:val="18"/>
              </w:rPr>
              <w:t xml:space="preserve">The degree to which the </w:t>
            </w:r>
            <w:r w:rsidRPr="00A4536F">
              <w:rPr>
                <w:rFonts w:cs="Calibri"/>
                <w:color w:val="auto"/>
                <w:w w:val="90"/>
                <w:szCs w:val="18"/>
              </w:rPr>
              <w:t xml:space="preserve">activity </w:t>
            </w:r>
            <w:r w:rsidRPr="00A4536F">
              <w:rPr>
                <w:rFonts w:cs="Calibri"/>
                <w:color w:val="auto"/>
                <w:szCs w:val="18"/>
              </w:rPr>
              <w:t xml:space="preserve">contributes to a broad range </w:t>
            </w:r>
            <w:r w:rsidR="003A0B31">
              <w:rPr>
                <w:rFonts w:cs="Calibri"/>
                <w:color w:val="auto"/>
                <w:szCs w:val="18"/>
              </w:rPr>
              <w:t xml:space="preserve">of </w:t>
            </w:r>
            <w:r w:rsidRPr="00A4536F">
              <w:rPr>
                <w:rFonts w:cs="Calibri"/>
                <w:color w:val="auto"/>
                <w:szCs w:val="18"/>
              </w:rPr>
              <w:t>outcomes</w:t>
            </w:r>
            <w:r w:rsidRPr="00A4536F">
              <w:rPr>
                <w:rFonts w:cs="Calibri"/>
                <w:color w:val="auto"/>
                <w:spacing w:val="-13"/>
                <w:szCs w:val="18"/>
              </w:rPr>
              <w:t xml:space="preserve"> </w:t>
            </w:r>
          </w:p>
        </w:tc>
        <w:tc>
          <w:tcPr>
            <w:tcW w:w="4761" w:type="dxa"/>
          </w:tcPr>
          <w:p w14:paraId="1C3BDE43" w14:textId="77777777" w:rsidR="00D54D66" w:rsidRPr="00A4536F" w:rsidRDefault="00D54D66" w:rsidP="00D54D66">
            <w:pPr>
              <w:spacing w:before="0" w:after="120"/>
              <w:ind w:left="110" w:right="257"/>
              <w:rPr>
                <w:rFonts w:cs="Calibri"/>
                <w:color w:val="auto"/>
                <w:szCs w:val="18"/>
              </w:rPr>
            </w:pPr>
            <w:r w:rsidRPr="00A4536F">
              <w:rPr>
                <w:rFonts w:cs="Calibri"/>
                <w:b/>
                <w:color w:val="auto"/>
                <w:w w:val="90"/>
                <w:szCs w:val="18"/>
              </w:rPr>
              <w:t xml:space="preserve">Low </w:t>
            </w:r>
            <w:r w:rsidRPr="00A4536F">
              <w:rPr>
                <w:rFonts w:cs="Calibri"/>
                <w:color w:val="auto"/>
                <w:w w:val="90"/>
                <w:szCs w:val="18"/>
              </w:rPr>
              <w:t xml:space="preserve">– activity that affects one </w:t>
            </w:r>
            <w:r w:rsidRPr="00A4536F">
              <w:rPr>
                <w:rFonts w:cs="Calibri"/>
                <w:color w:val="auto"/>
                <w:szCs w:val="18"/>
              </w:rPr>
              <w:t xml:space="preserve">outcome of </w:t>
            </w:r>
            <w:proofErr w:type="gramStart"/>
            <w:r w:rsidRPr="00A4536F">
              <w:rPr>
                <w:rFonts w:cs="Calibri"/>
                <w:color w:val="auto"/>
                <w:szCs w:val="18"/>
              </w:rPr>
              <w:t>interest</w:t>
            </w:r>
            <w:proofErr w:type="gramEnd"/>
          </w:p>
          <w:p w14:paraId="3FCA7533" w14:textId="77777777" w:rsidR="00D54D66" w:rsidRPr="00A4536F" w:rsidRDefault="00D54D66" w:rsidP="00D54D66">
            <w:pPr>
              <w:spacing w:before="0" w:after="120"/>
              <w:ind w:left="110" w:right="257"/>
              <w:rPr>
                <w:rFonts w:cs="Calibri"/>
                <w:color w:val="auto"/>
                <w:szCs w:val="18"/>
              </w:rPr>
            </w:pPr>
            <w:r w:rsidRPr="00A4536F">
              <w:rPr>
                <w:rFonts w:cs="Calibri"/>
                <w:b/>
                <w:color w:val="auto"/>
                <w:spacing w:val="-6"/>
                <w:szCs w:val="18"/>
              </w:rPr>
              <w:t>Medium</w:t>
            </w:r>
            <w:r w:rsidRPr="00A4536F">
              <w:rPr>
                <w:rFonts w:cs="Calibri"/>
                <w:b/>
                <w:color w:val="auto"/>
                <w:spacing w:val="-8"/>
                <w:szCs w:val="18"/>
              </w:rPr>
              <w:t xml:space="preserve"> </w:t>
            </w:r>
            <w:r w:rsidRPr="00A4536F">
              <w:rPr>
                <w:rFonts w:cs="Calibri"/>
                <w:color w:val="auto"/>
                <w:spacing w:val="-6"/>
                <w:szCs w:val="18"/>
              </w:rPr>
              <w:t>–</w:t>
            </w:r>
            <w:r w:rsidRPr="00A4536F">
              <w:rPr>
                <w:rFonts w:cs="Calibri"/>
                <w:color w:val="auto"/>
                <w:spacing w:val="-7"/>
                <w:szCs w:val="18"/>
              </w:rPr>
              <w:t xml:space="preserve"> </w:t>
            </w:r>
            <w:r w:rsidRPr="00A4536F">
              <w:rPr>
                <w:rFonts w:cs="Calibri"/>
                <w:color w:val="auto"/>
                <w:spacing w:val="-6"/>
                <w:szCs w:val="18"/>
              </w:rPr>
              <w:t>activity that</w:t>
            </w:r>
            <w:r w:rsidRPr="00A4536F">
              <w:rPr>
                <w:rFonts w:cs="Calibri"/>
                <w:color w:val="auto"/>
                <w:spacing w:val="-7"/>
                <w:szCs w:val="18"/>
              </w:rPr>
              <w:t xml:space="preserve"> </w:t>
            </w:r>
            <w:r w:rsidRPr="00A4536F">
              <w:rPr>
                <w:rFonts w:cs="Calibri"/>
                <w:color w:val="auto"/>
                <w:spacing w:val="-6"/>
                <w:szCs w:val="18"/>
              </w:rPr>
              <w:t xml:space="preserve">affects </w:t>
            </w:r>
            <w:r w:rsidRPr="00A4536F">
              <w:rPr>
                <w:rFonts w:cs="Calibri"/>
                <w:color w:val="auto"/>
                <w:szCs w:val="18"/>
              </w:rPr>
              <w:t xml:space="preserve">half of the outcomes of </w:t>
            </w:r>
            <w:proofErr w:type="gramStart"/>
            <w:r w:rsidRPr="00A4536F">
              <w:rPr>
                <w:rFonts w:cs="Calibri"/>
                <w:color w:val="auto"/>
                <w:szCs w:val="18"/>
              </w:rPr>
              <w:t>interest</w:t>
            </w:r>
            <w:proofErr w:type="gramEnd"/>
          </w:p>
          <w:p w14:paraId="54FEFC98" w14:textId="77777777" w:rsidR="00D54D66" w:rsidRPr="00A4536F" w:rsidRDefault="00D54D66" w:rsidP="00D54D66">
            <w:pPr>
              <w:spacing w:before="0" w:after="120"/>
              <w:ind w:left="110" w:right="239"/>
              <w:rPr>
                <w:rFonts w:cs="Calibri"/>
                <w:color w:val="auto"/>
                <w:szCs w:val="18"/>
              </w:rPr>
            </w:pPr>
            <w:r w:rsidRPr="00A4536F">
              <w:rPr>
                <w:rFonts w:cs="Calibri"/>
                <w:b/>
                <w:color w:val="auto"/>
                <w:spacing w:val="-6"/>
                <w:szCs w:val="18"/>
              </w:rPr>
              <w:t>High</w:t>
            </w:r>
            <w:r w:rsidRPr="00A4536F">
              <w:rPr>
                <w:rFonts w:cs="Calibri"/>
                <w:b/>
                <w:color w:val="auto"/>
                <w:spacing w:val="-8"/>
                <w:szCs w:val="18"/>
              </w:rPr>
              <w:t xml:space="preserve"> </w:t>
            </w:r>
            <w:r w:rsidRPr="00A4536F">
              <w:rPr>
                <w:rFonts w:cs="Calibri"/>
                <w:color w:val="auto"/>
                <w:spacing w:val="-6"/>
                <w:szCs w:val="18"/>
              </w:rPr>
              <w:t>–</w:t>
            </w:r>
            <w:r w:rsidRPr="00A4536F">
              <w:rPr>
                <w:rFonts w:cs="Calibri"/>
                <w:color w:val="auto"/>
                <w:spacing w:val="-7"/>
                <w:szCs w:val="18"/>
              </w:rPr>
              <w:t xml:space="preserve"> </w:t>
            </w:r>
            <w:r w:rsidRPr="00A4536F">
              <w:rPr>
                <w:rFonts w:cs="Calibri"/>
                <w:color w:val="auto"/>
                <w:spacing w:val="-6"/>
                <w:szCs w:val="18"/>
              </w:rPr>
              <w:t>activity that</w:t>
            </w:r>
            <w:r w:rsidRPr="00A4536F">
              <w:rPr>
                <w:rFonts w:cs="Calibri"/>
                <w:color w:val="auto"/>
                <w:spacing w:val="-7"/>
                <w:szCs w:val="18"/>
              </w:rPr>
              <w:t xml:space="preserve"> </w:t>
            </w:r>
            <w:r w:rsidRPr="00A4536F">
              <w:rPr>
                <w:rFonts w:cs="Calibri"/>
                <w:color w:val="auto"/>
                <w:spacing w:val="-6"/>
                <w:szCs w:val="18"/>
              </w:rPr>
              <w:t xml:space="preserve">affect </w:t>
            </w:r>
            <w:proofErr w:type="gramStart"/>
            <w:r w:rsidRPr="00A4536F">
              <w:rPr>
                <w:rFonts w:cs="Calibri"/>
                <w:color w:val="auto"/>
                <w:spacing w:val="-6"/>
                <w:szCs w:val="18"/>
              </w:rPr>
              <w:t xml:space="preserve">the </w:t>
            </w:r>
            <w:r w:rsidRPr="00A4536F">
              <w:rPr>
                <w:rFonts w:cs="Calibri"/>
                <w:color w:val="auto"/>
                <w:szCs w:val="18"/>
              </w:rPr>
              <w:t>majority of</w:t>
            </w:r>
            <w:proofErr w:type="gramEnd"/>
            <w:r w:rsidRPr="00A4536F">
              <w:rPr>
                <w:rFonts w:cs="Calibri"/>
                <w:color w:val="auto"/>
                <w:szCs w:val="18"/>
              </w:rPr>
              <w:t xml:space="preserve"> outcomes</w:t>
            </w:r>
          </w:p>
        </w:tc>
      </w:tr>
    </w:tbl>
    <w:p w14:paraId="1F1C10F0" w14:textId="77777777" w:rsidR="00315466" w:rsidRPr="00A4536F" w:rsidRDefault="001D4E15">
      <w:pPr>
        <w:spacing w:before="0" w:after="120"/>
        <w:rPr>
          <w:rFonts w:cs="Calibri"/>
          <w:color w:val="auto"/>
          <w:szCs w:val="18"/>
        </w:rPr>
      </w:pPr>
      <w:r w:rsidRPr="00A4536F">
        <w:rPr>
          <w:rFonts w:cs="Calibri"/>
          <w:color w:val="auto"/>
          <w:szCs w:val="18"/>
        </w:rPr>
        <w:br w:type="page"/>
      </w:r>
    </w:p>
    <w:p w14:paraId="4A13BB7D" w14:textId="77777777" w:rsidR="00315466" w:rsidRDefault="001D4E15" w:rsidP="00F50637">
      <w:pPr>
        <w:pStyle w:val="Heading2"/>
        <w:spacing w:after="240"/>
        <w:rPr>
          <w:rFonts w:ascii="Verdana" w:hAnsi="Verdana"/>
          <w:sz w:val="24"/>
          <w:szCs w:val="24"/>
        </w:rPr>
      </w:pPr>
      <w:bookmarkStart w:id="242" w:name="_Toc164324054"/>
      <w:bookmarkStart w:id="243" w:name="_Toc164287015"/>
      <w:bookmarkStart w:id="244" w:name="_Toc164582605"/>
      <w:bookmarkStart w:id="245" w:name="_Toc165828014"/>
      <w:bookmarkStart w:id="246" w:name="_Toc174559923"/>
      <w:bookmarkStart w:id="247" w:name="_Toc181278070"/>
      <w:r w:rsidRPr="00434A8C">
        <w:rPr>
          <w:rFonts w:ascii="Verdana" w:hAnsi="Verdana"/>
          <w:sz w:val="24"/>
          <w:szCs w:val="24"/>
        </w:rPr>
        <w:lastRenderedPageBreak/>
        <w:t>Annex 4 Evaluation Schedule</w:t>
      </w:r>
      <w:bookmarkEnd w:id="242"/>
      <w:bookmarkEnd w:id="243"/>
      <w:bookmarkEnd w:id="244"/>
      <w:bookmarkEnd w:id="245"/>
      <w:bookmarkEnd w:id="246"/>
      <w:bookmarkEnd w:id="247"/>
    </w:p>
    <w:tbl>
      <w:tblPr>
        <w:tblStyle w:val="GridTable4-Accent12"/>
        <w:tblW w:w="9634" w:type="dxa"/>
        <w:tblLook w:val="04A0" w:firstRow="1" w:lastRow="0" w:firstColumn="1" w:lastColumn="0" w:noHBand="0" w:noVBand="1"/>
      </w:tblPr>
      <w:tblGrid>
        <w:gridCol w:w="2405"/>
        <w:gridCol w:w="1985"/>
        <w:gridCol w:w="5244"/>
      </w:tblGrid>
      <w:tr w:rsidR="00090EFB" w:rsidRPr="00A4536F" w14:paraId="550927DB" w14:textId="77777777" w:rsidTr="00366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720C92B5" w14:textId="77777777" w:rsidR="00315466" w:rsidRPr="00A4536F" w:rsidRDefault="001D4E15">
            <w:pPr>
              <w:spacing w:before="0" w:after="120"/>
              <w:rPr>
                <w:rFonts w:cs="Calibri"/>
                <w:color w:val="auto"/>
                <w:szCs w:val="18"/>
              </w:rPr>
            </w:pPr>
            <w:r w:rsidRPr="00A4536F">
              <w:rPr>
                <w:rFonts w:cs="Calibri"/>
                <w:color w:val="auto"/>
                <w:szCs w:val="18"/>
              </w:rPr>
              <w:t>Phases</w:t>
            </w:r>
          </w:p>
        </w:tc>
        <w:tc>
          <w:tcPr>
            <w:tcW w:w="1985" w:type="dxa"/>
            <w:shd w:val="clear" w:color="auto" w:fill="FFFFFF" w:themeFill="background1"/>
          </w:tcPr>
          <w:p w14:paraId="676523F6" w14:textId="77777777" w:rsidR="00315466" w:rsidRPr="00A4536F" w:rsidRDefault="001D4E15">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Dates</w:t>
            </w:r>
          </w:p>
        </w:tc>
        <w:tc>
          <w:tcPr>
            <w:tcW w:w="5244" w:type="dxa"/>
            <w:shd w:val="clear" w:color="auto" w:fill="FFFFFF" w:themeFill="background1"/>
          </w:tcPr>
          <w:p w14:paraId="2E217819" w14:textId="77777777" w:rsidR="00315466" w:rsidRPr="00A4536F" w:rsidRDefault="001D4E15">
            <w:pPr>
              <w:spacing w:before="0" w:after="120"/>
              <w:cnfStyle w:val="100000000000" w:firstRow="1"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Activity</w:t>
            </w:r>
          </w:p>
        </w:tc>
      </w:tr>
      <w:tr w:rsidR="00090EFB" w:rsidRPr="00A4536F" w14:paraId="50FE67B8"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5B4ACF0E" w14:textId="77777777" w:rsidR="00315466" w:rsidRPr="003666FB" w:rsidRDefault="001D4E15">
            <w:pPr>
              <w:spacing w:before="0" w:after="120"/>
              <w:rPr>
                <w:rFonts w:cs="Calibri"/>
                <w:b w:val="0"/>
                <w:bCs w:val="0"/>
                <w:color w:val="auto"/>
                <w:szCs w:val="18"/>
              </w:rPr>
            </w:pPr>
            <w:r w:rsidRPr="003666FB">
              <w:rPr>
                <w:rFonts w:cs="Calibri"/>
                <w:b w:val="0"/>
                <w:bCs w:val="0"/>
                <w:color w:val="auto"/>
                <w:szCs w:val="18"/>
              </w:rPr>
              <w:t>Inception Phase</w:t>
            </w:r>
          </w:p>
        </w:tc>
        <w:tc>
          <w:tcPr>
            <w:tcW w:w="1985" w:type="dxa"/>
          </w:tcPr>
          <w:p w14:paraId="5FF62566" w14:textId="161B4C37" w:rsidR="00315466" w:rsidRPr="00A4536F" w:rsidRDefault="003666FB">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Pr>
                <w:rFonts w:cs="Calibri"/>
                <w:color w:val="auto"/>
                <w:szCs w:val="18"/>
              </w:rPr>
              <w:t>January</w:t>
            </w:r>
          </w:p>
        </w:tc>
        <w:tc>
          <w:tcPr>
            <w:tcW w:w="5244" w:type="dxa"/>
          </w:tcPr>
          <w:p w14:paraId="0105A7A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Initial start-up meeting with AHP</w:t>
            </w:r>
          </w:p>
        </w:tc>
      </w:tr>
      <w:tr w:rsidR="00090EFB" w:rsidRPr="00A4536F" w14:paraId="24525495"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4ADDEFCF" w14:textId="4741255C" w:rsidR="00315466" w:rsidRPr="003666FB" w:rsidRDefault="00434A8C">
            <w:pPr>
              <w:spacing w:before="0" w:after="120"/>
              <w:rPr>
                <w:rFonts w:cs="Calibri"/>
                <w:b w:val="0"/>
                <w:bCs w:val="0"/>
                <w:color w:val="auto"/>
                <w:szCs w:val="18"/>
              </w:rPr>
            </w:pPr>
            <w:r w:rsidRPr="003666FB">
              <w:rPr>
                <w:rFonts w:cs="Calibri"/>
                <w:b w:val="0"/>
                <w:bCs w:val="0"/>
                <w:color w:val="auto"/>
                <w:szCs w:val="18"/>
              </w:rPr>
              <w:t>Inception Phase</w:t>
            </w:r>
          </w:p>
        </w:tc>
        <w:tc>
          <w:tcPr>
            <w:tcW w:w="1985" w:type="dxa"/>
          </w:tcPr>
          <w:p w14:paraId="3F45C811"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w:t>
            </w:r>
            <w:r w:rsidRPr="00A4536F">
              <w:rPr>
                <w:rFonts w:cs="Calibri"/>
                <w:color w:val="auto"/>
                <w:szCs w:val="18"/>
                <w:vertAlign w:val="superscript"/>
              </w:rPr>
              <w:t>nd</w:t>
            </w:r>
            <w:r w:rsidRPr="00A4536F">
              <w:rPr>
                <w:rFonts w:cs="Calibri"/>
                <w:color w:val="auto"/>
                <w:szCs w:val="18"/>
              </w:rPr>
              <w:t xml:space="preserve"> – 15</w:t>
            </w:r>
            <w:r w:rsidRPr="00A4536F">
              <w:rPr>
                <w:rFonts w:cs="Calibri"/>
                <w:color w:val="auto"/>
                <w:szCs w:val="18"/>
                <w:vertAlign w:val="superscript"/>
              </w:rPr>
              <w:t xml:space="preserve">th </w:t>
            </w:r>
            <w:r w:rsidRPr="00A4536F">
              <w:rPr>
                <w:rFonts w:cs="Calibri"/>
                <w:color w:val="auto"/>
                <w:szCs w:val="18"/>
              </w:rPr>
              <w:t>January</w:t>
            </w:r>
          </w:p>
        </w:tc>
        <w:tc>
          <w:tcPr>
            <w:tcW w:w="5244" w:type="dxa"/>
          </w:tcPr>
          <w:p w14:paraId="7319154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Review of documents, development of the Evaluation Plan and data collection tools</w:t>
            </w:r>
          </w:p>
        </w:tc>
      </w:tr>
      <w:tr w:rsidR="00090EFB" w:rsidRPr="00A4536F" w14:paraId="4E9C88D6"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0583A17D" w14:textId="453B4578" w:rsidR="00315466" w:rsidRPr="003666FB" w:rsidRDefault="003666FB">
            <w:pPr>
              <w:spacing w:before="0" w:after="120"/>
              <w:rPr>
                <w:rFonts w:cs="Calibri"/>
                <w:b w:val="0"/>
                <w:bCs w:val="0"/>
                <w:color w:val="auto"/>
                <w:szCs w:val="18"/>
              </w:rPr>
            </w:pPr>
            <w:r w:rsidRPr="003666FB">
              <w:rPr>
                <w:rFonts w:cs="Calibri"/>
                <w:b w:val="0"/>
                <w:bCs w:val="0"/>
                <w:color w:val="auto"/>
                <w:szCs w:val="18"/>
              </w:rPr>
              <w:t>Inception Phase</w:t>
            </w:r>
          </w:p>
        </w:tc>
        <w:tc>
          <w:tcPr>
            <w:tcW w:w="1985" w:type="dxa"/>
          </w:tcPr>
          <w:p w14:paraId="25D6E53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20</w:t>
            </w:r>
            <w:r w:rsidRPr="00A4536F">
              <w:rPr>
                <w:rFonts w:cs="Calibri"/>
                <w:color w:val="auto"/>
                <w:szCs w:val="18"/>
                <w:vertAlign w:val="superscript"/>
              </w:rPr>
              <w:t>th</w:t>
            </w:r>
            <w:r w:rsidRPr="00A4536F">
              <w:rPr>
                <w:rFonts w:cs="Calibri"/>
                <w:color w:val="auto"/>
                <w:szCs w:val="18"/>
              </w:rPr>
              <w:t xml:space="preserve"> January – 20</w:t>
            </w:r>
            <w:r w:rsidRPr="00A4536F">
              <w:rPr>
                <w:rFonts w:cs="Calibri"/>
                <w:color w:val="auto"/>
                <w:szCs w:val="18"/>
                <w:vertAlign w:val="superscript"/>
              </w:rPr>
              <w:t>th</w:t>
            </w:r>
            <w:r w:rsidRPr="00A4536F">
              <w:rPr>
                <w:rFonts w:cs="Calibri"/>
                <w:color w:val="auto"/>
                <w:szCs w:val="18"/>
              </w:rPr>
              <w:t xml:space="preserve"> February</w:t>
            </w:r>
          </w:p>
        </w:tc>
        <w:tc>
          <w:tcPr>
            <w:tcW w:w="5244" w:type="dxa"/>
          </w:tcPr>
          <w:p w14:paraId="402460A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Receive and consolidate comments on the Evaluation Plan</w:t>
            </w:r>
          </w:p>
        </w:tc>
      </w:tr>
      <w:tr w:rsidR="00090EFB" w:rsidRPr="00A4536F" w14:paraId="2430B3AB"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663A4CFC" w14:textId="0DE4D727" w:rsidR="00315466" w:rsidRPr="003666FB" w:rsidRDefault="003666FB">
            <w:pPr>
              <w:spacing w:before="0" w:after="120"/>
              <w:rPr>
                <w:rFonts w:cs="Calibri"/>
                <w:b w:val="0"/>
                <w:bCs w:val="0"/>
                <w:color w:val="auto"/>
                <w:szCs w:val="18"/>
              </w:rPr>
            </w:pPr>
            <w:r w:rsidRPr="003666FB">
              <w:rPr>
                <w:rFonts w:cs="Calibri"/>
                <w:b w:val="0"/>
                <w:bCs w:val="0"/>
                <w:color w:val="auto"/>
                <w:szCs w:val="18"/>
              </w:rPr>
              <w:t>Inception Phase</w:t>
            </w:r>
          </w:p>
        </w:tc>
        <w:tc>
          <w:tcPr>
            <w:tcW w:w="1985" w:type="dxa"/>
          </w:tcPr>
          <w:p w14:paraId="65A8582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15 – 20</w:t>
            </w:r>
            <w:r w:rsidRPr="00A4536F">
              <w:rPr>
                <w:rFonts w:cs="Calibri"/>
                <w:color w:val="auto"/>
                <w:szCs w:val="18"/>
                <w:vertAlign w:val="superscript"/>
              </w:rPr>
              <w:t>th</w:t>
            </w:r>
            <w:r w:rsidRPr="00A4536F">
              <w:rPr>
                <w:rFonts w:cs="Calibri"/>
                <w:color w:val="auto"/>
                <w:szCs w:val="18"/>
              </w:rPr>
              <w:t xml:space="preserve"> February</w:t>
            </w:r>
          </w:p>
        </w:tc>
        <w:tc>
          <w:tcPr>
            <w:tcW w:w="5244" w:type="dxa"/>
          </w:tcPr>
          <w:p w14:paraId="064BC77D"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Receive Approval of Evaluation Plan and schedule</w:t>
            </w:r>
          </w:p>
        </w:tc>
      </w:tr>
      <w:tr w:rsidR="00090EFB" w:rsidRPr="00A4536F" w14:paraId="16A65224"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7B6975DE" w14:textId="1F1E9C62" w:rsidR="00315466" w:rsidRPr="003666FB" w:rsidRDefault="003666FB">
            <w:pPr>
              <w:spacing w:before="0" w:after="120"/>
              <w:rPr>
                <w:rFonts w:cs="Calibri"/>
                <w:b w:val="0"/>
                <w:bCs w:val="0"/>
                <w:color w:val="auto"/>
                <w:szCs w:val="18"/>
              </w:rPr>
            </w:pPr>
            <w:r w:rsidRPr="003666FB">
              <w:rPr>
                <w:rFonts w:cs="Calibri"/>
                <w:b w:val="0"/>
                <w:bCs w:val="0"/>
                <w:color w:val="auto"/>
                <w:szCs w:val="18"/>
              </w:rPr>
              <w:t>Inception Phase</w:t>
            </w:r>
          </w:p>
        </w:tc>
        <w:tc>
          <w:tcPr>
            <w:tcW w:w="1985" w:type="dxa"/>
          </w:tcPr>
          <w:p w14:paraId="17DBC22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6</w:t>
            </w:r>
            <w:r w:rsidRPr="00A4536F">
              <w:rPr>
                <w:rFonts w:cs="Calibri"/>
                <w:color w:val="auto"/>
                <w:szCs w:val="18"/>
                <w:vertAlign w:val="superscript"/>
              </w:rPr>
              <w:t>th</w:t>
            </w:r>
            <w:r w:rsidRPr="00A4536F">
              <w:rPr>
                <w:rFonts w:cs="Calibri"/>
                <w:color w:val="auto"/>
                <w:szCs w:val="18"/>
              </w:rPr>
              <w:t xml:space="preserve"> – 20</w:t>
            </w:r>
            <w:r w:rsidRPr="00A4536F">
              <w:rPr>
                <w:rFonts w:cs="Calibri"/>
                <w:color w:val="auto"/>
                <w:szCs w:val="18"/>
                <w:vertAlign w:val="superscript"/>
              </w:rPr>
              <w:t>th</w:t>
            </w:r>
            <w:r w:rsidRPr="00A4536F">
              <w:rPr>
                <w:rFonts w:cs="Calibri"/>
                <w:color w:val="auto"/>
                <w:szCs w:val="18"/>
              </w:rPr>
              <w:t xml:space="preserve"> February</w:t>
            </w:r>
          </w:p>
        </w:tc>
        <w:tc>
          <w:tcPr>
            <w:tcW w:w="5244" w:type="dxa"/>
          </w:tcPr>
          <w:p w14:paraId="64B5345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Establish contact with respondents and train research assistants</w:t>
            </w:r>
          </w:p>
        </w:tc>
      </w:tr>
      <w:tr w:rsidR="00090EFB" w:rsidRPr="00A4536F" w14:paraId="152038C8"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05A9E2B5" w14:textId="77777777" w:rsidR="00315466" w:rsidRPr="003666FB" w:rsidRDefault="001D4E15">
            <w:pPr>
              <w:spacing w:before="0" w:after="120"/>
              <w:rPr>
                <w:rFonts w:cs="Calibri"/>
                <w:b w:val="0"/>
                <w:bCs w:val="0"/>
                <w:color w:val="auto"/>
                <w:szCs w:val="18"/>
              </w:rPr>
            </w:pPr>
            <w:r w:rsidRPr="003666FB">
              <w:rPr>
                <w:rFonts w:cs="Calibri"/>
                <w:b w:val="0"/>
                <w:bCs w:val="0"/>
                <w:color w:val="auto"/>
                <w:szCs w:val="18"/>
              </w:rPr>
              <w:t>Data Collection Phase</w:t>
            </w:r>
          </w:p>
        </w:tc>
        <w:tc>
          <w:tcPr>
            <w:tcW w:w="1985" w:type="dxa"/>
          </w:tcPr>
          <w:p w14:paraId="616AF2F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26</w:t>
            </w:r>
            <w:r w:rsidRPr="00A4536F">
              <w:rPr>
                <w:rFonts w:cs="Calibri"/>
                <w:color w:val="auto"/>
                <w:szCs w:val="18"/>
                <w:vertAlign w:val="superscript"/>
              </w:rPr>
              <w:t>th</w:t>
            </w:r>
            <w:r w:rsidRPr="00A4536F">
              <w:rPr>
                <w:rFonts w:cs="Calibri"/>
                <w:color w:val="auto"/>
                <w:szCs w:val="18"/>
              </w:rPr>
              <w:t xml:space="preserve"> February - 29</w:t>
            </w:r>
            <w:r w:rsidRPr="00A4536F">
              <w:rPr>
                <w:rFonts w:cs="Calibri"/>
                <w:color w:val="auto"/>
                <w:szCs w:val="18"/>
                <w:vertAlign w:val="superscript"/>
              </w:rPr>
              <w:t>th</w:t>
            </w:r>
            <w:r w:rsidRPr="00A4536F">
              <w:rPr>
                <w:rFonts w:cs="Calibri"/>
                <w:color w:val="auto"/>
                <w:szCs w:val="18"/>
              </w:rPr>
              <w:t xml:space="preserve"> March    </w:t>
            </w:r>
          </w:p>
        </w:tc>
        <w:tc>
          <w:tcPr>
            <w:tcW w:w="5244" w:type="dxa"/>
          </w:tcPr>
          <w:p w14:paraId="5EF9182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Field data collection in Ethiopia and Kenya</w:t>
            </w:r>
          </w:p>
        </w:tc>
      </w:tr>
      <w:tr w:rsidR="00090EFB" w:rsidRPr="00A4536F" w14:paraId="58E8EEF9"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102F155E" w14:textId="77777777" w:rsidR="00315466" w:rsidRPr="003666FB" w:rsidRDefault="001D4E15">
            <w:pPr>
              <w:spacing w:before="0" w:after="120"/>
              <w:rPr>
                <w:rFonts w:cs="Calibri"/>
                <w:b w:val="0"/>
                <w:bCs w:val="0"/>
                <w:color w:val="auto"/>
                <w:szCs w:val="18"/>
              </w:rPr>
            </w:pPr>
            <w:r w:rsidRPr="003666FB">
              <w:rPr>
                <w:rFonts w:cs="Calibri"/>
                <w:b w:val="0"/>
                <w:bCs w:val="0"/>
                <w:color w:val="auto"/>
                <w:szCs w:val="18"/>
              </w:rPr>
              <w:t>Data Analysis and Reporting Phase</w:t>
            </w:r>
          </w:p>
        </w:tc>
        <w:tc>
          <w:tcPr>
            <w:tcW w:w="1985" w:type="dxa"/>
          </w:tcPr>
          <w:p w14:paraId="7953804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29</w:t>
            </w:r>
            <w:r w:rsidRPr="00A4536F">
              <w:rPr>
                <w:rFonts w:cs="Calibri"/>
                <w:color w:val="auto"/>
                <w:szCs w:val="18"/>
                <w:vertAlign w:val="superscript"/>
              </w:rPr>
              <w:t>th</w:t>
            </w:r>
            <w:r w:rsidRPr="00A4536F">
              <w:rPr>
                <w:rFonts w:cs="Calibri"/>
                <w:color w:val="auto"/>
                <w:szCs w:val="18"/>
              </w:rPr>
              <w:t xml:space="preserve"> – 6</w:t>
            </w:r>
            <w:r w:rsidRPr="00A4536F">
              <w:rPr>
                <w:rFonts w:cs="Calibri"/>
                <w:color w:val="auto"/>
                <w:szCs w:val="18"/>
                <w:vertAlign w:val="superscript"/>
              </w:rPr>
              <w:t>th</w:t>
            </w:r>
            <w:r w:rsidRPr="00A4536F">
              <w:rPr>
                <w:rFonts w:cs="Calibri"/>
                <w:color w:val="auto"/>
                <w:szCs w:val="18"/>
              </w:rPr>
              <w:t xml:space="preserve"> April</w:t>
            </w:r>
          </w:p>
        </w:tc>
        <w:tc>
          <w:tcPr>
            <w:tcW w:w="5244" w:type="dxa"/>
          </w:tcPr>
          <w:p w14:paraId="136D086D"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Data analysis </w:t>
            </w:r>
          </w:p>
        </w:tc>
      </w:tr>
      <w:tr w:rsidR="00090EFB" w:rsidRPr="00A4536F" w14:paraId="29CB15C0"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7B24BB31" w14:textId="361F790B" w:rsidR="00315466" w:rsidRPr="003666FB" w:rsidRDefault="003666FB">
            <w:pPr>
              <w:spacing w:before="0" w:after="120"/>
              <w:rPr>
                <w:rFonts w:cs="Calibri"/>
                <w:b w:val="0"/>
                <w:bCs w:val="0"/>
                <w:color w:val="auto"/>
                <w:szCs w:val="18"/>
              </w:rPr>
            </w:pPr>
            <w:r w:rsidRPr="003666FB">
              <w:rPr>
                <w:rFonts w:cs="Calibri"/>
                <w:b w:val="0"/>
                <w:bCs w:val="0"/>
                <w:color w:val="auto"/>
                <w:szCs w:val="18"/>
              </w:rPr>
              <w:t>Data Analysis and Reporting Phase</w:t>
            </w:r>
          </w:p>
        </w:tc>
        <w:tc>
          <w:tcPr>
            <w:tcW w:w="1985" w:type="dxa"/>
          </w:tcPr>
          <w:p w14:paraId="4B2E46D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r w:rsidRPr="00A4536F">
              <w:rPr>
                <w:rFonts w:cs="Calibri"/>
                <w:color w:val="auto"/>
                <w:szCs w:val="18"/>
                <w:vertAlign w:val="superscript"/>
              </w:rPr>
              <w:t>th</w:t>
            </w:r>
            <w:r w:rsidRPr="00A4536F">
              <w:rPr>
                <w:rFonts w:cs="Calibri"/>
                <w:color w:val="auto"/>
                <w:szCs w:val="18"/>
              </w:rPr>
              <w:t xml:space="preserve"> and 9</w:t>
            </w:r>
            <w:r w:rsidRPr="00A4536F">
              <w:rPr>
                <w:rFonts w:cs="Calibri"/>
                <w:color w:val="auto"/>
                <w:szCs w:val="18"/>
                <w:vertAlign w:val="superscript"/>
              </w:rPr>
              <w:t>th</w:t>
            </w:r>
            <w:r w:rsidRPr="00A4536F">
              <w:rPr>
                <w:rFonts w:cs="Calibri"/>
                <w:color w:val="auto"/>
                <w:szCs w:val="18"/>
              </w:rPr>
              <w:t xml:space="preserve"> April</w:t>
            </w:r>
          </w:p>
        </w:tc>
        <w:tc>
          <w:tcPr>
            <w:tcW w:w="5244" w:type="dxa"/>
          </w:tcPr>
          <w:p w14:paraId="4961035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Validation meetings with the field teams</w:t>
            </w:r>
          </w:p>
        </w:tc>
      </w:tr>
      <w:tr w:rsidR="00090EFB" w:rsidRPr="00A4536F" w14:paraId="1ED049AF"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6F0E301A" w14:textId="70737CED" w:rsidR="00315466" w:rsidRPr="003666FB" w:rsidRDefault="003666FB">
            <w:pPr>
              <w:spacing w:before="0" w:after="120"/>
              <w:rPr>
                <w:rFonts w:cs="Calibri"/>
                <w:b w:val="0"/>
                <w:bCs w:val="0"/>
                <w:color w:val="auto"/>
                <w:szCs w:val="18"/>
              </w:rPr>
            </w:pPr>
            <w:r w:rsidRPr="003666FB">
              <w:rPr>
                <w:rFonts w:cs="Calibri"/>
                <w:b w:val="0"/>
                <w:bCs w:val="0"/>
                <w:color w:val="auto"/>
                <w:szCs w:val="18"/>
              </w:rPr>
              <w:t>Data Analysis and Reporting Phase</w:t>
            </w:r>
          </w:p>
        </w:tc>
        <w:tc>
          <w:tcPr>
            <w:tcW w:w="1985" w:type="dxa"/>
          </w:tcPr>
          <w:p w14:paraId="0E584EF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10</w:t>
            </w:r>
            <w:r w:rsidRPr="00A4536F">
              <w:rPr>
                <w:rFonts w:cs="Calibri"/>
                <w:color w:val="auto"/>
                <w:szCs w:val="18"/>
                <w:vertAlign w:val="superscript"/>
              </w:rPr>
              <w:t>st</w:t>
            </w:r>
            <w:r w:rsidRPr="00A4536F">
              <w:rPr>
                <w:rFonts w:cs="Calibri"/>
                <w:color w:val="auto"/>
                <w:szCs w:val="18"/>
              </w:rPr>
              <w:t xml:space="preserve"> - 19</w:t>
            </w:r>
            <w:r w:rsidRPr="00A4536F">
              <w:rPr>
                <w:rFonts w:cs="Calibri"/>
                <w:color w:val="auto"/>
                <w:szCs w:val="18"/>
                <w:vertAlign w:val="superscript"/>
              </w:rPr>
              <w:t>th</w:t>
            </w:r>
            <w:r w:rsidRPr="00A4536F">
              <w:rPr>
                <w:rFonts w:cs="Calibri"/>
                <w:color w:val="auto"/>
                <w:szCs w:val="18"/>
              </w:rPr>
              <w:t xml:space="preserve"> April</w:t>
            </w:r>
          </w:p>
        </w:tc>
        <w:tc>
          <w:tcPr>
            <w:tcW w:w="5244" w:type="dxa"/>
          </w:tcPr>
          <w:p w14:paraId="6CDABEA2"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Report writing and editing</w:t>
            </w:r>
          </w:p>
        </w:tc>
      </w:tr>
      <w:tr w:rsidR="00090EFB" w:rsidRPr="00A4536F" w14:paraId="6C769DED"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37A789BA" w14:textId="198C7973" w:rsidR="00315466" w:rsidRPr="003666FB" w:rsidRDefault="003666FB">
            <w:pPr>
              <w:spacing w:before="0" w:after="120"/>
              <w:rPr>
                <w:rFonts w:cs="Calibri"/>
                <w:b w:val="0"/>
                <w:bCs w:val="0"/>
                <w:color w:val="auto"/>
                <w:szCs w:val="18"/>
              </w:rPr>
            </w:pPr>
            <w:r w:rsidRPr="003666FB">
              <w:rPr>
                <w:rFonts w:cs="Calibri"/>
                <w:b w:val="0"/>
                <w:bCs w:val="0"/>
                <w:color w:val="auto"/>
                <w:szCs w:val="18"/>
              </w:rPr>
              <w:t>Data Analysis and Reporting Phase</w:t>
            </w:r>
          </w:p>
        </w:tc>
        <w:tc>
          <w:tcPr>
            <w:tcW w:w="1985" w:type="dxa"/>
          </w:tcPr>
          <w:p w14:paraId="315B858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25</w:t>
            </w:r>
            <w:r w:rsidRPr="00A4536F">
              <w:rPr>
                <w:rFonts w:cs="Calibri"/>
                <w:color w:val="auto"/>
                <w:szCs w:val="18"/>
                <w:vertAlign w:val="superscript"/>
              </w:rPr>
              <w:t>th</w:t>
            </w:r>
            <w:r w:rsidRPr="00A4536F">
              <w:rPr>
                <w:rFonts w:cs="Calibri"/>
                <w:color w:val="auto"/>
                <w:szCs w:val="18"/>
              </w:rPr>
              <w:t xml:space="preserve"> April</w:t>
            </w:r>
          </w:p>
        </w:tc>
        <w:tc>
          <w:tcPr>
            <w:tcW w:w="5244" w:type="dxa"/>
          </w:tcPr>
          <w:p w14:paraId="1F1E678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Aide Memoire that is edited and Quality assured submitted to AHSPU</w:t>
            </w:r>
          </w:p>
        </w:tc>
      </w:tr>
      <w:tr w:rsidR="00090EFB" w:rsidRPr="00A4536F" w14:paraId="47FE6910"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1D957EEB" w14:textId="3D1BF33D" w:rsidR="00315466" w:rsidRPr="003666FB" w:rsidRDefault="003666FB">
            <w:pPr>
              <w:spacing w:before="0" w:after="120"/>
              <w:rPr>
                <w:rFonts w:cs="Calibri"/>
                <w:b w:val="0"/>
                <w:bCs w:val="0"/>
                <w:color w:val="auto"/>
                <w:szCs w:val="18"/>
              </w:rPr>
            </w:pPr>
            <w:r w:rsidRPr="003666FB">
              <w:rPr>
                <w:rFonts w:cs="Calibri"/>
                <w:b w:val="0"/>
                <w:bCs w:val="0"/>
                <w:color w:val="auto"/>
                <w:szCs w:val="18"/>
              </w:rPr>
              <w:t>Data Analysis and Reporting Phase</w:t>
            </w:r>
          </w:p>
        </w:tc>
        <w:tc>
          <w:tcPr>
            <w:tcW w:w="1985" w:type="dxa"/>
          </w:tcPr>
          <w:p w14:paraId="0B32AD8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30</w:t>
            </w:r>
            <w:r w:rsidRPr="00A4536F">
              <w:rPr>
                <w:rFonts w:cs="Calibri"/>
                <w:color w:val="auto"/>
                <w:szCs w:val="18"/>
                <w:vertAlign w:val="superscript"/>
              </w:rPr>
              <w:t>th</w:t>
            </w:r>
            <w:r w:rsidRPr="00A4536F">
              <w:rPr>
                <w:rFonts w:cs="Calibri"/>
                <w:color w:val="auto"/>
                <w:szCs w:val="18"/>
              </w:rPr>
              <w:t xml:space="preserve"> April </w:t>
            </w:r>
          </w:p>
        </w:tc>
        <w:tc>
          <w:tcPr>
            <w:tcW w:w="5244" w:type="dxa"/>
          </w:tcPr>
          <w:p w14:paraId="3238CC32"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 xml:space="preserve">Submission of Final Report Version 1 that is edited and quality assured </w:t>
            </w:r>
          </w:p>
        </w:tc>
      </w:tr>
      <w:tr w:rsidR="00090EFB" w:rsidRPr="00A4536F" w14:paraId="18A296A5"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06116EEC" w14:textId="744F496B" w:rsidR="00315466" w:rsidRPr="003666FB" w:rsidRDefault="003666FB">
            <w:pPr>
              <w:spacing w:before="0" w:after="120"/>
              <w:rPr>
                <w:rFonts w:cs="Calibri"/>
                <w:b w:val="0"/>
                <w:bCs w:val="0"/>
                <w:color w:val="auto"/>
                <w:szCs w:val="18"/>
              </w:rPr>
            </w:pPr>
            <w:r w:rsidRPr="003666FB">
              <w:rPr>
                <w:rFonts w:cs="Calibri"/>
                <w:b w:val="0"/>
                <w:bCs w:val="0"/>
                <w:color w:val="auto"/>
                <w:szCs w:val="18"/>
              </w:rPr>
              <w:t>Data Analysis and Reporting Phase</w:t>
            </w:r>
          </w:p>
        </w:tc>
        <w:tc>
          <w:tcPr>
            <w:tcW w:w="1985" w:type="dxa"/>
          </w:tcPr>
          <w:p w14:paraId="65D8FA9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1</w:t>
            </w:r>
            <w:r w:rsidRPr="00A4536F">
              <w:rPr>
                <w:rFonts w:cs="Calibri"/>
                <w:color w:val="auto"/>
                <w:szCs w:val="18"/>
                <w:vertAlign w:val="superscript"/>
              </w:rPr>
              <w:t>st</w:t>
            </w:r>
            <w:r w:rsidRPr="00A4536F">
              <w:rPr>
                <w:rFonts w:cs="Calibri"/>
                <w:color w:val="auto"/>
                <w:szCs w:val="18"/>
              </w:rPr>
              <w:t xml:space="preserve"> – 7</w:t>
            </w:r>
            <w:r w:rsidRPr="00A4536F">
              <w:rPr>
                <w:rFonts w:cs="Calibri"/>
                <w:color w:val="auto"/>
                <w:szCs w:val="18"/>
                <w:vertAlign w:val="superscript"/>
              </w:rPr>
              <w:t>th</w:t>
            </w:r>
            <w:r w:rsidRPr="00A4536F">
              <w:rPr>
                <w:rFonts w:cs="Calibri"/>
                <w:color w:val="auto"/>
                <w:szCs w:val="18"/>
              </w:rPr>
              <w:t xml:space="preserve"> May</w:t>
            </w:r>
          </w:p>
        </w:tc>
        <w:tc>
          <w:tcPr>
            <w:tcW w:w="5244" w:type="dxa"/>
          </w:tcPr>
          <w:p w14:paraId="50138A04"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Report is with ALIENA and AHPSU for comments</w:t>
            </w:r>
          </w:p>
        </w:tc>
      </w:tr>
      <w:tr w:rsidR="00090EFB" w:rsidRPr="00A4536F" w14:paraId="75508291"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3079ED97" w14:textId="2B3AF070" w:rsidR="00315466" w:rsidRPr="003666FB" w:rsidRDefault="003666FB">
            <w:pPr>
              <w:spacing w:before="0" w:after="120"/>
              <w:rPr>
                <w:rFonts w:cs="Calibri"/>
                <w:b w:val="0"/>
                <w:bCs w:val="0"/>
                <w:color w:val="auto"/>
                <w:szCs w:val="18"/>
              </w:rPr>
            </w:pPr>
            <w:r w:rsidRPr="003666FB">
              <w:rPr>
                <w:rFonts w:cs="Calibri"/>
                <w:b w:val="0"/>
                <w:bCs w:val="0"/>
                <w:color w:val="auto"/>
                <w:szCs w:val="18"/>
              </w:rPr>
              <w:t>Data Analysis and Reporting Phase Data Analysis and Reporting Phase</w:t>
            </w:r>
          </w:p>
        </w:tc>
        <w:tc>
          <w:tcPr>
            <w:tcW w:w="1985" w:type="dxa"/>
          </w:tcPr>
          <w:p w14:paraId="509C95C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r w:rsidRPr="00A4536F">
              <w:rPr>
                <w:rFonts w:cs="Calibri"/>
                <w:color w:val="auto"/>
                <w:szCs w:val="18"/>
                <w:vertAlign w:val="superscript"/>
              </w:rPr>
              <w:t>th</w:t>
            </w:r>
            <w:r w:rsidRPr="00A4536F">
              <w:rPr>
                <w:rFonts w:cs="Calibri"/>
                <w:color w:val="auto"/>
                <w:szCs w:val="18"/>
              </w:rPr>
              <w:t xml:space="preserve"> May</w:t>
            </w:r>
          </w:p>
        </w:tc>
        <w:tc>
          <w:tcPr>
            <w:tcW w:w="5244" w:type="dxa"/>
          </w:tcPr>
          <w:p w14:paraId="222B61B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Consolidated comments are received from AHPSU</w:t>
            </w:r>
          </w:p>
        </w:tc>
      </w:tr>
      <w:tr w:rsidR="00090EFB" w:rsidRPr="00A4536F" w14:paraId="4CDD18F4"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2CADF3C1" w14:textId="0F26B05D" w:rsidR="00315466" w:rsidRPr="003666FB" w:rsidRDefault="003666FB">
            <w:pPr>
              <w:spacing w:before="0" w:after="120"/>
              <w:rPr>
                <w:rFonts w:cs="Calibri"/>
                <w:b w:val="0"/>
                <w:bCs w:val="0"/>
                <w:color w:val="auto"/>
                <w:szCs w:val="18"/>
              </w:rPr>
            </w:pPr>
            <w:r w:rsidRPr="003666FB">
              <w:rPr>
                <w:rFonts w:cs="Calibri"/>
                <w:b w:val="0"/>
                <w:bCs w:val="0"/>
                <w:color w:val="auto"/>
                <w:szCs w:val="18"/>
              </w:rPr>
              <w:t>Data Analysis and Reporting Phase</w:t>
            </w:r>
          </w:p>
        </w:tc>
        <w:tc>
          <w:tcPr>
            <w:tcW w:w="1985" w:type="dxa"/>
          </w:tcPr>
          <w:p w14:paraId="286D0F5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8</w:t>
            </w:r>
            <w:r w:rsidRPr="00A4536F">
              <w:rPr>
                <w:rFonts w:cs="Calibri"/>
                <w:color w:val="auto"/>
                <w:szCs w:val="18"/>
                <w:vertAlign w:val="superscript"/>
              </w:rPr>
              <w:t>th</w:t>
            </w:r>
            <w:r w:rsidRPr="00A4536F">
              <w:rPr>
                <w:rFonts w:cs="Calibri"/>
                <w:color w:val="auto"/>
                <w:szCs w:val="18"/>
              </w:rPr>
              <w:t xml:space="preserve"> – 13</w:t>
            </w:r>
            <w:r w:rsidRPr="00A4536F">
              <w:rPr>
                <w:rFonts w:cs="Calibri"/>
                <w:color w:val="auto"/>
                <w:szCs w:val="18"/>
                <w:vertAlign w:val="superscript"/>
              </w:rPr>
              <w:t>th</w:t>
            </w:r>
            <w:r w:rsidRPr="00A4536F">
              <w:rPr>
                <w:rFonts w:cs="Calibri"/>
                <w:color w:val="auto"/>
                <w:szCs w:val="18"/>
              </w:rPr>
              <w:t xml:space="preserve"> May</w:t>
            </w:r>
          </w:p>
        </w:tc>
        <w:tc>
          <w:tcPr>
            <w:tcW w:w="5244" w:type="dxa"/>
          </w:tcPr>
          <w:p w14:paraId="7AF2BA2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Report is revised integrating comments from AHPSU</w:t>
            </w:r>
          </w:p>
        </w:tc>
      </w:tr>
      <w:tr w:rsidR="00090EFB" w:rsidRPr="00A4536F" w14:paraId="49A7E138"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591322EE" w14:textId="5A4891B0" w:rsidR="00315466" w:rsidRPr="003666FB" w:rsidRDefault="003666FB">
            <w:pPr>
              <w:spacing w:before="0" w:after="120"/>
              <w:rPr>
                <w:rFonts w:cs="Calibri"/>
                <w:b w:val="0"/>
                <w:bCs w:val="0"/>
                <w:color w:val="auto"/>
                <w:szCs w:val="18"/>
              </w:rPr>
            </w:pPr>
            <w:r w:rsidRPr="003666FB">
              <w:rPr>
                <w:rFonts w:cs="Calibri"/>
                <w:b w:val="0"/>
                <w:bCs w:val="0"/>
                <w:color w:val="auto"/>
                <w:szCs w:val="18"/>
              </w:rPr>
              <w:t>Data Analysis and Reporting Phase</w:t>
            </w:r>
          </w:p>
        </w:tc>
        <w:tc>
          <w:tcPr>
            <w:tcW w:w="1985" w:type="dxa"/>
          </w:tcPr>
          <w:p w14:paraId="4E2FD994"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24</w:t>
            </w:r>
            <w:r w:rsidRPr="00A4536F">
              <w:rPr>
                <w:rFonts w:cs="Calibri"/>
                <w:color w:val="auto"/>
                <w:szCs w:val="18"/>
                <w:vertAlign w:val="superscript"/>
              </w:rPr>
              <w:t>th</w:t>
            </w:r>
            <w:r w:rsidRPr="00A4536F">
              <w:rPr>
                <w:rFonts w:cs="Calibri"/>
                <w:color w:val="auto"/>
                <w:szCs w:val="18"/>
              </w:rPr>
              <w:t xml:space="preserve"> May</w:t>
            </w:r>
          </w:p>
        </w:tc>
        <w:tc>
          <w:tcPr>
            <w:tcW w:w="5244" w:type="dxa"/>
          </w:tcPr>
          <w:p w14:paraId="1CBAE9C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Final Report, edited and quality assured, is submitted to ALINEA together with a 3-page infographic summary version for ease of accessibility by stakeholders</w:t>
            </w:r>
          </w:p>
        </w:tc>
      </w:tr>
      <w:tr w:rsidR="00090EFB" w:rsidRPr="00A4536F" w14:paraId="43040409" w14:textId="77777777" w:rsidTr="003666FB">
        <w:tc>
          <w:tcPr>
            <w:cnfStyle w:val="001000000000" w:firstRow="0" w:lastRow="0" w:firstColumn="1" w:lastColumn="0" w:oddVBand="0" w:evenVBand="0" w:oddHBand="0" w:evenHBand="0" w:firstRowFirstColumn="0" w:firstRowLastColumn="0" w:lastRowFirstColumn="0" w:lastRowLastColumn="0"/>
            <w:tcW w:w="2405" w:type="dxa"/>
          </w:tcPr>
          <w:p w14:paraId="4877FE54" w14:textId="2D09E5BB" w:rsidR="00315466" w:rsidRPr="003666FB" w:rsidRDefault="003666FB">
            <w:pPr>
              <w:spacing w:before="0" w:after="120"/>
              <w:rPr>
                <w:rFonts w:cs="Calibri"/>
                <w:b w:val="0"/>
                <w:bCs w:val="0"/>
                <w:color w:val="auto"/>
                <w:szCs w:val="18"/>
              </w:rPr>
            </w:pPr>
            <w:r w:rsidRPr="003666FB">
              <w:rPr>
                <w:rFonts w:cs="Calibri"/>
                <w:b w:val="0"/>
                <w:bCs w:val="0"/>
                <w:color w:val="auto"/>
                <w:szCs w:val="18"/>
              </w:rPr>
              <w:t>Data Analysis and Reporting Phase</w:t>
            </w:r>
          </w:p>
        </w:tc>
        <w:tc>
          <w:tcPr>
            <w:tcW w:w="1985" w:type="dxa"/>
          </w:tcPr>
          <w:p w14:paraId="3E64C651"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TBD</w:t>
            </w:r>
          </w:p>
        </w:tc>
        <w:tc>
          <w:tcPr>
            <w:tcW w:w="5244" w:type="dxa"/>
          </w:tcPr>
          <w:p w14:paraId="3B18D72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cs="Calibri"/>
                <w:color w:val="auto"/>
                <w:szCs w:val="18"/>
              </w:rPr>
              <w:t>Oral presentation of the evaluation report to the Evaluation Review Committee members and AHP NGOs</w:t>
            </w:r>
          </w:p>
        </w:tc>
      </w:tr>
    </w:tbl>
    <w:p w14:paraId="60734652" w14:textId="77777777" w:rsidR="00315466" w:rsidRPr="00A4536F" w:rsidRDefault="001D4E15">
      <w:pPr>
        <w:spacing w:before="0" w:after="0" w:line="240" w:lineRule="auto"/>
        <w:rPr>
          <w:rFonts w:cs="Calibri"/>
          <w:color w:val="auto"/>
          <w:szCs w:val="18"/>
        </w:rPr>
      </w:pPr>
      <w:r w:rsidRPr="00A4536F">
        <w:rPr>
          <w:rFonts w:cs="Calibri"/>
          <w:color w:val="auto"/>
          <w:szCs w:val="18"/>
        </w:rPr>
        <w:br w:type="page"/>
      </w:r>
    </w:p>
    <w:p w14:paraId="4104187E" w14:textId="77777777" w:rsidR="00315466" w:rsidRDefault="001D4E15" w:rsidP="00F50637">
      <w:pPr>
        <w:pStyle w:val="Heading2"/>
        <w:spacing w:after="240"/>
        <w:rPr>
          <w:rFonts w:ascii="Verdana" w:hAnsi="Verdana"/>
          <w:sz w:val="24"/>
          <w:szCs w:val="24"/>
        </w:rPr>
      </w:pPr>
      <w:bookmarkStart w:id="248" w:name="_Toc164582606"/>
      <w:bookmarkStart w:id="249" w:name="_Toc164287016"/>
      <w:bookmarkStart w:id="250" w:name="_Toc164324055"/>
      <w:bookmarkStart w:id="251" w:name="_Toc165828015"/>
      <w:bookmarkStart w:id="252" w:name="_Toc174559924"/>
      <w:bookmarkStart w:id="253" w:name="_Toc181278071"/>
      <w:r w:rsidRPr="003666FB">
        <w:rPr>
          <w:rFonts w:ascii="Verdana" w:hAnsi="Verdana"/>
          <w:sz w:val="24"/>
          <w:szCs w:val="24"/>
        </w:rPr>
        <w:lastRenderedPageBreak/>
        <w:t>Annex 5 Data Collection Tools</w:t>
      </w:r>
      <w:bookmarkEnd w:id="248"/>
      <w:bookmarkEnd w:id="249"/>
      <w:bookmarkEnd w:id="250"/>
      <w:bookmarkEnd w:id="251"/>
      <w:bookmarkEnd w:id="252"/>
      <w:bookmarkEnd w:id="253"/>
    </w:p>
    <w:p w14:paraId="552C6E97" w14:textId="77777777" w:rsidR="00315466" w:rsidRDefault="001D4E15" w:rsidP="00F50637">
      <w:pPr>
        <w:pStyle w:val="Heading3"/>
        <w:spacing w:after="240"/>
        <w:rPr>
          <w:rFonts w:ascii="Verdana" w:hAnsi="Verdana" w:cs="Calibri"/>
          <w:color w:val="auto"/>
          <w:sz w:val="20"/>
          <w:szCs w:val="20"/>
          <w:lang w:val="en-GB"/>
        </w:rPr>
      </w:pPr>
      <w:bookmarkStart w:id="254" w:name="_Toc155938683"/>
      <w:bookmarkStart w:id="255" w:name="_Toc164582607"/>
      <w:bookmarkStart w:id="256" w:name="_Toc164324056"/>
      <w:bookmarkStart w:id="257" w:name="_Toc164287017"/>
      <w:bookmarkStart w:id="258" w:name="_Toc165828016"/>
      <w:bookmarkStart w:id="259" w:name="_Toc174559925"/>
      <w:bookmarkStart w:id="260" w:name="_Toc181278072"/>
      <w:r w:rsidRPr="003666FB">
        <w:rPr>
          <w:rFonts w:ascii="Verdana" w:hAnsi="Verdana" w:cs="Calibri"/>
          <w:color w:val="auto"/>
          <w:sz w:val="20"/>
          <w:szCs w:val="20"/>
          <w:lang w:val="en-GB"/>
        </w:rPr>
        <w:t>A 5.1 Key Informant Interview checklist</w:t>
      </w:r>
      <w:bookmarkEnd w:id="254"/>
      <w:bookmarkEnd w:id="255"/>
      <w:bookmarkEnd w:id="256"/>
      <w:bookmarkEnd w:id="257"/>
      <w:bookmarkEnd w:id="258"/>
      <w:bookmarkEnd w:id="259"/>
      <w:bookmarkEnd w:id="260"/>
    </w:p>
    <w:p w14:paraId="249B8860"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Can you share insights on how the FSL interventions specifically targeted and reached the intended participants with a tailored mix of assistance to meet their unique needs?</w:t>
      </w:r>
    </w:p>
    <w:p w14:paraId="7DCB8577"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How did the interventions demonstrate flexibility and adaptability to respond effectively to changes in the contextual environment during implementation?</w:t>
      </w:r>
    </w:p>
    <w:p w14:paraId="03CC2816"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In your experience, to what extent did the interventions engage and coordinate with relevant actors, such as humanitarian coordination platforms and clusters, in addressing food security and livelihood challenges?</w:t>
      </w:r>
    </w:p>
    <w:p w14:paraId="4A2A7F3A"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Could you provide examples or narratives illustrating the outcomes and impact of FSL interventions on women, girls, men, and boys within the communities?</w:t>
      </w:r>
    </w:p>
    <w:p w14:paraId="5B5FA67D" w14:textId="7F084DE9"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 xml:space="preserve">Considering marginalized groups, including women, girls, and </w:t>
      </w:r>
      <w:r w:rsidR="009A48D7">
        <w:rPr>
          <w:rFonts w:ascii="Verdana" w:hAnsi="Verdana" w:cs="Calibri"/>
          <w:sz w:val="18"/>
          <w:szCs w:val="18"/>
        </w:rPr>
        <w:t>people</w:t>
      </w:r>
      <w:r w:rsidRPr="00A4536F">
        <w:rPr>
          <w:rFonts w:ascii="Verdana" w:hAnsi="Verdana" w:cs="Calibri"/>
          <w:sz w:val="18"/>
          <w:szCs w:val="18"/>
        </w:rPr>
        <w:t xml:space="preserve"> with disabilities, what observations or insights can you share regarding the varied results achieved by the FSL interventions?</w:t>
      </w:r>
    </w:p>
    <w:p w14:paraId="7F83021E"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From your perspective, what were the key factors, both hindering and facilitating, that influenced progress in achieving the FSL outcomes and objectives of the intervention?</w:t>
      </w:r>
    </w:p>
    <w:p w14:paraId="5FF52AA3"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How did the interventions ensure the provision of adequate protection for drought-affected individuals, including girls, women, boys, and men, through actions like referral pathways, psycho-social support, and other forms of assistance?</w:t>
      </w:r>
    </w:p>
    <w:p w14:paraId="5B71A53A"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In your assessment, how economically and timely were the FSL interventions delivered to the target communities?</w:t>
      </w:r>
    </w:p>
    <w:p w14:paraId="31DC7F22"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 xml:space="preserve">Looking beyond immediate impacts, what medium-term effects have you observed or anticipate </w:t>
      </w:r>
      <w:proofErr w:type="gramStart"/>
      <w:r w:rsidRPr="00A4536F">
        <w:rPr>
          <w:rFonts w:ascii="Verdana" w:hAnsi="Verdana" w:cs="Calibri"/>
          <w:sz w:val="18"/>
          <w:szCs w:val="18"/>
        </w:rPr>
        <w:t>as a result of</w:t>
      </w:r>
      <w:proofErr w:type="gramEnd"/>
      <w:r w:rsidRPr="00A4536F">
        <w:rPr>
          <w:rFonts w:ascii="Verdana" w:hAnsi="Verdana" w:cs="Calibri"/>
          <w:sz w:val="18"/>
          <w:szCs w:val="18"/>
        </w:rPr>
        <w:t xml:space="preserve"> the FSL interventions on the lives of participants?</w:t>
      </w:r>
    </w:p>
    <w:p w14:paraId="730605C1"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Can you share any unintended outcomes, whether positive or negative, that have emerged from the FSL interventions?</w:t>
      </w:r>
    </w:p>
    <w:p w14:paraId="4917A51D"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In your view, how effectively did the interventions integrate emergency response with livelihood and capacity-building measures to ensure sustained impacts over the longer term?</w:t>
      </w:r>
    </w:p>
    <w:p w14:paraId="2B2627DF"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From your perspective, how did interventions in other sectors, such as WASH and protection, complement or interact with the FSL interventions in Ethiopia and Kenya?</w:t>
      </w:r>
    </w:p>
    <w:p w14:paraId="71D463C9"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What feedback or perceptions have been gathered from affected communities regarding the targeting of participants for the interventions?</w:t>
      </w:r>
    </w:p>
    <w:p w14:paraId="7C0504AF"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How did communication and feedback mechanisms for affected peoples and communities contribute to shaping the design and implementation of the interventions?</w:t>
      </w:r>
    </w:p>
    <w:p w14:paraId="6791B8B7"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Can you provide examples or insights into how the interventions used and strengthened local systems, leadership, coordination, and capacity?</w:t>
      </w:r>
    </w:p>
    <w:p w14:paraId="5C682A28" w14:textId="77777777" w:rsidR="00315466" w:rsidRPr="00A4536F" w:rsidRDefault="001D4E15" w:rsidP="00D41C74">
      <w:pPr>
        <w:pStyle w:val="ListParagraph"/>
        <w:numPr>
          <w:ilvl w:val="0"/>
          <w:numId w:val="48"/>
        </w:numPr>
        <w:spacing w:after="120"/>
        <w:rPr>
          <w:rFonts w:ascii="Verdana" w:hAnsi="Verdana" w:cs="Calibri"/>
          <w:sz w:val="18"/>
          <w:szCs w:val="18"/>
        </w:rPr>
      </w:pPr>
      <w:r w:rsidRPr="00A4536F">
        <w:rPr>
          <w:rFonts w:ascii="Verdana" w:hAnsi="Verdana" w:cs="Calibri"/>
          <w:sz w:val="18"/>
          <w:szCs w:val="18"/>
        </w:rPr>
        <w:t>From your observations to what extent did the interventions contribute to enhancing resilience in the face of climate change within the target communities?</w:t>
      </w:r>
    </w:p>
    <w:p w14:paraId="23262D08" w14:textId="77777777" w:rsidR="00315466" w:rsidRPr="00A4536F" w:rsidRDefault="001D4E15">
      <w:pPr>
        <w:spacing w:before="0" w:after="120"/>
        <w:rPr>
          <w:rFonts w:cs="Calibri"/>
          <w:i/>
          <w:iCs/>
          <w:color w:val="auto"/>
          <w:szCs w:val="18"/>
        </w:rPr>
      </w:pPr>
      <w:r w:rsidRPr="00A4536F">
        <w:rPr>
          <w:rFonts w:cs="Calibri"/>
          <w:i/>
          <w:iCs/>
          <w:color w:val="auto"/>
          <w:szCs w:val="18"/>
        </w:rPr>
        <w:t>Thank you for your participation.</w:t>
      </w:r>
    </w:p>
    <w:p w14:paraId="0A9A3FFC" w14:textId="77777777" w:rsidR="00315466" w:rsidRPr="00A4536F" w:rsidRDefault="001D4E15">
      <w:pPr>
        <w:spacing w:before="0" w:after="120"/>
        <w:rPr>
          <w:rFonts w:cs="Calibri"/>
          <w:i/>
          <w:iCs/>
          <w:color w:val="auto"/>
          <w:szCs w:val="18"/>
        </w:rPr>
      </w:pPr>
      <w:r w:rsidRPr="00A4536F">
        <w:rPr>
          <w:rFonts w:cs="Calibri"/>
          <w:i/>
          <w:iCs/>
          <w:color w:val="auto"/>
          <w:szCs w:val="18"/>
        </w:rPr>
        <w:br w:type="page"/>
      </w:r>
    </w:p>
    <w:p w14:paraId="5A95633D" w14:textId="77777777" w:rsidR="00315466" w:rsidRDefault="001D4E15" w:rsidP="00F50637">
      <w:pPr>
        <w:pStyle w:val="Heading3"/>
        <w:spacing w:after="240"/>
        <w:rPr>
          <w:rFonts w:ascii="Verdana" w:hAnsi="Verdana"/>
          <w:color w:val="auto"/>
          <w:sz w:val="20"/>
          <w:szCs w:val="20"/>
        </w:rPr>
      </w:pPr>
      <w:bookmarkStart w:id="261" w:name="_Toc164324057"/>
      <w:bookmarkStart w:id="262" w:name="_Toc164582608"/>
      <w:bookmarkStart w:id="263" w:name="_Toc164287018"/>
      <w:bookmarkStart w:id="264" w:name="_Toc155938684"/>
      <w:bookmarkStart w:id="265" w:name="_Toc165828017"/>
      <w:bookmarkStart w:id="266" w:name="_Toc174559926"/>
      <w:bookmarkStart w:id="267" w:name="_Toc181278073"/>
      <w:r w:rsidRPr="003666FB">
        <w:rPr>
          <w:rFonts w:ascii="Verdana" w:hAnsi="Verdana"/>
          <w:color w:val="auto"/>
          <w:sz w:val="20"/>
          <w:szCs w:val="20"/>
        </w:rPr>
        <w:lastRenderedPageBreak/>
        <w:t>A.5.2 FGDs with project beneficiaries Checklist</w:t>
      </w:r>
      <w:bookmarkEnd w:id="261"/>
      <w:bookmarkEnd w:id="262"/>
      <w:bookmarkEnd w:id="263"/>
      <w:bookmarkEnd w:id="264"/>
      <w:bookmarkEnd w:id="265"/>
      <w:bookmarkEnd w:id="266"/>
      <w:bookmarkEnd w:id="267"/>
    </w:p>
    <w:p w14:paraId="300CF9F2" w14:textId="77777777" w:rsidR="00315466" w:rsidRPr="00A4536F" w:rsidRDefault="001D4E15" w:rsidP="00D41C74">
      <w:pPr>
        <w:pStyle w:val="ListParagraph"/>
        <w:numPr>
          <w:ilvl w:val="0"/>
          <w:numId w:val="49"/>
        </w:numPr>
        <w:spacing w:after="120"/>
        <w:rPr>
          <w:rFonts w:ascii="Verdana" w:hAnsi="Verdana" w:cs="Calibri"/>
          <w:sz w:val="18"/>
          <w:szCs w:val="18"/>
        </w:rPr>
      </w:pPr>
      <w:r w:rsidRPr="00A4536F">
        <w:rPr>
          <w:rFonts w:ascii="Verdana" w:hAnsi="Verdana" w:cs="Calibri"/>
          <w:sz w:val="18"/>
          <w:szCs w:val="18"/>
        </w:rPr>
        <w:t>How did the assistance provided in the FSL interventions align with your specific needs and challenges?</w:t>
      </w:r>
    </w:p>
    <w:p w14:paraId="7CDD8A22" w14:textId="77777777" w:rsidR="00315466" w:rsidRPr="00A4536F" w:rsidRDefault="001D4E15" w:rsidP="00D41C74">
      <w:pPr>
        <w:pStyle w:val="ListParagraph"/>
        <w:numPr>
          <w:ilvl w:val="0"/>
          <w:numId w:val="49"/>
        </w:numPr>
        <w:spacing w:after="120"/>
        <w:rPr>
          <w:rFonts w:ascii="Verdana" w:hAnsi="Verdana" w:cs="Calibri"/>
          <w:sz w:val="18"/>
          <w:szCs w:val="18"/>
        </w:rPr>
      </w:pPr>
      <w:r w:rsidRPr="00A4536F">
        <w:rPr>
          <w:rFonts w:ascii="Verdana" w:hAnsi="Verdana" w:cs="Calibri"/>
          <w:sz w:val="18"/>
          <w:szCs w:val="18"/>
        </w:rPr>
        <w:t>Can you share instances where the interventions showed flexibility in responding to changes in your community or personal circumstances?</w:t>
      </w:r>
    </w:p>
    <w:p w14:paraId="5A0936A8" w14:textId="77777777" w:rsidR="00315466" w:rsidRPr="00A4536F" w:rsidRDefault="001D4E15" w:rsidP="00D41C74">
      <w:pPr>
        <w:pStyle w:val="ListParagraph"/>
        <w:numPr>
          <w:ilvl w:val="0"/>
          <w:numId w:val="49"/>
        </w:numPr>
        <w:spacing w:after="120"/>
        <w:rPr>
          <w:rFonts w:ascii="Verdana" w:hAnsi="Verdana" w:cs="Calibri"/>
          <w:sz w:val="18"/>
          <w:szCs w:val="18"/>
        </w:rPr>
      </w:pPr>
      <w:r w:rsidRPr="00A4536F">
        <w:rPr>
          <w:rFonts w:ascii="Verdana" w:hAnsi="Verdana" w:cs="Calibri"/>
          <w:sz w:val="18"/>
          <w:szCs w:val="18"/>
        </w:rPr>
        <w:t>From your perspective, how well did the interventions collaborate with other organisations and groups to address broader issues related to food security and livelihoods?</w:t>
      </w:r>
    </w:p>
    <w:p w14:paraId="2E82B20F" w14:textId="77777777" w:rsidR="00315466" w:rsidRPr="00A4536F" w:rsidRDefault="001D4E15" w:rsidP="00D41C74">
      <w:pPr>
        <w:pStyle w:val="ListParagraph"/>
        <w:numPr>
          <w:ilvl w:val="0"/>
          <w:numId w:val="49"/>
        </w:numPr>
        <w:spacing w:after="120"/>
        <w:rPr>
          <w:rFonts w:ascii="Verdana" w:hAnsi="Verdana" w:cs="Calibri"/>
          <w:sz w:val="18"/>
          <w:szCs w:val="18"/>
        </w:rPr>
      </w:pPr>
      <w:r w:rsidRPr="00A4536F">
        <w:rPr>
          <w:rFonts w:ascii="Verdana" w:hAnsi="Verdana" w:cs="Calibri"/>
          <w:sz w:val="18"/>
          <w:szCs w:val="18"/>
        </w:rPr>
        <w:t>What specific impacts or changes did you observe regarding the outcomes of the FSL interventions on the lives of women, men, girls, boys, and marginalized groups within your community?</w:t>
      </w:r>
    </w:p>
    <w:p w14:paraId="66F5B9EC" w14:textId="6ABD016B" w:rsidR="00315466" w:rsidRPr="00A4536F" w:rsidRDefault="001D4E15" w:rsidP="00D41C74">
      <w:pPr>
        <w:pStyle w:val="ListParagraph"/>
        <w:numPr>
          <w:ilvl w:val="0"/>
          <w:numId w:val="49"/>
        </w:numPr>
        <w:spacing w:after="120"/>
        <w:rPr>
          <w:rFonts w:ascii="Verdana" w:hAnsi="Verdana" w:cs="Calibri"/>
          <w:sz w:val="18"/>
          <w:szCs w:val="18"/>
        </w:rPr>
      </w:pPr>
      <w:r w:rsidRPr="00A4536F">
        <w:rPr>
          <w:rFonts w:ascii="Verdana" w:hAnsi="Verdana" w:cs="Calibri"/>
          <w:sz w:val="18"/>
          <w:szCs w:val="18"/>
        </w:rPr>
        <w:t xml:space="preserve">Were there any notable differences in the outcomes of the interventions for marginalized groups, such as women, girls, and </w:t>
      </w:r>
      <w:r w:rsidR="009A48D7">
        <w:rPr>
          <w:rFonts w:ascii="Verdana" w:hAnsi="Verdana" w:cs="Calibri"/>
          <w:sz w:val="18"/>
          <w:szCs w:val="18"/>
        </w:rPr>
        <w:t>people</w:t>
      </w:r>
      <w:r w:rsidRPr="00A4536F">
        <w:rPr>
          <w:rFonts w:ascii="Verdana" w:hAnsi="Verdana" w:cs="Calibri"/>
          <w:sz w:val="18"/>
          <w:szCs w:val="18"/>
        </w:rPr>
        <w:t xml:space="preserve"> with disabilities, compared to the general population?</w:t>
      </w:r>
    </w:p>
    <w:p w14:paraId="7BEA6FB8" w14:textId="77777777" w:rsidR="00315466" w:rsidRPr="00A4536F" w:rsidRDefault="001D4E15" w:rsidP="00D41C74">
      <w:pPr>
        <w:pStyle w:val="ListParagraph"/>
        <w:numPr>
          <w:ilvl w:val="0"/>
          <w:numId w:val="49"/>
        </w:numPr>
        <w:spacing w:after="120"/>
        <w:rPr>
          <w:rFonts w:ascii="Verdana" w:hAnsi="Verdana" w:cs="Calibri"/>
          <w:sz w:val="18"/>
          <w:szCs w:val="18"/>
        </w:rPr>
      </w:pPr>
      <w:r w:rsidRPr="00A4536F">
        <w:rPr>
          <w:rFonts w:ascii="Verdana" w:hAnsi="Verdana" w:cs="Calibri"/>
          <w:sz w:val="18"/>
          <w:szCs w:val="18"/>
        </w:rPr>
        <w:t>How did the interventions contribute to your community's ability to cope with the challenges posed by climate change, and what changes have you noticed over time?</w:t>
      </w:r>
    </w:p>
    <w:p w14:paraId="6BCCCFA4" w14:textId="77777777" w:rsidR="00315466" w:rsidRPr="00A4536F" w:rsidRDefault="001D4E15">
      <w:pPr>
        <w:spacing w:before="0" w:after="120"/>
        <w:rPr>
          <w:rFonts w:cs="Calibri"/>
          <w:b/>
          <w:bCs/>
          <w:i/>
          <w:iCs/>
          <w:color w:val="auto"/>
          <w:szCs w:val="18"/>
        </w:rPr>
      </w:pPr>
      <w:r w:rsidRPr="00A4536F">
        <w:rPr>
          <w:rFonts w:cs="Calibri"/>
          <w:b/>
          <w:bCs/>
          <w:i/>
          <w:iCs/>
          <w:color w:val="auto"/>
          <w:szCs w:val="18"/>
        </w:rPr>
        <w:t>Thanks for your participation.</w:t>
      </w:r>
    </w:p>
    <w:p w14:paraId="52425B10" w14:textId="77777777" w:rsidR="00315466" w:rsidRDefault="001D4E15" w:rsidP="00F50637">
      <w:pPr>
        <w:pStyle w:val="Heading3"/>
        <w:spacing w:after="240"/>
        <w:rPr>
          <w:rFonts w:ascii="Verdana" w:hAnsi="Verdana"/>
          <w:color w:val="auto"/>
          <w:sz w:val="20"/>
          <w:szCs w:val="20"/>
        </w:rPr>
      </w:pPr>
      <w:bookmarkStart w:id="268" w:name="_Toc164582609"/>
      <w:bookmarkStart w:id="269" w:name="_Toc164324058"/>
      <w:bookmarkStart w:id="270" w:name="_Toc155938685"/>
      <w:bookmarkStart w:id="271" w:name="_Toc165828018"/>
      <w:bookmarkStart w:id="272" w:name="_Toc164287019"/>
      <w:bookmarkStart w:id="273" w:name="_Toc174559927"/>
      <w:bookmarkStart w:id="274" w:name="_Toc181278074"/>
      <w:r w:rsidRPr="003666FB">
        <w:rPr>
          <w:rFonts w:ascii="Verdana" w:hAnsi="Verdana"/>
          <w:color w:val="auto"/>
          <w:sz w:val="20"/>
          <w:szCs w:val="20"/>
        </w:rPr>
        <w:t>A.5.3 FGDs with project Implementation staff Checklist</w:t>
      </w:r>
      <w:bookmarkEnd w:id="268"/>
      <w:bookmarkEnd w:id="269"/>
      <w:bookmarkEnd w:id="270"/>
      <w:bookmarkEnd w:id="271"/>
      <w:bookmarkEnd w:id="272"/>
      <w:bookmarkEnd w:id="273"/>
      <w:bookmarkEnd w:id="274"/>
    </w:p>
    <w:p w14:paraId="56AC4D14" w14:textId="77777777" w:rsidR="00315466" w:rsidRPr="00A4536F" w:rsidRDefault="001D4E15" w:rsidP="00D41C74">
      <w:pPr>
        <w:pStyle w:val="ListParagraph"/>
        <w:numPr>
          <w:ilvl w:val="0"/>
          <w:numId w:val="50"/>
        </w:numPr>
        <w:spacing w:after="120"/>
        <w:rPr>
          <w:rFonts w:ascii="Verdana" w:hAnsi="Verdana" w:cs="Calibri"/>
          <w:sz w:val="18"/>
          <w:szCs w:val="18"/>
        </w:rPr>
      </w:pPr>
      <w:r w:rsidRPr="00A4536F">
        <w:rPr>
          <w:rFonts w:ascii="Verdana" w:hAnsi="Verdana" w:cs="Calibri"/>
          <w:sz w:val="18"/>
          <w:szCs w:val="18"/>
        </w:rPr>
        <w:t>How has the collaboration with Oxfam/Plan International, and other partner organisations contributed to the successful implementation of the FSL interventions in Ethiopia/Kenya?</w:t>
      </w:r>
    </w:p>
    <w:p w14:paraId="2B15D10F" w14:textId="77777777" w:rsidR="00315466" w:rsidRPr="00A4536F" w:rsidRDefault="001D4E15" w:rsidP="00D41C74">
      <w:pPr>
        <w:pStyle w:val="ListParagraph"/>
        <w:numPr>
          <w:ilvl w:val="0"/>
          <w:numId w:val="50"/>
        </w:numPr>
        <w:spacing w:after="120"/>
        <w:rPr>
          <w:rFonts w:ascii="Verdana" w:hAnsi="Verdana" w:cs="Calibri"/>
          <w:sz w:val="18"/>
          <w:szCs w:val="18"/>
        </w:rPr>
      </w:pPr>
      <w:r w:rsidRPr="00A4536F">
        <w:rPr>
          <w:rFonts w:ascii="Verdana" w:hAnsi="Verdana" w:cs="Calibri"/>
          <w:sz w:val="18"/>
          <w:szCs w:val="18"/>
        </w:rPr>
        <w:t>Can you share specific instances where the interventions had to adapt to changes in the project's context, and how did the project partners collectively respond to these challenges?</w:t>
      </w:r>
    </w:p>
    <w:p w14:paraId="7F01E94A" w14:textId="77777777" w:rsidR="00315466" w:rsidRPr="00A4536F" w:rsidRDefault="001D4E15" w:rsidP="00D41C74">
      <w:pPr>
        <w:pStyle w:val="ListParagraph"/>
        <w:numPr>
          <w:ilvl w:val="0"/>
          <w:numId w:val="50"/>
        </w:numPr>
        <w:spacing w:after="120"/>
        <w:rPr>
          <w:rFonts w:ascii="Verdana" w:hAnsi="Verdana" w:cs="Calibri"/>
          <w:sz w:val="18"/>
          <w:szCs w:val="18"/>
        </w:rPr>
      </w:pPr>
      <w:r w:rsidRPr="00A4536F">
        <w:rPr>
          <w:rFonts w:ascii="Verdana" w:hAnsi="Verdana" w:cs="Calibri"/>
          <w:sz w:val="18"/>
          <w:szCs w:val="18"/>
        </w:rPr>
        <w:t>In what ways did the coordination mechanisms with humanitarian coordination platforms and relevant clusters enhance the effectiveness of the FSL interventions?</w:t>
      </w:r>
    </w:p>
    <w:p w14:paraId="075FA89C" w14:textId="5B81F3A9" w:rsidR="00315466" w:rsidRPr="00A4536F" w:rsidRDefault="001D4E15" w:rsidP="00D41C74">
      <w:pPr>
        <w:pStyle w:val="ListParagraph"/>
        <w:numPr>
          <w:ilvl w:val="0"/>
          <w:numId w:val="50"/>
        </w:numPr>
        <w:spacing w:after="120"/>
        <w:rPr>
          <w:rFonts w:ascii="Verdana" w:hAnsi="Verdana" w:cs="Calibri"/>
          <w:sz w:val="18"/>
          <w:szCs w:val="18"/>
        </w:rPr>
      </w:pPr>
      <w:r w:rsidRPr="00A4536F">
        <w:rPr>
          <w:rFonts w:ascii="Verdana" w:hAnsi="Verdana" w:cs="Calibri"/>
          <w:sz w:val="18"/>
          <w:szCs w:val="18"/>
        </w:rPr>
        <w:t xml:space="preserve">From your organizational perspective, how successful were the interventions in delivering results for various groups, including women, girls, men, boys, and </w:t>
      </w:r>
      <w:r w:rsidR="009A48D7">
        <w:rPr>
          <w:rFonts w:ascii="Verdana" w:hAnsi="Verdana" w:cs="Calibri"/>
          <w:sz w:val="18"/>
          <w:szCs w:val="18"/>
        </w:rPr>
        <w:t>people</w:t>
      </w:r>
      <w:r w:rsidRPr="00A4536F">
        <w:rPr>
          <w:rFonts w:ascii="Verdana" w:hAnsi="Verdana" w:cs="Calibri"/>
          <w:sz w:val="18"/>
          <w:szCs w:val="18"/>
        </w:rPr>
        <w:t xml:space="preserve"> with disabilities?</w:t>
      </w:r>
    </w:p>
    <w:p w14:paraId="7BD40B5C" w14:textId="77777777" w:rsidR="00315466" w:rsidRPr="00A4536F" w:rsidRDefault="001D4E15" w:rsidP="00D41C74">
      <w:pPr>
        <w:pStyle w:val="ListParagraph"/>
        <w:numPr>
          <w:ilvl w:val="0"/>
          <w:numId w:val="50"/>
        </w:numPr>
        <w:spacing w:after="120"/>
        <w:rPr>
          <w:rFonts w:ascii="Verdana" w:hAnsi="Verdana" w:cs="Calibri"/>
          <w:sz w:val="18"/>
          <w:szCs w:val="18"/>
        </w:rPr>
      </w:pPr>
      <w:r w:rsidRPr="00A4536F">
        <w:rPr>
          <w:rFonts w:ascii="Verdana" w:hAnsi="Verdana" w:cs="Calibri"/>
          <w:sz w:val="18"/>
          <w:szCs w:val="18"/>
        </w:rPr>
        <w:t>Were there any notable barriers or enablers, such as socio-cultural factors or government policies, that influenced the progress of achieving the FSL outcomes/objectives, and how did your organisation navigate these challenges?</w:t>
      </w:r>
    </w:p>
    <w:p w14:paraId="10C4CC73" w14:textId="77777777" w:rsidR="00315466" w:rsidRPr="00A4536F" w:rsidRDefault="001D4E15" w:rsidP="00D41C74">
      <w:pPr>
        <w:pStyle w:val="ListParagraph"/>
        <w:numPr>
          <w:ilvl w:val="0"/>
          <w:numId w:val="50"/>
        </w:numPr>
        <w:spacing w:after="120"/>
        <w:rPr>
          <w:rFonts w:ascii="Verdana" w:hAnsi="Verdana" w:cs="Calibri"/>
          <w:sz w:val="18"/>
          <w:szCs w:val="18"/>
        </w:rPr>
      </w:pPr>
      <w:r w:rsidRPr="00A4536F">
        <w:rPr>
          <w:rFonts w:ascii="Verdana" w:hAnsi="Verdana" w:cs="Calibri"/>
          <w:sz w:val="18"/>
          <w:szCs w:val="18"/>
        </w:rPr>
        <w:t>How well did the FSL interventions align with and complement other interventions, such as WASH and protection, within the Ethiopia and Kenya activations, and what synergies or challenges were encountered in this coordination effort?</w:t>
      </w:r>
    </w:p>
    <w:p w14:paraId="68E40D59" w14:textId="77777777" w:rsidR="00315466" w:rsidRPr="00A4536F" w:rsidRDefault="001D4E15">
      <w:pPr>
        <w:spacing w:before="0" w:after="120"/>
        <w:rPr>
          <w:rFonts w:cs="Calibri"/>
          <w:i/>
          <w:iCs/>
          <w:color w:val="auto"/>
          <w:szCs w:val="18"/>
        </w:rPr>
      </w:pPr>
      <w:r w:rsidRPr="00A4536F">
        <w:rPr>
          <w:rFonts w:cs="Calibri"/>
          <w:i/>
          <w:iCs/>
          <w:color w:val="auto"/>
          <w:szCs w:val="18"/>
        </w:rPr>
        <w:t>Thank you for your participation.</w:t>
      </w:r>
    </w:p>
    <w:p w14:paraId="0FE10AAB" w14:textId="77777777" w:rsidR="00315466" w:rsidRPr="00A4536F" w:rsidRDefault="001D4E15">
      <w:pPr>
        <w:spacing w:before="0" w:after="120"/>
        <w:rPr>
          <w:rFonts w:cs="Calibri"/>
          <w:color w:val="auto"/>
          <w:szCs w:val="18"/>
        </w:rPr>
      </w:pPr>
      <w:r w:rsidRPr="00A4536F">
        <w:rPr>
          <w:rFonts w:cs="Calibri"/>
          <w:color w:val="auto"/>
          <w:szCs w:val="18"/>
        </w:rPr>
        <w:br w:type="page"/>
      </w:r>
    </w:p>
    <w:p w14:paraId="4762F4D9" w14:textId="77777777" w:rsidR="00315466" w:rsidRPr="006C2FD4" w:rsidRDefault="001D4E15">
      <w:pPr>
        <w:pStyle w:val="Heading3"/>
        <w:spacing w:after="120" w:line="276" w:lineRule="auto"/>
        <w:rPr>
          <w:rFonts w:ascii="Verdana" w:hAnsi="Verdana" w:cs="Calibri"/>
          <w:color w:val="auto"/>
          <w:sz w:val="20"/>
          <w:szCs w:val="20"/>
          <w:lang w:val="en-GB"/>
        </w:rPr>
      </w:pPr>
      <w:bookmarkStart w:id="275" w:name="_Toc164582610"/>
      <w:bookmarkStart w:id="276" w:name="_Toc164287020"/>
      <w:bookmarkStart w:id="277" w:name="_Toc155938686"/>
      <w:bookmarkStart w:id="278" w:name="_Toc165828019"/>
      <w:bookmarkStart w:id="279" w:name="_Toc164324059"/>
      <w:bookmarkStart w:id="280" w:name="_Toc174559928"/>
      <w:bookmarkStart w:id="281" w:name="_Toc181278075"/>
      <w:r w:rsidRPr="006C2FD4">
        <w:rPr>
          <w:rFonts w:ascii="Verdana" w:hAnsi="Verdana" w:cs="Calibri"/>
          <w:color w:val="auto"/>
          <w:sz w:val="20"/>
          <w:szCs w:val="20"/>
          <w:lang w:val="en-GB"/>
        </w:rPr>
        <w:lastRenderedPageBreak/>
        <w:t>A.5.4 Survey Questionnaire for Project Beneficiaries</w:t>
      </w:r>
      <w:bookmarkEnd w:id="275"/>
      <w:bookmarkEnd w:id="276"/>
      <w:bookmarkEnd w:id="277"/>
      <w:bookmarkEnd w:id="278"/>
      <w:bookmarkEnd w:id="279"/>
      <w:bookmarkEnd w:id="280"/>
      <w:bookmarkEnd w:id="281"/>
    </w:p>
    <w:p w14:paraId="3A58018C" w14:textId="77777777" w:rsidR="00315466" w:rsidRPr="00A4536F" w:rsidRDefault="001D4E15">
      <w:pPr>
        <w:spacing w:before="0" w:after="120"/>
        <w:rPr>
          <w:rFonts w:cs="Calibri"/>
          <w:i/>
          <w:iCs/>
          <w:color w:val="auto"/>
          <w:szCs w:val="18"/>
        </w:rPr>
      </w:pPr>
      <w:r w:rsidRPr="00A4536F">
        <w:rPr>
          <w:rFonts w:cs="Calibri"/>
          <w:i/>
          <w:iCs/>
          <w:color w:val="auto"/>
          <w:szCs w:val="18"/>
        </w:rPr>
        <w:t>Introduction: Thank you for participating in this survey. Your insights are crucial in evaluating the Food Security and Livelihood (FSL) interventions. Please answer the following questions based on your experiences and perspectives.</w:t>
      </w:r>
    </w:p>
    <w:p w14:paraId="5D403418" w14:textId="77777777" w:rsidR="00315466" w:rsidRPr="00A4536F" w:rsidRDefault="001D4E15">
      <w:pPr>
        <w:spacing w:before="0" w:after="120"/>
        <w:rPr>
          <w:rFonts w:cs="Calibri"/>
          <w:b/>
          <w:bCs/>
          <w:color w:val="auto"/>
          <w:szCs w:val="18"/>
        </w:rPr>
      </w:pPr>
      <w:r w:rsidRPr="00A4536F">
        <w:rPr>
          <w:rFonts w:cs="Calibri"/>
          <w:b/>
          <w:bCs/>
          <w:color w:val="auto"/>
          <w:szCs w:val="18"/>
        </w:rPr>
        <w:t>Section 1: General Information</w:t>
      </w:r>
    </w:p>
    <w:p w14:paraId="031B6D91" w14:textId="77777777" w:rsidR="00315466" w:rsidRPr="00A4536F" w:rsidRDefault="001D4E15" w:rsidP="00D41C74">
      <w:pPr>
        <w:pStyle w:val="ListParagraph"/>
        <w:numPr>
          <w:ilvl w:val="0"/>
          <w:numId w:val="51"/>
        </w:numPr>
        <w:spacing w:after="120"/>
        <w:rPr>
          <w:rFonts w:ascii="Verdana" w:hAnsi="Verdana" w:cs="Calibri"/>
          <w:sz w:val="18"/>
          <w:szCs w:val="18"/>
        </w:rPr>
      </w:pPr>
      <w:r w:rsidRPr="00A4536F">
        <w:rPr>
          <w:rFonts w:ascii="Verdana" w:hAnsi="Verdana" w:cs="Calibri"/>
          <w:sz w:val="18"/>
          <w:szCs w:val="18"/>
        </w:rPr>
        <w:t>Demographic Information:</w:t>
      </w:r>
    </w:p>
    <w:p w14:paraId="4E46F5EB" w14:textId="77777777" w:rsidR="00315466" w:rsidRPr="00A4536F" w:rsidRDefault="001D4E15">
      <w:pPr>
        <w:spacing w:before="0" w:after="120"/>
        <w:rPr>
          <w:rFonts w:cs="Calibri"/>
          <w:color w:val="auto"/>
          <w:szCs w:val="18"/>
        </w:rPr>
      </w:pPr>
      <w:r w:rsidRPr="00A4536F">
        <w:rPr>
          <w:rFonts w:cs="Calibri"/>
          <w:color w:val="auto"/>
          <w:szCs w:val="18"/>
        </w:rPr>
        <w:t xml:space="preserve">1.1 Gender: </w:t>
      </w:r>
      <w:proofErr w:type="gramStart"/>
      <w:r w:rsidRPr="00A4536F">
        <w:rPr>
          <w:rFonts w:cs="Calibri"/>
          <w:color w:val="auto"/>
          <w:szCs w:val="18"/>
        </w:rPr>
        <w:t>[ ]</w:t>
      </w:r>
      <w:proofErr w:type="gramEnd"/>
      <w:r w:rsidRPr="00A4536F">
        <w:rPr>
          <w:rFonts w:cs="Calibri"/>
          <w:color w:val="auto"/>
          <w:szCs w:val="18"/>
        </w:rPr>
        <w:t xml:space="preserve"> Male [ ] Female [ ] Other</w:t>
      </w:r>
    </w:p>
    <w:p w14:paraId="13551297" w14:textId="77777777" w:rsidR="00315466" w:rsidRPr="00A4536F" w:rsidRDefault="001D4E15">
      <w:pPr>
        <w:spacing w:before="0" w:after="120"/>
        <w:rPr>
          <w:rFonts w:cs="Calibri"/>
          <w:color w:val="auto"/>
          <w:szCs w:val="18"/>
        </w:rPr>
      </w:pPr>
      <w:r w:rsidRPr="00A4536F">
        <w:rPr>
          <w:rFonts w:cs="Calibri"/>
          <w:color w:val="auto"/>
          <w:szCs w:val="18"/>
        </w:rPr>
        <w:t>1.2 Age: ________</w:t>
      </w:r>
    </w:p>
    <w:p w14:paraId="41B6E9A5" w14:textId="77777777" w:rsidR="00315466" w:rsidRPr="00A4536F" w:rsidRDefault="001D4E15">
      <w:pPr>
        <w:spacing w:before="0" w:after="120"/>
        <w:rPr>
          <w:rFonts w:cs="Calibri"/>
          <w:color w:val="auto"/>
          <w:szCs w:val="18"/>
        </w:rPr>
      </w:pPr>
      <w:r w:rsidRPr="00A4536F">
        <w:rPr>
          <w:rFonts w:cs="Calibri"/>
          <w:color w:val="auto"/>
          <w:szCs w:val="18"/>
        </w:rPr>
        <w:t>1.3 Region: ________</w:t>
      </w:r>
    </w:p>
    <w:p w14:paraId="212E4106" w14:textId="77777777" w:rsidR="00315466" w:rsidRPr="00A4536F" w:rsidRDefault="001D4E15">
      <w:pPr>
        <w:spacing w:before="0" w:after="120"/>
        <w:rPr>
          <w:rFonts w:cs="Calibri"/>
          <w:color w:val="auto"/>
          <w:szCs w:val="18"/>
        </w:rPr>
      </w:pPr>
      <w:r w:rsidRPr="00A4536F">
        <w:rPr>
          <w:rFonts w:cs="Calibri"/>
          <w:color w:val="auto"/>
          <w:szCs w:val="18"/>
        </w:rPr>
        <w:t>1.4 District -------------</w:t>
      </w:r>
    </w:p>
    <w:p w14:paraId="0681541B" w14:textId="77777777" w:rsidR="00315466" w:rsidRPr="00A4536F" w:rsidRDefault="001D4E15">
      <w:pPr>
        <w:spacing w:before="0" w:after="120"/>
        <w:rPr>
          <w:rFonts w:cs="Calibri"/>
          <w:color w:val="auto"/>
          <w:szCs w:val="18"/>
        </w:rPr>
      </w:pPr>
      <w:r w:rsidRPr="00A4536F">
        <w:rPr>
          <w:rFonts w:cs="Calibri"/>
          <w:color w:val="auto"/>
          <w:szCs w:val="18"/>
        </w:rPr>
        <w:t>1.5 Subcounty/Woreda</w:t>
      </w:r>
    </w:p>
    <w:p w14:paraId="2A8449E1" w14:textId="77777777" w:rsidR="00315466" w:rsidRPr="00A4536F" w:rsidRDefault="001D4E15">
      <w:pPr>
        <w:spacing w:before="0" w:after="120"/>
        <w:rPr>
          <w:rFonts w:cs="Calibri"/>
          <w:color w:val="auto"/>
          <w:szCs w:val="18"/>
        </w:rPr>
      </w:pPr>
      <w:r w:rsidRPr="00A4536F">
        <w:rPr>
          <w:rFonts w:cs="Calibri"/>
          <w:color w:val="auto"/>
          <w:szCs w:val="18"/>
        </w:rPr>
        <w:t xml:space="preserve">1.6 Marital </w:t>
      </w:r>
      <w:proofErr w:type="gramStart"/>
      <w:r w:rsidRPr="00A4536F">
        <w:rPr>
          <w:rFonts w:cs="Calibri"/>
          <w:color w:val="auto"/>
          <w:szCs w:val="18"/>
        </w:rPr>
        <w:t>status  [</w:t>
      </w:r>
      <w:proofErr w:type="gramEnd"/>
      <w:r w:rsidRPr="00A4536F">
        <w:rPr>
          <w:rFonts w:cs="Calibri"/>
          <w:color w:val="auto"/>
          <w:szCs w:val="18"/>
        </w:rPr>
        <w:t xml:space="preserve"> ] Single [ ] Married [ ] Widowed [  ] Separated  </w:t>
      </w:r>
    </w:p>
    <w:p w14:paraId="30130DD0" w14:textId="77777777" w:rsidR="00315466" w:rsidRPr="00A4536F" w:rsidRDefault="001D4E15" w:rsidP="00D41C74">
      <w:pPr>
        <w:pStyle w:val="ListParagraph"/>
        <w:numPr>
          <w:ilvl w:val="0"/>
          <w:numId w:val="51"/>
        </w:numPr>
        <w:spacing w:after="120"/>
        <w:rPr>
          <w:rFonts w:ascii="Verdana" w:hAnsi="Verdana" w:cs="Calibri"/>
          <w:b/>
          <w:bCs/>
          <w:sz w:val="18"/>
          <w:szCs w:val="18"/>
        </w:rPr>
      </w:pPr>
      <w:r w:rsidRPr="00A4536F">
        <w:rPr>
          <w:rFonts w:ascii="Verdana" w:hAnsi="Verdana" w:cs="Calibri"/>
          <w:b/>
          <w:bCs/>
          <w:sz w:val="18"/>
          <w:szCs w:val="18"/>
        </w:rPr>
        <w:t>Project Participation:</w:t>
      </w:r>
    </w:p>
    <w:p w14:paraId="6605AC91" w14:textId="77777777" w:rsidR="00315466" w:rsidRPr="00A4536F" w:rsidRDefault="001D4E15">
      <w:pPr>
        <w:spacing w:before="0" w:after="120"/>
        <w:rPr>
          <w:rFonts w:cs="Calibri"/>
          <w:color w:val="auto"/>
          <w:szCs w:val="18"/>
        </w:rPr>
      </w:pPr>
      <w:r w:rsidRPr="00A4536F">
        <w:rPr>
          <w:rFonts w:cs="Calibri"/>
          <w:color w:val="auto"/>
          <w:szCs w:val="18"/>
        </w:rPr>
        <w:t xml:space="preserve">2.1 Are you aware of Oxfam/Plan International and its partner [mention the partner organisation] in your area? </w:t>
      </w:r>
      <w:proofErr w:type="gramStart"/>
      <w:r w:rsidRPr="00A4536F">
        <w:rPr>
          <w:rFonts w:cs="Calibri"/>
          <w:color w:val="auto"/>
          <w:szCs w:val="18"/>
        </w:rPr>
        <w:t>[ ]</w:t>
      </w:r>
      <w:proofErr w:type="gramEnd"/>
      <w:r w:rsidRPr="00A4536F">
        <w:rPr>
          <w:rFonts w:cs="Calibri"/>
          <w:color w:val="auto"/>
          <w:szCs w:val="18"/>
        </w:rPr>
        <w:t xml:space="preserve"> Yes [ ] No</w:t>
      </w:r>
    </w:p>
    <w:p w14:paraId="02BA25E0" w14:textId="77777777" w:rsidR="00315466" w:rsidRPr="00A4536F" w:rsidRDefault="001D4E15">
      <w:pPr>
        <w:spacing w:before="0" w:after="120"/>
        <w:rPr>
          <w:rFonts w:cs="Calibri"/>
          <w:b/>
          <w:bCs/>
          <w:color w:val="auto"/>
          <w:szCs w:val="18"/>
        </w:rPr>
      </w:pPr>
      <w:r w:rsidRPr="00A4536F">
        <w:rPr>
          <w:rFonts w:cs="Calibri"/>
          <w:b/>
          <w:bCs/>
          <w:color w:val="auto"/>
          <w:szCs w:val="18"/>
        </w:rPr>
        <w:t>Section 2: Project Impact</w:t>
      </w:r>
    </w:p>
    <w:p w14:paraId="3A4BA4C5" w14:textId="77777777" w:rsidR="00315466" w:rsidRPr="00A4536F" w:rsidRDefault="001D4E15" w:rsidP="00D41C74">
      <w:pPr>
        <w:pStyle w:val="ListParagraph"/>
        <w:numPr>
          <w:ilvl w:val="0"/>
          <w:numId w:val="51"/>
        </w:numPr>
        <w:spacing w:after="120"/>
        <w:rPr>
          <w:rFonts w:ascii="Verdana" w:hAnsi="Verdana" w:cs="Calibri"/>
          <w:sz w:val="18"/>
          <w:szCs w:val="18"/>
        </w:rPr>
      </w:pPr>
      <w:r w:rsidRPr="00A4536F">
        <w:rPr>
          <w:rFonts w:ascii="Verdana" w:hAnsi="Verdana" w:cs="Calibri"/>
          <w:sz w:val="18"/>
          <w:szCs w:val="18"/>
        </w:rPr>
        <w:t>Reaching Intended Participants:</w:t>
      </w:r>
    </w:p>
    <w:p w14:paraId="02FCDB5C" w14:textId="77777777" w:rsidR="00315466" w:rsidRPr="00A4536F" w:rsidRDefault="001D4E15" w:rsidP="00D41C74">
      <w:pPr>
        <w:pStyle w:val="ListParagraph"/>
        <w:numPr>
          <w:ilvl w:val="1"/>
          <w:numId w:val="52"/>
        </w:numPr>
        <w:spacing w:after="120"/>
        <w:rPr>
          <w:rFonts w:ascii="Verdana" w:hAnsi="Verdana" w:cs="Calibri"/>
          <w:sz w:val="18"/>
          <w:szCs w:val="18"/>
        </w:rPr>
      </w:pPr>
      <w:r w:rsidRPr="00A4536F">
        <w:rPr>
          <w:rFonts w:ascii="Verdana" w:hAnsi="Verdana" w:cs="Calibri"/>
          <w:sz w:val="18"/>
          <w:szCs w:val="18"/>
        </w:rPr>
        <w:t xml:space="preserve">Have you received any specific help from these interventions? </w:t>
      </w:r>
      <w:proofErr w:type="gramStart"/>
      <w:r w:rsidRPr="00A4536F">
        <w:rPr>
          <w:rFonts w:ascii="Verdana" w:hAnsi="Verdana" w:cs="Calibri"/>
          <w:sz w:val="18"/>
          <w:szCs w:val="18"/>
        </w:rPr>
        <w:t>[ ]</w:t>
      </w:r>
      <w:proofErr w:type="gramEnd"/>
      <w:r w:rsidRPr="00A4536F">
        <w:rPr>
          <w:rFonts w:ascii="Verdana" w:hAnsi="Verdana" w:cs="Calibri"/>
          <w:sz w:val="18"/>
          <w:szCs w:val="18"/>
        </w:rPr>
        <w:t xml:space="preserve"> Yes [ ] No</w:t>
      </w:r>
    </w:p>
    <w:p w14:paraId="39780EF8" w14:textId="77777777" w:rsidR="00315466" w:rsidRPr="00A4536F" w:rsidRDefault="001D4E15">
      <w:pPr>
        <w:spacing w:before="0" w:after="120"/>
        <w:rPr>
          <w:rFonts w:cs="Calibri"/>
          <w:color w:val="auto"/>
          <w:szCs w:val="18"/>
        </w:rPr>
      </w:pPr>
      <w:r w:rsidRPr="00A4536F">
        <w:rPr>
          <w:rFonts w:cs="Calibri"/>
          <w:color w:val="auto"/>
          <w:szCs w:val="18"/>
        </w:rPr>
        <w:t>3.2 If yes, what specific help did you receive? (Please check all that apply)</w:t>
      </w:r>
    </w:p>
    <w:p w14:paraId="4DE322ED" w14:textId="77777777" w:rsidR="00315466" w:rsidRPr="00A4536F" w:rsidRDefault="001D4E15" w:rsidP="00D41C74">
      <w:pPr>
        <w:pStyle w:val="ListParagraph"/>
        <w:numPr>
          <w:ilvl w:val="0"/>
          <w:numId w:val="53"/>
        </w:numPr>
        <w:spacing w:after="120"/>
        <w:rPr>
          <w:rFonts w:ascii="Verdana" w:hAnsi="Verdana" w:cs="Calibri"/>
          <w:sz w:val="18"/>
          <w:szCs w:val="18"/>
        </w:rPr>
      </w:pPr>
      <w:r w:rsidRPr="00A4536F">
        <w:rPr>
          <w:rFonts w:ascii="Verdana" w:hAnsi="Verdana" w:cs="Calibri"/>
          <w:sz w:val="18"/>
          <w:szCs w:val="18"/>
        </w:rPr>
        <w:t>Emergency nutrition interventions</w:t>
      </w:r>
    </w:p>
    <w:p w14:paraId="1DBFBEFB" w14:textId="77777777" w:rsidR="00315466" w:rsidRPr="00A4536F" w:rsidRDefault="001D4E15" w:rsidP="00D41C74">
      <w:pPr>
        <w:pStyle w:val="ListParagraph"/>
        <w:numPr>
          <w:ilvl w:val="0"/>
          <w:numId w:val="53"/>
        </w:numPr>
        <w:spacing w:after="120"/>
        <w:rPr>
          <w:rFonts w:ascii="Verdana" w:hAnsi="Verdana" w:cs="Calibri"/>
          <w:sz w:val="18"/>
          <w:szCs w:val="18"/>
        </w:rPr>
      </w:pPr>
      <w:r w:rsidRPr="00A4536F">
        <w:rPr>
          <w:rFonts w:ascii="Verdana" w:hAnsi="Verdana" w:cs="Calibri"/>
          <w:sz w:val="18"/>
          <w:szCs w:val="18"/>
        </w:rPr>
        <w:t xml:space="preserve">Cash assistance </w:t>
      </w:r>
      <w:proofErr w:type="gramStart"/>
      <w:r w:rsidRPr="00A4536F">
        <w:rPr>
          <w:rFonts w:ascii="Verdana" w:hAnsi="Verdana" w:cs="Calibri"/>
          <w:sz w:val="18"/>
          <w:szCs w:val="18"/>
        </w:rPr>
        <w:t>transfers</w:t>
      </w:r>
      <w:proofErr w:type="gramEnd"/>
    </w:p>
    <w:p w14:paraId="600E77B3" w14:textId="77777777" w:rsidR="00315466" w:rsidRPr="00A4536F" w:rsidRDefault="001D4E15" w:rsidP="00D41C74">
      <w:pPr>
        <w:pStyle w:val="ListParagraph"/>
        <w:numPr>
          <w:ilvl w:val="0"/>
          <w:numId w:val="53"/>
        </w:numPr>
        <w:spacing w:after="120"/>
        <w:rPr>
          <w:rFonts w:ascii="Verdana" w:hAnsi="Verdana" w:cs="Calibri"/>
          <w:sz w:val="18"/>
          <w:szCs w:val="18"/>
        </w:rPr>
      </w:pPr>
      <w:r w:rsidRPr="00A4536F">
        <w:rPr>
          <w:rFonts w:ascii="Verdana" w:hAnsi="Verdana" w:cs="Calibri"/>
          <w:sz w:val="18"/>
          <w:szCs w:val="18"/>
        </w:rPr>
        <w:t>Agricultural inputs</w:t>
      </w:r>
    </w:p>
    <w:p w14:paraId="26130A09" w14:textId="77777777" w:rsidR="00315466" w:rsidRPr="00A4536F" w:rsidRDefault="001D4E15" w:rsidP="00D41C74">
      <w:pPr>
        <w:pStyle w:val="ListParagraph"/>
        <w:numPr>
          <w:ilvl w:val="0"/>
          <w:numId w:val="53"/>
        </w:numPr>
        <w:spacing w:after="120"/>
        <w:rPr>
          <w:rFonts w:ascii="Verdana" w:hAnsi="Verdana" w:cs="Calibri"/>
          <w:sz w:val="18"/>
          <w:szCs w:val="18"/>
        </w:rPr>
      </w:pPr>
      <w:r w:rsidRPr="00A4536F">
        <w:rPr>
          <w:rFonts w:ascii="Verdana" w:hAnsi="Verdana" w:cs="Calibri"/>
          <w:sz w:val="18"/>
          <w:szCs w:val="18"/>
        </w:rPr>
        <w:t xml:space="preserve">Cash for work </w:t>
      </w:r>
      <w:proofErr w:type="gramStart"/>
      <w:r w:rsidRPr="00A4536F">
        <w:rPr>
          <w:rFonts w:ascii="Verdana" w:hAnsi="Verdana" w:cs="Calibri"/>
          <w:sz w:val="18"/>
          <w:szCs w:val="18"/>
        </w:rPr>
        <w:t>activities</w:t>
      </w:r>
      <w:proofErr w:type="gramEnd"/>
    </w:p>
    <w:p w14:paraId="4374C659" w14:textId="77777777" w:rsidR="00315466" w:rsidRPr="00A4536F" w:rsidRDefault="001D4E15" w:rsidP="00D41C74">
      <w:pPr>
        <w:pStyle w:val="ListParagraph"/>
        <w:numPr>
          <w:ilvl w:val="0"/>
          <w:numId w:val="53"/>
        </w:numPr>
        <w:spacing w:after="120"/>
        <w:rPr>
          <w:rFonts w:ascii="Verdana" w:hAnsi="Verdana" w:cs="Calibri"/>
          <w:sz w:val="18"/>
          <w:szCs w:val="18"/>
        </w:rPr>
      </w:pPr>
      <w:r w:rsidRPr="00A4536F">
        <w:rPr>
          <w:rFonts w:ascii="Verdana" w:hAnsi="Verdana" w:cs="Calibri"/>
          <w:sz w:val="18"/>
          <w:szCs w:val="18"/>
        </w:rPr>
        <w:t xml:space="preserve">Other- </w:t>
      </w:r>
      <w:proofErr w:type="gramStart"/>
      <w:r w:rsidRPr="00A4536F">
        <w:rPr>
          <w:rFonts w:ascii="Verdana" w:hAnsi="Verdana" w:cs="Calibri"/>
          <w:sz w:val="18"/>
          <w:szCs w:val="18"/>
        </w:rPr>
        <w:t>specify</w:t>
      </w:r>
      <w:proofErr w:type="gramEnd"/>
    </w:p>
    <w:p w14:paraId="71EA1E51" w14:textId="77777777" w:rsidR="00315466" w:rsidRPr="00A4536F" w:rsidRDefault="001D4E15">
      <w:pPr>
        <w:spacing w:before="0" w:after="120"/>
        <w:rPr>
          <w:rFonts w:cs="Calibri"/>
          <w:color w:val="auto"/>
          <w:szCs w:val="18"/>
        </w:rPr>
      </w:pPr>
      <w:r w:rsidRPr="00A4536F">
        <w:rPr>
          <w:rFonts w:cs="Calibri"/>
          <w:color w:val="auto"/>
          <w:szCs w:val="18"/>
        </w:rPr>
        <w:t>4. Adaptation to Changes</w:t>
      </w:r>
    </w:p>
    <w:p w14:paraId="3D9A0F66" w14:textId="77777777" w:rsidR="00315466" w:rsidRPr="00A4536F" w:rsidRDefault="001D4E15">
      <w:pPr>
        <w:spacing w:before="0" w:after="120"/>
        <w:rPr>
          <w:rFonts w:cs="Calibri"/>
          <w:color w:val="auto"/>
          <w:szCs w:val="18"/>
        </w:rPr>
      </w:pPr>
      <w:r w:rsidRPr="00A4536F">
        <w:rPr>
          <w:rFonts w:cs="Calibri"/>
          <w:color w:val="auto"/>
          <w:szCs w:val="18"/>
        </w:rPr>
        <w:t xml:space="preserve">4.1 Have you noticed any changes in the project activities? Have you noticed any changes in the project activities over time? </w:t>
      </w:r>
      <w:proofErr w:type="gramStart"/>
      <w:r w:rsidRPr="00A4536F">
        <w:rPr>
          <w:rFonts w:cs="Calibri"/>
          <w:color w:val="auto"/>
          <w:szCs w:val="18"/>
        </w:rPr>
        <w:t>[ ]</w:t>
      </w:r>
      <w:proofErr w:type="gramEnd"/>
      <w:r w:rsidRPr="00A4536F">
        <w:rPr>
          <w:rFonts w:cs="Calibri"/>
          <w:color w:val="auto"/>
          <w:szCs w:val="18"/>
        </w:rPr>
        <w:t xml:space="preserve"> Yes [ ] No</w:t>
      </w:r>
    </w:p>
    <w:p w14:paraId="5A4D8D33" w14:textId="77777777" w:rsidR="00315466" w:rsidRPr="00A4536F" w:rsidRDefault="001D4E15">
      <w:pPr>
        <w:spacing w:before="0" w:after="120"/>
        <w:rPr>
          <w:rFonts w:cs="Calibri"/>
          <w:color w:val="auto"/>
          <w:szCs w:val="18"/>
        </w:rPr>
      </w:pPr>
      <w:r w:rsidRPr="00A4536F">
        <w:rPr>
          <w:rFonts w:cs="Calibri"/>
          <w:color w:val="auto"/>
          <w:szCs w:val="18"/>
        </w:rPr>
        <w:t xml:space="preserve">4.2 If yes, please describe any changes you </w:t>
      </w:r>
      <w:proofErr w:type="gramStart"/>
      <w:r w:rsidRPr="00A4536F">
        <w:rPr>
          <w:rFonts w:cs="Calibri"/>
          <w:color w:val="auto"/>
          <w:szCs w:val="18"/>
        </w:rPr>
        <w:t>observed</w:t>
      </w:r>
      <w:proofErr w:type="gramEnd"/>
    </w:p>
    <w:p w14:paraId="6C2ED2DD" w14:textId="77777777" w:rsidR="00315466" w:rsidRPr="00A4536F" w:rsidRDefault="001D4E15">
      <w:pPr>
        <w:spacing w:before="0" w:after="120"/>
        <w:rPr>
          <w:rFonts w:cs="Calibri"/>
          <w:color w:val="auto"/>
          <w:szCs w:val="18"/>
        </w:rPr>
      </w:pPr>
      <w:r w:rsidRPr="00A4536F">
        <w:rPr>
          <w:rFonts w:cs="Calibri"/>
          <w:color w:val="auto"/>
          <w:szCs w:val="18"/>
        </w:rPr>
        <w:t>……………………………………………………………………………………………………………………………………………</w:t>
      </w:r>
    </w:p>
    <w:p w14:paraId="5B5C535B" w14:textId="77777777" w:rsidR="00315466" w:rsidRPr="00A4536F" w:rsidRDefault="001D4E15">
      <w:pPr>
        <w:spacing w:before="0" w:after="120"/>
        <w:rPr>
          <w:rFonts w:cs="Calibri"/>
          <w:color w:val="auto"/>
          <w:szCs w:val="18"/>
        </w:rPr>
      </w:pPr>
      <w:r w:rsidRPr="00A4536F">
        <w:rPr>
          <w:rFonts w:cs="Calibri"/>
          <w:color w:val="auto"/>
          <w:szCs w:val="18"/>
        </w:rPr>
        <w:t>……………………………………………………………………………………………………………………………………………</w:t>
      </w:r>
    </w:p>
    <w:p w14:paraId="7FF6B9A0" w14:textId="77777777" w:rsidR="00315466" w:rsidRPr="00A4536F" w:rsidRDefault="001D4E15">
      <w:pPr>
        <w:spacing w:before="0" w:after="120"/>
        <w:rPr>
          <w:rFonts w:cs="Calibri"/>
          <w:color w:val="auto"/>
          <w:szCs w:val="18"/>
        </w:rPr>
      </w:pPr>
      <w:r w:rsidRPr="00A4536F">
        <w:rPr>
          <w:rFonts w:cs="Calibri"/>
          <w:color w:val="auto"/>
          <w:szCs w:val="18"/>
        </w:rPr>
        <w:t>…………………………………………………………………………………………………………………………………………..</w:t>
      </w:r>
    </w:p>
    <w:p w14:paraId="373C1AB9" w14:textId="77777777" w:rsidR="00315466" w:rsidRPr="00A4536F" w:rsidRDefault="001D4E15">
      <w:pPr>
        <w:spacing w:before="0" w:after="120"/>
        <w:rPr>
          <w:rFonts w:cs="Calibri"/>
          <w:color w:val="auto"/>
          <w:szCs w:val="18"/>
        </w:rPr>
      </w:pPr>
      <w:r w:rsidRPr="00A4536F">
        <w:rPr>
          <w:rFonts w:cs="Calibri"/>
          <w:color w:val="auto"/>
          <w:szCs w:val="18"/>
        </w:rPr>
        <w:t>5. Coordination and Collaboration:</w:t>
      </w:r>
    </w:p>
    <w:p w14:paraId="17D9FEC1" w14:textId="77777777" w:rsidR="00315466" w:rsidRPr="00A4536F" w:rsidRDefault="001D4E15">
      <w:pPr>
        <w:spacing w:before="0" w:after="120"/>
        <w:rPr>
          <w:rFonts w:cs="Calibri"/>
          <w:color w:val="auto"/>
          <w:szCs w:val="18"/>
        </w:rPr>
      </w:pPr>
      <w:r w:rsidRPr="00A4536F">
        <w:rPr>
          <w:rFonts w:cs="Calibri"/>
          <w:color w:val="auto"/>
          <w:szCs w:val="18"/>
        </w:rPr>
        <w:t xml:space="preserve">5.1 Does the [mention the implementing organisation] coordinating with other actors while planning and implementing its activities in your area? </w:t>
      </w:r>
      <w:proofErr w:type="gramStart"/>
      <w:r w:rsidRPr="00A4536F">
        <w:rPr>
          <w:rFonts w:cs="Calibri"/>
          <w:color w:val="auto"/>
          <w:szCs w:val="18"/>
        </w:rPr>
        <w:t>[ ]</w:t>
      </w:r>
      <w:proofErr w:type="gramEnd"/>
      <w:r w:rsidRPr="00A4536F">
        <w:rPr>
          <w:rFonts w:cs="Calibri"/>
          <w:color w:val="auto"/>
          <w:szCs w:val="18"/>
        </w:rPr>
        <w:t xml:space="preserve"> Yes [ ] No</w:t>
      </w:r>
    </w:p>
    <w:p w14:paraId="210EF9E6" w14:textId="77777777" w:rsidR="00315466" w:rsidRPr="00A4536F" w:rsidRDefault="001D4E15">
      <w:pPr>
        <w:spacing w:before="0" w:after="120"/>
        <w:rPr>
          <w:rFonts w:cs="Calibri"/>
          <w:color w:val="auto"/>
          <w:szCs w:val="18"/>
        </w:rPr>
      </w:pPr>
      <w:r w:rsidRPr="00A4536F">
        <w:rPr>
          <w:rFonts w:cs="Calibri"/>
          <w:color w:val="auto"/>
          <w:szCs w:val="18"/>
        </w:rPr>
        <w:t>6. Results for Different Groups:</w:t>
      </w:r>
    </w:p>
    <w:p w14:paraId="5695A07B" w14:textId="3886F9AD" w:rsidR="00315466" w:rsidRPr="00A4536F" w:rsidRDefault="001D4E15">
      <w:pPr>
        <w:spacing w:before="0" w:after="120"/>
        <w:rPr>
          <w:rFonts w:cs="Calibri"/>
          <w:color w:val="auto"/>
          <w:szCs w:val="18"/>
        </w:rPr>
      </w:pPr>
      <w:r w:rsidRPr="00A4536F">
        <w:rPr>
          <w:rFonts w:cs="Calibri"/>
          <w:color w:val="auto"/>
          <w:szCs w:val="18"/>
        </w:rPr>
        <w:t xml:space="preserve">6.1 In your opinion, has the project shown different results for various groups such as women, men, girls, boys, or </w:t>
      </w:r>
      <w:r w:rsidR="009A48D7">
        <w:rPr>
          <w:rFonts w:cs="Calibri"/>
          <w:color w:val="auto"/>
          <w:szCs w:val="18"/>
        </w:rPr>
        <w:t>people</w:t>
      </w:r>
      <w:r w:rsidRPr="00A4536F">
        <w:rPr>
          <w:rFonts w:cs="Calibri"/>
          <w:color w:val="auto"/>
          <w:szCs w:val="18"/>
        </w:rPr>
        <w:t xml:space="preserve"> with disabilities? </w:t>
      </w:r>
      <w:proofErr w:type="gramStart"/>
      <w:r w:rsidRPr="00A4536F">
        <w:rPr>
          <w:rFonts w:cs="Calibri"/>
          <w:color w:val="auto"/>
          <w:szCs w:val="18"/>
        </w:rPr>
        <w:t>[ ]</w:t>
      </w:r>
      <w:proofErr w:type="gramEnd"/>
      <w:r w:rsidRPr="00A4536F">
        <w:rPr>
          <w:rFonts w:cs="Calibri"/>
          <w:color w:val="auto"/>
          <w:szCs w:val="18"/>
        </w:rPr>
        <w:t xml:space="preserve"> Yes [ ] No</w:t>
      </w:r>
    </w:p>
    <w:p w14:paraId="453A63CD" w14:textId="77777777" w:rsidR="00315466" w:rsidRPr="00A4536F" w:rsidRDefault="001D4E15">
      <w:pPr>
        <w:spacing w:before="0" w:after="120"/>
        <w:rPr>
          <w:rFonts w:cs="Calibri"/>
          <w:color w:val="auto"/>
          <w:szCs w:val="18"/>
        </w:rPr>
      </w:pPr>
      <w:r w:rsidRPr="00A4536F">
        <w:rPr>
          <w:rFonts w:cs="Calibri"/>
          <w:color w:val="auto"/>
          <w:szCs w:val="18"/>
        </w:rPr>
        <w:t>6.2 If yes, explain ………………………………………………………………………………………………………………</w:t>
      </w:r>
    </w:p>
    <w:p w14:paraId="6C13967F" w14:textId="77777777" w:rsidR="00315466" w:rsidRPr="00A4536F" w:rsidRDefault="001D4E15">
      <w:pPr>
        <w:spacing w:before="0" w:after="120"/>
        <w:rPr>
          <w:rFonts w:cs="Calibri"/>
          <w:color w:val="auto"/>
          <w:szCs w:val="18"/>
        </w:rPr>
      </w:pPr>
      <w:r w:rsidRPr="00A4536F">
        <w:rPr>
          <w:rFonts w:cs="Calibri"/>
          <w:color w:val="auto"/>
          <w:szCs w:val="18"/>
        </w:rPr>
        <w:t>---------------------------------------------------------------------------------------------------</w:t>
      </w:r>
    </w:p>
    <w:p w14:paraId="46817CF9" w14:textId="77777777" w:rsidR="00315466" w:rsidRPr="00A4536F" w:rsidRDefault="001D4E15">
      <w:pPr>
        <w:spacing w:before="0" w:after="120"/>
        <w:rPr>
          <w:rFonts w:cs="Calibri"/>
          <w:b/>
          <w:bCs/>
          <w:color w:val="auto"/>
          <w:szCs w:val="18"/>
        </w:rPr>
      </w:pPr>
      <w:r w:rsidRPr="00A4536F">
        <w:rPr>
          <w:rFonts w:cs="Calibri"/>
          <w:b/>
          <w:bCs/>
          <w:color w:val="auto"/>
          <w:szCs w:val="18"/>
        </w:rPr>
        <w:t>Section 3: Project Experience</w:t>
      </w:r>
    </w:p>
    <w:p w14:paraId="70A43997" w14:textId="77777777" w:rsidR="00315466" w:rsidRPr="00A4536F" w:rsidRDefault="001D4E15">
      <w:pPr>
        <w:spacing w:before="0" w:after="120"/>
        <w:rPr>
          <w:rFonts w:cs="Calibri"/>
          <w:color w:val="auto"/>
          <w:szCs w:val="18"/>
        </w:rPr>
      </w:pPr>
      <w:r w:rsidRPr="00A4536F">
        <w:rPr>
          <w:rFonts w:cs="Calibri"/>
          <w:color w:val="auto"/>
          <w:szCs w:val="18"/>
        </w:rPr>
        <w:t>7, Barriers and Enablers:</w:t>
      </w:r>
    </w:p>
    <w:p w14:paraId="67424D97" w14:textId="77777777" w:rsidR="00315466" w:rsidRPr="00A4536F" w:rsidRDefault="001D4E15">
      <w:pPr>
        <w:spacing w:before="0" w:after="120"/>
        <w:rPr>
          <w:rFonts w:cs="Calibri"/>
          <w:color w:val="auto"/>
          <w:szCs w:val="18"/>
        </w:rPr>
      </w:pPr>
      <w:r w:rsidRPr="00A4536F">
        <w:rPr>
          <w:rFonts w:cs="Calibri"/>
          <w:color w:val="auto"/>
          <w:szCs w:val="18"/>
        </w:rPr>
        <w:lastRenderedPageBreak/>
        <w:t>7.1 Have there been any challenges or positive factors that have affected the project's success in your community? Please share your experiences:</w:t>
      </w:r>
    </w:p>
    <w:p w14:paraId="75A77DE2" w14:textId="77777777" w:rsidR="00315466" w:rsidRPr="00A4536F" w:rsidRDefault="001D4E15">
      <w:pPr>
        <w:spacing w:before="0" w:after="120"/>
        <w:rPr>
          <w:rFonts w:cs="Calibri"/>
          <w:color w:val="auto"/>
          <w:szCs w:val="18"/>
        </w:rPr>
      </w:pPr>
      <w:r w:rsidRPr="00A4536F">
        <w:rPr>
          <w:rFonts w:cs="Calibri"/>
          <w:color w:val="auto"/>
          <w:szCs w:val="18"/>
        </w:rPr>
        <w:t>………………………………………………………………………………………………………………………………………………………..</w:t>
      </w:r>
    </w:p>
    <w:p w14:paraId="359533C0" w14:textId="77777777" w:rsidR="00315466" w:rsidRPr="00A4536F" w:rsidRDefault="001D4E15">
      <w:pPr>
        <w:spacing w:before="0" w:after="120"/>
        <w:rPr>
          <w:rFonts w:cs="Calibri"/>
          <w:color w:val="auto"/>
          <w:szCs w:val="18"/>
        </w:rPr>
      </w:pPr>
      <w:r w:rsidRPr="00A4536F">
        <w:rPr>
          <w:rFonts w:cs="Calibri"/>
          <w:color w:val="auto"/>
          <w:szCs w:val="18"/>
        </w:rPr>
        <w:t>………………………………………………………………………………………………………………………………………………………..</w:t>
      </w:r>
    </w:p>
    <w:p w14:paraId="37EF0EEA" w14:textId="77777777" w:rsidR="00315466" w:rsidRPr="00A4536F" w:rsidRDefault="001D4E15">
      <w:pPr>
        <w:spacing w:before="0" w:after="120"/>
        <w:rPr>
          <w:rFonts w:cs="Calibri"/>
          <w:color w:val="auto"/>
          <w:szCs w:val="18"/>
        </w:rPr>
      </w:pPr>
      <w:r w:rsidRPr="00A4536F">
        <w:rPr>
          <w:rFonts w:cs="Calibri"/>
          <w:color w:val="auto"/>
          <w:szCs w:val="18"/>
        </w:rPr>
        <w:t>8. Protection Measures:</w:t>
      </w:r>
    </w:p>
    <w:p w14:paraId="691BE964" w14:textId="77777777" w:rsidR="00315466" w:rsidRPr="00A4536F" w:rsidRDefault="001D4E15">
      <w:pPr>
        <w:spacing w:before="0" w:after="120"/>
        <w:rPr>
          <w:rFonts w:cs="Calibri"/>
          <w:color w:val="auto"/>
          <w:szCs w:val="18"/>
        </w:rPr>
      </w:pPr>
      <w:r w:rsidRPr="00A4536F">
        <w:rPr>
          <w:rFonts w:cs="Calibri"/>
          <w:color w:val="auto"/>
          <w:szCs w:val="18"/>
        </w:rPr>
        <w:t xml:space="preserve">8.1 Did the project offer enough protection measures, like psycho-social support? </w:t>
      </w:r>
      <w:proofErr w:type="gramStart"/>
      <w:r w:rsidRPr="00A4536F">
        <w:rPr>
          <w:rFonts w:cs="Calibri"/>
          <w:color w:val="auto"/>
          <w:szCs w:val="18"/>
        </w:rPr>
        <w:t>[ ]</w:t>
      </w:r>
      <w:proofErr w:type="gramEnd"/>
      <w:r w:rsidRPr="00A4536F">
        <w:rPr>
          <w:rFonts w:cs="Calibri"/>
          <w:color w:val="auto"/>
          <w:szCs w:val="18"/>
        </w:rPr>
        <w:t xml:space="preserve"> Yes [ ] No</w:t>
      </w:r>
    </w:p>
    <w:p w14:paraId="6ED59EFB" w14:textId="77777777" w:rsidR="00315466" w:rsidRPr="00A4536F" w:rsidRDefault="001D4E15">
      <w:pPr>
        <w:spacing w:before="0" w:after="120"/>
        <w:rPr>
          <w:rFonts w:cs="Calibri"/>
          <w:color w:val="auto"/>
          <w:szCs w:val="18"/>
        </w:rPr>
      </w:pPr>
      <w:r w:rsidRPr="00A4536F">
        <w:rPr>
          <w:rFonts w:cs="Calibri"/>
          <w:color w:val="auto"/>
          <w:szCs w:val="18"/>
        </w:rPr>
        <w:t>9. Timeliness and Economic Delivery:</w:t>
      </w:r>
    </w:p>
    <w:p w14:paraId="1440F47A" w14:textId="77777777" w:rsidR="00315466" w:rsidRPr="00A4536F" w:rsidRDefault="001D4E15">
      <w:pPr>
        <w:spacing w:before="0" w:after="120"/>
        <w:rPr>
          <w:rFonts w:cs="Calibri"/>
          <w:color w:val="auto"/>
          <w:szCs w:val="18"/>
        </w:rPr>
      </w:pPr>
      <w:r w:rsidRPr="00A4536F">
        <w:rPr>
          <w:rFonts w:cs="Calibri"/>
          <w:color w:val="auto"/>
          <w:szCs w:val="18"/>
        </w:rPr>
        <w:t xml:space="preserve">9.1 On the scale of 1-5 rate the timeliness and economic delivery of the project interventions. (Scale: 1 is not effective, 5 is very effective) </w:t>
      </w:r>
    </w:p>
    <w:p w14:paraId="1AEFB860" w14:textId="77777777" w:rsidR="00315466" w:rsidRPr="00A4536F" w:rsidRDefault="001D4E15">
      <w:pPr>
        <w:spacing w:before="0" w:after="120"/>
        <w:rPr>
          <w:rFonts w:cs="Calibri"/>
          <w:b/>
          <w:bCs/>
          <w:color w:val="auto"/>
          <w:szCs w:val="18"/>
        </w:rPr>
      </w:pPr>
      <w:r w:rsidRPr="00A4536F">
        <w:rPr>
          <w:rFonts w:cs="Calibri"/>
          <w:b/>
          <w:bCs/>
          <w:color w:val="auto"/>
          <w:szCs w:val="18"/>
        </w:rPr>
        <w:t>Section 4: Project Long-Term Effects</w:t>
      </w:r>
    </w:p>
    <w:p w14:paraId="7980FC5C" w14:textId="77777777" w:rsidR="00315466" w:rsidRPr="00A4536F" w:rsidRDefault="001D4E15">
      <w:pPr>
        <w:spacing w:before="0" w:after="120"/>
        <w:rPr>
          <w:rFonts w:cs="Calibri"/>
          <w:color w:val="auto"/>
          <w:szCs w:val="18"/>
        </w:rPr>
      </w:pPr>
      <w:r w:rsidRPr="00A4536F">
        <w:rPr>
          <w:rFonts w:cs="Calibri"/>
          <w:color w:val="auto"/>
          <w:szCs w:val="18"/>
        </w:rPr>
        <w:t>10. Medium-Term Effects:</w:t>
      </w:r>
    </w:p>
    <w:p w14:paraId="645E4C2E" w14:textId="77777777" w:rsidR="00315466" w:rsidRPr="00A4536F" w:rsidRDefault="001D4E15">
      <w:pPr>
        <w:spacing w:before="0" w:after="120"/>
        <w:rPr>
          <w:rFonts w:cs="Calibri"/>
          <w:color w:val="auto"/>
          <w:szCs w:val="18"/>
        </w:rPr>
      </w:pPr>
      <w:r w:rsidRPr="00A4536F">
        <w:rPr>
          <w:rFonts w:cs="Calibri"/>
          <w:color w:val="auto"/>
          <w:szCs w:val="18"/>
        </w:rPr>
        <w:t xml:space="preserve">10.1 Have you seen any medium-term effects on your life or community </w:t>
      </w:r>
      <w:proofErr w:type="gramStart"/>
      <w:r w:rsidRPr="00A4536F">
        <w:rPr>
          <w:rFonts w:cs="Calibri"/>
          <w:color w:val="auto"/>
          <w:szCs w:val="18"/>
        </w:rPr>
        <w:t>as a result of</w:t>
      </w:r>
      <w:proofErr w:type="gramEnd"/>
      <w:r w:rsidRPr="00A4536F">
        <w:rPr>
          <w:rFonts w:cs="Calibri"/>
          <w:color w:val="auto"/>
          <w:szCs w:val="18"/>
        </w:rPr>
        <w:t xml:space="preserve"> the project interventions? </w:t>
      </w:r>
      <w:proofErr w:type="gramStart"/>
      <w:r w:rsidRPr="00A4536F">
        <w:rPr>
          <w:rFonts w:cs="Calibri"/>
          <w:color w:val="auto"/>
          <w:szCs w:val="18"/>
        </w:rPr>
        <w:t>[ ]</w:t>
      </w:r>
      <w:proofErr w:type="gramEnd"/>
      <w:r w:rsidRPr="00A4536F">
        <w:rPr>
          <w:rFonts w:cs="Calibri"/>
          <w:color w:val="auto"/>
          <w:szCs w:val="18"/>
        </w:rPr>
        <w:t xml:space="preserve"> Yes [ ] No</w:t>
      </w:r>
    </w:p>
    <w:p w14:paraId="109D7D2C" w14:textId="77777777" w:rsidR="00315466" w:rsidRPr="00A4536F" w:rsidRDefault="001D4E15">
      <w:pPr>
        <w:spacing w:before="0" w:after="120"/>
        <w:rPr>
          <w:rFonts w:cs="Calibri"/>
          <w:color w:val="auto"/>
          <w:szCs w:val="18"/>
        </w:rPr>
      </w:pPr>
      <w:r w:rsidRPr="00A4536F">
        <w:rPr>
          <w:rFonts w:cs="Calibri"/>
          <w:color w:val="auto"/>
          <w:szCs w:val="18"/>
        </w:rPr>
        <w:t>10.2 If yes, please describe:</w:t>
      </w:r>
    </w:p>
    <w:p w14:paraId="04D7A926" w14:textId="77777777" w:rsidR="00315466" w:rsidRPr="00A4536F" w:rsidRDefault="001D4E15">
      <w:pPr>
        <w:spacing w:before="0" w:after="120"/>
        <w:rPr>
          <w:rFonts w:cs="Calibri"/>
          <w:color w:val="auto"/>
          <w:szCs w:val="18"/>
        </w:rPr>
      </w:pPr>
      <w:r w:rsidRPr="00A4536F">
        <w:rPr>
          <w:rFonts w:cs="Calibri"/>
          <w:color w:val="auto"/>
          <w:szCs w:val="18"/>
        </w:rPr>
        <w:t>………………………………………………………………………………………………………………………………………………………..</w:t>
      </w:r>
    </w:p>
    <w:p w14:paraId="6080D811" w14:textId="77777777" w:rsidR="00315466" w:rsidRPr="00A4536F" w:rsidRDefault="001D4E15">
      <w:pPr>
        <w:spacing w:before="0" w:after="120"/>
        <w:rPr>
          <w:rFonts w:cs="Calibri"/>
          <w:color w:val="auto"/>
          <w:szCs w:val="18"/>
        </w:rPr>
      </w:pPr>
      <w:r w:rsidRPr="00A4536F">
        <w:rPr>
          <w:rFonts w:cs="Calibri"/>
          <w:color w:val="auto"/>
          <w:szCs w:val="18"/>
        </w:rPr>
        <w:t>………………………………………………………………………………………………………………………………………………………..</w:t>
      </w:r>
    </w:p>
    <w:p w14:paraId="49EDE608" w14:textId="77777777" w:rsidR="00315466" w:rsidRPr="00A4536F" w:rsidRDefault="001D4E15">
      <w:pPr>
        <w:spacing w:before="0" w:after="120"/>
        <w:rPr>
          <w:rFonts w:cs="Calibri"/>
          <w:color w:val="auto"/>
          <w:szCs w:val="18"/>
        </w:rPr>
      </w:pPr>
      <w:r w:rsidRPr="00A4536F">
        <w:rPr>
          <w:rFonts w:cs="Calibri"/>
          <w:color w:val="auto"/>
          <w:szCs w:val="18"/>
        </w:rPr>
        <w:t>11. Unintended Outcomes:</w:t>
      </w:r>
    </w:p>
    <w:p w14:paraId="469EA349" w14:textId="77777777" w:rsidR="00315466" w:rsidRPr="00A4536F" w:rsidRDefault="001D4E15">
      <w:pPr>
        <w:spacing w:before="0" w:after="120"/>
        <w:rPr>
          <w:rFonts w:cs="Calibri"/>
          <w:color w:val="auto"/>
          <w:szCs w:val="18"/>
        </w:rPr>
      </w:pPr>
      <w:r w:rsidRPr="00A4536F">
        <w:rPr>
          <w:rFonts w:cs="Calibri"/>
          <w:color w:val="auto"/>
          <w:szCs w:val="18"/>
        </w:rPr>
        <w:t xml:space="preserve">11.1 Are there any other positive or negative experiences you can associate with this project? </w:t>
      </w:r>
      <w:proofErr w:type="gramStart"/>
      <w:r w:rsidRPr="00A4536F">
        <w:rPr>
          <w:rFonts w:cs="Calibri"/>
          <w:color w:val="auto"/>
          <w:szCs w:val="18"/>
        </w:rPr>
        <w:t>[ ]</w:t>
      </w:r>
      <w:proofErr w:type="gramEnd"/>
      <w:r w:rsidRPr="00A4536F">
        <w:rPr>
          <w:rFonts w:cs="Calibri"/>
          <w:color w:val="auto"/>
          <w:szCs w:val="18"/>
        </w:rPr>
        <w:t xml:space="preserve"> Yes [ ] No</w:t>
      </w:r>
    </w:p>
    <w:p w14:paraId="4EEB1451" w14:textId="77777777" w:rsidR="00315466" w:rsidRPr="00A4536F" w:rsidRDefault="001D4E15">
      <w:pPr>
        <w:spacing w:before="0" w:after="120"/>
        <w:rPr>
          <w:rFonts w:cs="Calibri"/>
          <w:color w:val="auto"/>
          <w:szCs w:val="18"/>
        </w:rPr>
      </w:pPr>
      <w:r w:rsidRPr="00A4536F">
        <w:rPr>
          <w:rFonts w:cs="Calibri"/>
          <w:color w:val="auto"/>
          <w:szCs w:val="18"/>
        </w:rPr>
        <w:t>11.2 Kindly describe the experiences.</w:t>
      </w:r>
    </w:p>
    <w:p w14:paraId="2B773760" w14:textId="77777777" w:rsidR="00315466" w:rsidRPr="00A4536F" w:rsidRDefault="001D4E15">
      <w:pPr>
        <w:spacing w:before="0" w:after="120"/>
        <w:rPr>
          <w:rFonts w:cs="Calibri"/>
          <w:color w:val="auto"/>
          <w:szCs w:val="18"/>
        </w:rPr>
      </w:pPr>
      <w:r w:rsidRPr="00A4536F">
        <w:rPr>
          <w:rFonts w:cs="Calibri"/>
          <w:color w:val="auto"/>
          <w:szCs w:val="18"/>
        </w:rPr>
        <w:t>………………………………………………………………………………………………………………………………………………………..</w:t>
      </w:r>
    </w:p>
    <w:p w14:paraId="17943073" w14:textId="77777777" w:rsidR="00315466" w:rsidRPr="00A4536F" w:rsidRDefault="001D4E15">
      <w:pPr>
        <w:spacing w:before="0" w:after="120"/>
        <w:rPr>
          <w:rFonts w:cs="Calibri"/>
          <w:color w:val="auto"/>
          <w:szCs w:val="18"/>
        </w:rPr>
      </w:pPr>
      <w:r w:rsidRPr="00A4536F">
        <w:rPr>
          <w:rFonts w:cs="Calibri"/>
          <w:color w:val="auto"/>
          <w:szCs w:val="18"/>
        </w:rPr>
        <w:t>………………………………………………………………………………………………………………………………………………………..</w:t>
      </w:r>
    </w:p>
    <w:p w14:paraId="2B1365B3" w14:textId="77777777" w:rsidR="00315466" w:rsidRPr="00A4536F" w:rsidRDefault="001D4E15">
      <w:pPr>
        <w:spacing w:before="0" w:after="120"/>
        <w:rPr>
          <w:rFonts w:cs="Calibri"/>
          <w:b/>
          <w:bCs/>
          <w:color w:val="auto"/>
          <w:szCs w:val="18"/>
        </w:rPr>
      </w:pPr>
      <w:r w:rsidRPr="00A4536F">
        <w:rPr>
          <w:rFonts w:cs="Calibri"/>
          <w:b/>
          <w:bCs/>
          <w:color w:val="auto"/>
          <w:szCs w:val="18"/>
        </w:rPr>
        <w:t>Section 5: Overall Evaluation</w:t>
      </w:r>
    </w:p>
    <w:p w14:paraId="2231472A" w14:textId="77777777" w:rsidR="00315466" w:rsidRPr="00A4536F" w:rsidRDefault="001D4E15">
      <w:pPr>
        <w:spacing w:before="0" w:after="120"/>
        <w:rPr>
          <w:rFonts w:cs="Calibri"/>
          <w:color w:val="auto"/>
          <w:szCs w:val="18"/>
        </w:rPr>
      </w:pPr>
      <w:r w:rsidRPr="00A4536F">
        <w:rPr>
          <w:rFonts w:cs="Calibri"/>
          <w:color w:val="auto"/>
          <w:szCs w:val="18"/>
        </w:rPr>
        <w:t>12. Blending Emergency Response with Long-Term Impact:</w:t>
      </w:r>
    </w:p>
    <w:p w14:paraId="5783E681" w14:textId="77777777" w:rsidR="00315466" w:rsidRPr="00A4536F" w:rsidRDefault="001D4E15">
      <w:pPr>
        <w:spacing w:before="0" w:after="120"/>
        <w:rPr>
          <w:rFonts w:cs="Calibri"/>
          <w:color w:val="auto"/>
          <w:szCs w:val="18"/>
        </w:rPr>
      </w:pPr>
      <w:r w:rsidRPr="00A4536F">
        <w:rPr>
          <w:rFonts w:cs="Calibri"/>
          <w:color w:val="auto"/>
          <w:szCs w:val="18"/>
        </w:rPr>
        <w:t>12.1 How well do you think the project responded in providing for your emergency needs as well as long-term development needs such as livelihood and capacity-building interventions? (Scale: 1-5, where 1 is not effective and 5 is very effective)</w:t>
      </w:r>
    </w:p>
    <w:p w14:paraId="7A2ED14E" w14:textId="77777777" w:rsidR="00315466" w:rsidRPr="00A4536F" w:rsidRDefault="001D4E15">
      <w:pPr>
        <w:spacing w:before="0" w:after="120"/>
        <w:rPr>
          <w:rFonts w:cs="Calibri"/>
          <w:color w:val="auto"/>
          <w:szCs w:val="18"/>
        </w:rPr>
      </w:pPr>
      <w:r w:rsidRPr="00A4536F">
        <w:rPr>
          <w:rFonts w:cs="Calibri"/>
          <w:color w:val="auto"/>
          <w:szCs w:val="18"/>
        </w:rPr>
        <w:t>13. Complementarity with Other Interventions:</w:t>
      </w:r>
    </w:p>
    <w:p w14:paraId="7120937F" w14:textId="77777777" w:rsidR="00315466" w:rsidRPr="00A4536F" w:rsidRDefault="001D4E15">
      <w:pPr>
        <w:spacing w:before="0" w:after="120"/>
        <w:rPr>
          <w:rFonts w:cs="Calibri"/>
          <w:color w:val="auto"/>
          <w:szCs w:val="18"/>
        </w:rPr>
      </w:pPr>
      <w:r w:rsidRPr="00A4536F">
        <w:rPr>
          <w:rFonts w:cs="Calibri"/>
          <w:color w:val="auto"/>
          <w:szCs w:val="18"/>
        </w:rPr>
        <w:t>13.1 How well has the project complemented other interventions, such as WASH and protection, in your community? (Scale: 1-5, where 1 is not effective and 5 is very effective)</w:t>
      </w:r>
    </w:p>
    <w:p w14:paraId="09C75A36" w14:textId="77777777" w:rsidR="00315466" w:rsidRPr="00A4536F" w:rsidRDefault="001D4E15">
      <w:pPr>
        <w:spacing w:before="0" w:after="120"/>
        <w:rPr>
          <w:rFonts w:cs="Calibri"/>
          <w:color w:val="auto"/>
          <w:szCs w:val="18"/>
        </w:rPr>
      </w:pPr>
      <w:r w:rsidRPr="00A4536F">
        <w:rPr>
          <w:rFonts w:cs="Calibri"/>
          <w:color w:val="auto"/>
          <w:szCs w:val="18"/>
        </w:rPr>
        <w:t>14. Community Satisfaction:</w:t>
      </w:r>
    </w:p>
    <w:p w14:paraId="3FDC92D3" w14:textId="77777777" w:rsidR="00315466" w:rsidRPr="00A4536F" w:rsidRDefault="001D4E15">
      <w:pPr>
        <w:spacing w:before="0" w:after="120"/>
        <w:rPr>
          <w:rFonts w:cs="Calibri"/>
          <w:color w:val="auto"/>
          <w:szCs w:val="18"/>
        </w:rPr>
      </w:pPr>
      <w:r w:rsidRPr="00A4536F">
        <w:rPr>
          <w:rFonts w:cs="Calibri"/>
          <w:color w:val="auto"/>
          <w:szCs w:val="18"/>
        </w:rPr>
        <w:t xml:space="preserve">14.1 Are you satisfied with how the project targeted participants in your community, considering various groups' needs? </w:t>
      </w:r>
      <w:proofErr w:type="gramStart"/>
      <w:r w:rsidRPr="00A4536F">
        <w:rPr>
          <w:rFonts w:cs="Calibri"/>
          <w:color w:val="auto"/>
          <w:szCs w:val="18"/>
        </w:rPr>
        <w:t>[ ]</w:t>
      </w:r>
      <w:proofErr w:type="gramEnd"/>
      <w:r w:rsidRPr="00A4536F">
        <w:rPr>
          <w:rFonts w:cs="Calibri"/>
          <w:color w:val="auto"/>
          <w:szCs w:val="18"/>
        </w:rPr>
        <w:t xml:space="preserve"> Yes [ ] No </w:t>
      </w:r>
    </w:p>
    <w:p w14:paraId="0BF96DE4" w14:textId="77777777" w:rsidR="00315466" w:rsidRPr="00A4536F" w:rsidRDefault="001D4E15">
      <w:pPr>
        <w:spacing w:before="0" w:after="120"/>
        <w:rPr>
          <w:rFonts w:cs="Calibri"/>
          <w:color w:val="auto"/>
          <w:szCs w:val="18"/>
        </w:rPr>
      </w:pPr>
      <w:r w:rsidRPr="00A4536F">
        <w:rPr>
          <w:rFonts w:cs="Calibri"/>
          <w:color w:val="auto"/>
          <w:szCs w:val="18"/>
        </w:rPr>
        <w:t>15. Communication and Feedback Mechanisms:</w:t>
      </w:r>
    </w:p>
    <w:p w14:paraId="7AF97102" w14:textId="77777777" w:rsidR="00315466" w:rsidRPr="00A4536F" w:rsidRDefault="001D4E15">
      <w:pPr>
        <w:spacing w:before="0" w:after="120"/>
        <w:rPr>
          <w:rFonts w:cs="Calibri"/>
          <w:color w:val="auto"/>
          <w:szCs w:val="18"/>
        </w:rPr>
      </w:pPr>
      <w:r w:rsidRPr="00A4536F">
        <w:rPr>
          <w:rFonts w:cs="Calibri"/>
          <w:color w:val="auto"/>
          <w:szCs w:val="18"/>
        </w:rPr>
        <w:t xml:space="preserve">15.1 Are you happy with the measures put in place for you to receive information and give feedback about the project? </w:t>
      </w:r>
    </w:p>
    <w:p w14:paraId="4E7147DF" w14:textId="77777777" w:rsidR="00315466" w:rsidRPr="00A4536F" w:rsidRDefault="001D4E15">
      <w:pPr>
        <w:spacing w:before="0" w:after="120"/>
        <w:rPr>
          <w:rFonts w:cs="Calibri"/>
          <w:color w:val="auto"/>
          <w:szCs w:val="18"/>
        </w:rPr>
      </w:pPr>
      <w:r w:rsidRPr="00A4536F">
        <w:rPr>
          <w:rFonts w:cs="Calibri"/>
          <w:color w:val="auto"/>
          <w:szCs w:val="18"/>
        </w:rPr>
        <w:t>15.2 Please explain your answer:</w:t>
      </w:r>
    </w:p>
    <w:p w14:paraId="6ADF1073" w14:textId="77777777" w:rsidR="00315466" w:rsidRPr="00A4536F" w:rsidRDefault="001D4E15">
      <w:pPr>
        <w:spacing w:before="0" w:after="120"/>
        <w:rPr>
          <w:rFonts w:cs="Calibri"/>
          <w:color w:val="auto"/>
          <w:szCs w:val="18"/>
        </w:rPr>
      </w:pPr>
      <w:r w:rsidRPr="00A4536F">
        <w:rPr>
          <w:rFonts w:cs="Calibri"/>
          <w:color w:val="auto"/>
          <w:szCs w:val="18"/>
        </w:rPr>
        <w:t>………………………………………………………………………………………………………………………………………………………..</w:t>
      </w:r>
    </w:p>
    <w:p w14:paraId="0A86EED6" w14:textId="77777777" w:rsidR="00315466" w:rsidRPr="00A4536F" w:rsidRDefault="001D4E15">
      <w:pPr>
        <w:spacing w:before="0" w:after="120"/>
        <w:rPr>
          <w:rFonts w:cs="Calibri"/>
          <w:color w:val="auto"/>
          <w:szCs w:val="18"/>
        </w:rPr>
      </w:pPr>
      <w:r w:rsidRPr="00A4536F">
        <w:rPr>
          <w:rFonts w:cs="Calibri"/>
          <w:color w:val="auto"/>
          <w:szCs w:val="18"/>
        </w:rPr>
        <w:t>………………………………………………………………………………………………………………………………………………………..</w:t>
      </w:r>
    </w:p>
    <w:p w14:paraId="7585404F" w14:textId="77777777" w:rsidR="00315466" w:rsidRPr="00A4536F" w:rsidRDefault="001D4E15">
      <w:pPr>
        <w:spacing w:before="0" w:after="120"/>
        <w:rPr>
          <w:rFonts w:cs="Calibri"/>
          <w:color w:val="auto"/>
          <w:szCs w:val="18"/>
        </w:rPr>
      </w:pPr>
      <w:r w:rsidRPr="00A4536F">
        <w:rPr>
          <w:rFonts w:cs="Calibri"/>
          <w:color w:val="auto"/>
          <w:szCs w:val="18"/>
        </w:rPr>
        <w:t>16. Local Systems and Leadership:</w:t>
      </w:r>
    </w:p>
    <w:p w14:paraId="14011C39" w14:textId="77777777" w:rsidR="00315466" w:rsidRPr="00A4536F" w:rsidRDefault="001D4E15">
      <w:pPr>
        <w:spacing w:before="0" w:after="120"/>
        <w:rPr>
          <w:rFonts w:cs="Calibri"/>
          <w:color w:val="auto"/>
          <w:szCs w:val="18"/>
        </w:rPr>
      </w:pPr>
      <w:r w:rsidRPr="00A4536F">
        <w:rPr>
          <w:rFonts w:cs="Calibri"/>
          <w:color w:val="auto"/>
          <w:szCs w:val="18"/>
        </w:rPr>
        <w:t xml:space="preserve">16.1 Did the project use local systems and strengthen local leadership, coordination, and capacity effectively? </w:t>
      </w:r>
      <w:proofErr w:type="gramStart"/>
      <w:r w:rsidRPr="00A4536F">
        <w:rPr>
          <w:rFonts w:cs="Calibri"/>
          <w:color w:val="auto"/>
          <w:szCs w:val="18"/>
        </w:rPr>
        <w:t>[ ]</w:t>
      </w:r>
      <w:proofErr w:type="gramEnd"/>
      <w:r w:rsidRPr="00A4536F">
        <w:rPr>
          <w:rFonts w:cs="Calibri"/>
          <w:color w:val="auto"/>
          <w:szCs w:val="18"/>
        </w:rPr>
        <w:t xml:space="preserve"> Yes [ ] No</w:t>
      </w:r>
    </w:p>
    <w:p w14:paraId="09A48490" w14:textId="77777777" w:rsidR="00315466" w:rsidRPr="00A4536F" w:rsidRDefault="001D4E15">
      <w:pPr>
        <w:spacing w:before="0" w:after="120"/>
        <w:rPr>
          <w:rFonts w:cs="Calibri"/>
          <w:b/>
          <w:bCs/>
          <w:color w:val="auto"/>
          <w:szCs w:val="18"/>
        </w:rPr>
      </w:pPr>
      <w:r w:rsidRPr="00A4536F">
        <w:rPr>
          <w:rFonts w:cs="Calibri"/>
          <w:b/>
          <w:bCs/>
          <w:color w:val="auto"/>
          <w:szCs w:val="18"/>
        </w:rPr>
        <w:lastRenderedPageBreak/>
        <w:t>Section 6: Additional Comments</w:t>
      </w:r>
    </w:p>
    <w:p w14:paraId="077E313A" w14:textId="77777777" w:rsidR="00315466" w:rsidRPr="00A4536F" w:rsidRDefault="001D4E15">
      <w:pPr>
        <w:spacing w:before="0" w:after="120"/>
        <w:rPr>
          <w:rFonts w:cs="Calibri"/>
          <w:color w:val="auto"/>
          <w:szCs w:val="18"/>
        </w:rPr>
      </w:pPr>
      <w:r w:rsidRPr="00A4536F">
        <w:rPr>
          <w:rFonts w:cs="Calibri"/>
          <w:color w:val="auto"/>
          <w:szCs w:val="18"/>
        </w:rPr>
        <w:t>17. Please share any additional comments or suggestions you may have regarding the FSL interventions and their impact on your community.</w:t>
      </w:r>
    </w:p>
    <w:p w14:paraId="0F33384B" w14:textId="77777777" w:rsidR="00315466" w:rsidRPr="00A4536F" w:rsidRDefault="001D4E15">
      <w:pPr>
        <w:spacing w:before="0" w:after="120"/>
        <w:rPr>
          <w:rFonts w:cs="Calibri"/>
          <w:i/>
          <w:iCs/>
          <w:color w:val="auto"/>
          <w:szCs w:val="18"/>
        </w:rPr>
      </w:pPr>
      <w:r w:rsidRPr="00A4536F">
        <w:rPr>
          <w:rFonts w:cs="Calibri"/>
          <w:i/>
          <w:iCs/>
          <w:color w:val="auto"/>
          <w:szCs w:val="18"/>
        </w:rPr>
        <w:t>Thank you for your valuable feedback!</w:t>
      </w:r>
    </w:p>
    <w:p w14:paraId="3B034DE4" w14:textId="77777777" w:rsidR="00315466" w:rsidRPr="00A4536F" w:rsidRDefault="001D4E15">
      <w:pPr>
        <w:spacing w:before="0" w:after="120"/>
        <w:rPr>
          <w:rFonts w:cs="Calibri"/>
          <w:color w:val="auto"/>
          <w:szCs w:val="18"/>
        </w:rPr>
      </w:pPr>
      <w:r w:rsidRPr="00A4536F">
        <w:rPr>
          <w:rFonts w:cs="Calibri"/>
          <w:color w:val="auto"/>
          <w:szCs w:val="18"/>
        </w:rPr>
        <w:br w:type="page"/>
      </w:r>
    </w:p>
    <w:p w14:paraId="301AC596" w14:textId="77777777" w:rsidR="00315466" w:rsidRPr="006C2FD4" w:rsidRDefault="001D4E15">
      <w:pPr>
        <w:pStyle w:val="Heading3"/>
        <w:spacing w:after="120" w:line="276" w:lineRule="auto"/>
        <w:rPr>
          <w:rFonts w:ascii="Verdana" w:hAnsi="Verdana" w:cs="Calibri"/>
          <w:b w:val="0"/>
          <w:bCs/>
          <w:color w:val="auto"/>
          <w:sz w:val="20"/>
          <w:szCs w:val="20"/>
          <w:lang w:val="en-GB"/>
        </w:rPr>
      </w:pPr>
      <w:bookmarkStart w:id="282" w:name="_Toc165828020"/>
      <w:bookmarkStart w:id="283" w:name="_Toc164324060"/>
      <w:bookmarkStart w:id="284" w:name="_Toc164287021"/>
      <w:bookmarkStart w:id="285" w:name="_Toc155938687"/>
      <w:bookmarkStart w:id="286" w:name="_Toc164582611"/>
      <w:bookmarkStart w:id="287" w:name="_Toc174559929"/>
      <w:bookmarkStart w:id="288" w:name="_Toc181278076"/>
      <w:r w:rsidRPr="006C2FD4">
        <w:rPr>
          <w:rFonts w:ascii="Verdana" w:hAnsi="Verdana" w:cs="Calibri"/>
          <w:color w:val="auto"/>
          <w:sz w:val="20"/>
          <w:szCs w:val="20"/>
          <w:lang w:val="en-GB"/>
        </w:rPr>
        <w:lastRenderedPageBreak/>
        <w:t>A</w:t>
      </w:r>
      <w:r w:rsidRPr="006C2FD4">
        <w:rPr>
          <w:rStyle w:val="Heading2Char"/>
          <w:rFonts w:ascii="Verdana" w:hAnsi="Verdana" w:cs="Calibri"/>
          <w:b/>
          <w:bCs/>
          <w:color w:val="auto"/>
          <w:sz w:val="20"/>
          <w:szCs w:val="20"/>
          <w:lang w:val="en-GB"/>
        </w:rPr>
        <w:t>.5.5 Survey Questionnaire for Technical Staff Involved in Project Interventions</w:t>
      </w:r>
      <w:bookmarkEnd w:id="282"/>
      <w:bookmarkEnd w:id="283"/>
      <w:bookmarkEnd w:id="284"/>
      <w:bookmarkEnd w:id="285"/>
      <w:bookmarkEnd w:id="286"/>
      <w:bookmarkEnd w:id="287"/>
      <w:bookmarkEnd w:id="288"/>
    </w:p>
    <w:p w14:paraId="0E1ACD35" w14:textId="77777777" w:rsidR="00315466" w:rsidRPr="00A4536F" w:rsidRDefault="001D4E15">
      <w:pPr>
        <w:spacing w:before="0" w:after="120"/>
        <w:rPr>
          <w:rFonts w:cs="Calibri"/>
          <w:i/>
          <w:iCs/>
          <w:color w:val="auto"/>
          <w:szCs w:val="18"/>
        </w:rPr>
      </w:pPr>
      <w:r w:rsidRPr="00A4536F">
        <w:rPr>
          <w:rFonts w:cs="Calibri"/>
          <w:i/>
          <w:iCs/>
          <w:color w:val="auto"/>
          <w:szCs w:val="18"/>
        </w:rPr>
        <w:t>Introduction: Thank you for participating in this survey. Your insights are crucial in evaluating the Food Security and Livelihood (FSL) interventions. Please answer the following questions based on your experiences and perspectives. This survey combines structured and semi-structured questions for a comprehensive understanding.</w:t>
      </w:r>
    </w:p>
    <w:p w14:paraId="531C2CD1" w14:textId="77777777" w:rsidR="00315466" w:rsidRPr="00A4536F" w:rsidRDefault="001D4E15">
      <w:pPr>
        <w:spacing w:before="0" w:after="120"/>
        <w:rPr>
          <w:rFonts w:cs="Calibri"/>
          <w:color w:val="auto"/>
          <w:szCs w:val="18"/>
        </w:rPr>
      </w:pPr>
      <w:r w:rsidRPr="00A4536F">
        <w:rPr>
          <w:rFonts w:cs="Calibri"/>
          <w:color w:val="auto"/>
          <w:szCs w:val="18"/>
        </w:rPr>
        <w:t>Section 1: Participant Details:</w:t>
      </w:r>
    </w:p>
    <w:p w14:paraId="7AF03CF7" w14:textId="77777777" w:rsidR="00315466" w:rsidRPr="00A4536F" w:rsidRDefault="001D4E15">
      <w:pPr>
        <w:spacing w:before="0" w:after="120"/>
        <w:rPr>
          <w:rFonts w:cs="Calibri"/>
          <w:color w:val="auto"/>
          <w:szCs w:val="18"/>
        </w:rPr>
      </w:pPr>
      <w:r w:rsidRPr="00A4536F">
        <w:rPr>
          <w:rFonts w:cs="Calibri"/>
          <w:color w:val="auto"/>
          <w:szCs w:val="18"/>
        </w:rPr>
        <w:t>Name (Optional):</w:t>
      </w:r>
    </w:p>
    <w:p w14:paraId="6D5FD746" w14:textId="77777777" w:rsidR="00315466" w:rsidRPr="00A4536F" w:rsidRDefault="001D4E15">
      <w:pPr>
        <w:spacing w:before="0" w:after="120"/>
        <w:rPr>
          <w:rFonts w:cs="Calibri"/>
          <w:color w:val="auto"/>
          <w:szCs w:val="18"/>
        </w:rPr>
      </w:pPr>
      <w:r w:rsidRPr="00A4536F">
        <w:rPr>
          <w:rFonts w:cs="Calibri"/>
          <w:color w:val="auto"/>
          <w:szCs w:val="18"/>
        </w:rPr>
        <w:t>Position/Role in the Project:</w:t>
      </w:r>
    </w:p>
    <w:p w14:paraId="10D288E6" w14:textId="77777777" w:rsidR="00315466" w:rsidRPr="00A4536F" w:rsidRDefault="001D4E15">
      <w:pPr>
        <w:spacing w:before="0" w:after="120"/>
        <w:rPr>
          <w:rFonts w:cs="Calibri"/>
          <w:color w:val="auto"/>
          <w:szCs w:val="18"/>
        </w:rPr>
      </w:pPr>
      <w:r w:rsidRPr="00A4536F">
        <w:rPr>
          <w:rFonts w:cs="Calibri"/>
          <w:color w:val="auto"/>
          <w:szCs w:val="18"/>
        </w:rPr>
        <w:t>Organisation/Agency:</w:t>
      </w:r>
    </w:p>
    <w:p w14:paraId="1AFC00E7" w14:textId="77777777" w:rsidR="00315466" w:rsidRPr="00A4536F" w:rsidRDefault="001D4E15">
      <w:pPr>
        <w:spacing w:before="0" w:after="120"/>
        <w:rPr>
          <w:rFonts w:cs="Calibri"/>
          <w:color w:val="auto"/>
          <w:szCs w:val="18"/>
        </w:rPr>
      </w:pPr>
      <w:r w:rsidRPr="00A4536F">
        <w:rPr>
          <w:rFonts w:cs="Calibri"/>
          <w:color w:val="auto"/>
          <w:szCs w:val="18"/>
        </w:rPr>
        <w:t>Section 2: Structured Questions: Please respond by selecting the most appropriate option or providing a numerical rating.</w:t>
      </w:r>
    </w:p>
    <w:p w14:paraId="50BB6613" w14:textId="77777777" w:rsidR="00315466" w:rsidRPr="00A4536F" w:rsidRDefault="001D4E15">
      <w:pPr>
        <w:spacing w:before="0" w:after="120"/>
        <w:rPr>
          <w:rFonts w:cs="Calibri"/>
          <w:color w:val="auto"/>
          <w:szCs w:val="18"/>
        </w:rPr>
      </w:pPr>
      <w:r w:rsidRPr="00A4536F">
        <w:rPr>
          <w:rFonts w:cs="Calibri"/>
          <w:color w:val="auto"/>
          <w:szCs w:val="18"/>
        </w:rPr>
        <w:t xml:space="preserve">1. Participant Targeting: </w:t>
      </w:r>
    </w:p>
    <w:p w14:paraId="4047BDAB" w14:textId="77777777" w:rsidR="00315466" w:rsidRPr="00A4536F" w:rsidRDefault="001D4E15">
      <w:pPr>
        <w:spacing w:before="0" w:after="120"/>
        <w:rPr>
          <w:rFonts w:cs="Calibri"/>
          <w:color w:val="auto"/>
          <w:szCs w:val="18"/>
        </w:rPr>
      </w:pPr>
      <w:r w:rsidRPr="00A4536F">
        <w:rPr>
          <w:rFonts w:cs="Calibri"/>
          <w:color w:val="auto"/>
          <w:szCs w:val="18"/>
        </w:rPr>
        <w:t>1.1. How effective was the targeting strategy in reaching the intended participants?</w:t>
      </w:r>
    </w:p>
    <w:p w14:paraId="1B443000" w14:textId="77777777" w:rsidR="00315466" w:rsidRPr="00A4536F" w:rsidRDefault="001D4E15">
      <w:pPr>
        <w:spacing w:before="0" w:after="120"/>
        <w:rPr>
          <w:rFonts w:cs="Calibri"/>
          <w:color w:val="auto"/>
          <w:szCs w:val="18"/>
        </w:rPr>
      </w:pPr>
      <w:r w:rsidRPr="00A4536F">
        <w:rPr>
          <w:rFonts w:cs="Calibri"/>
          <w:color w:val="auto"/>
          <w:szCs w:val="18"/>
        </w:rPr>
        <w:t>Not Effective (1) Somewhat Effective (2) Moderately Effective (3) Very Effective (4) Extremely Effective (5)</w:t>
      </w:r>
    </w:p>
    <w:p w14:paraId="21F2328A" w14:textId="77777777" w:rsidR="00315466" w:rsidRPr="00A4536F" w:rsidRDefault="001D4E15">
      <w:pPr>
        <w:spacing w:before="0" w:after="120"/>
        <w:rPr>
          <w:rFonts w:cs="Calibri"/>
          <w:color w:val="auto"/>
          <w:szCs w:val="18"/>
        </w:rPr>
      </w:pPr>
      <w:r w:rsidRPr="00A4536F">
        <w:rPr>
          <w:rFonts w:cs="Calibri"/>
          <w:color w:val="auto"/>
          <w:szCs w:val="18"/>
        </w:rPr>
        <w:t>1.2. If the answer in 1.1 above is (1) or (2) please explain the reasons</w:t>
      </w:r>
    </w:p>
    <w:p w14:paraId="638996FF" w14:textId="77777777" w:rsidR="00315466" w:rsidRPr="00A4536F" w:rsidRDefault="001D4E15">
      <w:pPr>
        <w:spacing w:before="0" w:after="120"/>
        <w:rPr>
          <w:rFonts w:cs="Calibri"/>
          <w:color w:val="auto"/>
          <w:szCs w:val="18"/>
        </w:rPr>
      </w:pPr>
      <w:r w:rsidRPr="00A4536F">
        <w:rPr>
          <w:rFonts w:cs="Calibri"/>
          <w:color w:val="auto"/>
          <w:szCs w:val="18"/>
        </w:rPr>
        <w:t>…………………………………………………………………………………………………………………………………</w:t>
      </w:r>
    </w:p>
    <w:p w14:paraId="30729DB0" w14:textId="77777777" w:rsidR="00315466" w:rsidRPr="00A4536F" w:rsidRDefault="001D4E15">
      <w:pPr>
        <w:spacing w:before="0" w:after="120"/>
        <w:rPr>
          <w:rFonts w:cs="Calibri"/>
          <w:color w:val="auto"/>
          <w:szCs w:val="18"/>
        </w:rPr>
      </w:pPr>
      <w:r w:rsidRPr="00A4536F">
        <w:rPr>
          <w:rFonts w:cs="Calibri"/>
          <w:color w:val="auto"/>
          <w:szCs w:val="18"/>
        </w:rPr>
        <w:t>………………………………………………………………………………………………………………………………..</w:t>
      </w:r>
    </w:p>
    <w:p w14:paraId="13D27478" w14:textId="77777777" w:rsidR="00315466" w:rsidRPr="00A4536F" w:rsidRDefault="001D4E15">
      <w:pPr>
        <w:spacing w:before="0" w:after="120"/>
        <w:rPr>
          <w:rFonts w:cs="Calibri"/>
          <w:color w:val="auto"/>
          <w:szCs w:val="18"/>
        </w:rPr>
      </w:pPr>
      <w:r w:rsidRPr="00A4536F">
        <w:rPr>
          <w:rFonts w:cs="Calibri"/>
          <w:color w:val="auto"/>
          <w:szCs w:val="18"/>
        </w:rPr>
        <w:t>……………………………………………………………………………………………………………………………….</w:t>
      </w:r>
    </w:p>
    <w:p w14:paraId="0BCAED26" w14:textId="77777777" w:rsidR="00315466" w:rsidRPr="00A4536F" w:rsidRDefault="001D4E15">
      <w:pPr>
        <w:spacing w:before="0" w:after="120"/>
        <w:rPr>
          <w:rFonts w:cs="Calibri"/>
          <w:color w:val="auto"/>
          <w:szCs w:val="18"/>
        </w:rPr>
      </w:pPr>
      <w:r w:rsidRPr="00A4536F">
        <w:rPr>
          <w:rFonts w:cs="Calibri"/>
          <w:color w:val="auto"/>
          <w:szCs w:val="18"/>
        </w:rPr>
        <w:t>1.3. Did the assistance provided meet the diverse needs of the participants?</w:t>
      </w:r>
    </w:p>
    <w:p w14:paraId="02F87E36" w14:textId="77777777" w:rsidR="00315466" w:rsidRPr="00A4536F" w:rsidRDefault="001D4E15">
      <w:pPr>
        <w:spacing w:before="0" w:after="120"/>
        <w:rPr>
          <w:rFonts w:cs="Calibri"/>
          <w:color w:val="auto"/>
          <w:szCs w:val="18"/>
        </w:rPr>
      </w:pPr>
      <w:r w:rsidRPr="00A4536F">
        <w:rPr>
          <w:rFonts w:cs="Calibri"/>
          <w:color w:val="auto"/>
          <w:szCs w:val="18"/>
        </w:rPr>
        <w:t>Not Adequate (1) Somewhat Adequate (2) Moderately Adequate (3) Very Adequate (4) Extremely Adequate (5)</w:t>
      </w:r>
    </w:p>
    <w:p w14:paraId="120E81F6" w14:textId="77777777" w:rsidR="00315466" w:rsidRPr="00A4536F" w:rsidRDefault="001D4E15">
      <w:pPr>
        <w:spacing w:before="0" w:after="120"/>
        <w:rPr>
          <w:rFonts w:cs="Calibri"/>
          <w:color w:val="auto"/>
          <w:szCs w:val="18"/>
        </w:rPr>
      </w:pPr>
      <w:r w:rsidRPr="00A4536F">
        <w:rPr>
          <w:rFonts w:cs="Calibri"/>
          <w:color w:val="auto"/>
          <w:szCs w:val="18"/>
        </w:rPr>
        <w:t>1.3. If the answer in 1.3 above is (1) or (2) please explain the reasons.</w:t>
      </w:r>
    </w:p>
    <w:p w14:paraId="519C7184" w14:textId="77777777" w:rsidR="00315466" w:rsidRPr="00A4536F" w:rsidRDefault="001D4E15">
      <w:pPr>
        <w:spacing w:before="0" w:after="120"/>
        <w:rPr>
          <w:rFonts w:cs="Calibri"/>
          <w:color w:val="auto"/>
          <w:szCs w:val="18"/>
        </w:rPr>
      </w:pPr>
      <w:r w:rsidRPr="00A4536F">
        <w:rPr>
          <w:rFonts w:cs="Calibri"/>
          <w:color w:val="auto"/>
          <w:szCs w:val="18"/>
        </w:rPr>
        <w:t>…………………………………………………………………………………………………………………………………</w:t>
      </w:r>
    </w:p>
    <w:p w14:paraId="79BBB9CE" w14:textId="77777777" w:rsidR="00315466" w:rsidRPr="00A4536F" w:rsidRDefault="001D4E15">
      <w:pPr>
        <w:spacing w:before="0" w:after="120"/>
        <w:rPr>
          <w:rFonts w:cs="Calibri"/>
          <w:color w:val="auto"/>
          <w:szCs w:val="18"/>
        </w:rPr>
      </w:pPr>
      <w:r w:rsidRPr="00A4536F">
        <w:rPr>
          <w:rFonts w:cs="Calibri"/>
          <w:color w:val="auto"/>
          <w:szCs w:val="18"/>
        </w:rPr>
        <w:t>………………………………………………………………………………………………………………………………..</w:t>
      </w:r>
    </w:p>
    <w:p w14:paraId="31D40069" w14:textId="77777777" w:rsidR="00315466" w:rsidRPr="00A4536F" w:rsidRDefault="001D4E15">
      <w:pPr>
        <w:spacing w:before="0" w:after="120"/>
        <w:rPr>
          <w:rFonts w:cs="Calibri"/>
          <w:color w:val="auto"/>
          <w:szCs w:val="18"/>
        </w:rPr>
      </w:pPr>
      <w:r w:rsidRPr="00A4536F">
        <w:rPr>
          <w:rFonts w:cs="Calibri"/>
          <w:color w:val="auto"/>
          <w:szCs w:val="18"/>
        </w:rPr>
        <w:t>………………………………………………………………………………………………………………………………..</w:t>
      </w:r>
    </w:p>
    <w:p w14:paraId="518C2B3E" w14:textId="77777777" w:rsidR="00315466" w:rsidRPr="00A4536F" w:rsidRDefault="001D4E15">
      <w:pPr>
        <w:spacing w:before="0" w:after="120"/>
        <w:rPr>
          <w:rFonts w:cs="Calibri"/>
          <w:color w:val="auto"/>
          <w:szCs w:val="18"/>
        </w:rPr>
      </w:pPr>
      <w:r w:rsidRPr="00A4536F">
        <w:rPr>
          <w:rFonts w:cs="Calibri"/>
          <w:color w:val="auto"/>
          <w:szCs w:val="18"/>
        </w:rPr>
        <w:t xml:space="preserve">2. Adaptation to Changes: </w:t>
      </w:r>
    </w:p>
    <w:p w14:paraId="0963C491" w14:textId="77777777" w:rsidR="00315466" w:rsidRPr="00A4536F" w:rsidRDefault="001D4E15">
      <w:pPr>
        <w:spacing w:before="0" w:after="120"/>
        <w:rPr>
          <w:rFonts w:cs="Calibri"/>
          <w:color w:val="auto"/>
          <w:szCs w:val="18"/>
        </w:rPr>
      </w:pPr>
      <w:r w:rsidRPr="00A4536F">
        <w:rPr>
          <w:rFonts w:cs="Calibri"/>
          <w:color w:val="auto"/>
          <w:szCs w:val="18"/>
        </w:rPr>
        <w:t>2.1. How effective were adaptations made during the project to changes in the context?</w:t>
      </w:r>
    </w:p>
    <w:p w14:paraId="53789663" w14:textId="77777777" w:rsidR="00315466" w:rsidRPr="00A4536F" w:rsidRDefault="001D4E15">
      <w:pPr>
        <w:spacing w:before="0" w:after="120"/>
        <w:rPr>
          <w:rFonts w:cs="Calibri"/>
          <w:color w:val="auto"/>
          <w:szCs w:val="18"/>
        </w:rPr>
      </w:pPr>
      <w:r w:rsidRPr="00A4536F">
        <w:rPr>
          <w:rFonts w:cs="Calibri"/>
          <w:color w:val="auto"/>
          <w:szCs w:val="18"/>
        </w:rPr>
        <w:t>Not Effective (1) Somewhat Effective (2) Moderately Effective (3) Very Effective (4) Extremely Effective (5)</w:t>
      </w:r>
    </w:p>
    <w:p w14:paraId="542E3825" w14:textId="77777777" w:rsidR="00315466" w:rsidRPr="00A4536F" w:rsidRDefault="001D4E15">
      <w:pPr>
        <w:spacing w:before="0" w:after="120"/>
        <w:rPr>
          <w:rFonts w:cs="Calibri"/>
          <w:color w:val="auto"/>
          <w:szCs w:val="18"/>
        </w:rPr>
      </w:pPr>
      <w:r w:rsidRPr="00A4536F">
        <w:rPr>
          <w:rFonts w:cs="Calibri"/>
          <w:color w:val="auto"/>
          <w:szCs w:val="18"/>
        </w:rPr>
        <w:t>2.2. What challenges were faced in adapting to changing contexts and how were they addressed?</w:t>
      </w:r>
    </w:p>
    <w:p w14:paraId="0C2CB7AA" w14:textId="77777777" w:rsidR="00315466" w:rsidRPr="00A4536F" w:rsidRDefault="001D4E15">
      <w:pPr>
        <w:spacing w:before="0" w:after="120"/>
        <w:rPr>
          <w:rFonts w:cs="Calibri"/>
          <w:color w:val="auto"/>
          <w:szCs w:val="18"/>
        </w:rPr>
      </w:pPr>
      <w:r w:rsidRPr="00A4536F">
        <w:rPr>
          <w:rFonts w:cs="Calibri"/>
          <w:color w:val="auto"/>
          <w:szCs w:val="18"/>
        </w:rPr>
        <w:t>…………………………………………………………………………………………………………………………………</w:t>
      </w:r>
    </w:p>
    <w:p w14:paraId="2A8EAE87" w14:textId="77777777" w:rsidR="00315466" w:rsidRPr="00A4536F" w:rsidRDefault="001D4E15">
      <w:pPr>
        <w:spacing w:before="0" w:after="120"/>
        <w:rPr>
          <w:rFonts w:cs="Calibri"/>
          <w:color w:val="auto"/>
          <w:szCs w:val="18"/>
        </w:rPr>
      </w:pPr>
      <w:r w:rsidRPr="00A4536F">
        <w:rPr>
          <w:rFonts w:cs="Calibri"/>
          <w:color w:val="auto"/>
          <w:szCs w:val="18"/>
        </w:rPr>
        <w:t>………………………………………………………………………………………………………………………………..</w:t>
      </w:r>
    </w:p>
    <w:p w14:paraId="71E9AECC" w14:textId="77777777" w:rsidR="00315466" w:rsidRPr="00A4536F" w:rsidRDefault="001D4E15">
      <w:pPr>
        <w:spacing w:before="0" w:after="120"/>
        <w:rPr>
          <w:rFonts w:cs="Calibri"/>
          <w:color w:val="auto"/>
          <w:szCs w:val="18"/>
        </w:rPr>
      </w:pPr>
      <w:r w:rsidRPr="00A4536F">
        <w:rPr>
          <w:rFonts w:cs="Calibri"/>
          <w:color w:val="auto"/>
          <w:szCs w:val="18"/>
        </w:rPr>
        <w:t>……………………………………………………………………………………………………………………………….</w:t>
      </w:r>
    </w:p>
    <w:p w14:paraId="2CE3B5CE" w14:textId="77777777" w:rsidR="00315466" w:rsidRPr="00A4536F" w:rsidRDefault="001D4E15">
      <w:pPr>
        <w:spacing w:before="0" w:after="120"/>
        <w:rPr>
          <w:rFonts w:cs="Calibri"/>
          <w:color w:val="auto"/>
          <w:szCs w:val="18"/>
        </w:rPr>
      </w:pPr>
      <w:r w:rsidRPr="00A4536F">
        <w:rPr>
          <w:rFonts w:cs="Calibri"/>
          <w:color w:val="auto"/>
          <w:szCs w:val="18"/>
        </w:rPr>
        <w:t xml:space="preserve">3. Coordination with Actors: </w:t>
      </w:r>
    </w:p>
    <w:p w14:paraId="36C276AE" w14:textId="77777777" w:rsidR="00315466" w:rsidRPr="00A4536F" w:rsidRDefault="001D4E15">
      <w:pPr>
        <w:spacing w:before="0" w:after="120"/>
        <w:rPr>
          <w:rFonts w:cs="Calibri"/>
          <w:color w:val="auto"/>
          <w:szCs w:val="18"/>
        </w:rPr>
      </w:pPr>
      <w:r w:rsidRPr="00A4536F">
        <w:rPr>
          <w:rFonts w:cs="Calibri"/>
          <w:color w:val="auto"/>
          <w:szCs w:val="18"/>
        </w:rPr>
        <w:t>3.1. Rate the level of coordination with other actors during project implementation.</w:t>
      </w:r>
    </w:p>
    <w:p w14:paraId="5D4FB8B1" w14:textId="77777777" w:rsidR="00315466" w:rsidRPr="00A4536F" w:rsidRDefault="001D4E15">
      <w:pPr>
        <w:spacing w:before="0" w:after="120"/>
        <w:rPr>
          <w:rFonts w:cs="Calibri"/>
          <w:color w:val="auto"/>
          <w:szCs w:val="18"/>
        </w:rPr>
      </w:pPr>
      <w:r w:rsidRPr="00A4536F">
        <w:rPr>
          <w:rFonts w:cs="Calibri"/>
          <w:color w:val="auto"/>
          <w:szCs w:val="18"/>
        </w:rPr>
        <w:t>Poor (1) Fair (2) Good (3) Very Good (4) Excellent (5)</w:t>
      </w:r>
    </w:p>
    <w:p w14:paraId="566D4314" w14:textId="77777777" w:rsidR="00315466" w:rsidRPr="00A4536F" w:rsidRDefault="001D4E15" w:rsidP="00D41C74">
      <w:pPr>
        <w:pStyle w:val="ListParagraph"/>
        <w:numPr>
          <w:ilvl w:val="1"/>
          <w:numId w:val="51"/>
        </w:numPr>
        <w:spacing w:after="120"/>
        <w:ind w:left="720" w:hanging="720"/>
        <w:rPr>
          <w:rFonts w:ascii="Verdana" w:hAnsi="Verdana" w:cs="Calibri"/>
          <w:sz w:val="18"/>
          <w:szCs w:val="18"/>
        </w:rPr>
      </w:pPr>
      <w:r w:rsidRPr="00A4536F">
        <w:rPr>
          <w:rFonts w:ascii="Verdana" w:hAnsi="Verdana" w:cs="Calibri"/>
          <w:sz w:val="18"/>
          <w:szCs w:val="18"/>
        </w:rPr>
        <w:t>Kindly list notable instances where coordination enhanced or hindered project outcomes?</w:t>
      </w:r>
    </w:p>
    <w:p w14:paraId="38B33BDF" w14:textId="77777777" w:rsidR="00315466" w:rsidRPr="00A4536F" w:rsidRDefault="001D4E15">
      <w:pPr>
        <w:spacing w:before="0" w:after="120"/>
        <w:rPr>
          <w:rFonts w:cs="Calibri"/>
          <w:color w:val="auto"/>
          <w:szCs w:val="18"/>
        </w:rPr>
      </w:pPr>
      <w:r w:rsidRPr="00A4536F">
        <w:rPr>
          <w:rFonts w:cs="Calibri"/>
          <w:color w:val="auto"/>
          <w:szCs w:val="18"/>
        </w:rPr>
        <w:t>…………………………………………………………………………………………………………………………………</w:t>
      </w:r>
    </w:p>
    <w:p w14:paraId="315D31E9" w14:textId="77777777" w:rsidR="00315466" w:rsidRPr="00A4536F" w:rsidRDefault="001D4E15">
      <w:pPr>
        <w:spacing w:before="0" w:after="120"/>
        <w:rPr>
          <w:rFonts w:cs="Calibri"/>
          <w:color w:val="auto"/>
          <w:szCs w:val="18"/>
        </w:rPr>
      </w:pPr>
      <w:r w:rsidRPr="00A4536F">
        <w:rPr>
          <w:rFonts w:cs="Calibri"/>
          <w:color w:val="auto"/>
          <w:szCs w:val="18"/>
        </w:rPr>
        <w:t>………………………………………………………………………………………………………………………………..</w:t>
      </w:r>
    </w:p>
    <w:p w14:paraId="5F5073F6" w14:textId="77777777" w:rsidR="00315466" w:rsidRPr="00A4536F" w:rsidRDefault="001D4E15">
      <w:pPr>
        <w:spacing w:before="0" w:after="120"/>
        <w:rPr>
          <w:rFonts w:cs="Calibri"/>
          <w:color w:val="auto"/>
          <w:szCs w:val="18"/>
        </w:rPr>
      </w:pPr>
      <w:r w:rsidRPr="00A4536F">
        <w:rPr>
          <w:rFonts w:cs="Calibri"/>
          <w:color w:val="auto"/>
          <w:szCs w:val="18"/>
        </w:rPr>
        <w:t>……………………………………………………………………………………………………………………………….</w:t>
      </w:r>
    </w:p>
    <w:p w14:paraId="2C7D86AD" w14:textId="77777777" w:rsidR="00315466" w:rsidRPr="00A4536F" w:rsidRDefault="001D4E15">
      <w:pPr>
        <w:spacing w:before="0" w:after="120"/>
        <w:rPr>
          <w:rFonts w:cs="Calibri"/>
          <w:color w:val="auto"/>
          <w:szCs w:val="18"/>
        </w:rPr>
      </w:pPr>
      <w:r w:rsidRPr="00A4536F">
        <w:rPr>
          <w:rFonts w:cs="Calibri"/>
          <w:color w:val="auto"/>
          <w:szCs w:val="18"/>
        </w:rPr>
        <w:lastRenderedPageBreak/>
        <w:t>4. Gender-Specific Outcomes:</w:t>
      </w:r>
    </w:p>
    <w:p w14:paraId="66A45A4F" w14:textId="77777777" w:rsidR="00315466" w:rsidRPr="00A4536F" w:rsidRDefault="001D4E15">
      <w:pPr>
        <w:spacing w:before="0" w:after="120"/>
        <w:rPr>
          <w:rFonts w:cs="Calibri"/>
          <w:color w:val="auto"/>
          <w:szCs w:val="18"/>
        </w:rPr>
      </w:pPr>
      <w:r w:rsidRPr="00A4536F">
        <w:rPr>
          <w:rFonts w:cs="Calibri"/>
          <w:color w:val="auto"/>
          <w:szCs w:val="18"/>
        </w:rPr>
        <w:t>4.1. How did the interventions address the specific needs of different gender groups?</w:t>
      </w:r>
    </w:p>
    <w:p w14:paraId="4A298322" w14:textId="77777777" w:rsidR="00315466" w:rsidRPr="00A4536F" w:rsidRDefault="001D4E15">
      <w:pPr>
        <w:spacing w:before="0" w:after="120"/>
        <w:rPr>
          <w:rFonts w:cs="Calibri"/>
          <w:color w:val="auto"/>
          <w:szCs w:val="18"/>
        </w:rPr>
      </w:pPr>
      <w:r w:rsidRPr="00A4536F">
        <w:rPr>
          <w:rFonts w:cs="Calibri"/>
          <w:color w:val="auto"/>
          <w:szCs w:val="18"/>
        </w:rPr>
        <w:t>Not Effective (1) Somewhat Effective (2) Moderately Effective (3) Very Effective (4) Extremely Effective (5)</w:t>
      </w:r>
    </w:p>
    <w:p w14:paraId="3598818D" w14:textId="77777777" w:rsidR="00315466" w:rsidRPr="00A4536F" w:rsidRDefault="001D4E15">
      <w:pPr>
        <w:spacing w:before="0" w:after="120"/>
        <w:rPr>
          <w:rFonts w:cs="Calibri"/>
          <w:color w:val="auto"/>
          <w:szCs w:val="18"/>
        </w:rPr>
      </w:pPr>
      <w:r w:rsidRPr="00A4536F">
        <w:rPr>
          <w:rFonts w:cs="Calibri"/>
          <w:color w:val="auto"/>
          <w:szCs w:val="18"/>
        </w:rPr>
        <w:t>4.2. Kindly list notable differences in outcomes for different gender groups:</w:t>
      </w:r>
    </w:p>
    <w:p w14:paraId="36AEBBAA" w14:textId="77777777" w:rsidR="00315466" w:rsidRPr="00A4536F" w:rsidRDefault="001D4E15">
      <w:pPr>
        <w:spacing w:before="0" w:after="120"/>
        <w:rPr>
          <w:rFonts w:cs="Calibri"/>
          <w:color w:val="auto"/>
          <w:szCs w:val="18"/>
        </w:rPr>
      </w:pPr>
      <w:r w:rsidRPr="00A4536F">
        <w:rPr>
          <w:rFonts w:cs="Calibri"/>
          <w:color w:val="auto"/>
          <w:szCs w:val="18"/>
        </w:rPr>
        <w:t>…………………………………………………………………………………………………………………………………</w:t>
      </w:r>
    </w:p>
    <w:p w14:paraId="6862407F" w14:textId="77777777" w:rsidR="00315466" w:rsidRPr="00A4536F" w:rsidRDefault="001D4E15">
      <w:pPr>
        <w:spacing w:before="0" w:after="120"/>
        <w:rPr>
          <w:rFonts w:cs="Calibri"/>
          <w:color w:val="auto"/>
          <w:szCs w:val="18"/>
        </w:rPr>
      </w:pPr>
      <w:r w:rsidRPr="00A4536F">
        <w:rPr>
          <w:rFonts w:cs="Calibri"/>
          <w:color w:val="auto"/>
          <w:szCs w:val="18"/>
        </w:rPr>
        <w:t>………………………………………………………………………………………………………………………………..</w:t>
      </w:r>
    </w:p>
    <w:p w14:paraId="1C513CE1" w14:textId="77777777" w:rsidR="00315466" w:rsidRPr="00A4536F" w:rsidRDefault="001D4E15">
      <w:pPr>
        <w:spacing w:before="0" w:after="120"/>
        <w:rPr>
          <w:rFonts w:cs="Calibri"/>
          <w:color w:val="auto"/>
          <w:szCs w:val="18"/>
        </w:rPr>
      </w:pPr>
      <w:r w:rsidRPr="00A4536F">
        <w:rPr>
          <w:rFonts w:cs="Calibri"/>
          <w:color w:val="auto"/>
          <w:szCs w:val="18"/>
        </w:rPr>
        <w:t>………………………………………………………………………………………………………………………………..</w:t>
      </w:r>
    </w:p>
    <w:p w14:paraId="57E24AE9" w14:textId="77777777" w:rsidR="00315466" w:rsidRPr="00A4536F" w:rsidRDefault="001D4E15" w:rsidP="00D41C74">
      <w:pPr>
        <w:pStyle w:val="ListParagraph"/>
        <w:numPr>
          <w:ilvl w:val="0"/>
          <w:numId w:val="54"/>
        </w:numPr>
        <w:spacing w:after="120"/>
        <w:rPr>
          <w:rFonts w:ascii="Verdana" w:hAnsi="Verdana" w:cs="Calibri"/>
          <w:sz w:val="18"/>
          <w:szCs w:val="18"/>
        </w:rPr>
      </w:pPr>
      <w:r w:rsidRPr="00A4536F">
        <w:rPr>
          <w:rFonts w:ascii="Verdana" w:hAnsi="Verdana" w:cs="Calibri"/>
          <w:sz w:val="18"/>
          <w:szCs w:val="18"/>
        </w:rPr>
        <w:t xml:space="preserve">Marginalised Groups: </w:t>
      </w:r>
    </w:p>
    <w:p w14:paraId="1F60AE47" w14:textId="77777777" w:rsidR="00315466" w:rsidRPr="00A4536F" w:rsidRDefault="001D4E15">
      <w:pPr>
        <w:spacing w:before="0" w:after="120"/>
        <w:rPr>
          <w:rFonts w:cs="Calibri"/>
          <w:color w:val="auto"/>
          <w:szCs w:val="18"/>
        </w:rPr>
      </w:pPr>
      <w:r w:rsidRPr="00A4536F">
        <w:rPr>
          <w:rFonts w:cs="Calibri"/>
          <w:color w:val="auto"/>
          <w:szCs w:val="18"/>
        </w:rPr>
        <w:t>5.1 How were the needs of marginalized groups addressed in project activities?</w:t>
      </w:r>
    </w:p>
    <w:p w14:paraId="5B0AA744" w14:textId="77777777" w:rsidR="00315466" w:rsidRPr="00A4536F" w:rsidRDefault="001D4E15">
      <w:pPr>
        <w:spacing w:before="0" w:after="120"/>
        <w:rPr>
          <w:rFonts w:cs="Calibri"/>
          <w:color w:val="auto"/>
          <w:szCs w:val="18"/>
        </w:rPr>
      </w:pPr>
      <w:r w:rsidRPr="00A4536F">
        <w:rPr>
          <w:rFonts w:cs="Calibri"/>
          <w:color w:val="auto"/>
          <w:szCs w:val="18"/>
        </w:rPr>
        <w:t>Not adequately (1) Somewhat Adequately (2) Moderately Adequately (3) Very Adequately (4) Extremely Adequately (5)</w:t>
      </w:r>
    </w:p>
    <w:p w14:paraId="42BFD4DD" w14:textId="77777777" w:rsidR="00315466" w:rsidRPr="00A4536F" w:rsidRDefault="001D4E15">
      <w:pPr>
        <w:spacing w:before="0" w:after="120"/>
        <w:rPr>
          <w:rFonts w:cs="Calibri"/>
          <w:color w:val="auto"/>
          <w:szCs w:val="18"/>
        </w:rPr>
      </w:pPr>
      <w:r w:rsidRPr="00A4536F">
        <w:rPr>
          <w:rFonts w:cs="Calibri"/>
          <w:color w:val="auto"/>
          <w:szCs w:val="18"/>
        </w:rPr>
        <w:t>5.2. What challenges were faced in ensuring inclusivity and how were they addressed?</w:t>
      </w:r>
    </w:p>
    <w:p w14:paraId="5455F11C" w14:textId="77777777" w:rsidR="00315466" w:rsidRPr="00A4536F" w:rsidRDefault="001D4E15">
      <w:pPr>
        <w:spacing w:before="0" w:after="120"/>
        <w:rPr>
          <w:rFonts w:cs="Calibri"/>
          <w:color w:val="auto"/>
          <w:szCs w:val="18"/>
        </w:rPr>
      </w:pPr>
      <w:r w:rsidRPr="00A4536F">
        <w:rPr>
          <w:rFonts w:cs="Calibri"/>
          <w:color w:val="auto"/>
          <w:szCs w:val="18"/>
        </w:rPr>
        <w:t>…………………………………………………………………………………………………………………………………</w:t>
      </w:r>
    </w:p>
    <w:p w14:paraId="000F9C50" w14:textId="77777777" w:rsidR="00315466" w:rsidRPr="00A4536F" w:rsidRDefault="001D4E15">
      <w:pPr>
        <w:spacing w:before="0" w:after="120"/>
        <w:rPr>
          <w:rFonts w:cs="Calibri"/>
          <w:color w:val="auto"/>
          <w:szCs w:val="18"/>
        </w:rPr>
      </w:pPr>
      <w:r w:rsidRPr="00A4536F">
        <w:rPr>
          <w:rFonts w:cs="Calibri"/>
          <w:color w:val="auto"/>
          <w:szCs w:val="18"/>
        </w:rPr>
        <w:t>………………………………………………………………………………………………………………………………..</w:t>
      </w:r>
    </w:p>
    <w:p w14:paraId="12621A6C" w14:textId="77777777" w:rsidR="00315466" w:rsidRPr="00A4536F" w:rsidRDefault="001D4E15">
      <w:pPr>
        <w:spacing w:before="0" w:after="120"/>
        <w:rPr>
          <w:rFonts w:cs="Calibri"/>
          <w:color w:val="auto"/>
          <w:szCs w:val="18"/>
        </w:rPr>
      </w:pPr>
      <w:r w:rsidRPr="00A4536F">
        <w:rPr>
          <w:rFonts w:cs="Calibri"/>
          <w:color w:val="auto"/>
          <w:szCs w:val="18"/>
        </w:rPr>
        <w:t>……………………………………………………………………………………………………………………………….</w:t>
      </w:r>
    </w:p>
    <w:p w14:paraId="589C674B" w14:textId="77777777" w:rsidR="00315466" w:rsidRPr="00A4536F" w:rsidRDefault="001D4E15">
      <w:pPr>
        <w:spacing w:before="0" w:after="120"/>
        <w:rPr>
          <w:rFonts w:cs="Calibri"/>
          <w:color w:val="auto"/>
          <w:szCs w:val="18"/>
        </w:rPr>
      </w:pPr>
      <w:r w:rsidRPr="00A4536F">
        <w:rPr>
          <w:rFonts w:cs="Calibri"/>
          <w:color w:val="auto"/>
          <w:szCs w:val="18"/>
        </w:rPr>
        <w:t xml:space="preserve">6. Barriers and Enablers: </w:t>
      </w:r>
    </w:p>
    <w:p w14:paraId="03337BB8" w14:textId="77777777" w:rsidR="00315466" w:rsidRPr="00A4536F" w:rsidRDefault="001D4E15">
      <w:pPr>
        <w:spacing w:before="0" w:after="120"/>
        <w:rPr>
          <w:rFonts w:cs="Calibri"/>
          <w:color w:val="auto"/>
          <w:szCs w:val="18"/>
        </w:rPr>
      </w:pPr>
      <w:r w:rsidRPr="00A4536F">
        <w:rPr>
          <w:rFonts w:cs="Calibri"/>
          <w:color w:val="auto"/>
          <w:szCs w:val="18"/>
        </w:rPr>
        <w:t>6.1. Identify key barriers and enablers influencing progress in achieving FSL outcomes.</w:t>
      </w:r>
    </w:p>
    <w:p w14:paraId="691E02A8" w14:textId="77777777" w:rsidR="00315466" w:rsidRPr="00A4536F" w:rsidRDefault="001D4E15">
      <w:pPr>
        <w:spacing w:before="0" w:after="120"/>
        <w:rPr>
          <w:rFonts w:cs="Calibri"/>
          <w:color w:val="auto"/>
          <w:szCs w:val="18"/>
        </w:rPr>
      </w:pPr>
      <w:r w:rsidRPr="00A4536F">
        <w:rPr>
          <w:rFonts w:cs="Calibri"/>
          <w:color w:val="auto"/>
          <w:szCs w:val="18"/>
        </w:rPr>
        <w:t>Barriers:</w:t>
      </w:r>
    </w:p>
    <w:p w14:paraId="3F58C572" w14:textId="77777777" w:rsidR="00315466" w:rsidRPr="00A4536F" w:rsidRDefault="001D4E15">
      <w:pPr>
        <w:spacing w:before="0" w:after="120"/>
        <w:rPr>
          <w:rFonts w:cs="Calibri"/>
          <w:color w:val="auto"/>
          <w:szCs w:val="18"/>
        </w:rPr>
      </w:pPr>
      <w:r w:rsidRPr="00A4536F">
        <w:rPr>
          <w:rFonts w:cs="Calibri"/>
          <w:color w:val="auto"/>
          <w:szCs w:val="18"/>
        </w:rPr>
        <w:t>…………………………………………………………………………………………………………………………………</w:t>
      </w:r>
    </w:p>
    <w:p w14:paraId="4B9B6BCC" w14:textId="77777777" w:rsidR="00315466" w:rsidRPr="00A4536F" w:rsidRDefault="001D4E15">
      <w:pPr>
        <w:spacing w:before="0" w:after="120"/>
        <w:rPr>
          <w:rFonts w:cs="Calibri"/>
          <w:color w:val="auto"/>
          <w:szCs w:val="18"/>
        </w:rPr>
      </w:pPr>
      <w:r w:rsidRPr="00A4536F">
        <w:rPr>
          <w:rFonts w:cs="Calibri"/>
          <w:color w:val="auto"/>
          <w:szCs w:val="18"/>
        </w:rPr>
        <w:t>………………………………………………………………………………………………………………………………..</w:t>
      </w:r>
    </w:p>
    <w:p w14:paraId="5D0450C2" w14:textId="77777777" w:rsidR="00315466" w:rsidRPr="00A4536F" w:rsidRDefault="001D4E15">
      <w:pPr>
        <w:spacing w:before="0" w:after="120"/>
        <w:rPr>
          <w:rFonts w:cs="Calibri"/>
          <w:color w:val="auto"/>
          <w:szCs w:val="18"/>
        </w:rPr>
      </w:pPr>
      <w:r w:rsidRPr="00A4536F">
        <w:rPr>
          <w:rFonts w:cs="Calibri"/>
          <w:color w:val="auto"/>
          <w:szCs w:val="18"/>
        </w:rPr>
        <w:t>……………………………………………………………………………………………………………………………….</w:t>
      </w:r>
    </w:p>
    <w:p w14:paraId="099AFD85" w14:textId="77777777" w:rsidR="00315466" w:rsidRPr="00A4536F" w:rsidRDefault="001D4E15">
      <w:pPr>
        <w:spacing w:before="0" w:after="120"/>
        <w:rPr>
          <w:rFonts w:cs="Calibri"/>
          <w:color w:val="auto"/>
          <w:szCs w:val="18"/>
        </w:rPr>
      </w:pPr>
      <w:r w:rsidRPr="00A4536F">
        <w:rPr>
          <w:rFonts w:cs="Calibri"/>
          <w:color w:val="auto"/>
          <w:szCs w:val="18"/>
        </w:rPr>
        <w:t>Enablers:</w:t>
      </w:r>
    </w:p>
    <w:p w14:paraId="19FC7F08" w14:textId="77777777" w:rsidR="00315466" w:rsidRPr="00A4536F" w:rsidRDefault="001D4E15">
      <w:pPr>
        <w:spacing w:before="0" w:after="120"/>
        <w:rPr>
          <w:rFonts w:cs="Calibri"/>
          <w:color w:val="auto"/>
          <w:szCs w:val="18"/>
        </w:rPr>
      </w:pPr>
      <w:r w:rsidRPr="00A4536F">
        <w:rPr>
          <w:rFonts w:cs="Calibri"/>
          <w:color w:val="auto"/>
          <w:szCs w:val="18"/>
        </w:rPr>
        <w:t>…………………………………………………………………………………………………………………………………</w:t>
      </w:r>
    </w:p>
    <w:p w14:paraId="06A213BA" w14:textId="77777777" w:rsidR="00315466" w:rsidRPr="00A4536F" w:rsidRDefault="001D4E15">
      <w:pPr>
        <w:spacing w:before="0" w:after="120"/>
        <w:rPr>
          <w:rFonts w:cs="Calibri"/>
          <w:color w:val="auto"/>
          <w:szCs w:val="18"/>
        </w:rPr>
      </w:pPr>
      <w:r w:rsidRPr="00A4536F">
        <w:rPr>
          <w:rFonts w:cs="Calibri"/>
          <w:color w:val="auto"/>
          <w:szCs w:val="18"/>
        </w:rPr>
        <w:t>………………………………………………………………………………………………………………………………..</w:t>
      </w:r>
    </w:p>
    <w:p w14:paraId="080E59BC" w14:textId="77777777" w:rsidR="00315466" w:rsidRPr="00A4536F" w:rsidRDefault="001D4E15">
      <w:pPr>
        <w:spacing w:before="0" w:after="120"/>
        <w:rPr>
          <w:rFonts w:cs="Calibri"/>
          <w:color w:val="auto"/>
          <w:szCs w:val="18"/>
        </w:rPr>
      </w:pPr>
      <w:r w:rsidRPr="00A4536F">
        <w:rPr>
          <w:rFonts w:cs="Calibri"/>
          <w:color w:val="auto"/>
          <w:szCs w:val="18"/>
        </w:rPr>
        <w:t>……………………………………………………………………………………………………………………………….</w:t>
      </w:r>
    </w:p>
    <w:p w14:paraId="2995367F" w14:textId="77777777" w:rsidR="00315466" w:rsidRPr="00A4536F" w:rsidRDefault="001D4E15">
      <w:pPr>
        <w:spacing w:before="0" w:after="120"/>
        <w:rPr>
          <w:rFonts w:cs="Calibri"/>
          <w:color w:val="auto"/>
          <w:szCs w:val="18"/>
        </w:rPr>
      </w:pPr>
      <w:r w:rsidRPr="00A4536F">
        <w:rPr>
          <w:rFonts w:cs="Calibri"/>
          <w:color w:val="auto"/>
          <w:szCs w:val="18"/>
        </w:rPr>
        <w:t>6.2. From your perspective what innovative approaches or strategies were used to overcome the barriers?</w:t>
      </w:r>
    </w:p>
    <w:p w14:paraId="5C587EA0" w14:textId="77777777" w:rsidR="00315466" w:rsidRPr="00A4536F" w:rsidRDefault="001D4E15">
      <w:pPr>
        <w:spacing w:before="0" w:after="120"/>
        <w:rPr>
          <w:rFonts w:cs="Calibri"/>
          <w:color w:val="auto"/>
          <w:szCs w:val="18"/>
        </w:rPr>
      </w:pPr>
      <w:r w:rsidRPr="00A4536F">
        <w:rPr>
          <w:rFonts w:cs="Calibri"/>
          <w:color w:val="auto"/>
          <w:szCs w:val="18"/>
        </w:rPr>
        <w:t>…………………………………………………………………………………………………………………………………</w:t>
      </w:r>
    </w:p>
    <w:p w14:paraId="49FEADD2" w14:textId="77777777" w:rsidR="00315466" w:rsidRPr="00A4536F" w:rsidRDefault="001D4E15">
      <w:pPr>
        <w:spacing w:before="0" w:after="120"/>
        <w:rPr>
          <w:rFonts w:cs="Calibri"/>
          <w:color w:val="auto"/>
          <w:szCs w:val="18"/>
        </w:rPr>
      </w:pPr>
      <w:r w:rsidRPr="00A4536F">
        <w:rPr>
          <w:rFonts w:cs="Calibri"/>
          <w:color w:val="auto"/>
          <w:szCs w:val="18"/>
        </w:rPr>
        <w:t>………………………………………………………………………………………………………………………………..</w:t>
      </w:r>
    </w:p>
    <w:p w14:paraId="4A5F2821" w14:textId="77777777" w:rsidR="00315466" w:rsidRPr="00A4536F" w:rsidRDefault="001D4E15">
      <w:pPr>
        <w:spacing w:before="0" w:after="120"/>
        <w:rPr>
          <w:rFonts w:cs="Calibri"/>
          <w:color w:val="auto"/>
          <w:szCs w:val="18"/>
        </w:rPr>
      </w:pPr>
      <w:r w:rsidRPr="00A4536F">
        <w:rPr>
          <w:rFonts w:cs="Calibri"/>
          <w:color w:val="auto"/>
          <w:szCs w:val="18"/>
        </w:rPr>
        <w:t>………………………………………………………………………………………………………………………………..</w:t>
      </w:r>
    </w:p>
    <w:p w14:paraId="38015323" w14:textId="77777777" w:rsidR="00315466" w:rsidRPr="00A4536F" w:rsidRDefault="001D4E15">
      <w:pPr>
        <w:spacing w:before="0" w:after="120"/>
        <w:rPr>
          <w:rFonts w:cs="Calibri"/>
          <w:color w:val="auto"/>
          <w:szCs w:val="18"/>
        </w:rPr>
      </w:pPr>
      <w:r w:rsidRPr="00A4536F">
        <w:rPr>
          <w:rFonts w:cs="Calibri"/>
          <w:color w:val="auto"/>
          <w:szCs w:val="18"/>
        </w:rPr>
        <w:t xml:space="preserve">7. Protection Measures: </w:t>
      </w:r>
    </w:p>
    <w:p w14:paraId="25DF24E2" w14:textId="77777777" w:rsidR="00315466" w:rsidRPr="00A4536F" w:rsidRDefault="001D4E15">
      <w:pPr>
        <w:spacing w:before="0" w:after="120"/>
        <w:rPr>
          <w:rFonts w:cs="Calibri"/>
          <w:color w:val="auto"/>
          <w:szCs w:val="18"/>
        </w:rPr>
      </w:pPr>
      <w:r w:rsidRPr="00A4536F">
        <w:rPr>
          <w:rFonts w:cs="Calibri"/>
          <w:color w:val="auto"/>
          <w:szCs w:val="18"/>
        </w:rPr>
        <w:t>7.1. Assess the effectiveness of protection measures implemented during the project.</w:t>
      </w:r>
    </w:p>
    <w:p w14:paraId="7C96AA4B" w14:textId="77777777" w:rsidR="00315466" w:rsidRPr="00A4536F" w:rsidRDefault="001D4E15">
      <w:pPr>
        <w:spacing w:before="0" w:after="120"/>
        <w:rPr>
          <w:rFonts w:cs="Calibri"/>
          <w:color w:val="auto"/>
          <w:szCs w:val="18"/>
        </w:rPr>
      </w:pPr>
      <w:r w:rsidRPr="00A4536F">
        <w:rPr>
          <w:rFonts w:cs="Calibri"/>
          <w:color w:val="auto"/>
          <w:szCs w:val="18"/>
        </w:rPr>
        <w:t>Not Effective (1) Somewhat Effective (2) Moderately Effective (3) Very Effective (4) Extremely Effective (5)</w:t>
      </w:r>
    </w:p>
    <w:p w14:paraId="3B10084A" w14:textId="77777777" w:rsidR="00315466" w:rsidRPr="00A4536F" w:rsidRDefault="001D4E15">
      <w:pPr>
        <w:spacing w:before="0" w:after="120"/>
        <w:rPr>
          <w:rFonts w:cs="Calibri"/>
          <w:color w:val="auto"/>
          <w:szCs w:val="18"/>
        </w:rPr>
      </w:pPr>
      <w:r w:rsidRPr="00A4536F">
        <w:rPr>
          <w:rFonts w:cs="Calibri"/>
          <w:color w:val="auto"/>
          <w:szCs w:val="18"/>
        </w:rPr>
        <w:t>7.2 What challenges were faced in providing adequate protection and how were they addressed?</w:t>
      </w:r>
    </w:p>
    <w:p w14:paraId="711AE143" w14:textId="77777777" w:rsidR="00315466" w:rsidRPr="00A4536F" w:rsidRDefault="001D4E15">
      <w:pPr>
        <w:spacing w:before="0" w:after="120"/>
        <w:rPr>
          <w:rFonts w:cs="Calibri"/>
          <w:color w:val="auto"/>
          <w:szCs w:val="18"/>
        </w:rPr>
      </w:pPr>
      <w:r w:rsidRPr="00A4536F">
        <w:rPr>
          <w:rFonts w:cs="Calibri"/>
          <w:color w:val="auto"/>
          <w:szCs w:val="18"/>
        </w:rPr>
        <w:t>…………………………………………………………………………………………………………………………………</w:t>
      </w:r>
    </w:p>
    <w:p w14:paraId="2F40B423" w14:textId="77777777" w:rsidR="00315466" w:rsidRPr="00A4536F" w:rsidRDefault="001D4E15">
      <w:pPr>
        <w:spacing w:before="0" w:after="120"/>
        <w:rPr>
          <w:rFonts w:cs="Calibri"/>
          <w:color w:val="auto"/>
          <w:szCs w:val="18"/>
        </w:rPr>
      </w:pPr>
      <w:r w:rsidRPr="00A4536F">
        <w:rPr>
          <w:rFonts w:cs="Calibri"/>
          <w:color w:val="auto"/>
          <w:szCs w:val="18"/>
        </w:rPr>
        <w:t>………………………………………………………………………………………………………………………………..</w:t>
      </w:r>
    </w:p>
    <w:p w14:paraId="497AB654" w14:textId="77777777" w:rsidR="00315466" w:rsidRPr="00A4536F" w:rsidRDefault="001D4E15">
      <w:pPr>
        <w:spacing w:before="0" w:after="120"/>
        <w:rPr>
          <w:rFonts w:cs="Calibri"/>
          <w:color w:val="auto"/>
          <w:szCs w:val="18"/>
        </w:rPr>
      </w:pPr>
      <w:r w:rsidRPr="00A4536F">
        <w:rPr>
          <w:rFonts w:cs="Calibri"/>
          <w:color w:val="auto"/>
          <w:szCs w:val="18"/>
        </w:rPr>
        <w:t>……………………………………………………………………………………………………………………………….</w:t>
      </w:r>
    </w:p>
    <w:p w14:paraId="03B194CD" w14:textId="77777777" w:rsidR="00315466" w:rsidRPr="00A4536F" w:rsidRDefault="001D4E15">
      <w:pPr>
        <w:spacing w:before="0" w:after="120"/>
        <w:rPr>
          <w:rFonts w:cs="Calibri"/>
          <w:color w:val="auto"/>
          <w:szCs w:val="18"/>
        </w:rPr>
      </w:pPr>
      <w:r w:rsidRPr="00A4536F">
        <w:rPr>
          <w:rFonts w:cs="Calibri"/>
          <w:color w:val="auto"/>
          <w:szCs w:val="18"/>
        </w:rPr>
        <w:t xml:space="preserve">8. Economic and Timely Delivery: </w:t>
      </w:r>
    </w:p>
    <w:p w14:paraId="4EA63F9C" w14:textId="77777777" w:rsidR="00315466" w:rsidRPr="00A4536F" w:rsidRDefault="001D4E15">
      <w:pPr>
        <w:spacing w:before="0" w:after="120"/>
        <w:rPr>
          <w:rFonts w:cs="Calibri"/>
          <w:color w:val="auto"/>
          <w:szCs w:val="18"/>
        </w:rPr>
      </w:pPr>
      <w:r w:rsidRPr="00A4536F">
        <w:rPr>
          <w:rFonts w:cs="Calibri"/>
          <w:color w:val="auto"/>
          <w:szCs w:val="18"/>
        </w:rPr>
        <w:lastRenderedPageBreak/>
        <w:t>8.1 Please rate the economic efficiency and timeliness of project interventions.</w:t>
      </w:r>
    </w:p>
    <w:p w14:paraId="5AE313EB" w14:textId="77777777" w:rsidR="00315466" w:rsidRPr="00A4536F" w:rsidRDefault="001D4E15">
      <w:pPr>
        <w:spacing w:before="0" w:after="120"/>
        <w:rPr>
          <w:rFonts w:cs="Calibri"/>
          <w:color w:val="auto"/>
          <w:szCs w:val="18"/>
        </w:rPr>
      </w:pPr>
      <w:r w:rsidRPr="00A4536F">
        <w:rPr>
          <w:rFonts w:cs="Calibri"/>
          <w:color w:val="auto"/>
          <w:szCs w:val="18"/>
        </w:rPr>
        <w:t>Not efficient (1) Somewhat efficient (2) Moderately efficient (3) Very efficient (4) Extremely efficient (5)</w:t>
      </w:r>
    </w:p>
    <w:p w14:paraId="54800CD1" w14:textId="77777777" w:rsidR="00315466" w:rsidRPr="00A4536F" w:rsidRDefault="001D4E15">
      <w:pPr>
        <w:spacing w:before="0" w:after="120"/>
        <w:rPr>
          <w:rFonts w:cs="Calibri"/>
          <w:color w:val="auto"/>
          <w:szCs w:val="18"/>
        </w:rPr>
      </w:pPr>
      <w:r w:rsidRPr="00A4536F">
        <w:rPr>
          <w:rFonts w:cs="Calibri"/>
          <w:color w:val="auto"/>
          <w:szCs w:val="18"/>
        </w:rPr>
        <w:t>8.2. What cost-saving or time-efficient practices were employed by the project?</w:t>
      </w:r>
    </w:p>
    <w:p w14:paraId="4F787DB9" w14:textId="77777777" w:rsidR="00315466" w:rsidRPr="00A4536F" w:rsidRDefault="001D4E15">
      <w:pPr>
        <w:spacing w:before="0" w:after="120"/>
        <w:rPr>
          <w:rFonts w:cs="Calibri"/>
          <w:color w:val="auto"/>
          <w:szCs w:val="18"/>
        </w:rPr>
      </w:pPr>
      <w:r w:rsidRPr="00A4536F">
        <w:rPr>
          <w:rFonts w:cs="Calibri"/>
          <w:color w:val="auto"/>
          <w:szCs w:val="18"/>
        </w:rPr>
        <w:t>…………………………………………………………………………………………………………………………………</w:t>
      </w:r>
    </w:p>
    <w:p w14:paraId="5C7C0D34" w14:textId="77777777" w:rsidR="00315466" w:rsidRPr="00A4536F" w:rsidRDefault="001D4E15">
      <w:pPr>
        <w:spacing w:before="0" w:after="120"/>
        <w:rPr>
          <w:rFonts w:cs="Calibri"/>
          <w:color w:val="auto"/>
          <w:szCs w:val="18"/>
        </w:rPr>
      </w:pPr>
      <w:r w:rsidRPr="00A4536F">
        <w:rPr>
          <w:rFonts w:cs="Calibri"/>
          <w:color w:val="auto"/>
          <w:szCs w:val="18"/>
        </w:rPr>
        <w:t>………………………………………………………………………………………………………………………………..</w:t>
      </w:r>
    </w:p>
    <w:p w14:paraId="1E136C6B" w14:textId="77777777" w:rsidR="00315466" w:rsidRPr="00A4536F" w:rsidRDefault="001D4E15">
      <w:pPr>
        <w:spacing w:before="0" w:after="120"/>
        <w:rPr>
          <w:rFonts w:cs="Calibri"/>
          <w:color w:val="auto"/>
          <w:szCs w:val="18"/>
        </w:rPr>
      </w:pPr>
      <w:r w:rsidRPr="00A4536F">
        <w:rPr>
          <w:rFonts w:cs="Calibri"/>
          <w:color w:val="auto"/>
          <w:szCs w:val="18"/>
        </w:rPr>
        <w:t>………………………………………………………………………………………………………………………………..</w:t>
      </w:r>
    </w:p>
    <w:p w14:paraId="19568FFF" w14:textId="77777777" w:rsidR="00315466" w:rsidRPr="00A4536F" w:rsidRDefault="001D4E15">
      <w:pPr>
        <w:spacing w:before="0" w:after="120"/>
        <w:rPr>
          <w:rFonts w:cs="Calibri"/>
          <w:color w:val="auto"/>
          <w:szCs w:val="18"/>
        </w:rPr>
      </w:pPr>
      <w:r w:rsidRPr="00A4536F">
        <w:rPr>
          <w:rFonts w:cs="Calibri"/>
          <w:color w:val="auto"/>
          <w:szCs w:val="18"/>
        </w:rPr>
        <w:t>Section 3: Semi-Structured Questions: Please provide detailed responses.</w:t>
      </w:r>
    </w:p>
    <w:p w14:paraId="28DEF5B1" w14:textId="77777777" w:rsidR="00315466" w:rsidRPr="00A4536F" w:rsidRDefault="001D4E15">
      <w:pPr>
        <w:spacing w:before="0" w:after="120"/>
        <w:rPr>
          <w:rFonts w:cs="Calibri"/>
          <w:color w:val="auto"/>
          <w:szCs w:val="18"/>
        </w:rPr>
      </w:pPr>
      <w:r w:rsidRPr="00A4536F">
        <w:rPr>
          <w:rFonts w:cs="Calibri"/>
          <w:color w:val="auto"/>
          <w:szCs w:val="18"/>
        </w:rPr>
        <w:t xml:space="preserve">9. Medium-Term Effects: </w:t>
      </w:r>
    </w:p>
    <w:p w14:paraId="0C8448CB" w14:textId="77777777" w:rsidR="00315466" w:rsidRPr="00A4536F" w:rsidRDefault="001D4E15">
      <w:pPr>
        <w:spacing w:before="0" w:after="120"/>
        <w:rPr>
          <w:rFonts w:cs="Calibri"/>
          <w:color w:val="auto"/>
          <w:szCs w:val="18"/>
        </w:rPr>
      </w:pPr>
      <w:r w:rsidRPr="00A4536F">
        <w:rPr>
          <w:rFonts w:cs="Calibri"/>
          <w:color w:val="auto"/>
          <w:szCs w:val="18"/>
        </w:rPr>
        <w:t>9.1 Assess the lasting impacts of the interventions on participants’ well-being and livelihoods. What sustained positive changes have been observed?</w:t>
      </w:r>
    </w:p>
    <w:p w14:paraId="49E93DC8" w14:textId="77777777" w:rsidR="00315466" w:rsidRPr="00A4536F" w:rsidRDefault="001D4E15">
      <w:pPr>
        <w:spacing w:before="0" w:after="120"/>
        <w:rPr>
          <w:rFonts w:cs="Calibri"/>
          <w:color w:val="auto"/>
          <w:szCs w:val="18"/>
        </w:rPr>
      </w:pPr>
      <w:r w:rsidRPr="00A4536F">
        <w:rPr>
          <w:rFonts w:cs="Calibri"/>
          <w:color w:val="auto"/>
          <w:szCs w:val="18"/>
        </w:rPr>
        <w:t>…………………………………………………………………………………………………………………………………</w:t>
      </w:r>
    </w:p>
    <w:p w14:paraId="13F3F7AD" w14:textId="77777777" w:rsidR="00315466" w:rsidRPr="00A4536F" w:rsidRDefault="001D4E15">
      <w:pPr>
        <w:spacing w:before="0" w:after="120"/>
        <w:rPr>
          <w:rFonts w:cs="Calibri"/>
          <w:color w:val="auto"/>
          <w:szCs w:val="18"/>
        </w:rPr>
      </w:pPr>
      <w:r w:rsidRPr="00A4536F">
        <w:rPr>
          <w:rFonts w:cs="Calibri"/>
          <w:color w:val="auto"/>
          <w:szCs w:val="18"/>
        </w:rPr>
        <w:t>………………………………………………………………………………………………………………………………..</w:t>
      </w:r>
    </w:p>
    <w:p w14:paraId="11716F68" w14:textId="77777777" w:rsidR="00315466" w:rsidRPr="00A4536F" w:rsidRDefault="001D4E15">
      <w:pPr>
        <w:spacing w:before="0" w:after="120"/>
        <w:rPr>
          <w:rFonts w:cs="Calibri"/>
          <w:color w:val="auto"/>
          <w:szCs w:val="18"/>
        </w:rPr>
      </w:pPr>
      <w:r w:rsidRPr="00A4536F">
        <w:rPr>
          <w:rFonts w:cs="Calibri"/>
          <w:color w:val="auto"/>
          <w:szCs w:val="18"/>
        </w:rPr>
        <w:t>………………………………………………………………………………………………………………………………..</w:t>
      </w:r>
    </w:p>
    <w:p w14:paraId="5A09D290" w14:textId="77777777" w:rsidR="00315466" w:rsidRPr="00A4536F" w:rsidRDefault="001D4E15">
      <w:pPr>
        <w:spacing w:before="0" w:after="120"/>
        <w:rPr>
          <w:rFonts w:cs="Calibri"/>
          <w:color w:val="auto"/>
          <w:szCs w:val="18"/>
        </w:rPr>
      </w:pPr>
      <w:r w:rsidRPr="00A4536F">
        <w:rPr>
          <w:rFonts w:cs="Calibri"/>
          <w:color w:val="auto"/>
          <w:szCs w:val="18"/>
        </w:rPr>
        <w:t>9.2. Are there any unintended positive outcomes observed in the medium term?</w:t>
      </w:r>
    </w:p>
    <w:p w14:paraId="45DFB95A" w14:textId="77777777" w:rsidR="00315466" w:rsidRPr="00A4536F" w:rsidRDefault="001D4E15">
      <w:pPr>
        <w:spacing w:before="0" w:after="120"/>
        <w:rPr>
          <w:rFonts w:cs="Calibri"/>
          <w:color w:val="auto"/>
          <w:szCs w:val="18"/>
        </w:rPr>
      </w:pPr>
      <w:r w:rsidRPr="00A4536F">
        <w:rPr>
          <w:rFonts w:cs="Calibri"/>
          <w:color w:val="auto"/>
          <w:szCs w:val="18"/>
        </w:rPr>
        <w:t>…………………………………………………………………………………………………………………………………</w:t>
      </w:r>
    </w:p>
    <w:p w14:paraId="32D67FC6" w14:textId="77777777" w:rsidR="00315466" w:rsidRPr="00A4536F" w:rsidRDefault="001D4E15">
      <w:pPr>
        <w:spacing w:before="0" w:after="120"/>
        <w:rPr>
          <w:rFonts w:cs="Calibri"/>
          <w:color w:val="auto"/>
          <w:szCs w:val="18"/>
        </w:rPr>
      </w:pPr>
      <w:r w:rsidRPr="00A4536F">
        <w:rPr>
          <w:rFonts w:cs="Calibri"/>
          <w:color w:val="auto"/>
          <w:szCs w:val="18"/>
        </w:rPr>
        <w:t>………………………………………………………………………………………………………………………………..</w:t>
      </w:r>
    </w:p>
    <w:p w14:paraId="69F08CBE" w14:textId="77777777" w:rsidR="00315466" w:rsidRPr="00A4536F" w:rsidRDefault="001D4E15">
      <w:pPr>
        <w:spacing w:before="0" w:after="120"/>
        <w:rPr>
          <w:rFonts w:cs="Calibri"/>
          <w:color w:val="auto"/>
          <w:szCs w:val="18"/>
        </w:rPr>
      </w:pPr>
      <w:r w:rsidRPr="00A4536F">
        <w:rPr>
          <w:rFonts w:cs="Calibri"/>
          <w:color w:val="auto"/>
          <w:szCs w:val="18"/>
        </w:rPr>
        <w:t>………………………………………………………………………………………………………………………………..</w:t>
      </w:r>
    </w:p>
    <w:p w14:paraId="709C439C" w14:textId="77777777" w:rsidR="00315466" w:rsidRPr="00A4536F" w:rsidRDefault="001D4E15">
      <w:pPr>
        <w:spacing w:before="0" w:after="120"/>
        <w:rPr>
          <w:rFonts w:cs="Calibri"/>
          <w:color w:val="auto"/>
          <w:szCs w:val="18"/>
        </w:rPr>
      </w:pPr>
      <w:r w:rsidRPr="00A4536F">
        <w:rPr>
          <w:rFonts w:cs="Calibri"/>
          <w:color w:val="auto"/>
          <w:szCs w:val="18"/>
        </w:rPr>
        <w:t xml:space="preserve">10. Emergency Response Integration: </w:t>
      </w:r>
    </w:p>
    <w:p w14:paraId="35DAB687" w14:textId="77777777" w:rsidR="00315466" w:rsidRPr="00A4536F" w:rsidRDefault="001D4E15">
      <w:pPr>
        <w:spacing w:before="0" w:after="120"/>
        <w:rPr>
          <w:rFonts w:cs="Calibri"/>
          <w:color w:val="auto"/>
          <w:szCs w:val="18"/>
        </w:rPr>
      </w:pPr>
      <w:r w:rsidRPr="00A4536F">
        <w:rPr>
          <w:rFonts w:cs="Calibri"/>
          <w:color w:val="auto"/>
          <w:szCs w:val="18"/>
        </w:rPr>
        <w:t>10.1. Describe how emergency response was blended with livelihood and capacity-building interventions.</w:t>
      </w:r>
    </w:p>
    <w:p w14:paraId="22992074" w14:textId="77777777" w:rsidR="00315466" w:rsidRPr="00A4536F" w:rsidRDefault="001D4E15">
      <w:pPr>
        <w:spacing w:before="0" w:after="120"/>
        <w:rPr>
          <w:rFonts w:cs="Calibri"/>
          <w:color w:val="auto"/>
          <w:szCs w:val="18"/>
        </w:rPr>
      </w:pPr>
      <w:r w:rsidRPr="00A4536F">
        <w:rPr>
          <w:rFonts w:cs="Calibri"/>
          <w:color w:val="auto"/>
          <w:szCs w:val="18"/>
        </w:rPr>
        <w:t>…………………………………………………………………………………………………………………………………</w:t>
      </w:r>
    </w:p>
    <w:p w14:paraId="677EB996" w14:textId="77777777" w:rsidR="00315466" w:rsidRPr="00A4536F" w:rsidRDefault="001D4E15">
      <w:pPr>
        <w:spacing w:before="0" w:after="120"/>
        <w:rPr>
          <w:rFonts w:cs="Calibri"/>
          <w:color w:val="auto"/>
          <w:szCs w:val="18"/>
        </w:rPr>
      </w:pPr>
      <w:r w:rsidRPr="00A4536F">
        <w:rPr>
          <w:rFonts w:cs="Calibri"/>
          <w:color w:val="auto"/>
          <w:szCs w:val="18"/>
        </w:rPr>
        <w:t>………………………………………………………………………………………………………………………………..</w:t>
      </w:r>
    </w:p>
    <w:p w14:paraId="03A29938" w14:textId="77777777" w:rsidR="00315466" w:rsidRPr="00A4536F" w:rsidRDefault="001D4E15">
      <w:pPr>
        <w:spacing w:before="0" w:after="120"/>
        <w:rPr>
          <w:rFonts w:cs="Calibri"/>
          <w:color w:val="auto"/>
          <w:szCs w:val="18"/>
        </w:rPr>
      </w:pPr>
      <w:r w:rsidRPr="00A4536F">
        <w:rPr>
          <w:rFonts w:cs="Calibri"/>
          <w:color w:val="auto"/>
          <w:szCs w:val="18"/>
        </w:rPr>
        <w:t>………………………………………………………………………………………………………………………………..</w:t>
      </w:r>
    </w:p>
    <w:p w14:paraId="2190D26F" w14:textId="77777777" w:rsidR="00315466" w:rsidRPr="00A4536F" w:rsidRDefault="001D4E15">
      <w:pPr>
        <w:spacing w:before="0" w:after="120"/>
        <w:rPr>
          <w:rFonts w:cs="Calibri"/>
          <w:color w:val="auto"/>
          <w:szCs w:val="18"/>
        </w:rPr>
      </w:pPr>
      <w:r w:rsidRPr="00A4536F">
        <w:rPr>
          <w:rFonts w:cs="Calibri"/>
          <w:color w:val="auto"/>
          <w:szCs w:val="18"/>
        </w:rPr>
        <w:t>10.2 List and explain any challenges encountered in blending emergency response with long-term interventions:</w:t>
      </w:r>
    </w:p>
    <w:p w14:paraId="4BE5BD3F" w14:textId="77777777" w:rsidR="00315466" w:rsidRPr="00A4536F" w:rsidRDefault="001D4E15">
      <w:pPr>
        <w:spacing w:before="0" w:after="120"/>
        <w:rPr>
          <w:rFonts w:cs="Calibri"/>
          <w:color w:val="auto"/>
          <w:szCs w:val="18"/>
        </w:rPr>
      </w:pPr>
      <w:r w:rsidRPr="00A4536F">
        <w:rPr>
          <w:rFonts w:cs="Calibri"/>
          <w:color w:val="auto"/>
          <w:szCs w:val="18"/>
        </w:rPr>
        <w:t>…………………………………………………………………………………………………………………………………</w:t>
      </w:r>
    </w:p>
    <w:p w14:paraId="4799FA52" w14:textId="77777777" w:rsidR="00315466" w:rsidRPr="00A4536F" w:rsidRDefault="001D4E15">
      <w:pPr>
        <w:spacing w:before="0" w:after="120"/>
        <w:rPr>
          <w:rFonts w:cs="Calibri"/>
          <w:color w:val="auto"/>
          <w:szCs w:val="18"/>
        </w:rPr>
      </w:pPr>
      <w:r w:rsidRPr="00A4536F">
        <w:rPr>
          <w:rFonts w:cs="Calibri"/>
          <w:color w:val="auto"/>
          <w:szCs w:val="18"/>
        </w:rPr>
        <w:t>………………………………………………………………………………………………………………………………..</w:t>
      </w:r>
    </w:p>
    <w:p w14:paraId="7924ECDC" w14:textId="77777777" w:rsidR="00315466" w:rsidRPr="00A4536F" w:rsidRDefault="001D4E15">
      <w:pPr>
        <w:spacing w:before="0" w:after="120"/>
        <w:rPr>
          <w:rFonts w:cs="Calibri"/>
          <w:color w:val="auto"/>
          <w:szCs w:val="18"/>
        </w:rPr>
      </w:pPr>
      <w:r w:rsidRPr="00A4536F">
        <w:rPr>
          <w:rFonts w:cs="Calibri"/>
          <w:color w:val="auto"/>
          <w:szCs w:val="18"/>
        </w:rPr>
        <w:t>………………………………………………………………………………………………………………………………..</w:t>
      </w:r>
    </w:p>
    <w:p w14:paraId="3F21E027" w14:textId="77777777" w:rsidR="00315466" w:rsidRPr="00A4536F" w:rsidRDefault="001D4E15">
      <w:pPr>
        <w:spacing w:before="0" w:after="120"/>
        <w:rPr>
          <w:rFonts w:cs="Calibri"/>
          <w:color w:val="auto"/>
          <w:szCs w:val="18"/>
        </w:rPr>
      </w:pPr>
      <w:r w:rsidRPr="00A4536F">
        <w:rPr>
          <w:rFonts w:cs="Calibri"/>
          <w:color w:val="auto"/>
          <w:szCs w:val="18"/>
        </w:rPr>
        <w:t xml:space="preserve">11.Other Intervention Complementarity: </w:t>
      </w:r>
    </w:p>
    <w:p w14:paraId="11A107E5" w14:textId="77777777" w:rsidR="00315466" w:rsidRPr="00A4536F" w:rsidRDefault="001D4E15">
      <w:pPr>
        <w:spacing w:before="0" w:after="120"/>
        <w:rPr>
          <w:rFonts w:cs="Calibri"/>
          <w:color w:val="auto"/>
          <w:szCs w:val="18"/>
        </w:rPr>
      </w:pPr>
      <w:r w:rsidRPr="00A4536F">
        <w:rPr>
          <w:rFonts w:cs="Calibri"/>
          <w:color w:val="auto"/>
          <w:szCs w:val="18"/>
        </w:rPr>
        <w:t>11.1. To what extent did other interventions, such as WASH and protection, complement the Food Security and Livelihood (FSL) interventions?</w:t>
      </w:r>
    </w:p>
    <w:p w14:paraId="69B899DB" w14:textId="77777777" w:rsidR="00315466" w:rsidRPr="00A4536F" w:rsidRDefault="001D4E15">
      <w:pPr>
        <w:spacing w:before="0" w:after="120"/>
        <w:rPr>
          <w:rFonts w:cs="Calibri"/>
          <w:color w:val="auto"/>
          <w:szCs w:val="18"/>
        </w:rPr>
      </w:pPr>
      <w:r w:rsidRPr="00A4536F">
        <w:rPr>
          <w:rFonts w:cs="Calibri"/>
          <w:color w:val="auto"/>
          <w:szCs w:val="18"/>
        </w:rPr>
        <w:t>Not Complementary (1) Somewhat Complementary (2) Moderately Complementary (3) Very Complementary (4) Extremely Complementary (5)</w:t>
      </w:r>
    </w:p>
    <w:p w14:paraId="69F35334" w14:textId="77777777" w:rsidR="00315466" w:rsidRPr="00A4536F" w:rsidRDefault="001D4E15">
      <w:pPr>
        <w:spacing w:before="0" w:after="120"/>
        <w:rPr>
          <w:rFonts w:cs="Calibri"/>
          <w:color w:val="auto"/>
          <w:szCs w:val="18"/>
        </w:rPr>
      </w:pPr>
      <w:r w:rsidRPr="00A4536F">
        <w:rPr>
          <w:rFonts w:cs="Calibri"/>
          <w:color w:val="auto"/>
          <w:szCs w:val="18"/>
        </w:rPr>
        <w:t>11.2. Suggest any recommendations for enhancing coordination with other interventions:</w:t>
      </w:r>
    </w:p>
    <w:p w14:paraId="36CBDA44" w14:textId="77777777" w:rsidR="00315466" w:rsidRPr="00A4536F" w:rsidRDefault="001D4E15">
      <w:pPr>
        <w:spacing w:before="0" w:after="120"/>
        <w:rPr>
          <w:rFonts w:cs="Calibri"/>
          <w:color w:val="auto"/>
          <w:szCs w:val="18"/>
        </w:rPr>
      </w:pPr>
      <w:r w:rsidRPr="00A4536F">
        <w:rPr>
          <w:rFonts w:cs="Calibri"/>
          <w:color w:val="auto"/>
          <w:szCs w:val="18"/>
        </w:rPr>
        <w:t>…………………………………………………………………………………………………………………………………</w:t>
      </w:r>
    </w:p>
    <w:p w14:paraId="45813D84" w14:textId="77777777" w:rsidR="00315466" w:rsidRPr="00A4536F" w:rsidRDefault="001D4E15">
      <w:pPr>
        <w:spacing w:before="0" w:after="120"/>
        <w:rPr>
          <w:rFonts w:cs="Calibri"/>
          <w:color w:val="auto"/>
          <w:szCs w:val="18"/>
        </w:rPr>
      </w:pPr>
      <w:r w:rsidRPr="00A4536F">
        <w:rPr>
          <w:rFonts w:cs="Calibri"/>
          <w:color w:val="auto"/>
          <w:szCs w:val="18"/>
        </w:rPr>
        <w:t>………………………………………………………………………………………………………………………………..</w:t>
      </w:r>
    </w:p>
    <w:p w14:paraId="0A21D07E" w14:textId="77777777" w:rsidR="00315466" w:rsidRPr="00A4536F" w:rsidRDefault="001D4E15">
      <w:pPr>
        <w:spacing w:before="0" w:after="120"/>
        <w:rPr>
          <w:rFonts w:cs="Calibri"/>
          <w:color w:val="auto"/>
          <w:szCs w:val="18"/>
        </w:rPr>
      </w:pPr>
      <w:r w:rsidRPr="00A4536F">
        <w:rPr>
          <w:rFonts w:cs="Calibri"/>
          <w:color w:val="auto"/>
          <w:szCs w:val="18"/>
        </w:rPr>
        <w:t>………………………………………………………………………………………………………………………………..</w:t>
      </w:r>
    </w:p>
    <w:p w14:paraId="3E7114F4" w14:textId="77777777" w:rsidR="00315466" w:rsidRPr="00A4536F" w:rsidRDefault="001D4E15">
      <w:pPr>
        <w:spacing w:before="0" w:after="120"/>
        <w:rPr>
          <w:rFonts w:cs="Calibri"/>
          <w:color w:val="auto"/>
          <w:szCs w:val="18"/>
        </w:rPr>
      </w:pPr>
      <w:r w:rsidRPr="00A4536F">
        <w:rPr>
          <w:rFonts w:cs="Calibri"/>
          <w:color w:val="auto"/>
          <w:szCs w:val="18"/>
        </w:rPr>
        <w:t xml:space="preserve">12. Community Satisfaction: </w:t>
      </w:r>
    </w:p>
    <w:p w14:paraId="133D98FA" w14:textId="77777777" w:rsidR="00315466" w:rsidRPr="00A4536F" w:rsidRDefault="001D4E15">
      <w:pPr>
        <w:spacing w:before="0" w:after="120"/>
        <w:rPr>
          <w:rFonts w:cs="Calibri"/>
          <w:color w:val="auto"/>
          <w:szCs w:val="18"/>
        </w:rPr>
      </w:pPr>
      <w:r w:rsidRPr="00A4536F">
        <w:rPr>
          <w:rFonts w:cs="Calibri"/>
          <w:color w:val="auto"/>
          <w:szCs w:val="18"/>
        </w:rPr>
        <w:t>12.1. To what extent are the communities satisfied with the participant targeting strategies employed in the interventions?</w:t>
      </w:r>
    </w:p>
    <w:p w14:paraId="3D227B79" w14:textId="77777777" w:rsidR="00315466" w:rsidRPr="00A4536F" w:rsidRDefault="001D4E15">
      <w:pPr>
        <w:spacing w:before="0" w:after="120"/>
        <w:rPr>
          <w:rFonts w:cs="Calibri"/>
          <w:color w:val="auto"/>
          <w:szCs w:val="18"/>
        </w:rPr>
      </w:pPr>
      <w:r w:rsidRPr="00A4536F">
        <w:rPr>
          <w:rFonts w:cs="Calibri"/>
          <w:color w:val="auto"/>
          <w:szCs w:val="18"/>
        </w:rPr>
        <w:lastRenderedPageBreak/>
        <w:t>Very Dissatisfied (1) Dissatisfied (2) Neutral (3) Satisfied (4) Very Satisfied (5)</w:t>
      </w:r>
    </w:p>
    <w:p w14:paraId="6EE7A3D3" w14:textId="77777777" w:rsidR="00315466" w:rsidRPr="00A4536F" w:rsidRDefault="001D4E15">
      <w:pPr>
        <w:spacing w:before="0" w:after="120"/>
        <w:rPr>
          <w:rFonts w:cs="Calibri"/>
          <w:color w:val="auto"/>
          <w:szCs w:val="18"/>
        </w:rPr>
      </w:pPr>
      <w:r w:rsidRPr="00A4536F">
        <w:rPr>
          <w:rFonts w:cs="Calibri"/>
          <w:color w:val="auto"/>
          <w:szCs w:val="18"/>
        </w:rPr>
        <w:t>12.2 If the answer in 12.1 above is (1) or (2) explain the reasons.</w:t>
      </w:r>
    </w:p>
    <w:p w14:paraId="4784D1CF" w14:textId="77777777" w:rsidR="00315466" w:rsidRPr="00A4536F" w:rsidRDefault="001D4E15">
      <w:pPr>
        <w:spacing w:before="0" w:after="120"/>
        <w:rPr>
          <w:rFonts w:cs="Calibri"/>
          <w:color w:val="auto"/>
          <w:szCs w:val="18"/>
        </w:rPr>
      </w:pPr>
      <w:r w:rsidRPr="00A4536F">
        <w:rPr>
          <w:rFonts w:cs="Calibri"/>
          <w:color w:val="auto"/>
          <w:szCs w:val="18"/>
        </w:rPr>
        <w:t>…………………………………………………………………………………………………………………………………</w:t>
      </w:r>
    </w:p>
    <w:p w14:paraId="4D71CB4A" w14:textId="77777777" w:rsidR="00315466" w:rsidRPr="00A4536F" w:rsidRDefault="001D4E15">
      <w:pPr>
        <w:spacing w:before="0" w:after="120"/>
        <w:rPr>
          <w:rFonts w:cs="Calibri"/>
          <w:color w:val="auto"/>
          <w:szCs w:val="18"/>
        </w:rPr>
      </w:pPr>
      <w:r w:rsidRPr="00A4536F">
        <w:rPr>
          <w:rFonts w:cs="Calibri"/>
          <w:color w:val="auto"/>
          <w:szCs w:val="18"/>
        </w:rPr>
        <w:t>………………………………………………………………………………………………………………………………..</w:t>
      </w:r>
    </w:p>
    <w:p w14:paraId="4686FFD2" w14:textId="77777777" w:rsidR="00315466" w:rsidRPr="00A4536F" w:rsidRDefault="001D4E15">
      <w:pPr>
        <w:spacing w:before="0" w:after="120"/>
        <w:rPr>
          <w:rFonts w:cs="Calibri"/>
          <w:color w:val="auto"/>
          <w:szCs w:val="18"/>
        </w:rPr>
      </w:pPr>
      <w:r w:rsidRPr="00A4536F">
        <w:rPr>
          <w:rFonts w:cs="Calibri"/>
          <w:color w:val="auto"/>
          <w:szCs w:val="18"/>
        </w:rPr>
        <w:t>……………………………………………………………………………………………………………………………….</w:t>
      </w:r>
    </w:p>
    <w:p w14:paraId="4410E5C5" w14:textId="77777777" w:rsidR="00315466" w:rsidRPr="00A4536F" w:rsidRDefault="001D4E15">
      <w:pPr>
        <w:spacing w:before="0" w:after="120"/>
        <w:rPr>
          <w:rFonts w:cs="Calibri"/>
          <w:color w:val="auto"/>
          <w:szCs w:val="18"/>
        </w:rPr>
      </w:pPr>
      <w:r w:rsidRPr="00A4536F">
        <w:rPr>
          <w:rFonts w:cs="Calibri"/>
          <w:color w:val="auto"/>
          <w:szCs w:val="18"/>
        </w:rPr>
        <w:t>12.3 To what extent are the communities satisfied with the project intervention benefits:</w:t>
      </w:r>
    </w:p>
    <w:p w14:paraId="574B7F2C" w14:textId="77777777" w:rsidR="00315466" w:rsidRPr="00A4536F" w:rsidRDefault="001D4E15">
      <w:pPr>
        <w:spacing w:before="0" w:after="120"/>
        <w:rPr>
          <w:rFonts w:cs="Calibri"/>
          <w:color w:val="auto"/>
          <w:szCs w:val="18"/>
        </w:rPr>
      </w:pPr>
      <w:r w:rsidRPr="00A4536F">
        <w:rPr>
          <w:rFonts w:cs="Calibri"/>
          <w:color w:val="auto"/>
          <w:szCs w:val="18"/>
        </w:rPr>
        <w:t>Very Dissatisfied (1) Dissatisfied (2) Neutral (3) Satisfied (4) Very Satisfied (5)</w:t>
      </w:r>
    </w:p>
    <w:p w14:paraId="065A9534" w14:textId="77777777" w:rsidR="00315466" w:rsidRPr="00A4536F" w:rsidRDefault="001D4E15">
      <w:pPr>
        <w:spacing w:before="0" w:after="120"/>
        <w:rPr>
          <w:rFonts w:cs="Calibri"/>
          <w:color w:val="auto"/>
          <w:szCs w:val="18"/>
        </w:rPr>
      </w:pPr>
      <w:r w:rsidRPr="00A4536F">
        <w:rPr>
          <w:rFonts w:cs="Calibri"/>
          <w:color w:val="auto"/>
          <w:szCs w:val="18"/>
        </w:rPr>
        <w:t xml:space="preserve">12.4 If the answer in 12.3 above is (1) or (2) explain the </w:t>
      </w:r>
      <w:proofErr w:type="gramStart"/>
      <w:r w:rsidRPr="00A4536F">
        <w:rPr>
          <w:rFonts w:cs="Calibri"/>
          <w:color w:val="auto"/>
          <w:szCs w:val="18"/>
        </w:rPr>
        <w:t>reasons</w:t>
      </w:r>
      <w:proofErr w:type="gramEnd"/>
    </w:p>
    <w:p w14:paraId="5C1A93AD" w14:textId="77777777" w:rsidR="00315466" w:rsidRPr="00A4536F" w:rsidRDefault="001D4E15">
      <w:pPr>
        <w:spacing w:before="0" w:after="120"/>
        <w:rPr>
          <w:rFonts w:cs="Calibri"/>
          <w:color w:val="auto"/>
          <w:szCs w:val="18"/>
        </w:rPr>
      </w:pPr>
      <w:r w:rsidRPr="00A4536F">
        <w:rPr>
          <w:rFonts w:cs="Calibri"/>
          <w:color w:val="auto"/>
          <w:szCs w:val="18"/>
        </w:rPr>
        <w:t>…………………………………………………………………………………………………………………………………</w:t>
      </w:r>
    </w:p>
    <w:p w14:paraId="02A03F00" w14:textId="77777777" w:rsidR="00315466" w:rsidRPr="00A4536F" w:rsidRDefault="001D4E15">
      <w:pPr>
        <w:spacing w:before="0" w:after="120"/>
        <w:rPr>
          <w:rFonts w:cs="Calibri"/>
          <w:color w:val="auto"/>
          <w:szCs w:val="18"/>
        </w:rPr>
      </w:pPr>
      <w:r w:rsidRPr="00A4536F">
        <w:rPr>
          <w:rFonts w:cs="Calibri"/>
          <w:color w:val="auto"/>
          <w:szCs w:val="18"/>
        </w:rPr>
        <w:t>………………………………………………………………………………………………………………………………..</w:t>
      </w:r>
    </w:p>
    <w:p w14:paraId="589D8CBC" w14:textId="77777777" w:rsidR="00315466" w:rsidRPr="00A4536F" w:rsidRDefault="001D4E15">
      <w:pPr>
        <w:spacing w:before="0" w:after="120"/>
        <w:rPr>
          <w:rFonts w:cs="Calibri"/>
          <w:color w:val="auto"/>
          <w:szCs w:val="18"/>
        </w:rPr>
      </w:pPr>
      <w:r w:rsidRPr="00A4536F">
        <w:rPr>
          <w:rFonts w:cs="Calibri"/>
          <w:color w:val="auto"/>
          <w:szCs w:val="18"/>
        </w:rPr>
        <w:t>………………………………………………………………………………………………………………………………..</w:t>
      </w:r>
    </w:p>
    <w:p w14:paraId="68EC15E1" w14:textId="77777777" w:rsidR="00315466" w:rsidRPr="00A4536F" w:rsidRDefault="001D4E15">
      <w:pPr>
        <w:spacing w:before="0" w:after="120"/>
        <w:rPr>
          <w:rFonts w:cs="Calibri"/>
          <w:color w:val="auto"/>
          <w:szCs w:val="18"/>
        </w:rPr>
      </w:pPr>
      <w:r w:rsidRPr="00A4536F">
        <w:rPr>
          <w:rFonts w:cs="Calibri"/>
          <w:color w:val="auto"/>
          <w:szCs w:val="18"/>
        </w:rPr>
        <w:t xml:space="preserve">13. Communication and Feedback: </w:t>
      </w:r>
    </w:p>
    <w:p w14:paraId="441039EC" w14:textId="77777777" w:rsidR="00315466" w:rsidRPr="00A4536F" w:rsidRDefault="001D4E15">
      <w:pPr>
        <w:spacing w:before="0" w:after="120"/>
        <w:rPr>
          <w:rFonts w:cs="Calibri"/>
          <w:color w:val="auto"/>
          <w:szCs w:val="18"/>
        </w:rPr>
      </w:pPr>
      <w:r w:rsidRPr="00A4536F">
        <w:rPr>
          <w:rFonts w:cs="Calibri"/>
          <w:color w:val="auto"/>
          <w:szCs w:val="18"/>
        </w:rPr>
        <w:t>13.1 Describe communication channels and feedback mechanisms employed.</w:t>
      </w:r>
    </w:p>
    <w:p w14:paraId="3D8ADCC4" w14:textId="77777777" w:rsidR="00315466" w:rsidRPr="00A4536F" w:rsidRDefault="001D4E15">
      <w:pPr>
        <w:spacing w:before="0" w:after="120"/>
        <w:rPr>
          <w:rFonts w:cs="Calibri"/>
          <w:color w:val="auto"/>
          <w:szCs w:val="18"/>
        </w:rPr>
      </w:pPr>
      <w:r w:rsidRPr="00A4536F">
        <w:rPr>
          <w:rFonts w:cs="Calibri"/>
          <w:color w:val="auto"/>
          <w:szCs w:val="18"/>
        </w:rPr>
        <w:t>…………………………………………………………………………………………………………………………………</w:t>
      </w:r>
    </w:p>
    <w:p w14:paraId="1344105D" w14:textId="77777777" w:rsidR="00315466" w:rsidRPr="00A4536F" w:rsidRDefault="001D4E15">
      <w:pPr>
        <w:spacing w:before="0" w:after="120"/>
        <w:rPr>
          <w:rFonts w:cs="Calibri"/>
          <w:color w:val="auto"/>
          <w:szCs w:val="18"/>
        </w:rPr>
      </w:pPr>
      <w:r w:rsidRPr="00A4536F">
        <w:rPr>
          <w:rFonts w:cs="Calibri"/>
          <w:color w:val="auto"/>
          <w:szCs w:val="18"/>
        </w:rPr>
        <w:t>………………………………………………………………………………………………………………………………..</w:t>
      </w:r>
    </w:p>
    <w:p w14:paraId="35348C5D" w14:textId="77777777" w:rsidR="00315466" w:rsidRPr="00A4536F" w:rsidRDefault="001D4E15">
      <w:pPr>
        <w:spacing w:before="0" w:after="120"/>
        <w:rPr>
          <w:rFonts w:cs="Calibri"/>
          <w:color w:val="auto"/>
          <w:szCs w:val="18"/>
        </w:rPr>
      </w:pPr>
      <w:r w:rsidRPr="00A4536F">
        <w:rPr>
          <w:rFonts w:cs="Calibri"/>
          <w:color w:val="auto"/>
          <w:szCs w:val="18"/>
        </w:rPr>
        <w:t>………………………………………………………………………………………………………………………………..</w:t>
      </w:r>
    </w:p>
    <w:p w14:paraId="713D14D9" w14:textId="77777777" w:rsidR="00315466" w:rsidRPr="00A4536F" w:rsidRDefault="001D4E15">
      <w:pPr>
        <w:spacing w:before="0" w:after="120"/>
        <w:rPr>
          <w:rFonts w:cs="Calibri"/>
          <w:color w:val="auto"/>
          <w:szCs w:val="18"/>
        </w:rPr>
      </w:pPr>
      <w:r w:rsidRPr="00A4536F">
        <w:rPr>
          <w:rFonts w:cs="Calibri"/>
          <w:color w:val="auto"/>
          <w:szCs w:val="18"/>
        </w:rPr>
        <w:t>13.2 Could you give examples of community-driven changes in project design or implementation:</w:t>
      </w:r>
    </w:p>
    <w:p w14:paraId="4F55C7D6" w14:textId="77777777" w:rsidR="00315466" w:rsidRPr="00A4536F" w:rsidRDefault="001D4E15">
      <w:pPr>
        <w:spacing w:before="0" w:after="120"/>
        <w:rPr>
          <w:rFonts w:cs="Calibri"/>
          <w:color w:val="auto"/>
          <w:szCs w:val="18"/>
        </w:rPr>
      </w:pPr>
      <w:r w:rsidRPr="00A4536F">
        <w:rPr>
          <w:rFonts w:cs="Calibri"/>
          <w:color w:val="auto"/>
          <w:szCs w:val="18"/>
        </w:rPr>
        <w:t>…………………………………………………………………………………………………………………………………</w:t>
      </w:r>
    </w:p>
    <w:p w14:paraId="28E03216" w14:textId="77777777" w:rsidR="00315466" w:rsidRPr="00A4536F" w:rsidRDefault="001D4E15">
      <w:pPr>
        <w:spacing w:before="0" w:after="120"/>
        <w:rPr>
          <w:rFonts w:cs="Calibri"/>
          <w:color w:val="auto"/>
          <w:szCs w:val="18"/>
        </w:rPr>
      </w:pPr>
      <w:r w:rsidRPr="00A4536F">
        <w:rPr>
          <w:rFonts w:cs="Calibri"/>
          <w:color w:val="auto"/>
          <w:szCs w:val="18"/>
        </w:rPr>
        <w:t>………………………………………………………………………………………………………………………………..</w:t>
      </w:r>
    </w:p>
    <w:p w14:paraId="3BEE4B90" w14:textId="77777777" w:rsidR="00315466" w:rsidRPr="00A4536F" w:rsidRDefault="001D4E15">
      <w:pPr>
        <w:spacing w:before="0" w:after="120"/>
        <w:rPr>
          <w:rFonts w:cs="Calibri"/>
          <w:color w:val="auto"/>
          <w:szCs w:val="18"/>
        </w:rPr>
      </w:pPr>
      <w:r w:rsidRPr="00A4536F">
        <w:rPr>
          <w:rFonts w:cs="Calibri"/>
          <w:color w:val="auto"/>
          <w:szCs w:val="18"/>
        </w:rPr>
        <w:t>………………………………………………………………………………………………………………………………..</w:t>
      </w:r>
    </w:p>
    <w:p w14:paraId="001EE859" w14:textId="77777777" w:rsidR="00315466" w:rsidRPr="00A4536F" w:rsidRDefault="001D4E15">
      <w:pPr>
        <w:spacing w:before="0" w:after="120"/>
        <w:rPr>
          <w:rFonts w:cs="Calibri"/>
          <w:color w:val="auto"/>
          <w:szCs w:val="18"/>
        </w:rPr>
      </w:pPr>
      <w:r w:rsidRPr="00A4536F">
        <w:rPr>
          <w:rFonts w:cs="Calibri"/>
          <w:color w:val="auto"/>
          <w:szCs w:val="18"/>
        </w:rPr>
        <w:t xml:space="preserve">14. Local Systems and Leadership: </w:t>
      </w:r>
    </w:p>
    <w:p w14:paraId="3CC45734" w14:textId="77777777" w:rsidR="00315466" w:rsidRPr="00A4536F" w:rsidRDefault="001D4E15">
      <w:pPr>
        <w:spacing w:before="0" w:after="120"/>
        <w:rPr>
          <w:rFonts w:cs="Calibri"/>
          <w:color w:val="auto"/>
          <w:szCs w:val="18"/>
        </w:rPr>
      </w:pPr>
      <w:r w:rsidRPr="00A4536F">
        <w:rPr>
          <w:rFonts w:cs="Calibri"/>
          <w:color w:val="auto"/>
          <w:szCs w:val="18"/>
        </w:rPr>
        <w:t>14.1 From your perspective evaluate the integration of local systems and leadership into project activities.</w:t>
      </w:r>
    </w:p>
    <w:p w14:paraId="53523A8F" w14:textId="77777777" w:rsidR="00315466" w:rsidRPr="00A4536F" w:rsidRDefault="001D4E15">
      <w:pPr>
        <w:spacing w:before="0" w:after="120"/>
        <w:rPr>
          <w:rFonts w:cs="Calibri"/>
          <w:color w:val="auto"/>
          <w:szCs w:val="18"/>
        </w:rPr>
      </w:pPr>
      <w:r w:rsidRPr="00A4536F">
        <w:rPr>
          <w:rFonts w:cs="Calibri"/>
          <w:color w:val="auto"/>
          <w:szCs w:val="18"/>
        </w:rPr>
        <w:t>…………………………………………………………………………………………………………………………………</w:t>
      </w:r>
    </w:p>
    <w:p w14:paraId="149D71EB" w14:textId="77777777" w:rsidR="00315466" w:rsidRPr="00A4536F" w:rsidRDefault="001D4E15">
      <w:pPr>
        <w:spacing w:before="0" w:after="120"/>
        <w:rPr>
          <w:rFonts w:cs="Calibri"/>
          <w:color w:val="auto"/>
          <w:szCs w:val="18"/>
        </w:rPr>
      </w:pPr>
      <w:r w:rsidRPr="00A4536F">
        <w:rPr>
          <w:rFonts w:cs="Calibri"/>
          <w:color w:val="auto"/>
          <w:szCs w:val="18"/>
        </w:rPr>
        <w:t>………………………………………………………………………………………………………………………………..</w:t>
      </w:r>
    </w:p>
    <w:p w14:paraId="77280269" w14:textId="77777777" w:rsidR="00315466" w:rsidRPr="00A4536F" w:rsidRDefault="001D4E15">
      <w:pPr>
        <w:spacing w:before="0" w:after="120"/>
        <w:rPr>
          <w:rFonts w:cs="Calibri"/>
          <w:color w:val="auto"/>
          <w:szCs w:val="18"/>
        </w:rPr>
      </w:pPr>
      <w:r w:rsidRPr="00A4536F">
        <w:rPr>
          <w:rFonts w:cs="Calibri"/>
          <w:color w:val="auto"/>
          <w:szCs w:val="18"/>
        </w:rPr>
        <w:t>………………………………………………………………………………………………………………………………..</w:t>
      </w:r>
    </w:p>
    <w:p w14:paraId="4AE0ADE9" w14:textId="77777777" w:rsidR="00315466" w:rsidRPr="00A4536F" w:rsidRDefault="001D4E15">
      <w:pPr>
        <w:spacing w:before="0" w:after="120"/>
        <w:rPr>
          <w:rFonts w:cs="Calibri"/>
          <w:color w:val="auto"/>
          <w:szCs w:val="18"/>
        </w:rPr>
      </w:pPr>
      <w:r w:rsidRPr="00A4536F">
        <w:rPr>
          <w:rFonts w:cs="Calibri"/>
          <w:color w:val="auto"/>
          <w:szCs w:val="18"/>
        </w:rPr>
        <w:t>14.2 What challenges have been faced in working with local systems?</w:t>
      </w:r>
    </w:p>
    <w:p w14:paraId="287CA74D" w14:textId="77777777" w:rsidR="00315466" w:rsidRPr="00A4536F" w:rsidRDefault="001D4E15">
      <w:pPr>
        <w:spacing w:before="0" w:after="120"/>
        <w:rPr>
          <w:rFonts w:cs="Calibri"/>
          <w:color w:val="auto"/>
          <w:szCs w:val="18"/>
        </w:rPr>
      </w:pPr>
      <w:r w:rsidRPr="00A4536F">
        <w:rPr>
          <w:rFonts w:cs="Calibri"/>
          <w:color w:val="auto"/>
          <w:szCs w:val="18"/>
        </w:rPr>
        <w:t>…………………………………………………………………………………………………………………………………</w:t>
      </w:r>
    </w:p>
    <w:p w14:paraId="512AFEC7" w14:textId="77777777" w:rsidR="00315466" w:rsidRPr="00A4536F" w:rsidRDefault="001D4E15">
      <w:pPr>
        <w:spacing w:before="0" w:after="120"/>
        <w:rPr>
          <w:rFonts w:cs="Calibri"/>
          <w:color w:val="auto"/>
          <w:szCs w:val="18"/>
        </w:rPr>
      </w:pPr>
      <w:r w:rsidRPr="00A4536F">
        <w:rPr>
          <w:rFonts w:cs="Calibri"/>
          <w:color w:val="auto"/>
          <w:szCs w:val="18"/>
        </w:rPr>
        <w:t>………………………………………………………………………………………………………………………………..</w:t>
      </w:r>
    </w:p>
    <w:p w14:paraId="797CEEE8" w14:textId="77777777" w:rsidR="00315466" w:rsidRPr="00A4536F" w:rsidRDefault="001D4E15">
      <w:pPr>
        <w:spacing w:before="0" w:after="120"/>
        <w:rPr>
          <w:rFonts w:cs="Calibri"/>
          <w:color w:val="auto"/>
          <w:szCs w:val="18"/>
        </w:rPr>
      </w:pPr>
      <w:r w:rsidRPr="00A4536F">
        <w:rPr>
          <w:rFonts w:cs="Calibri"/>
          <w:color w:val="auto"/>
          <w:szCs w:val="18"/>
        </w:rPr>
        <w:t>………………………………………………………………………………………………………………………………..</w:t>
      </w:r>
    </w:p>
    <w:p w14:paraId="433BFA58" w14:textId="77777777" w:rsidR="00315466" w:rsidRPr="00A4536F" w:rsidRDefault="001D4E15">
      <w:pPr>
        <w:spacing w:before="0" w:after="120"/>
        <w:rPr>
          <w:rFonts w:cs="Calibri"/>
          <w:color w:val="auto"/>
          <w:szCs w:val="18"/>
        </w:rPr>
      </w:pPr>
      <w:r w:rsidRPr="00A4536F">
        <w:rPr>
          <w:rFonts w:cs="Calibri"/>
          <w:color w:val="auto"/>
          <w:szCs w:val="18"/>
        </w:rPr>
        <w:t>14.3 What successes have been achieved in working with local systems?</w:t>
      </w:r>
    </w:p>
    <w:p w14:paraId="6EFFED6A" w14:textId="77777777" w:rsidR="00315466" w:rsidRPr="00A4536F" w:rsidRDefault="001D4E15">
      <w:pPr>
        <w:spacing w:before="0" w:after="120"/>
        <w:rPr>
          <w:rFonts w:cs="Calibri"/>
          <w:color w:val="auto"/>
          <w:szCs w:val="18"/>
        </w:rPr>
      </w:pPr>
      <w:r w:rsidRPr="00A4536F">
        <w:rPr>
          <w:rFonts w:cs="Calibri"/>
          <w:color w:val="auto"/>
          <w:szCs w:val="18"/>
        </w:rPr>
        <w:t>…………………………………………………………………………………………………………………………………</w:t>
      </w:r>
    </w:p>
    <w:p w14:paraId="6B43E77A" w14:textId="77777777" w:rsidR="00315466" w:rsidRPr="00A4536F" w:rsidRDefault="001D4E15">
      <w:pPr>
        <w:spacing w:before="0" w:after="120"/>
        <w:rPr>
          <w:rFonts w:cs="Calibri"/>
          <w:color w:val="auto"/>
          <w:szCs w:val="18"/>
        </w:rPr>
      </w:pPr>
      <w:r w:rsidRPr="00A4536F">
        <w:rPr>
          <w:rFonts w:cs="Calibri"/>
          <w:color w:val="auto"/>
          <w:szCs w:val="18"/>
        </w:rPr>
        <w:t>………………………………………………………………………………………………………………………………..</w:t>
      </w:r>
    </w:p>
    <w:p w14:paraId="271429C9" w14:textId="77777777" w:rsidR="00315466" w:rsidRPr="00A4536F" w:rsidRDefault="001D4E15">
      <w:pPr>
        <w:spacing w:before="0" w:after="120"/>
        <w:rPr>
          <w:rFonts w:cs="Calibri"/>
          <w:color w:val="auto"/>
          <w:szCs w:val="18"/>
        </w:rPr>
      </w:pPr>
      <w:r w:rsidRPr="00A4536F">
        <w:rPr>
          <w:rFonts w:cs="Calibri"/>
          <w:color w:val="auto"/>
          <w:szCs w:val="18"/>
        </w:rPr>
        <w:t>………………………………………………………………………………………………………………………………..</w:t>
      </w:r>
    </w:p>
    <w:p w14:paraId="7DF6092A" w14:textId="77777777" w:rsidR="00315466" w:rsidRPr="00A4536F" w:rsidRDefault="001D4E15">
      <w:pPr>
        <w:spacing w:before="0" w:after="120"/>
        <w:rPr>
          <w:rFonts w:cs="Calibri"/>
          <w:color w:val="auto"/>
          <w:szCs w:val="18"/>
        </w:rPr>
      </w:pPr>
      <w:r w:rsidRPr="00A4536F">
        <w:rPr>
          <w:rFonts w:cs="Calibri"/>
          <w:color w:val="auto"/>
          <w:szCs w:val="18"/>
        </w:rPr>
        <w:t xml:space="preserve">15. Resilience in Climate Change: </w:t>
      </w:r>
    </w:p>
    <w:p w14:paraId="62CA9CBF" w14:textId="77777777" w:rsidR="00315466" w:rsidRPr="00A4536F" w:rsidRDefault="001D4E15">
      <w:pPr>
        <w:spacing w:before="0" w:after="120"/>
        <w:rPr>
          <w:rFonts w:cs="Calibri"/>
          <w:color w:val="auto"/>
          <w:szCs w:val="18"/>
        </w:rPr>
      </w:pPr>
      <w:r w:rsidRPr="00A4536F">
        <w:rPr>
          <w:rFonts w:cs="Calibri"/>
          <w:color w:val="auto"/>
          <w:szCs w:val="18"/>
        </w:rPr>
        <w:t>15.1. How would you rate the effectiveness of specific resilience-building components incorporated into the interventions?</w:t>
      </w:r>
    </w:p>
    <w:p w14:paraId="11EC3B68" w14:textId="77777777" w:rsidR="00315466" w:rsidRPr="00A4536F" w:rsidRDefault="001D4E15">
      <w:pPr>
        <w:spacing w:before="0" w:after="120"/>
        <w:rPr>
          <w:rFonts w:cs="Calibri"/>
          <w:color w:val="auto"/>
          <w:szCs w:val="18"/>
        </w:rPr>
      </w:pPr>
      <w:r w:rsidRPr="00A4536F">
        <w:rPr>
          <w:rFonts w:cs="Calibri"/>
          <w:color w:val="auto"/>
          <w:szCs w:val="18"/>
        </w:rPr>
        <w:t>a. Not Effective b. Somewhat Effective c. Moderately Effective d. Very Effective e. Extremely Effective</w:t>
      </w:r>
    </w:p>
    <w:p w14:paraId="2EAFCD77" w14:textId="77777777" w:rsidR="00315466" w:rsidRPr="00A4536F" w:rsidRDefault="001D4E15">
      <w:pPr>
        <w:spacing w:before="0" w:after="120"/>
        <w:rPr>
          <w:rFonts w:cs="Calibri"/>
          <w:color w:val="auto"/>
          <w:szCs w:val="18"/>
        </w:rPr>
      </w:pPr>
      <w:r w:rsidRPr="00A4536F">
        <w:rPr>
          <w:rFonts w:cs="Calibri"/>
          <w:color w:val="auto"/>
          <w:szCs w:val="18"/>
        </w:rPr>
        <w:lastRenderedPageBreak/>
        <w:t>15.2. From your perspective list and explain any measurable increases in resilience and how they were observed:</w:t>
      </w:r>
    </w:p>
    <w:p w14:paraId="296A090D" w14:textId="77777777" w:rsidR="00315466" w:rsidRPr="00A4536F" w:rsidRDefault="001D4E15">
      <w:pPr>
        <w:spacing w:before="0" w:after="120"/>
        <w:rPr>
          <w:rFonts w:cs="Calibri"/>
          <w:color w:val="auto"/>
          <w:szCs w:val="18"/>
        </w:rPr>
      </w:pPr>
      <w:r w:rsidRPr="00A4536F">
        <w:rPr>
          <w:rFonts w:cs="Calibri"/>
          <w:color w:val="auto"/>
          <w:szCs w:val="18"/>
        </w:rPr>
        <w:t>…………………………………………………………………………………………………………………………………</w:t>
      </w:r>
    </w:p>
    <w:p w14:paraId="63EA01C0" w14:textId="77777777" w:rsidR="00315466" w:rsidRPr="00A4536F" w:rsidRDefault="001D4E15">
      <w:pPr>
        <w:spacing w:before="0" w:after="120"/>
        <w:rPr>
          <w:rFonts w:cs="Calibri"/>
          <w:color w:val="auto"/>
          <w:szCs w:val="18"/>
        </w:rPr>
      </w:pPr>
      <w:r w:rsidRPr="00A4536F">
        <w:rPr>
          <w:rFonts w:cs="Calibri"/>
          <w:color w:val="auto"/>
          <w:szCs w:val="18"/>
        </w:rPr>
        <w:t>………………………………………………………………………………………………………………………………..</w:t>
      </w:r>
    </w:p>
    <w:p w14:paraId="23520E46" w14:textId="77777777" w:rsidR="00315466" w:rsidRPr="00A4536F" w:rsidRDefault="001D4E15">
      <w:pPr>
        <w:spacing w:before="0" w:after="120"/>
        <w:rPr>
          <w:rFonts w:cs="Calibri"/>
          <w:color w:val="auto"/>
          <w:szCs w:val="18"/>
        </w:rPr>
      </w:pPr>
      <w:r w:rsidRPr="00A4536F">
        <w:rPr>
          <w:rFonts w:cs="Calibri"/>
          <w:color w:val="auto"/>
          <w:szCs w:val="18"/>
        </w:rPr>
        <w:t>………………………………………………………………………………………………………………………………..</w:t>
      </w:r>
    </w:p>
    <w:p w14:paraId="2941F8A1" w14:textId="77777777" w:rsidR="00315466" w:rsidRPr="00A4536F" w:rsidRDefault="001D4E15">
      <w:pPr>
        <w:spacing w:before="0" w:after="120"/>
        <w:rPr>
          <w:rFonts w:cs="Calibri"/>
          <w:color w:val="auto"/>
          <w:szCs w:val="18"/>
        </w:rPr>
      </w:pPr>
      <w:r w:rsidRPr="00A4536F">
        <w:rPr>
          <w:rFonts w:cs="Calibri"/>
          <w:color w:val="auto"/>
          <w:szCs w:val="18"/>
        </w:rPr>
        <w:t>16. Please provide any additional comments or insights you believe are relevant to the evaluation of the FSL interventions.</w:t>
      </w:r>
    </w:p>
    <w:p w14:paraId="62EC1267" w14:textId="77777777" w:rsidR="00315466" w:rsidRPr="00A4536F" w:rsidRDefault="001D4E15">
      <w:pPr>
        <w:spacing w:before="0" w:after="120"/>
        <w:rPr>
          <w:rFonts w:cs="Calibri"/>
          <w:color w:val="auto"/>
          <w:szCs w:val="18"/>
        </w:rPr>
      </w:pPr>
      <w:r w:rsidRPr="00A4536F">
        <w:rPr>
          <w:rFonts w:cs="Calibri"/>
          <w:color w:val="auto"/>
          <w:szCs w:val="18"/>
        </w:rPr>
        <w:t>…………………………………………………………………………………………………………………………………</w:t>
      </w:r>
    </w:p>
    <w:p w14:paraId="158AD210" w14:textId="77777777" w:rsidR="00315466" w:rsidRPr="00A4536F" w:rsidRDefault="001D4E15">
      <w:pPr>
        <w:spacing w:before="0" w:after="120"/>
        <w:rPr>
          <w:rFonts w:cs="Calibri"/>
          <w:color w:val="auto"/>
          <w:szCs w:val="18"/>
        </w:rPr>
      </w:pPr>
      <w:r w:rsidRPr="00A4536F">
        <w:rPr>
          <w:rFonts w:cs="Calibri"/>
          <w:color w:val="auto"/>
          <w:szCs w:val="18"/>
        </w:rPr>
        <w:t>………………………………………………………………………………………………………………………………..</w:t>
      </w:r>
    </w:p>
    <w:p w14:paraId="09A95EB9" w14:textId="77777777" w:rsidR="00315466" w:rsidRPr="00A4536F" w:rsidRDefault="001D4E15">
      <w:pPr>
        <w:spacing w:before="0" w:after="120"/>
        <w:rPr>
          <w:rFonts w:cs="Calibri"/>
          <w:color w:val="auto"/>
          <w:szCs w:val="18"/>
        </w:rPr>
      </w:pPr>
      <w:r w:rsidRPr="00A4536F">
        <w:rPr>
          <w:rFonts w:cs="Calibri"/>
          <w:color w:val="auto"/>
          <w:szCs w:val="18"/>
        </w:rPr>
        <w:t>………………………………………………………………………………………………………………………………..</w:t>
      </w:r>
    </w:p>
    <w:p w14:paraId="60DCDFAD" w14:textId="77777777" w:rsidR="00315466" w:rsidRPr="00A4536F" w:rsidRDefault="001D4E15">
      <w:pPr>
        <w:spacing w:before="0" w:after="120"/>
        <w:rPr>
          <w:rFonts w:cs="Calibri"/>
          <w:color w:val="auto"/>
          <w:szCs w:val="18"/>
        </w:rPr>
      </w:pPr>
      <w:r w:rsidRPr="00A4536F">
        <w:rPr>
          <w:rFonts w:cs="Calibri"/>
          <w:color w:val="auto"/>
          <w:szCs w:val="18"/>
        </w:rPr>
        <w:t>Thank you for your valuable input.</w:t>
      </w:r>
    </w:p>
    <w:p w14:paraId="147DD29B" w14:textId="77777777" w:rsidR="00315466" w:rsidRPr="00A4536F" w:rsidRDefault="001D4E15">
      <w:pPr>
        <w:spacing w:before="0" w:after="120"/>
        <w:rPr>
          <w:rFonts w:cs="Calibri"/>
          <w:color w:val="auto"/>
          <w:szCs w:val="18"/>
        </w:rPr>
      </w:pPr>
      <w:r w:rsidRPr="00A4536F">
        <w:rPr>
          <w:rFonts w:cs="Calibri"/>
          <w:color w:val="auto"/>
          <w:szCs w:val="18"/>
        </w:rPr>
        <w:br w:type="page"/>
      </w:r>
    </w:p>
    <w:p w14:paraId="3A054738" w14:textId="77777777" w:rsidR="00315466" w:rsidRPr="006C2FD4" w:rsidRDefault="001D4E15" w:rsidP="00F50637">
      <w:pPr>
        <w:pStyle w:val="Heading2"/>
        <w:spacing w:after="240"/>
        <w:rPr>
          <w:rFonts w:ascii="Verdana" w:hAnsi="Verdana"/>
          <w:sz w:val="24"/>
          <w:szCs w:val="24"/>
        </w:rPr>
      </w:pPr>
      <w:bookmarkStart w:id="289" w:name="_Toc164582612"/>
      <w:bookmarkStart w:id="290" w:name="_Toc164324061"/>
      <w:bookmarkStart w:id="291" w:name="_Toc164287022"/>
      <w:bookmarkStart w:id="292" w:name="_Toc165828021"/>
      <w:bookmarkStart w:id="293" w:name="_Toc174559930"/>
      <w:bookmarkStart w:id="294" w:name="_Toc181278077"/>
      <w:r w:rsidRPr="006C2FD4">
        <w:rPr>
          <w:rFonts w:ascii="Verdana" w:hAnsi="Verdana"/>
          <w:sz w:val="24"/>
          <w:szCs w:val="24"/>
        </w:rPr>
        <w:lastRenderedPageBreak/>
        <w:t xml:space="preserve">Annex 6 Lists of </w:t>
      </w:r>
      <w:bookmarkEnd w:id="289"/>
      <w:bookmarkEnd w:id="290"/>
      <w:bookmarkEnd w:id="291"/>
      <w:r w:rsidRPr="006C2FD4">
        <w:rPr>
          <w:rFonts w:ascii="Verdana" w:hAnsi="Verdana"/>
          <w:sz w:val="24"/>
          <w:szCs w:val="24"/>
        </w:rPr>
        <w:t>Interview respondents</w:t>
      </w:r>
      <w:bookmarkEnd w:id="292"/>
      <w:bookmarkEnd w:id="293"/>
      <w:bookmarkEnd w:id="294"/>
    </w:p>
    <w:p w14:paraId="06BCF42C" w14:textId="77777777" w:rsidR="00315466" w:rsidRPr="00A4536F" w:rsidRDefault="001D4E15">
      <w:pPr>
        <w:spacing w:before="0" w:after="120"/>
        <w:rPr>
          <w:rFonts w:cs="Calibri"/>
          <w:b/>
          <w:bCs/>
          <w:color w:val="auto"/>
          <w:szCs w:val="18"/>
        </w:rPr>
      </w:pPr>
      <w:r w:rsidRPr="00A4536F">
        <w:rPr>
          <w:rFonts w:cs="Calibri"/>
          <w:b/>
          <w:bCs/>
          <w:color w:val="auto"/>
          <w:szCs w:val="18"/>
        </w:rPr>
        <w:t>Key Informant Interview respondents - Kenya</w:t>
      </w:r>
    </w:p>
    <w:tbl>
      <w:tblPr>
        <w:tblStyle w:val="GridTable4-Accent12"/>
        <w:tblW w:w="0" w:type="auto"/>
        <w:tblLook w:val="04A0" w:firstRow="1" w:lastRow="0" w:firstColumn="1" w:lastColumn="0" w:noHBand="0" w:noVBand="1"/>
      </w:tblPr>
      <w:tblGrid>
        <w:gridCol w:w="2089"/>
        <w:gridCol w:w="945"/>
        <w:gridCol w:w="1518"/>
        <w:gridCol w:w="2694"/>
        <w:gridCol w:w="1771"/>
      </w:tblGrid>
      <w:tr w:rsidR="00090EFB" w:rsidRPr="00A4536F" w14:paraId="716C9F17" w14:textId="77777777" w:rsidTr="00D54D66">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089" w:type="dxa"/>
            <w:tcBorders>
              <w:top w:val="single" w:sz="4" w:space="0" w:color="auto"/>
              <w:left w:val="single" w:sz="4" w:space="0" w:color="auto"/>
              <w:bottom w:val="single" w:sz="4" w:space="0" w:color="auto"/>
              <w:right w:val="single" w:sz="4" w:space="0" w:color="auto"/>
            </w:tcBorders>
            <w:shd w:val="clear" w:color="auto" w:fill="FFFFFF" w:themeFill="background1"/>
          </w:tcPr>
          <w:p w14:paraId="19EFE460" w14:textId="77777777" w:rsidR="00315466" w:rsidRPr="00A4536F" w:rsidRDefault="001D4E15">
            <w:pPr>
              <w:spacing w:before="0" w:after="120"/>
              <w:rPr>
                <w:rFonts w:eastAsia="Times New Roman" w:cs="Calibri"/>
                <w:b w:val="0"/>
                <w:bCs w:val="0"/>
                <w:color w:val="auto"/>
                <w:szCs w:val="18"/>
              </w:rPr>
            </w:pPr>
            <w:r w:rsidRPr="00A4536F">
              <w:rPr>
                <w:rFonts w:eastAsia="Times New Roman" w:cs="Calibri"/>
                <w:color w:val="auto"/>
                <w:szCs w:val="18"/>
              </w:rPr>
              <w:t>Full name</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14:paraId="2318E6AE" w14:textId="77777777" w:rsidR="00315466" w:rsidRPr="00A4536F" w:rsidRDefault="001D4E15">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Cs w:val="18"/>
              </w:rPr>
            </w:pPr>
            <w:r w:rsidRPr="00A4536F">
              <w:rPr>
                <w:rFonts w:eastAsia="Times New Roman" w:cs="Calibri"/>
                <w:color w:val="auto"/>
                <w:szCs w:val="18"/>
              </w:rPr>
              <w:t>Gender</w:t>
            </w:r>
          </w:p>
        </w:tc>
        <w:tc>
          <w:tcPr>
            <w:tcW w:w="1518" w:type="dxa"/>
            <w:tcBorders>
              <w:top w:val="single" w:sz="4" w:space="0" w:color="auto"/>
              <w:left w:val="single" w:sz="4" w:space="0" w:color="auto"/>
              <w:bottom w:val="single" w:sz="4" w:space="0" w:color="auto"/>
              <w:right w:val="single" w:sz="4" w:space="0" w:color="auto"/>
            </w:tcBorders>
            <w:shd w:val="clear" w:color="auto" w:fill="FFFFFF" w:themeFill="background1"/>
          </w:tcPr>
          <w:p w14:paraId="0D5676B5" w14:textId="77777777" w:rsidR="00315466" w:rsidRPr="00A4536F" w:rsidRDefault="001D4E15">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Cs w:val="18"/>
              </w:rPr>
            </w:pPr>
            <w:r w:rsidRPr="00A4536F">
              <w:rPr>
                <w:rFonts w:eastAsia="Times New Roman" w:cs="Calibri"/>
                <w:color w:val="auto"/>
                <w:szCs w:val="18"/>
              </w:rPr>
              <w:t>Office or Organization name</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914BAE5" w14:textId="77777777" w:rsidR="00315466" w:rsidRPr="00A4536F" w:rsidRDefault="001D4E15">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Cs w:val="18"/>
              </w:rPr>
            </w:pPr>
            <w:r w:rsidRPr="00A4536F">
              <w:rPr>
                <w:rFonts w:eastAsia="Times New Roman" w:cs="Calibri"/>
                <w:color w:val="auto"/>
                <w:szCs w:val="18"/>
              </w:rPr>
              <w:t xml:space="preserve">Location </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3B52C56C" w14:textId="77777777" w:rsidR="00315466" w:rsidRPr="00A4536F" w:rsidRDefault="001D4E15">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Cs w:val="18"/>
              </w:rPr>
            </w:pPr>
            <w:r w:rsidRPr="00A4536F">
              <w:rPr>
                <w:rFonts w:eastAsia="Times New Roman" w:cs="Calibri"/>
                <w:color w:val="auto"/>
                <w:szCs w:val="18"/>
              </w:rPr>
              <w:t>Position or role</w:t>
            </w:r>
          </w:p>
        </w:tc>
      </w:tr>
      <w:tr w:rsidR="00090EFB" w:rsidRPr="00A4536F" w14:paraId="6CD7F605" w14:textId="77777777" w:rsidTr="00D54D66">
        <w:trPr>
          <w:trHeight w:val="454"/>
        </w:trPr>
        <w:tc>
          <w:tcPr>
            <w:cnfStyle w:val="001000000000" w:firstRow="0" w:lastRow="0" w:firstColumn="1" w:lastColumn="0" w:oddVBand="0" w:evenVBand="0" w:oddHBand="0" w:evenHBand="0" w:firstRowFirstColumn="0" w:firstRowLastColumn="0" w:lastRowFirstColumn="0" w:lastRowLastColumn="0"/>
            <w:tcW w:w="2089" w:type="dxa"/>
            <w:tcBorders>
              <w:top w:val="single" w:sz="4" w:space="0" w:color="auto"/>
            </w:tcBorders>
          </w:tcPr>
          <w:p w14:paraId="6F2033E8" w14:textId="77777777" w:rsidR="00315466" w:rsidRPr="00A4536F" w:rsidRDefault="001D4E15">
            <w:pPr>
              <w:spacing w:before="0" w:after="120"/>
              <w:rPr>
                <w:rFonts w:eastAsia="Times New Roman" w:cs="Calibri"/>
                <w:color w:val="auto"/>
                <w:szCs w:val="18"/>
              </w:rPr>
            </w:pPr>
            <w:r w:rsidRPr="00A4536F">
              <w:rPr>
                <w:rFonts w:eastAsia="Times New Roman" w:cs="Calibri"/>
                <w:b w:val="0"/>
                <w:bCs w:val="0"/>
                <w:color w:val="auto"/>
                <w:szCs w:val="18"/>
              </w:rPr>
              <w:t xml:space="preserve">Mary Melo </w:t>
            </w:r>
          </w:p>
        </w:tc>
        <w:tc>
          <w:tcPr>
            <w:tcW w:w="945" w:type="dxa"/>
            <w:tcBorders>
              <w:top w:val="single" w:sz="4" w:space="0" w:color="auto"/>
            </w:tcBorders>
          </w:tcPr>
          <w:p w14:paraId="4174438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F</w:t>
            </w:r>
          </w:p>
        </w:tc>
        <w:tc>
          <w:tcPr>
            <w:tcW w:w="1518" w:type="dxa"/>
            <w:tcBorders>
              <w:top w:val="single" w:sz="4" w:space="0" w:color="auto"/>
            </w:tcBorders>
          </w:tcPr>
          <w:p w14:paraId="244FF381"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Faith Primary School</w:t>
            </w:r>
          </w:p>
        </w:tc>
        <w:tc>
          <w:tcPr>
            <w:tcW w:w="2694" w:type="dxa"/>
            <w:tcBorders>
              <w:top w:val="single" w:sz="4" w:space="0" w:color="auto"/>
            </w:tcBorders>
          </w:tcPr>
          <w:p w14:paraId="2A3D64B2"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Laisamis</w:t>
            </w:r>
            <w:proofErr w:type="spellEnd"/>
          </w:p>
        </w:tc>
        <w:tc>
          <w:tcPr>
            <w:tcW w:w="1771" w:type="dxa"/>
            <w:tcBorders>
              <w:top w:val="single" w:sz="4" w:space="0" w:color="auto"/>
            </w:tcBorders>
          </w:tcPr>
          <w:p w14:paraId="104CC96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School Health Club Patron</w:t>
            </w:r>
          </w:p>
        </w:tc>
      </w:tr>
      <w:tr w:rsidR="00090EFB" w:rsidRPr="00A4536F" w14:paraId="7DD6BDE3"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34060A17" w14:textId="77777777" w:rsidR="00315466" w:rsidRPr="00A4536F" w:rsidRDefault="001D4E15">
            <w:pPr>
              <w:spacing w:before="0" w:after="120"/>
              <w:rPr>
                <w:rFonts w:eastAsia="Times New Roman" w:cs="Calibri"/>
                <w:color w:val="auto"/>
                <w:szCs w:val="18"/>
              </w:rPr>
            </w:pPr>
            <w:proofErr w:type="spellStart"/>
            <w:r w:rsidRPr="00A4536F">
              <w:rPr>
                <w:rFonts w:eastAsia="Times New Roman" w:cs="Calibri"/>
                <w:b w:val="0"/>
                <w:bCs w:val="0"/>
                <w:color w:val="auto"/>
                <w:szCs w:val="18"/>
              </w:rPr>
              <w:t>Shakhe</w:t>
            </w:r>
            <w:proofErr w:type="spellEnd"/>
            <w:r w:rsidRPr="00A4536F">
              <w:rPr>
                <w:rFonts w:eastAsia="Times New Roman" w:cs="Calibri"/>
                <w:b w:val="0"/>
                <w:bCs w:val="0"/>
                <w:color w:val="auto"/>
                <w:szCs w:val="18"/>
              </w:rPr>
              <w:t xml:space="preserve"> </w:t>
            </w:r>
            <w:proofErr w:type="spellStart"/>
            <w:r w:rsidRPr="00A4536F">
              <w:rPr>
                <w:rFonts w:eastAsia="Times New Roman" w:cs="Calibri"/>
                <w:b w:val="0"/>
                <w:bCs w:val="0"/>
                <w:color w:val="auto"/>
                <w:szCs w:val="18"/>
              </w:rPr>
              <w:t>Katello</w:t>
            </w:r>
            <w:proofErr w:type="spellEnd"/>
            <w:r w:rsidRPr="00A4536F">
              <w:rPr>
                <w:rFonts w:eastAsia="Times New Roman" w:cs="Calibri"/>
                <w:b w:val="0"/>
                <w:bCs w:val="0"/>
                <w:color w:val="auto"/>
                <w:szCs w:val="18"/>
              </w:rPr>
              <w:t xml:space="preserve"> </w:t>
            </w:r>
          </w:p>
        </w:tc>
        <w:tc>
          <w:tcPr>
            <w:tcW w:w="945" w:type="dxa"/>
          </w:tcPr>
          <w:p w14:paraId="66BDD9F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1C5FA8C2"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 xml:space="preserve">County Government of </w:t>
            </w:r>
            <w:proofErr w:type="spellStart"/>
            <w:r w:rsidRPr="00A4536F">
              <w:rPr>
                <w:rFonts w:eastAsia="Times New Roman" w:cs="Calibri"/>
                <w:color w:val="auto"/>
                <w:szCs w:val="18"/>
              </w:rPr>
              <w:t>Marsabit</w:t>
            </w:r>
            <w:proofErr w:type="spellEnd"/>
            <w:r w:rsidRPr="00A4536F">
              <w:rPr>
                <w:rFonts w:eastAsia="Times New Roman" w:cs="Calibri"/>
                <w:color w:val="auto"/>
                <w:szCs w:val="18"/>
              </w:rPr>
              <w:t xml:space="preserve"> -Ministry of Water</w:t>
            </w:r>
          </w:p>
        </w:tc>
        <w:tc>
          <w:tcPr>
            <w:tcW w:w="2694" w:type="dxa"/>
          </w:tcPr>
          <w:p w14:paraId="1CD9CDA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Marsabit</w:t>
            </w:r>
            <w:proofErr w:type="spellEnd"/>
          </w:p>
        </w:tc>
        <w:tc>
          <w:tcPr>
            <w:tcW w:w="1771" w:type="dxa"/>
          </w:tcPr>
          <w:p w14:paraId="6AB35BD4"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Director ICT Water</w:t>
            </w:r>
          </w:p>
        </w:tc>
      </w:tr>
      <w:tr w:rsidR="00090EFB" w:rsidRPr="00A4536F" w14:paraId="1D2B93B0"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323FA08E" w14:textId="77777777" w:rsidR="00315466" w:rsidRPr="00A4536F" w:rsidRDefault="001D4E15">
            <w:pPr>
              <w:spacing w:before="0" w:after="120"/>
              <w:rPr>
                <w:rFonts w:eastAsia="Times New Roman" w:cs="Calibri"/>
                <w:color w:val="auto"/>
                <w:szCs w:val="18"/>
              </w:rPr>
            </w:pPr>
            <w:proofErr w:type="spellStart"/>
            <w:r w:rsidRPr="00A4536F">
              <w:rPr>
                <w:rFonts w:eastAsia="Times New Roman" w:cs="Calibri"/>
                <w:b w:val="0"/>
                <w:bCs w:val="0"/>
                <w:color w:val="auto"/>
                <w:szCs w:val="18"/>
              </w:rPr>
              <w:t>Redento</w:t>
            </w:r>
            <w:proofErr w:type="spellEnd"/>
            <w:r w:rsidRPr="00A4536F">
              <w:rPr>
                <w:rFonts w:eastAsia="Times New Roman" w:cs="Calibri"/>
                <w:b w:val="0"/>
                <w:bCs w:val="0"/>
                <w:color w:val="auto"/>
                <w:szCs w:val="18"/>
              </w:rPr>
              <w:t xml:space="preserve"> </w:t>
            </w:r>
            <w:proofErr w:type="spellStart"/>
            <w:r w:rsidRPr="00A4536F">
              <w:rPr>
                <w:rFonts w:eastAsia="Times New Roman" w:cs="Calibri"/>
                <w:b w:val="0"/>
                <w:bCs w:val="0"/>
                <w:color w:val="auto"/>
                <w:szCs w:val="18"/>
              </w:rPr>
              <w:t>Dabalen</w:t>
            </w:r>
            <w:proofErr w:type="spellEnd"/>
            <w:r w:rsidRPr="00A4536F">
              <w:rPr>
                <w:rFonts w:eastAsia="Times New Roman" w:cs="Calibri"/>
                <w:b w:val="0"/>
                <w:bCs w:val="0"/>
                <w:color w:val="auto"/>
                <w:szCs w:val="18"/>
              </w:rPr>
              <w:t xml:space="preserve"> </w:t>
            </w:r>
          </w:p>
        </w:tc>
        <w:tc>
          <w:tcPr>
            <w:tcW w:w="945" w:type="dxa"/>
          </w:tcPr>
          <w:p w14:paraId="4DFF416D"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547DC44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 xml:space="preserve">County Government of </w:t>
            </w:r>
            <w:proofErr w:type="spellStart"/>
            <w:r w:rsidRPr="00A4536F">
              <w:rPr>
                <w:rFonts w:eastAsia="Times New Roman" w:cs="Calibri"/>
                <w:color w:val="auto"/>
                <w:szCs w:val="18"/>
              </w:rPr>
              <w:t>Marsabit</w:t>
            </w:r>
            <w:proofErr w:type="spellEnd"/>
            <w:r w:rsidRPr="00A4536F">
              <w:rPr>
                <w:rFonts w:eastAsia="Times New Roman" w:cs="Calibri"/>
                <w:color w:val="auto"/>
                <w:szCs w:val="18"/>
              </w:rPr>
              <w:t xml:space="preserve"> -Ministry of Health  </w:t>
            </w:r>
          </w:p>
        </w:tc>
        <w:tc>
          <w:tcPr>
            <w:tcW w:w="2694" w:type="dxa"/>
          </w:tcPr>
          <w:p w14:paraId="77DF6474"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Laisamis</w:t>
            </w:r>
            <w:proofErr w:type="spellEnd"/>
          </w:p>
        </w:tc>
        <w:tc>
          <w:tcPr>
            <w:tcW w:w="1771" w:type="dxa"/>
          </w:tcPr>
          <w:p w14:paraId="501DAAB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Sub-County Public Health Officer</w:t>
            </w:r>
          </w:p>
        </w:tc>
      </w:tr>
      <w:tr w:rsidR="00090EFB" w:rsidRPr="00A4536F" w14:paraId="6927978B"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2BCD92EB" w14:textId="77777777" w:rsidR="00315466" w:rsidRPr="00A4536F" w:rsidRDefault="001D4E15">
            <w:pPr>
              <w:spacing w:before="0" w:after="120"/>
              <w:rPr>
                <w:rFonts w:eastAsia="Times New Roman" w:cs="Calibri"/>
                <w:color w:val="auto"/>
                <w:szCs w:val="18"/>
              </w:rPr>
            </w:pPr>
            <w:r w:rsidRPr="00A4536F">
              <w:rPr>
                <w:rFonts w:eastAsia="Times New Roman" w:cs="Calibri"/>
                <w:b w:val="0"/>
                <w:bCs w:val="0"/>
                <w:color w:val="auto"/>
                <w:szCs w:val="18"/>
              </w:rPr>
              <w:t xml:space="preserve">Joshua </w:t>
            </w:r>
            <w:proofErr w:type="spellStart"/>
            <w:r w:rsidRPr="00A4536F">
              <w:rPr>
                <w:rFonts w:eastAsia="Times New Roman" w:cs="Calibri"/>
                <w:b w:val="0"/>
                <w:bCs w:val="0"/>
                <w:color w:val="auto"/>
                <w:szCs w:val="18"/>
              </w:rPr>
              <w:t>Lentoror</w:t>
            </w:r>
            <w:proofErr w:type="spellEnd"/>
          </w:p>
        </w:tc>
        <w:tc>
          <w:tcPr>
            <w:tcW w:w="945" w:type="dxa"/>
          </w:tcPr>
          <w:p w14:paraId="0889FBE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30912E59"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Department of Gender</w:t>
            </w:r>
          </w:p>
        </w:tc>
        <w:tc>
          <w:tcPr>
            <w:tcW w:w="2694" w:type="dxa"/>
          </w:tcPr>
          <w:p w14:paraId="4CABE1F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Marsabit</w:t>
            </w:r>
            <w:proofErr w:type="spellEnd"/>
          </w:p>
        </w:tc>
        <w:tc>
          <w:tcPr>
            <w:tcW w:w="1771" w:type="dxa"/>
          </w:tcPr>
          <w:p w14:paraId="7908FEE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Senior Gender Officer</w:t>
            </w:r>
          </w:p>
        </w:tc>
      </w:tr>
      <w:tr w:rsidR="00090EFB" w:rsidRPr="00A4536F" w14:paraId="7DBBA452"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2EED8F2E" w14:textId="77777777" w:rsidR="00315466" w:rsidRPr="00A4536F" w:rsidRDefault="001D4E15">
            <w:pPr>
              <w:spacing w:before="0" w:after="120"/>
              <w:rPr>
                <w:rFonts w:eastAsia="Times New Roman" w:cs="Calibri"/>
                <w:color w:val="auto"/>
                <w:szCs w:val="18"/>
              </w:rPr>
            </w:pPr>
            <w:proofErr w:type="spellStart"/>
            <w:r w:rsidRPr="00A4536F">
              <w:rPr>
                <w:rFonts w:eastAsia="Times New Roman" w:cs="Calibri"/>
                <w:b w:val="0"/>
                <w:bCs w:val="0"/>
                <w:color w:val="auto"/>
                <w:szCs w:val="18"/>
              </w:rPr>
              <w:t>Jillo</w:t>
            </w:r>
            <w:proofErr w:type="spellEnd"/>
            <w:r w:rsidRPr="00A4536F">
              <w:rPr>
                <w:rFonts w:eastAsia="Times New Roman" w:cs="Calibri"/>
                <w:b w:val="0"/>
                <w:bCs w:val="0"/>
                <w:color w:val="auto"/>
                <w:szCs w:val="18"/>
              </w:rPr>
              <w:t xml:space="preserve"> Shama</w:t>
            </w:r>
          </w:p>
        </w:tc>
        <w:tc>
          <w:tcPr>
            <w:tcW w:w="945" w:type="dxa"/>
          </w:tcPr>
          <w:p w14:paraId="6A9AAFD3"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4B5822D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Department of Gender and Social Services</w:t>
            </w:r>
          </w:p>
        </w:tc>
        <w:tc>
          <w:tcPr>
            <w:tcW w:w="2694" w:type="dxa"/>
          </w:tcPr>
          <w:p w14:paraId="0F3E8A19"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Marsabit</w:t>
            </w:r>
            <w:proofErr w:type="spellEnd"/>
          </w:p>
        </w:tc>
        <w:tc>
          <w:tcPr>
            <w:tcW w:w="1771" w:type="dxa"/>
          </w:tcPr>
          <w:p w14:paraId="6D44A6B0"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Assistant Director, Social Services</w:t>
            </w:r>
          </w:p>
        </w:tc>
      </w:tr>
      <w:tr w:rsidR="00090EFB" w:rsidRPr="00A4536F" w14:paraId="245DACC5"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229BDDB2" w14:textId="77777777" w:rsidR="00315466" w:rsidRPr="00A4536F" w:rsidRDefault="001D4E15">
            <w:pPr>
              <w:spacing w:before="0" w:after="120"/>
              <w:rPr>
                <w:rFonts w:eastAsia="Times New Roman" w:cs="Calibri"/>
                <w:color w:val="auto"/>
                <w:szCs w:val="18"/>
              </w:rPr>
            </w:pPr>
            <w:r w:rsidRPr="00A4536F">
              <w:rPr>
                <w:rFonts w:eastAsia="Times New Roman" w:cs="Calibri"/>
                <w:b w:val="0"/>
                <w:bCs w:val="0"/>
                <w:color w:val="auto"/>
                <w:szCs w:val="18"/>
              </w:rPr>
              <w:t>Ali Shama</w:t>
            </w:r>
          </w:p>
        </w:tc>
        <w:tc>
          <w:tcPr>
            <w:tcW w:w="945" w:type="dxa"/>
          </w:tcPr>
          <w:p w14:paraId="5094AB89"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7285979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Department of Agriculture</w:t>
            </w:r>
          </w:p>
        </w:tc>
        <w:tc>
          <w:tcPr>
            <w:tcW w:w="2694" w:type="dxa"/>
          </w:tcPr>
          <w:p w14:paraId="0A162AA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Marsabit</w:t>
            </w:r>
            <w:proofErr w:type="spellEnd"/>
          </w:p>
        </w:tc>
        <w:tc>
          <w:tcPr>
            <w:tcW w:w="1771" w:type="dxa"/>
          </w:tcPr>
          <w:p w14:paraId="0F6EAFD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 xml:space="preserve">Sub-county Agriculture Officer, </w:t>
            </w:r>
            <w:proofErr w:type="spellStart"/>
            <w:r w:rsidRPr="00A4536F">
              <w:rPr>
                <w:rFonts w:eastAsia="Times New Roman" w:cs="Calibri"/>
                <w:color w:val="auto"/>
                <w:szCs w:val="18"/>
              </w:rPr>
              <w:t>Laisamis</w:t>
            </w:r>
            <w:proofErr w:type="spellEnd"/>
          </w:p>
        </w:tc>
      </w:tr>
      <w:tr w:rsidR="00090EFB" w:rsidRPr="00A4536F" w14:paraId="6104A3B8"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38B9C23B" w14:textId="77777777" w:rsidR="00315466" w:rsidRPr="00A4536F" w:rsidRDefault="001D4E15">
            <w:pPr>
              <w:spacing w:before="0" w:after="120"/>
              <w:rPr>
                <w:rFonts w:eastAsia="Times New Roman" w:cs="Calibri"/>
                <w:color w:val="auto"/>
                <w:szCs w:val="18"/>
              </w:rPr>
            </w:pPr>
            <w:r w:rsidRPr="00A4536F">
              <w:rPr>
                <w:rFonts w:eastAsia="Times New Roman" w:cs="Calibri"/>
                <w:b w:val="0"/>
                <w:bCs w:val="0"/>
                <w:color w:val="auto"/>
                <w:szCs w:val="18"/>
              </w:rPr>
              <w:t xml:space="preserve">Naomi </w:t>
            </w:r>
            <w:proofErr w:type="spellStart"/>
            <w:r w:rsidRPr="00A4536F">
              <w:rPr>
                <w:rFonts w:eastAsia="Times New Roman" w:cs="Calibri"/>
                <w:b w:val="0"/>
                <w:bCs w:val="0"/>
                <w:color w:val="auto"/>
                <w:szCs w:val="18"/>
              </w:rPr>
              <w:t>Lentoror</w:t>
            </w:r>
            <w:proofErr w:type="spellEnd"/>
          </w:p>
        </w:tc>
        <w:tc>
          <w:tcPr>
            <w:tcW w:w="945" w:type="dxa"/>
          </w:tcPr>
          <w:p w14:paraId="495D21E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F</w:t>
            </w:r>
          </w:p>
        </w:tc>
        <w:tc>
          <w:tcPr>
            <w:tcW w:w="1518" w:type="dxa"/>
          </w:tcPr>
          <w:p w14:paraId="14EA9E4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 xml:space="preserve">County Government of </w:t>
            </w:r>
            <w:proofErr w:type="spellStart"/>
            <w:r w:rsidRPr="00A4536F">
              <w:rPr>
                <w:rFonts w:eastAsia="Times New Roman" w:cs="Calibri"/>
                <w:color w:val="auto"/>
                <w:szCs w:val="18"/>
              </w:rPr>
              <w:t>Marsabit</w:t>
            </w:r>
            <w:proofErr w:type="spellEnd"/>
            <w:r w:rsidRPr="00A4536F">
              <w:rPr>
                <w:rFonts w:eastAsia="Times New Roman" w:cs="Calibri"/>
                <w:color w:val="auto"/>
                <w:szCs w:val="18"/>
              </w:rPr>
              <w:t xml:space="preserve"> -Ministry of Health </w:t>
            </w:r>
          </w:p>
        </w:tc>
        <w:tc>
          <w:tcPr>
            <w:tcW w:w="2694" w:type="dxa"/>
          </w:tcPr>
          <w:p w14:paraId="07C68081"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Marsabit</w:t>
            </w:r>
            <w:proofErr w:type="spellEnd"/>
          </w:p>
        </w:tc>
        <w:tc>
          <w:tcPr>
            <w:tcW w:w="1771" w:type="dxa"/>
          </w:tcPr>
          <w:p w14:paraId="653C9A9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 xml:space="preserve">Sexual and Reproductive Health Coordinator, </w:t>
            </w:r>
            <w:proofErr w:type="spellStart"/>
            <w:r w:rsidRPr="00A4536F">
              <w:rPr>
                <w:rFonts w:eastAsia="Times New Roman" w:cs="Calibri"/>
                <w:color w:val="auto"/>
                <w:szCs w:val="18"/>
              </w:rPr>
              <w:t>Laisamis</w:t>
            </w:r>
            <w:proofErr w:type="spellEnd"/>
            <w:r w:rsidRPr="00A4536F">
              <w:rPr>
                <w:rFonts w:eastAsia="Times New Roman" w:cs="Calibri"/>
                <w:color w:val="auto"/>
                <w:szCs w:val="18"/>
              </w:rPr>
              <w:t xml:space="preserve"> Sub- County</w:t>
            </w:r>
          </w:p>
        </w:tc>
      </w:tr>
      <w:tr w:rsidR="00090EFB" w:rsidRPr="00A4536F" w14:paraId="7B6B06C7"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0A09C182" w14:textId="77777777" w:rsidR="00315466" w:rsidRPr="00A4536F" w:rsidRDefault="001D4E15">
            <w:pPr>
              <w:spacing w:before="0" w:after="120"/>
              <w:rPr>
                <w:rFonts w:eastAsia="Times New Roman" w:cs="Calibri"/>
                <w:color w:val="auto"/>
                <w:szCs w:val="18"/>
              </w:rPr>
            </w:pPr>
            <w:r w:rsidRPr="00A4536F">
              <w:rPr>
                <w:rFonts w:eastAsia="Times New Roman" w:cs="Calibri"/>
                <w:b w:val="0"/>
                <w:bCs w:val="0"/>
                <w:color w:val="auto"/>
                <w:szCs w:val="18"/>
              </w:rPr>
              <w:t xml:space="preserve">Andrew </w:t>
            </w:r>
            <w:proofErr w:type="spellStart"/>
            <w:r w:rsidRPr="00A4536F">
              <w:rPr>
                <w:rFonts w:eastAsia="Times New Roman" w:cs="Calibri"/>
                <w:b w:val="0"/>
                <w:bCs w:val="0"/>
                <w:color w:val="auto"/>
                <w:szCs w:val="18"/>
              </w:rPr>
              <w:t>Lemaro</w:t>
            </w:r>
            <w:proofErr w:type="spellEnd"/>
            <w:r w:rsidRPr="00A4536F">
              <w:rPr>
                <w:rFonts w:eastAsia="Times New Roman" w:cs="Calibri"/>
                <w:b w:val="0"/>
                <w:bCs w:val="0"/>
                <w:color w:val="auto"/>
                <w:szCs w:val="18"/>
              </w:rPr>
              <w:t xml:space="preserve"> </w:t>
            </w:r>
          </w:p>
        </w:tc>
        <w:tc>
          <w:tcPr>
            <w:tcW w:w="945" w:type="dxa"/>
          </w:tcPr>
          <w:p w14:paraId="33514EC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5147E4C2"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 xml:space="preserve">National Government </w:t>
            </w:r>
          </w:p>
        </w:tc>
        <w:tc>
          <w:tcPr>
            <w:tcW w:w="2694" w:type="dxa"/>
          </w:tcPr>
          <w:p w14:paraId="4E1FD6B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Laisamis</w:t>
            </w:r>
            <w:proofErr w:type="spellEnd"/>
            <w:r w:rsidRPr="00A4536F">
              <w:rPr>
                <w:rFonts w:eastAsia="Times New Roman" w:cs="Calibri"/>
                <w:color w:val="auto"/>
                <w:szCs w:val="18"/>
              </w:rPr>
              <w:t xml:space="preserve">, </w:t>
            </w:r>
            <w:proofErr w:type="spellStart"/>
            <w:r w:rsidRPr="00A4536F">
              <w:rPr>
                <w:rFonts w:eastAsia="Times New Roman" w:cs="Calibri"/>
                <w:color w:val="auto"/>
                <w:szCs w:val="18"/>
              </w:rPr>
              <w:t>Namarei</w:t>
            </w:r>
            <w:proofErr w:type="spellEnd"/>
            <w:r w:rsidRPr="00A4536F">
              <w:rPr>
                <w:rFonts w:eastAsia="Times New Roman" w:cs="Calibri"/>
                <w:color w:val="auto"/>
                <w:szCs w:val="18"/>
              </w:rPr>
              <w:t xml:space="preserve"> </w:t>
            </w:r>
          </w:p>
        </w:tc>
        <w:tc>
          <w:tcPr>
            <w:tcW w:w="1771" w:type="dxa"/>
          </w:tcPr>
          <w:p w14:paraId="367D2E6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Chief -</w:t>
            </w:r>
            <w:proofErr w:type="spellStart"/>
            <w:r w:rsidRPr="00A4536F">
              <w:rPr>
                <w:rFonts w:eastAsia="Times New Roman" w:cs="Calibri"/>
                <w:color w:val="auto"/>
                <w:szCs w:val="18"/>
              </w:rPr>
              <w:t>Namarei</w:t>
            </w:r>
            <w:proofErr w:type="spellEnd"/>
            <w:r w:rsidRPr="00A4536F">
              <w:rPr>
                <w:rFonts w:eastAsia="Times New Roman" w:cs="Calibri"/>
                <w:color w:val="auto"/>
                <w:szCs w:val="18"/>
              </w:rPr>
              <w:t xml:space="preserve"> </w:t>
            </w:r>
          </w:p>
        </w:tc>
      </w:tr>
      <w:tr w:rsidR="00090EFB" w:rsidRPr="00A4536F" w14:paraId="00914C4A"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53EFF1CF" w14:textId="77777777" w:rsidR="00315466" w:rsidRPr="00A4536F" w:rsidRDefault="001D4E15">
            <w:pPr>
              <w:spacing w:before="0" w:after="120"/>
              <w:rPr>
                <w:rFonts w:eastAsia="Times New Roman" w:cs="Calibri"/>
                <w:color w:val="auto"/>
                <w:szCs w:val="18"/>
              </w:rPr>
            </w:pPr>
            <w:r w:rsidRPr="00A4536F">
              <w:rPr>
                <w:rFonts w:eastAsia="Times New Roman" w:cs="Calibri"/>
                <w:b w:val="0"/>
                <w:bCs w:val="0"/>
                <w:color w:val="auto"/>
                <w:szCs w:val="18"/>
              </w:rPr>
              <w:t xml:space="preserve">Philip </w:t>
            </w:r>
            <w:proofErr w:type="spellStart"/>
            <w:r w:rsidRPr="00A4536F">
              <w:rPr>
                <w:rFonts w:eastAsia="Times New Roman" w:cs="Calibri"/>
                <w:b w:val="0"/>
                <w:bCs w:val="0"/>
                <w:color w:val="auto"/>
                <w:szCs w:val="18"/>
              </w:rPr>
              <w:t>Sagaram</w:t>
            </w:r>
            <w:proofErr w:type="spellEnd"/>
          </w:p>
        </w:tc>
        <w:tc>
          <w:tcPr>
            <w:tcW w:w="945" w:type="dxa"/>
          </w:tcPr>
          <w:p w14:paraId="371C733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597D80E3"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 xml:space="preserve">National Government </w:t>
            </w:r>
          </w:p>
        </w:tc>
        <w:tc>
          <w:tcPr>
            <w:tcW w:w="2694" w:type="dxa"/>
          </w:tcPr>
          <w:p w14:paraId="3EC6783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Laisamis</w:t>
            </w:r>
            <w:proofErr w:type="spellEnd"/>
            <w:r w:rsidRPr="00A4536F">
              <w:rPr>
                <w:rFonts w:eastAsia="Times New Roman" w:cs="Calibri"/>
                <w:color w:val="auto"/>
                <w:szCs w:val="18"/>
              </w:rPr>
              <w:t xml:space="preserve">, </w:t>
            </w:r>
            <w:proofErr w:type="spellStart"/>
            <w:r w:rsidRPr="00A4536F">
              <w:rPr>
                <w:rFonts w:eastAsia="Times New Roman" w:cs="Calibri"/>
                <w:color w:val="auto"/>
                <w:szCs w:val="18"/>
              </w:rPr>
              <w:t>Farkoren</w:t>
            </w:r>
            <w:proofErr w:type="spellEnd"/>
          </w:p>
        </w:tc>
        <w:tc>
          <w:tcPr>
            <w:tcW w:w="1771" w:type="dxa"/>
          </w:tcPr>
          <w:p w14:paraId="5EFF3B42"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 xml:space="preserve">Chief, </w:t>
            </w:r>
            <w:proofErr w:type="spellStart"/>
            <w:r w:rsidRPr="00A4536F">
              <w:rPr>
                <w:rFonts w:eastAsia="Times New Roman" w:cs="Calibri"/>
                <w:color w:val="auto"/>
                <w:szCs w:val="18"/>
              </w:rPr>
              <w:t>Farkoren</w:t>
            </w:r>
            <w:proofErr w:type="spellEnd"/>
            <w:r w:rsidRPr="00A4536F">
              <w:rPr>
                <w:rFonts w:eastAsia="Times New Roman" w:cs="Calibri"/>
                <w:color w:val="auto"/>
                <w:szCs w:val="18"/>
              </w:rPr>
              <w:t xml:space="preserve"> </w:t>
            </w:r>
          </w:p>
        </w:tc>
      </w:tr>
      <w:tr w:rsidR="00090EFB" w:rsidRPr="00A4536F" w14:paraId="69A668A0"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61286947" w14:textId="77777777" w:rsidR="00315466" w:rsidRPr="00A4536F" w:rsidRDefault="001D4E15">
            <w:pPr>
              <w:spacing w:before="0" w:after="120"/>
              <w:rPr>
                <w:rFonts w:eastAsia="Times New Roman" w:cs="Calibri"/>
                <w:color w:val="auto"/>
                <w:szCs w:val="18"/>
              </w:rPr>
            </w:pPr>
            <w:r w:rsidRPr="00A4536F">
              <w:rPr>
                <w:rFonts w:eastAsia="Times New Roman" w:cs="Calibri"/>
                <w:b w:val="0"/>
                <w:bCs w:val="0"/>
                <w:color w:val="auto"/>
                <w:szCs w:val="18"/>
              </w:rPr>
              <w:t xml:space="preserve">Ambrose </w:t>
            </w:r>
            <w:proofErr w:type="spellStart"/>
            <w:r w:rsidRPr="00A4536F">
              <w:rPr>
                <w:rFonts w:eastAsia="Times New Roman" w:cs="Calibri"/>
                <w:b w:val="0"/>
                <w:bCs w:val="0"/>
                <w:color w:val="auto"/>
                <w:szCs w:val="18"/>
              </w:rPr>
              <w:t>Sirite</w:t>
            </w:r>
            <w:proofErr w:type="spellEnd"/>
            <w:r w:rsidRPr="00A4536F">
              <w:rPr>
                <w:rFonts w:eastAsia="Times New Roman" w:cs="Calibri"/>
                <w:b w:val="0"/>
                <w:bCs w:val="0"/>
                <w:color w:val="auto"/>
                <w:szCs w:val="18"/>
              </w:rPr>
              <w:t xml:space="preserve"> </w:t>
            </w:r>
          </w:p>
        </w:tc>
        <w:tc>
          <w:tcPr>
            <w:tcW w:w="945" w:type="dxa"/>
          </w:tcPr>
          <w:p w14:paraId="665BC40D"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F</w:t>
            </w:r>
          </w:p>
        </w:tc>
        <w:tc>
          <w:tcPr>
            <w:tcW w:w="1518" w:type="dxa"/>
          </w:tcPr>
          <w:p w14:paraId="697D044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Namarei</w:t>
            </w:r>
            <w:proofErr w:type="spellEnd"/>
            <w:r w:rsidRPr="00A4536F">
              <w:rPr>
                <w:rFonts w:eastAsia="Times New Roman" w:cs="Calibri"/>
                <w:color w:val="auto"/>
                <w:szCs w:val="18"/>
              </w:rPr>
              <w:t xml:space="preserve"> </w:t>
            </w:r>
          </w:p>
        </w:tc>
        <w:tc>
          <w:tcPr>
            <w:tcW w:w="2694" w:type="dxa"/>
          </w:tcPr>
          <w:p w14:paraId="7C1B1F84"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Laisamis</w:t>
            </w:r>
            <w:proofErr w:type="spellEnd"/>
            <w:r w:rsidRPr="00A4536F">
              <w:rPr>
                <w:rFonts w:eastAsia="Times New Roman" w:cs="Calibri"/>
                <w:color w:val="auto"/>
                <w:szCs w:val="18"/>
              </w:rPr>
              <w:t xml:space="preserve">, </w:t>
            </w:r>
            <w:proofErr w:type="spellStart"/>
            <w:r w:rsidRPr="00A4536F">
              <w:rPr>
                <w:rFonts w:eastAsia="Times New Roman" w:cs="Calibri"/>
                <w:color w:val="auto"/>
                <w:szCs w:val="18"/>
              </w:rPr>
              <w:t>Namarei</w:t>
            </w:r>
            <w:proofErr w:type="spellEnd"/>
            <w:r w:rsidRPr="00A4536F">
              <w:rPr>
                <w:rFonts w:eastAsia="Times New Roman" w:cs="Calibri"/>
                <w:color w:val="auto"/>
                <w:szCs w:val="18"/>
              </w:rPr>
              <w:t xml:space="preserve"> </w:t>
            </w:r>
          </w:p>
        </w:tc>
        <w:tc>
          <w:tcPr>
            <w:tcW w:w="1771" w:type="dxa"/>
          </w:tcPr>
          <w:p w14:paraId="3794FC7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Village Accountability Committee</w:t>
            </w:r>
          </w:p>
        </w:tc>
      </w:tr>
      <w:tr w:rsidR="00090EFB" w:rsidRPr="00A4536F" w14:paraId="66AFCAE9"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3008A495" w14:textId="77777777" w:rsidR="00315466" w:rsidRPr="00A4536F" w:rsidRDefault="001D4E15">
            <w:pPr>
              <w:spacing w:before="0" w:after="120"/>
              <w:rPr>
                <w:rFonts w:eastAsia="Times New Roman" w:cs="Calibri"/>
                <w:color w:val="auto"/>
                <w:szCs w:val="18"/>
              </w:rPr>
            </w:pPr>
            <w:proofErr w:type="spellStart"/>
            <w:r w:rsidRPr="00A4536F">
              <w:rPr>
                <w:rFonts w:eastAsia="Times New Roman" w:cs="Calibri"/>
                <w:b w:val="0"/>
                <w:bCs w:val="0"/>
                <w:color w:val="auto"/>
                <w:szCs w:val="18"/>
              </w:rPr>
              <w:t>Arema</w:t>
            </w:r>
            <w:proofErr w:type="spellEnd"/>
            <w:r w:rsidRPr="00A4536F">
              <w:rPr>
                <w:rFonts w:eastAsia="Times New Roman" w:cs="Calibri"/>
                <w:b w:val="0"/>
                <w:bCs w:val="0"/>
                <w:color w:val="auto"/>
                <w:szCs w:val="18"/>
              </w:rPr>
              <w:t xml:space="preserve"> </w:t>
            </w:r>
            <w:proofErr w:type="spellStart"/>
            <w:r w:rsidRPr="00A4536F">
              <w:rPr>
                <w:rFonts w:eastAsia="Times New Roman" w:cs="Calibri"/>
                <w:b w:val="0"/>
                <w:bCs w:val="0"/>
                <w:color w:val="auto"/>
                <w:szCs w:val="18"/>
              </w:rPr>
              <w:t>Dalmas</w:t>
            </w:r>
            <w:proofErr w:type="spellEnd"/>
          </w:p>
        </w:tc>
        <w:tc>
          <w:tcPr>
            <w:tcW w:w="945" w:type="dxa"/>
          </w:tcPr>
          <w:p w14:paraId="569EB58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21A6EE3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 Office of the President</w:t>
            </w:r>
          </w:p>
        </w:tc>
        <w:tc>
          <w:tcPr>
            <w:tcW w:w="2694" w:type="dxa"/>
          </w:tcPr>
          <w:p w14:paraId="1C0E46B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6ABCC3C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Chief</w:t>
            </w:r>
          </w:p>
        </w:tc>
      </w:tr>
      <w:tr w:rsidR="00090EFB" w:rsidRPr="00A4536F" w14:paraId="3D10588F"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01084522" w14:textId="77777777" w:rsidR="00315466" w:rsidRPr="00A4536F" w:rsidRDefault="001D4E15">
            <w:pPr>
              <w:spacing w:before="0" w:after="120"/>
              <w:rPr>
                <w:rFonts w:eastAsia="Times New Roman" w:cs="Calibri"/>
                <w:color w:val="auto"/>
                <w:szCs w:val="18"/>
              </w:rPr>
            </w:pPr>
            <w:r w:rsidRPr="00A4536F">
              <w:rPr>
                <w:rFonts w:eastAsia="Times New Roman" w:cs="Calibri"/>
                <w:b w:val="0"/>
                <w:bCs w:val="0"/>
                <w:color w:val="auto"/>
                <w:szCs w:val="18"/>
              </w:rPr>
              <w:t xml:space="preserve">Jonathan </w:t>
            </w:r>
            <w:proofErr w:type="spellStart"/>
            <w:r w:rsidRPr="00A4536F">
              <w:rPr>
                <w:rFonts w:eastAsia="Times New Roman" w:cs="Calibri"/>
                <w:b w:val="0"/>
                <w:bCs w:val="0"/>
                <w:color w:val="auto"/>
                <w:szCs w:val="18"/>
              </w:rPr>
              <w:t>Mangesoi</w:t>
            </w:r>
            <w:proofErr w:type="spellEnd"/>
          </w:p>
        </w:tc>
        <w:tc>
          <w:tcPr>
            <w:tcW w:w="945" w:type="dxa"/>
          </w:tcPr>
          <w:p w14:paraId="3550DFD3"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7AA77D83"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Dept of Water</w:t>
            </w:r>
          </w:p>
        </w:tc>
        <w:tc>
          <w:tcPr>
            <w:tcW w:w="2694" w:type="dxa"/>
          </w:tcPr>
          <w:p w14:paraId="06870A7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05A8F01E"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 North Sub County Water Officer</w:t>
            </w:r>
          </w:p>
        </w:tc>
      </w:tr>
      <w:tr w:rsidR="00090EFB" w:rsidRPr="00A4536F" w14:paraId="129C4F64"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37223F7D" w14:textId="77777777" w:rsidR="00315466" w:rsidRPr="00A4536F" w:rsidRDefault="001D4E15">
            <w:pPr>
              <w:spacing w:before="0" w:after="120"/>
              <w:rPr>
                <w:rFonts w:eastAsia="Times New Roman" w:cs="Calibri"/>
                <w:color w:val="auto"/>
                <w:szCs w:val="18"/>
              </w:rPr>
            </w:pPr>
            <w:r w:rsidRPr="00A4536F">
              <w:rPr>
                <w:rFonts w:eastAsia="Times New Roman" w:cs="Calibri"/>
                <w:b w:val="0"/>
                <w:bCs w:val="0"/>
                <w:color w:val="auto"/>
                <w:szCs w:val="18"/>
              </w:rPr>
              <w:t xml:space="preserve">Lazarus </w:t>
            </w:r>
            <w:proofErr w:type="spellStart"/>
            <w:r w:rsidRPr="00A4536F">
              <w:rPr>
                <w:rFonts w:eastAsia="Times New Roman" w:cs="Calibri"/>
                <w:b w:val="0"/>
                <w:bCs w:val="0"/>
                <w:color w:val="auto"/>
                <w:szCs w:val="18"/>
              </w:rPr>
              <w:t>Epae</w:t>
            </w:r>
            <w:proofErr w:type="spellEnd"/>
            <w:r w:rsidRPr="00A4536F">
              <w:rPr>
                <w:rFonts w:eastAsia="Times New Roman" w:cs="Calibri"/>
                <w:b w:val="0"/>
                <w:bCs w:val="0"/>
                <w:color w:val="auto"/>
                <w:szCs w:val="18"/>
              </w:rPr>
              <w:t xml:space="preserve"> </w:t>
            </w:r>
            <w:proofErr w:type="spellStart"/>
            <w:r w:rsidRPr="00A4536F">
              <w:rPr>
                <w:rFonts w:eastAsia="Times New Roman" w:cs="Calibri"/>
                <w:b w:val="0"/>
                <w:bCs w:val="0"/>
                <w:color w:val="auto"/>
                <w:szCs w:val="18"/>
              </w:rPr>
              <w:t>Ereng</w:t>
            </w:r>
            <w:proofErr w:type="spellEnd"/>
          </w:p>
        </w:tc>
        <w:tc>
          <w:tcPr>
            <w:tcW w:w="945" w:type="dxa"/>
          </w:tcPr>
          <w:p w14:paraId="37EA7A93"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396D1CE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Office of the President</w:t>
            </w:r>
          </w:p>
        </w:tc>
        <w:tc>
          <w:tcPr>
            <w:tcW w:w="2694" w:type="dxa"/>
          </w:tcPr>
          <w:p w14:paraId="29FB09B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1EB14B23"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Chief</w:t>
            </w:r>
          </w:p>
        </w:tc>
      </w:tr>
      <w:tr w:rsidR="00A23A23" w:rsidRPr="00A4536F" w14:paraId="6A136B40"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6DAD9C9E" w14:textId="6951B308" w:rsidR="00A23A23" w:rsidRPr="00A4536F" w:rsidRDefault="00A23A23" w:rsidP="00A23A23">
            <w:pPr>
              <w:spacing w:before="0" w:after="120"/>
              <w:rPr>
                <w:rFonts w:eastAsia="Times New Roman" w:cs="Calibri"/>
                <w:color w:val="auto"/>
                <w:szCs w:val="18"/>
              </w:rPr>
            </w:pPr>
            <w:r w:rsidRPr="00A4536F">
              <w:rPr>
                <w:rFonts w:eastAsia="Times New Roman" w:cs="Calibri"/>
                <w:color w:val="auto"/>
                <w:szCs w:val="18"/>
              </w:rPr>
              <w:lastRenderedPageBreak/>
              <w:t>Full name</w:t>
            </w:r>
          </w:p>
        </w:tc>
        <w:tc>
          <w:tcPr>
            <w:tcW w:w="945" w:type="dxa"/>
          </w:tcPr>
          <w:p w14:paraId="385E54E2" w14:textId="7E4E2B1F" w:rsidR="00A23A23" w:rsidRPr="00A23A23"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szCs w:val="18"/>
              </w:rPr>
            </w:pPr>
            <w:r w:rsidRPr="00A23A23">
              <w:rPr>
                <w:rFonts w:eastAsia="Times New Roman" w:cs="Calibri"/>
                <w:b/>
                <w:bCs/>
                <w:color w:val="auto"/>
                <w:szCs w:val="18"/>
              </w:rPr>
              <w:t>Gender</w:t>
            </w:r>
          </w:p>
        </w:tc>
        <w:tc>
          <w:tcPr>
            <w:tcW w:w="1518" w:type="dxa"/>
          </w:tcPr>
          <w:p w14:paraId="15EB22C4" w14:textId="17D92FB6" w:rsidR="00A23A23" w:rsidRPr="00A23A23"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szCs w:val="18"/>
              </w:rPr>
            </w:pPr>
            <w:r w:rsidRPr="00A23A23">
              <w:rPr>
                <w:rFonts w:eastAsia="Times New Roman" w:cs="Calibri"/>
                <w:b/>
                <w:bCs/>
                <w:color w:val="auto"/>
                <w:szCs w:val="18"/>
              </w:rPr>
              <w:t>Office or Organization name</w:t>
            </w:r>
          </w:p>
        </w:tc>
        <w:tc>
          <w:tcPr>
            <w:tcW w:w="2694" w:type="dxa"/>
          </w:tcPr>
          <w:p w14:paraId="78A189AC" w14:textId="02081EE1" w:rsidR="00A23A23" w:rsidRPr="00A23A23"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szCs w:val="18"/>
              </w:rPr>
            </w:pPr>
            <w:r w:rsidRPr="00A23A23">
              <w:rPr>
                <w:rFonts w:eastAsia="Times New Roman" w:cs="Calibri"/>
                <w:b/>
                <w:bCs/>
                <w:color w:val="auto"/>
                <w:szCs w:val="18"/>
              </w:rPr>
              <w:t xml:space="preserve">Location </w:t>
            </w:r>
          </w:p>
        </w:tc>
        <w:tc>
          <w:tcPr>
            <w:tcW w:w="1771" w:type="dxa"/>
          </w:tcPr>
          <w:p w14:paraId="682B8ED5" w14:textId="0C955557" w:rsidR="00A23A23" w:rsidRPr="00A23A23"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szCs w:val="18"/>
              </w:rPr>
            </w:pPr>
            <w:r w:rsidRPr="00A23A23">
              <w:rPr>
                <w:rFonts w:eastAsia="Times New Roman" w:cs="Calibri"/>
                <w:b/>
                <w:bCs/>
                <w:color w:val="auto"/>
                <w:szCs w:val="18"/>
              </w:rPr>
              <w:t>Position or role</w:t>
            </w:r>
          </w:p>
        </w:tc>
      </w:tr>
      <w:tr w:rsidR="00A23A23" w:rsidRPr="00A4536F" w14:paraId="412B245A"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119E625C" w14:textId="77777777" w:rsidR="00A23A23" w:rsidRPr="00A4536F" w:rsidRDefault="00A23A23" w:rsidP="00A23A23">
            <w:pPr>
              <w:spacing w:before="0" w:after="120"/>
              <w:rPr>
                <w:rFonts w:eastAsia="Times New Roman" w:cs="Calibri"/>
                <w:color w:val="auto"/>
                <w:szCs w:val="18"/>
              </w:rPr>
            </w:pPr>
            <w:r w:rsidRPr="00A4536F">
              <w:rPr>
                <w:rFonts w:eastAsia="Times New Roman" w:cs="Calibri"/>
                <w:b w:val="0"/>
                <w:bCs w:val="0"/>
                <w:color w:val="auto"/>
                <w:szCs w:val="18"/>
              </w:rPr>
              <w:t>Hannah Choke</w:t>
            </w:r>
          </w:p>
        </w:tc>
        <w:tc>
          <w:tcPr>
            <w:tcW w:w="945" w:type="dxa"/>
          </w:tcPr>
          <w:p w14:paraId="04300B4A"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F</w:t>
            </w:r>
          </w:p>
        </w:tc>
        <w:tc>
          <w:tcPr>
            <w:tcW w:w="1518" w:type="dxa"/>
          </w:tcPr>
          <w:p w14:paraId="422DBB46"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PACIDA</w:t>
            </w:r>
          </w:p>
        </w:tc>
        <w:tc>
          <w:tcPr>
            <w:tcW w:w="2694" w:type="dxa"/>
          </w:tcPr>
          <w:p w14:paraId="6F76386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Marsabit</w:t>
            </w:r>
            <w:proofErr w:type="spellEnd"/>
          </w:p>
        </w:tc>
        <w:tc>
          <w:tcPr>
            <w:tcW w:w="1771" w:type="dxa"/>
          </w:tcPr>
          <w:p w14:paraId="255ECEAA"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MEL Officer</w:t>
            </w:r>
          </w:p>
        </w:tc>
      </w:tr>
      <w:tr w:rsidR="00A23A23" w:rsidRPr="00A4536F" w14:paraId="7BA6DD5F"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2F1E6D4F" w14:textId="77777777" w:rsidR="00A23A23" w:rsidRPr="00A4536F" w:rsidRDefault="00A23A23" w:rsidP="00A23A23">
            <w:pPr>
              <w:spacing w:before="0" w:after="120"/>
              <w:rPr>
                <w:rFonts w:eastAsia="Times New Roman" w:cs="Calibri"/>
                <w:color w:val="auto"/>
                <w:szCs w:val="18"/>
              </w:rPr>
            </w:pPr>
            <w:r w:rsidRPr="00A4536F">
              <w:rPr>
                <w:rFonts w:eastAsia="Times New Roman" w:cs="Calibri"/>
                <w:b w:val="0"/>
                <w:bCs w:val="0"/>
                <w:color w:val="auto"/>
                <w:szCs w:val="18"/>
              </w:rPr>
              <w:t>Mary Mwangi</w:t>
            </w:r>
          </w:p>
        </w:tc>
        <w:tc>
          <w:tcPr>
            <w:tcW w:w="945" w:type="dxa"/>
          </w:tcPr>
          <w:p w14:paraId="3D5436A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F</w:t>
            </w:r>
          </w:p>
        </w:tc>
        <w:tc>
          <w:tcPr>
            <w:tcW w:w="1518" w:type="dxa"/>
          </w:tcPr>
          <w:p w14:paraId="62C1A565"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SND</w:t>
            </w:r>
          </w:p>
        </w:tc>
        <w:tc>
          <w:tcPr>
            <w:tcW w:w="2694" w:type="dxa"/>
          </w:tcPr>
          <w:p w14:paraId="39F2EFC7"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Marsabit</w:t>
            </w:r>
            <w:proofErr w:type="spellEnd"/>
          </w:p>
        </w:tc>
        <w:tc>
          <w:tcPr>
            <w:tcW w:w="1771" w:type="dxa"/>
          </w:tcPr>
          <w:p w14:paraId="37E58833"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Project Coordinator</w:t>
            </w:r>
          </w:p>
        </w:tc>
      </w:tr>
      <w:tr w:rsidR="00A23A23" w:rsidRPr="00A4536F" w14:paraId="4CA983A1"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4B878557" w14:textId="77777777" w:rsidR="00A23A23" w:rsidRPr="00A4536F" w:rsidRDefault="00A23A23" w:rsidP="00A23A23">
            <w:pPr>
              <w:spacing w:before="0" w:after="120"/>
              <w:rPr>
                <w:rFonts w:eastAsia="Times New Roman" w:cs="Calibri"/>
                <w:color w:val="auto"/>
                <w:szCs w:val="18"/>
              </w:rPr>
            </w:pPr>
            <w:r w:rsidRPr="00A4536F">
              <w:rPr>
                <w:rFonts w:eastAsia="Times New Roman" w:cs="Calibri"/>
                <w:b w:val="0"/>
                <w:bCs w:val="0"/>
                <w:color w:val="auto"/>
                <w:szCs w:val="18"/>
              </w:rPr>
              <w:t xml:space="preserve">Benson </w:t>
            </w:r>
            <w:proofErr w:type="spellStart"/>
            <w:r w:rsidRPr="00A4536F">
              <w:rPr>
                <w:rFonts w:eastAsia="Times New Roman" w:cs="Calibri"/>
                <w:b w:val="0"/>
                <w:bCs w:val="0"/>
                <w:color w:val="auto"/>
                <w:szCs w:val="18"/>
              </w:rPr>
              <w:t>Elamack</w:t>
            </w:r>
            <w:proofErr w:type="spellEnd"/>
          </w:p>
        </w:tc>
        <w:tc>
          <w:tcPr>
            <w:tcW w:w="945" w:type="dxa"/>
          </w:tcPr>
          <w:p w14:paraId="29132FF3"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602352D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462E12F1"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709985A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MEL Officer</w:t>
            </w:r>
          </w:p>
        </w:tc>
      </w:tr>
      <w:tr w:rsidR="00A23A23" w:rsidRPr="00A4536F" w14:paraId="2A596A22"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1E2B8C3C" w14:textId="77777777" w:rsidR="00A23A23" w:rsidRPr="00A4536F" w:rsidRDefault="00A23A23" w:rsidP="00A23A23">
            <w:pPr>
              <w:spacing w:before="0" w:after="120"/>
              <w:rPr>
                <w:rFonts w:eastAsia="Times New Roman" w:cs="Calibri"/>
                <w:color w:val="auto"/>
                <w:szCs w:val="18"/>
              </w:rPr>
            </w:pPr>
            <w:proofErr w:type="spellStart"/>
            <w:r w:rsidRPr="00A4536F">
              <w:rPr>
                <w:rFonts w:cs="Calibri"/>
                <w:b w:val="0"/>
                <w:bCs w:val="0"/>
                <w:color w:val="auto"/>
                <w:szCs w:val="18"/>
              </w:rPr>
              <w:t>Samwel</w:t>
            </w:r>
            <w:proofErr w:type="spellEnd"/>
            <w:r w:rsidRPr="00A4536F">
              <w:rPr>
                <w:rFonts w:cs="Calibri"/>
                <w:b w:val="0"/>
                <w:bCs w:val="0"/>
                <w:color w:val="auto"/>
                <w:szCs w:val="18"/>
              </w:rPr>
              <w:t xml:space="preserve"> </w:t>
            </w:r>
            <w:proofErr w:type="spellStart"/>
            <w:r w:rsidRPr="00A4536F">
              <w:rPr>
                <w:rFonts w:cs="Calibri"/>
                <w:b w:val="0"/>
                <w:bCs w:val="0"/>
                <w:color w:val="auto"/>
                <w:szCs w:val="18"/>
              </w:rPr>
              <w:t>Lentoror</w:t>
            </w:r>
            <w:proofErr w:type="spellEnd"/>
          </w:p>
        </w:tc>
        <w:tc>
          <w:tcPr>
            <w:tcW w:w="945" w:type="dxa"/>
          </w:tcPr>
          <w:p w14:paraId="07AF9DFC"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774C8B42"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PACIDA</w:t>
            </w:r>
          </w:p>
        </w:tc>
        <w:tc>
          <w:tcPr>
            <w:tcW w:w="2694" w:type="dxa"/>
          </w:tcPr>
          <w:p w14:paraId="4E876474"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Marsabit</w:t>
            </w:r>
            <w:proofErr w:type="spellEnd"/>
          </w:p>
        </w:tc>
        <w:tc>
          <w:tcPr>
            <w:tcW w:w="1771" w:type="dxa"/>
          </w:tcPr>
          <w:p w14:paraId="3B258B2F"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cs="Calibri"/>
                <w:color w:val="auto"/>
                <w:szCs w:val="18"/>
              </w:rPr>
              <w:t>Programs Coordinator</w:t>
            </w:r>
          </w:p>
        </w:tc>
      </w:tr>
      <w:tr w:rsidR="00A23A23" w:rsidRPr="00A4536F" w14:paraId="264EA0CF"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43496EF2" w14:textId="77777777" w:rsidR="00A23A23" w:rsidRPr="00A4536F" w:rsidRDefault="00A23A23" w:rsidP="00A23A23">
            <w:pPr>
              <w:spacing w:before="0" w:after="120"/>
              <w:rPr>
                <w:rFonts w:eastAsia="Times New Roman" w:cs="Calibri"/>
                <w:color w:val="auto"/>
                <w:szCs w:val="18"/>
              </w:rPr>
            </w:pPr>
            <w:r w:rsidRPr="00A4536F">
              <w:rPr>
                <w:rFonts w:cs="Calibri"/>
                <w:b w:val="0"/>
                <w:bCs w:val="0"/>
                <w:color w:val="auto"/>
                <w:szCs w:val="18"/>
              </w:rPr>
              <w:t xml:space="preserve">Jackson </w:t>
            </w:r>
            <w:proofErr w:type="spellStart"/>
            <w:r w:rsidRPr="00A4536F">
              <w:rPr>
                <w:rFonts w:cs="Calibri"/>
                <w:b w:val="0"/>
                <w:bCs w:val="0"/>
                <w:color w:val="auto"/>
                <w:szCs w:val="18"/>
              </w:rPr>
              <w:t>Namunai</w:t>
            </w:r>
            <w:proofErr w:type="spellEnd"/>
          </w:p>
        </w:tc>
        <w:tc>
          <w:tcPr>
            <w:tcW w:w="945" w:type="dxa"/>
          </w:tcPr>
          <w:p w14:paraId="73321686"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63970000"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cs="Calibri"/>
                <w:color w:val="auto"/>
                <w:szCs w:val="18"/>
              </w:rPr>
              <w:t>PACIDA</w:t>
            </w:r>
          </w:p>
        </w:tc>
        <w:tc>
          <w:tcPr>
            <w:tcW w:w="2694" w:type="dxa"/>
          </w:tcPr>
          <w:p w14:paraId="32E7DA71"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Marsabit</w:t>
            </w:r>
            <w:proofErr w:type="spellEnd"/>
          </w:p>
        </w:tc>
        <w:tc>
          <w:tcPr>
            <w:tcW w:w="1771" w:type="dxa"/>
          </w:tcPr>
          <w:p w14:paraId="03B3DDBF"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cs="Calibri"/>
                <w:color w:val="auto"/>
                <w:szCs w:val="18"/>
              </w:rPr>
              <w:t>Programs Officer</w:t>
            </w:r>
          </w:p>
        </w:tc>
      </w:tr>
      <w:tr w:rsidR="00A23A23" w:rsidRPr="00A4536F" w14:paraId="75DB2ECD"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317BF66C" w14:textId="77777777" w:rsidR="00A23A23" w:rsidRPr="00A4536F" w:rsidRDefault="00A23A23" w:rsidP="00A23A23">
            <w:pPr>
              <w:spacing w:before="0" w:after="120"/>
              <w:rPr>
                <w:rFonts w:eastAsia="Times New Roman" w:cs="Calibri"/>
                <w:color w:val="auto"/>
                <w:szCs w:val="18"/>
              </w:rPr>
            </w:pPr>
            <w:proofErr w:type="spellStart"/>
            <w:r w:rsidRPr="00A4536F">
              <w:rPr>
                <w:rFonts w:cs="Calibri"/>
                <w:b w:val="0"/>
                <w:bCs w:val="0"/>
                <w:color w:val="auto"/>
                <w:szCs w:val="18"/>
              </w:rPr>
              <w:t>Hokile</w:t>
            </w:r>
            <w:proofErr w:type="spellEnd"/>
            <w:r w:rsidRPr="00A4536F">
              <w:rPr>
                <w:rFonts w:cs="Calibri"/>
                <w:b w:val="0"/>
                <w:bCs w:val="0"/>
                <w:color w:val="auto"/>
                <w:szCs w:val="18"/>
              </w:rPr>
              <w:t xml:space="preserve"> </w:t>
            </w:r>
            <w:proofErr w:type="spellStart"/>
            <w:r w:rsidRPr="00A4536F">
              <w:rPr>
                <w:rFonts w:cs="Calibri"/>
                <w:b w:val="0"/>
                <w:bCs w:val="0"/>
                <w:color w:val="auto"/>
                <w:szCs w:val="18"/>
              </w:rPr>
              <w:t>Boku</w:t>
            </w:r>
            <w:proofErr w:type="spellEnd"/>
          </w:p>
        </w:tc>
        <w:tc>
          <w:tcPr>
            <w:tcW w:w="945" w:type="dxa"/>
          </w:tcPr>
          <w:p w14:paraId="7BA9632C"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2C4E9C4D"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cs="Calibri"/>
                <w:color w:val="auto"/>
                <w:szCs w:val="18"/>
              </w:rPr>
              <w:t>PACIDA</w:t>
            </w:r>
          </w:p>
        </w:tc>
        <w:tc>
          <w:tcPr>
            <w:tcW w:w="2694" w:type="dxa"/>
          </w:tcPr>
          <w:p w14:paraId="5ECEFFA0"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Marsabit</w:t>
            </w:r>
            <w:proofErr w:type="spellEnd"/>
          </w:p>
        </w:tc>
        <w:tc>
          <w:tcPr>
            <w:tcW w:w="1771" w:type="dxa"/>
          </w:tcPr>
          <w:p w14:paraId="46318C2B"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cs="Calibri"/>
                <w:color w:val="auto"/>
                <w:szCs w:val="18"/>
              </w:rPr>
              <w:t>Programs Officer</w:t>
            </w:r>
          </w:p>
        </w:tc>
      </w:tr>
      <w:tr w:rsidR="00A23A23" w:rsidRPr="00A4536F" w14:paraId="67D5A21B"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749F5EDD" w14:textId="77777777" w:rsidR="00A23A23" w:rsidRPr="00A4536F" w:rsidRDefault="00A23A23" w:rsidP="00A23A23">
            <w:pPr>
              <w:spacing w:before="0" w:after="120"/>
              <w:rPr>
                <w:rFonts w:eastAsia="Times New Roman" w:cs="Calibri"/>
                <w:color w:val="auto"/>
                <w:szCs w:val="18"/>
              </w:rPr>
            </w:pPr>
            <w:r w:rsidRPr="00A4536F">
              <w:rPr>
                <w:rFonts w:cs="Calibri"/>
                <w:b w:val="0"/>
                <w:bCs w:val="0"/>
                <w:color w:val="auto"/>
                <w:szCs w:val="18"/>
              </w:rPr>
              <w:t xml:space="preserve">Abdi </w:t>
            </w:r>
            <w:proofErr w:type="spellStart"/>
            <w:r w:rsidRPr="00A4536F">
              <w:rPr>
                <w:rFonts w:cs="Calibri"/>
                <w:b w:val="0"/>
                <w:bCs w:val="0"/>
                <w:color w:val="auto"/>
                <w:szCs w:val="18"/>
              </w:rPr>
              <w:t>Huka</w:t>
            </w:r>
            <w:proofErr w:type="spellEnd"/>
          </w:p>
        </w:tc>
        <w:tc>
          <w:tcPr>
            <w:tcW w:w="945" w:type="dxa"/>
          </w:tcPr>
          <w:p w14:paraId="21072FCF"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2BC1E4DA"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SND</w:t>
            </w:r>
          </w:p>
        </w:tc>
        <w:tc>
          <w:tcPr>
            <w:tcW w:w="2694" w:type="dxa"/>
          </w:tcPr>
          <w:p w14:paraId="48755211"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proofErr w:type="spellStart"/>
            <w:r w:rsidRPr="00A4536F">
              <w:rPr>
                <w:rFonts w:eastAsia="Times New Roman" w:cs="Calibri"/>
                <w:color w:val="auto"/>
                <w:szCs w:val="18"/>
              </w:rPr>
              <w:t>Marsabit</w:t>
            </w:r>
            <w:proofErr w:type="spellEnd"/>
          </w:p>
        </w:tc>
        <w:tc>
          <w:tcPr>
            <w:tcW w:w="1771" w:type="dxa"/>
          </w:tcPr>
          <w:p w14:paraId="57DA2BF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cs="Calibri"/>
                <w:color w:val="auto"/>
                <w:szCs w:val="18"/>
              </w:rPr>
              <w:t>Senior Programs Officer</w:t>
            </w:r>
          </w:p>
        </w:tc>
      </w:tr>
      <w:tr w:rsidR="00A23A23" w:rsidRPr="00A4536F" w14:paraId="3458DFE3"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09B8DDEC" w14:textId="77777777" w:rsidR="00A23A23" w:rsidRPr="00A4536F" w:rsidRDefault="00A23A23" w:rsidP="00A23A23">
            <w:pPr>
              <w:spacing w:before="0" w:after="120"/>
              <w:rPr>
                <w:rFonts w:cs="Calibri"/>
                <w:color w:val="auto"/>
                <w:szCs w:val="18"/>
              </w:rPr>
            </w:pPr>
            <w:r w:rsidRPr="00A4536F">
              <w:rPr>
                <w:rFonts w:eastAsia="Times New Roman" w:cs="Calibri"/>
                <w:b w:val="0"/>
                <w:bCs w:val="0"/>
                <w:color w:val="auto"/>
                <w:szCs w:val="18"/>
                <w:lang w:eastAsia="zh-TW"/>
              </w:rPr>
              <w:t xml:space="preserve">Samuel E. </w:t>
            </w:r>
            <w:proofErr w:type="spellStart"/>
            <w:r w:rsidRPr="00A4536F">
              <w:rPr>
                <w:rFonts w:eastAsia="Times New Roman" w:cs="Calibri"/>
                <w:b w:val="0"/>
                <w:bCs w:val="0"/>
                <w:color w:val="auto"/>
                <w:szCs w:val="18"/>
                <w:lang w:eastAsia="zh-TW"/>
              </w:rPr>
              <w:t>Adome</w:t>
            </w:r>
            <w:proofErr w:type="spellEnd"/>
          </w:p>
        </w:tc>
        <w:tc>
          <w:tcPr>
            <w:tcW w:w="945" w:type="dxa"/>
          </w:tcPr>
          <w:p w14:paraId="142660BB"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1F59B00A"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4EC33BC2"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32D8704C"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Executive Director</w:t>
            </w:r>
          </w:p>
        </w:tc>
      </w:tr>
      <w:tr w:rsidR="00A23A23" w:rsidRPr="00A4536F" w14:paraId="0482CC86"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5091DDDB" w14:textId="77777777" w:rsidR="00A23A23" w:rsidRPr="00A4536F" w:rsidRDefault="00A23A23" w:rsidP="00A23A23">
            <w:pPr>
              <w:spacing w:before="0" w:after="120"/>
              <w:rPr>
                <w:rFonts w:cs="Calibri"/>
                <w:color w:val="auto"/>
                <w:szCs w:val="18"/>
              </w:rPr>
            </w:pPr>
            <w:r w:rsidRPr="00A4536F">
              <w:rPr>
                <w:rFonts w:eastAsia="Times New Roman" w:cs="Calibri"/>
                <w:b w:val="0"/>
                <w:bCs w:val="0"/>
                <w:color w:val="auto"/>
                <w:szCs w:val="18"/>
                <w:lang w:eastAsia="zh-TW"/>
              </w:rPr>
              <w:t xml:space="preserve">Andrew </w:t>
            </w:r>
            <w:proofErr w:type="spellStart"/>
            <w:r w:rsidRPr="00A4536F">
              <w:rPr>
                <w:rFonts w:eastAsia="Times New Roman" w:cs="Calibri"/>
                <w:b w:val="0"/>
                <w:bCs w:val="0"/>
                <w:color w:val="auto"/>
                <w:szCs w:val="18"/>
                <w:lang w:eastAsia="zh-TW"/>
              </w:rPr>
              <w:t>Loolel</w:t>
            </w:r>
            <w:proofErr w:type="spellEnd"/>
            <w:r w:rsidRPr="00A4536F">
              <w:rPr>
                <w:rFonts w:eastAsia="Times New Roman" w:cs="Calibri"/>
                <w:b w:val="0"/>
                <w:bCs w:val="0"/>
                <w:color w:val="auto"/>
                <w:szCs w:val="18"/>
                <w:lang w:eastAsia="zh-TW"/>
              </w:rPr>
              <w:t xml:space="preserve"> </w:t>
            </w:r>
            <w:proofErr w:type="spellStart"/>
            <w:r w:rsidRPr="00A4536F">
              <w:rPr>
                <w:rFonts w:eastAsia="Times New Roman" w:cs="Calibri"/>
                <w:b w:val="0"/>
                <w:bCs w:val="0"/>
                <w:color w:val="auto"/>
                <w:szCs w:val="18"/>
                <w:lang w:eastAsia="zh-TW"/>
              </w:rPr>
              <w:t>Ekaran</w:t>
            </w:r>
            <w:proofErr w:type="spellEnd"/>
          </w:p>
        </w:tc>
        <w:tc>
          <w:tcPr>
            <w:tcW w:w="945" w:type="dxa"/>
          </w:tcPr>
          <w:p w14:paraId="06F904F6"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1A400226"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249F28CC"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08ECEE6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Project Officer</w:t>
            </w:r>
          </w:p>
        </w:tc>
      </w:tr>
      <w:tr w:rsidR="00A23A23" w:rsidRPr="00A4536F" w14:paraId="66A03107"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28ECE1C2" w14:textId="77777777" w:rsidR="00A23A23" w:rsidRPr="00A4536F" w:rsidRDefault="00A23A23" w:rsidP="00A23A23">
            <w:pPr>
              <w:spacing w:before="0" w:after="120"/>
              <w:rPr>
                <w:rFonts w:cs="Calibri"/>
                <w:color w:val="auto"/>
                <w:szCs w:val="18"/>
              </w:rPr>
            </w:pPr>
            <w:r w:rsidRPr="00A4536F">
              <w:rPr>
                <w:rFonts w:eastAsia="Times New Roman" w:cs="Calibri"/>
                <w:b w:val="0"/>
                <w:bCs w:val="0"/>
                <w:color w:val="auto"/>
                <w:szCs w:val="18"/>
                <w:lang w:eastAsia="zh-TW"/>
              </w:rPr>
              <w:t xml:space="preserve">Tito Kiplagat </w:t>
            </w:r>
            <w:proofErr w:type="spellStart"/>
            <w:r w:rsidRPr="00A4536F">
              <w:rPr>
                <w:rFonts w:eastAsia="Times New Roman" w:cs="Calibri"/>
                <w:b w:val="0"/>
                <w:bCs w:val="0"/>
                <w:color w:val="auto"/>
                <w:szCs w:val="18"/>
                <w:lang w:eastAsia="zh-TW"/>
              </w:rPr>
              <w:t>Korir</w:t>
            </w:r>
            <w:proofErr w:type="spellEnd"/>
          </w:p>
        </w:tc>
        <w:tc>
          <w:tcPr>
            <w:tcW w:w="945" w:type="dxa"/>
          </w:tcPr>
          <w:p w14:paraId="229DA85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154FFBC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387AE9E5"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5E6BBF8B"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Accountant</w:t>
            </w:r>
          </w:p>
        </w:tc>
      </w:tr>
      <w:tr w:rsidR="00A23A23" w:rsidRPr="00A4536F" w14:paraId="28821AFB"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2A85CB36" w14:textId="77777777" w:rsidR="00A23A23" w:rsidRPr="00A4536F" w:rsidRDefault="00A23A23" w:rsidP="00A23A23">
            <w:pPr>
              <w:spacing w:before="0" w:after="120"/>
              <w:rPr>
                <w:rFonts w:cs="Calibri"/>
                <w:color w:val="auto"/>
                <w:szCs w:val="18"/>
              </w:rPr>
            </w:pPr>
            <w:r w:rsidRPr="00A4536F">
              <w:rPr>
                <w:rFonts w:eastAsia="Times New Roman" w:cs="Calibri"/>
                <w:b w:val="0"/>
                <w:bCs w:val="0"/>
                <w:color w:val="auto"/>
                <w:szCs w:val="18"/>
                <w:lang w:eastAsia="zh-TW"/>
              </w:rPr>
              <w:t xml:space="preserve">David </w:t>
            </w:r>
            <w:proofErr w:type="spellStart"/>
            <w:r w:rsidRPr="00A4536F">
              <w:rPr>
                <w:rFonts w:eastAsia="Times New Roman" w:cs="Calibri"/>
                <w:b w:val="0"/>
                <w:bCs w:val="0"/>
                <w:color w:val="auto"/>
                <w:szCs w:val="18"/>
                <w:lang w:eastAsia="zh-TW"/>
              </w:rPr>
              <w:t>Shikuku</w:t>
            </w:r>
            <w:proofErr w:type="spellEnd"/>
            <w:r w:rsidRPr="00A4536F">
              <w:rPr>
                <w:rFonts w:eastAsia="Times New Roman" w:cs="Calibri"/>
                <w:b w:val="0"/>
                <w:bCs w:val="0"/>
                <w:color w:val="auto"/>
                <w:szCs w:val="18"/>
                <w:lang w:eastAsia="zh-TW"/>
              </w:rPr>
              <w:t xml:space="preserve"> </w:t>
            </w:r>
            <w:proofErr w:type="spellStart"/>
            <w:r w:rsidRPr="00A4536F">
              <w:rPr>
                <w:rFonts w:eastAsia="Times New Roman" w:cs="Calibri"/>
                <w:b w:val="0"/>
                <w:bCs w:val="0"/>
                <w:color w:val="auto"/>
                <w:szCs w:val="18"/>
                <w:lang w:eastAsia="zh-TW"/>
              </w:rPr>
              <w:t>Kang'ole</w:t>
            </w:r>
            <w:proofErr w:type="spellEnd"/>
          </w:p>
        </w:tc>
        <w:tc>
          <w:tcPr>
            <w:tcW w:w="945" w:type="dxa"/>
          </w:tcPr>
          <w:p w14:paraId="69D19F25"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29D3480D"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297FECFF"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2BB3B70C"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Head of programmes</w:t>
            </w:r>
          </w:p>
        </w:tc>
      </w:tr>
      <w:tr w:rsidR="00A23A23" w:rsidRPr="00A4536F" w14:paraId="5746697B"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2251DDEF" w14:textId="77777777" w:rsidR="00A23A23" w:rsidRPr="00A4536F" w:rsidRDefault="00A23A23" w:rsidP="00A23A23">
            <w:pPr>
              <w:spacing w:before="0" w:after="120"/>
              <w:rPr>
                <w:rFonts w:cs="Calibri"/>
                <w:color w:val="auto"/>
                <w:szCs w:val="18"/>
              </w:rPr>
            </w:pPr>
            <w:r w:rsidRPr="00A4536F">
              <w:rPr>
                <w:rFonts w:eastAsia="Times New Roman" w:cs="Calibri"/>
                <w:b w:val="0"/>
                <w:bCs w:val="0"/>
                <w:color w:val="auto"/>
                <w:szCs w:val="18"/>
                <w:lang w:eastAsia="zh-TW"/>
              </w:rPr>
              <w:t xml:space="preserve">Emily </w:t>
            </w:r>
            <w:proofErr w:type="spellStart"/>
            <w:r w:rsidRPr="00A4536F">
              <w:rPr>
                <w:rFonts w:eastAsia="Times New Roman" w:cs="Calibri"/>
                <w:b w:val="0"/>
                <w:bCs w:val="0"/>
                <w:color w:val="auto"/>
                <w:szCs w:val="18"/>
                <w:lang w:eastAsia="zh-TW"/>
              </w:rPr>
              <w:t>Akhai</w:t>
            </w:r>
            <w:proofErr w:type="spellEnd"/>
            <w:r w:rsidRPr="00A4536F">
              <w:rPr>
                <w:rFonts w:eastAsia="Times New Roman" w:cs="Calibri"/>
                <w:b w:val="0"/>
                <w:bCs w:val="0"/>
                <w:color w:val="auto"/>
                <w:szCs w:val="18"/>
                <w:lang w:eastAsia="zh-TW"/>
              </w:rPr>
              <w:t xml:space="preserve"> </w:t>
            </w:r>
            <w:proofErr w:type="spellStart"/>
            <w:r w:rsidRPr="00A4536F">
              <w:rPr>
                <w:rFonts w:eastAsia="Times New Roman" w:cs="Calibri"/>
                <w:b w:val="0"/>
                <w:bCs w:val="0"/>
                <w:color w:val="auto"/>
                <w:szCs w:val="18"/>
                <w:lang w:eastAsia="zh-TW"/>
              </w:rPr>
              <w:t>Egeron</w:t>
            </w:r>
            <w:proofErr w:type="spellEnd"/>
          </w:p>
        </w:tc>
        <w:tc>
          <w:tcPr>
            <w:tcW w:w="945" w:type="dxa"/>
          </w:tcPr>
          <w:p w14:paraId="39BBEFFE"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F</w:t>
            </w:r>
          </w:p>
        </w:tc>
        <w:tc>
          <w:tcPr>
            <w:tcW w:w="1518" w:type="dxa"/>
          </w:tcPr>
          <w:p w14:paraId="79F2B8C3"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6FA71AB5"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78B873FB"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Finance Manager</w:t>
            </w:r>
          </w:p>
        </w:tc>
      </w:tr>
      <w:tr w:rsidR="00A23A23" w:rsidRPr="00A4536F" w14:paraId="56E1FD36"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434972EB" w14:textId="77777777" w:rsidR="00A23A23" w:rsidRPr="00A4536F" w:rsidRDefault="00A23A23" w:rsidP="00A23A23">
            <w:pPr>
              <w:spacing w:before="0" w:after="120"/>
              <w:rPr>
                <w:rFonts w:cs="Calibri"/>
                <w:color w:val="auto"/>
                <w:szCs w:val="18"/>
              </w:rPr>
            </w:pPr>
            <w:r w:rsidRPr="00A4536F">
              <w:rPr>
                <w:rFonts w:eastAsia="Times New Roman" w:cs="Calibri"/>
                <w:b w:val="0"/>
                <w:bCs w:val="0"/>
                <w:color w:val="auto"/>
                <w:szCs w:val="18"/>
                <w:lang w:eastAsia="zh-TW"/>
              </w:rPr>
              <w:t xml:space="preserve">Dickson </w:t>
            </w:r>
            <w:proofErr w:type="spellStart"/>
            <w:r w:rsidRPr="00A4536F">
              <w:rPr>
                <w:rFonts w:eastAsia="Times New Roman" w:cs="Calibri"/>
                <w:b w:val="0"/>
                <w:bCs w:val="0"/>
                <w:color w:val="auto"/>
                <w:szCs w:val="18"/>
                <w:lang w:eastAsia="zh-TW"/>
              </w:rPr>
              <w:t>Lowoi</w:t>
            </w:r>
            <w:proofErr w:type="spellEnd"/>
          </w:p>
        </w:tc>
        <w:tc>
          <w:tcPr>
            <w:tcW w:w="945" w:type="dxa"/>
          </w:tcPr>
          <w:p w14:paraId="73CA760A"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391F4137"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7F159DE3"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7B57158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Project Officer</w:t>
            </w:r>
          </w:p>
        </w:tc>
      </w:tr>
      <w:tr w:rsidR="00A23A23" w:rsidRPr="00A4536F" w14:paraId="1FA04145"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36BBF5BB" w14:textId="77777777" w:rsidR="00A23A23" w:rsidRPr="00A4536F" w:rsidRDefault="00A23A23" w:rsidP="00A23A23">
            <w:pPr>
              <w:spacing w:before="0" w:after="120"/>
              <w:rPr>
                <w:rFonts w:cs="Calibri"/>
                <w:color w:val="auto"/>
                <w:szCs w:val="18"/>
              </w:rPr>
            </w:pPr>
            <w:r w:rsidRPr="00A4536F">
              <w:rPr>
                <w:rFonts w:eastAsia="Times New Roman" w:cs="Calibri"/>
                <w:b w:val="0"/>
                <w:bCs w:val="0"/>
                <w:color w:val="auto"/>
                <w:szCs w:val="18"/>
                <w:lang w:eastAsia="zh-TW"/>
              </w:rPr>
              <w:t xml:space="preserve">Christopher </w:t>
            </w:r>
            <w:proofErr w:type="spellStart"/>
            <w:r w:rsidRPr="00A4536F">
              <w:rPr>
                <w:rFonts w:eastAsia="Times New Roman" w:cs="Calibri"/>
                <w:b w:val="0"/>
                <w:bCs w:val="0"/>
                <w:color w:val="auto"/>
                <w:szCs w:val="18"/>
                <w:lang w:eastAsia="zh-TW"/>
              </w:rPr>
              <w:t>Achilo</w:t>
            </w:r>
            <w:proofErr w:type="spellEnd"/>
          </w:p>
        </w:tc>
        <w:tc>
          <w:tcPr>
            <w:tcW w:w="945" w:type="dxa"/>
          </w:tcPr>
          <w:p w14:paraId="63CEDD19"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120503F1"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6574F1B1"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5268F58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 xml:space="preserve">Project Officer </w:t>
            </w:r>
          </w:p>
        </w:tc>
      </w:tr>
      <w:tr w:rsidR="00A23A23" w:rsidRPr="00A4536F" w14:paraId="2C4EA0EF"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61F4A5E4" w14:textId="77777777" w:rsidR="00A23A23" w:rsidRPr="00A4536F" w:rsidRDefault="00A23A23" w:rsidP="00A23A23">
            <w:pPr>
              <w:spacing w:before="0" w:after="120"/>
              <w:rPr>
                <w:rFonts w:cs="Calibri"/>
                <w:color w:val="auto"/>
                <w:szCs w:val="18"/>
              </w:rPr>
            </w:pPr>
            <w:r w:rsidRPr="00A4536F">
              <w:rPr>
                <w:rFonts w:eastAsia="Times New Roman" w:cs="Calibri"/>
                <w:b w:val="0"/>
                <w:bCs w:val="0"/>
                <w:color w:val="auto"/>
                <w:szCs w:val="18"/>
                <w:lang w:eastAsia="zh-TW"/>
              </w:rPr>
              <w:t xml:space="preserve">Quinter </w:t>
            </w:r>
            <w:proofErr w:type="spellStart"/>
            <w:r w:rsidRPr="00A4536F">
              <w:rPr>
                <w:rFonts w:eastAsia="Times New Roman" w:cs="Calibri"/>
                <w:b w:val="0"/>
                <w:bCs w:val="0"/>
                <w:color w:val="auto"/>
                <w:szCs w:val="18"/>
                <w:lang w:eastAsia="zh-TW"/>
              </w:rPr>
              <w:t>Long'or</w:t>
            </w:r>
            <w:proofErr w:type="spellEnd"/>
          </w:p>
        </w:tc>
        <w:tc>
          <w:tcPr>
            <w:tcW w:w="945" w:type="dxa"/>
          </w:tcPr>
          <w:p w14:paraId="018D1404"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1C459E6B"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35DB34DB"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35878D90"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Project Officer</w:t>
            </w:r>
          </w:p>
        </w:tc>
      </w:tr>
      <w:tr w:rsidR="00A23A23" w:rsidRPr="00A4536F" w14:paraId="6AD9BE4F"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5F80BF92" w14:textId="77777777" w:rsidR="00A23A23" w:rsidRPr="00A4536F" w:rsidRDefault="00A23A23" w:rsidP="00A23A23">
            <w:pPr>
              <w:spacing w:before="0" w:after="120"/>
              <w:rPr>
                <w:rFonts w:cs="Calibri"/>
                <w:color w:val="auto"/>
                <w:szCs w:val="18"/>
              </w:rPr>
            </w:pPr>
            <w:proofErr w:type="spellStart"/>
            <w:r w:rsidRPr="00A4536F">
              <w:rPr>
                <w:rFonts w:eastAsia="Times New Roman" w:cs="Calibri"/>
                <w:b w:val="0"/>
                <w:bCs w:val="0"/>
                <w:color w:val="auto"/>
                <w:szCs w:val="18"/>
                <w:lang w:eastAsia="zh-TW"/>
              </w:rPr>
              <w:t>Mohhamed</w:t>
            </w:r>
            <w:proofErr w:type="spellEnd"/>
            <w:r w:rsidRPr="00A4536F">
              <w:rPr>
                <w:rFonts w:eastAsia="Times New Roman" w:cs="Calibri"/>
                <w:b w:val="0"/>
                <w:bCs w:val="0"/>
                <w:color w:val="auto"/>
                <w:szCs w:val="18"/>
                <w:lang w:eastAsia="zh-TW"/>
              </w:rPr>
              <w:t xml:space="preserve"> Yusuf</w:t>
            </w:r>
          </w:p>
        </w:tc>
        <w:tc>
          <w:tcPr>
            <w:tcW w:w="945" w:type="dxa"/>
          </w:tcPr>
          <w:p w14:paraId="69424091"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2DB3F689"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6C05A2E9"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2F47A6E0"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Project Officer</w:t>
            </w:r>
          </w:p>
        </w:tc>
      </w:tr>
      <w:tr w:rsidR="00A23A23" w:rsidRPr="00A4536F" w14:paraId="4DEA87DB"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3E66BBDC" w14:textId="77777777" w:rsidR="00A23A23" w:rsidRPr="00A4536F" w:rsidRDefault="00A23A23" w:rsidP="00A23A23">
            <w:pPr>
              <w:spacing w:before="0" w:after="120"/>
              <w:rPr>
                <w:rFonts w:cs="Calibri"/>
                <w:color w:val="auto"/>
                <w:szCs w:val="18"/>
              </w:rPr>
            </w:pPr>
            <w:proofErr w:type="spellStart"/>
            <w:r w:rsidRPr="00A4536F">
              <w:rPr>
                <w:rFonts w:eastAsia="Times New Roman" w:cs="Calibri"/>
                <w:b w:val="0"/>
                <w:bCs w:val="0"/>
                <w:color w:val="auto"/>
                <w:szCs w:val="18"/>
                <w:lang w:eastAsia="zh-TW"/>
              </w:rPr>
              <w:t>Samwel</w:t>
            </w:r>
            <w:proofErr w:type="spellEnd"/>
            <w:r w:rsidRPr="00A4536F">
              <w:rPr>
                <w:rFonts w:eastAsia="Times New Roman" w:cs="Calibri"/>
                <w:b w:val="0"/>
                <w:bCs w:val="0"/>
                <w:color w:val="auto"/>
                <w:szCs w:val="18"/>
                <w:lang w:eastAsia="zh-TW"/>
              </w:rPr>
              <w:t xml:space="preserve"> </w:t>
            </w:r>
            <w:proofErr w:type="spellStart"/>
            <w:r w:rsidRPr="00A4536F">
              <w:rPr>
                <w:rFonts w:eastAsia="Times New Roman" w:cs="Calibri"/>
                <w:b w:val="0"/>
                <w:bCs w:val="0"/>
                <w:color w:val="auto"/>
                <w:szCs w:val="18"/>
                <w:lang w:eastAsia="zh-TW"/>
              </w:rPr>
              <w:t>Engor</w:t>
            </w:r>
            <w:proofErr w:type="spellEnd"/>
            <w:r w:rsidRPr="00A4536F">
              <w:rPr>
                <w:rFonts w:eastAsia="Times New Roman" w:cs="Calibri"/>
                <w:b w:val="0"/>
                <w:bCs w:val="0"/>
                <w:color w:val="auto"/>
                <w:szCs w:val="18"/>
                <w:lang w:eastAsia="zh-TW"/>
              </w:rPr>
              <w:t xml:space="preserve"> </w:t>
            </w:r>
            <w:proofErr w:type="spellStart"/>
            <w:r w:rsidRPr="00A4536F">
              <w:rPr>
                <w:rFonts w:eastAsia="Times New Roman" w:cs="Calibri"/>
                <w:b w:val="0"/>
                <w:bCs w:val="0"/>
                <w:color w:val="auto"/>
                <w:szCs w:val="18"/>
                <w:lang w:eastAsia="zh-TW"/>
              </w:rPr>
              <w:t>Esuguru</w:t>
            </w:r>
            <w:proofErr w:type="spellEnd"/>
          </w:p>
        </w:tc>
        <w:tc>
          <w:tcPr>
            <w:tcW w:w="945" w:type="dxa"/>
          </w:tcPr>
          <w:p w14:paraId="0641B4C7"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21C0DF35"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7F3FAE7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491536F7"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Logistics</w:t>
            </w:r>
          </w:p>
        </w:tc>
      </w:tr>
      <w:tr w:rsidR="00A23A23" w:rsidRPr="00A4536F" w14:paraId="3044D2D6"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396ACC81" w14:textId="77777777" w:rsidR="00A23A23" w:rsidRPr="00A4536F" w:rsidRDefault="00A23A23" w:rsidP="00A23A23">
            <w:pPr>
              <w:spacing w:before="0" w:after="120"/>
              <w:rPr>
                <w:rFonts w:eastAsia="Times New Roman" w:cs="Calibri"/>
                <w:color w:val="auto"/>
                <w:szCs w:val="18"/>
                <w:lang w:eastAsia="zh-TW"/>
              </w:rPr>
            </w:pPr>
            <w:r w:rsidRPr="00A4536F">
              <w:rPr>
                <w:rFonts w:eastAsia="Times New Roman" w:cs="Calibri"/>
                <w:b w:val="0"/>
                <w:bCs w:val="0"/>
                <w:color w:val="auto"/>
                <w:szCs w:val="18"/>
                <w:lang w:eastAsia="zh-TW"/>
              </w:rPr>
              <w:t xml:space="preserve">Shadrack </w:t>
            </w:r>
            <w:proofErr w:type="spellStart"/>
            <w:r w:rsidRPr="00A4536F">
              <w:rPr>
                <w:rFonts w:eastAsia="Times New Roman" w:cs="Calibri"/>
                <w:b w:val="0"/>
                <w:bCs w:val="0"/>
                <w:color w:val="auto"/>
                <w:szCs w:val="18"/>
                <w:lang w:eastAsia="zh-TW"/>
              </w:rPr>
              <w:t>Ikai</w:t>
            </w:r>
            <w:proofErr w:type="spellEnd"/>
          </w:p>
        </w:tc>
        <w:tc>
          <w:tcPr>
            <w:tcW w:w="945" w:type="dxa"/>
          </w:tcPr>
          <w:p w14:paraId="51343293"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5A8516B4"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3EC4E769"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22EE6FD4"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 xml:space="preserve">MEAL </w:t>
            </w:r>
          </w:p>
        </w:tc>
      </w:tr>
      <w:tr w:rsidR="00A23A23" w:rsidRPr="00A4536F" w14:paraId="0648D6B1"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5B5925C5" w14:textId="77777777" w:rsidR="00A23A23" w:rsidRPr="00A4536F" w:rsidRDefault="00A23A23" w:rsidP="00A23A23">
            <w:pPr>
              <w:spacing w:before="0" w:after="120"/>
              <w:rPr>
                <w:rFonts w:eastAsia="Times New Roman" w:cs="Calibri"/>
                <w:color w:val="auto"/>
                <w:szCs w:val="18"/>
                <w:lang w:eastAsia="zh-TW"/>
              </w:rPr>
            </w:pPr>
            <w:r w:rsidRPr="00A4536F">
              <w:rPr>
                <w:rFonts w:eastAsia="Times New Roman" w:cs="Calibri"/>
                <w:b w:val="0"/>
                <w:bCs w:val="0"/>
                <w:color w:val="auto"/>
                <w:szCs w:val="18"/>
                <w:lang w:eastAsia="zh-TW"/>
              </w:rPr>
              <w:t xml:space="preserve">Roselyn </w:t>
            </w:r>
            <w:proofErr w:type="spellStart"/>
            <w:r w:rsidRPr="00A4536F">
              <w:rPr>
                <w:rFonts w:eastAsia="Times New Roman" w:cs="Calibri"/>
                <w:b w:val="0"/>
                <w:bCs w:val="0"/>
                <w:color w:val="auto"/>
                <w:szCs w:val="18"/>
                <w:lang w:eastAsia="zh-TW"/>
              </w:rPr>
              <w:t>Ekidor</w:t>
            </w:r>
            <w:proofErr w:type="spellEnd"/>
          </w:p>
        </w:tc>
        <w:tc>
          <w:tcPr>
            <w:tcW w:w="945" w:type="dxa"/>
          </w:tcPr>
          <w:p w14:paraId="060AE21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F</w:t>
            </w:r>
          </w:p>
        </w:tc>
        <w:tc>
          <w:tcPr>
            <w:tcW w:w="1518" w:type="dxa"/>
          </w:tcPr>
          <w:p w14:paraId="6A9058EE"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3EB094BA"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17467D7D"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H/Resource</w:t>
            </w:r>
          </w:p>
        </w:tc>
      </w:tr>
      <w:tr w:rsidR="00A23A23" w:rsidRPr="00A4536F" w14:paraId="53FB8AF1"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3360F335" w14:textId="77777777" w:rsidR="00A23A23" w:rsidRPr="00A4536F" w:rsidRDefault="00A23A23" w:rsidP="00A23A23">
            <w:pPr>
              <w:spacing w:before="0" w:after="120"/>
              <w:rPr>
                <w:rFonts w:eastAsia="Times New Roman" w:cs="Calibri"/>
                <w:color w:val="auto"/>
                <w:szCs w:val="18"/>
                <w:lang w:eastAsia="zh-TW"/>
              </w:rPr>
            </w:pPr>
            <w:r w:rsidRPr="00A4536F">
              <w:rPr>
                <w:rFonts w:eastAsia="Times New Roman" w:cs="Calibri"/>
                <w:b w:val="0"/>
                <w:bCs w:val="0"/>
                <w:color w:val="auto"/>
                <w:szCs w:val="18"/>
                <w:lang w:eastAsia="zh-TW"/>
              </w:rPr>
              <w:t xml:space="preserve">Festus </w:t>
            </w:r>
            <w:proofErr w:type="spellStart"/>
            <w:r w:rsidRPr="00A4536F">
              <w:rPr>
                <w:rFonts w:eastAsia="Times New Roman" w:cs="Calibri"/>
                <w:b w:val="0"/>
                <w:bCs w:val="0"/>
                <w:color w:val="auto"/>
                <w:szCs w:val="18"/>
                <w:lang w:eastAsia="zh-TW"/>
              </w:rPr>
              <w:t>Legum</w:t>
            </w:r>
            <w:proofErr w:type="spellEnd"/>
          </w:p>
        </w:tc>
        <w:tc>
          <w:tcPr>
            <w:tcW w:w="945" w:type="dxa"/>
          </w:tcPr>
          <w:p w14:paraId="295F06DB"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3D96C7CA"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5C7B6E1E"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063C57A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Project Officer</w:t>
            </w:r>
          </w:p>
        </w:tc>
      </w:tr>
      <w:tr w:rsidR="00A23A23" w:rsidRPr="00A4536F" w14:paraId="044A67B5" w14:textId="77777777" w:rsidTr="00A23A23">
        <w:trPr>
          <w:trHeight w:val="454"/>
        </w:trPr>
        <w:tc>
          <w:tcPr>
            <w:cnfStyle w:val="001000000000" w:firstRow="0" w:lastRow="0" w:firstColumn="1" w:lastColumn="0" w:oddVBand="0" w:evenVBand="0" w:oddHBand="0" w:evenHBand="0" w:firstRowFirstColumn="0" w:firstRowLastColumn="0" w:lastRowFirstColumn="0" w:lastRowLastColumn="0"/>
            <w:tcW w:w="2089" w:type="dxa"/>
          </w:tcPr>
          <w:p w14:paraId="740E2141" w14:textId="77777777" w:rsidR="00A23A23" w:rsidRPr="00A4536F" w:rsidRDefault="00A23A23" w:rsidP="00A23A23">
            <w:pPr>
              <w:spacing w:before="0" w:after="120"/>
              <w:rPr>
                <w:rFonts w:eastAsia="Times New Roman" w:cs="Calibri"/>
                <w:color w:val="auto"/>
                <w:szCs w:val="18"/>
                <w:lang w:eastAsia="zh-TW"/>
              </w:rPr>
            </w:pPr>
            <w:r w:rsidRPr="00A4536F">
              <w:rPr>
                <w:rFonts w:eastAsia="Times New Roman" w:cs="Calibri"/>
                <w:b w:val="0"/>
                <w:bCs w:val="0"/>
                <w:color w:val="auto"/>
                <w:szCs w:val="18"/>
                <w:lang w:eastAsia="zh-TW"/>
              </w:rPr>
              <w:t xml:space="preserve">Kennedy </w:t>
            </w:r>
            <w:proofErr w:type="spellStart"/>
            <w:r w:rsidRPr="00A4536F">
              <w:rPr>
                <w:rFonts w:eastAsia="Times New Roman" w:cs="Calibri"/>
                <w:b w:val="0"/>
                <w:bCs w:val="0"/>
                <w:color w:val="auto"/>
                <w:szCs w:val="18"/>
                <w:lang w:eastAsia="zh-TW"/>
              </w:rPr>
              <w:t>Omollo</w:t>
            </w:r>
            <w:proofErr w:type="spellEnd"/>
          </w:p>
        </w:tc>
        <w:tc>
          <w:tcPr>
            <w:tcW w:w="945" w:type="dxa"/>
          </w:tcPr>
          <w:p w14:paraId="5D1EB56B"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M</w:t>
            </w:r>
          </w:p>
        </w:tc>
        <w:tc>
          <w:tcPr>
            <w:tcW w:w="1518" w:type="dxa"/>
          </w:tcPr>
          <w:p w14:paraId="7E22BEFB"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TUPADO</w:t>
            </w:r>
          </w:p>
        </w:tc>
        <w:tc>
          <w:tcPr>
            <w:tcW w:w="2694" w:type="dxa"/>
          </w:tcPr>
          <w:p w14:paraId="16059FB8"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rPr>
            </w:pPr>
            <w:r w:rsidRPr="00A4536F">
              <w:rPr>
                <w:rFonts w:eastAsia="Times New Roman" w:cs="Calibri"/>
                <w:color w:val="auto"/>
                <w:szCs w:val="18"/>
              </w:rPr>
              <w:t>Turkana</w:t>
            </w:r>
          </w:p>
        </w:tc>
        <w:tc>
          <w:tcPr>
            <w:tcW w:w="1771" w:type="dxa"/>
          </w:tcPr>
          <w:p w14:paraId="70CD051F" w14:textId="77777777" w:rsidR="00A23A23" w:rsidRPr="00A4536F" w:rsidRDefault="00A23A23" w:rsidP="00A23A23">
            <w:pPr>
              <w:spacing w:before="0" w:after="120"/>
              <w:cnfStyle w:val="000000000000" w:firstRow="0" w:lastRow="0" w:firstColumn="0" w:lastColumn="0" w:oddVBand="0" w:evenVBand="0" w:oddHBand="0" w:evenHBand="0" w:firstRowFirstColumn="0" w:firstRowLastColumn="0" w:lastRowFirstColumn="0" w:lastRowLastColumn="0"/>
              <w:rPr>
                <w:rFonts w:cs="Calibri"/>
                <w:color w:val="auto"/>
                <w:szCs w:val="18"/>
              </w:rPr>
            </w:pPr>
            <w:r w:rsidRPr="00A4536F">
              <w:rPr>
                <w:rFonts w:eastAsia="Times New Roman" w:cs="Calibri"/>
                <w:color w:val="auto"/>
                <w:szCs w:val="18"/>
                <w:lang w:eastAsia="zh-TW"/>
              </w:rPr>
              <w:t>Communications officer</w:t>
            </w:r>
          </w:p>
        </w:tc>
      </w:tr>
    </w:tbl>
    <w:p w14:paraId="0760AE98" w14:textId="77777777" w:rsidR="00315466" w:rsidRPr="00A4536F" w:rsidRDefault="001D4E15">
      <w:pPr>
        <w:spacing w:before="0" w:after="120"/>
        <w:rPr>
          <w:rFonts w:cs="Calibri"/>
          <w:b/>
          <w:bCs/>
          <w:color w:val="auto"/>
          <w:szCs w:val="18"/>
        </w:rPr>
      </w:pPr>
      <w:r w:rsidRPr="00A4536F">
        <w:rPr>
          <w:rFonts w:cs="Calibri"/>
          <w:b/>
          <w:bCs/>
          <w:color w:val="auto"/>
          <w:szCs w:val="18"/>
        </w:rPr>
        <w:br w:type="page"/>
      </w:r>
    </w:p>
    <w:p w14:paraId="23169FC3" w14:textId="77777777" w:rsidR="00315466" w:rsidRPr="00A4536F" w:rsidRDefault="001D4E15">
      <w:pPr>
        <w:spacing w:before="0" w:after="120"/>
        <w:rPr>
          <w:rFonts w:cs="Calibri"/>
          <w:b/>
          <w:bCs/>
          <w:color w:val="auto"/>
          <w:szCs w:val="18"/>
        </w:rPr>
      </w:pPr>
      <w:r w:rsidRPr="00A4536F">
        <w:rPr>
          <w:rFonts w:cs="Calibri"/>
          <w:b/>
          <w:bCs/>
          <w:color w:val="auto"/>
          <w:szCs w:val="18"/>
        </w:rPr>
        <w:lastRenderedPageBreak/>
        <w:t>Key Informant Interview respondents - Ethiopia</w:t>
      </w:r>
    </w:p>
    <w:tbl>
      <w:tblPr>
        <w:tblStyle w:val="GridTable4-Accent12"/>
        <w:tblW w:w="9209" w:type="dxa"/>
        <w:tblLook w:val="04A0" w:firstRow="1" w:lastRow="0" w:firstColumn="1" w:lastColumn="0" w:noHBand="0" w:noVBand="1"/>
      </w:tblPr>
      <w:tblGrid>
        <w:gridCol w:w="1662"/>
        <w:gridCol w:w="1187"/>
        <w:gridCol w:w="1151"/>
        <w:gridCol w:w="1352"/>
        <w:gridCol w:w="3857"/>
      </w:tblGrid>
      <w:tr w:rsidR="00090EFB" w:rsidRPr="00A4536F" w14:paraId="04C346BA" w14:textId="77777777" w:rsidTr="006C2FD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35FBCB91" w14:textId="77777777" w:rsidR="00315466" w:rsidRPr="00A4536F" w:rsidRDefault="001D4E15">
            <w:pPr>
              <w:spacing w:before="0" w:after="120"/>
              <w:rPr>
                <w:rFonts w:eastAsia="Times New Roman" w:cs="Calibri"/>
                <w:b w:val="0"/>
                <w:bCs w:val="0"/>
                <w:color w:val="auto"/>
                <w:szCs w:val="18"/>
                <w:lang w:eastAsia="en-GB"/>
              </w:rPr>
            </w:pPr>
            <w:r w:rsidRPr="00A4536F">
              <w:rPr>
                <w:rFonts w:eastAsia="Times New Roman" w:cs="Calibri"/>
                <w:color w:val="auto"/>
                <w:szCs w:val="18"/>
                <w:lang w:eastAsia="en-GB"/>
              </w:rPr>
              <w:t>Name</w:t>
            </w:r>
          </w:p>
        </w:tc>
        <w:tc>
          <w:tcPr>
            <w:tcW w:w="0" w:type="dxa"/>
            <w:shd w:val="clear" w:color="auto" w:fill="FFFFFF" w:themeFill="background1"/>
          </w:tcPr>
          <w:p w14:paraId="17BD3758" w14:textId="77777777" w:rsidR="00315466" w:rsidRPr="00A4536F" w:rsidRDefault="001D4E15">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Cs w:val="18"/>
                <w:lang w:eastAsia="en-GB"/>
              </w:rPr>
            </w:pPr>
            <w:r w:rsidRPr="00A4536F">
              <w:rPr>
                <w:rFonts w:eastAsia="Times New Roman" w:cs="Calibri"/>
                <w:color w:val="auto"/>
                <w:szCs w:val="18"/>
                <w:lang w:eastAsia="en-GB"/>
              </w:rPr>
              <w:t>Gender</w:t>
            </w:r>
          </w:p>
        </w:tc>
        <w:tc>
          <w:tcPr>
            <w:tcW w:w="0" w:type="dxa"/>
            <w:shd w:val="clear" w:color="auto" w:fill="FFFFFF" w:themeFill="background1"/>
            <w:noWrap/>
          </w:tcPr>
          <w:p w14:paraId="5100F140" w14:textId="77777777" w:rsidR="00315466" w:rsidRPr="00A4536F" w:rsidRDefault="001D4E15">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Cs w:val="18"/>
                <w:lang w:eastAsia="en-GB"/>
              </w:rPr>
            </w:pPr>
            <w:r w:rsidRPr="00A4536F">
              <w:rPr>
                <w:rFonts w:eastAsia="Times New Roman" w:cs="Calibri"/>
                <w:color w:val="auto"/>
                <w:szCs w:val="18"/>
                <w:lang w:eastAsia="en-GB"/>
              </w:rPr>
              <w:t>Region</w:t>
            </w:r>
          </w:p>
        </w:tc>
        <w:tc>
          <w:tcPr>
            <w:tcW w:w="0" w:type="dxa"/>
            <w:shd w:val="clear" w:color="auto" w:fill="FFFFFF" w:themeFill="background1"/>
            <w:noWrap/>
          </w:tcPr>
          <w:p w14:paraId="2C340CA0" w14:textId="77777777" w:rsidR="00315466" w:rsidRPr="00A4536F" w:rsidRDefault="001D4E15">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Cs w:val="18"/>
                <w:lang w:eastAsia="en-GB"/>
              </w:rPr>
            </w:pPr>
            <w:r w:rsidRPr="00A4536F">
              <w:rPr>
                <w:rFonts w:eastAsia="Times New Roman" w:cs="Calibri"/>
                <w:color w:val="auto"/>
                <w:szCs w:val="18"/>
                <w:lang w:eastAsia="en-GB"/>
              </w:rPr>
              <w:t>Location</w:t>
            </w:r>
          </w:p>
        </w:tc>
        <w:tc>
          <w:tcPr>
            <w:tcW w:w="3070" w:type="dxa"/>
            <w:shd w:val="clear" w:color="auto" w:fill="FFFFFF" w:themeFill="background1"/>
          </w:tcPr>
          <w:p w14:paraId="63D530F0" w14:textId="77777777" w:rsidR="00315466" w:rsidRPr="00A4536F" w:rsidRDefault="001D4E15">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Cs w:val="18"/>
                <w:lang w:eastAsia="en-GB"/>
              </w:rPr>
            </w:pPr>
            <w:r w:rsidRPr="00A4536F">
              <w:rPr>
                <w:rFonts w:eastAsia="Times New Roman" w:cs="Calibri"/>
                <w:color w:val="auto"/>
                <w:szCs w:val="18"/>
                <w:lang w:eastAsia="en-GB"/>
              </w:rPr>
              <w:t>Position</w:t>
            </w:r>
          </w:p>
        </w:tc>
      </w:tr>
      <w:tr w:rsidR="00090EFB" w:rsidRPr="00A4536F" w14:paraId="2E861DAB" w14:textId="77777777" w:rsidTr="00315466">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527CF163" w14:textId="77777777" w:rsidR="00315466" w:rsidRPr="00A4536F" w:rsidRDefault="001D4E15">
            <w:pPr>
              <w:spacing w:before="0" w:after="120"/>
              <w:rPr>
                <w:rFonts w:eastAsia="Times New Roman" w:cs="Calibri"/>
                <w:b w:val="0"/>
                <w:bCs w:val="0"/>
                <w:color w:val="auto"/>
                <w:szCs w:val="18"/>
                <w:lang w:eastAsia="en-GB"/>
              </w:rPr>
            </w:pPr>
            <w:r w:rsidRPr="00A4536F">
              <w:rPr>
                <w:rFonts w:eastAsia="Times New Roman" w:cs="Calibri"/>
                <w:color w:val="auto"/>
                <w:szCs w:val="18"/>
                <w:lang w:eastAsia="en-GB"/>
              </w:rPr>
              <w:t xml:space="preserve">Bashir </w:t>
            </w:r>
            <w:proofErr w:type="spellStart"/>
            <w:r w:rsidRPr="00A4536F">
              <w:rPr>
                <w:rFonts w:eastAsia="Times New Roman" w:cs="Calibri"/>
                <w:color w:val="auto"/>
                <w:szCs w:val="18"/>
                <w:lang w:eastAsia="en-GB"/>
              </w:rPr>
              <w:t>Hussien</w:t>
            </w:r>
            <w:proofErr w:type="spellEnd"/>
            <w:r w:rsidRPr="00A4536F">
              <w:rPr>
                <w:rFonts w:eastAsia="Times New Roman" w:cs="Calibri"/>
                <w:color w:val="auto"/>
                <w:szCs w:val="18"/>
                <w:lang w:eastAsia="en-GB"/>
              </w:rPr>
              <w:t xml:space="preserve"> </w:t>
            </w:r>
          </w:p>
        </w:tc>
        <w:tc>
          <w:tcPr>
            <w:tcW w:w="0" w:type="dxa"/>
          </w:tcPr>
          <w:p w14:paraId="1E453610"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M</w:t>
            </w:r>
          </w:p>
        </w:tc>
        <w:tc>
          <w:tcPr>
            <w:tcW w:w="0" w:type="dxa"/>
            <w:noWrap/>
          </w:tcPr>
          <w:p w14:paraId="6037C82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Somali</w:t>
            </w:r>
          </w:p>
        </w:tc>
        <w:tc>
          <w:tcPr>
            <w:tcW w:w="0" w:type="dxa"/>
            <w:noWrap/>
          </w:tcPr>
          <w:p w14:paraId="5706267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proofErr w:type="spellStart"/>
            <w:r w:rsidRPr="00A4536F">
              <w:rPr>
                <w:rFonts w:eastAsia="Times New Roman" w:cs="Calibri"/>
                <w:color w:val="auto"/>
                <w:szCs w:val="18"/>
                <w:lang w:eastAsia="en-GB"/>
              </w:rPr>
              <w:t>Jigjiga</w:t>
            </w:r>
            <w:proofErr w:type="spellEnd"/>
          </w:p>
        </w:tc>
        <w:tc>
          <w:tcPr>
            <w:tcW w:w="3070" w:type="dxa"/>
          </w:tcPr>
          <w:p w14:paraId="21FE2960"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Deputy Head of Disaster Prevention and Preparedness Bureau</w:t>
            </w:r>
          </w:p>
        </w:tc>
      </w:tr>
      <w:tr w:rsidR="00090EFB" w:rsidRPr="00A4536F" w14:paraId="14037AC7" w14:textId="77777777" w:rsidTr="00315466">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6A2D0222" w14:textId="77777777" w:rsidR="00315466" w:rsidRPr="00A4536F" w:rsidRDefault="001D4E15">
            <w:pPr>
              <w:spacing w:before="0" w:after="120"/>
              <w:rPr>
                <w:rFonts w:eastAsia="Times New Roman" w:cs="Calibri"/>
                <w:b w:val="0"/>
                <w:bCs w:val="0"/>
                <w:color w:val="auto"/>
                <w:szCs w:val="18"/>
                <w:lang w:eastAsia="en-GB"/>
              </w:rPr>
            </w:pPr>
            <w:r w:rsidRPr="00A4536F">
              <w:rPr>
                <w:rFonts w:eastAsia="Times New Roman" w:cs="Calibri"/>
                <w:color w:val="auto"/>
                <w:szCs w:val="18"/>
                <w:lang w:eastAsia="en-GB"/>
              </w:rPr>
              <w:t xml:space="preserve">Ahmed </w:t>
            </w:r>
            <w:proofErr w:type="spellStart"/>
            <w:r w:rsidRPr="00A4536F">
              <w:rPr>
                <w:rFonts w:eastAsia="Times New Roman" w:cs="Calibri"/>
                <w:color w:val="auto"/>
                <w:szCs w:val="18"/>
                <w:lang w:eastAsia="en-GB"/>
              </w:rPr>
              <w:t>Soam</w:t>
            </w:r>
            <w:proofErr w:type="spellEnd"/>
            <w:r w:rsidRPr="00A4536F">
              <w:rPr>
                <w:rFonts w:eastAsia="Times New Roman" w:cs="Calibri"/>
                <w:color w:val="auto"/>
                <w:szCs w:val="18"/>
                <w:lang w:eastAsia="en-GB"/>
              </w:rPr>
              <w:t xml:space="preserve"> </w:t>
            </w:r>
          </w:p>
        </w:tc>
        <w:tc>
          <w:tcPr>
            <w:tcW w:w="0" w:type="dxa"/>
          </w:tcPr>
          <w:p w14:paraId="5BB7CA7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M</w:t>
            </w:r>
          </w:p>
        </w:tc>
        <w:tc>
          <w:tcPr>
            <w:tcW w:w="0" w:type="dxa"/>
            <w:noWrap/>
          </w:tcPr>
          <w:p w14:paraId="34DEF13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Somali</w:t>
            </w:r>
          </w:p>
        </w:tc>
        <w:tc>
          <w:tcPr>
            <w:tcW w:w="0" w:type="dxa"/>
            <w:noWrap/>
          </w:tcPr>
          <w:p w14:paraId="67D9082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proofErr w:type="spellStart"/>
            <w:r w:rsidRPr="00A4536F">
              <w:rPr>
                <w:rFonts w:eastAsia="Times New Roman" w:cs="Calibri"/>
                <w:color w:val="auto"/>
                <w:szCs w:val="18"/>
                <w:lang w:eastAsia="en-GB"/>
              </w:rPr>
              <w:t>Jigjiga</w:t>
            </w:r>
            <w:proofErr w:type="spellEnd"/>
          </w:p>
        </w:tc>
        <w:tc>
          <w:tcPr>
            <w:tcW w:w="3070" w:type="dxa"/>
          </w:tcPr>
          <w:p w14:paraId="0C1B727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NGOs coordinator, Somali Region Health Bureau</w:t>
            </w:r>
          </w:p>
        </w:tc>
      </w:tr>
      <w:tr w:rsidR="00090EFB" w:rsidRPr="00A4536F" w14:paraId="748EC449" w14:textId="77777777" w:rsidTr="00315466">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6489F091" w14:textId="77777777" w:rsidR="00315466" w:rsidRPr="00A4536F" w:rsidRDefault="001D4E15">
            <w:pPr>
              <w:spacing w:before="0" w:after="120"/>
              <w:rPr>
                <w:rFonts w:eastAsia="Times New Roman" w:cs="Calibri"/>
                <w:b w:val="0"/>
                <w:bCs w:val="0"/>
                <w:color w:val="auto"/>
                <w:szCs w:val="18"/>
                <w:lang w:eastAsia="en-GB"/>
              </w:rPr>
            </w:pPr>
            <w:r w:rsidRPr="00A4536F">
              <w:rPr>
                <w:rFonts w:eastAsia="Times New Roman" w:cs="Calibri"/>
                <w:color w:val="auto"/>
                <w:szCs w:val="18"/>
                <w:lang w:eastAsia="en-GB"/>
              </w:rPr>
              <w:t xml:space="preserve">Habib </w:t>
            </w:r>
            <w:proofErr w:type="spellStart"/>
            <w:r w:rsidRPr="00A4536F">
              <w:rPr>
                <w:rFonts w:eastAsia="Times New Roman" w:cs="Calibri"/>
                <w:color w:val="auto"/>
                <w:szCs w:val="18"/>
                <w:lang w:eastAsia="en-GB"/>
              </w:rPr>
              <w:t>Seid</w:t>
            </w:r>
            <w:proofErr w:type="spellEnd"/>
            <w:r w:rsidRPr="00A4536F">
              <w:rPr>
                <w:rFonts w:eastAsia="Times New Roman" w:cs="Calibri"/>
                <w:color w:val="auto"/>
                <w:szCs w:val="18"/>
                <w:lang w:eastAsia="en-GB"/>
              </w:rPr>
              <w:t xml:space="preserve"> </w:t>
            </w:r>
          </w:p>
        </w:tc>
        <w:tc>
          <w:tcPr>
            <w:tcW w:w="0" w:type="dxa"/>
          </w:tcPr>
          <w:p w14:paraId="1ADEE76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F</w:t>
            </w:r>
          </w:p>
        </w:tc>
        <w:tc>
          <w:tcPr>
            <w:tcW w:w="0" w:type="dxa"/>
            <w:noWrap/>
          </w:tcPr>
          <w:p w14:paraId="7461515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Afar</w:t>
            </w:r>
          </w:p>
        </w:tc>
        <w:tc>
          <w:tcPr>
            <w:tcW w:w="0" w:type="dxa"/>
            <w:noWrap/>
          </w:tcPr>
          <w:p w14:paraId="547B0D90"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proofErr w:type="spellStart"/>
            <w:r w:rsidRPr="00A4536F">
              <w:rPr>
                <w:rFonts w:eastAsia="Times New Roman" w:cs="Calibri"/>
                <w:color w:val="auto"/>
                <w:szCs w:val="18"/>
                <w:lang w:eastAsia="en-GB"/>
              </w:rPr>
              <w:t>Semera</w:t>
            </w:r>
            <w:proofErr w:type="spellEnd"/>
          </w:p>
        </w:tc>
        <w:tc>
          <w:tcPr>
            <w:tcW w:w="3070" w:type="dxa"/>
          </w:tcPr>
          <w:p w14:paraId="0FC430BF"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Health Bureau</w:t>
            </w:r>
          </w:p>
        </w:tc>
      </w:tr>
      <w:tr w:rsidR="00090EFB" w:rsidRPr="00A4536F" w14:paraId="0E13BA22" w14:textId="77777777" w:rsidTr="00315466">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240D0780" w14:textId="77777777" w:rsidR="00315466" w:rsidRPr="00A4536F" w:rsidRDefault="001D4E15">
            <w:pPr>
              <w:spacing w:before="0" w:after="120"/>
              <w:rPr>
                <w:rFonts w:eastAsia="Times New Roman" w:cs="Calibri"/>
                <w:b w:val="0"/>
                <w:bCs w:val="0"/>
                <w:color w:val="auto"/>
                <w:szCs w:val="18"/>
                <w:lang w:eastAsia="en-GB"/>
              </w:rPr>
            </w:pPr>
            <w:proofErr w:type="spellStart"/>
            <w:r w:rsidRPr="00A4536F">
              <w:rPr>
                <w:rFonts w:eastAsia="Times New Roman" w:cs="Calibri"/>
                <w:color w:val="auto"/>
                <w:szCs w:val="18"/>
                <w:lang w:eastAsia="en-GB"/>
              </w:rPr>
              <w:t>Kedir</w:t>
            </w:r>
            <w:proofErr w:type="spellEnd"/>
            <w:r w:rsidRPr="00A4536F">
              <w:rPr>
                <w:rFonts w:eastAsia="Times New Roman" w:cs="Calibri"/>
                <w:color w:val="auto"/>
                <w:szCs w:val="18"/>
                <w:lang w:eastAsia="en-GB"/>
              </w:rPr>
              <w:t xml:space="preserve"> Ali </w:t>
            </w:r>
          </w:p>
        </w:tc>
        <w:tc>
          <w:tcPr>
            <w:tcW w:w="0" w:type="dxa"/>
          </w:tcPr>
          <w:p w14:paraId="22E5916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M</w:t>
            </w:r>
          </w:p>
        </w:tc>
        <w:tc>
          <w:tcPr>
            <w:tcW w:w="0" w:type="dxa"/>
            <w:noWrap/>
          </w:tcPr>
          <w:p w14:paraId="5C0785A3"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Afar</w:t>
            </w:r>
          </w:p>
        </w:tc>
        <w:tc>
          <w:tcPr>
            <w:tcW w:w="0" w:type="dxa"/>
            <w:noWrap/>
          </w:tcPr>
          <w:p w14:paraId="279EB60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proofErr w:type="spellStart"/>
            <w:r w:rsidRPr="00A4536F">
              <w:rPr>
                <w:rFonts w:eastAsia="Times New Roman" w:cs="Calibri"/>
                <w:color w:val="auto"/>
                <w:szCs w:val="18"/>
                <w:lang w:eastAsia="en-GB"/>
              </w:rPr>
              <w:t>Semera</w:t>
            </w:r>
            <w:proofErr w:type="spellEnd"/>
          </w:p>
        </w:tc>
        <w:tc>
          <w:tcPr>
            <w:tcW w:w="3070" w:type="dxa"/>
          </w:tcPr>
          <w:p w14:paraId="0EB9EF0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Nutrition Case Head, Disaster Risk Management Commission</w:t>
            </w:r>
          </w:p>
        </w:tc>
      </w:tr>
      <w:tr w:rsidR="00090EFB" w:rsidRPr="00A4536F" w14:paraId="25A61825" w14:textId="77777777" w:rsidTr="00315466">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25D874FB" w14:textId="77777777" w:rsidR="00315466" w:rsidRPr="00A4536F" w:rsidRDefault="001D4E15">
            <w:pPr>
              <w:spacing w:before="0" w:after="120"/>
              <w:rPr>
                <w:rFonts w:eastAsia="Times New Roman" w:cs="Calibri"/>
                <w:b w:val="0"/>
                <w:bCs w:val="0"/>
                <w:color w:val="auto"/>
                <w:szCs w:val="18"/>
                <w:lang w:eastAsia="en-GB"/>
              </w:rPr>
            </w:pPr>
            <w:r w:rsidRPr="00A4536F">
              <w:rPr>
                <w:rFonts w:eastAsia="Times New Roman" w:cs="Calibri"/>
                <w:color w:val="auto"/>
                <w:szCs w:val="18"/>
                <w:lang w:eastAsia="en-GB"/>
              </w:rPr>
              <w:t xml:space="preserve">Ephrem Abraha  </w:t>
            </w:r>
          </w:p>
        </w:tc>
        <w:tc>
          <w:tcPr>
            <w:tcW w:w="0" w:type="dxa"/>
          </w:tcPr>
          <w:p w14:paraId="7C0C97B9"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M</w:t>
            </w:r>
          </w:p>
        </w:tc>
        <w:tc>
          <w:tcPr>
            <w:tcW w:w="0" w:type="dxa"/>
            <w:noWrap/>
          </w:tcPr>
          <w:p w14:paraId="0A258C8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Tigray</w:t>
            </w:r>
          </w:p>
        </w:tc>
        <w:tc>
          <w:tcPr>
            <w:tcW w:w="0" w:type="dxa"/>
            <w:noWrap/>
          </w:tcPr>
          <w:p w14:paraId="5D8D7F8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proofErr w:type="spellStart"/>
            <w:r w:rsidRPr="00A4536F">
              <w:rPr>
                <w:rFonts w:eastAsia="Times New Roman" w:cs="Calibri"/>
                <w:color w:val="auto"/>
                <w:szCs w:val="18"/>
                <w:lang w:eastAsia="en-GB"/>
              </w:rPr>
              <w:t>Mekele</w:t>
            </w:r>
            <w:proofErr w:type="spellEnd"/>
          </w:p>
        </w:tc>
        <w:tc>
          <w:tcPr>
            <w:tcW w:w="3070" w:type="dxa"/>
          </w:tcPr>
          <w:p w14:paraId="1862E98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Financial Officer, cooperative agency</w:t>
            </w:r>
          </w:p>
        </w:tc>
      </w:tr>
      <w:tr w:rsidR="00090EFB" w:rsidRPr="00A4536F" w14:paraId="01B861E8" w14:textId="77777777" w:rsidTr="00315466">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6FF90214" w14:textId="77777777" w:rsidR="00315466" w:rsidRPr="00A4536F" w:rsidRDefault="001D4E15">
            <w:pPr>
              <w:spacing w:before="0" w:after="120"/>
              <w:rPr>
                <w:rFonts w:eastAsia="Times New Roman" w:cs="Calibri"/>
                <w:b w:val="0"/>
                <w:bCs w:val="0"/>
                <w:color w:val="auto"/>
                <w:szCs w:val="18"/>
                <w:lang w:eastAsia="en-GB"/>
              </w:rPr>
            </w:pPr>
            <w:proofErr w:type="spellStart"/>
            <w:r w:rsidRPr="00A4536F">
              <w:rPr>
                <w:rFonts w:eastAsia="Times New Roman" w:cs="Calibri"/>
                <w:color w:val="auto"/>
                <w:szCs w:val="18"/>
                <w:lang w:eastAsia="en-GB"/>
              </w:rPr>
              <w:t>Debela</w:t>
            </w:r>
            <w:proofErr w:type="spellEnd"/>
            <w:r w:rsidRPr="00A4536F">
              <w:rPr>
                <w:rFonts w:eastAsia="Times New Roman" w:cs="Calibri"/>
                <w:color w:val="auto"/>
                <w:szCs w:val="18"/>
                <w:lang w:eastAsia="en-GB"/>
              </w:rPr>
              <w:t xml:space="preserve"> </w:t>
            </w:r>
            <w:proofErr w:type="spellStart"/>
            <w:r w:rsidRPr="00A4536F">
              <w:rPr>
                <w:rFonts w:eastAsia="Times New Roman" w:cs="Calibri"/>
                <w:color w:val="auto"/>
                <w:szCs w:val="18"/>
                <w:lang w:eastAsia="en-GB"/>
              </w:rPr>
              <w:t>Etava</w:t>
            </w:r>
            <w:proofErr w:type="spellEnd"/>
            <w:r w:rsidRPr="00A4536F">
              <w:rPr>
                <w:rFonts w:eastAsia="Times New Roman" w:cs="Calibri"/>
                <w:color w:val="auto"/>
                <w:szCs w:val="18"/>
                <w:lang w:eastAsia="en-GB"/>
              </w:rPr>
              <w:t xml:space="preserve"> </w:t>
            </w:r>
          </w:p>
        </w:tc>
        <w:tc>
          <w:tcPr>
            <w:tcW w:w="0" w:type="dxa"/>
          </w:tcPr>
          <w:p w14:paraId="3ED1B3C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M</w:t>
            </w:r>
          </w:p>
        </w:tc>
        <w:tc>
          <w:tcPr>
            <w:tcW w:w="0" w:type="dxa"/>
            <w:noWrap/>
          </w:tcPr>
          <w:p w14:paraId="0DEA8C2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Oromia</w:t>
            </w:r>
          </w:p>
        </w:tc>
        <w:tc>
          <w:tcPr>
            <w:tcW w:w="0" w:type="dxa"/>
            <w:noWrap/>
          </w:tcPr>
          <w:p w14:paraId="7A10344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Addis Ababa</w:t>
            </w:r>
          </w:p>
        </w:tc>
        <w:tc>
          <w:tcPr>
            <w:tcW w:w="3070" w:type="dxa"/>
          </w:tcPr>
          <w:p w14:paraId="5AB2356C"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 xml:space="preserve">Director, Bosa </w:t>
            </w:r>
            <w:proofErr w:type="spellStart"/>
            <w:r w:rsidRPr="00A4536F">
              <w:rPr>
                <w:rFonts w:eastAsia="Times New Roman" w:cs="Calibri"/>
                <w:color w:val="auto"/>
                <w:szCs w:val="18"/>
                <w:lang w:eastAsia="en-GB"/>
              </w:rPr>
              <w:t>Gonfa</w:t>
            </w:r>
            <w:proofErr w:type="spellEnd"/>
            <w:r w:rsidRPr="00A4536F">
              <w:rPr>
                <w:rFonts w:eastAsia="Times New Roman" w:cs="Calibri"/>
                <w:color w:val="auto"/>
                <w:szCs w:val="18"/>
                <w:lang w:eastAsia="en-GB"/>
              </w:rPr>
              <w:t xml:space="preserve"> Oromia</w:t>
            </w:r>
          </w:p>
        </w:tc>
      </w:tr>
      <w:tr w:rsidR="00090EFB" w:rsidRPr="00A4536F" w14:paraId="0B2B9379" w14:textId="77777777" w:rsidTr="00315466">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1990A374" w14:textId="77777777" w:rsidR="00315466" w:rsidRPr="00A4536F" w:rsidRDefault="001D4E15">
            <w:pPr>
              <w:spacing w:before="0" w:after="120"/>
              <w:rPr>
                <w:rFonts w:eastAsia="Times New Roman" w:cs="Calibri"/>
                <w:b w:val="0"/>
                <w:bCs w:val="0"/>
                <w:color w:val="auto"/>
                <w:szCs w:val="18"/>
                <w:lang w:eastAsia="en-GB"/>
              </w:rPr>
            </w:pPr>
            <w:proofErr w:type="spellStart"/>
            <w:r w:rsidRPr="00A4536F">
              <w:rPr>
                <w:rFonts w:eastAsia="Times New Roman" w:cs="Calibri"/>
                <w:color w:val="auto"/>
                <w:szCs w:val="18"/>
                <w:lang w:eastAsia="en-GB"/>
              </w:rPr>
              <w:t>Nugusie</w:t>
            </w:r>
            <w:proofErr w:type="spellEnd"/>
            <w:r w:rsidRPr="00A4536F">
              <w:rPr>
                <w:rFonts w:eastAsia="Times New Roman" w:cs="Calibri"/>
                <w:color w:val="auto"/>
                <w:szCs w:val="18"/>
                <w:lang w:eastAsia="en-GB"/>
              </w:rPr>
              <w:t xml:space="preserve"> </w:t>
            </w:r>
            <w:proofErr w:type="spellStart"/>
            <w:r w:rsidRPr="00A4536F">
              <w:rPr>
                <w:rFonts w:eastAsia="Times New Roman" w:cs="Calibri"/>
                <w:color w:val="auto"/>
                <w:szCs w:val="18"/>
                <w:lang w:eastAsia="en-GB"/>
              </w:rPr>
              <w:t>Aynalem</w:t>
            </w:r>
            <w:proofErr w:type="spellEnd"/>
            <w:r w:rsidRPr="00A4536F">
              <w:rPr>
                <w:rFonts w:eastAsia="Times New Roman" w:cs="Calibri"/>
                <w:color w:val="auto"/>
                <w:szCs w:val="18"/>
                <w:lang w:eastAsia="en-GB"/>
              </w:rPr>
              <w:t xml:space="preserve"> </w:t>
            </w:r>
          </w:p>
        </w:tc>
        <w:tc>
          <w:tcPr>
            <w:tcW w:w="0" w:type="dxa"/>
          </w:tcPr>
          <w:p w14:paraId="5CDB460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M</w:t>
            </w:r>
          </w:p>
        </w:tc>
        <w:tc>
          <w:tcPr>
            <w:tcW w:w="0" w:type="dxa"/>
            <w:noWrap/>
          </w:tcPr>
          <w:p w14:paraId="631A3D74"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Tigray</w:t>
            </w:r>
          </w:p>
        </w:tc>
        <w:tc>
          <w:tcPr>
            <w:tcW w:w="0" w:type="dxa"/>
            <w:noWrap/>
          </w:tcPr>
          <w:p w14:paraId="00B46CD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proofErr w:type="spellStart"/>
            <w:r w:rsidRPr="00A4536F">
              <w:rPr>
                <w:rFonts w:eastAsia="Times New Roman" w:cs="Calibri"/>
                <w:color w:val="auto"/>
                <w:szCs w:val="18"/>
                <w:lang w:eastAsia="en-GB"/>
              </w:rPr>
              <w:t>Mekele</w:t>
            </w:r>
            <w:proofErr w:type="spellEnd"/>
          </w:p>
        </w:tc>
        <w:tc>
          <w:tcPr>
            <w:tcW w:w="3070" w:type="dxa"/>
          </w:tcPr>
          <w:p w14:paraId="24C0954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Early Warning Expert, DRMC</w:t>
            </w:r>
          </w:p>
        </w:tc>
      </w:tr>
      <w:tr w:rsidR="00090EFB" w:rsidRPr="00A4536F" w14:paraId="7C606D4D" w14:textId="77777777" w:rsidTr="00315466">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21C53D4C" w14:textId="77777777" w:rsidR="00315466" w:rsidRPr="00A4536F" w:rsidRDefault="001D4E15">
            <w:pPr>
              <w:spacing w:before="0" w:after="120"/>
              <w:rPr>
                <w:rFonts w:eastAsia="Times New Roman" w:cs="Calibri"/>
                <w:b w:val="0"/>
                <w:bCs w:val="0"/>
                <w:color w:val="auto"/>
                <w:szCs w:val="18"/>
                <w:lang w:eastAsia="en-GB"/>
              </w:rPr>
            </w:pPr>
            <w:proofErr w:type="spellStart"/>
            <w:r w:rsidRPr="00A4536F">
              <w:rPr>
                <w:rFonts w:eastAsia="Times New Roman" w:cs="Calibri"/>
                <w:color w:val="auto"/>
                <w:szCs w:val="18"/>
                <w:lang w:eastAsia="en-GB"/>
              </w:rPr>
              <w:t>Berhe</w:t>
            </w:r>
            <w:proofErr w:type="spellEnd"/>
            <w:r w:rsidRPr="00A4536F">
              <w:rPr>
                <w:rFonts w:eastAsia="Times New Roman" w:cs="Calibri"/>
                <w:color w:val="auto"/>
                <w:szCs w:val="18"/>
                <w:lang w:eastAsia="en-GB"/>
              </w:rPr>
              <w:t xml:space="preserve"> </w:t>
            </w:r>
            <w:proofErr w:type="spellStart"/>
            <w:r w:rsidRPr="00A4536F">
              <w:rPr>
                <w:rFonts w:eastAsia="Times New Roman" w:cs="Calibri"/>
                <w:color w:val="auto"/>
                <w:szCs w:val="18"/>
                <w:lang w:eastAsia="en-GB"/>
              </w:rPr>
              <w:t>Tesafaye</w:t>
            </w:r>
            <w:proofErr w:type="spellEnd"/>
            <w:r w:rsidRPr="00A4536F">
              <w:rPr>
                <w:rFonts w:eastAsia="Times New Roman" w:cs="Calibri"/>
                <w:color w:val="auto"/>
                <w:szCs w:val="18"/>
                <w:lang w:eastAsia="en-GB"/>
              </w:rPr>
              <w:t xml:space="preserve"> </w:t>
            </w:r>
          </w:p>
        </w:tc>
        <w:tc>
          <w:tcPr>
            <w:tcW w:w="0" w:type="dxa"/>
          </w:tcPr>
          <w:p w14:paraId="26CD4E83"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M</w:t>
            </w:r>
          </w:p>
        </w:tc>
        <w:tc>
          <w:tcPr>
            <w:tcW w:w="0" w:type="dxa"/>
            <w:noWrap/>
          </w:tcPr>
          <w:p w14:paraId="2D49B4C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Tigray</w:t>
            </w:r>
          </w:p>
        </w:tc>
        <w:tc>
          <w:tcPr>
            <w:tcW w:w="0" w:type="dxa"/>
            <w:noWrap/>
          </w:tcPr>
          <w:p w14:paraId="7FA8BC19"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Mekelle</w:t>
            </w:r>
          </w:p>
        </w:tc>
        <w:tc>
          <w:tcPr>
            <w:tcW w:w="3070" w:type="dxa"/>
          </w:tcPr>
          <w:p w14:paraId="0744FB11"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Crop Expert, Bureau of Agriculture</w:t>
            </w:r>
          </w:p>
        </w:tc>
      </w:tr>
      <w:tr w:rsidR="00090EFB" w:rsidRPr="00A4536F" w14:paraId="147303C7" w14:textId="77777777" w:rsidTr="00315466">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1A4E10AC" w14:textId="77777777" w:rsidR="00315466" w:rsidRPr="00A4536F" w:rsidRDefault="001D4E15">
            <w:pPr>
              <w:spacing w:before="0" w:after="120"/>
              <w:rPr>
                <w:rFonts w:eastAsia="Times New Roman" w:cs="Calibri"/>
                <w:b w:val="0"/>
                <w:bCs w:val="0"/>
                <w:color w:val="auto"/>
                <w:szCs w:val="18"/>
                <w:lang w:eastAsia="en-GB"/>
              </w:rPr>
            </w:pPr>
            <w:r w:rsidRPr="00A4536F">
              <w:rPr>
                <w:rFonts w:eastAsia="Times New Roman" w:cs="Calibri"/>
                <w:color w:val="auto"/>
                <w:szCs w:val="18"/>
                <w:lang w:eastAsia="en-GB"/>
              </w:rPr>
              <w:t xml:space="preserve">Lemma </w:t>
            </w:r>
            <w:proofErr w:type="spellStart"/>
            <w:r w:rsidRPr="00A4536F">
              <w:rPr>
                <w:rFonts w:eastAsia="Times New Roman" w:cs="Calibri"/>
                <w:color w:val="auto"/>
                <w:szCs w:val="18"/>
                <w:lang w:eastAsia="en-GB"/>
              </w:rPr>
              <w:t>Sesu</w:t>
            </w:r>
            <w:proofErr w:type="spellEnd"/>
            <w:r w:rsidRPr="00A4536F">
              <w:rPr>
                <w:rFonts w:eastAsia="Times New Roman" w:cs="Calibri"/>
                <w:color w:val="auto"/>
                <w:szCs w:val="18"/>
                <w:lang w:eastAsia="en-GB"/>
              </w:rPr>
              <w:t xml:space="preserve"> </w:t>
            </w:r>
          </w:p>
        </w:tc>
        <w:tc>
          <w:tcPr>
            <w:tcW w:w="0" w:type="dxa"/>
          </w:tcPr>
          <w:p w14:paraId="3FE246F7"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M</w:t>
            </w:r>
          </w:p>
        </w:tc>
        <w:tc>
          <w:tcPr>
            <w:tcW w:w="0" w:type="dxa"/>
            <w:noWrap/>
          </w:tcPr>
          <w:p w14:paraId="66C9393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Oromia</w:t>
            </w:r>
          </w:p>
        </w:tc>
        <w:tc>
          <w:tcPr>
            <w:tcW w:w="0" w:type="dxa"/>
            <w:noWrap/>
          </w:tcPr>
          <w:p w14:paraId="50A4B165"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Addis Ababa</w:t>
            </w:r>
          </w:p>
        </w:tc>
        <w:tc>
          <w:tcPr>
            <w:tcW w:w="3070" w:type="dxa"/>
          </w:tcPr>
          <w:p w14:paraId="5936554B"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Team Leader, Health Bureau</w:t>
            </w:r>
          </w:p>
        </w:tc>
      </w:tr>
      <w:tr w:rsidR="00090EFB" w:rsidRPr="00A4536F" w14:paraId="00B23A7E" w14:textId="77777777" w:rsidTr="00315466">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1B64A17E" w14:textId="77777777" w:rsidR="00315466" w:rsidRPr="00A4536F" w:rsidRDefault="001D4E15">
            <w:pPr>
              <w:spacing w:before="0" w:after="120"/>
              <w:rPr>
                <w:rFonts w:eastAsia="Times New Roman" w:cs="Calibri"/>
                <w:b w:val="0"/>
                <w:bCs w:val="0"/>
                <w:color w:val="auto"/>
                <w:szCs w:val="18"/>
                <w:lang w:eastAsia="en-GB"/>
              </w:rPr>
            </w:pPr>
            <w:proofErr w:type="spellStart"/>
            <w:r w:rsidRPr="00A4536F">
              <w:rPr>
                <w:rFonts w:eastAsia="Times New Roman" w:cs="Calibri"/>
                <w:color w:val="auto"/>
                <w:szCs w:val="18"/>
                <w:lang w:eastAsia="en-GB"/>
              </w:rPr>
              <w:t>Gebiyalesh</w:t>
            </w:r>
            <w:proofErr w:type="spellEnd"/>
            <w:r w:rsidRPr="00A4536F">
              <w:rPr>
                <w:rFonts w:eastAsia="Times New Roman" w:cs="Calibri"/>
                <w:color w:val="auto"/>
                <w:szCs w:val="18"/>
                <w:lang w:eastAsia="en-GB"/>
              </w:rPr>
              <w:t xml:space="preserve"> </w:t>
            </w:r>
            <w:proofErr w:type="spellStart"/>
            <w:r w:rsidRPr="00A4536F">
              <w:rPr>
                <w:rFonts w:eastAsia="Times New Roman" w:cs="Calibri"/>
                <w:color w:val="auto"/>
                <w:szCs w:val="18"/>
                <w:lang w:eastAsia="en-GB"/>
              </w:rPr>
              <w:t>Tadege</w:t>
            </w:r>
            <w:proofErr w:type="spellEnd"/>
            <w:r w:rsidRPr="00A4536F">
              <w:rPr>
                <w:rFonts w:eastAsia="Times New Roman" w:cs="Calibri"/>
                <w:color w:val="auto"/>
                <w:szCs w:val="18"/>
                <w:lang w:eastAsia="en-GB"/>
              </w:rPr>
              <w:t xml:space="preserve"> </w:t>
            </w:r>
          </w:p>
        </w:tc>
        <w:tc>
          <w:tcPr>
            <w:tcW w:w="0" w:type="dxa"/>
          </w:tcPr>
          <w:p w14:paraId="7E941B16"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F</w:t>
            </w:r>
          </w:p>
        </w:tc>
        <w:tc>
          <w:tcPr>
            <w:tcW w:w="0" w:type="dxa"/>
            <w:noWrap/>
          </w:tcPr>
          <w:p w14:paraId="12E023AA"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Tigray</w:t>
            </w:r>
          </w:p>
        </w:tc>
        <w:tc>
          <w:tcPr>
            <w:tcW w:w="0" w:type="dxa"/>
            <w:noWrap/>
          </w:tcPr>
          <w:p w14:paraId="3BC4F039"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Mekelle</w:t>
            </w:r>
          </w:p>
        </w:tc>
        <w:tc>
          <w:tcPr>
            <w:tcW w:w="3070" w:type="dxa"/>
          </w:tcPr>
          <w:p w14:paraId="0D408EC8" w14:textId="77777777" w:rsidR="00315466" w:rsidRPr="00A4536F" w:rsidRDefault="001D4E1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18"/>
                <w:lang w:eastAsia="en-GB"/>
              </w:rPr>
            </w:pPr>
            <w:r w:rsidRPr="00A4536F">
              <w:rPr>
                <w:rFonts w:eastAsia="Times New Roman" w:cs="Calibri"/>
                <w:color w:val="auto"/>
                <w:szCs w:val="18"/>
                <w:lang w:eastAsia="en-GB"/>
              </w:rPr>
              <w:t>M&amp;E, Bureau of women affairs</w:t>
            </w:r>
          </w:p>
        </w:tc>
      </w:tr>
    </w:tbl>
    <w:p w14:paraId="235D06F7" w14:textId="77777777" w:rsidR="00315466" w:rsidRPr="00A4536F" w:rsidRDefault="00315466">
      <w:pPr>
        <w:spacing w:before="0" w:after="120"/>
        <w:rPr>
          <w:rFonts w:cs="Calibri"/>
          <w:color w:val="auto"/>
          <w:szCs w:val="18"/>
        </w:rPr>
      </w:pPr>
    </w:p>
    <w:p w14:paraId="35C203CD" w14:textId="77777777" w:rsidR="00315466" w:rsidRPr="00A4536F" w:rsidRDefault="00315466">
      <w:pPr>
        <w:spacing w:before="0" w:after="120"/>
        <w:rPr>
          <w:rFonts w:cs="Calibri"/>
          <w:szCs w:val="18"/>
        </w:rPr>
        <w:sectPr w:rsidR="00315466" w:rsidRPr="00A4536F">
          <w:pgSz w:w="11907" w:h="16839"/>
          <w:pgMar w:top="1253" w:right="1440" w:bottom="1253" w:left="1440" w:header="0" w:footer="0" w:gutter="0"/>
          <w:cols w:space="720"/>
          <w:docGrid w:linePitch="360"/>
        </w:sectPr>
      </w:pPr>
    </w:p>
    <w:p w14:paraId="3624AC12" w14:textId="564567CA" w:rsidR="00315466" w:rsidRPr="00A4536F" w:rsidRDefault="001D4E15" w:rsidP="00F57BB7">
      <w:pPr>
        <w:spacing w:after="120"/>
        <w:rPr>
          <w:rFonts w:cs="Calibri"/>
          <w:szCs w:val="18"/>
        </w:rPr>
      </w:pPr>
      <w:r w:rsidRPr="00A4536F">
        <w:rPr>
          <w:rFonts w:cs="Calibri"/>
          <w:noProof/>
          <w:szCs w:val="18"/>
        </w:rPr>
        <w:lastRenderedPageBreak/>
        <w:drawing>
          <wp:anchor distT="0" distB="0" distL="114300" distR="114300" simplePos="0" relativeHeight="251658240" behindDoc="1" locked="0" layoutInCell="1" allowOverlap="1" wp14:anchorId="08DD4DDE" wp14:editId="5124057A">
            <wp:simplePos x="0" y="0"/>
            <wp:positionH relativeFrom="column">
              <wp:posOffset>-914633</wp:posOffset>
            </wp:positionH>
            <wp:positionV relativeFrom="paragraph">
              <wp:posOffset>562</wp:posOffset>
            </wp:positionV>
            <wp:extent cx="8154670" cy="9030970"/>
            <wp:effectExtent l="0" t="0" r="0" b="0"/>
            <wp:wrapTight wrapText="bothSides">
              <wp:wrapPolygon edited="0">
                <wp:start x="0" y="0"/>
                <wp:lineTo x="0" y="21551"/>
                <wp:lineTo x="21546" y="21551"/>
                <wp:lineTo x="21546" y="0"/>
                <wp:lineTo x="0" y="0"/>
              </wp:wrapPolygon>
            </wp:wrapTight>
            <wp:docPr id="15773050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5052" name="Picture 1">
                      <a:extLst>
                        <a:ext uri="{C183D7F6-B498-43B3-948B-1728B52AA6E4}">
                          <adec:decorative xmlns:adec="http://schemas.microsoft.com/office/drawing/2017/decorative" val="1"/>
                        </a:ext>
                      </a:extLst>
                    </pic:cNvPr>
                    <pic:cNvPicPr>
                      <a:picLocks noChangeAspect="1"/>
                    </pic:cNvPicPr>
                  </pic:nvPicPr>
                  <pic:blipFill>
                    <a:blip r:embed="rId88">
                      <a:extLst>
                        <a:ext uri="{28A0092B-C50C-407E-A947-70E740481C1C}">
                          <a14:useLocalDpi xmlns:a14="http://schemas.microsoft.com/office/drawing/2010/main" val="0"/>
                        </a:ext>
                      </a:extLst>
                    </a:blip>
                    <a:srcRect t="8673" r="2168" b="8514"/>
                    <a:stretch>
                      <a:fillRect/>
                    </a:stretch>
                  </pic:blipFill>
                  <pic:spPr>
                    <a:xfrm>
                      <a:off x="0" y="0"/>
                      <a:ext cx="8154670" cy="9030970"/>
                    </a:xfrm>
                    <a:prstGeom prst="rect">
                      <a:avLst/>
                    </a:prstGeom>
                    <a:ln>
                      <a:noFill/>
                    </a:ln>
                  </pic:spPr>
                </pic:pic>
              </a:graphicData>
            </a:graphic>
            <wp14:sizeRelH relativeFrom="page">
              <wp14:pctWidth>0</wp14:pctWidth>
            </wp14:sizeRelH>
            <wp14:sizeRelV relativeFrom="page">
              <wp14:pctHeight>0</wp14:pctHeight>
            </wp14:sizeRelV>
          </wp:anchor>
        </w:drawing>
      </w:r>
      <w:r w:rsidRPr="00A4536F">
        <w:rPr>
          <w:rFonts w:cs="Calibri"/>
          <w:szCs w:val="18"/>
        </w:rPr>
        <w:t xml:space="preserve"> </w:t>
      </w:r>
      <w:bookmarkEnd w:id="3"/>
      <w:bookmarkEnd w:id="177"/>
    </w:p>
    <w:sectPr w:rsidR="00315466" w:rsidRPr="00A4536F">
      <w:pgSz w:w="11907" w:h="16839"/>
      <w:pgMar w:top="1247" w:right="1440" w:bottom="1247"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DAEB7" w14:textId="77777777" w:rsidR="00934690" w:rsidRPr="00CE704F" w:rsidRDefault="00934690">
      <w:pPr>
        <w:spacing w:line="240" w:lineRule="auto"/>
      </w:pPr>
      <w:r w:rsidRPr="00CE704F">
        <w:separator/>
      </w:r>
    </w:p>
  </w:endnote>
  <w:endnote w:type="continuationSeparator" w:id="0">
    <w:p w14:paraId="32F5F170" w14:textId="77777777" w:rsidR="00934690" w:rsidRPr="00CE704F" w:rsidRDefault="00934690">
      <w:pPr>
        <w:spacing w:line="240" w:lineRule="auto"/>
      </w:pPr>
      <w:r w:rsidRPr="00CE704F">
        <w:continuationSeparator/>
      </w:r>
    </w:p>
  </w:endnote>
  <w:endnote w:type="continuationNotice" w:id="1">
    <w:p w14:paraId="3CB68538" w14:textId="77777777" w:rsidR="00934690" w:rsidRDefault="0093469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ourier">
    <w:altName w:val="Courier New"/>
    <w:panose1 w:val="020704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xa Light">
    <w:altName w:val="Times New Roman"/>
    <w:panose1 w:val="00000000000000000000"/>
    <w:charset w:val="00"/>
    <w:family w:val="modern"/>
    <w:notTrueType/>
    <w:pitch w:val="variable"/>
    <w:sig w:usb0="800000AF" w:usb1="4000004A" w:usb2="00000000" w:usb3="00000000" w:csb0="00000001" w:csb1="00000000"/>
  </w:font>
  <w:font w:name="Open Sans">
    <w:charset w:val="00"/>
    <w:family w:val="swiss"/>
    <w:pitch w:val="variable"/>
    <w:sig w:usb0="E00002EF" w:usb1="4000205B" w:usb2="00000028" w:usb3="00000000" w:csb0="0000019F" w:csb1="00000000"/>
  </w:font>
  <w:font w:name="HelveticaNeue">
    <w:altName w:val="Sylfaen"/>
    <w:charset w:val="00"/>
    <w:family w:val="auto"/>
    <w:pitch w:val="variable"/>
    <w:sig w:usb0="E50002FF" w:usb1="500079DB" w:usb2="00000010" w:usb3="00000000" w:csb0="00000001" w:csb1="00000000"/>
  </w:font>
  <w:font w:name="HelveticaNeue-Italic">
    <w:altName w:val="Sylfaen"/>
    <w:charset w:val="00"/>
    <w:family w:val="auto"/>
    <w:pitch w:val="variable"/>
    <w:sig w:usb0="E50002FF" w:usb1="500079DB" w:usb2="00001010" w:usb3="00000000" w:csb0="00000001" w:csb1="00000000"/>
  </w:font>
  <w:font w:name="Bahnschrift SemiBold">
    <w:panose1 w:val="020B0502040204020203"/>
    <w:charset w:val="00"/>
    <w:family w:val="swiss"/>
    <w:pitch w:val="variable"/>
    <w:sig w:usb0="A00002C7" w:usb1="00000002" w:usb2="00000000" w:usb3="00000000" w:csb0="0000019F" w:csb1="00000000"/>
  </w:font>
  <w:font w:name="ヒラギノ角ゴ Pro W3">
    <w:altName w:val="Yu Gothic UI"/>
    <w:charset w:val="4E"/>
    <w:family w:val="auto"/>
    <w:pitch w:val="variable"/>
    <w:sig w:usb0="E00002FF" w:usb1="7AC7FFFF" w:usb2="00000012" w:usb3="00000000" w:csb0="0002000D" w:csb1="00000000"/>
  </w:font>
  <w:font w:name="Optima">
    <w:charset w:val="00"/>
    <w:family w:val="auto"/>
    <w:pitch w:val="variable"/>
    <w:sig w:usb0="80000067"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Univers 12pt">
    <w:altName w:val="Courier New"/>
    <w:charset w:val="00"/>
    <w:family w:val="swiss"/>
    <w:pitch w:val="fixed"/>
    <w:sig w:usb0="00000003" w:usb1="00000000" w:usb2="00000000" w:usb3="00000000" w:csb0="00000001" w:csb1="00000000"/>
  </w:font>
  <w:font w:name="GillSansMT-Bold">
    <w:altName w:val="Times New Roman"/>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Futura Std Book">
    <w:altName w:val="Arial"/>
    <w:charset w:val="00"/>
    <w:family w:val="swiss"/>
    <w:pitch w:val="variable"/>
    <w:sig w:usb0="80000867" w:usb1="00000000" w:usb2="00000000" w:usb3="00000000" w:csb0="000001FB" w:csb1="00000000"/>
  </w:font>
  <w:font w:name="Lato">
    <w:charset w:val="00"/>
    <w:family w:val="swiss"/>
    <w:pitch w:val="variable"/>
    <w:sig w:usb0="E10002FF" w:usb1="5000ECFF" w:usb2="0000002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bin Regular">
    <w:altName w:val="Cambria"/>
    <w:charset w:val="00"/>
    <w:family w:val="auto"/>
    <w:pitch w:val="variable"/>
    <w:sig w:usb0="8000002F" w:usb1="0000000B"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kkurat Pro Light">
    <w:altName w:val="Calibri"/>
    <w:panose1 w:val="00000000000000000000"/>
    <w:charset w:val="00"/>
    <w:family w:val="modern"/>
    <w:notTrueType/>
    <w:pitch w:val="variable"/>
    <w:sig w:usb0="A00000AF" w:usb1="5000246A" w:usb2="00000000" w:usb3="00000000" w:csb0="0000000B" w:csb1="00000000"/>
  </w:font>
  <w:font w:name="DINOT-Bold">
    <w:panose1 w:val="00000000000000000000"/>
    <w:charset w:val="00"/>
    <w:family w:val="swiss"/>
    <w:notTrueType/>
    <w:pitch w:val="variable"/>
    <w:sig w:usb0="800002AF" w:usb1="4000207B" w:usb2="00000008" w:usb3="00000000" w:csb0="00000001" w:csb1="00000000"/>
  </w:font>
  <w:font w:name="Helvetica LT Pro">
    <w:altName w:val="Arial"/>
    <w:charset w:val="00"/>
    <w:family w:val="swiss"/>
    <w:pitch w:val="variable"/>
    <w:sig w:usb0="00000001" w:usb1="5000204A" w:usb2="00000000" w:usb3="00000000" w:csb0="00000097" w:csb1="00000000"/>
  </w:font>
  <w:font w:name="Roobert">
    <w:altName w:val="Calibri"/>
    <w:panose1 w:val="00000000000000000000"/>
    <w:charset w:val="00"/>
    <w:family w:val="modern"/>
    <w:notTrueType/>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Times New Roman (Body 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B752" w14:textId="77777777" w:rsidR="00315466" w:rsidRPr="007770E8" w:rsidRDefault="001D4E15">
    <w:pPr>
      <w:pStyle w:val="Footer"/>
      <w:jc w:val="center"/>
    </w:pPr>
    <w:r w:rsidRPr="00FB4478">
      <w:rPr>
        <w:noProof/>
        <w:lang w:eastAsia="en-GB"/>
      </w:rPr>
      <mc:AlternateContent>
        <mc:Choice Requires="wps">
          <w:drawing>
            <wp:anchor distT="0" distB="0" distL="114300" distR="114300" simplePos="0" relativeHeight="251658240" behindDoc="0" locked="0" layoutInCell="1" allowOverlap="1" wp14:anchorId="601522A9" wp14:editId="33C69476">
              <wp:simplePos x="0" y="0"/>
              <wp:positionH relativeFrom="page">
                <wp:posOffset>6969902</wp:posOffset>
              </wp:positionH>
              <wp:positionV relativeFrom="page">
                <wp:posOffset>10288599</wp:posOffset>
              </wp:positionV>
              <wp:extent cx="400685" cy="518266"/>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518266"/>
                      </a:xfrm>
                      <a:prstGeom prst="rect">
                        <a:avLst/>
                      </a:prstGeom>
                      <a:noFill/>
                      <a:ln>
                        <a:noFill/>
                      </a:ln>
                    </wps:spPr>
                    <wps:txbx>
                      <w:txbxContent>
                        <w:p w14:paraId="7D7DE9EF"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01522A9" id="Rectangle 35" o:spid="_x0000_s1030" style="position:absolute;left:0;text-align:left;margin-left:548.8pt;margin-top:810.15pt;width:31.55pt;height:4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" filled="f" stroked="f">
              <v:textbox>
                <w:txbxContent>
                  <w:p w14:paraId="7D7DE9EF"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v:textbox>
              <w10:wrap anchorx="page" anchory="page"/>
            </v:rect>
          </w:pict>
        </mc:Fallback>
      </mc:AlternateContent>
    </w:r>
    <w:r w:rsidRPr="00FB4478">
      <w:rPr>
        <w:noProof/>
        <w:lang w:eastAsia="en-GB"/>
      </w:rPr>
      <mc:AlternateContent>
        <mc:Choice Requires="wps">
          <w:drawing>
            <wp:anchor distT="0" distB="0" distL="114300" distR="114300" simplePos="0" relativeHeight="251658241" behindDoc="0" locked="0" layoutInCell="1" allowOverlap="1" wp14:anchorId="1010E3E5" wp14:editId="0F905701">
              <wp:simplePos x="0" y="0"/>
              <wp:positionH relativeFrom="page">
                <wp:posOffset>10065385</wp:posOffset>
              </wp:positionH>
              <wp:positionV relativeFrom="page">
                <wp:posOffset>7001510</wp:posOffset>
              </wp:positionV>
              <wp:extent cx="438785" cy="320040"/>
              <wp:effectExtent l="0" t="0" r="0" b="1016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20040"/>
                      </a:xfrm>
                      <a:prstGeom prst="rect">
                        <a:avLst/>
                      </a:prstGeom>
                      <a:noFill/>
                      <a:ln>
                        <a:noFill/>
                      </a:ln>
                    </wps:spPr>
                    <wps:txbx>
                      <w:txbxContent>
                        <w:p w14:paraId="0DB6A778"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1010E3E5" id="Rectangle 41" o:spid="_x0000_s1031" style="position:absolute;left:0;text-align:left;margin-left:792.55pt;margin-top:551.3pt;width:34.55pt;height:25.2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" filled="f" stroked="f">
              <v:textbox>
                <w:txbxContent>
                  <w:p w14:paraId="0DB6A778"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2F51" w14:textId="77777777" w:rsidR="00315466" w:rsidRPr="007770E8" w:rsidRDefault="001D4E15">
    <w:pPr>
      <w:pStyle w:val="Footer"/>
      <w:jc w:val="center"/>
    </w:pPr>
    <w:r w:rsidRPr="00FB4478">
      <w:rPr>
        <w:noProof/>
        <w:lang w:eastAsia="en-GB"/>
      </w:rPr>
      <mc:AlternateContent>
        <mc:Choice Requires="wps">
          <w:drawing>
            <wp:anchor distT="0" distB="0" distL="114300" distR="114300" simplePos="0" relativeHeight="251658243" behindDoc="0" locked="0" layoutInCell="1" allowOverlap="1" wp14:anchorId="6B71F556" wp14:editId="637FC425">
              <wp:simplePos x="0" y="0"/>
              <wp:positionH relativeFrom="page">
                <wp:posOffset>6976297</wp:posOffset>
              </wp:positionH>
              <wp:positionV relativeFrom="page">
                <wp:posOffset>10256627</wp:posOffset>
              </wp:positionV>
              <wp:extent cx="438785" cy="499083"/>
              <wp:effectExtent l="0" t="0" r="0" b="0"/>
              <wp:wrapNone/>
              <wp:docPr id="960494632" name="Rectangle 960494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99083"/>
                      </a:xfrm>
                      <a:prstGeom prst="rect">
                        <a:avLst/>
                      </a:prstGeom>
                      <a:noFill/>
                      <a:ln>
                        <a:noFill/>
                      </a:ln>
                    </wps:spPr>
                    <wps:txbx>
                      <w:txbxContent>
                        <w:p w14:paraId="5EB3DE07"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du="http://schemas.microsoft.com/office/word/2023/wordml/word16du">
          <w:pict>
            <v:rect w14:anchorId="6B71F556" id="Rectangle 960494632" o:spid="_x0000_s1032" style="position:absolute;left:0;text-align:left;margin-left:549.3pt;margin-top:807.6pt;width:34.55pt;height:39.3pt;z-index:2516582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" filled="f" stroked="f">
              <v:textbox>
                <w:txbxContent>
                  <w:p w14:paraId="5EB3DE07"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v:textbox>
              <w10:wrap anchorx="page" anchory="page"/>
            </v:rect>
          </w:pict>
        </mc:Fallback>
      </mc:AlternateContent>
    </w:r>
    <w:r w:rsidRPr="00FB4478">
      <w:rPr>
        <w:noProof/>
        <w:lang w:eastAsia="en-GB"/>
      </w:rPr>
      <mc:AlternateContent>
        <mc:Choice Requires="wps">
          <w:drawing>
            <wp:anchor distT="0" distB="0" distL="114300" distR="114300" simplePos="0" relativeHeight="251658244" behindDoc="0" locked="0" layoutInCell="1" allowOverlap="1" wp14:anchorId="13FC41E4" wp14:editId="4F7871F0">
              <wp:simplePos x="0" y="0"/>
              <wp:positionH relativeFrom="page">
                <wp:posOffset>10065385</wp:posOffset>
              </wp:positionH>
              <wp:positionV relativeFrom="page">
                <wp:posOffset>7001510</wp:posOffset>
              </wp:positionV>
              <wp:extent cx="438785" cy="320040"/>
              <wp:effectExtent l="0" t="0" r="0" b="10160"/>
              <wp:wrapNone/>
              <wp:docPr id="1275982340" name="Rectangle 1275982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20040"/>
                      </a:xfrm>
                      <a:prstGeom prst="rect">
                        <a:avLst/>
                      </a:prstGeom>
                      <a:noFill/>
                      <a:ln>
                        <a:noFill/>
                      </a:ln>
                    </wps:spPr>
                    <wps:txbx>
                      <w:txbxContent>
                        <w:p w14:paraId="43BA73A2"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13FC41E4" id="Rectangle 1275982340" o:spid="_x0000_s1033" style="position:absolute;left:0;text-align:left;margin-left:792.55pt;margin-top:551.3pt;width:34.55pt;height:25.2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" filled="f" stroked="f">
              <v:textbox>
                <w:txbxContent>
                  <w:p w14:paraId="43BA73A2"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66613" w14:textId="77777777" w:rsidR="00934690" w:rsidRPr="007770E8" w:rsidRDefault="00934690">
      <w:pPr>
        <w:spacing w:before="0" w:after="0"/>
      </w:pPr>
      <w:r w:rsidRPr="007770E8">
        <w:separator/>
      </w:r>
    </w:p>
  </w:footnote>
  <w:footnote w:type="continuationSeparator" w:id="0">
    <w:p w14:paraId="2A34A2E6" w14:textId="77777777" w:rsidR="00934690" w:rsidRPr="00CE704F" w:rsidRDefault="00934690">
      <w:pPr>
        <w:spacing w:before="0" w:after="0"/>
      </w:pPr>
      <w:r w:rsidRPr="00CE704F">
        <w:continuationSeparator/>
      </w:r>
    </w:p>
  </w:footnote>
  <w:footnote w:type="continuationNotice" w:id="1">
    <w:p w14:paraId="59EFC506" w14:textId="77777777" w:rsidR="00934690" w:rsidRDefault="00934690">
      <w:pPr>
        <w:spacing w:before="0" w:after="0" w:line="240" w:lineRule="auto"/>
      </w:pPr>
    </w:p>
  </w:footnote>
  <w:footnote w:id="2">
    <w:p w14:paraId="268D88E1" w14:textId="77777777" w:rsidR="009F7603" w:rsidRPr="007770E8" w:rsidRDefault="009F7603" w:rsidP="009F7603">
      <w:pPr>
        <w:rPr>
          <w:sz w:val="14"/>
          <w:szCs w:val="14"/>
        </w:rPr>
      </w:pPr>
      <w:r w:rsidRPr="007770E8">
        <w:rPr>
          <w:rStyle w:val="FootnoteReference"/>
          <w:sz w:val="14"/>
          <w:szCs w:val="14"/>
        </w:rPr>
        <w:footnoteRef/>
      </w:r>
      <w:r w:rsidRPr="007770E8">
        <w:rPr>
          <w:sz w:val="14"/>
          <w:szCs w:val="14"/>
        </w:rPr>
        <w:t xml:space="preserve"> A woreda is an administrative division in Ethiopia, </w:t>
      </w:r>
      <w:proofErr w:type="gramStart"/>
      <w:r w:rsidRPr="007770E8">
        <w:rPr>
          <w:sz w:val="14"/>
          <w:szCs w:val="14"/>
        </w:rPr>
        <w:t>similar to</w:t>
      </w:r>
      <w:proofErr w:type="gramEnd"/>
      <w:r w:rsidRPr="007770E8">
        <w:rPr>
          <w:sz w:val="14"/>
          <w:szCs w:val="14"/>
        </w:rPr>
        <w:t xml:space="preserve"> a sub county in Kenya. It is a third-level administrative unit below the regional states and zones, often comprising several kebeles (neighbourhoods or localities). Like a sub county in Kenya, the woreda is governed by a local administration responsible for various public services and development activities. </w:t>
      </w:r>
    </w:p>
    <w:p w14:paraId="1EC8DA56" w14:textId="77777777" w:rsidR="009F7603" w:rsidRPr="007770E8" w:rsidRDefault="009F7603" w:rsidP="009F7603">
      <w:pPr>
        <w:pStyle w:val="FootnoteText"/>
      </w:pPr>
    </w:p>
  </w:footnote>
  <w:footnote w:id="3">
    <w:p w14:paraId="450273B9" w14:textId="77777777" w:rsidR="00315466" w:rsidRPr="007770E8" w:rsidRDefault="001D4E15">
      <w:pPr>
        <w:pStyle w:val="FootnoteText"/>
        <w:snapToGrid w:val="0"/>
        <w:rPr>
          <w:sz w:val="14"/>
          <w:szCs w:val="14"/>
        </w:rPr>
      </w:pPr>
      <w:r w:rsidRPr="007770E8">
        <w:rPr>
          <w:rStyle w:val="FootnoteReference"/>
        </w:rPr>
        <w:footnoteRef/>
      </w:r>
      <w:r w:rsidRPr="007770E8">
        <w:t xml:space="preserve"> </w:t>
      </w:r>
      <w:r w:rsidRPr="007770E8">
        <w:rPr>
          <w:sz w:val="14"/>
          <w:szCs w:val="14"/>
        </w:rPr>
        <w:t>OCHA, 2024. Situation Report. Ethiopia. Updated on March 25, 2024.4.24.</w:t>
      </w:r>
    </w:p>
    <w:p w14:paraId="0A1E4CB6" w14:textId="77777777" w:rsidR="00315466" w:rsidRPr="007770E8" w:rsidRDefault="001D4E15">
      <w:pPr>
        <w:pStyle w:val="FootnoteText"/>
        <w:snapToGrid w:val="0"/>
        <w:rPr>
          <w:sz w:val="14"/>
          <w:szCs w:val="14"/>
        </w:rPr>
      </w:pPr>
      <w:r w:rsidRPr="007770E8">
        <w:rPr>
          <w:sz w:val="14"/>
          <w:szCs w:val="14"/>
        </w:rPr>
        <w:t>https://reports.unocha.org/en/country/ethiopia/</w:t>
      </w:r>
    </w:p>
  </w:footnote>
  <w:footnote w:id="4">
    <w:p w14:paraId="4771A70D" w14:textId="77777777" w:rsidR="00315466" w:rsidRPr="007770E8" w:rsidRDefault="001D4E15">
      <w:pPr>
        <w:pStyle w:val="FootnoteText"/>
        <w:rPr>
          <w:sz w:val="14"/>
          <w:szCs w:val="14"/>
        </w:rPr>
      </w:pPr>
      <w:r w:rsidRPr="007770E8">
        <w:rPr>
          <w:rStyle w:val="FootnoteReference"/>
          <w:sz w:val="14"/>
          <w:szCs w:val="14"/>
        </w:rPr>
        <w:footnoteRef/>
      </w:r>
      <w:r w:rsidRPr="007770E8">
        <w:rPr>
          <w:sz w:val="14"/>
          <w:szCs w:val="14"/>
        </w:rPr>
        <w:t xml:space="preserve"> </w:t>
      </w:r>
      <w:r w:rsidRPr="007770E8">
        <w:rPr>
          <w:rFonts w:cs="Times New Roman (Body CS)"/>
          <w:color w:val="000000" w:themeColor="text1"/>
          <w:sz w:val="14"/>
          <w:szCs w:val="14"/>
        </w:rPr>
        <w:t xml:space="preserve">The INFORM Risk Index is a global, open-source risk assessment for humanitarian crises and disasters. It can support decisions about prevention, </w:t>
      </w:r>
      <w:proofErr w:type="gramStart"/>
      <w:r w:rsidRPr="007770E8">
        <w:rPr>
          <w:rFonts w:cs="Times New Roman (Body CS)"/>
          <w:color w:val="000000" w:themeColor="text1"/>
          <w:sz w:val="14"/>
          <w:szCs w:val="14"/>
        </w:rPr>
        <w:t>preparedness</w:t>
      </w:r>
      <w:proofErr w:type="gramEnd"/>
      <w:r w:rsidRPr="007770E8">
        <w:rPr>
          <w:rFonts w:cs="Times New Roman (Body CS)"/>
          <w:color w:val="000000" w:themeColor="text1"/>
          <w:sz w:val="14"/>
          <w:szCs w:val="14"/>
        </w:rPr>
        <w:t xml:space="preserve"> and response. </w:t>
      </w:r>
      <w:hyperlink r:id="rId1" w:history="1">
        <w:r w:rsidRPr="007770E8">
          <w:rPr>
            <w:rStyle w:val="Hyperlink"/>
            <w:rFonts w:cs="Times New Roman (Body CS)"/>
            <w:sz w:val="14"/>
            <w:szCs w:val="14"/>
          </w:rPr>
          <w:t>https://drmkc.jrc.ec.europa.eu/inform-index</w:t>
        </w:r>
      </w:hyperlink>
    </w:p>
  </w:footnote>
  <w:footnote w:id="5">
    <w:p w14:paraId="6E227BC1" w14:textId="77777777" w:rsidR="00315466" w:rsidRPr="007770E8" w:rsidRDefault="001D4E15">
      <w:pPr>
        <w:pStyle w:val="FootnoteText"/>
        <w:snapToGrid w:val="0"/>
        <w:rPr>
          <w:sz w:val="14"/>
          <w:szCs w:val="14"/>
        </w:rPr>
      </w:pPr>
      <w:r w:rsidRPr="007770E8">
        <w:rPr>
          <w:rStyle w:val="FootnoteReference"/>
          <w:sz w:val="14"/>
          <w:szCs w:val="14"/>
        </w:rPr>
        <w:footnoteRef/>
      </w:r>
      <w:r w:rsidRPr="007770E8">
        <w:rPr>
          <w:sz w:val="14"/>
          <w:szCs w:val="14"/>
        </w:rPr>
        <w:t xml:space="preserve"> OCHA, Situation Report - North Ethiopia Humanitarian Update. Dec 02, 2021. </w:t>
      </w:r>
    </w:p>
  </w:footnote>
  <w:footnote w:id="6">
    <w:p w14:paraId="3BF299BE" w14:textId="77777777" w:rsidR="00315466" w:rsidRPr="007770E8" w:rsidRDefault="001D4E15">
      <w:pPr>
        <w:pStyle w:val="FootnoteText"/>
        <w:snapToGrid w:val="0"/>
      </w:pPr>
      <w:r w:rsidRPr="007770E8">
        <w:rPr>
          <w:rStyle w:val="FootnoteReference"/>
          <w:sz w:val="14"/>
          <w:szCs w:val="14"/>
        </w:rPr>
        <w:footnoteRef/>
      </w:r>
      <w:r w:rsidRPr="007770E8">
        <w:rPr>
          <w:sz w:val="14"/>
          <w:szCs w:val="14"/>
        </w:rPr>
        <w:t xml:space="preserve"> https://www.ipcinfo.org/ipc-country-analysis/details-map/en/c/1156542/?iso3=KEN</w:t>
      </w:r>
    </w:p>
  </w:footnote>
  <w:footnote w:id="7">
    <w:p w14:paraId="6500E6F6" w14:textId="77777777" w:rsidR="00315466" w:rsidRPr="007770E8" w:rsidRDefault="001D4E15">
      <w:pPr>
        <w:pStyle w:val="FootnoteText"/>
        <w:rPr>
          <w:rFonts w:asciiTheme="minorHAnsi" w:hAnsiTheme="minorHAnsi"/>
          <w:sz w:val="15"/>
          <w:szCs w:val="15"/>
        </w:rPr>
      </w:pPr>
      <w:r w:rsidRPr="007770E8">
        <w:footnoteRef/>
      </w:r>
      <w:r w:rsidRPr="007770E8">
        <w:t xml:space="preserve"> Throughout the document, acronyms to reference organisations are generally not used, to ease readership for readers unfamiliar with the organisational constellation.</w:t>
      </w:r>
    </w:p>
  </w:footnote>
  <w:footnote w:id="8">
    <w:p w14:paraId="373E4172" w14:textId="77777777" w:rsidR="00315466" w:rsidRPr="007770E8" w:rsidRDefault="001D4E15">
      <w:pPr>
        <w:pStyle w:val="FootnoteText"/>
      </w:pPr>
      <w:r w:rsidRPr="007770E8">
        <w:rPr>
          <w:rStyle w:val="FootnoteReference"/>
        </w:rPr>
        <w:footnoteRef/>
      </w:r>
      <w:r w:rsidRPr="007770E8">
        <w:t xml:space="preserve"> </w:t>
      </w:r>
      <w:r w:rsidRPr="007770E8">
        <w:rPr>
          <w:rStyle w:val="cf01"/>
          <w:rFonts w:ascii="Verdana" w:hAnsi="Verdana"/>
          <w:sz w:val="14"/>
          <w:szCs w:val="14"/>
        </w:rPr>
        <w:t xml:space="preserve">Numbers in parenthesis denote number of </w:t>
      </w:r>
      <w:proofErr w:type="gramStart"/>
      <w:r w:rsidRPr="007770E8">
        <w:rPr>
          <w:rStyle w:val="cf01"/>
          <w:rFonts w:ascii="Verdana" w:hAnsi="Verdana"/>
          <w:sz w:val="14"/>
          <w:szCs w:val="14"/>
        </w:rPr>
        <w:t>FGDs</w:t>
      </w:r>
      <w:proofErr w:type="gramEnd"/>
    </w:p>
  </w:footnote>
  <w:footnote w:id="9">
    <w:p w14:paraId="40C0631D" w14:textId="77777777" w:rsidR="00315466" w:rsidRPr="007770E8" w:rsidRDefault="001D4E15">
      <w:pPr>
        <w:pStyle w:val="FootnoteText"/>
        <w:rPr>
          <w:sz w:val="14"/>
          <w:szCs w:val="14"/>
        </w:rPr>
      </w:pPr>
      <w:r w:rsidRPr="007770E8">
        <w:rPr>
          <w:rStyle w:val="FootnoteReference"/>
          <w:sz w:val="14"/>
          <w:szCs w:val="14"/>
        </w:rPr>
        <w:footnoteRef/>
      </w:r>
      <w:r w:rsidRPr="007770E8">
        <w:rPr>
          <w:sz w:val="14"/>
          <w:szCs w:val="14"/>
        </w:rPr>
        <w:t xml:space="preserve"> </w:t>
      </w:r>
      <w:hyperlink r:id="rId2" w:history="1">
        <w:r w:rsidRPr="007770E8">
          <w:rPr>
            <w:rStyle w:val="Hyperlink"/>
            <w:sz w:val="14"/>
            <w:szCs w:val="14"/>
          </w:rPr>
          <w:t>https://one.oecd.org/document/DCD/DAC(2019)58/FINAL/En/pdf</w:t>
        </w:r>
      </w:hyperlink>
    </w:p>
  </w:footnote>
  <w:footnote w:id="10">
    <w:p w14:paraId="294AB594" w14:textId="77777777" w:rsidR="00315466" w:rsidRPr="007770E8" w:rsidRDefault="001D4E15">
      <w:pPr>
        <w:pStyle w:val="FootnoteText"/>
        <w:snapToGrid w:val="0"/>
        <w:contextualSpacing/>
        <w:rPr>
          <w:sz w:val="14"/>
          <w:szCs w:val="14"/>
        </w:rPr>
      </w:pPr>
      <w:r w:rsidRPr="007770E8">
        <w:rPr>
          <w:rStyle w:val="FootnoteReference"/>
          <w:sz w:val="14"/>
          <w:szCs w:val="14"/>
        </w:rPr>
        <w:footnoteRef/>
      </w:r>
      <w:r w:rsidRPr="007770E8">
        <w:rPr>
          <w:sz w:val="14"/>
          <w:szCs w:val="14"/>
        </w:rPr>
        <w:t xml:space="preserve"> NDMA. (2023). National Drought Management Authority - Kenya.</w:t>
      </w:r>
    </w:p>
  </w:footnote>
  <w:footnote w:id="11">
    <w:p w14:paraId="3224B114" w14:textId="77777777" w:rsidR="00315466" w:rsidRPr="007770E8" w:rsidRDefault="001D4E15">
      <w:pPr>
        <w:snapToGrid w:val="0"/>
        <w:spacing w:before="0" w:after="0" w:line="240" w:lineRule="auto"/>
        <w:contextualSpacing/>
        <w:rPr>
          <w:sz w:val="14"/>
          <w:szCs w:val="14"/>
        </w:rPr>
      </w:pPr>
      <w:r w:rsidRPr="007770E8">
        <w:rPr>
          <w:rStyle w:val="FootnoteReference"/>
          <w:sz w:val="14"/>
          <w:szCs w:val="14"/>
        </w:rPr>
        <w:footnoteRef/>
      </w:r>
      <w:r w:rsidRPr="007770E8">
        <w:rPr>
          <w:sz w:val="14"/>
          <w:szCs w:val="14"/>
        </w:rPr>
        <w:t xml:space="preserve"> NDRMC. (2023). National Disaster Risk Management Commission - Ethiopia.</w:t>
      </w:r>
    </w:p>
    <w:p w14:paraId="44AA1C97" w14:textId="77777777" w:rsidR="00315466" w:rsidRPr="007770E8" w:rsidRDefault="00315466">
      <w:pPr>
        <w:pStyle w:val="FootnoteText"/>
        <w:spacing w:line="276" w:lineRule="auto"/>
      </w:pPr>
    </w:p>
  </w:footnote>
  <w:footnote w:id="12">
    <w:p w14:paraId="2FA730F1" w14:textId="77777777" w:rsidR="00315466" w:rsidRPr="007770E8" w:rsidRDefault="001D4E15">
      <w:pPr>
        <w:pStyle w:val="FootnoteText"/>
        <w:rPr>
          <w:sz w:val="14"/>
          <w:szCs w:val="14"/>
        </w:rPr>
      </w:pPr>
      <w:r w:rsidRPr="007770E8">
        <w:rPr>
          <w:rStyle w:val="FootnoteReference"/>
          <w:sz w:val="14"/>
          <w:szCs w:val="14"/>
        </w:rPr>
        <w:footnoteRef/>
      </w:r>
      <w:r w:rsidRPr="007770E8">
        <w:rPr>
          <w:sz w:val="14"/>
          <w:szCs w:val="14"/>
        </w:rPr>
        <w:t xml:space="preserve"> Oxfam Project Progress Report, October 2023.</w:t>
      </w:r>
    </w:p>
  </w:footnote>
  <w:footnote w:id="13">
    <w:p w14:paraId="6A07B034" w14:textId="77777777" w:rsidR="00315466" w:rsidRPr="007770E8" w:rsidRDefault="001D4E15">
      <w:pPr>
        <w:pStyle w:val="FootnoteText"/>
        <w:rPr>
          <w:sz w:val="14"/>
          <w:szCs w:val="14"/>
        </w:rPr>
      </w:pPr>
      <w:r w:rsidRPr="007770E8">
        <w:rPr>
          <w:rStyle w:val="FootnoteReference"/>
          <w:sz w:val="14"/>
          <w:szCs w:val="14"/>
        </w:rPr>
        <w:footnoteRef/>
      </w:r>
      <w:r w:rsidRPr="007770E8">
        <w:rPr>
          <w:sz w:val="14"/>
          <w:szCs w:val="14"/>
        </w:rPr>
        <w:t xml:space="preserve"> </w:t>
      </w:r>
      <w:hyperlink r:id="rId3" w:history="1">
        <w:r w:rsidRPr="007770E8">
          <w:rPr>
            <w:rStyle w:val="Hyperlink"/>
            <w:sz w:val="14"/>
            <w:szCs w:val="14"/>
          </w:rPr>
          <w:t>https://one.oecd.org/document/DCD/DAC(2019)58/FINAL/En/pdf</w:t>
        </w:r>
      </w:hyperlink>
    </w:p>
  </w:footnote>
  <w:footnote w:id="14">
    <w:p w14:paraId="42E7AE57" w14:textId="77777777" w:rsidR="00315466" w:rsidRPr="007770E8" w:rsidRDefault="001D4E15">
      <w:pPr>
        <w:pStyle w:val="FootnoteText"/>
      </w:pPr>
      <w:r w:rsidRPr="007770E8">
        <w:rPr>
          <w:rStyle w:val="FootnoteReference"/>
        </w:rPr>
        <w:footnoteRef/>
      </w:r>
      <w:r w:rsidRPr="007770E8">
        <w:t xml:space="preserve"> </w:t>
      </w:r>
      <w:bookmarkStart w:id="94" w:name="_Hlk165800120"/>
      <w:r w:rsidRPr="007770E8">
        <w:fldChar w:fldCharType="begin"/>
      </w:r>
      <w:r w:rsidRPr="007770E8">
        <w:instrText>HYPERLINK "https://www.oecd-ilibrary.org/sites/543e84ed-en/1/3/4/index.html?itemId=/content/publication/543e84ed-en&amp;_csp_=535d2f2a848b7727d35502d7f36e4885&amp;itemIGO=oecd&amp;itemContentType=book" \l "section-d1e3395"</w:instrText>
      </w:r>
      <w:r w:rsidRPr="007770E8">
        <w:fldChar w:fldCharType="separate"/>
      </w:r>
      <w:r w:rsidRPr="007770E8">
        <w:rPr>
          <w:rStyle w:val="Hyperlink"/>
          <w:sz w:val="14"/>
          <w:szCs w:val="14"/>
        </w:rPr>
        <w:t>https://www.oecd-ilibrary.org/sites/543e84ed-en/1/3/4/index.html?itemId=/content/publication/543e84ed-en&amp;_csp_=535d2f2a848b7727d35502d7f36e4885&amp;itemIGO=oecd&amp;itemContentType=book#section-d1e3395</w:t>
      </w:r>
      <w:r w:rsidRPr="007770E8">
        <w:rPr>
          <w:rStyle w:val="Hyperlink"/>
          <w:sz w:val="14"/>
          <w:szCs w:val="14"/>
        </w:rPr>
        <w:fldChar w:fldCharType="end"/>
      </w:r>
    </w:p>
    <w:bookmarkEnd w:id="94"/>
    <w:p w14:paraId="4D18286E" w14:textId="77777777" w:rsidR="00315466" w:rsidRPr="007770E8" w:rsidRDefault="00315466">
      <w:pPr>
        <w:pStyle w:val="FootnoteText"/>
      </w:pPr>
    </w:p>
  </w:footnote>
  <w:footnote w:id="15">
    <w:p w14:paraId="0EE834BF" w14:textId="77777777" w:rsidR="00315466" w:rsidRPr="007770E8" w:rsidRDefault="001D4E15">
      <w:pPr>
        <w:pStyle w:val="FootnoteText"/>
        <w:rPr>
          <w:sz w:val="14"/>
          <w:szCs w:val="14"/>
        </w:rPr>
      </w:pPr>
      <w:r w:rsidRPr="007770E8">
        <w:rPr>
          <w:rStyle w:val="FootnoteReference"/>
          <w:rFonts w:eastAsiaTheme="majorEastAsia"/>
          <w:sz w:val="14"/>
          <w:szCs w:val="14"/>
        </w:rPr>
        <w:footnoteRef/>
      </w:r>
      <w:r w:rsidRPr="007770E8">
        <w:rPr>
          <w:sz w:val="14"/>
          <w:szCs w:val="14"/>
        </w:rPr>
        <w:t xml:space="preserve"> https://www.oecd.org/dac/evaluation/49756382.pdf</w:t>
      </w:r>
    </w:p>
  </w:footnote>
  <w:footnote w:id="16">
    <w:p w14:paraId="059A6B85" w14:textId="77777777" w:rsidR="00315466" w:rsidRPr="007770E8" w:rsidRDefault="001D4E15">
      <w:pPr>
        <w:pStyle w:val="FootnoteText"/>
      </w:pPr>
      <w:r w:rsidRPr="007770E8">
        <w:rPr>
          <w:rStyle w:val="FootnoteReference"/>
          <w:sz w:val="14"/>
          <w:szCs w:val="14"/>
        </w:rPr>
        <w:footnoteRef/>
      </w:r>
      <w:r w:rsidRPr="007770E8">
        <w:rPr>
          <w:sz w:val="14"/>
          <w:szCs w:val="14"/>
        </w:rPr>
        <w:t xml:space="preserve"> </w:t>
      </w:r>
      <w:hyperlink r:id="rId4" w:anchor="section-d1e4269" w:history="1">
        <w:r w:rsidRPr="007770E8">
          <w:rPr>
            <w:rStyle w:val="Hyperlink"/>
            <w:sz w:val="14"/>
            <w:szCs w:val="14"/>
          </w:rPr>
          <w:t>https://www.oecd-ilibrary.org/sites/543e84ed-en/1/3/4/index.html?itemId=/content/publication/543e84ed-en&amp;_csp_=535d2f2a848b7727d35502d7f36e4885&amp;itemIGO=oecd&amp;itemContentType=book#section-d1e4269</w:t>
        </w:r>
      </w:hyperlink>
    </w:p>
  </w:footnote>
  <w:footnote w:id="17">
    <w:p w14:paraId="101B7362" w14:textId="77777777" w:rsidR="00315466" w:rsidRPr="007770E8" w:rsidRDefault="001D4E15">
      <w:pPr>
        <w:pStyle w:val="FootnoteText"/>
      </w:pPr>
      <w:r w:rsidRPr="007770E8">
        <w:rPr>
          <w:rStyle w:val="FootnoteReference"/>
        </w:rPr>
        <w:footnoteRef/>
      </w:r>
      <w:r w:rsidRPr="007770E8">
        <w:t xml:space="preserve"> </w:t>
      </w:r>
      <w:bookmarkStart w:id="121" w:name="_Hlk165800422"/>
      <w:r w:rsidRPr="007770E8">
        <w:rPr>
          <w:sz w:val="14"/>
          <w:szCs w:val="14"/>
        </w:rPr>
        <w:t xml:space="preserve">TUPADO </w:t>
      </w:r>
      <w:bookmarkEnd w:id="121"/>
      <w:r w:rsidRPr="007770E8">
        <w:rPr>
          <w:sz w:val="14"/>
          <w:szCs w:val="14"/>
        </w:rPr>
        <w:t>Shared statistics at the time of evaluation</w:t>
      </w:r>
    </w:p>
  </w:footnote>
  <w:footnote w:id="18">
    <w:p w14:paraId="0C91DC7C" w14:textId="77777777" w:rsidR="00315466" w:rsidRPr="007770E8" w:rsidRDefault="001D4E15">
      <w:pPr>
        <w:pStyle w:val="FootnoteText"/>
        <w:rPr>
          <w:sz w:val="14"/>
          <w:szCs w:val="14"/>
        </w:rPr>
      </w:pPr>
      <w:r w:rsidRPr="007770E8">
        <w:rPr>
          <w:rStyle w:val="FootnoteReference"/>
          <w:sz w:val="14"/>
          <w:szCs w:val="14"/>
        </w:rPr>
        <w:footnoteRef/>
      </w:r>
      <w:r w:rsidRPr="007770E8">
        <w:rPr>
          <w:sz w:val="14"/>
          <w:szCs w:val="14"/>
        </w:rPr>
        <w:t xml:space="preserve"> </w:t>
      </w:r>
      <w:hyperlink r:id="rId5" w:history="1">
        <w:r w:rsidRPr="007770E8">
          <w:rPr>
            <w:rStyle w:val="Hyperlink"/>
            <w:sz w:val="14"/>
            <w:szCs w:val="14"/>
          </w:rPr>
          <w:t>https://one.oecd.org/document/DCD/DAC(2019)58/FINAL/En/pdf</w:t>
        </w:r>
      </w:hyperlink>
    </w:p>
  </w:footnote>
  <w:footnote w:id="19">
    <w:p w14:paraId="52C441B6" w14:textId="77777777" w:rsidR="00315466" w:rsidRPr="007770E8" w:rsidRDefault="001D4E15">
      <w:pPr>
        <w:pStyle w:val="FootnoteText"/>
      </w:pPr>
      <w:r w:rsidRPr="007770E8">
        <w:rPr>
          <w:rStyle w:val="FootnoteReference"/>
        </w:rPr>
        <w:footnoteRef/>
      </w:r>
      <w:r w:rsidRPr="007770E8">
        <w:t xml:space="preserve"> </w:t>
      </w:r>
      <w:r w:rsidRPr="007770E8">
        <w:rPr>
          <w:sz w:val="14"/>
          <w:szCs w:val="14"/>
        </w:rPr>
        <w:t>AHP Activations for Horn of Africa Terms of Reference</w:t>
      </w:r>
    </w:p>
  </w:footnote>
  <w:footnote w:id="20">
    <w:p w14:paraId="4E19B397" w14:textId="77777777" w:rsidR="00315466" w:rsidRPr="007770E8" w:rsidRDefault="001D4E15">
      <w:pPr>
        <w:pStyle w:val="footnotedescription"/>
        <w:spacing w:after="65"/>
        <w:rPr>
          <w:lang w:val="en-GB"/>
        </w:rPr>
      </w:pPr>
      <w:r w:rsidRPr="007770E8">
        <w:rPr>
          <w:rStyle w:val="footnotemark"/>
          <w:lang w:val="en-GB"/>
        </w:rPr>
        <w:footnoteRef/>
      </w:r>
      <w:r w:rsidRPr="007770E8">
        <w:rPr>
          <w:lang w:val="en-GB"/>
        </w:rPr>
        <w:t xml:space="preserve"> </w:t>
      </w:r>
      <w:hyperlink r:id="rId6">
        <w:r w:rsidRPr="007770E8">
          <w:rPr>
            <w:color w:val="0000FF"/>
            <w:u w:val="single" w:color="0000FF"/>
            <w:lang w:val="en-GB"/>
          </w:rPr>
          <w:t>Localisation and the Australian NGO Cooperation Program (ANCP) 2019</w:t>
        </w:r>
      </w:hyperlink>
      <w:hyperlink r:id="rId7">
        <w:r w:rsidRPr="007770E8">
          <w:rPr>
            <w:color w:val="0000FF"/>
            <w:u w:val="single" w:color="0000FF"/>
            <w:lang w:val="en-GB"/>
          </w:rPr>
          <w:t>-</w:t>
        </w:r>
      </w:hyperlink>
      <w:hyperlink r:id="rId8">
        <w:r w:rsidRPr="007770E8">
          <w:rPr>
            <w:color w:val="0000FF"/>
            <w:u w:val="single" w:color="0000FF"/>
            <w:lang w:val="en-GB"/>
          </w:rPr>
          <w:t>20 (dfat.gov.au)</w:t>
        </w:r>
      </w:hyperlink>
      <w:hyperlink r:id="rId9">
        <w:r w:rsidRPr="007770E8">
          <w:rPr>
            <w:u w:color="000000"/>
            <w:lang w:val="en-GB"/>
          </w:rPr>
          <w:t xml:space="preserve"> </w:t>
        </w:r>
      </w:hyperlink>
    </w:p>
  </w:footnote>
  <w:footnote w:id="21">
    <w:p w14:paraId="53D4A0F0" w14:textId="77777777" w:rsidR="00DC13C3" w:rsidRDefault="001D4E15">
      <w:pPr>
        <w:pStyle w:val="footnotedescription"/>
        <w:rPr>
          <w:sz w:val="14"/>
          <w:szCs w:val="14"/>
          <w:lang w:val="en-GB"/>
        </w:rPr>
      </w:pPr>
      <w:r w:rsidRPr="007770E8">
        <w:rPr>
          <w:rStyle w:val="footnotemark"/>
          <w:lang w:val="en-GB"/>
        </w:rPr>
        <w:footnoteRef/>
      </w:r>
      <w:r w:rsidRPr="007770E8">
        <w:rPr>
          <w:lang w:val="en-GB"/>
        </w:rPr>
        <w:t xml:space="preserve"> </w:t>
      </w:r>
      <w:hyperlink r:id="rId10">
        <w:r w:rsidRPr="007770E8">
          <w:rPr>
            <w:sz w:val="14"/>
            <w:szCs w:val="14"/>
            <w:lang w:val="en-GB"/>
          </w:rPr>
          <w:t>https://www.dfat.gov.au/sites/default/files/development</w:t>
        </w:r>
      </w:hyperlink>
      <w:hyperlink r:id="rId11">
        <w:r w:rsidRPr="007770E8">
          <w:rPr>
            <w:sz w:val="14"/>
            <w:szCs w:val="14"/>
            <w:lang w:val="en-GB"/>
          </w:rPr>
          <w:t>-</w:t>
        </w:r>
      </w:hyperlink>
      <w:hyperlink r:id="rId12">
        <w:r w:rsidRPr="007770E8">
          <w:rPr>
            <w:sz w:val="14"/>
            <w:szCs w:val="14"/>
            <w:lang w:val="en-GB"/>
          </w:rPr>
          <w:t>cooperation</w:t>
        </w:r>
      </w:hyperlink>
      <w:hyperlink r:id="rId13">
        <w:r w:rsidRPr="007770E8">
          <w:rPr>
            <w:sz w:val="14"/>
            <w:szCs w:val="14"/>
            <w:lang w:val="en-GB"/>
          </w:rPr>
          <w:t>-</w:t>
        </w:r>
      </w:hyperlink>
      <w:hyperlink r:id="rId14">
        <w:r w:rsidRPr="007770E8">
          <w:rPr>
            <w:sz w:val="14"/>
            <w:szCs w:val="14"/>
            <w:lang w:val="en-GB"/>
          </w:rPr>
          <w:t>fact</w:t>
        </w:r>
      </w:hyperlink>
      <w:hyperlink r:id="rId15">
        <w:r w:rsidRPr="007770E8">
          <w:rPr>
            <w:sz w:val="14"/>
            <w:szCs w:val="14"/>
            <w:lang w:val="en-GB"/>
          </w:rPr>
          <w:t>-</w:t>
        </w:r>
      </w:hyperlink>
      <w:hyperlink r:id="rId16">
        <w:r w:rsidRPr="007770E8">
          <w:rPr>
            <w:sz w:val="14"/>
            <w:szCs w:val="14"/>
            <w:lang w:val="en-GB"/>
          </w:rPr>
          <w:t>sheet</w:t>
        </w:r>
      </w:hyperlink>
      <w:hyperlink r:id="rId17">
        <w:r w:rsidRPr="007770E8">
          <w:rPr>
            <w:sz w:val="14"/>
            <w:szCs w:val="14"/>
            <w:lang w:val="en-GB"/>
          </w:rPr>
          <w:t>-</w:t>
        </w:r>
      </w:hyperlink>
      <w:hyperlink r:id="rId18">
        <w:r w:rsidRPr="007770E8">
          <w:rPr>
            <w:sz w:val="14"/>
            <w:szCs w:val="14"/>
            <w:lang w:val="en-GB"/>
          </w:rPr>
          <w:t>climate</w:t>
        </w:r>
      </w:hyperlink>
      <w:hyperlink r:id="rId19">
        <w:r w:rsidRPr="007770E8">
          <w:rPr>
            <w:sz w:val="14"/>
            <w:szCs w:val="14"/>
            <w:lang w:val="en-GB"/>
          </w:rPr>
          <w:t>-</w:t>
        </w:r>
      </w:hyperlink>
      <w:hyperlink r:id="rId20">
        <w:r w:rsidRPr="007770E8">
          <w:rPr>
            <w:sz w:val="14"/>
            <w:szCs w:val="14"/>
            <w:lang w:val="en-GB"/>
          </w:rPr>
          <w:t>change.pdf</w:t>
        </w:r>
      </w:hyperlink>
    </w:p>
    <w:p w14:paraId="4B0B84D7" w14:textId="618559D8" w:rsidR="00315466" w:rsidRPr="007770E8" w:rsidRDefault="00234B5F">
      <w:pPr>
        <w:pStyle w:val="footnotedescription"/>
        <w:rPr>
          <w:lang w:val="en-GB"/>
        </w:rPr>
      </w:pPr>
      <w:hyperlink r:id="rId21">
        <w:r w:rsidR="001D4E15" w:rsidRPr="007770E8">
          <w:rPr>
            <w:sz w:val="14"/>
            <w:szCs w:val="14"/>
            <w:u w:color="000000"/>
            <w:lang w:val="en-GB"/>
          </w:rPr>
          <w:t xml:space="preserve">  </w:t>
        </w:r>
      </w:hyperlink>
    </w:p>
  </w:footnote>
  <w:footnote w:id="22">
    <w:p w14:paraId="66F12D0B" w14:textId="77777777" w:rsidR="00315466" w:rsidRPr="007770E8" w:rsidRDefault="001D4E15">
      <w:pPr>
        <w:pStyle w:val="footnotedescription"/>
        <w:spacing w:after="65"/>
        <w:rPr>
          <w:sz w:val="14"/>
          <w:szCs w:val="14"/>
          <w:lang w:val="en-GB"/>
        </w:rPr>
      </w:pPr>
      <w:r w:rsidRPr="007770E8">
        <w:rPr>
          <w:rStyle w:val="footnotemark"/>
          <w:sz w:val="14"/>
          <w:szCs w:val="14"/>
          <w:lang w:val="en-GB"/>
        </w:rPr>
        <w:footnoteRef/>
      </w:r>
      <w:r w:rsidRPr="007770E8">
        <w:rPr>
          <w:sz w:val="14"/>
          <w:szCs w:val="14"/>
          <w:lang w:val="en-GB"/>
        </w:rPr>
        <w:t xml:space="preserve"> </w:t>
      </w:r>
      <w:hyperlink r:id="rId22">
        <w:r w:rsidRPr="007770E8">
          <w:rPr>
            <w:color w:val="0000FF"/>
            <w:sz w:val="14"/>
            <w:szCs w:val="14"/>
            <w:u w:val="single" w:color="0000FF"/>
            <w:lang w:val="en-GB"/>
          </w:rPr>
          <w:t>Localisation and the Australian NGO Cooperation Program (ANCP) 2019</w:t>
        </w:r>
      </w:hyperlink>
      <w:hyperlink r:id="rId23">
        <w:r w:rsidRPr="007770E8">
          <w:rPr>
            <w:color w:val="0000FF"/>
            <w:sz w:val="14"/>
            <w:szCs w:val="14"/>
            <w:u w:val="single" w:color="0000FF"/>
            <w:lang w:val="en-GB"/>
          </w:rPr>
          <w:t>-</w:t>
        </w:r>
      </w:hyperlink>
      <w:hyperlink r:id="rId24">
        <w:r w:rsidRPr="007770E8">
          <w:rPr>
            <w:color w:val="0000FF"/>
            <w:sz w:val="14"/>
            <w:szCs w:val="14"/>
            <w:u w:val="single" w:color="0000FF"/>
            <w:lang w:val="en-GB"/>
          </w:rPr>
          <w:t>20 (dfat.gov.au)</w:t>
        </w:r>
      </w:hyperlink>
      <w:hyperlink r:id="rId25">
        <w:r w:rsidRPr="007770E8">
          <w:rPr>
            <w:sz w:val="14"/>
            <w:szCs w:val="14"/>
            <w:u w:color="000000"/>
            <w:lang w:val="en-GB"/>
          </w:rPr>
          <w:t xml:space="preserve"> </w:t>
        </w:r>
      </w:hyperlink>
    </w:p>
  </w:footnote>
  <w:footnote w:id="23">
    <w:p w14:paraId="4D59F708" w14:textId="77777777" w:rsidR="00315466" w:rsidRDefault="001D4E15">
      <w:pPr>
        <w:pStyle w:val="footnotedescription"/>
        <w:rPr>
          <w:lang w:val="en-GB"/>
        </w:rPr>
      </w:pPr>
      <w:r w:rsidRPr="007770E8">
        <w:rPr>
          <w:rStyle w:val="footnotemark"/>
          <w:sz w:val="14"/>
          <w:szCs w:val="14"/>
          <w:lang w:val="en-GB"/>
        </w:rPr>
        <w:footnoteRef/>
      </w:r>
      <w:r w:rsidRPr="007770E8">
        <w:rPr>
          <w:sz w:val="14"/>
          <w:szCs w:val="14"/>
          <w:lang w:val="en-GB"/>
        </w:rPr>
        <w:t xml:space="preserve"> </w:t>
      </w:r>
      <w:hyperlink r:id="rId26">
        <w:r w:rsidRPr="007770E8">
          <w:rPr>
            <w:sz w:val="14"/>
            <w:szCs w:val="14"/>
            <w:lang w:val="en-GB"/>
          </w:rPr>
          <w:t>https://www.dfat.gov.au/sites/default/files/development</w:t>
        </w:r>
      </w:hyperlink>
      <w:hyperlink r:id="rId27">
        <w:r w:rsidRPr="007770E8">
          <w:rPr>
            <w:sz w:val="14"/>
            <w:szCs w:val="14"/>
            <w:lang w:val="en-GB"/>
          </w:rPr>
          <w:t>-</w:t>
        </w:r>
      </w:hyperlink>
      <w:hyperlink r:id="rId28">
        <w:r w:rsidRPr="007770E8">
          <w:rPr>
            <w:sz w:val="14"/>
            <w:szCs w:val="14"/>
            <w:lang w:val="en-GB"/>
          </w:rPr>
          <w:t>cooperation</w:t>
        </w:r>
      </w:hyperlink>
      <w:hyperlink r:id="rId29">
        <w:r w:rsidRPr="007770E8">
          <w:rPr>
            <w:sz w:val="14"/>
            <w:szCs w:val="14"/>
            <w:lang w:val="en-GB"/>
          </w:rPr>
          <w:t>-</w:t>
        </w:r>
      </w:hyperlink>
      <w:hyperlink r:id="rId30">
        <w:r w:rsidRPr="007770E8">
          <w:rPr>
            <w:sz w:val="14"/>
            <w:szCs w:val="14"/>
            <w:lang w:val="en-GB"/>
          </w:rPr>
          <w:t>fact</w:t>
        </w:r>
      </w:hyperlink>
      <w:hyperlink r:id="rId31">
        <w:r w:rsidRPr="007770E8">
          <w:rPr>
            <w:sz w:val="14"/>
            <w:szCs w:val="14"/>
            <w:lang w:val="en-GB"/>
          </w:rPr>
          <w:t>-</w:t>
        </w:r>
      </w:hyperlink>
      <w:hyperlink r:id="rId32">
        <w:r w:rsidRPr="007770E8">
          <w:rPr>
            <w:sz w:val="14"/>
            <w:szCs w:val="14"/>
            <w:lang w:val="en-GB"/>
          </w:rPr>
          <w:t>sheet</w:t>
        </w:r>
      </w:hyperlink>
      <w:hyperlink r:id="rId33">
        <w:r w:rsidRPr="007770E8">
          <w:rPr>
            <w:sz w:val="14"/>
            <w:szCs w:val="14"/>
            <w:lang w:val="en-GB"/>
          </w:rPr>
          <w:t>-</w:t>
        </w:r>
      </w:hyperlink>
      <w:hyperlink r:id="rId34">
        <w:r w:rsidRPr="007770E8">
          <w:rPr>
            <w:sz w:val="14"/>
            <w:szCs w:val="14"/>
            <w:lang w:val="en-GB"/>
          </w:rPr>
          <w:t>climate</w:t>
        </w:r>
      </w:hyperlink>
      <w:hyperlink r:id="rId35">
        <w:r w:rsidRPr="007770E8">
          <w:rPr>
            <w:sz w:val="14"/>
            <w:szCs w:val="14"/>
            <w:lang w:val="en-GB"/>
          </w:rPr>
          <w:t>-</w:t>
        </w:r>
      </w:hyperlink>
      <w:hyperlink r:id="rId36">
        <w:r w:rsidRPr="007770E8">
          <w:rPr>
            <w:sz w:val="14"/>
            <w:szCs w:val="14"/>
            <w:lang w:val="en-GB"/>
          </w:rPr>
          <w:t>change.pdf</w:t>
        </w:r>
      </w:hyperlink>
      <w:hyperlink r:id="rId37">
        <w:r w:rsidRPr="007770E8">
          <w:rPr>
            <w:sz w:val="14"/>
            <w:szCs w:val="14"/>
            <w:u w:color="000000"/>
            <w:lang w:val="en-GB"/>
          </w:rP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06DB" w14:textId="77777777" w:rsidR="00315466" w:rsidRPr="007770E8" w:rsidRDefault="001D4E15">
    <w:pPr>
      <w:spacing w:after="0" w:line="240" w:lineRule="auto"/>
      <w:ind w:left="720"/>
      <w:jc w:val="center"/>
      <w:rPr>
        <w:rFonts w:cs="Calibri"/>
        <w:b/>
        <w:bCs/>
        <w:i/>
        <w:iCs/>
        <w:color w:val="5C52A3"/>
        <w:sz w:val="16"/>
        <w:szCs w:val="16"/>
      </w:rPr>
    </w:pPr>
    <w:r w:rsidRPr="00FB4478">
      <w:rPr>
        <w:noProof/>
      </w:rPr>
      <w:drawing>
        <wp:anchor distT="0" distB="0" distL="114300" distR="114300" simplePos="0" relativeHeight="251658242" behindDoc="1" locked="0" layoutInCell="1" allowOverlap="1" wp14:anchorId="1A03B538" wp14:editId="0DEF254F">
          <wp:simplePos x="0" y="0"/>
          <wp:positionH relativeFrom="column">
            <wp:posOffset>-925741</wp:posOffset>
          </wp:positionH>
          <wp:positionV relativeFrom="paragraph">
            <wp:posOffset>8282</wp:posOffset>
          </wp:positionV>
          <wp:extent cx="7562215" cy="10696575"/>
          <wp:effectExtent l="0" t="0" r="635" b="0"/>
          <wp:wrapNone/>
          <wp:docPr id="866177371" name="Picture 866177371"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04936" name="Picture 543804936" descr="A black background with a black squ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2215" cy="10696575"/>
                  </a:xfrm>
                  <a:prstGeom prst="rect">
                    <a:avLst/>
                  </a:prstGeom>
                  <a:noFill/>
                  <a:ln>
                    <a:noFill/>
                  </a:ln>
                </pic:spPr>
              </pic:pic>
            </a:graphicData>
          </a:graphic>
        </wp:anchor>
      </w:drawing>
    </w:r>
    <w:r w:rsidRPr="00FB4478">
      <w:rPr>
        <w:noProof/>
        <w:lang w:eastAsia="en-GB"/>
      </w:rPr>
      <mc:AlternateContent>
        <mc:Choice Requires="wps">
          <w:drawing>
            <wp:anchor distT="0" distB="0" distL="114300" distR="114300" simplePos="0" relativeHeight="251658247" behindDoc="0" locked="0" layoutInCell="1" allowOverlap="1" wp14:anchorId="4A8A0247" wp14:editId="0794B9AE">
              <wp:simplePos x="0" y="0"/>
              <wp:positionH relativeFrom="page">
                <wp:posOffset>234950</wp:posOffset>
              </wp:positionH>
              <wp:positionV relativeFrom="page">
                <wp:posOffset>958850</wp:posOffset>
              </wp:positionV>
              <wp:extent cx="438785" cy="320040"/>
              <wp:effectExtent l="0" t="0" r="0" b="10160"/>
              <wp:wrapNone/>
              <wp:docPr id="174452028" name="Rectangle 17445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20040"/>
                      </a:xfrm>
                      <a:prstGeom prst="rect">
                        <a:avLst/>
                      </a:prstGeom>
                      <a:noFill/>
                      <a:ln>
                        <a:noFill/>
                      </a:ln>
                    </wps:spPr>
                    <wps:txbx>
                      <w:txbxContent>
                        <w:p w14:paraId="339FCF3D"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4A8A0247" id="Rectangle 174452028" o:spid="_x0000_s1027" style="position:absolute;left:0;text-align:left;margin-left:18.5pt;margin-top:75.5pt;width:34.55pt;height:25.2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" filled="f" stroked="f">
              <v:textbox>
                <w:txbxContent>
                  <w:p w14:paraId="339FCF3D"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v:textbox>
              <w10:wrap anchorx="page" anchory="page"/>
            </v:rect>
          </w:pict>
        </mc:Fallback>
      </mc:AlternateContent>
    </w:r>
    <w:r w:rsidRPr="00FB4478">
      <w:rPr>
        <w:noProof/>
        <w:lang w:eastAsia="en-GB"/>
      </w:rPr>
      <mc:AlternateContent>
        <mc:Choice Requires="wps">
          <w:drawing>
            <wp:anchor distT="0" distB="0" distL="114300" distR="114300" simplePos="0" relativeHeight="251658246" behindDoc="0" locked="0" layoutInCell="1" allowOverlap="1" wp14:anchorId="552B4961" wp14:editId="78AAED8B">
              <wp:simplePos x="0" y="0"/>
              <wp:positionH relativeFrom="page">
                <wp:posOffset>82550</wp:posOffset>
              </wp:positionH>
              <wp:positionV relativeFrom="page">
                <wp:posOffset>806450</wp:posOffset>
              </wp:positionV>
              <wp:extent cx="438785" cy="320040"/>
              <wp:effectExtent l="0" t="0" r="0" b="10160"/>
              <wp:wrapNone/>
              <wp:docPr id="1488455647" name="Rectangle 1488455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20040"/>
                      </a:xfrm>
                      <a:prstGeom prst="rect">
                        <a:avLst/>
                      </a:prstGeom>
                      <a:noFill/>
                      <a:ln>
                        <a:noFill/>
                      </a:ln>
                    </wps:spPr>
                    <wps:txbx>
                      <w:txbxContent>
                        <w:p w14:paraId="449E6ABF"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552B4961" id="Rectangle 1488455647" o:spid="_x0000_s1028" style="position:absolute;left:0;text-align:left;margin-left:6.5pt;margin-top:63.5pt;width:34.55pt;height:25.2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" filled="f" stroked="f">
              <v:textbox>
                <w:txbxContent>
                  <w:p w14:paraId="449E6ABF"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v:textbox>
              <w10:wrap anchorx="page" anchory="page"/>
            </v:rect>
          </w:pict>
        </mc:Fallback>
      </mc:AlternateContent>
    </w:r>
    <w:r w:rsidRPr="00FB4478">
      <w:rPr>
        <w:noProof/>
        <w:lang w:eastAsia="en-GB"/>
      </w:rPr>
      <mc:AlternateContent>
        <mc:Choice Requires="wps">
          <w:drawing>
            <wp:anchor distT="0" distB="0" distL="114300" distR="114300" simplePos="0" relativeHeight="251658245" behindDoc="0" locked="0" layoutInCell="1" allowOverlap="1" wp14:anchorId="5067EF7F" wp14:editId="3E5BBAAC">
              <wp:simplePos x="0" y="0"/>
              <wp:positionH relativeFrom="page">
                <wp:posOffset>83820</wp:posOffset>
              </wp:positionH>
              <wp:positionV relativeFrom="page">
                <wp:posOffset>358775</wp:posOffset>
              </wp:positionV>
              <wp:extent cx="438785" cy="320040"/>
              <wp:effectExtent l="0" t="0" r="0" b="10160"/>
              <wp:wrapNone/>
              <wp:docPr id="308116969" name="Rectangle 308116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20040"/>
                      </a:xfrm>
                      <a:prstGeom prst="rect">
                        <a:avLst/>
                      </a:prstGeom>
                      <a:noFill/>
                      <a:ln>
                        <a:noFill/>
                      </a:ln>
                    </wps:spPr>
                    <wps:txbx>
                      <w:txbxContent>
                        <w:p w14:paraId="1ADAC2B8"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5067EF7F" id="Rectangle 308116969" o:spid="_x0000_s1029" style="position:absolute;left:0;text-align:left;margin-left:6.6pt;margin-top:28.25pt;width:34.55pt;height:25.2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" filled="f" stroked="f">
              <v:textbox>
                <w:txbxContent>
                  <w:p w14:paraId="1ADAC2B8" w14:textId="77777777" w:rsidR="00315466" w:rsidRPr="007770E8" w:rsidRDefault="001D4E15">
                    <w:pPr>
                      <w:pStyle w:val="MediumGrid21"/>
                      <w:jc w:val="center"/>
                      <w:rPr>
                        <w:rFonts w:ascii="Calibri" w:hAnsi="Calibri" w:cs="Calibri"/>
                        <w:color w:val="FFFFFF"/>
                        <w:sz w:val="20"/>
                        <w:szCs w:val="20"/>
                        <w:lang w:val="en-GB"/>
                      </w:rPr>
                    </w:pPr>
                    <w:r w:rsidRPr="007770E8">
                      <w:rPr>
                        <w:rFonts w:ascii="Calibri" w:hAnsi="Calibri" w:cs="Calibri"/>
                        <w:color w:val="FFFFFF"/>
                        <w:sz w:val="20"/>
                        <w:szCs w:val="20"/>
                        <w:lang w:val="en-GB"/>
                      </w:rPr>
                      <w:fldChar w:fldCharType="begin"/>
                    </w:r>
                    <w:r w:rsidRPr="007770E8">
                      <w:rPr>
                        <w:rFonts w:ascii="Calibri" w:hAnsi="Calibri" w:cs="Calibri"/>
                        <w:color w:val="FFFFFF"/>
                        <w:sz w:val="20"/>
                        <w:szCs w:val="20"/>
                        <w:lang w:val="en-GB"/>
                      </w:rPr>
                      <w:instrText xml:space="preserve"> PAGE   \* MERGEFORMAT </w:instrText>
                    </w:r>
                    <w:r w:rsidRPr="007770E8">
                      <w:rPr>
                        <w:rFonts w:ascii="Calibri" w:hAnsi="Calibri" w:cs="Calibri"/>
                        <w:color w:val="FFFFFF"/>
                        <w:sz w:val="20"/>
                        <w:szCs w:val="20"/>
                        <w:lang w:val="en-GB"/>
                      </w:rPr>
                      <w:fldChar w:fldCharType="separate"/>
                    </w:r>
                    <w:r w:rsidRPr="007770E8">
                      <w:rPr>
                        <w:rFonts w:ascii="Calibri" w:hAnsi="Calibri" w:cs="Calibri"/>
                        <w:color w:val="FFFFFF"/>
                        <w:sz w:val="20"/>
                        <w:szCs w:val="20"/>
                        <w:lang w:val="en-GB"/>
                      </w:rPr>
                      <w:t>27</w:t>
                    </w:r>
                    <w:r w:rsidRPr="007770E8">
                      <w:rPr>
                        <w:rFonts w:ascii="Calibri" w:hAnsi="Calibri" w:cs="Calibri"/>
                        <w:color w:val="FFFFFF"/>
                        <w:sz w:val="20"/>
                        <w:szCs w:val="20"/>
                        <w:lang w:val="en-GB"/>
                      </w:rPr>
                      <w:fldChar w:fldCharType="end"/>
                    </w:r>
                  </w:p>
                </w:txbxContent>
              </v:textbox>
              <w10:wrap anchorx="page" anchory="page"/>
            </v:rect>
          </w:pict>
        </mc:Fallback>
      </mc:AlternateContent>
    </w:r>
    <w:r w:rsidRPr="007770E8">
      <w:rPr>
        <w:rFonts w:cs="Calibri"/>
        <w:b/>
        <w:bCs/>
        <w:i/>
        <w:iCs/>
        <w:color w:val="5C52A3"/>
        <w:sz w:val="16"/>
        <w:szCs w:val="16"/>
      </w:rPr>
      <w:t xml:space="preserve"> </w:t>
    </w:r>
  </w:p>
  <w:p w14:paraId="37A6A08A" w14:textId="233B28A9" w:rsidR="00760C84" w:rsidRPr="00760C84" w:rsidRDefault="001D4E15" w:rsidP="00760C84">
    <w:pPr>
      <w:spacing w:after="0" w:line="240" w:lineRule="auto"/>
      <w:rPr>
        <w:i/>
        <w:iCs/>
        <w:color w:val="auto"/>
        <w:szCs w:val="18"/>
      </w:rPr>
    </w:pPr>
    <w:r w:rsidRPr="00EC3E64">
      <w:rPr>
        <w:rFonts w:cs="Calibri"/>
        <w:b/>
        <w:bCs/>
        <w:i/>
        <w:iCs/>
        <w:color w:val="auto"/>
        <w:szCs w:val="18"/>
      </w:rPr>
      <w:t xml:space="preserve">Final Report: </w:t>
    </w:r>
    <w:r w:rsidRPr="00EC3E64">
      <w:rPr>
        <w:i/>
        <w:iCs/>
        <w:color w:val="auto"/>
        <w:szCs w:val="18"/>
      </w:rPr>
      <w:t>Evaluation of the AHP’s Activations on FSL in Ethiopia and Kenya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8" type="#_x0000_t75" style="width:129pt;height:128.25pt;visibility:visible;mso-wrap-style:square" o:bullet="t">
        <v:imagedata r:id="rId1" o:title=""/>
      </v:shape>
    </w:pict>
  </w:numPicBullet>
  <w:numPicBullet w:numPicBulletId="1">
    <w:pict>
      <v:shape id="_x0000_i1329" type="#_x0000_t75" style="width:1563pt;height:1553.25pt;visibility:visible;mso-wrap-style:square" o:bullet="t">
        <v:imagedata r:id="rId2" o:title=""/>
      </v:shape>
    </w:pict>
  </w:numPicBullet>
  <w:abstractNum w:abstractNumId="0" w15:restartNumberingAfterBreak="0">
    <w:nsid w:val="D6D9BC44"/>
    <w:multiLevelType w:val="singleLevel"/>
    <w:tmpl w:val="D6D9BC44"/>
    <w:lvl w:ilvl="0">
      <w:start w:val="1"/>
      <w:numFmt w:val="decimal"/>
      <w:pStyle w:val="ListNumber3"/>
      <w:lvlText w:val="%1."/>
      <w:lvlJc w:val="left"/>
      <w:pPr>
        <w:tabs>
          <w:tab w:val="left" w:pos="1200"/>
        </w:tabs>
        <w:ind w:leftChars="400" w:left="1200" w:hangingChars="200" w:hanging="360"/>
      </w:pPr>
    </w:lvl>
  </w:abstractNum>
  <w:abstractNum w:abstractNumId="1" w15:restartNumberingAfterBreak="0">
    <w:nsid w:val="F11E1B3C"/>
    <w:multiLevelType w:val="singleLevel"/>
    <w:tmpl w:val="F11E1B3C"/>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2" w15:restartNumberingAfterBreak="0">
    <w:nsid w:val="FA759381"/>
    <w:multiLevelType w:val="singleLevel"/>
    <w:tmpl w:val="FA7593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3" w15:restartNumberingAfterBreak="0">
    <w:nsid w:val="00000001"/>
    <w:multiLevelType w:val="multilevel"/>
    <w:tmpl w:val="00000001"/>
    <w:lvl w:ilvl="0">
      <w:start w:val="1"/>
      <w:numFmt w:val="decimal"/>
      <w:pStyle w:val="NbrHeading1"/>
      <w:lvlText w:val="%1."/>
      <w:lvlJc w:val="left"/>
      <w:pPr>
        <w:ind w:left="1134" w:hanging="1134"/>
      </w:pPr>
      <w:rPr>
        <w:rFonts w:hint="default"/>
        <w:u w:val="none"/>
      </w:rPr>
    </w:lvl>
    <w:lvl w:ilvl="1">
      <w:start w:val="1"/>
      <w:numFmt w:val="decimal"/>
      <w:lvlText w:val="%1.%2."/>
      <w:lvlJc w:val="left"/>
      <w:pPr>
        <w:ind w:left="1494" w:hanging="1134"/>
      </w:pPr>
      <w:rPr>
        <w:rFonts w:hint="default"/>
        <w:u w:val="none"/>
      </w:rPr>
    </w:lvl>
    <w:lvl w:ilvl="2">
      <w:start w:val="1"/>
      <w:numFmt w:val="decimal"/>
      <w:lvlText w:val="%1.%2.%3."/>
      <w:lvlJc w:val="left"/>
      <w:pPr>
        <w:ind w:left="1854" w:hanging="1134"/>
      </w:pPr>
      <w:rPr>
        <w:rFonts w:hint="default"/>
        <w:u w:val="none"/>
      </w:rPr>
    </w:lvl>
    <w:lvl w:ilvl="3">
      <w:start w:val="1"/>
      <w:numFmt w:val="decimal"/>
      <w:lvlText w:val="%1.%2.%3.%4."/>
      <w:lvlJc w:val="left"/>
      <w:pPr>
        <w:ind w:left="2214" w:hanging="1134"/>
      </w:pPr>
      <w:rPr>
        <w:rFonts w:hint="default"/>
        <w:u w:val="none"/>
      </w:rPr>
    </w:lvl>
    <w:lvl w:ilvl="4">
      <w:start w:val="1"/>
      <w:numFmt w:val="decimal"/>
      <w:lvlText w:val="%1.%2.%3.%4.%5."/>
      <w:lvlJc w:val="left"/>
      <w:pPr>
        <w:ind w:left="2574" w:hanging="1134"/>
      </w:pPr>
      <w:rPr>
        <w:rFonts w:hint="default"/>
        <w:u w:val="none"/>
      </w:rPr>
    </w:lvl>
    <w:lvl w:ilvl="5">
      <w:start w:val="1"/>
      <w:numFmt w:val="decimal"/>
      <w:lvlText w:val="%1.%2.%3.%4.%5.%6."/>
      <w:lvlJc w:val="left"/>
      <w:pPr>
        <w:ind w:left="2934" w:hanging="1134"/>
      </w:pPr>
      <w:rPr>
        <w:rFonts w:hint="default"/>
        <w:u w:val="none"/>
      </w:rPr>
    </w:lvl>
    <w:lvl w:ilvl="6">
      <w:start w:val="1"/>
      <w:numFmt w:val="decimal"/>
      <w:lvlText w:val="%1.%2.%3.%4.%5.%6.%7."/>
      <w:lvlJc w:val="left"/>
      <w:pPr>
        <w:ind w:left="3294" w:hanging="1134"/>
      </w:pPr>
      <w:rPr>
        <w:rFonts w:hint="default"/>
        <w:u w:val="none"/>
      </w:rPr>
    </w:lvl>
    <w:lvl w:ilvl="7">
      <w:start w:val="1"/>
      <w:numFmt w:val="decimal"/>
      <w:lvlText w:val="%1.%2.%3.%4.%5.%6.%7.%8."/>
      <w:lvlJc w:val="left"/>
      <w:pPr>
        <w:ind w:left="3654" w:hanging="1134"/>
      </w:pPr>
      <w:rPr>
        <w:rFonts w:hint="default"/>
        <w:u w:val="none"/>
      </w:rPr>
    </w:lvl>
    <w:lvl w:ilvl="8">
      <w:start w:val="1"/>
      <w:numFmt w:val="decimal"/>
      <w:lvlText w:val="%1.%2.%3.%4.%5.%6.%7.%8.%9."/>
      <w:lvlJc w:val="left"/>
      <w:pPr>
        <w:ind w:left="4014" w:hanging="1134"/>
      </w:pPr>
      <w:rPr>
        <w:rFonts w:hint="default"/>
        <w:u w:val="none"/>
      </w:rPr>
    </w:lvl>
  </w:abstractNum>
  <w:abstractNum w:abstractNumId="4" w15:restartNumberingAfterBreak="0">
    <w:nsid w:val="00000002"/>
    <w:multiLevelType w:val="multilevel"/>
    <w:tmpl w:val="00000002"/>
    <w:lvl w:ilvl="0">
      <w:start w:val="1"/>
      <w:numFmt w:val="upperLetter"/>
      <w:pStyle w:val="AppendixHeading1"/>
      <w:suff w:val="space"/>
      <w:lvlText w:val="Appendix %1:"/>
      <w:lvlJc w:val="left"/>
      <w:pPr>
        <w:ind w:left="2268" w:hanging="2268"/>
      </w:pPr>
      <w:rPr>
        <w:rFonts w:hint="default"/>
        <w:u w:val="none"/>
      </w:rPr>
    </w:lvl>
    <w:lvl w:ilvl="1">
      <w:start w:val="1"/>
      <w:numFmt w:val="upperLetter"/>
      <w:suff w:val="space"/>
      <w:lvlText w:val="Appendix %1:Appendix %2:"/>
      <w:lvlJc w:val="left"/>
      <w:pPr>
        <w:ind w:left="2628" w:hanging="2268"/>
      </w:pPr>
      <w:rPr>
        <w:rFonts w:hint="default"/>
        <w:u w:val="none"/>
      </w:rPr>
    </w:lvl>
    <w:lvl w:ilvl="2">
      <w:start w:val="1"/>
      <w:numFmt w:val="upperLetter"/>
      <w:suff w:val="space"/>
      <w:lvlText w:val="Appendix %1:Appendix %2:Appendix "/>
      <w:lvlJc w:val="left"/>
      <w:pPr>
        <w:ind w:left="2988" w:hanging="2268"/>
      </w:pPr>
      <w:rPr>
        <w:rFonts w:hint="default"/>
        <w:u w:val="none"/>
      </w:rPr>
    </w:lvl>
    <w:lvl w:ilvl="3">
      <w:start w:val="1"/>
      <w:numFmt w:val="upperLetter"/>
      <w:suff w:val="space"/>
      <w:lvlText w:val="Appendix %1:Appendix %2:Appendix "/>
      <w:lvlJc w:val="left"/>
      <w:pPr>
        <w:ind w:left="3348" w:hanging="2268"/>
      </w:pPr>
      <w:rPr>
        <w:rFonts w:hint="default"/>
        <w:u w:val="none"/>
      </w:rPr>
    </w:lvl>
    <w:lvl w:ilvl="4">
      <w:start w:val="1"/>
      <w:numFmt w:val="upperLetter"/>
      <w:suff w:val="space"/>
      <w:lvlText w:val="Appendix %1:Appendix %2:Appendix "/>
      <w:lvlJc w:val="left"/>
      <w:pPr>
        <w:ind w:left="3708" w:hanging="2268"/>
      </w:pPr>
      <w:rPr>
        <w:rFonts w:hint="default"/>
        <w:u w:val="none"/>
      </w:rPr>
    </w:lvl>
    <w:lvl w:ilvl="5">
      <w:start w:val="1"/>
      <w:numFmt w:val="upperLetter"/>
      <w:suff w:val="space"/>
      <w:lvlText w:val="Appendix %1:Appendix %2:Appendix "/>
      <w:lvlJc w:val="left"/>
      <w:pPr>
        <w:ind w:left="4068" w:hanging="2268"/>
      </w:pPr>
      <w:rPr>
        <w:rFonts w:hint="default"/>
        <w:u w:val="none"/>
      </w:rPr>
    </w:lvl>
    <w:lvl w:ilvl="6">
      <w:start w:val="1"/>
      <w:numFmt w:val="upperLetter"/>
      <w:suff w:val="space"/>
      <w:lvlText w:val="Appendix %1:Appendix %2:Appendix "/>
      <w:lvlJc w:val="left"/>
      <w:pPr>
        <w:ind w:left="4428" w:hanging="2268"/>
      </w:pPr>
      <w:rPr>
        <w:rFonts w:hint="default"/>
        <w:u w:val="none"/>
      </w:rPr>
    </w:lvl>
    <w:lvl w:ilvl="7">
      <w:start w:val="1"/>
      <w:numFmt w:val="upperLetter"/>
      <w:suff w:val="space"/>
      <w:lvlText w:val="Appendix %1:Appendix %2:Appendix "/>
      <w:lvlJc w:val="left"/>
      <w:pPr>
        <w:ind w:left="4788" w:hanging="2268"/>
      </w:pPr>
      <w:rPr>
        <w:rFonts w:hint="default"/>
        <w:u w:val="none"/>
      </w:rPr>
    </w:lvl>
    <w:lvl w:ilvl="8">
      <w:start w:val="1"/>
      <w:numFmt w:val="upperLetter"/>
      <w:suff w:val="space"/>
      <w:lvlText w:val="Appendix %1:Appendix %2:Appendix "/>
      <w:lvlJc w:val="left"/>
      <w:pPr>
        <w:ind w:left="5148" w:hanging="2268"/>
      </w:pPr>
      <w:rPr>
        <w:rFonts w:hint="default"/>
        <w:u w:val="none"/>
      </w:rPr>
    </w:lvl>
  </w:abstractNum>
  <w:abstractNum w:abstractNumId="5" w15:restartNumberingAfterBreak="0">
    <w:nsid w:val="00000004"/>
    <w:multiLevelType w:val="multilevel"/>
    <w:tmpl w:val="00000004"/>
    <w:lvl w:ilvl="0">
      <w:start w:val="1"/>
      <w:numFmt w:val="decimal"/>
      <w:lvlText w:val="%1."/>
      <w:lvlJc w:val="left"/>
      <w:pPr>
        <w:ind w:left="1134" w:hanging="1134"/>
      </w:pPr>
      <w:rPr>
        <w:rFonts w:hint="default"/>
        <w:u w:val="none"/>
      </w:rPr>
    </w:lvl>
    <w:lvl w:ilvl="1">
      <w:start w:val="1"/>
      <w:numFmt w:val="decimal"/>
      <w:pStyle w:val="NbrHeading2"/>
      <w:lvlText w:val="%1.%2"/>
      <w:lvlJc w:val="left"/>
      <w:pPr>
        <w:ind w:left="1134" w:hanging="1134"/>
      </w:pPr>
      <w:rPr>
        <w:rFonts w:hint="default"/>
        <w:u w:val="none"/>
      </w:rPr>
    </w:lvl>
    <w:lvl w:ilvl="2">
      <w:start w:val="1"/>
      <w:numFmt w:val="decimal"/>
      <w:lvlText w:val="%1.%2%3"/>
      <w:lvlJc w:val="left"/>
      <w:pPr>
        <w:ind w:left="1494" w:hanging="1134"/>
      </w:pPr>
      <w:rPr>
        <w:rFonts w:hint="default"/>
        <w:u w:val="none"/>
      </w:rPr>
    </w:lvl>
    <w:lvl w:ilvl="3">
      <w:start w:val="1"/>
      <w:numFmt w:val="decimal"/>
      <w:lvlText w:val="%1.%2%3%4"/>
      <w:lvlJc w:val="left"/>
      <w:pPr>
        <w:ind w:left="1854" w:hanging="1134"/>
      </w:pPr>
      <w:rPr>
        <w:rFonts w:hint="default"/>
        <w:u w:val="none"/>
      </w:rPr>
    </w:lvl>
    <w:lvl w:ilvl="4">
      <w:start w:val="1"/>
      <w:numFmt w:val="decimal"/>
      <w:lvlText w:val="%1.%2%3%4%5"/>
      <w:lvlJc w:val="left"/>
      <w:pPr>
        <w:ind w:left="2214" w:hanging="1134"/>
      </w:pPr>
      <w:rPr>
        <w:rFonts w:hint="default"/>
        <w:u w:val="none"/>
      </w:rPr>
    </w:lvl>
    <w:lvl w:ilvl="5">
      <w:start w:val="1"/>
      <w:numFmt w:val="decimal"/>
      <w:lvlText w:val="%1.%2%3%4%5%6"/>
      <w:lvlJc w:val="left"/>
      <w:pPr>
        <w:ind w:left="2574" w:hanging="1134"/>
      </w:pPr>
      <w:rPr>
        <w:rFonts w:hint="default"/>
        <w:u w:val="none"/>
      </w:rPr>
    </w:lvl>
    <w:lvl w:ilvl="6">
      <w:start w:val="1"/>
      <w:numFmt w:val="decimal"/>
      <w:lvlText w:val="%1.%2%3%4%5%6%7"/>
      <w:lvlJc w:val="left"/>
      <w:pPr>
        <w:ind w:left="2934" w:hanging="1134"/>
      </w:pPr>
      <w:rPr>
        <w:rFonts w:hint="default"/>
        <w:u w:val="none"/>
      </w:rPr>
    </w:lvl>
    <w:lvl w:ilvl="7">
      <w:start w:val="1"/>
      <w:numFmt w:val="decimal"/>
      <w:lvlText w:val="%1.%2%3%4%5%6%7%8"/>
      <w:lvlJc w:val="left"/>
      <w:pPr>
        <w:ind w:left="3294" w:hanging="1134"/>
      </w:pPr>
      <w:rPr>
        <w:rFonts w:hint="default"/>
        <w:u w:val="none"/>
      </w:rPr>
    </w:lvl>
    <w:lvl w:ilvl="8">
      <w:start w:val="1"/>
      <w:numFmt w:val="decimal"/>
      <w:lvlText w:val="%1.%2%3%4%5%6%7%8%9"/>
      <w:lvlJc w:val="left"/>
      <w:pPr>
        <w:ind w:left="3654" w:hanging="1134"/>
      </w:pPr>
      <w:rPr>
        <w:rFonts w:hint="default"/>
        <w:u w:val="none"/>
      </w:rPr>
    </w:lvl>
  </w:abstractNum>
  <w:abstractNum w:abstractNumId="6" w15:restartNumberingAfterBreak="0">
    <w:nsid w:val="00000005"/>
    <w:multiLevelType w:val="multilevel"/>
    <w:tmpl w:val="00000005"/>
    <w:lvl w:ilvl="0">
      <w:start w:val="1"/>
      <w:numFmt w:val="decimal"/>
      <w:lvlText w:val="%1."/>
      <w:lvlJc w:val="left"/>
      <w:pPr>
        <w:ind w:left="1134" w:hanging="1134"/>
      </w:pPr>
      <w:rPr>
        <w:rFonts w:hint="default"/>
        <w:u w:val="none"/>
      </w:rPr>
    </w:lvl>
    <w:lvl w:ilvl="1">
      <w:start w:val="1"/>
      <w:numFmt w:val="decimal"/>
      <w:pStyle w:val="AppendixHeading2"/>
      <w:lvlText w:val="%1.%2"/>
      <w:lvlJc w:val="left"/>
      <w:pPr>
        <w:ind w:left="1134" w:hanging="1134"/>
      </w:pPr>
      <w:rPr>
        <w:rFonts w:hint="default"/>
        <w:u w:val="none"/>
      </w:rPr>
    </w:lvl>
    <w:lvl w:ilvl="2">
      <w:start w:val="1"/>
      <w:numFmt w:val="decimal"/>
      <w:lvlText w:val="%1.%2%3"/>
      <w:lvlJc w:val="left"/>
      <w:pPr>
        <w:ind w:left="1494" w:hanging="1134"/>
      </w:pPr>
      <w:rPr>
        <w:rFonts w:hint="default"/>
        <w:u w:val="none"/>
      </w:rPr>
    </w:lvl>
    <w:lvl w:ilvl="3">
      <w:start w:val="1"/>
      <w:numFmt w:val="decimal"/>
      <w:lvlText w:val="%1.%2%3%4"/>
      <w:lvlJc w:val="left"/>
      <w:pPr>
        <w:ind w:left="1854" w:hanging="1134"/>
      </w:pPr>
      <w:rPr>
        <w:rFonts w:hint="default"/>
        <w:u w:val="none"/>
      </w:rPr>
    </w:lvl>
    <w:lvl w:ilvl="4">
      <w:start w:val="1"/>
      <w:numFmt w:val="decimal"/>
      <w:lvlText w:val="%1.%2%3%4%5"/>
      <w:lvlJc w:val="left"/>
      <w:pPr>
        <w:ind w:left="2214" w:hanging="1134"/>
      </w:pPr>
      <w:rPr>
        <w:rFonts w:hint="default"/>
        <w:u w:val="none"/>
      </w:rPr>
    </w:lvl>
    <w:lvl w:ilvl="5">
      <w:start w:val="1"/>
      <w:numFmt w:val="decimal"/>
      <w:lvlText w:val="%1.%2%3%4%5%6"/>
      <w:lvlJc w:val="left"/>
      <w:pPr>
        <w:ind w:left="2574" w:hanging="1134"/>
      </w:pPr>
      <w:rPr>
        <w:rFonts w:hint="default"/>
        <w:u w:val="none"/>
      </w:rPr>
    </w:lvl>
    <w:lvl w:ilvl="6">
      <w:start w:val="1"/>
      <w:numFmt w:val="decimal"/>
      <w:lvlText w:val="%1.%2%3%4%5%6%7"/>
      <w:lvlJc w:val="left"/>
      <w:pPr>
        <w:ind w:left="2934" w:hanging="1134"/>
      </w:pPr>
      <w:rPr>
        <w:rFonts w:hint="default"/>
        <w:u w:val="none"/>
      </w:rPr>
    </w:lvl>
    <w:lvl w:ilvl="7">
      <w:start w:val="1"/>
      <w:numFmt w:val="decimal"/>
      <w:lvlText w:val="%1.%2%3%4%5%6%7%8"/>
      <w:lvlJc w:val="left"/>
      <w:pPr>
        <w:ind w:left="3294" w:hanging="1134"/>
      </w:pPr>
      <w:rPr>
        <w:rFonts w:hint="default"/>
        <w:u w:val="none"/>
      </w:rPr>
    </w:lvl>
    <w:lvl w:ilvl="8">
      <w:start w:val="1"/>
      <w:numFmt w:val="decimal"/>
      <w:lvlText w:val="%1.%2%3%4%5%6%7%8%9"/>
      <w:lvlJc w:val="left"/>
      <w:pPr>
        <w:ind w:left="3654" w:hanging="1134"/>
      </w:pPr>
      <w:rPr>
        <w:rFonts w:hint="default"/>
        <w:u w:val="none"/>
      </w:rPr>
    </w:lvl>
  </w:abstractNum>
  <w:abstractNum w:abstractNumId="7" w15:restartNumberingAfterBreak="0">
    <w:nsid w:val="00000006"/>
    <w:multiLevelType w:val="multilevel"/>
    <w:tmpl w:val="00000006"/>
    <w:lvl w:ilvl="0">
      <w:start w:val="1"/>
      <w:numFmt w:val="lowerLetter"/>
      <w:pStyle w:val="ListAlpha"/>
      <w:lvlText w:val="(%1)"/>
      <w:lvlJc w:val="left"/>
      <w:pPr>
        <w:ind w:left="425" w:hanging="425"/>
      </w:pPr>
      <w:rPr>
        <w:rFonts w:hint="default"/>
        <w:u w:val="none"/>
      </w:rPr>
    </w:lvl>
    <w:lvl w:ilvl="1">
      <w:start w:val="1"/>
      <w:numFmt w:val="lowerLetter"/>
      <w:lvlText w:val="(%2)"/>
      <w:lvlJc w:val="left"/>
      <w:pPr>
        <w:ind w:left="785" w:hanging="425"/>
      </w:pPr>
      <w:rPr>
        <w:rFonts w:hint="default"/>
        <w:u w:val="none"/>
      </w:rPr>
    </w:lvl>
    <w:lvl w:ilvl="2">
      <w:start w:val="1"/>
      <w:numFmt w:val="lowerLetter"/>
      <w:lvlText w:val="(%3)"/>
      <w:lvlJc w:val="left"/>
      <w:pPr>
        <w:ind w:left="1145" w:hanging="425"/>
      </w:pPr>
      <w:rPr>
        <w:rFonts w:hint="default"/>
        <w:u w:val="none"/>
      </w:rPr>
    </w:lvl>
    <w:lvl w:ilvl="3">
      <w:start w:val="1"/>
      <w:numFmt w:val="lowerLetter"/>
      <w:lvlText w:val="(%4)"/>
      <w:lvlJc w:val="left"/>
      <w:pPr>
        <w:ind w:left="1505" w:hanging="425"/>
      </w:pPr>
      <w:rPr>
        <w:rFonts w:hint="default"/>
        <w:u w:val="none"/>
      </w:rPr>
    </w:lvl>
    <w:lvl w:ilvl="4">
      <w:start w:val="1"/>
      <w:numFmt w:val="lowerLetter"/>
      <w:lvlText w:val="(%5)"/>
      <w:lvlJc w:val="left"/>
      <w:pPr>
        <w:ind w:left="1865" w:hanging="425"/>
      </w:pPr>
      <w:rPr>
        <w:rFonts w:hint="default"/>
        <w:u w:val="none"/>
      </w:rPr>
    </w:lvl>
    <w:lvl w:ilvl="5">
      <w:start w:val="1"/>
      <w:numFmt w:val="lowerLetter"/>
      <w:lvlText w:val="(%6)"/>
      <w:lvlJc w:val="left"/>
      <w:pPr>
        <w:ind w:left="2225" w:hanging="425"/>
      </w:pPr>
      <w:rPr>
        <w:rFonts w:hint="default"/>
        <w:u w:val="none"/>
      </w:rPr>
    </w:lvl>
    <w:lvl w:ilvl="6">
      <w:start w:val="1"/>
      <w:numFmt w:val="lowerLetter"/>
      <w:lvlText w:val="(%7)"/>
      <w:lvlJc w:val="left"/>
      <w:pPr>
        <w:ind w:left="2585" w:hanging="425"/>
      </w:pPr>
      <w:rPr>
        <w:rFonts w:hint="default"/>
        <w:u w:val="none"/>
      </w:rPr>
    </w:lvl>
    <w:lvl w:ilvl="7">
      <w:start w:val="1"/>
      <w:numFmt w:val="lowerLetter"/>
      <w:lvlText w:val="(%8)"/>
      <w:lvlJc w:val="left"/>
      <w:pPr>
        <w:ind w:left="2945" w:hanging="425"/>
      </w:pPr>
      <w:rPr>
        <w:rFonts w:hint="default"/>
        <w:u w:val="none"/>
      </w:rPr>
    </w:lvl>
    <w:lvl w:ilvl="8">
      <w:start w:val="1"/>
      <w:numFmt w:val="lowerLetter"/>
      <w:lvlText w:val="(%9)"/>
      <w:lvlJc w:val="left"/>
      <w:pPr>
        <w:ind w:left="3305" w:hanging="425"/>
      </w:pPr>
      <w:rPr>
        <w:rFonts w:hint="default"/>
        <w:u w:val="none"/>
      </w:rPr>
    </w:lvl>
  </w:abstractNum>
  <w:abstractNum w:abstractNumId="8" w15:restartNumberingAfterBreak="0">
    <w:nsid w:val="00000007"/>
    <w:multiLevelType w:val="multilevel"/>
    <w:tmpl w:val="00000007"/>
    <w:lvl w:ilvl="0">
      <w:start w:val="1"/>
      <w:numFmt w:val="lowerRoman"/>
      <w:lvlText w:val="%1."/>
      <w:lvlJc w:val="left"/>
      <w:pPr>
        <w:ind w:left="490" w:hanging="425"/>
      </w:pPr>
      <w:rPr>
        <w:rFonts w:hint="default"/>
        <w:u w:val="none"/>
      </w:rPr>
    </w:lvl>
    <w:lvl w:ilvl="1">
      <w:start w:val="1"/>
      <w:numFmt w:val="lowerRoman"/>
      <w:pStyle w:val="ListAlpha2"/>
      <w:lvlText w:val="(%2)"/>
      <w:lvlJc w:val="left"/>
      <w:pPr>
        <w:ind w:left="850" w:hanging="425"/>
      </w:pPr>
      <w:rPr>
        <w:rFonts w:hint="default"/>
        <w:u w:val="none"/>
      </w:rPr>
    </w:lvl>
    <w:lvl w:ilvl="2">
      <w:start w:val="1"/>
      <w:numFmt w:val="lowerRoman"/>
      <w:lvlText w:val="(%3)"/>
      <w:lvlJc w:val="left"/>
      <w:pPr>
        <w:ind w:left="1210" w:hanging="425"/>
      </w:pPr>
      <w:rPr>
        <w:rFonts w:hint="default"/>
        <w:u w:val="none"/>
      </w:rPr>
    </w:lvl>
    <w:lvl w:ilvl="3">
      <w:start w:val="1"/>
      <w:numFmt w:val="lowerRoman"/>
      <w:lvlText w:val="(%4)"/>
      <w:lvlJc w:val="left"/>
      <w:pPr>
        <w:ind w:left="1570" w:hanging="425"/>
      </w:pPr>
      <w:rPr>
        <w:rFonts w:hint="default"/>
        <w:u w:val="none"/>
      </w:rPr>
    </w:lvl>
    <w:lvl w:ilvl="4">
      <w:start w:val="1"/>
      <w:numFmt w:val="lowerRoman"/>
      <w:lvlText w:val="(%5)"/>
      <w:lvlJc w:val="left"/>
      <w:pPr>
        <w:ind w:left="1930" w:hanging="425"/>
      </w:pPr>
      <w:rPr>
        <w:rFonts w:hint="default"/>
        <w:u w:val="none"/>
      </w:rPr>
    </w:lvl>
    <w:lvl w:ilvl="5">
      <w:start w:val="1"/>
      <w:numFmt w:val="lowerRoman"/>
      <w:lvlText w:val="(%6)"/>
      <w:lvlJc w:val="left"/>
      <w:pPr>
        <w:ind w:left="2290" w:hanging="425"/>
      </w:pPr>
      <w:rPr>
        <w:rFonts w:hint="default"/>
        <w:u w:val="none"/>
      </w:rPr>
    </w:lvl>
    <w:lvl w:ilvl="6">
      <w:start w:val="1"/>
      <w:numFmt w:val="lowerRoman"/>
      <w:lvlText w:val="(%7)"/>
      <w:lvlJc w:val="left"/>
      <w:pPr>
        <w:ind w:left="2650" w:hanging="425"/>
      </w:pPr>
      <w:rPr>
        <w:rFonts w:hint="default"/>
        <w:u w:val="none"/>
      </w:rPr>
    </w:lvl>
    <w:lvl w:ilvl="7">
      <w:start w:val="1"/>
      <w:numFmt w:val="lowerRoman"/>
      <w:lvlText w:val="(%8)"/>
      <w:lvlJc w:val="left"/>
      <w:pPr>
        <w:ind w:left="3010" w:hanging="425"/>
      </w:pPr>
      <w:rPr>
        <w:rFonts w:hint="default"/>
        <w:u w:val="none"/>
      </w:rPr>
    </w:lvl>
    <w:lvl w:ilvl="8">
      <w:start w:val="1"/>
      <w:numFmt w:val="lowerRoman"/>
      <w:lvlText w:val="(%9)"/>
      <w:lvlJc w:val="left"/>
      <w:pPr>
        <w:ind w:left="3370" w:hanging="425"/>
      </w:pPr>
      <w:rPr>
        <w:rFonts w:hint="default"/>
        <w:u w:val="none"/>
      </w:rPr>
    </w:lvl>
  </w:abstractNum>
  <w:abstractNum w:abstractNumId="9" w15:restartNumberingAfterBreak="0">
    <w:nsid w:val="00000008"/>
    <w:multiLevelType w:val="multilevel"/>
    <w:tmpl w:val="00000008"/>
    <w:lvl w:ilvl="0">
      <w:start w:val="1"/>
      <w:numFmt w:val="decimal"/>
      <w:lvlText w:val="%1."/>
      <w:lvlJc w:val="left"/>
      <w:pPr>
        <w:ind w:left="555" w:hanging="425"/>
      </w:pPr>
      <w:rPr>
        <w:rFonts w:hint="default"/>
        <w:u w:val="none"/>
      </w:rPr>
    </w:lvl>
    <w:lvl w:ilvl="1">
      <w:start w:val="1"/>
      <w:numFmt w:val="decimal"/>
      <w:lvlText w:val="%2."/>
      <w:lvlJc w:val="left"/>
      <w:pPr>
        <w:ind w:left="915" w:hanging="425"/>
      </w:pPr>
      <w:rPr>
        <w:rFonts w:hint="default"/>
        <w:u w:val="none"/>
      </w:rPr>
    </w:lvl>
    <w:lvl w:ilvl="2">
      <w:start w:val="1"/>
      <w:numFmt w:val="decimal"/>
      <w:pStyle w:val="ListAlpha3"/>
      <w:lvlText w:val="(%3)"/>
      <w:lvlJc w:val="left"/>
      <w:pPr>
        <w:ind w:left="1275" w:hanging="425"/>
      </w:pPr>
      <w:rPr>
        <w:rFonts w:hint="default"/>
        <w:u w:val="none"/>
      </w:rPr>
    </w:lvl>
    <w:lvl w:ilvl="3">
      <w:start w:val="1"/>
      <w:numFmt w:val="decimal"/>
      <w:lvlText w:val="(%4)"/>
      <w:lvlJc w:val="left"/>
      <w:pPr>
        <w:ind w:left="1635" w:hanging="425"/>
      </w:pPr>
      <w:rPr>
        <w:rFonts w:hint="default"/>
        <w:u w:val="none"/>
      </w:rPr>
    </w:lvl>
    <w:lvl w:ilvl="4">
      <w:start w:val="1"/>
      <w:numFmt w:val="decimal"/>
      <w:lvlText w:val="(%5)"/>
      <w:lvlJc w:val="left"/>
      <w:pPr>
        <w:ind w:left="1995" w:hanging="425"/>
      </w:pPr>
      <w:rPr>
        <w:rFonts w:hint="default"/>
        <w:u w:val="none"/>
      </w:rPr>
    </w:lvl>
    <w:lvl w:ilvl="5">
      <w:start w:val="1"/>
      <w:numFmt w:val="decimal"/>
      <w:lvlText w:val="(%6)"/>
      <w:lvlJc w:val="left"/>
      <w:pPr>
        <w:ind w:left="2355" w:hanging="425"/>
      </w:pPr>
      <w:rPr>
        <w:rFonts w:hint="default"/>
        <w:u w:val="none"/>
      </w:rPr>
    </w:lvl>
    <w:lvl w:ilvl="6">
      <w:start w:val="1"/>
      <w:numFmt w:val="decimal"/>
      <w:lvlText w:val="(%7)"/>
      <w:lvlJc w:val="left"/>
      <w:pPr>
        <w:ind w:left="2715" w:hanging="425"/>
      </w:pPr>
      <w:rPr>
        <w:rFonts w:hint="default"/>
        <w:u w:val="none"/>
      </w:rPr>
    </w:lvl>
    <w:lvl w:ilvl="7">
      <w:start w:val="1"/>
      <w:numFmt w:val="decimal"/>
      <w:lvlText w:val="(%8)"/>
      <w:lvlJc w:val="left"/>
      <w:pPr>
        <w:ind w:left="3075" w:hanging="425"/>
      </w:pPr>
      <w:rPr>
        <w:rFonts w:hint="default"/>
        <w:u w:val="none"/>
      </w:rPr>
    </w:lvl>
    <w:lvl w:ilvl="8">
      <w:start w:val="1"/>
      <w:numFmt w:val="decimal"/>
      <w:lvlText w:val="(%9)"/>
      <w:lvlJc w:val="left"/>
      <w:pPr>
        <w:ind w:left="3435" w:hanging="425"/>
      </w:pPr>
      <w:rPr>
        <w:rFonts w:hint="default"/>
        <w:u w:val="none"/>
      </w:rPr>
    </w:lvl>
  </w:abstractNum>
  <w:abstractNum w:abstractNumId="10" w15:restartNumberingAfterBreak="0">
    <w:nsid w:val="00000009"/>
    <w:multiLevelType w:val="multilevel"/>
    <w:tmpl w:val="00000009"/>
    <w:lvl w:ilvl="0">
      <w:start w:val="1"/>
      <w:numFmt w:val="upperLetter"/>
      <w:lvlText w:val="%1."/>
      <w:lvlJc w:val="left"/>
      <w:pPr>
        <w:ind w:left="620" w:hanging="425"/>
      </w:pPr>
      <w:rPr>
        <w:rFonts w:hint="default"/>
        <w:u w:val="none"/>
      </w:rPr>
    </w:lvl>
    <w:lvl w:ilvl="1">
      <w:start w:val="1"/>
      <w:numFmt w:val="upperLetter"/>
      <w:lvlText w:val="%2."/>
      <w:lvlJc w:val="left"/>
      <w:pPr>
        <w:ind w:left="980" w:hanging="425"/>
      </w:pPr>
      <w:rPr>
        <w:rFonts w:hint="default"/>
        <w:u w:val="none"/>
      </w:rPr>
    </w:lvl>
    <w:lvl w:ilvl="2">
      <w:start w:val="1"/>
      <w:numFmt w:val="upperLetter"/>
      <w:lvlText w:val="%3."/>
      <w:lvlJc w:val="left"/>
      <w:pPr>
        <w:ind w:left="1340" w:hanging="425"/>
      </w:pPr>
      <w:rPr>
        <w:rFonts w:hint="default"/>
        <w:u w:val="none"/>
      </w:rPr>
    </w:lvl>
    <w:lvl w:ilvl="3">
      <w:start w:val="1"/>
      <w:numFmt w:val="upperLetter"/>
      <w:pStyle w:val="ListAlpha4"/>
      <w:lvlText w:val="(%4)"/>
      <w:lvlJc w:val="left"/>
      <w:pPr>
        <w:ind w:left="1700" w:hanging="425"/>
      </w:pPr>
      <w:rPr>
        <w:rFonts w:hint="default"/>
        <w:u w:val="none"/>
      </w:rPr>
    </w:lvl>
    <w:lvl w:ilvl="4">
      <w:start w:val="1"/>
      <w:numFmt w:val="upperLetter"/>
      <w:lvlText w:val="(%5)"/>
      <w:lvlJc w:val="left"/>
      <w:pPr>
        <w:ind w:left="2060" w:hanging="425"/>
      </w:pPr>
      <w:rPr>
        <w:rFonts w:hint="default"/>
        <w:u w:val="none"/>
      </w:rPr>
    </w:lvl>
    <w:lvl w:ilvl="5">
      <w:start w:val="1"/>
      <w:numFmt w:val="upperLetter"/>
      <w:lvlText w:val="(%6)"/>
      <w:lvlJc w:val="left"/>
      <w:pPr>
        <w:ind w:left="2420" w:hanging="425"/>
      </w:pPr>
      <w:rPr>
        <w:rFonts w:hint="default"/>
        <w:u w:val="none"/>
      </w:rPr>
    </w:lvl>
    <w:lvl w:ilvl="6">
      <w:start w:val="1"/>
      <w:numFmt w:val="upperLetter"/>
      <w:lvlText w:val="(%7)"/>
      <w:lvlJc w:val="left"/>
      <w:pPr>
        <w:ind w:left="2780" w:hanging="425"/>
      </w:pPr>
      <w:rPr>
        <w:rFonts w:hint="default"/>
        <w:u w:val="none"/>
      </w:rPr>
    </w:lvl>
    <w:lvl w:ilvl="7">
      <w:start w:val="1"/>
      <w:numFmt w:val="upperLetter"/>
      <w:lvlText w:val="(%8)"/>
      <w:lvlJc w:val="left"/>
      <w:pPr>
        <w:ind w:left="3140" w:hanging="425"/>
      </w:pPr>
      <w:rPr>
        <w:rFonts w:hint="default"/>
        <w:u w:val="none"/>
      </w:rPr>
    </w:lvl>
    <w:lvl w:ilvl="8">
      <w:start w:val="1"/>
      <w:numFmt w:val="upperLetter"/>
      <w:lvlText w:val="(%9)"/>
      <w:lvlJc w:val="left"/>
      <w:pPr>
        <w:ind w:left="3500" w:hanging="425"/>
      </w:pPr>
      <w:rPr>
        <w:rFonts w:hint="default"/>
        <w:u w:val="none"/>
      </w:rPr>
    </w:lvl>
  </w:abstractNum>
  <w:abstractNum w:abstractNumId="11" w15:restartNumberingAfterBreak="0">
    <w:nsid w:val="0000000A"/>
    <w:multiLevelType w:val="multilevel"/>
    <w:tmpl w:val="0000000A"/>
    <w:lvl w:ilvl="0">
      <w:start w:val="1"/>
      <w:numFmt w:val="upperRoman"/>
      <w:lvlText w:val="%1."/>
      <w:lvlJc w:val="left"/>
      <w:pPr>
        <w:ind w:left="685" w:hanging="425"/>
      </w:pPr>
      <w:rPr>
        <w:rFonts w:hint="default"/>
        <w:u w:val="none"/>
      </w:rPr>
    </w:lvl>
    <w:lvl w:ilvl="1">
      <w:start w:val="1"/>
      <w:numFmt w:val="upperRoman"/>
      <w:lvlText w:val="%2."/>
      <w:lvlJc w:val="left"/>
      <w:pPr>
        <w:ind w:left="1045" w:hanging="425"/>
      </w:pPr>
      <w:rPr>
        <w:rFonts w:hint="default"/>
        <w:u w:val="none"/>
      </w:rPr>
    </w:lvl>
    <w:lvl w:ilvl="2">
      <w:start w:val="1"/>
      <w:numFmt w:val="upperRoman"/>
      <w:lvlText w:val="%3."/>
      <w:lvlJc w:val="left"/>
      <w:pPr>
        <w:ind w:left="1405" w:hanging="425"/>
      </w:pPr>
      <w:rPr>
        <w:rFonts w:hint="default"/>
        <w:u w:val="none"/>
      </w:rPr>
    </w:lvl>
    <w:lvl w:ilvl="3">
      <w:start w:val="1"/>
      <w:numFmt w:val="upperRoman"/>
      <w:lvlText w:val="%4."/>
      <w:lvlJc w:val="left"/>
      <w:pPr>
        <w:ind w:left="1765" w:hanging="425"/>
      </w:pPr>
      <w:rPr>
        <w:rFonts w:hint="default"/>
        <w:u w:val="none"/>
      </w:rPr>
    </w:lvl>
    <w:lvl w:ilvl="4">
      <w:start w:val="1"/>
      <w:numFmt w:val="upperRoman"/>
      <w:pStyle w:val="ListAlpha5"/>
      <w:lvlText w:val="(%5)"/>
      <w:lvlJc w:val="left"/>
      <w:pPr>
        <w:ind w:left="2125" w:hanging="425"/>
      </w:pPr>
      <w:rPr>
        <w:rFonts w:hint="default"/>
        <w:u w:val="none"/>
      </w:rPr>
    </w:lvl>
    <w:lvl w:ilvl="5">
      <w:start w:val="1"/>
      <w:numFmt w:val="upperRoman"/>
      <w:lvlText w:val="(%6)"/>
      <w:lvlJc w:val="left"/>
      <w:pPr>
        <w:ind w:left="2485" w:hanging="425"/>
      </w:pPr>
      <w:rPr>
        <w:rFonts w:hint="default"/>
        <w:u w:val="none"/>
      </w:rPr>
    </w:lvl>
    <w:lvl w:ilvl="6">
      <w:start w:val="1"/>
      <w:numFmt w:val="upperRoman"/>
      <w:lvlText w:val="(%7)"/>
      <w:lvlJc w:val="left"/>
      <w:pPr>
        <w:ind w:left="2845" w:hanging="425"/>
      </w:pPr>
      <w:rPr>
        <w:rFonts w:hint="default"/>
        <w:u w:val="none"/>
      </w:rPr>
    </w:lvl>
    <w:lvl w:ilvl="7">
      <w:start w:val="1"/>
      <w:numFmt w:val="upperRoman"/>
      <w:lvlText w:val="(%8)"/>
      <w:lvlJc w:val="left"/>
      <w:pPr>
        <w:ind w:left="3205" w:hanging="425"/>
      </w:pPr>
      <w:rPr>
        <w:rFonts w:hint="default"/>
        <w:u w:val="none"/>
      </w:rPr>
    </w:lvl>
    <w:lvl w:ilvl="8">
      <w:start w:val="1"/>
      <w:numFmt w:val="upperRoman"/>
      <w:lvlText w:val="(%9)"/>
      <w:lvlJc w:val="left"/>
      <w:pPr>
        <w:ind w:left="3565" w:hanging="425"/>
      </w:pPr>
      <w:rPr>
        <w:rFonts w:hint="default"/>
        <w:u w:val="none"/>
      </w:rPr>
    </w:lvl>
  </w:abstractNum>
  <w:abstractNum w:abstractNumId="12" w15:restartNumberingAfterBreak="0">
    <w:nsid w:val="0000000B"/>
    <w:multiLevelType w:val="multilevel"/>
    <w:tmpl w:val="0000000B"/>
    <w:lvl w:ilvl="0">
      <w:start w:val="1"/>
      <w:numFmt w:val="decimal"/>
      <w:lvlText w:val="%1."/>
      <w:lvlJc w:val="left"/>
      <w:pPr>
        <w:ind w:left="750" w:hanging="425"/>
      </w:pPr>
      <w:rPr>
        <w:rFonts w:hint="default"/>
        <w:u w:val="none"/>
      </w:rPr>
    </w:lvl>
    <w:lvl w:ilvl="1">
      <w:start w:val="1"/>
      <w:numFmt w:val="decimal"/>
      <w:lvlText w:val="%2."/>
      <w:lvlJc w:val="left"/>
      <w:pPr>
        <w:ind w:left="1110" w:hanging="425"/>
      </w:pPr>
      <w:rPr>
        <w:rFonts w:hint="default"/>
        <w:u w:val="none"/>
      </w:rPr>
    </w:lvl>
    <w:lvl w:ilvl="2">
      <w:start w:val="1"/>
      <w:numFmt w:val="decimal"/>
      <w:lvlText w:val="%3."/>
      <w:lvlJc w:val="left"/>
      <w:pPr>
        <w:ind w:left="1470" w:hanging="425"/>
      </w:pPr>
      <w:rPr>
        <w:rFonts w:hint="default"/>
        <w:u w:val="none"/>
      </w:rPr>
    </w:lvl>
    <w:lvl w:ilvl="3">
      <w:start w:val="1"/>
      <w:numFmt w:val="decimal"/>
      <w:lvlText w:val="%4."/>
      <w:lvlJc w:val="left"/>
      <w:pPr>
        <w:ind w:left="1830" w:hanging="425"/>
      </w:pPr>
      <w:rPr>
        <w:rFonts w:hint="default"/>
        <w:u w:val="none"/>
      </w:rPr>
    </w:lvl>
    <w:lvl w:ilvl="4">
      <w:start w:val="1"/>
      <w:numFmt w:val="decimal"/>
      <w:lvlText w:val="%5."/>
      <w:lvlJc w:val="left"/>
      <w:pPr>
        <w:ind w:left="2190" w:hanging="425"/>
      </w:pPr>
      <w:rPr>
        <w:rFonts w:hint="default"/>
        <w:u w:val="none"/>
      </w:rPr>
    </w:lvl>
    <w:lvl w:ilvl="5">
      <w:start w:val="1"/>
      <w:numFmt w:val="decimal"/>
      <w:pStyle w:val="ListAlpha6"/>
      <w:lvlText w:val="(%6)"/>
      <w:lvlJc w:val="left"/>
      <w:pPr>
        <w:ind w:left="2550" w:hanging="425"/>
      </w:pPr>
      <w:rPr>
        <w:rFonts w:hint="default"/>
        <w:u w:val="none"/>
      </w:rPr>
    </w:lvl>
    <w:lvl w:ilvl="6">
      <w:start w:val="1"/>
      <w:numFmt w:val="decimal"/>
      <w:lvlText w:val="(%7)"/>
      <w:lvlJc w:val="left"/>
      <w:pPr>
        <w:ind w:left="2910" w:hanging="425"/>
      </w:pPr>
      <w:rPr>
        <w:rFonts w:hint="default"/>
        <w:u w:val="none"/>
      </w:rPr>
    </w:lvl>
    <w:lvl w:ilvl="7">
      <w:start w:val="1"/>
      <w:numFmt w:val="decimal"/>
      <w:lvlText w:val="(%8)"/>
      <w:lvlJc w:val="left"/>
      <w:pPr>
        <w:ind w:left="3270" w:hanging="425"/>
      </w:pPr>
      <w:rPr>
        <w:rFonts w:hint="default"/>
        <w:u w:val="none"/>
      </w:rPr>
    </w:lvl>
    <w:lvl w:ilvl="8">
      <w:start w:val="1"/>
      <w:numFmt w:val="decimal"/>
      <w:lvlText w:val="(%9)"/>
      <w:lvlJc w:val="left"/>
      <w:pPr>
        <w:ind w:left="3630" w:hanging="425"/>
      </w:pPr>
      <w:rPr>
        <w:rFonts w:hint="default"/>
        <w:u w:val="none"/>
      </w:rPr>
    </w:lvl>
  </w:abstractNum>
  <w:abstractNum w:abstractNumId="13" w15:restartNumberingAfterBreak="0">
    <w:nsid w:val="00000010"/>
    <w:multiLevelType w:val="multilevel"/>
    <w:tmpl w:val="00000010"/>
    <w:lvl w:ilvl="0">
      <w:start w:val="1"/>
      <w:numFmt w:val="bullet"/>
      <w:lvlText w:val=""/>
      <w:lvlJc w:val="left"/>
      <w:pPr>
        <w:ind w:left="750" w:hanging="425"/>
      </w:pPr>
      <w:rPr>
        <w:rFonts w:ascii="Symbol" w:eastAsia="Symbol" w:hAnsi="Symbol" w:hint="default"/>
        <w:color w:val="auto"/>
        <w:u w:val="none"/>
      </w:rPr>
    </w:lvl>
    <w:lvl w:ilvl="1">
      <w:start w:val="1"/>
      <w:numFmt w:val="bullet"/>
      <w:lvlText w:val=""/>
      <w:lvlJc w:val="left"/>
      <w:pPr>
        <w:ind w:left="1110" w:hanging="425"/>
      </w:pPr>
      <w:rPr>
        <w:rFonts w:ascii="Symbol" w:eastAsia="Symbol" w:hAnsi="Symbol" w:hint="default"/>
        <w:color w:val="auto"/>
        <w:u w:val="none"/>
      </w:rPr>
    </w:lvl>
    <w:lvl w:ilvl="2">
      <w:start w:val="1"/>
      <w:numFmt w:val="bullet"/>
      <w:lvlText w:val=""/>
      <w:lvlJc w:val="left"/>
      <w:pPr>
        <w:ind w:left="1470" w:hanging="425"/>
      </w:pPr>
      <w:rPr>
        <w:rFonts w:ascii="Symbol" w:eastAsia="Symbol" w:hAnsi="Symbol" w:hint="default"/>
        <w:color w:val="auto"/>
        <w:u w:val="none"/>
      </w:rPr>
    </w:lvl>
    <w:lvl w:ilvl="3">
      <w:start w:val="1"/>
      <w:numFmt w:val="bullet"/>
      <w:lvlText w:val=""/>
      <w:lvlJc w:val="left"/>
      <w:pPr>
        <w:ind w:left="1830" w:hanging="425"/>
      </w:pPr>
      <w:rPr>
        <w:rFonts w:ascii="Symbol" w:eastAsia="Symbol" w:hAnsi="Symbol" w:hint="default"/>
        <w:color w:val="auto"/>
        <w:u w:val="none"/>
      </w:rPr>
    </w:lvl>
    <w:lvl w:ilvl="4">
      <w:start w:val="1"/>
      <w:numFmt w:val="bullet"/>
      <w:lvlText w:val=""/>
      <w:lvlJc w:val="left"/>
      <w:pPr>
        <w:ind w:left="2190" w:hanging="425"/>
      </w:pPr>
      <w:rPr>
        <w:rFonts w:ascii="Symbol" w:eastAsia="Symbol" w:hAnsi="Symbol" w:hint="default"/>
        <w:color w:val="auto"/>
        <w:u w:val="none"/>
      </w:rPr>
    </w:lvl>
    <w:lvl w:ilvl="5">
      <w:start w:val="1"/>
      <w:numFmt w:val="bullet"/>
      <w:pStyle w:val="ListBullet6"/>
      <w:lvlText w:val=""/>
      <w:lvlJc w:val="left"/>
      <w:pPr>
        <w:ind w:left="2550" w:hanging="425"/>
      </w:pPr>
      <w:rPr>
        <w:rFonts w:ascii="Symbol" w:eastAsia="Symbol" w:hAnsi="Symbol" w:hint="default"/>
        <w:color w:val="auto"/>
        <w:u w:val="none"/>
      </w:rPr>
    </w:lvl>
    <w:lvl w:ilvl="6">
      <w:start w:val="1"/>
      <w:numFmt w:val="bullet"/>
      <w:lvlText w:val=""/>
      <w:lvlJc w:val="left"/>
      <w:pPr>
        <w:ind w:left="2910" w:hanging="425"/>
      </w:pPr>
      <w:rPr>
        <w:rFonts w:ascii="Symbol" w:eastAsia="Symbol" w:hAnsi="Symbol" w:hint="default"/>
        <w:color w:val="auto"/>
        <w:u w:val="none"/>
      </w:rPr>
    </w:lvl>
    <w:lvl w:ilvl="7">
      <w:start w:val="1"/>
      <w:numFmt w:val="bullet"/>
      <w:lvlText w:val=""/>
      <w:lvlJc w:val="left"/>
      <w:pPr>
        <w:ind w:left="3270" w:hanging="425"/>
      </w:pPr>
      <w:rPr>
        <w:rFonts w:ascii="Symbol" w:eastAsia="Symbol" w:hAnsi="Symbol" w:hint="default"/>
        <w:color w:val="auto"/>
        <w:u w:val="none"/>
      </w:rPr>
    </w:lvl>
    <w:lvl w:ilvl="8">
      <w:start w:val="1"/>
      <w:numFmt w:val="bullet"/>
      <w:lvlText w:val=""/>
      <w:lvlJc w:val="left"/>
      <w:pPr>
        <w:ind w:left="3630" w:hanging="425"/>
      </w:pPr>
      <w:rPr>
        <w:rFonts w:ascii="Symbol" w:eastAsia="Symbol" w:hAnsi="Symbol" w:hint="default"/>
        <w:color w:val="auto"/>
        <w:u w:val="none"/>
      </w:rPr>
    </w:lvl>
  </w:abstractNum>
  <w:abstractNum w:abstractNumId="14" w15:restartNumberingAfterBreak="0">
    <w:nsid w:val="00000016"/>
    <w:multiLevelType w:val="multilevel"/>
    <w:tmpl w:val="00000016"/>
    <w:lvl w:ilvl="0">
      <w:start w:val="1"/>
      <w:numFmt w:val="decimal"/>
      <w:lvlText w:val="%1."/>
      <w:lvlJc w:val="left"/>
      <w:pPr>
        <w:ind w:left="750" w:hanging="425"/>
      </w:pPr>
      <w:rPr>
        <w:rFonts w:hint="default"/>
        <w:u w:val="none"/>
      </w:rPr>
    </w:lvl>
    <w:lvl w:ilvl="1">
      <w:start w:val="1"/>
      <w:numFmt w:val="decimal"/>
      <w:lvlText w:val="%2."/>
      <w:lvlJc w:val="left"/>
      <w:pPr>
        <w:ind w:left="1110" w:hanging="425"/>
      </w:pPr>
      <w:rPr>
        <w:rFonts w:hint="default"/>
        <w:u w:val="none"/>
      </w:rPr>
    </w:lvl>
    <w:lvl w:ilvl="2">
      <w:start w:val="1"/>
      <w:numFmt w:val="decimal"/>
      <w:lvlText w:val="%3."/>
      <w:lvlJc w:val="left"/>
      <w:pPr>
        <w:ind w:left="1470" w:hanging="425"/>
      </w:pPr>
      <w:rPr>
        <w:rFonts w:hint="default"/>
        <w:u w:val="none"/>
      </w:rPr>
    </w:lvl>
    <w:lvl w:ilvl="3">
      <w:start w:val="1"/>
      <w:numFmt w:val="decimal"/>
      <w:lvlText w:val="%4."/>
      <w:lvlJc w:val="left"/>
      <w:pPr>
        <w:ind w:left="1830" w:hanging="425"/>
      </w:pPr>
      <w:rPr>
        <w:rFonts w:hint="default"/>
        <w:u w:val="none"/>
      </w:rPr>
    </w:lvl>
    <w:lvl w:ilvl="4">
      <w:start w:val="1"/>
      <w:numFmt w:val="decimal"/>
      <w:lvlText w:val="%5."/>
      <w:lvlJc w:val="left"/>
      <w:pPr>
        <w:ind w:left="2190" w:hanging="425"/>
      </w:pPr>
      <w:rPr>
        <w:rFonts w:hint="default"/>
        <w:u w:val="none"/>
      </w:rPr>
    </w:lvl>
    <w:lvl w:ilvl="5">
      <w:start w:val="1"/>
      <w:numFmt w:val="decimal"/>
      <w:pStyle w:val="ListNumber6"/>
      <w:lvlText w:val="(%6)"/>
      <w:lvlJc w:val="left"/>
      <w:pPr>
        <w:ind w:left="2550" w:hanging="425"/>
      </w:pPr>
      <w:rPr>
        <w:rFonts w:hint="default"/>
        <w:u w:val="none"/>
      </w:rPr>
    </w:lvl>
    <w:lvl w:ilvl="6">
      <w:start w:val="1"/>
      <w:numFmt w:val="decimal"/>
      <w:lvlText w:val="(%7)"/>
      <w:lvlJc w:val="left"/>
      <w:pPr>
        <w:ind w:left="2910" w:hanging="425"/>
      </w:pPr>
      <w:rPr>
        <w:rFonts w:hint="default"/>
        <w:u w:val="none"/>
      </w:rPr>
    </w:lvl>
    <w:lvl w:ilvl="7">
      <w:start w:val="1"/>
      <w:numFmt w:val="decimal"/>
      <w:lvlText w:val="(%8)"/>
      <w:lvlJc w:val="left"/>
      <w:pPr>
        <w:ind w:left="3270" w:hanging="425"/>
      </w:pPr>
      <w:rPr>
        <w:rFonts w:hint="default"/>
        <w:u w:val="none"/>
      </w:rPr>
    </w:lvl>
    <w:lvl w:ilvl="8">
      <w:start w:val="1"/>
      <w:numFmt w:val="decimal"/>
      <w:lvlText w:val="(%9)"/>
      <w:lvlJc w:val="left"/>
      <w:pPr>
        <w:ind w:left="3630" w:hanging="425"/>
      </w:pPr>
      <w:rPr>
        <w:rFonts w:hint="default"/>
        <w:u w:val="none"/>
      </w:rPr>
    </w:lvl>
  </w:abstractNum>
  <w:abstractNum w:abstractNumId="15" w15:restartNumberingAfterBreak="0">
    <w:nsid w:val="0000001D"/>
    <w:multiLevelType w:val="multilevel"/>
    <w:tmpl w:val="0000001D"/>
    <w:lvl w:ilvl="0">
      <w:start w:val="1"/>
      <w:numFmt w:val="bullet"/>
      <w:pStyle w:val="TableBullet"/>
      <w:lvlText w:val=""/>
      <w:lvlJc w:val="left"/>
      <w:pPr>
        <w:ind w:left="397" w:hanging="284"/>
      </w:pPr>
      <w:rPr>
        <w:rFonts w:ascii="Symbol" w:eastAsia="Symbol" w:hAnsi="Symbol" w:hint="default"/>
        <w:color w:val="auto"/>
        <w:u w:val="none"/>
      </w:rPr>
    </w:lvl>
    <w:lvl w:ilvl="1">
      <w:start w:val="1"/>
      <w:numFmt w:val="bullet"/>
      <w:lvlText w:val=""/>
      <w:lvlJc w:val="left"/>
      <w:pPr>
        <w:ind w:left="757" w:hanging="284"/>
      </w:pPr>
      <w:rPr>
        <w:rFonts w:ascii="Symbol" w:eastAsia="Symbol" w:hAnsi="Symbol" w:hint="default"/>
        <w:color w:val="auto"/>
        <w:u w:val="none"/>
      </w:rPr>
    </w:lvl>
    <w:lvl w:ilvl="2">
      <w:start w:val="1"/>
      <w:numFmt w:val="bullet"/>
      <w:lvlText w:val=""/>
      <w:lvlJc w:val="left"/>
      <w:pPr>
        <w:ind w:left="1117" w:hanging="284"/>
      </w:pPr>
      <w:rPr>
        <w:rFonts w:ascii="Symbol" w:eastAsia="Symbol" w:hAnsi="Symbol" w:hint="default"/>
        <w:color w:val="auto"/>
        <w:u w:val="none"/>
      </w:rPr>
    </w:lvl>
    <w:lvl w:ilvl="3">
      <w:start w:val="1"/>
      <w:numFmt w:val="bullet"/>
      <w:lvlText w:val=""/>
      <w:lvlJc w:val="left"/>
      <w:pPr>
        <w:ind w:left="1477" w:hanging="284"/>
      </w:pPr>
      <w:rPr>
        <w:rFonts w:ascii="Symbol" w:eastAsia="Symbol" w:hAnsi="Symbol" w:hint="default"/>
        <w:color w:val="auto"/>
        <w:u w:val="none"/>
      </w:rPr>
    </w:lvl>
    <w:lvl w:ilvl="4">
      <w:start w:val="1"/>
      <w:numFmt w:val="bullet"/>
      <w:lvlText w:val=""/>
      <w:lvlJc w:val="left"/>
      <w:pPr>
        <w:ind w:left="1837" w:hanging="284"/>
      </w:pPr>
      <w:rPr>
        <w:rFonts w:ascii="Symbol" w:eastAsia="Symbol" w:hAnsi="Symbol" w:hint="default"/>
        <w:color w:val="auto"/>
        <w:u w:val="none"/>
      </w:rPr>
    </w:lvl>
    <w:lvl w:ilvl="5">
      <w:start w:val="1"/>
      <w:numFmt w:val="bullet"/>
      <w:lvlText w:val=""/>
      <w:lvlJc w:val="left"/>
      <w:pPr>
        <w:ind w:left="2197" w:hanging="284"/>
      </w:pPr>
      <w:rPr>
        <w:rFonts w:ascii="Symbol" w:eastAsia="Symbol" w:hAnsi="Symbol" w:hint="default"/>
        <w:color w:val="auto"/>
        <w:u w:val="none"/>
      </w:rPr>
    </w:lvl>
    <w:lvl w:ilvl="6">
      <w:start w:val="1"/>
      <w:numFmt w:val="bullet"/>
      <w:lvlText w:val=""/>
      <w:lvlJc w:val="left"/>
      <w:pPr>
        <w:ind w:left="2557" w:hanging="284"/>
      </w:pPr>
      <w:rPr>
        <w:rFonts w:ascii="Symbol" w:eastAsia="Symbol" w:hAnsi="Symbol" w:hint="default"/>
        <w:color w:val="auto"/>
        <w:u w:val="none"/>
      </w:rPr>
    </w:lvl>
    <w:lvl w:ilvl="7">
      <w:start w:val="1"/>
      <w:numFmt w:val="bullet"/>
      <w:lvlText w:val=""/>
      <w:lvlJc w:val="left"/>
      <w:pPr>
        <w:ind w:left="2917" w:hanging="284"/>
      </w:pPr>
      <w:rPr>
        <w:rFonts w:ascii="Symbol" w:eastAsia="Symbol" w:hAnsi="Symbol" w:hint="default"/>
        <w:color w:val="auto"/>
        <w:u w:val="none"/>
      </w:rPr>
    </w:lvl>
    <w:lvl w:ilvl="8">
      <w:start w:val="1"/>
      <w:numFmt w:val="bullet"/>
      <w:lvlText w:val=""/>
      <w:lvlJc w:val="left"/>
      <w:pPr>
        <w:ind w:left="3277" w:hanging="284"/>
      </w:pPr>
      <w:rPr>
        <w:rFonts w:ascii="Symbol" w:eastAsia="Symbol" w:hAnsi="Symbol" w:hint="default"/>
        <w:color w:val="auto"/>
        <w:u w:val="none"/>
      </w:rPr>
    </w:lvl>
  </w:abstractNum>
  <w:abstractNum w:abstractNumId="16" w15:restartNumberingAfterBreak="0">
    <w:nsid w:val="0000001E"/>
    <w:multiLevelType w:val="multilevel"/>
    <w:tmpl w:val="0000001E"/>
    <w:lvl w:ilvl="0">
      <w:start w:val="1"/>
      <w:numFmt w:val="bullet"/>
      <w:lvlText w:val=""/>
      <w:lvlJc w:val="left"/>
      <w:pPr>
        <w:ind w:left="320" w:hanging="283"/>
      </w:pPr>
      <w:rPr>
        <w:rFonts w:ascii="Symbol" w:eastAsia="Symbol" w:hAnsi="Symbol" w:hint="default"/>
        <w:color w:val="auto"/>
        <w:u w:val="none"/>
      </w:rPr>
    </w:lvl>
    <w:lvl w:ilvl="1">
      <w:start w:val="1"/>
      <w:numFmt w:val="bullet"/>
      <w:pStyle w:val="TableBullet2"/>
      <w:lvlText w:val=""/>
      <w:lvlJc w:val="left"/>
      <w:pPr>
        <w:ind w:left="680" w:hanging="283"/>
      </w:pPr>
      <w:rPr>
        <w:rFonts w:ascii="Symbol" w:eastAsia="Symbol" w:hAnsi="Symbol" w:hint="default"/>
        <w:color w:val="auto"/>
        <w:u w:val="none"/>
      </w:rPr>
    </w:lvl>
    <w:lvl w:ilvl="2">
      <w:start w:val="1"/>
      <w:numFmt w:val="bullet"/>
      <w:lvlText w:val=""/>
      <w:lvlJc w:val="left"/>
      <w:pPr>
        <w:ind w:left="1040" w:hanging="283"/>
      </w:pPr>
      <w:rPr>
        <w:rFonts w:ascii="Symbol" w:eastAsia="Symbol" w:hAnsi="Symbol" w:hint="default"/>
        <w:color w:val="auto"/>
        <w:u w:val="none"/>
      </w:rPr>
    </w:lvl>
    <w:lvl w:ilvl="3">
      <w:start w:val="1"/>
      <w:numFmt w:val="bullet"/>
      <w:lvlText w:val=""/>
      <w:lvlJc w:val="left"/>
      <w:pPr>
        <w:ind w:left="1400" w:hanging="283"/>
      </w:pPr>
      <w:rPr>
        <w:rFonts w:ascii="Symbol" w:eastAsia="Symbol" w:hAnsi="Symbol" w:hint="default"/>
        <w:color w:val="auto"/>
        <w:u w:val="none"/>
      </w:rPr>
    </w:lvl>
    <w:lvl w:ilvl="4">
      <w:start w:val="1"/>
      <w:numFmt w:val="bullet"/>
      <w:lvlText w:val=""/>
      <w:lvlJc w:val="left"/>
      <w:pPr>
        <w:ind w:left="1760" w:hanging="283"/>
      </w:pPr>
      <w:rPr>
        <w:rFonts w:ascii="Symbol" w:eastAsia="Symbol" w:hAnsi="Symbol" w:hint="default"/>
        <w:color w:val="auto"/>
        <w:u w:val="none"/>
      </w:rPr>
    </w:lvl>
    <w:lvl w:ilvl="5">
      <w:start w:val="1"/>
      <w:numFmt w:val="bullet"/>
      <w:lvlText w:val=""/>
      <w:lvlJc w:val="left"/>
      <w:pPr>
        <w:ind w:left="2120" w:hanging="283"/>
      </w:pPr>
      <w:rPr>
        <w:rFonts w:ascii="Symbol" w:eastAsia="Symbol" w:hAnsi="Symbol" w:hint="default"/>
        <w:color w:val="auto"/>
        <w:u w:val="none"/>
      </w:rPr>
    </w:lvl>
    <w:lvl w:ilvl="6">
      <w:start w:val="1"/>
      <w:numFmt w:val="bullet"/>
      <w:lvlText w:val=""/>
      <w:lvlJc w:val="left"/>
      <w:pPr>
        <w:ind w:left="2480" w:hanging="283"/>
      </w:pPr>
      <w:rPr>
        <w:rFonts w:ascii="Symbol" w:eastAsia="Symbol" w:hAnsi="Symbol" w:hint="default"/>
        <w:color w:val="auto"/>
        <w:u w:val="none"/>
      </w:rPr>
    </w:lvl>
    <w:lvl w:ilvl="7">
      <w:start w:val="1"/>
      <w:numFmt w:val="bullet"/>
      <w:lvlText w:val=""/>
      <w:lvlJc w:val="left"/>
      <w:pPr>
        <w:ind w:left="2840" w:hanging="283"/>
      </w:pPr>
      <w:rPr>
        <w:rFonts w:ascii="Symbol" w:eastAsia="Symbol" w:hAnsi="Symbol" w:hint="default"/>
        <w:color w:val="auto"/>
        <w:u w:val="none"/>
      </w:rPr>
    </w:lvl>
    <w:lvl w:ilvl="8">
      <w:start w:val="1"/>
      <w:numFmt w:val="bullet"/>
      <w:lvlText w:val=""/>
      <w:lvlJc w:val="left"/>
      <w:pPr>
        <w:ind w:left="3200" w:hanging="283"/>
      </w:pPr>
      <w:rPr>
        <w:rFonts w:ascii="Symbol" w:eastAsia="Symbol" w:hAnsi="Symbol" w:hint="default"/>
        <w:color w:val="auto"/>
        <w:u w:val="none"/>
      </w:rPr>
    </w:lvl>
  </w:abstractNum>
  <w:abstractNum w:abstractNumId="17" w15:restartNumberingAfterBreak="0">
    <w:nsid w:val="0000001F"/>
    <w:multiLevelType w:val="multilevel"/>
    <w:tmpl w:val="0000001F"/>
    <w:lvl w:ilvl="0">
      <w:start w:val="1"/>
      <w:numFmt w:val="decimal"/>
      <w:pStyle w:val="TableNumber"/>
      <w:lvlText w:val="(%1)"/>
      <w:lvlJc w:val="left"/>
      <w:pPr>
        <w:ind w:left="397" w:hanging="284"/>
      </w:pPr>
      <w:rPr>
        <w:rFonts w:hint="default"/>
        <w:u w:val="none"/>
      </w:rPr>
    </w:lvl>
    <w:lvl w:ilvl="1">
      <w:start w:val="1"/>
      <w:numFmt w:val="decimal"/>
      <w:lvlText w:val="(%2)"/>
      <w:lvlJc w:val="left"/>
      <w:pPr>
        <w:ind w:left="757" w:hanging="284"/>
      </w:pPr>
      <w:rPr>
        <w:rFonts w:hint="default"/>
        <w:u w:val="none"/>
      </w:rPr>
    </w:lvl>
    <w:lvl w:ilvl="2">
      <w:start w:val="1"/>
      <w:numFmt w:val="decimal"/>
      <w:lvlText w:val="(%3)"/>
      <w:lvlJc w:val="left"/>
      <w:pPr>
        <w:ind w:left="1117" w:hanging="284"/>
      </w:pPr>
      <w:rPr>
        <w:rFonts w:hint="default"/>
        <w:u w:val="none"/>
      </w:rPr>
    </w:lvl>
    <w:lvl w:ilvl="3">
      <w:start w:val="1"/>
      <w:numFmt w:val="decimal"/>
      <w:lvlText w:val="(%4)"/>
      <w:lvlJc w:val="left"/>
      <w:pPr>
        <w:ind w:left="1477" w:hanging="284"/>
      </w:pPr>
      <w:rPr>
        <w:rFonts w:hint="default"/>
        <w:u w:val="none"/>
      </w:rPr>
    </w:lvl>
    <w:lvl w:ilvl="4">
      <w:start w:val="1"/>
      <w:numFmt w:val="decimal"/>
      <w:lvlText w:val="(%5)"/>
      <w:lvlJc w:val="left"/>
      <w:pPr>
        <w:ind w:left="1837" w:hanging="284"/>
      </w:pPr>
      <w:rPr>
        <w:rFonts w:hint="default"/>
        <w:u w:val="none"/>
      </w:rPr>
    </w:lvl>
    <w:lvl w:ilvl="5">
      <w:start w:val="1"/>
      <w:numFmt w:val="decimal"/>
      <w:lvlText w:val="(%6)"/>
      <w:lvlJc w:val="left"/>
      <w:pPr>
        <w:ind w:left="2197" w:hanging="284"/>
      </w:pPr>
      <w:rPr>
        <w:rFonts w:hint="default"/>
        <w:u w:val="none"/>
      </w:rPr>
    </w:lvl>
    <w:lvl w:ilvl="6">
      <w:start w:val="1"/>
      <w:numFmt w:val="decimal"/>
      <w:lvlText w:val="(%7)"/>
      <w:lvlJc w:val="left"/>
      <w:pPr>
        <w:ind w:left="2557" w:hanging="284"/>
      </w:pPr>
      <w:rPr>
        <w:rFonts w:hint="default"/>
        <w:u w:val="none"/>
      </w:rPr>
    </w:lvl>
    <w:lvl w:ilvl="7">
      <w:start w:val="1"/>
      <w:numFmt w:val="decimal"/>
      <w:lvlText w:val="(%8)"/>
      <w:lvlJc w:val="left"/>
      <w:pPr>
        <w:ind w:left="2917" w:hanging="284"/>
      </w:pPr>
      <w:rPr>
        <w:rFonts w:hint="default"/>
        <w:u w:val="none"/>
      </w:rPr>
    </w:lvl>
    <w:lvl w:ilvl="8">
      <w:start w:val="1"/>
      <w:numFmt w:val="decimal"/>
      <w:lvlText w:val="(%9)"/>
      <w:lvlJc w:val="left"/>
      <w:pPr>
        <w:ind w:left="3277" w:hanging="284"/>
      </w:pPr>
      <w:rPr>
        <w:rFonts w:hint="default"/>
        <w:u w:val="none"/>
      </w:rPr>
    </w:lvl>
  </w:abstractNum>
  <w:abstractNum w:abstractNumId="18" w15:restartNumberingAfterBreak="0">
    <w:nsid w:val="00000020"/>
    <w:multiLevelType w:val="multilevel"/>
    <w:tmpl w:val="00000020"/>
    <w:lvl w:ilvl="0">
      <w:start w:val="1"/>
      <w:numFmt w:val="lowerLetter"/>
      <w:lvlText w:val="%1."/>
      <w:lvlJc w:val="left"/>
      <w:pPr>
        <w:ind w:left="320" w:hanging="283"/>
      </w:pPr>
      <w:rPr>
        <w:rFonts w:hint="default"/>
        <w:u w:val="none"/>
      </w:rPr>
    </w:lvl>
    <w:lvl w:ilvl="1">
      <w:start w:val="1"/>
      <w:numFmt w:val="lowerLetter"/>
      <w:pStyle w:val="TableNumber2"/>
      <w:lvlText w:val="(%2)"/>
      <w:lvlJc w:val="left"/>
      <w:pPr>
        <w:ind w:left="680" w:hanging="283"/>
      </w:pPr>
      <w:rPr>
        <w:rFonts w:hint="default"/>
        <w:u w:val="none"/>
      </w:rPr>
    </w:lvl>
    <w:lvl w:ilvl="2">
      <w:start w:val="1"/>
      <w:numFmt w:val="lowerLetter"/>
      <w:lvlText w:val="(%3)"/>
      <w:lvlJc w:val="left"/>
      <w:pPr>
        <w:ind w:left="1040" w:hanging="283"/>
      </w:pPr>
      <w:rPr>
        <w:rFonts w:hint="default"/>
        <w:u w:val="none"/>
      </w:rPr>
    </w:lvl>
    <w:lvl w:ilvl="3">
      <w:start w:val="1"/>
      <w:numFmt w:val="lowerLetter"/>
      <w:lvlText w:val="(%4)"/>
      <w:lvlJc w:val="left"/>
      <w:pPr>
        <w:ind w:left="1400" w:hanging="283"/>
      </w:pPr>
      <w:rPr>
        <w:rFonts w:hint="default"/>
        <w:u w:val="none"/>
      </w:rPr>
    </w:lvl>
    <w:lvl w:ilvl="4">
      <w:start w:val="1"/>
      <w:numFmt w:val="lowerLetter"/>
      <w:lvlText w:val="(%5)"/>
      <w:lvlJc w:val="left"/>
      <w:pPr>
        <w:ind w:left="1760" w:hanging="283"/>
      </w:pPr>
      <w:rPr>
        <w:rFonts w:hint="default"/>
        <w:u w:val="none"/>
      </w:rPr>
    </w:lvl>
    <w:lvl w:ilvl="5">
      <w:start w:val="1"/>
      <w:numFmt w:val="lowerLetter"/>
      <w:lvlText w:val="(%6)"/>
      <w:lvlJc w:val="left"/>
      <w:pPr>
        <w:ind w:left="2120" w:hanging="283"/>
      </w:pPr>
      <w:rPr>
        <w:rFonts w:hint="default"/>
        <w:u w:val="none"/>
      </w:rPr>
    </w:lvl>
    <w:lvl w:ilvl="6">
      <w:start w:val="1"/>
      <w:numFmt w:val="lowerLetter"/>
      <w:lvlText w:val="(%7)"/>
      <w:lvlJc w:val="left"/>
      <w:pPr>
        <w:ind w:left="2480" w:hanging="283"/>
      </w:pPr>
      <w:rPr>
        <w:rFonts w:hint="default"/>
        <w:u w:val="none"/>
      </w:rPr>
    </w:lvl>
    <w:lvl w:ilvl="7">
      <w:start w:val="1"/>
      <w:numFmt w:val="lowerLetter"/>
      <w:lvlText w:val="(%8)"/>
      <w:lvlJc w:val="left"/>
      <w:pPr>
        <w:ind w:left="2840" w:hanging="283"/>
      </w:pPr>
      <w:rPr>
        <w:rFonts w:hint="default"/>
        <w:u w:val="none"/>
      </w:rPr>
    </w:lvl>
    <w:lvl w:ilvl="8">
      <w:start w:val="1"/>
      <w:numFmt w:val="lowerLetter"/>
      <w:lvlText w:val="(%9)"/>
      <w:lvlJc w:val="left"/>
      <w:pPr>
        <w:ind w:left="3200" w:hanging="283"/>
      </w:pPr>
      <w:rPr>
        <w:rFonts w:hint="default"/>
        <w:u w:val="none"/>
      </w:rPr>
    </w:lvl>
  </w:abstractNum>
  <w:abstractNum w:abstractNumId="19" w15:restartNumberingAfterBreak="0">
    <w:nsid w:val="00000021"/>
    <w:multiLevelType w:val="multilevel"/>
    <w:tmpl w:val="00000021"/>
    <w:lvl w:ilvl="0">
      <w:start w:val="1"/>
      <w:numFmt w:val="decimal"/>
      <w:pStyle w:val="PLANNummerierung1"/>
      <w:lvlText w:val="%1."/>
      <w:lvlJc w:val="left"/>
      <w:pPr>
        <w:ind w:left="425" w:hanging="425"/>
      </w:pPr>
      <w:rPr>
        <w:rFonts w:hint="default"/>
        <w:u w:val="none"/>
      </w:rPr>
    </w:lvl>
    <w:lvl w:ilvl="1">
      <w:start w:val="1"/>
      <w:numFmt w:val="decimal"/>
      <w:lvlText w:val="%2."/>
      <w:lvlJc w:val="left"/>
      <w:pPr>
        <w:ind w:left="785" w:hanging="425"/>
      </w:pPr>
      <w:rPr>
        <w:rFonts w:hint="default"/>
        <w:u w:val="none"/>
      </w:rPr>
    </w:lvl>
    <w:lvl w:ilvl="2">
      <w:start w:val="1"/>
      <w:numFmt w:val="decimal"/>
      <w:lvlText w:val="%3."/>
      <w:lvlJc w:val="left"/>
      <w:pPr>
        <w:ind w:left="1145" w:hanging="425"/>
      </w:pPr>
      <w:rPr>
        <w:rFonts w:hint="default"/>
        <w:u w:val="none"/>
      </w:rPr>
    </w:lvl>
    <w:lvl w:ilvl="3">
      <w:start w:val="1"/>
      <w:numFmt w:val="decimal"/>
      <w:lvlText w:val="%4."/>
      <w:lvlJc w:val="left"/>
      <w:pPr>
        <w:ind w:left="1505" w:hanging="425"/>
      </w:pPr>
      <w:rPr>
        <w:rFonts w:hint="default"/>
        <w:u w:val="none"/>
      </w:rPr>
    </w:lvl>
    <w:lvl w:ilvl="4">
      <w:start w:val="1"/>
      <w:numFmt w:val="decimal"/>
      <w:lvlText w:val="%5."/>
      <w:lvlJc w:val="left"/>
      <w:pPr>
        <w:ind w:left="1865" w:hanging="425"/>
      </w:pPr>
      <w:rPr>
        <w:rFonts w:hint="default"/>
        <w:u w:val="none"/>
      </w:rPr>
    </w:lvl>
    <w:lvl w:ilvl="5">
      <w:start w:val="1"/>
      <w:numFmt w:val="decimal"/>
      <w:lvlText w:val="%6."/>
      <w:lvlJc w:val="left"/>
      <w:pPr>
        <w:ind w:left="2225" w:hanging="425"/>
      </w:pPr>
      <w:rPr>
        <w:rFonts w:hint="default"/>
        <w:u w:val="none"/>
      </w:rPr>
    </w:lvl>
    <w:lvl w:ilvl="6">
      <w:start w:val="1"/>
      <w:numFmt w:val="decimal"/>
      <w:lvlText w:val="%7."/>
      <w:lvlJc w:val="left"/>
      <w:pPr>
        <w:ind w:left="2585" w:hanging="425"/>
      </w:pPr>
      <w:rPr>
        <w:rFonts w:hint="default"/>
        <w:u w:val="none"/>
      </w:rPr>
    </w:lvl>
    <w:lvl w:ilvl="7">
      <w:start w:val="1"/>
      <w:numFmt w:val="decimal"/>
      <w:lvlText w:val="%8."/>
      <w:lvlJc w:val="left"/>
      <w:pPr>
        <w:ind w:left="2945" w:hanging="425"/>
      </w:pPr>
      <w:rPr>
        <w:rFonts w:hint="default"/>
        <w:u w:val="none"/>
      </w:rPr>
    </w:lvl>
    <w:lvl w:ilvl="8">
      <w:start w:val="1"/>
      <w:numFmt w:val="decimal"/>
      <w:lvlText w:val="%9."/>
      <w:lvlJc w:val="left"/>
      <w:pPr>
        <w:ind w:left="3305" w:hanging="425"/>
      </w:pPr>
      <w:rPr>
        <w:rFonts w:hint="default"/>
        <w:u w:val="none"/>
      </w:rPr>
    </w:lvl>
  </w:abstractNum>
  <w:abstractNum w:abstractNumId="20" w15:restartNumberingAfterBreak="0">
    <w:nsid w:val="00000022"/>
    <w:multiLevelType w:val="multilevel"/>
    <w:tmpl w:val="00000022"/>
    <w:lvl w:ilvl="0">
      <w:start w:val="1"/>
      <w:numFmt w:val="lowerLetter"/>
      <w:lvlText w:val="%1."/>
      <w:lvlJc w:val="left"/>
      <w:pPr>
        <w:ind w:left="491" w:hanging="426"/>
      </w:pPr>
      <w:rPr>
        <w:rFonts w:hint="default"/>
        <w:u w:val="none"/>
      </w:rPr>
    </w:lvl>
    <w:lvl w:ilvl="1">
      <w:start w:val="1"/>
      <w:numFmt w:val="lowerLetter"/>
      <w:pStyle w:val="PLANNummerierung2"/>
      <w:lvlText w:val="%2)"/>
      <w:lvlJc w:val="left"/>
      <w:pPr>
        <w:ind w:left="851" w:hanging="426"/>
      </w:pPr>
      <w:rPr>
        <w:rFonts w:hint="default"/>
        <w:u w:val="none"/>
      </w:rPr>
    </w:lvl>
    <w:lvl w:ilvl="2">
      <w:start w:val="1"/>
      <w:numFmt w:val="lowerLetter"/>
      <w:lvlText w:val="%3)"/>
      <w:lvlJc w:val="left"/>
      <w:pPr>
        <w:ind w:left="1211" w:hanging="426"/>
      </w:pPr>
      <w:rPr>
        <w:rFonts w:hint="default"/>
        <w:u w:val="none"/>
      </w:rPr>
    </w:lvl>
    <w:lvl w:ilvl="3">
      <w:start w:val="1"/>
      <w:numFmt w:val="lowerLetter"/>
      <w:lvlText w:val="%4)"/>
      <w:lvlJc w:val="left"/>
      <w:pPr>
        <w:ind w:left="1571" w:hanging="426"/>
      </w:pPr>
      <w:rPr>
        <w:rFonts w:hint="default"/>
        <w:u w:val="none"/>
      </w:rPr>
    </w:lvl>
    <w:lvl w:ilvl="4">
      <w:start w:val="1"/>
      <w:numFmt w:val="lowerLetter"/>
      <w:lvlText w:val="%5)"/>
      <w:lvlJc w:val="left"/>
      <w:pPr>
        <w:ind w:left="1931" w:hanging="426"/>
      </w:pPr>
      <w:rPr>
        <w:rFonts w:hint="default"/>
        <w:u w:val="none"/>
      </w:rPr>
    </w:lvl>
    <w:lvl w:ilvl="5">
      <w:start w:val="1"/>
      <w:numFmt w:val="lowerLetter"/>
      <w:lvlText w:val="%6)"/>
      <w:lvlJc w:val="left"/>
      <w:pPr>
        <w:ind w:left="2291" w:hanging="426"/>
      </w:pPr>
      <w:rPr>
        <w:rFonts w:hint="default"/>
        <w:u w:val="none"/>
      </w:rPr>
    </w:lvl>
    <w:lvl w:ilvl="6">
      <w:start w:val="1"/>
      <w:numFmt w:val="lowerLetter"/>
      <w:lvlText w:val="%7)"/>
      <w:lvlJc w:val="left"/>
      <w:pPr>
        <w:ind w:left="2651" w:hanging="426"/>
      </w:pPr>
      <w:rPr>
        <w:rFonts w:hint="default"/>
        <w:u w:val="none"/>
      </w:rPr>
    </w:lvl>
    <w:lvl w:ilvl="7">
      <w:start w:val="1"/>
      <w:numFmt w:val="lowerLetter"/>
      <w:lvlText w:val="%8)"/>
      <w:lvlJc w:val="left"/>
      <w:pPr>
        <w:ind w:left="3011" w:hanging="426"/>
      </w:pPr>
      <w:rPr>
        <w:rFonts w:hint="default"/>
        <w:u w:val="none"/>
      </w:rPr>
    </w:lvl>
    <w:lvl w:ilvl="8">
      <w:start w:val="1"/>
      <w:numFmt w:val="lowerLetter"/>
      <w:lvlText w:val="%9)"/>
      <w:lvlJc w:val="left"/>
      <w:pPr>
        <w:ind w:left="3371" w:hanging="426"/>
      </w:pPr>
      <w:rPr>
        <w:rFonts w:hint="default"/>
        <w:u w:val="none"/>
      </w:rPr>
    </w:lvl>
  </w:abstractNum>
  <w:abstractNum w:abstractNumId="21" w15:restartNumberingAfterBreak="0">
    <w:nsid w:val="00000023"/>
    <w:multiLevelType w:val="multilevel"/>
    <w:tmpl w:val="00000023"/>
    <w:lvl w:ilvl="0">
      <w:start w:val="1"/>
      <w:numFmt w:val="bullet"/>
      <w:lvlText w:val=""/>
      <w:lvlJc w:val="left"/>
      <w:pPr>
        <w:ind w:left="556" w:hanging="425"/>
      </w:pPr>
      <w:rPr>
        <w:rFonts w:ascii="Symbol" w:eastAsia="Symbol" w:hAnsi="Symbol" w:hint="default"/>
        <w:color w:val="auto"/>
        <w:u w:val="none"/>
      </w:rPr>
    </w:lvl>
    <w:lvl w:ilvl="1">
      <w:start w:val="1"/>
      <w:numFmt w:val="bullet"/>
      <w:lvlText w:val=""/>
      <w:lvlJc w:val="left"/>
      <w:pPr>
        <w:ind w:left="916" w:hanging="425"/>
      </w:pPr>
      <w:rPr>
        <w:rFonts w:ascii="Symbol" w:eastAsia="Symbol" w:hAnsi="Symbol" w:hint="default"/>
        <w:color w:val="auto"/>
        <w:u w:val="none"/>
      </w:rPr>
    </w:lvl>
    <w:lvl w:ilvl="2">
      <w:start w:val="1"/>
      <w:numFmt w:val="bullet"/>
      <w:pStyle w:val="PLANNummerierung3"/>
      <w:lvlText w:val=""/>
      <w:lvlJc w:val="left"/>
      <w:pPr>
        <w:ind w:left="1276" w:hanging="425"/>
      </w:pPr>
      <w:rPr>
        <w:rFonts w:ascii="Symbol" w:eastAsia="Symbol" w:hAnsi="Symbol" w:hint="default"/>
        <w:color w:val="auto"/>
        <w:u w:val="none"/>
      </w:rPr>
    </w:lvl>
    <w:lvl w:ilvl="3">
      <w:start w:val="1"/>
      <w:numFmt w:val="bullet"/>
      <w:lvlText w:val=""/>
      <w:lvlJc w:val="left"/>
      <w:pPr>
        <w:ind w:left="1636" w:hanging="425"/>
      </w:pPr>
      <w:rPr>
        <w:rFonts w:ascii="Symbol" w:eastAsia="Symbol" w:hAnsi="Symbol" w:hint="default"/>
        <w:color w:val="auto"/>
        <w:u w:val="none"/>
      </w:rPr>
    </w:lvl>
    <w:lvl w:ilvl="4">
      <w:start w:val="1"/>
      <w:numFmt w:val="bullet"/>
      <w:lvlText w:val=""/>
      <w:lvlJc w:val="left"/>
      <w:pPr>
        <w:ind w:left="1996" w:hanging="425"/>
      </w:pPr>
      <w:rPr>
        <w:rFonts w:ascii="Symbol" w:eastAsia="Symbol" w:hAnsi="Symbol" w:hint="default"/>
        <w:color w:val="auto"/>
        <w:u w:val="none"/>
      </w:rPr>
    </w:lvl>
    <w:lvl w:ilvl="5">
      <w:start w:val="1"/>
      <w:numFmt w:val="bullet"/>
      <w:lvlText w:val=""/>
      <w:lvlJc w:val="left"/>
      <w:pPr>
        <w:ind w:left="2356" w:hanging="425"/>
      </w:pPr>
      <w:rPr>
        <w:rFonts w:ascii="Symbol" w:eastAsia="Symbol" w:hAnsi="Symbol" w:hint="default"/>
        <w:color w:val="auto"/>
        <w:u w:val="none"/>
      </w:rPr>
    </w:lvl>
    <w:lvl w:ilvl="6">
      <w:start w:val="1"/>
      <w:numFmt w:val="bullet"/>
      <w:lvlText w:val=""/>
      <w:lvlJc w:val="left"/>
      <w:pPr>
        <w:ind w:left="2716" w:hanging="425"/>
      </w:pPr>
      <w:rPr>
        <w:rFonts w:ascii="Symbol" w:eastAsia="Symbol" w:hAnsi="Symbol" w:hint="default"/>
        <w:color w:val="auto"/>
        <w:u w:val="none"/>
      </w:rPr>
    </w:lvl>
    <w:lvl w:ilvl="7">
      <w:start w:val="1"/>
      <w:numFmt w:val="bullet"/>
      <w:lvlText w:val=""/>
      <w:lvlJc w:val="left"/>
      <w:pPr>
        <w:ind w:left="3076" w:hanging="425"/>
      </w:pPr>
      <w:rPr>
        <w:rFonts w:ascii="Symbol" w:eastAsia="Symbol" w:hAnsi="Symbol" w:hint="default"/>
        <w:color w:val="auto"/>
        <w:u w:val="none"/>
      </w:rPr>
    </w:lvl>
    <w:lvl w:ilvl="8">
      <w:start w:val="1"/>
      <w:numFmt w:val="bullet"/>
      <w:lvlText w:val=""/>
      <w:lvlJc w:val="left"/>
      <w:pPr>
        <w:ind w:left="3436" w:hanging="425"/>
      </w:pPr>
      <w:rPr>
        <w:rFonts w:ascii="Symbol" w:eastAsia="Symbol" w:hAnsi="Symbol" w:hint="default"/>
        <w:color w:val="auto"/>
        <w:u w:val="none"/>
      </w:rPr>
    </w:lvl>
  </w:abstractNum>
  <w:abstractNum w:abstractNumId="22" w15:restartNumberingAfterBreak="0">
    <w:nsid w:val="00000024"/>
    <w:multiLevelType w:val="multilevel"/>
    <w:tmpl w:val="00000024"/>
    <w:lvl w:ilvl="0">
      <w:start w:val="1"/>
      <w:numFmt w:val="decimal"/>
      <w:lvlText w:val="%1."/>
      <w:lvlJc w:val="left"/>
      <w:pPr>
        <w:ind w:left="1134" w:hanging="1134"/>
      </w:pPr>
      <w:rPr>
        <w:rFonts w:hint="default"/>
        <w:u w:val="none"/>
      </w:rPr>
    </w:lvl>
    <w:lvl w:ilvl="1">
      <w:start w:val="1"/>
      <w:numFmt w:val="decimal"/>
      <w:lvlText w:val="%1.%2."/>
      <w:lvlJc w:val="left"/>
      <w:pPr>
        <w:ind w:left="1134" w:hanging="1134"/>
      </w:pPr>
      <w:rPr>
        <w:rFonts w:hint="default"/>
        <w:u w:val="none"/>
      </w:rPr>
    </w:lvl>
    <w:lvl w:ilvl="2">
      <w:start w:val="1"/>
      <w:numFmt w:val="decimal"/>
      <w:pStyle w:val="NbrHeading3"/>
      <w:lvlText w:val="%1.%2.%3"/>
      <w:lvlJc w:val="left"/>
      <w:pPr>
        <w:ind w:left="1134" w:hanging="1134"/>
      </w:pPr>
      <w:rPr>
        <w:rFonts w:hint="default"/>
        <w:u w:val="none"/>
      </w:rPr>
    </w:lvl>
    <w:lvl w:ilvl="3">
      <w:start w:val="1"/>
      <w:numFmt w:val="decimal"/>
      <w:lvlText w:val="%1.%2.%3%4"/>
      <w:lvlJc w:val="left"/>
      <w:pPr>
        <w:ind w:left="1494" w:hanging="1134"/>
      </w:pPr>
      <w:rPr>
        <w:rFonts w:hint="default"/>
        <w:u w:val="none"/>
      </w:rPr>
    </w:lvl>
    <w:lvl w:ilvl="4">
      <w:start w:val="1"/>
      <w:numFmt w:val="decimal"/>
      <w:lvlText w:val="%1.%2.%3%4%5"/>
      <w:lvlJc w:val="left"/>
      <w:pPr>
        <w:ind w:left="1854" w:hanging="1134"/>
      </w:pPr>
      <w:rPr>
        <w:rFonts w:hint="default"/>
        <w:u w:val="none"/>
      </w:rPr>
    </w:lvl>
    <w:lvl w:ilvl="5">
      <w:start w:val="1"/>
      <w:numFmt w:val="decimal"/>
      <w:lvlText w:val="%1.%2.%3%4%5%6"/>
      <w:lvlJc w:val="left"/>
      <w:pPr>
        <w:ind w:left="2214" w:hanging="1134"/>
      </w:pPr>
      <w:rPr>
        <w:rFonts w:hint="default"/>
        <w:u w:val="none"/>
      </w:rPr>
    </w:lvl>
    <w:lvl w:ilvl="6">
      <w:start w:val="1"/>
      <w:numFmt w:val="decimal"/>
      <w:lvlText w:val="%1.%2.%3%4%5%6%7"/>
      <w:lvlJc w:val="left"/>
      <w:pPr>
        <w:ind w:left="2574" w:hanging="1134"/>
      </w:pPr>
      <w:rPr>
        <w:rFonts w:hint="default"/>
        <w:u w:val="none"/>
      </w:rPr>
    </w:lvl>
    <w:lvl w:ilvl="7">
      <w:start w:val="1"/>
      <w:numFmt w:val="decimal"/>
      <w:lvlText w:val="%1.%2.%3%4%5%6%7%8"/>
      <w:lvlJc w:val="left"/>
      <w:pPr>
        <w:ind w:left="2934" w:hanging="1134"/>
      </w:pPr>
      <w:rPr>
        <w:rFonts w:hint="default"/>
        <w:u w:val="none"/>
      </w:rPr>
    </w:lvl>
    <w:lvl w:ilvl="8">
      <w:start w:val="1"/>
      <w:numFmt w:val="decimal"/>
      <w:lvlText w:val="%1.%2.%3%4%5%6%7%8%9"/>
      <w:lvlJc w:val="left"/>
      <w:pPr>
        <w:ind w:left="3294" w:hanging="1134"/>
      </w:pPr>
      <w:rPr>
        <w:rFonts w:hint="default"/>
        <w:u w:val="none"/>
      </w:rPr>
    </w:lvl>
  </w:abstractNum>
  <w:abstractNum w:abstractNumId="23" w15:restartNumberingAfterBreak="0">
    <w:nsid w:val="00000025"/>
    <w:multiLevelType w:val="multilevel"/>
    <w:tmpl w:val="00000025"/>
    <w:lvl w:ilvl="0">
      <w:start w:val="1"/>
      <w:numFmt w:val="decimal"/>
      <w:lvlText w:val="%1."/>
      <w:lvlJc w:val="left"/>
      <w:pPr>
        <w:ind w:left="1134" w:hanging="1134"/>
      </w:pPr>
      <w:rPr>
        <w:rFonts w:hint="default"/>
        <w:u w:val="none"/>
      </w:rPr>
    </w:lvl>
    <w:lvl w:ilvl="1">
      <w:start w:val="1"/>
      <w:numFmt w:val="decimal"/>
      <w:lvlText w:val="%1.%2."/>
      <w:lvlJc w:val="left"/>
      <w:pPr>
        <w:ind w:left="1134" w:hanging="1134"/>
      </w:pPr>
      <w:rPr>
        <w:rFonts w:hint="default"/>
        <w:u w:val="none"/>
      </w:rPr>
    </w:lvl>
    <w:lvl w:ilvl="2">
      <w:start w:val="1"/>
      <w:numFmt w:val="decimal"/>
      <w:pStyle w:val="AppendixHeading3"/>
      <w:lvlText w:val="%1.%2.%3"/>
      <w:lvlJc w:val="left"/>
      <w:pPr>
        <w:ind w:left="1134" w:hanging="1134"/>
      </w:pPr>
      <w:rPr>
        <w:rFonts w:hint="default"/>
        <w:u w:val="none"/>
      </w:rPr>
    </w:lvl>
    <w:lvl w:ilvl="3">
      <w:start w:val="1"/>
      <w:numFmt w:val="decimal"/>
      <w:lvlText w:val="%1.%2.%3%4"/>
      <w:lvlJc w:val="left"/>
      <w:pPr>
        <w:ind w:left="1494" w:hanging="1134"/>
      </w:pPr>
      <w:rPr>
        <w:rFonts w:hint="default"/>
        <w:u w:val="none"/>
      </w:rPr>
    </w:lvl>
    <w:lvl w:ilvl="4">
      <w:start w:val="1"/>
      <w:numFmt w:val="decimal"/>
      <w:lvlText w:val="%1.%2.%3%4%5"/>
      <w:lvlJc w:val="left"/>
      <w:pPr>
        <w:ind w:left="1854" w:hanging="1134"/>
      </w:pPr>
      <w:rPr>
        <w:rFonts w:hint="default"/>
        <w:u w:val="none"/>
      </w:rPr>
    </w:lvl>
    <w:lvl w:ilvl="5">
      <w:start w:val="1"/>
      <w:numFmt w:val="decimal"/>
      <w:lvlText w:val="%1.%2.%3%4%5%6"/>
      <w:lvlJc w:val="left"/>
      <w:pPr>
        <w:ind w:left="2214" w:hanging="1134"/>
      </w:pPr>
      <w:rPr>
        <w:rFonts w:hint="default"/>
        <w:u w:val="none"/>
      </w:rPr>
    </w:lvl>
    <w:lvl w:ilvl="6">
      <w:start w:val="1"/>
      <w:numFmt w:val="decimal"/>
      <w:lvlText w:val="%1.%2.%3%4%5%6%7"/>
      <w:lvlJc w:val="left"/>
      <w:pPr>
        <w:ind w:left="2574" w:hanging="1134"/>
      </w:pPr>
      <w:rPr>
        <w:rFonts w:hint="default"/>
        <w:u w:val="none"/>
      </w:rPr>
    </w:lvl>
    <w:lvl w:ilvl="7">
      <w:start w:val="1"/>
      <w:numFmt w:val="decimal"/>
      <w:lvlText w:val="%1.%2.%3%4%5%6%7%8"/>
      <w:lvlJc w:val="left"/>
      <w:pPr>
        <w:ind w:left="2934" w:hanging="1134"/>
      </w:pPr>
      <w:rPr>
        <w:rFonts w:hint="default"/>
        <w:u w:val="none"/>
      </w:rPr>
    </w:lvl>
    <w:lvl w:ilvl="8">
      <w:start w:val="1"/>
      <w:numFmt w:val="decimal"/>
      <w:lvlText w:val="%1.%2.%3%4%5%6%7%8%9"/>
      <w:lvlJc w:val="left"/>
      <w:pPr>
        <w:ind w:left="3294" w:hanging="1134"/>
      </w:pPr>
      <w:rPr>
        <w:rFonts w:hint="default"/>
        <w:u w:val="none"/>
      </w:rPr>
    </w:lvl>
  </w:abstractNum>
  <w:abstractNum w:abstractNumId="24" w15:restartNumberingAfterBreak="0">
    <w:nsid w:val="00000026"/>
    <w:multiLevelType w:val="multilevel"/>
    <w:tmpl w:val="00000026"/>
    <w:lvl w:ilvl="0">
      <w:start w:val="1"/>
      <w:numFmt w:val="decimal"/>
      <w:lvlText w:val="%1."/>
      <w:lvlJc w:val="left"/>
      <w:pPr>
        <w:ind w:left="1134" w:hanging="1134"/>
      </w:pPr>
      <w:rPr>
        <w:rFonts w:hint="default"/>
        <w:u w:val="none"/>
      </w:rPr>
    </w:lvl>
    <w:lvl w:ilvl="1">
      <w:start w:val="1"/>
      <w:numFmt w:val="decimal"/>
      <w:lvlText w:val="%1.%2."/>
      <w:lvlJc w:val="left"/>
      <w:pPr>
        <w:ind w:left="1134" w:hanging="1134"/>
      </w:pPr>
      <w:rPr>
        <w:rFonts w:hint="default"/>
        <w:u w:val="none"/>
      </w:rPr>
    </w:lvl>
    <w:lvl w:ilvl="2">
      <w:start w:val="1"/>
      <w:numFmt w:val="decimal"/>
      <w:lvlText w:val="%1.%2.%3."/>
      <w:lvlJc w:val="left"/>
      <w:pPr>
        <w:ind w:left="1134" w:hanging="1134"/>
      </w:pPr>
      <w:rPr>
        <w:rFonts w:hint="default"/>
        <w:u w:val="none"/>
      </w:rPr>
    </w:lvl>
    <w:lvl w:ilvl="3">
      <w:start w:val="1"/>
      <w:numFmt w:val="decimal"/>
      <w:pStyle w:val="NbrHeading4"/>
      <w:lvlText w:val="%1.%2.%3.%4"/>
      <w:lvlJc w:val="left"/>
      <w:pPr>
        <w:ind w:left="1134" w:hanging="1134"/>
      </w:pPr>
      <w:rPr>
        <w:rFonts w:hint="default"/>
        <w:u w:val="none"/>
      </w:rPr>
    </w:lvl>
    <w:lvl w:ilvl="4">
      <w:start w:val="1"/>
      <w:numFmt w:val="decimal"/>
      <w:lvlText w:val="%1.%2.%3.%4%5"/>
      <w:lvlJc w:val="left"/>
      <w:pPr>
        <w:ind w:left="1494" w:hanging="1134"/>
      </w:pPr>
      <w:rPr>
        <w:rFonts w:hint="default"/>
        <w:u w:val="none"/>
      </w:rPr>
    </w:lvl>
    <w:lvl w:ilvl="5">
      <w:start w:val="1"/>
      <w:numFmt w:val="decimal"/>
      <w:lvlText w:val="%1.%2.%3.%4%5%6"/>
      <w:lvlJc w:val="left"/>
      <w:pPr>
        <w:ind w:left="1854" w:hanging="1134"/>
      </w:pPr>
      <w:rPr>
        <w:rFonts w:hint="default"/>
        <w:u w:val="none"/>
      </w:rPr>
    </w:lvl>
    <w:lvl w:ilvl="6">
      <w:start w:val="1"/>
      <w:numFmt w:val="decimal"/>
      <w:lvlText w:val="%1.%2.%3.%4%5%6%7"/>
      <w:lvlJc w:val="left"/>
      <w:pPr>
        <w:ind w:left="2214" w:hanging="1134"/>
      </w:pPr>
      <w:rPr>
        <w:rFonts w:hint="default"/>
        <w:u w:val="none"/>
      </w:rPr>
    </w:lvl>
    <w:lvl w:ilvl="7">
      <w:start w:val="1"/>
      <w:numFmt w:val="decimal"/>
      <w:lvlText w:val="%1.%2.%3.%4%5%6%7%8"/>
      <w:lvlJc w:val="left"/>
      <w:pPr>
        <w:ind w:left="2574" w:hanging="1134"/>
      </w:pPr>
      <w:rPr>
        <w:rFonts w:hint="default"/>
        <w:u w:val="none"/>
      </w:rPr>
    </w:lvl>
    <w:lvl w:ilvl="8">
      <w:start w:val="1"/>
      <w:numFmt w:val="decimal"/>
      <w:lvlText w:val="%1.%2.%3.%4%5%6%7%8%9"/>
      <w:lvlJc w:val="left"/>
      <w:pPr>
        <w:ind w:left="2934" w:hanging="1134"/>
      </w:pPr>
      <w:rPr>
        <w:rFonts w:hint="default"/>
        <w:u w:val="none"/>
      </w:rPr>
    </w:lvl>
  </w:abstractNum>
  <w:abstractNum w:abstractNumId="25" w15:restartNumberingAfterBreak="0">
    <w:nsid w:val="00000027"/>
    <w:multiLevelType w:val="multilevel"/>
    <w:tmpl w:val="00000027"/>
    <w:lvl w:ilvl="0">
      <w:start w:val="1"/>
      <w:numFmt w:val="decimal"/>
      <w:lvlText w:val="%1."/>
      <w:lvlJc w:val="left"/>
      <w:rPr>
        <w:rFonts w:hint="default"/>
        <w:u w:val="none"/>
      </w:rPr>
    </w:lvl>
    <w:lvl w:ilvl="1">
      <w:start w:val="1"/>
      <w:numFmt w:val="decimal"/>
      <w:lvlText w:val="%1.%2."/>
      <w:lvlJc w:val="left"/>
      <w:rPr>
        <w:rFonts w:hint="default"/>
        <w:u w:val="none"/>
      </w:rPr>
    </w:lvl>
    <w:lvl w:ilvl="2">
      <w:start w:val="1"/>
      <w:numFmt w:val="decimal"/>
      <w:lvlText w:val="%1.%2.%3."/>
      <w:lvlJc w:val="left"/>
      <w:rPr>
        <w:rFonts w:hint="default"/>
        <w:u w:val="none"/>
      </w:rPr>
    </w:lvl>
    <w:lvl w:ilvl="3">
      <w:start w:val="1"/>
      <w:numFmt w:val="decimal"/>
      <w:pStyle w:val="AppendixHeading4"/>
      <w:lvlText w:val="%1.%2.%3.%4."/>
      <w:lvlJc w:val="left"/>
      <w:rPr>
        <w:rFonts w:hint="default"/>
        <w:u w:val="none"/>
      </w:rPr>
    </w:lvl>
    <w:lvl w:ilvl="4">
      <w:start w:val="1"/>
      <w:numFmt w:val="decimal"/>
      <w:lvlText w:val="%1.%2.%3.%4.%5."/>
      <w:lvlJc w:val="left"/>
      <w:rPr>
        <w:rFonts w:hint="default"/>
        <w:u w:val="none"/>
      </w:rPr>
    </w:lvl>
    <w:lvl w:ilvl="5">
      <w:start w:val="1"/>
      <w:numFmt w:val="decimal"/>
      <w:lvlText w:val="%1.%2.%3.%4.%5.%6."/>
      <w:lvlJc w:val="left"/>
      <w:rPr>
        <w:rFonts w:hint="default"/>
        <w:u w:val="none"/>
      </w:rPr>
    </w:lvl>
    <w:lvl w:ilvl="6">
      <w:start w:val="1"/>
      <w:numFmt w:val="decimal"/>
      <w:lvlText w:val="%1.%2.%3.%4.%5.%6.%7."/>
      <w:lvlJc w:val="left"/>
      <w:rPr>
        <w:rFonts w:hint="default"/>
        <w:u w:val="none"/>
      </w:rPr>
    </w:lvl>
    <w:lvl w:ilvl="7">
      <w:start w:val="1"/>
      <w:numFmt w:val="decimal"/>
      <w:lvlText w:val="%1.%2.%3.%4.%5.%6.%7.%8."/>
      <w:lvlJc w:val="left"/>
      <w:rPr>
        <w:rFonts w:hint="default"/>
        <w:u w:val="none"/>
      </w:rPr>
    </w:lvl>
    <w:lvl w:ilvl="8">
      <w:start w:val="1"/>
      <w:numFmt w:val="decimal"/>
      <w:lvlText w:val="%1.%2.%3.%4.%5.%6.%7.%8.%9."/>
      <w:lvlJc w:val="left"/>
      <w:rPr>
        <w:rFonts w:hint="default"/>
        <w:u w:val="none"/>
      </w:rPr>
    </w:lvl>
  </w:abstractNum>
  <w:abstractNum w:abstractNumId="26" w15:restartNumberingAfterBreak="0">
    <w:nsid w:val="00000028"/>
    <w:multiLevelType w:val="multilevel"/>
    <w:tmpl w:val="00000028"/>
    <w:lvl w:ilvl="0">
      <w:start w:val="1"/>
      <w:numFmt w:val="decimal"/>
      <w:lvlText w:val="%1."/>
      <w:lvlJc w:val="left"/>
      <w:pPr>
        <w:ind w:left="1134" w:hanging="1134"/>
      </w:pPr>
      <w:rPr>
        <w:rFonts w:hint="default"/>
        <w:u w:val="none"/>
      </w:rPr>
    </w:lvl>
    <w:lvl w:ilvl="1">
      <w:start w:val="1"/>
      <w:numFmt w:val="decimal"/>
      <w:lvlText w:val="%1.%2."/>
      <w:lvlJc w:val="left"/>
      <w:pPr>
        <w:ind w:left="1134" w:hanging="1134"/>
      </w:pPr>
      <w:rPr>
        <w:rFonts w:hint="default"/>
        <w:u w:val="none"/>
      </w:rPr>
    </w:lvl>
    <w:lvl w:ilvl="2">
      <w:start w:val="1"/>
      <w:numFmt w:val="decimal"/>
      <w:lvlText w:val="%1.%2.%3."/>
      <w:lvlJc w:val="left"/>
      <w:pPr>
        <w:ind w:left="1134" w:hanging="1134"/>
      </w:pPr>
      <w:rPr>
        <w:rFonts w:hint="default"/>
        <w:u w:val="none"/>
      </w:rPr>
    </w:lvl>
    <w:lvl w:ilvl="3">
      <w:start w:val="1"/>
      <w:numFmt w:val="decimal"/>
      <w:lvlText w:val="%1.%2.%3.%4."/>
      <w:lvlJc w:val="left"/>
      <w:pPr>
        <w:ind w:left="1134" w:hanging="1134"/>
      </w:pPr>
      <w:rPr>
        <w:rFonts w:hint="default"/>
        <w:u w:val="none"/>
      </w:rPr>
    </w:lvl>
    <w:lvl w:ilvl="4">
      <w:start w:val="1"/>
      <w:numFmt w:val="decimal"/>
      <w:pStyle w:val="NbrHeading5"/>
      <w:lvlText w:val="%1.%2.%3.%4.%5"/>
      <w:lvlJc w:val="left"/>
      <w:pPr>
        <w:ind w:left="1134" w:hanging="1134"/>
      </w:pPr>
      <w:rPr>
        <w:rFonts w:hint="default"/>
        <w:u w:val="none"/>
      </w:rPr>
    </w:lvl>
    <w:lvl w:ilvl="5">
      <w:start w:val="1"/>
      <w:numFmt w:val="decimal"/>
      <w:lvlText w:val="%1.%2.%3.%4.%5%6"/>
      <w:lvlJc w:val="left"/>
      <w:pPr>
        <w:ind w:left="1494" w:hanging="1134"/>
      </w:pPr>
      <w:rPr>
        <w:rFonts w:hint="default"/>
        <w:u w:val="none"/>
      </w:rPr>
    </w:lvl>
    <w:lvl w:ilvl="6">
      <w:start w:val="1"/>
      <w:numFmt w:val="decimal"/>
      <w:lvlText w:val="%1.%2.%3.%4.%5%6%7"/>
      <w:lvlJc w:val="left"/>
      <w:pPr>
        <w:ind w:left="1854" w:hanging="1134"/>
      </w:pPr>
      <w:rPr>
        <w:rFonts w:hint="default"/>
        <w:u w:val="none"/>
      </w:rPr>
    </w:lvl>
    <w:lvl w:ilvl="7">
      <w:start w:val="1"/>
      <w:numFmt w:val="decimal"/>
      <w:lvlText w:val="%1.%2.%3.%4.%5%6%7%8"/>
      <w:lvlJc w:val="left"/>
      <w:pPr>
        <w:ind w:left="2214" w:hanging="1134"/>
      </w:pPr>
      <w:rPr>
        <w:rFonts w:hint="default"/>
        <w:u w:val="none"/>
      </w:rPr>
    </w:lvl>
    <w:lvl w:ilvl="8">
      <w:start w:val="1"/>
      <w:numFmt w:val="decimal"/>
      <w:lvlText w:val="%1.%2.%3.%4.%5%6%7%8%9"/>
      <w:lvlJc w:val="left"/>
      <w:pPr>
        <w:ind w:left="2574" w:hanging="1134"/>
      </w:pPr>
      <w:rPr>
        <w:rFonts w:hint="default"/>
        <w:u w:val="none"/>
      </w:rPr>
    </w:lvl>
  </w:abstractNum>
  <w:abstractNum w:abstractNumId="27" w15:restartNumberingAfterBreak="0">
    <w:nsid w:val="00000029"/>
    <w:multiLevelType w:val="multilevel"/>
    <w:tmpl w:val="00000029"/>
    <w:lvl w:ilvl="0">
      <w:start w:val="1"/>
      <w:numFmt w:val="decimal"/>
      <w:lvlText w:val="%1."/>
      <w:lvlJc w:val="left"/>
      <w:rPr>
        <w:rFonts w:hint="default"/>
        <w:u w:val="none"/>
      </w:rPr>
    </w:lvl>
    <w:lvl w:ilvl="1">
      <w:start w:val="1"/>
      <w:numFmt w:val="decimal"/>
      <w:lvlText w:val="%1.%2."/>
      <w:lvlJc w:val="left"/>
      <w:rPr>
        <w:rFonts w:hint="default"/>
        <w:u w:val="none"/>
      </w:rPr>
    </w:lvl>
    <w:lvl w:ilvl="2">
      <w:start w:val="1"/>
      <w:numFmt w:val="decimal"/>
      <w:lvlText w:val="%1.%2.%3."/>
      <w:lvlJc w:val="left"/>
      <w:rPr>
        <w:rFonts w:hint="default"/>
        <w:u w:val="none"/>
      </w:rPr>
    </w:lvl>
    <w:lvl w:ilvl="3">
      <w:start w:val="1"/>
      <w:numFmt w:val="decimal"/>
      <w:lvlText w:val="%1.%2.%3.%4."/>
      <w:lvlJc w:val="left"/>
      <w:rPr>
        <w:rFonts w:hint="default"/>
        <w:u w:val="none"/>
      </w:rPr>
    </w:lvl>
    <w:lvl w:ilvl="4">
      <w:start w:val="1"/>
      <w:numFmt w:val="decimal"/>
      <w:pStyle w:val="AppendixHeading5"/>
      <w:lvlText w:val="%1.%2.%3.%4.%5"/>
      <w:lvlJc w:val="left"/>
      <w:rPr>
        <w:rFonts w:hint="default"/>
        <w:u w:val="none"/>
      </w:rPr>
    </w:lvl>
    <w:lvl w:ilvl="5">
      <w:start w:val="1"/>
      <w:numFmt w:val="decimal"/>
      <w:lvlText w:val="%1.%2.%3.%4.%5%6"/>
      <w:lvlJc w:val="left"/>
      <w:rPr>
        <w:rFonts w:hint="default"/>
        <w:u w:val="none"/>
      </w:rPr>
    </w:lvl>
    <w:lvl w:ilvl="6">
      <w:start w:val="1"/>
      <w:numFmt w:val="decimal"/>
      <w:lvlText w:val="%1.%2.%3.%4.%5%6%7"/>
      <w:lvlJc w:val="left"/>
      <w:rPr>
        <w:rFonts w:hint="default"/>
        <w:u w:val="none"/>
      </w:rPr>
    </w:lvl>
    <w:lvl w:ilvl="7">
      <w:start w:val="1"/>
      <w:numFmt w:val="decimal"/>
      <w:lvlText w:val="%1.%2.%3.%4.%5%6%7%8"/>
      <w:lvlJc w:val="left"/>
      <w:rPr>
        <w:rFonts w:hint="default"/>
        <w:u w:val="none"/>
      </w:rPr>
    </w:lvl>
    <w:lvl w:ilvl="8">
      <w:start w:val="1"/>
      <w:numFmt w:val="decimal"/>
      <w:lvlText w:val="%1.%2.%3.%4.%5%6%7%8%9"/>
      <w:lvlJc w:val="left"/>
      <w:rPr>
        <w:rFonts w:hint="default"/>
        <w:u w:val="none"/>
      </w:rPr>
    </w:lvl>
  </w:abstractNum>
  <w:abstractNum w:abstractNumId="28" w15:restartNumberingAfterBreak="0">
    <w:nsid w:val="0000002A"/>
    <w:multiLevelType w:val="multilevel"/>
    <w:tmpl w:val="0000002A"/>
    <w:lvl w:ilvl="0">
      <w:start w:val="1"/>
      <w:numFmt w:val="upperLetter"/>
      <w:pStyle w:val="Appendix"/>
      <w:suff w:val="space"/>
      <w:lvlText w:val="Appendix %1:"/>
      <w:lvlJc w:val="left"/>
      <w:pPr>
        <w:ind w:left="710"/>
      </w:pPr>
      <w:rPr>
        <w:rFonts w:hint="default"/>
        <w:u w:val="none"/>
      </w:rPr>
    </w:lvl>
    <w:lvl w:ilvl="1">
      <w:start w:val="1"/>
      <w:numFmt w:val="upperLetter"/>
      <w:suff w:val="space"/>
      <w:lvlText w:val="Appendix %2:"/>
      <w:lvlJc w:val="left"/>
      <w:pPr>
        <w:ind w:left="1070"/>
      </w:pPr>
      <w:rPr>
        <w:rFonts w:hint="default"/>
        <w:u w:val="none"/>
      </w:rPr>
    </w:lvl>
    <w:lvl w:ilvl="2">
      <w:start w:val="1"/>
      <w:numFmt w:val="upperLetter"/>
      <w:suff w:val="space"/>
      <w:lvlText w:val="Appendix %3:"/>
      <w:lvlJc w:val="left"/>
      <w:pPr>
        <w:ind w:left="1430"/>
      </w:pPr>
      <w:rPr>
        <w:rFonts w:hint="default"/>
        <w:u w:val="none"/>
      </w:rPr>
    </w:lvl>
    <w:lvl w:ilvl="3">
      <w:start w:val="1"/>
      <w:numFmt w:val="upperLetter"/>
      <w:suff w:val="space"/>
      <w:lvlText w:val="Appendix %4:"/>
      <w:lvlJc w:val="left"/>
      <w:pPr>
        <w:ind w:left="1790"/>
      </w:pPr>
      <w:rPr>
        <w:rFonts w:hint="default"/>
        <w:u w:val="none"/>
      </w:rPr>
    </w:lvl>
    <w:lvl w:ilvl="4">
      <w:start w:val="1"/>
      <w:numFmt w:val="upperLetter"/>
      <w:suff w:val="space"/>
      <w:lvlText w:val="Appendix %5:"/>
      <w:lvlJc w:val="left"/>
      <w:pPr>
        <w:ind w:left="2150"/>
      </w:pPr>
      <w:rPr>
        <w:rFonts w:hint="default"/>
        <w:u w:val="none"/>
      </w:rPr>
    </w:lvl>
    <w:lvl w:ilvl="5">
      <w:start w:val="1"/>
      <w:numFmt w:val="upperLetter"/>
      <w:suff w:val="space"/>
      <w:lvlText w:val="Appendix %6:"/>
      <w:lvlJc w:val="left"/>
      <w:pPr>
        <w:ind w:left="2510"/>
      </w:pPr>
      <w:rPr>
        <w:rFonts w:hint="default"/>
        <w:u w:val="none"/>
      </w:rPr>
    </w:lvl>
    <w:lvl w:ilvl="6">
      <w:start w:val="1"/>
      <w:numFmt w:val="upperLetter"/>
      <w:suff w:val="space"/>
      <w:lvlText w:val="Appendix %7:"/>
      <w:lvlJc w:val="left"/>
      <w:pPr>
        <w:ind w:left="2870"/>
      </w:pPr>
      <w:rPr>
        <w:rFonts w:hint="default"/>
        <w:u w:val="none"/>
      </w:rPr>
    </w:lvl>
    <w:lvl w:ilvl="7">
      <w:start w:val="1"/>
      <w:numFmt w:val="upperLetter"/>
      <w:suff w:val="space"/>
      <w:lvlText w:val="Appendix %8:"/>
      <w:lvlJc w:val="left"/>
      <w:pPr>
        <w:ind w:left="3230"/>
      </w:pPr>
      <w:rPr>
        <w:rFonts w:hint="default"/>
        <w:u w:val="none"/>
      </w:rPr>
    </w:lvl>
    <w:lvl w:ilvl="8">
      <w:start w:val="1"/>
      <w:numFmt w:val="upperLetter"/>
      <w:suff w:val="space"/>
      <w:lvlText w:val="Appendix %9:"/>
      <w:lvlJc w:val="left"/>
      <w:pPr>
        <w:ind w:left="3590"/>
      </w:pPr>
      <w:rPr>
        <w:rFonts w:hint="default"/>
        <w:u w:val="none"/>
      </w:rPr>
    </w:lvl>
  </w:abstractNum>
  <w:abstractNum w:abstractNumId="29" w15:restartNumberingAfterBreak="0">
    <w:nsid w:val="0000002B"/>
    <w:multiLevelType w:val="multilevel"/>
    <w:tmpl w:val="0000002B"/>
    <w:lvl w:ilvl="0">
      <w:start w:val="1"/>
      <w:numFmt w:val="decimal"/>
      <w:pStyle w:val="Divider"/>
      <w:lvlText w:val="%1"/>
      <w:lvlJc w:val="left"/>
      <w:pPr>
        <w:ind w:left="720" w:hanging="360"/>
      </w:pPr>
      <w:rPr>
        <w:rFonts w:hint="default"/>
        <w:u w:val="none"/>
      </w:rPr>
    </w:lvl>
    <w:lvl w:ilvl="1">
      <w:start w:val="1"/>
      <w:numFmt w:val="decimal"/>
      <w:lvlText w:val="%2"/>
      <w:lvlJc w:val="left"/>
      <w:pPr>
        <w:ind w:left="1080" w:hanging="360"/>
      </w:pPr>
      <w:rPr>
        <w:rFonts w:hint="default"/>
        <w:u w:val="none"/>
      </w:rPr>
    </w:lvl>
    <w:lvl w:ilvl="2">
      <w:start w:val="1"/>
      <w:numFmt w:val="decimal"/>
      <w:lvlText w:val="%3"/>
      <w:lvlJc w:val="left"/>
      <w:pPr>
        <w:ind w:left="1440" w:hanging="360"/>
      </w:pPr>
      <w:rPr>
        <w:rFonts w:hint="default"/>
        <w:u w:val="none"/>
      </w:rPr>
    </w:lvl>
    <w:lvl w:ilvl="3">
      <w:start w:val="1"/>
      <w:numFmt w:val="decimal"/>
      <w:lvlText w:val="%4"/>
      <w:lvlJc w:val="left"/>
      <w:pPr>
        <w:ind w:left="1800" w:hanging="360"/>
      </w:pPr>
      <w:rPr>
        <w:rFonts w:hint="default"/>
        <w:u w:val="none"/>
      </w:rPr>
    </w:lvl>
    <w:lvl w:ilvl="4">
      <w:start w:val="1"/>
      <w:numFmt w:val="decimal"/>
      <w:lvlText w:val="%5"/>
      <w:lvlJc w:val="left"/>
      <w:pPr>
        <w:ind w:left="2160" w:hanging="360"/>
      </w:pPr>
      <w:rPr>
        <w:rFonts w:hint="default"/>
        <w:u w:val="none"/>
      </w:rPr>
    </w:lvl>
    <w:lvl w:ilvl="5">
      <w:start w:val="1"/>
      <w:numFmt w:val="decimal"/>
      <w:lvlText w:val="%6"/>
      <w:lvlJc w:val="left"/>
      <w:pPr>
        <w:ind w:left="2520" w:hanging="360"/>
      </w:pPr>
      <w:rPr>
        <w:rFonts w:hint="default"/>
        <w:u w:val="none"/>
      </w:rPr>
    </w:lvl>
    <w:lvl w:ilvl="6">
      <w:start w:val="1"/>
      <w:numFmt w:val="decimal"/>
      <w:lvlText w:val="%7"/>
      <w:lvlJc w:val="left"/>
      <w:pPr>
        <w:ind w:left="2880" w:hanging="360"/>
      </w:pPr>
      <w:rPr>
        <w:rFonts w:hint="default"/>
        <w:u w:val="none"/>
      </w:rPr>
    </w:lvl>
    <w:lvl w:ilvl="7">
      <w:start w:val="1"/>
      <w:numFmt w:val="decimal"/>
      <w:lvlText w:val="%8"/>
      <w:lvlJc w:val="left"/>
      <w:pPr>
        <w:ind w:left="3240" w:hanging="360"/>
      </w:pPr>
      <w:rPr>
        <w:rFonts w:hint="default"/>
        <w:u w:val="none"/>
      </w:rPr>
    </w:lvl>
    <w:lvl w:ilvl="8">
      <w:start w:val="1"/>
      <w:numFmt w:val="decimal"/>
      <w:lvlText w:val="%9"/>
      <w:lvlJc w:val="left"/>
      <w:pPr>
        <w:ind w:left="3600" w:hanging="360"/>
      </w:pPr>
      <w:rPr>
        <w:rFonts w:hint="default"/>
        <w:u w:val="none"/>
      </w:rPr>
    </w:lvl>
  </w:abstractNum>
  <w:abstractNum w:abstractNumId="30" w15:restartNumberingAfterBreak="0">
    <w:nsid w:val="0915252A"/>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31" w15:restartNumberingAfterBreak="0">
    <w:nsid w:val="124E6A92"/>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32" w15:restartNumberingAfterBreak="0">
    <w:nsid w:val="14BA1E55"/>
    <w:multiLevelType w:val="singleLevel"/>
    <w:tmpl w:val="14BA1E55"/>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33" w15:restartNumberingAfterBreak="0">
    <w:nsid w:val="1A544280"/>
    <w:multiLevelType w:val="multilevel"/>
    <w:tmpl w:val="09206C8C"/>
    <w:lvl w:ilvl="0">
      <w:start w:val="1"/>
      <w:numFmt w:val="bullet"/>
      <w:lvlText w:val=""/>
      <w:lvlPicBulletId w:val="1"/>
      <w:lvlJc w:val="left"/>
      <w:pPr>
        <w:ind w:left="360" w:hanging="360"/>
      </w:pPr>
      <w:rPr>
        <w:rFonts w:ascii="Symbol" w:hAnsi="Symbol" w:hint="default"/>
        <w:color w:val="auto"/>
        <w:sz w:val="14"/>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1ACC33B1"/>
    <w:multiLevelType w:val="multilevel"/>
    <w:tmpl w:val="1ACC33B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DAB6283"/>
    <w:multiLevelType w:val="hybridMultilevel"/>
    <w:tmpl w:val="A2B818B2"/>
    <w:lvl w:ilvl="0" w:tplc="D5E665EA">
      <w:start w:val="1"/>
      <w:numFmt w:val="bullet"/>
      <w:lvlText w:val=""/>
      <w:lvlPicBulletId w:val="1"/>
      <w:lvlJc w:val="left"/>
      <w:pPr>
        <w:ind w:left="720" w:hanging="360"/>
      </w:pPr>
      <w:rPr>
        <w:rFonts w:ascii="Symbol" w:hAnsi="Symbol" w:hint="default"/>
        <w:color w:val="auto"/>
        <w:sz w:val="14"/>
        <w:szCs w:val="1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20BF6447"/>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37" w15:restartNumberingAfterBreak="0">
    <w:nsid w:val="218763D1"/>
    <w:multiLevelType w:val="multilevel"/>
    <w:tmpl w:val="D152BB36"/>
    <w:lvl w:ilvl="0">
      <w:start w:val="1"/>
      <w:numFmt w:val="bullet"/>
      <w:lvlText w:val=""/>
      <w:lvlPicBulletId w:val="1"/>
      <w:lvlJc w:val="left"/>
      <w:pPr>
        <w:ind w:left="360" w:hanging="360"/>
      </w:pPr>
      <w:rPr>
        <w:rFonts w:ascii="Symbol" w:hAnsi="Symbol" w:hint="default"/>
        <w:color w:val="auto"/>
        <w:sz w:val="14"/>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222B7451"/>
    <w:multiLevelType w:val="multilevel"/>
    <w:tmpl w:val="222B745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22862711"/>
    <w:multiLevelType w:val="multilevel"/>
    <w:tmpl w:val="228627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28908B0"/>
    <w:multiLevelType w:val="multilevel"/>
    <w:tmpl w:val="228908B0"/>
    <w:lvl w:ilvl="0">
      <w:start w:val="5"/>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1" w15:restartNumberingAfterBreak="0">
    <w:nsid w:val="25F96DCA"/>
    <w:multiLevelType w:val="multilevel"/>
    <w:tmpl w:val="25F96DC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270C32D6"/>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43" w15:restartNumberingAfterBreak="0">
    <w:nsid w:val="297D5011"/>
    <w:multiLevelType w:val="multilevel"/>
    <w:tmpl w:val="AE3CBF3E"/>
    <w:lvl w:ilvl="0">
      <w:start w:val="1"/>
      <w:numFmt w:val="bullet"/>
      <w:lvlText w:val=""/>
      <w:lvlPicBulletId w:val="1"/>
      <w:lvlJc w:val="left"/>
      <w:pPr>
        <w:ind w:left="360" w:hanging="360"/>
      </w:pPr>
      <w:rPr>
        <w:rFonts w:ascii="Symbol" w:hAnsi="Symbol" w:hint="default"/>
        <w:color w:val="auto"/>
        <w:sz w:val="14"/>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2A5B2C00"/>
    <w:multiLevelType w:val="multilevel"/>
    <w:tmpl w:val="C47EBB1A"/>
    <w:lvl w:ilvl="0">
      <w:start w:val="1"/>
      <w:numFmt w:val="bullet"/>
      <w:lvlText w:val=""/>
      <w:lvlPicBulletId w:val="1"/>
      <w:lvlJc w:val="left"/>
      <w:pPr>
        <w:ind w:left="360" w:hanging="360"/>
      </w:pPr>
      <w:rPr>
        <w:rFonts w:ascii="Symbol" w:hAnsi="Symbol" w:hint="default"/>
        <w:color w:val="auto"/>
        <w:sz w:val="14"/>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2C7669E6"/>
    <w:multiLevelType w:val="multilevel"/>
    <w:tmpl w:val="2C766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DA973A0"/>
    <w:multiLevelType w:val="multilevel"/>
    <w:tmpl w:val="2DA973A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2F446DD1"/>
    <w:multiLevelType w:val="hybridMultilevel"/>
    <w:tmpl w:val="9D3204BA"/>
    <w:lvl w:ilvl="0" w:tplc="19FE8A8E">
      <w:start w:val="1"/>
      <w:numFmt w:val="bullet"/>
      <w:lvlText w:val=""/>
      <w:lvlPicBulletId w:val="0"/>
      <w:lvlJc w:val="left"/>
      <w:pPr>
        <w:ind w:left="360" w:hanging="360"/>
      </w:pPr>
      <w:rPr>
        <w:rFonts w:ascii="Symbol" w:hAnsi="Symbol" w:hint="default"/>
        <w:color w:val="auto"/>
        <w:sz w:val="14"/>
        <w:szCs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32830287"/>
    <w:multiLevelType w:val="hybridMultilevel"/>
    <w:tmpl w:val="21EE0924"/>
    <w:lvl w:ilvl="0" w:tplc="D5E665EA">
      <w:start w:val="1"/>
      <w:numFmt w:val="bullet"/>
      <w:lvlText w:val=""/>
      <w:lvlPicBulletId w:val="1"/>
      <w:lvlJc w:val="left"/>
      <w:pPr>
        <w:ind w:left="360" w:hanging="360"/>
      </w:pPr>
      <w:rPr>
        <w:rFonts w:ascii="Symbol" w:hAnsi="Symbol" w:hint="default"/>
        <w:color w:val="auto"/>
        <w:sz w:val="14"/>
        <w:szCs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3392366A"/>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50" w15:restartNumberingAfterBreak="0">
    <w:nsid w:val="37242ABB"/>
    <w:multiLevelType w:val="hybridMultilevel"/>
    <w:tmpl w:val="EC5A0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854282F"/>
    <w:multiLevelType w:val="multilevel"/>
    <w:tmpl w:val="3854282F"/>
    <w:lvl w:ilvl="0">
      <w:start w:val="1"/>
      <w:numFmt w:val="decimal"/>
      <w:lvlText w:val="%1."/>
      <w:lvlJc w:val="left"/>
      <w:pPr>
        <w:tabs>
          <w:tab w:val="left" w:pos="360"/>
        </w:tabs>
        <w:ind w:left="360" w:hanging="360"/>
      </w:pPr>
    </w:lvl>
    <w:lvl w:ilvl="1">
      <w:start w:val="1"/>
      <w:numFmt w:val="bullet"/>
      <w:lvlText w:val=""/>
      <w:lvlJc w:val="left"/>
      <w:pPr>
        <w:tabs>
          <w:tab w:val="left" w:pos="1080"/>
        </w:tabs>
        <w:ind w:left="1080" w:hanging="360"/>
      </w:pPr>
      <w:rPr>
        <w:rFonts w:ascii="Symbol" w:hAnsi="Symbol" w:hint="default"/>
        <w:sz w:val="20"/>
      </w:rPr>
    </w:lvl>
    <w:lvl w:ilvl="2">
      <w:start w:val="6"/>
      <w:numFmt w:val="decimal"/>
      <w:lvlText w:val="%3)"/>
      <w:lvlJc w:val="left"/>
      <w:pPr>
        <w:ind w:left="1800" w:hanging="360"/>
      </w:pPr>
      <w:rPr>
        <w:rFonts w:hint="default"/>
      </w:r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52" w15:restartNumberingAfterBreak="0">
    <w:nsid w:val="393D22C7"/>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53" w15:restartNumberingAfterBreak="0">
    <w:nsid w:val="3A8B22F5"/>
    <w:multiLevelType w:val="multilevel"/>
    <w:tmpl w:val="3A8B22F5"/>
    <w:lvl w:ilvl="0">
      <w:start w:val="1"/>
      <w:numFmt w:val="bullet"/>
      <w:lvlText w:val="•"/>
      <w:lvlJc w:val="left"/>
      <w:pPr>
        <w:ind w:left="720" w:hanging="36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ACB32D3"/>
    <w:multiLevelType w:val="multilevel"/>
    <w:tmpl w:val="3ACB32D3"/>
    <w:lvl w:ilvl="0">
      <w:start w:val="1"/>
      <w:numFmt w:val="decimal"/>
      <w:pStyle w:val="NumPar1"/>
      <w:lvlText w:val="%1"/>
      <w:lvlJc w:val="left"/>
      <w:pPr>
        <w:ind w:left="375" w:hanging="375"/>
      </w:pPr>
      <w:rPr>
        <w:rFonts w:hint="default"/>
        <w:sz w:val="28"/>
      </w:rPr>
    </w:lvl>
    <w:lvl w:ilvl="1">
      <w:start w:val="1"/>
      <w:numFmt w:val="decimal"/>
      <w:lvlText w:val="%1.%2"/>
      <w:lvlJc w:val="left"/>
      <w:pPr>
        <w:ind w:left="1788" w:hanging="720"/>
      </w:pPr>
      <w:rPr>
        <w:rFonts w:hint="default"/>
        <w:sz w:val="28"/>
      </w:rPr>
    </w:lvl>
    <w:lvl w:ilvl="2">
      <w:start w:val="1"/>
      <w:numFmt w:val="decimal"/>
      <w:lvlText w:val="%1.%2.%3"/>
      <w:lvlJc w:val="left"/>
      <w:pPr>
        <w:ind w:left="2856" w:hanging="720"/>
      </w:pPr>
      <w:rPr>
        <w:rFonts w:hint="default"/>
        <w:sz w:val="28"/>
      </w:rPr>
    </w:lvl>
    <w:lvl w:ilvl="3">
      <w:start w:val="1"/>
      <w:numFmt w:val="decimal"/>
      <w:lvlText w:val="%1.%2.%3.%4"/>
      <w:lvlJc w:val="left"/>
      <w:pPr>
        <w:ind w:left="4284" w:hanging="1080"/>
      </w:pPr>
      <w:rPr>
        <w:rFonts w:hint="default"/>
        <w:sz w:val="28"/>
      </w:rPr>
    </w:lvl>
    <w:lvl w:ilvl="4">
      <w:start w:val="1"/>
      <w:numFmt w:val="decimal"/>
      <w:lvlText w:val="%1.%2.%3.%4.%5"/>
      <w:lvlJc w:val="left"/>
      <w:pPr>
        <w:ind w:left="5712" w:hanging="1440"/>
      </w:pPr>
      <w:rPr>
        <w:rFonts w:hint="default"/>
        <w:sz w:val="28"/>
      </w:rPr>
    </w:lvl>
    <w:lvl w:ilvl="5">
      <w:start w:val="1"/>
      <w:numFmt w:val="decimal"/>
      <w:lvlText w:val="%1.%2.%3.%4.%5.%6"/>
      <w:lvlJc w:val="left"/>
      <w:pPr>
        <w:ind w:left="6780" w:hanging="1440"/>
      </w:pPr>
      <w:rPr>
        <w:rFonts w:hint="default"/>
        <w:sz w:val="28"/>
      </w:rPr>
    </w:lvl>
    <w:lvl w:ilvl="6">
      <w:start w:val="1"/>
      <w:numFmt w:val="decimal"/>
      <w:lvlText w:val="%1.%2.%3.%4.%5.%6.%7"/>
      <w:lvlJc w:val="left"/>
      <w:pPr>
        <w:ind w:left="8208" w:hanging="1800"/>
      </w:pPr>
      <w:rPr>
        <w:rFonts w:hint="default"/>
        <w:sz w:val="28"/>
      </w:rPr>
    </w:lvl>
    <w:lvl w:ilvl="7">
      <w:start w:val="1"/>
      <w:numFmt w:val="decimal"/>
      <w:lvlText w:val="%1.%2.%3.%4.%5.%6.%7.%8"/>
      <w:lvlJc w:val="left"/>
      <w:pPr>
        <w:ind w:left="9636" w:hanging="2160"/>
      </w:pPr>
      <w:rPr>
        <w:rFonts w:hint="default"/>
        <w:sz w:val="28"/>
      </w:rPr>
    </w:lvl>
    <w:lvl w:ilvl="8">
      <w:start w:val="1"/>
      <w:numFmt w:val="decimal"/>
      <w:lvlText w:val="%1.%2.%3.%4.%5.%6.%7.%8.%9"/>
      <w:lvlJc w:val="left"/>
      <w:pPr>
        <w:ind w:left="10704" w:hanging="2160"/>
      </w:pPr>
      <w:rPr>
        <w:rFonts w:hint="default"/>
        <w:sz w:val="28"/>
      </w:rPr>
    </w:lvl>
  </w:abstractNum>
  <w:abstractNum w:abstractNumId="55" w15:restartNumberingAfterBreak="0">
    <w:nsid w:val="3B0D15D3"/>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56" w15:restartNumberingAfterBreak="0">
    <w:nsid w:val="3B59164B"/>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57" w15:restartNumberingAfterBreak="0">
    <w:nsid w:val="3CE55491"/>
    <w:multiLevelType w:val="multilevel"/>
    <w:tmpl w:val="3CE55491"/>
    <w:lvl w:ilvl="0">
      <w:start w:val="1"/>
      <w:numFmt w:val="bullet"/>
      <w:lvlText w:val=""/>
      <w:lvlPicBulletId w:val="0"/>
      <w:lvlJc w:val="left"/>
      <w:pPr>
        <w:ind w:left="360" w:hanging="360"/>
      </w:pPr>
      <w:rPr>
        <w:rFonts w:ascii="Symbol" w:hAnsi="Symbol" w:hint="default"/>
        <w:color w:val="auto"/>
        <w:sz w:val="14"/>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D1C114A"/>
    <w:multiLevelType w:val="multilevel"/>
    <w:tmpl w:val="3D1C114A"/>
    <w:lvl w:ilvl="0">
      <w:start w:val="1"/>
      <w:numFmt w:val="bullet"/>
      <w:lvlText w:val=""/>
      <w:lvlPicBulletId w:val="0"/>
      <w:lvlJc w:val="left"/>
      <w:pPr>
        <w:ind w:left="360" w:hanging="360"/>
      </w:pPr>
      <w:rPr>
        <w:rFonts w:ascii="Symbol" w:hAnsi="Symbol" w:hint="default"/>
        <w:color w:val="auto"/>
        <w:sz w:val="14"/>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3EBA1C1D"/>
    <w:multiLevelType w:val="hybridMultilevel"/>
    <w:tmpl w:val="A28EB782"/>
    <w:lvl w:ilvl="0" w:tplc="0C09000F">
      <w:start w:val="1"/>
      <w:numFmt w:val="decimal"/>
      <w:lvlText w:val="%1."/>
      <w:lvlJc w:val="left"/>
      <w:pPr>
        <w:ind w:left="360" w:hanging="360"/>
      </w:pPr>
      <w:rPr>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F072A09"/>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61" w15:restartNumberingAfterBreak="0">
    <w:nsid w:val="40EB3C5D"/>
    <w:multiLevelType w:val="hybridMultilevel"/>
    <w:tmpl w:val="1AEAEA7C"/>
    <w:lvl w:ilvl="0" w:tplc="D5E665EA">
      <w:start w:val="1"/>
      <w:numFmt w:val="bullet"/>
      <w:lvlText w:val=""/>
      <w:lvlPicBulletId w:val="1"/>
      <w:lvlJc w:val="left"/>
      <w:pPr>
        <w:ind w:left="360" w:hanging="360"/>
      </w:pPr>
      <w:rPr>
        <w:rFonts w:ascii="Symbol" w:hAnsi="Symbol" w:hint="default"/>
        <w:color w:val="auto"/>
        <w:sz w:val="14"/>
        <w:szCs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41452CF5"/>
    <w:multiLevelType w:val="multilevel"/>
    <w:tmpl w:val="D14E2426"/>
    <w:lvl w:ilvl="0">
      <w:start w:val="1"/>
      <w:numFmt w:val="bullet"/>
      <w:lvlText w:val=""/>
      <w:lvlPicBulletId w:val="1"/>
      <w:lvlJc w:val="left"/>
      <w:pPr>
        <w:ind w:left="720" w:hanging="360"/>
      </w:pPr>
      <w:rPr>
        <w:rFonts w:ascii="Symbol" w:hAnsi="Symbol" w:hint="default"/>
        <w:color w:val="auto"/>
        <w:sz w:val="14"/>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18F510B"/>
    <w:multiLevelType w:val="multilevel"/>
    <w:tmpl w:val="418F51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25D2567"/>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65" w15:restartNumberingAfterBreak="0">
    <w:nsid w:val="42771454"/>
    <w:multiLevelType w:val="hybridMultilevel"/>
    <w:tmpl w:val="18049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29333F0"/>
    <w:multiLevelType w:val="hybridMultilevel"/>
    <w:tmpl w:val="6616C16A"/>
    <w:lvl w:ilvl="0" w:tplc="D5E665EA">
      <w:start w:val="1"/>
      <w:numFmt w:val="bullet"/>
      <w:lvlText w:val=""/>
      <w:lvlPicBulletId w:val="1"/>
      <w:lvlJc w:val="left"/>
      <w:pPr>
        <w:ind w:left="720" w:hanging="360"/>
      </w:pPr>
      <w:rPr>
        <w:rFonts w:ascii="Symbol" w:hAnsi="Symbol" w:hint="default"/>
        <w:color w:val="auto"/>
        <w:sz w:val="14"/>
        <w:szCs w:val="1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47C471A9"/>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68" w15:restartNumberingAfterBreak="0">
    <w:nsid w:val="4AF310B3"/>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69" w15:restartNumberingAfterBreak="0">
    <w:nsid w:val="4C7BE3F1"/>
    <w:multiLevelType w:val="singleLevel"/>
    <w:tmpl w:val="4C7BE3F1"/>
    <w:lvl w:ilvl="0">
      <w:start w:val="1"/>
      <w:numFmt w:val="decimal"/>
      <w:pStyle w:val="ListNumber5"/>
      <w:lvlText w:val="%1."/>
      <w:lvlJc w:val="left"/>
      <w:pPr>
        <w:tabs>
          <w:tab w:val="left" w:pos="2040"/>
        </w:tabs>
        <w:ind w:leftChars="800" w:left="2040" w:hangingChars="200" w:hanging="360"/>
      </w:pPr>
    </w:lvl>
  </w:abstractNum>
  <w:abstractNum w:abstractNumId="70" w15:restartNumberingAfterBreak="0">
    <w:nsid w:val="4D9D3AB6"/>
    <w:multiLevelType w:val="hybridMultilevel"/>
    <w:tmpl w:val="28907FA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508E3041"/>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72" w15:restartNumberingAfterBreak="0">
    <w:nsid w:val="529A3321"/>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73" w15:restartNumberingAfterBreak="0">
    <w:nsid w:val="541910D9"/>
    <w:multiLevelType w:val="hybridMultilevel"/>
    <w:tmpl w:val="00FC17D4"/>
    <w:lvl w:ilvl="0" w:tplc="D5E665EA">
      <w:start w:val="1"/>
      <w:numFmt w:val="bullet"/>
      <w:lvlText w:val=""/>
      <w:lvlPicBulletId w:val="1"/>
      <w:lvlJc w:val="left"/>
      <w:pPr>
        <w:ind w:left="720" w:hanging="360"/>
      </w:pPr>
      <w:rPr>
        <w:rFonts w:ascii="Symbol" w:hAnsi="Symbol" w:hint="default"/>
        <w:color w:val="auto"/>
        <w:sz w:val="14"/>
        <w:szCs w:val="1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54297A79"/>
    <w:multiLevelType w:val="multilevel"/>
    <w:tmpl w:val="AECC5656"/>
    <w:lvl w:ilvl="0">
      <w:start w:val="1"/>
      <w:numFmt w:val="bullet"/>
      <w:lvlText w:val=""/>
      <w:lvlPicBulletId w:val="1"/>
      <w:lvlJc w:val="left"/>
      <w:pPr>
        <w:ind w:left="360" w:hanging="360"/>
      </w:pPr>
      <w:rPr>
        <w:rFonts w:ascii="Symbol" w:hAnsi="Symbol" w:hint="default"/>
        <w:color w:val="auto"/>
        <w:sz w:val="14"/>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5" w15:restartNumberingAfterBreak="0">
    <w:nsid w:val="58EA5B0B"/>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76" w15:restartNumberingAfterBreak="0">
    <w:nsid w:val="59572C23"/>
    <w:multiLevelType w:val="multilevel"/>
    <w:tmpl w:val="59572C2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596118E1"/>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78" w15:restartNumberingAfterBreak="0">
    <w:nsid w:val="5B08058F"/>
    <w:multiLevelType w:val="singleLevel"/>
    <w:tmpl w:val="5B08058F"/>
    <w:lvl w:ilvl="0">
      <w:numFmt w:val="bullet"/>
      <w:pStyle w:val="Achievement"/>
      <w:lvlText w:val=""/>
      <w:lvlJc w:val="left"/>
      <w:pPr>
        <w:tabs>
          <w:tab w:val="left" w:pos="1211"/>
        </w:tabs>
        <w:ind w:left="284" w:firstLine="567"/>
      </w:pPr>
      <w:rPr>
        <w:rFonts w:ascii="Symbol" w:hAnsi="Symbol" w:hint="default"/>
        <w:sz w:val="20"/>
      </w:rPr>
    </w:lvl>
  </w:abstractNum>
  <w:abstractNum w:abstractNumId="79" w15:restartNumberingAfterBreak="0">
    <w:nsid w:val="645270A8"/>
    <w:multiLevelType w:val="multilevel"/>
    <w:tmpl w:val="645270A8"/>
    <w:lvl w:ilvl="0">
      <w:start w:val="1"/>
      <w:numFmt w:val="bullet"/>
      <w:lvlText w:val=""/>
      <w:lvlPicBulletId w:val="0"/>
      <w:lvlJc w:val="left"/>
      <w:pPr>
        <w:ind w:left="720" w:hanging="360"/>
      </w:pPr>
      <w:rPr>
        <w:rFonts w:ascii="Symbol" w:hAnsi="Symbol" w:hint="default"/>
        <w:color w:val="auto"/>
        <w:sz w:val="14"/>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4E50299"/>
    <w:multiLevelType w:val="hybridMultilevel"/>
    <w:tmpl w:val="BAC837C8"/>
    <w:lvl w:ilvl="0" w:tplc="ED78C69A">
      <w:start w:val="1"/>
      <w:numFmt w:val="decimal"/>
      <w:lvlText w:val="%1."/>
      <w:lvlJc w:val="left"/>
      <w:pPr>
        <w:ind w:left="360" w:hanging="3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651ABC32"/>
    <w:multiLevelType w:val="singleLevel"/>
    <w:tmpl w:val="651ABC32"/>
    <w:lvl w:ilvl="0">
      <w:start w:val="1"/>
      <w:numFmt w:val="decimal"/>
      <w:pStyle w:val="ListNumber4"/>
      <w:lvlText w:val="%1."/>
      <w:lvlJc w:val="left"/>
      <w:pPr>
        <w:tabs>
          <w:tab w:val="left" w:pos="1620"/>
        </w:tabs>
        <w:ind w:leftChars="600" w:left="1620" w:hangingChars="200" w:hanging="360"/>
      </w:pPr>
    </w:lvl>
  </w:abstractNum>
  <w:abstractNum w:abstractNumId="82" w15:restartNumberingAfterBreak="0">
    <w:nsid w:val="677C4A37"/>
    <w:multiLevelType w:val="multilevel"/>
    <w:tmpl w:val="677C4A37"/>
    <w:lvl w:ilvl="0">
      <w:start w:val="1"/>
      <w:numFmt w:val="decimal"/>
      <w:lvlText w:val="%1."/>
      <w:lvlJc w:val="left"/>
      <w:pPr>
        <w:ind w:left="716"/>
      </w:pPr>
      <w:rPr>
        <w:rFonts w:ascii="Segoe UI" w:eastAsia="Segoe UI" w:hAnsi="Segoe UI" w:cs="Segoe UI"/>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38"/>
      </w:pPr>
      <w:rPr>
        <w:rFonts w:ascii="Segoe UI" w:eastAsia="Segoe UI" w:hAnsi="Segoe UI" w:cs="Segoe UI"/>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158"/>
      </w:pPr>
      <w:rPr>
        <w:rFonts w:ascii="Segoe UI" w:eastAsia="Segoe UI" w:hAnsi="Segoe UI" w:cs="Segoe UI"/>
        <w:b w:val="0"/>
        <w:i w:val="0"/>
        <w:strike w:val="0"/>
        <w:dstrike w:val="0"/>
        <w:color w:val="000000"/>
        <w:sz w:val="20"/>
        <w:szCs w:val="20"/>
        <w:u w:val="none" w:color="000000"/>
        <w:shd w:val="clear" w:color="auto" w:fill="auto"/>
        <w:vertAlign w:val="baseline"/>
      </w:rPr>
    </w:lvl>
    <w:lvl w:ilvl="3">
      <w:start w:val="1"/>
      <w:numFmt w:val="decimal"/>
      <w:lvlText w:val="%4"/>
      <w:lvlJc w:val="left"/>
      <w:pPr>
        <w:ind w:left="2878"/>
      </w:pPr>
      <w:rPr>
        <w:rFonts w:ascii="Segoe UI" w:eastAsia="Segoe UI" w:hAnsi="Segoe UI" w:cs="Segoe UI"/>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598"/>
      </w:pPr>
      <w:rPr>
        <w:rFonts w:ascii="Segoe UI" w:eastAsia="Segoe UI" w:hAnsi="Segoe UI" w:cs="Segoe UI"/>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18"/>
      </w:pPr>
      <w:rPr>
        <w:rFonts w:ascii="Segoe UI" w:eastAsia="Segoe UI" w:hAnsi="Segoe UI" w:cs="Segoe UI"/>
        <w:b w:val="0"/>
        <w:i w:val="0"/>
        <w:strike w:val="0"/>
        <w:dstrike w:val="0"/>
        <w:color w:val="000000"/>
        <w:sz w:val="20"/>
        <w:szCs w:val="20"/>
        <w:u w:val="none" w:color="000000"/>
        <w:shd w:val="clear" w:color="auto" w:fill="auto"/>
        <w:vertAlign w:val="baseline"/>
      </w:rPr>
    </w:lvl>
    <w:lvl w:ilvl="6">
      <w:start w:val="1"/>
      <w:numFmt w:val="decimal"/>
      <w:lvlText w:val="%7"/>
      <w:lvlJc w:val="left"/>
      <w:pPr>
        <w:ind w:left="5038"/>
      </w:pPr>
      <w:rPr>
        <w:rFonts w:ascii="Segoe UI" w:eastAsia="Segoe UI" w:hAnsi="Segoe UI" w:cs="Segoe UI"/>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758"/>
      </w:pPr>
      <w:rPr>
        <w:rFonts w:ascii="Segoe UI" w:eastAsia="Segoe UI" w:hAnsi="Segoe UI" w:cs="Segoe UI"/>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478"/>
      </w:pPr>
      <w:rPr>
        <w:rFonts w:ascii="Segoe UI" w:eastAsia="Segoe UI" w:hAnsi="Segoe UI" w:cs="Segoe UI"/>
        <w:b w:val="0"/>
        <w:i w:val="0"/>
        <w:strike w:val="0"/>
        <w:dstrike w:val="0"/>
        <w:color w:val="000000"/>
        <w:sz w:val="20"/>
        <w:szCs w:val="20"/>
        <w:u w:val="none" w:color="000000"/>
        <w:shd w:val="clear" w:color="auto" w:fill="auto"/>
        <w:vertAlign w:val="baseline"/>
      </w:rPr>
    </w:lvl>
  </w:abstractNum>
  <w:abstractNum w:abstractNumId="83" w15:restartNumberingAfterBreak="0">
    <w:nsid w:val="680B3E56"/>
    <w:multiLevelType w:val="multilevel"/>
    <w:tmpl w:val="4380DC12"/>
    <w:lvl w:ilvl="0">
      <w:start w:val="1"/>
      <w:numFmt w:val="bullet"/>
      <w:lvlText w:val=""/>
      <w:lvlPicBulletId w:val="1"/>
      <w:lvlJc w:val="left"/>
      <w:pPr>
        <w:ind w:left="720" w:hanging="360"/>
      </w:pPr>
      <w:rPr>
        <w:rFonts w:ascii="Symbol" w:hAnsi="Symbol" w:hint="default"/>
        <w:color w:val="auto"/>
        <w:sz w:val="14"/>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BC66BA8"/>
    <w:multiLevelType w:val="multilevel"/>
    <w:tmpl w:val="2C7E2332"/>
    <w:lvl w:ilvl="0">
      <w:start w:val="1"/>
      <w:numFmt w:val="bullet"/>
      <w:lvlText w:val=""/>
      <w:lvlPicBulletId w:val="1"/>
      <w:lvlJc w:val="left"/>
      <w:pPr>
        <w:ind w:left="720" w:hanging="360"/>
      </w:pPr>
      <w:rPr>
        <w:rFonts w:ascii="Symbol" w:hAnsi="Symbol" w:hint="default"/>
        <w:color w:val="auto"/>
        <w:sz w:val="14"/>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D147883"/>
    <w:multiLevelType w:val="hybridMultilevel"/>
    <w:tmpl w:val="3138ADD8"/>
    <w:lvl w:ilvl="0" w:tplc="0C09000F">
      <w:start w:val="1"/>
      <w:numFmt w:val="decimal"/>
      <w:lvlText w:val="%1."/>
      <w:lvlJc w:val="left"/>
      <w:pPr>
        <w:ind w:left="360" w:hanging="360"/>
      </w:pPr>
      <w:rPr>
        <w:rFonts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6E186065"/>
    <w:multiLevelType w:val="singleLevel"/>
    <w:tmpl w:val="6E186065"/>
    <w:lvl w:ilvl="0">
      <w:start w:val="1"/>
      <w:numFmt w:val="decimal"/>
      <w:pStyle w:val="ListNumber2"/>
      <w:lvlText w:val="%1."/>
      <w:lvlJc w:val="left"/>
      <w:pPr>
        <w:tabs>
          <w:tab w:val="left" w:pos="780"/>
        </w:tabs>
        <w:ind w:leftChars="200" w:left="780" w:hangingChars="200" w:hanging="360"/>
      </w:pPr>
    </w:lvl>
  </w:abstractNum>
  <w:abstractNum w:abstractNumId="87" w15:restartNumberingAfterBreak="0">
    <w:nsid w:val="6E9053DD"/>
    <w:multiLevelType w:val="multilevel"/>
    <w:tmpl w:val="8CFAE7AE"/>
    <w:lvl w:ilvl="0">
      <w:start w:val="1"/>
      <w:numFmt w:val="bullet"/>
      <w:lvlText w:val=""/>
      <w:lvlPicBulletId w:val="1"/>
      <w:lvlJc w:val="left"/>
      <w:pPr>
        <w:ind w:left="360" w:hanging="360"/>
      </w:pPr>
      <w:rPr>
        <w:rFonts w:ascii="Symbol" w:hAnsi="Symbol" w:hint="default"/>
        <w:color w:val="auto"/>
        <w:sz w:val="14"/>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8" w15:restartNumberingAfterBreak="0">
    <w:nsid w:val="6F22494C"/>
    <w:multiLevelType w:val="multilevel"/>
    <w:tmpl w:val="284A1906"/>
    <w:lvl w:ilvl="0">
      <w:start w:val="1"/>
      <w:numFmt w:val="bullet"/>
      <w:lvlText w:val=""/>
      <w:lvlPicBulletId w:val="1"/>
      <w:lvlJc w:val="left"/>
      <w:pPr>
        <w:ind w:left="360" w:hanging="360"/>
      </w:pPr>
      <w:rPr>
        <w:rFonts w:ascii="Symbol" w:hAnsi="Symbol" w:hint="default"/>
        <w:color w:val="auto"/>
        <w:sz w:val="14"/>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9" w15:restartNumberingAfterBreak="0">
    <w:nsid w:val="71476E68"/>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90" w15:restartNumberingAfterBreak="0">
    <w:nsid w:val="71C02A15"/>
    <w:multiLevelType w:val="hybridMultilevel"/>
    <w:tmpl w:val="CF2C6E4A"/>
    <w:lvl w:ilvl="0" w:tplc="0C09000F">
      <w:start w:val="1"/>
      <w:numFmt w:val="decimal"/>
      <w:lvlText w:val="%1."/>
      <w:lvlJc w:val="left"/>
      <w:pPr>
        <w:ind w:left="360" w:hanging="360"/>
      </w:pPr>
      <w:rPr>
        <w:rFonts w:hint="default"/>
        <w:color w:val="000000"/>
      </w:rPr>
    </w:lvl>
    <w:lvl w:ilvl="1" w:tplc="20000017">
      <w:start w:val="1"/>
      <w:numFmt w:val="lowerLetter"/>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723E09B8"/>
    <w:multiLevelType w:val="multilevel"/>
    <w:tmpl w:val="723E09B8"/>
    <w:lvl w:ilvl="0">
      <w:start w:val="1"/>
      <w:numFmt w:val="bullet"/>
      <w:lvlText w:val="•"/>
      <w:lvlJc w:val="left"/>
      <w:pPr>
        <w:ind w:left="720" w:hanging="36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405438A"/>
    <w:multiLevelType w:val="multilevel"/>
    <w:tmpl w:val="30D4AFD0"/>
    <w:lvl w:ilvl="0">
      <w:start w:val="1"/>
      <w:numFmt w:val="bullet"/>
      <w:lvlText w:val=""/>
      <w:lvlPicBulletId w:val="1"/>
      <w:lvlJc w:val="left"/>
      <w:pPr>
        <w:ind w:left="720" w:hanging="360"/>
      </w:pPr>
      <w:rPr>
        <w:rFonts w:ascii="Symbol" w:hAnsi="Symbol" w:hint="default"/>
        <w:color w:val="auto"/>
        <w:sz w:val="14"/>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42E5525"/>
    <w:multiLevelType w:val="hybridMultilevel"/>
    <w:tmpl w:val="501A8ABA"/>
    <w:lvl w:ilvl="0" w:tplc="D5E665EA">
      <w:start w:val="1"/>
      <w:numFmt w:val="bullet"/>
      <w:lvlText w:val=""/>
      <w:lvlPicBulletId w:val="1"/>
      <w:lvlJc w:val="left"/>
      <w:pPr>
        <w:ind w:left="360" w:hanging="360"/>
      </w:pPr>
      <w:rPr>
        <w:rFonts w:ascii="Symbol" w:hAnsi="Symbol" w:hint="default"/>
        <w:color w:val="auto"/>
        <w:sz w:val="14"/>
        <w:szCs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4" w15:restartNumberingAfterBreak="0">
    <w:nsid w:val="769053DF"/>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abstractNum w:abstractNumId="95" w15:restartNumberingAfterBreak="0">
    <w:nsid w:val="77BDEAC2"/>
    <w:multiLevelType w:val="singleLevel"/>
    <w:tmpl w:val="77BDEAC2"/>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6" w15:restartNumberingAfterBreak="0">
    <w:nsid w:val="7A9D1BD5"/>
    <w:multiLevelType w:val="multilevel"/>
    <w:tmpl w:val="508EB338"/>
    <w:lvl w:ilvl="0">
      <w:start w:val="1"/>
      <w:numFmt w:val="bullet"/>
      <w:lvlText w:val=""/>
      <w:lvlPicBulletId w:val="1"/>
      <w:lvlJc w:val="left"/>
      <w:pPr>
        <w:ind w:left="720" w:hanging="360"/>
      </w:pPr>
      <w:rPr>
        <w:rFonts w:ascii="Symbol" w:hAnsi="Symbol" w:hint="default"/>
        <w:color w:val="auto"/>
        <w:sz w:val="14"/>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8042BB"/>
    <w:multiLevelType w:val="multilevel"/>
    <w:tmpl w:val="653E7950"/>
    <w:lvl w:ilvl="0">
      <w:start w:val="1"/>
      <w:numFmt w:val="bullet"/>
      <w:lvlText w:val=""/>
      <w:lvlJc w:val="left"/>
      <w:pPr>
        <w:ind w:left="772" w:hanging="360"/>
      </w:pPr>
      <w:rPr>
        <w:rFonts w:ascii="Symbol" w:hAnsi="Symbol"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hint="default"/>
      </w:rPr>
    </w:lvl>
    <w:lvl w:ilvl="3">
      <w:start w:val="1"/>
      <w:numFmt w:val="bullet"/>
      <w:lvlText w:val=""/>
      <w:lvlJc w:val="left"/>
      <w:pPr>
        <w:ind w:left="2875" w:hanging="360"/>
      </w:pPr>
      <w:rPr>
        <w:rFonts w:ascii="Symbol" w:hAnsi="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hint="default"/>
      </w:rPr>
    </w:lvl>
    <w:lvl w:ilvl="6">
      <w:start w:val="1"/>
      <w:numFmt w:val="bullet"/>
      <w:lvlText w:val=""/>
      <w:lvlJc w:val="left"/>
      <w:pPr>
        <w:ind w:left="5035" w:hanging="360"/>
      </w:pPr>
      <w:rPr>
        <w:rFonts w:ascii="Symbol" w:hAnsi="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hint="default"/>
      </w:rPr>
    </w:lvl>
  </w:abstractNum>
  <w:num w:numId="1" w16cid:durableId="769744858">
    <w:abstractNumId w:val="95"/>
  </w:num>
  <w:num w:numId="2" w16cid:durableId="1220478630">
    <w:abstractNumId w:val="32"/>
  </w:num>
  <w:num w:numId="3" w16cid:durableId="1432236586">
    <w:abstractNumId w:val="2"/>
  </w:num>
  <w:num w:numId="4" w16cid:durableId="457068593">
    <w:abstractNumId w:val="1"/>
  </w:num>
  <w:num w:numId="5" w16cid:durableId="761923396">
    <w:abstractNumId w:val="86"/>
  </w:num>
  <w:num w:numId="6" w16cid:durableId="20862426">
    <w:abstractNumId w:val="0"/>
  </w:num>
  <w:num w:numId="7" w16cid:durableId="14233779">
    <w:abstractNumId w:val="81"/>
  </w:num>
  <w:num w:numId="8" w16cid:durableId="629940256">
    <w:abstractNumId w:val="69"/>
  </w:num>
  <w:num w:numId="9" w16cid:durableId="46807106">
    <w:abstractNumId w:val="78"/>
  </w:num>
  <w:num w:numId="10" w16cid:durableId="1938247902">
    <w:abstractNumId w:val="54"/>
  </w:num>
  <w:num w:numId="11" w16cid:durableId="1193036550">
    <w:abstractNumId w:val="3"/>
  </w:num>
  <w:num w:numId="12" w16cid:durableId="1028868768">
    <w:abstractNumId w:val="4"/>
  </w:num>
  <w:num w:numId="13" w16cid:durableId="659577060">
    <w:abstractNumId w:val="5"/>
  </w:num>
  <w:num w:numId="14" w16cid:durableId="1788087770">
    <w:abstractNumId w:val="6"/>
  </w:num>
  <w:num w:numId="15" w16cid:durableId="891886963">
    <w:abstractNumId w:val="7"/>
  </w:num>
  <w:num w:numId="16" w16cid:durableId="246355102">
    <w:abstractNumId w:val="8"/>
  </w:num>
  <w:num w:numId="17" w16cid:durableId="1032805636">
    <w:abstractNumId w:val="9"/>
  </w:num>
  <w:num w:numId="18" w16cid:durableId="391083499">
    <w:abstractNumId w:val="10"/>
  </w:num>
  <w:num w:numId="19" w16cid:durableId="1446844715">
    <w:abstractNumId w:val="11"/>
  </w:num>
  <w:num w:numId="20" w16cid:durableId="115956467">
    <w:abstractNumId w:val="12"/>
  </w:num>
  <w:num w:numId="21" w16cid:durableId="1576166560">
    <w:abstractNumId w:val="13"/>
  </w:num>
  <w:num w:numId="22" w16cid:durableId="1411343459">
    <w:abstractNumId w:val="14"/>
  </w:num>
  <w:num w:numId="23" w16cid:durableId="1835678121">
    <w:abstractNumId w:val="15"/>
  </w:num>
  <w:num w:numId="24" w16cid:durableId="591426897">
    <w:abstractNumId w:val="16"/>
  </w:num>
  <w:num w:numId="25" w16cid:durableId="448748078">
    <w:abstractNumId w:val="17"/>
  </w:num>
  <w:num w:numId="26" w16cid:durableId="1969359762">
    <w:abstractNumId w:val="18"/>
  </w:num>
  <w:num w:numId="27" w16cid:durableId="687801992">
    <w:abstractNumId w:val="19"/>
  </w:num>
  <w:num w:numId="28" w16cid:durableId="721250262">
    <w:abstractNumId w:val="20"/>
  </w:num>
  <w:num w:numId="29" w16cid:durableId="700056625">
    <w:abstractNumId w:val="21"/>
  </w:num>
  <w:num w:numId="30" w16cid:durableId="157115502">
    <w:abstractNumId w:val="22"/>
  </w:num>
  <w:num w:numId="31" w16cid:durableId="1935552533">
    <w:abstractNumId w:val="23"/>
  </w:num>
  <w:num w:numId="32" w16cid:durableId="317611454">
    <w:abstractNumId w:val="24"/>
  </w:num>
  <w:num w:numId="33" w16cid:durableId="1185247733">
    <w:abstractNumId w:val="25"/>
  </w:num>
  <w:num w:numId="34" w16cid:durableId="1442342214">
    <w:abstractNumId w:val="26"/>
  </w:num>
  <w:num w:numId="35" w16cid:durableId="947154818">
    <w:abstractNumId w:val="27"/>
  </w:num>
  <w:num w:numId="36" w16cid:durableId="948774624">
    <w:abstractNumId w:val="28"/>
  </w:num>
  <w:num w:numId="37" w16cid:durableId="1088114690">
    <w:abstractNumId w:val="29"/>
  </w:num>
  <w:num w:numId="38" w16cid:durableId="473832953">
    <w:abstractNumId w:val="38"/>
  </w:num>
  <w:num w:numId="39" w16cid:durableId="1771201808">
    <w:abstractNumId w:val="76"/>
  </w:num>
  <w:num w:numId="40" w16cid:durableId="1246956530">
    <w:abstractNumId w:val="39"/>
  </w:num>
  <w:num w:numId="41" w16cid:durableId="1984847801">
    <w:abstractNumId w:val="79"/>
  </w:num>
  <w:num w:numId="42" w16cid:durableId="1605109053">
    <w:abstractNumId w:val="58"/>
  </w:num>
  <w:num w:numId="43" w16cid:durableId="1441290813">
    <w:abstractNumId w:val="57"/>
  </w:num>
  <w:num w:numId="44" w16cid:durableId="807164169">
    <w:abstractNumId w:val="30"/>
  </w:num>
  <w:num w:numId="45" w16cid:durableId="1691444226">
    <w:abstractNumId w:val="91"/>
  </w:num>
  <w:num w:numId="46" w16cid:durableId="1202131058">
    <w:abstractNumId w:val="53"/>
  </w:num>
  <w:num w:numId="47" w16cid:durableId="326716531">
    <w:abstractNumId w:val="82"/>
  </w:num>
  <w:num w:numId="48" w16cid:durableId="599992105">
    <w:abstractNumId w:val="51"/>
  </w:num>
  <w:num w:numId="49" w16cid:durableId="1179808755">
    <w:abstractNumId w:val="34"/>
  </w:num>
  <w:num w:numId="50" w16cid:durableId="2096632707">
    <w:abstractNumId w:val="45"/>
  </w:num>
  <w:num w:numId="51" w16cid:durableId="799496314">
    <w:abstractNumId w:val="46"/>
  </w:num>
  <w:num w:numId="52" w16cid:durableId="1905330330">
    <w:abstractNumId w:val="41"/>
  </w:num>
  <w:num w:numId="53" w16cid:durableId="1224606930">
    <w:abstractNumId w:val="63"/>
  </w:num>
  <w:num w:numId="54" w16cid:durableId="122429627">
    <w:abstractNumId w:val="40"/>
  </w:num>
  <w:num w:numId="55" w16cid:durableId="1466459983">
    <w:abstractNumId w:val="35"/>
  </w:num>
  <w:num w:numId="56" w16cid:durableId="1252471077">
    <w:abstractNumId w:val="84"/>
  </w:num>
  <w:num w:numId="57" w16cid:durableId="2025861931">
    <w:abstractNumId w:val="96"/>
  </w:num>
  <w:num w:numId="58" w16cid:durableId="1967200409">
    <w:abstractNumId w:val="62"/>
  </w:num>
  <w:num w:numId="59" w16cid:durableId="1715616134">
    <w:abstractNumId w:val="33"/>
  </w:num>
  <w:num w:numId="60" w16cid:durableId="552816847">
    <w:abstractNumId w:val="37"/>
  </w:num>
  <w:num w:numId="61" w16cid:durableId="608241748">
    <w:abstractNumId w:val="61"/>
  </w:num>
  <w:num w:numId="62" w16cid:durableId="21129918">
    <w:abstractNumId w:val="87"/>
  </w:num>
  <w:num w:numId="63" w16cid:durableId="1157763848">
    <w:abstractNumId w:val="74"/>
  </w:num>
  <w:num w:numId="64" w16cid:durableId="1590774357">
    <w:abstractNumId w:val="93"/>
  </w:num>
  <w:num w:numId="65" w16cid:durableId="1326321442">
    <w:abstractNumId w:val="48"/>
  </w:num>
  <w:num w:numId="66" w16cid:durableId="898587526">
    <w:abstractNumId w:val="44"/>
  </w:num>
  <w:num w:numId="67" w16cid:durableId="945579418">
    <w:abstractNumId w:val="88"/>
  </w:num>
  <w:num w:numId="68" w16cid:durableId="1771318036">
    <w:abstractNumId w:val="43"/>
  </w:num>
  <w:num w:numId="69" w16cid:durableId="1380394263">
    <w:abstractNumId w:val="92"/>
  </w:num>
  <w:num w:numId="70" w16cid:durableId="1725059942">
    <w:abstractNumId w:val="66"/>
  </w:num>
  <w:num w:numId="71" w16cid:durableId="1941639017">
    <w:abstractNumId w:val="73"/>
  </w:num>
  <w:num w:numId="72" w16cid:durableId="836768435">
    <w:abstractNumId w:val="83"/>
  </w:num>
  <w:num w:numId="73" w16cid:durableId="1380743754">
    <w:abstractNumId w:val="47"/>
  </w:num>
  <w:num w:numId="74" w16cid:durableId="366105270">
    <w:abstractNumId w:val="70"/>
  </w:num>
  <w:num w:numId="75" w16cid:durableId="1975521256">
    <w:abstractNumId w:val="80"/>
  </w:num>
  <w:num w:numId="76" w16cid:durableId="1911499360">
    <w:abstractNumId w:val="85"/>
  </w:num>
  <w:num w:numId="77" w16cid:durableId="1098134392">
    <w:abstractNumId w:val="59"/>
  </w:num>
  <w:num w:numId="78" w16cid:durableId="360863532">
    <w:abstractNumId w:val="90"/>
  </w:num>
  <w:num w:numId="79" w16cid:durableId="1575045252">
    <w:abstractNumId w:val="65"/>
  </w:num>
  <w:num w:numId="80" w16cid:durableId="456066182">
    <w:abstractNumId w:val="50"/>
  </w:num>
  <w:num w:numId="81" w16cid:durableId="1102920302">
    <w:abstractNumId w:val="67"/>
  </w:num>
  <w:num w:numId="82" w16cid:durableId="952174343">
    <w:abstractNumId w:val="72"/>
  </w:num>
  <w:num w:numId="83" w16cid:durableId="206920897">
    <w:abstractNumId w:val="49"/>
  </w:num>
  <w:num w:numId="84" w16cid:durableId="1322152484">
    <w:abstractNumId w:val="31"/>
  </w:num>
  <w:num w:numId="85" w16cid:durableId="1754931790">
    <w:abstractNumId w:val="55"/>
  </w:num>
  <w:num w:numId="86" w16cid:durableId="1838761482">
    <w:abstractNumId w:val="42"/>
  </w:num>
  <w:num w:numId="87" w16cid:durableId="1195657270">
    <w:abstractNumId w:val="97"/>
  </w:num>
  <w:num w:numId="88" w16cid:durableId="297272542">
    <w:abstractNumId w:val="75"/>
  </w:num>
  <w:num w:numId="89" w16cid:durableId="335615773">
    <w:abstractNumId w:val="77"/>
  </w:num>
  <w:num w:numId="90" w16cid:durableId="544954068">
    <w:abstractNumId w:val="56"/>
  </w:num>
  <w:num w:numId="91" w16cid:durableId="26109126">
    <w:abstractNumId w:val="52"/>
  </w:num>
  <w:num w:numId="92" w16cid:durableId="1407653888">
    <w:abstractNumId w:val="94"/>
  </w:num>
  <w:num w:numId="93" w16cid:durableId="670061768">
    <w:abstractNumId w:val="71"/>
  </w:num>
  <w:num w:numId="94" w16cid:durableId="691688964">
    <w:abstractNumId w:val="36"/>
  </w:num>
  <w:num w:numId="95" w16cid:durableId="70130187">
    <w:abstractNumId w:val="60"/>
  </w:num>
  <w:num w:numId="96" w16cid:durableId="2096317712">
    <w:abstractNumId w:val="64"/>
  </w:num>
  <w:num w:numId="97" w16cid:durableId="1425497677">
    <w:abstractNumId w:val="89"/>
  </w:num>
  <w:num w:numId="98" w16cid:durableId="424232102">
    <w:abstractNumId w:val="6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5121"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3A5"/>
    <w:rsid w:val="0000075F"/>
    <w:rsid w:val="00000F62"/>
    <w:rsid w:val="0000105A"/>
    <w:rsid w:val="00001655"/>
    <w:rsid w:val="00002288"/>
    <w:rsid w:val="0000279D"/>
    <w:rsid w:val="00003130"/>
    <w:rsid w:val="00003638"/>
    <w:rsid w:val="00003816"/>
    <w:rsid w:val="0000430E"/>
    <w:rsid w:val="000048E8"/>
    <w:rsid w:val="00006E3C"/>
    <w:rsid w:val="00007F03"/>
    <w:rsid w:val="000101A8"/>
    <w:rsid w:val="00010465"/>
    <w:rsid w:val="00010A58"/>
    <w:rsid w:val="00011992"/>
    <w:rsid w:val="00011CDA"/>
    <w:rsid w:val="0001263B"/>
    <w:rsid w:val="0001267F"/>
    <w:rsid w:val="00012A34"/>
    <w:rsid w:val="00012B7C"/>
    <w:rsid w:val="00012D12"/>
    <w:rsid w:val="00012EDD"/>
    <w:rsid w:val="00013233"/>
    <w:rsid w:val="0001361F"/>
    <w:rsid w:val="000137E2"/>
    <w:rsid w:val="00014CFD"/>
    <w:rsid w:val="0001513A"/>
    <w:rsid w:val="0001612E"/>
    <w:rsid w:val="00016280"/>
    <w:rsid w:val="00016637"/>
    <w:rsid w:val="00017264"/>
    <w:rsid w:val="0002137B"/>
    <w:rsid w:val="0002155C"/>
    <w:rsid w:val="00021A9A"/>
    <w:rsid w:val="00021FAF"/>
    <w:rsid w:val="0002254C"/>
    <w:rsid w:val="000226A4"/>
    <w:rsid w:val="00022D78"/>
    <w:rsid w:val="00023DC7"/>
    <w:rsid w:val="0002409D"/>
    <w:rsid w:val="00025137"/>
    <w:rsid w:val="00027DF5"/>
    <w:rsid w:val="00030272"/>
    <w:rsid w:val="00030389"/>
    <w:rsid w:val="000305E5"/>
    <w:rsid w:val="0003081C"/>
    <w:rsid w:val="00030B50"/>
    <w:rsid w:val="00030CB5"/>
    <w:rsid w:val="00030DC3"/>
    <w:rsid w:val="00030EEE"/>
    <w:rsid w:val="00030F76"/>
    <w:rsid w:val="00030FCC"/>
    <w:rsid w:val="00031544"/>
    <w:rsid w:val="0003173F"/>
    <w:rsid w:val="00031844"/>
    <w:rsid w:val="00031BA4"/>
    <w:rsid w:val="00031C0E"/>
    <w:rsid w:val="00031F98"/>
    <w:rsid w:val="00032662"/>
    <w:rsid w:val="00032B29"/>
    <w:rsid w:val="00032C2C"/>
    <w:rsid w:val="00032E88"/>
    <w:rsid w:val="000332C0"/>
    <w:rsid w:val="000332F1"/>
    <w:rsid w:val="00034145"/>
    <w:rsid w:val="00034308"/>
    <w:rsid w:val="00034F46"/>
    <w:rsid w:val="00034FD5"/>
    <w:rsid w:val="000351DA"/>
    <w:rsid w:val="000354EF"/>
    <w:rsid w:val="00037017"/>
    <w:rsid w:val="000371BE"/>
    <w:rsid w:val="0003798D"/>
    <w:rsid w:val="00037EAB"/>
    <w:rsid w:val="00037FE6"/>
    <w:rsid w:val="0004042D"/>
    <w:rsid w:val="0004197C"/>
    <w:rsid w:val="00042307"/>
    <w:rsid w:val="000424EE"/>
    <w:rsid w:val="0004271B"/>
    <w:rsid w:val="00043F39"/>
    <w:rsid w:val="00044797"/>
    <w:rsid w:val="00044FAC"/>
    <w:rsid w:val="00045153"/>
    <w:rsid w:val="00045E36"/>
    <w:rsid w:val="00045F6B"/>
    <w:rsid w:val="00046072"/>
    <w:rsid w:val="0004623F"/>
    <w:rsid w:val="000463C5"/>
    <w:rsid w:val="000467A7"/>
    <w:rsid w:val="00046B1A"/>
    <w:rsid w:val="0004757A"/>
    <w:rsid w:val="0005092D"/>
    <w:rsid w:val="00051736"/>
    <w:rsid w:val="000517F3"/>
    <w:rsid w:val="00051BC4"/>
    <w:rsid w:val="000525C3"/>
    <w:rsid w:val="000525D1"/>
    <w:rsid w:val="00052A21"/>
    <w:rsid w:val="00052D7C"/>
    <w:rsid w:val="0005301F"/>
    <w:rsid w:val="0005313A"/>
    <w:rsid w:val="00053319"/>
    <w:rsid w:val="000539DE"/>
    <w:rsid w:val="000542F7"/>
    <w:rsid w:val="0005536B"/>
    <w:rsid w:val="0005602F"/>
    <w:rsid w:val="00056233"/>
    <w:rsid w:val="00060B3F"/>
    <w:rsid w:val="000615E3"/>
    <w:rsid w:val="000616E9"/>
    <w:rsid w:val="000617EB"/>
    <w:rsid w:val="0006251A"/>
    <w:rsid w:val="00062601"/>
    <w:rsid w:val="00062883"/>
    <w:rsid w:val="0006295F"/>
    <w:rsid w:val="000631A4"/>
    <w:rsid w:val="000634A2"/>
    <w:rsid w:val="000637FE"/>
    <w:rsid w:val="00064B0D"/>
    <w:rsid w:val="00064EBB"/>
    <w:rsid w:val="00065066"/>
    <w:rsid w:val="00065BBC"/>
    <w:rsid w:val="00066734"/>
    <w:rsid w:val="0006684E"/>
    <w:rsid w:val="00066AE0"/>
    <w:rsid w:val="0006785E"/>
    <w:rsid w:val="00067AB9"/>
    <w:rsid w:val="00067DFD"/>
    <w:rsid w:val="00070394"/>
    <w:rsid w:val="0007090D"/>
    <w:rsid w:val="00070BB4"/>
    <w:rsid w:val="00070C22"/>
    <w:rsid w:val="0007180C"/>
    <w:rsid w:val="00071C2A"/>
    <w:rsid w:val="0007218B"/>
    <w:rsid w:val="00072B51"/>
    <w:rsid w:val="00074B95"/>
    <w:rsid w:val="00075B73"/>
    <w:rsid w:val="000763CB"/>
    <w:rsid w:val="00076762"/>
    <w:rsid w:val="00077055"/>
    <w:rsid w:val="000774DB"/>
    <w:rsid w:val="000779C1"/>
    <w:rsid w:val="00080060"/>
    <w:rsid w:val="0008027E"/>
    <w:rsid w:val="0008090E"/>
    <w:rsid w:val="00081FD6"/>
    <w:rsid w:val="00082770"/>
    <w:rsid w:val="00083A80"/>
    <w:rsid w:val="00084E87"/>
    <w:rsid w:val="00085546"/>
    <w:rsid w:val="000858B8"/>
    <w:rsid w:val="000859A6"/>
    <w:rsid w:val="00085F45"/>
    <w:rsid w:val="000861C0"/>
    <w:rsid w:val="00086490"/>
    <w:rsid w:val="00090CB9"/>
    <w:rsid w:val="00090CBE"/>
    <w:rsid w:val="00090D06"/>
    <w:rsid w:val="00090EFB"/>
    <w:rsid w:val="000914E4"/>
    <w:rsid w:val="000916E1"/>
    <w:rsid w:val="00091E2F"/>
    <w:rsid w:val="00092DD3"/>
    <w:rsid w:val="00093036"/>
    <w:rsid w:val="0009390B"/>
    <w:rsid w:val="00093A9D"/>
    <w:rsid w:val="00093B2D"/>
    <w:rsid w:val="00094167"/>
    <w:rsid w:val="000943DF"/>
    <w:rsid w:val="0009515A"/>
    <w:rsid w:val="000954CF"/>
    <w:rsid w:val="0009600A"/>
    <w:rsid w:val="0009673E"/>
    <w:rsid w:val="000A029C"/>
    <w:rsid w:val="000A04E0"/>
    <w:rsid w:val="000A051C"/>
    <w:rsid w:val="000A0ABF"/>
    <w:rsid w:val="000A15C2"/>
    <w:rsid w:val="000A187E"/>
    <w:rsid w:val="000A1C14"/>
    <w:rsid w:val="000A2226"/>
    <w:rsid w:val="000A2B46"/>
    <w:rsid w:val="000A3709"/>
    <w:rsid w:val="000A3A7C"/>
    <w:rsid w:val="000A3C70"/>
    <w:rsid w:val="000A3D71"/>
    <w:rsid w:val="000A4BE5"/>
    <w:rsid w:val="000A4D17"/>
    <w:rsid w:val="000A4FCA"/>
    <w:rsid w:val="000A5795"/>
    <w:rsid w:val="000A6373"/>
    <w:rsid w:val="000A6548"/>
    <w:rsid w:val="000A6B98"/>
    <w:rsid w:val="000A7683"/>
    <w:rsid w:val="000A7A96"/>
    <w:rsid w:val="000B0317"/>
    <w:rsid w:val="000B0668"/>
    <w:rsid w:val="000B0CE1"/>
    <w:rsid w:val="000B175D"/>
    <w:rsid w:val="000B1A76"/>
    <w:rsid w:val="000B1EAF"/>
    <w:rsid w:val="000B1FAF"/>
    <w:rsid w:val="000B21B7"/>
    <w:rsid w:val="000B22F3"/>
    <w:rsid w:val="000B2925"/>
    <w:rsid w:val="000B37EC"/>
    <w:rsid w:val="000B3996"/>
    <w:rsid w:val="000B3ED4"/>
    <w:rsid w:val="000B4392"/>
    <w:rsid w:val="000B59C7"/>
    <w:rsid w:val="000B5BE0"/>
    <w:rsid w:val="000B5EC5"/>
    <w:rsid w:val="000B5FA8"/>
    <w:rsid w:val="000B61FD"/>
    <w:rsid w:val="000B64E6"/>
    <w:rsid w:val="000C0249"/>
    <w:rsid w:val="000C04F7"/>
    <w:rsid w:val="000C06D6"/>
    <w:rsid w:val="000C0B17"/>
    <w:rsid w:val="000C1989"/>
    <w:rsid w:val="000C1ADF"/>
    <w:rsid w:val="000C1D49"/>
    <w:rsid w:val="000C3659"/>
    <w:rsid w:val="000C36D9"/>
    <w:rsid w:val="000C3834"/>
    <w:rsid w:val="000C3F3F"/>
    <w:rsid w:val="000C4BE0"/>
    <w:rsid w:val="000C4F8B"/>
    <w:rsid w:val="000C54AA"/>
    <w:rsid w:val="000C6011"/>
    <w:rsid w:val="000C64D1"/>
    <w:rsid w:val="000C67BE"/>
    <w:rsid w:val="000C6A48"/>
    <w:rsid w:val="000C6C09"/>
    <w:rsid w:val="000C6E2A"/>
    <w:rsid w:val="000C6E6C"/>
    <w:rsid w:val="000C72FB"/>
    <w:rsid w:val="000C74F1"/>
    <w:rsid w:val="000C77A9"/>
    <w:rsid w:val="000C7898"/>
    <w:rsid w:val="000C79AC"/>
    <w:rsid w:val="000C7A14"/>
    <w:rsid w:val="000C7E8D"/>
    <w:rsid w:val="000D0EBF"/>
    <w:rsid w:val="000D339B"/>
    <w:rsid w:val="000D33BF"/>
    <w:rsid w:val="000D3649"/>
    <w:rsid w:val="000D3E15"/>
    <w:rsid w:val="000D48EE"/>
    <w:rsid w:val="000D50BF"/>
    <w:rsid w:val="000D56BE"/>
    <w:rsid w:val="000D5834"/>
    <w:rsid w:val="000D5D4B"/>
    <w:rsid w:val="000D661B"/>
    <w:rsid w:val="000D6A2E"/>
    <w:rsid w:val="000D6BC2"/>
    <w:rsid w:val="000D7298"/>
    <w:rsid w:val="000D73A7"/>
    <w:rsid w:val="000D7550"/>
    <w:rsid w:val="000D7603"/>
    <w:rsid w:val="000D78B1"/>
    <w:rsid w:val="000D7F61"/>
    <w:rsid w:val="000E222E"/>
    <w:rsid w:val="000E28E1"/>
    <w:rsid w:val="000E2F97"/>
    <w:rsid w:val="000E3627"/>
    <w:rsid w:val="000E3650"/>
    <w:rsid w:val="000E4032"/>
    <w:rsid w:val="000E40DE"/>
    <w:rsid w:val="000E40F8"/>
    <w:rsid w:val="000E4292"/>
    <w:rsid w:val="000E44A3"/>
    <w:rsid w:val="000E4FA3"/>
    <w:rsid w:val="000E5207"/>
    <w:rsid w:val="000E57BA"/>
    <w:rsid w:val="000E649C"/>
    <w:rsid w:val="000E6A9D"/>
    <w:rsid w:val="000E7B6D"/>
    <w:rsid w:val="000E7D27"/>
    <w:rsid w:val="000F09FA"/>
    <w:rsid w:val="000F30A8"/>
    <w:rsid w:val="000F3198"/>
    <w:rsid w:val="000F32D8"/>
    <w:rsid w:val="000F3B3D"/>
    <w:rsid w:val="000F3BD1"/>
    <w:rsid w:val="000F3E94"/>
    <w:rsid w:val="000F42FD"/>
    <w:rsid w:val="000F4915"/>
    <w:rsid w:val="000F4EF5"/>
    <w:rsid w:val="000F5071"/>
    <w:rsid w:val="000F5225"/>
    <w:rsid w:val="000F5D7E"/>
    <w:rsid w:val="000F6295"/>
    <w:rsid w:val="0010150B"/>
    <w:rsid w:val="00101649"/>
    <w:rsid w:val="001026DE"/>
    <w:rsid w:val="00102909"/>
    <w:rsid w:val="001043DA"/>
    <w:rsid w:val="00104B28"/>
    <w:rsid w:val="0010587E"/>
    <w:rsid w:val="00105DBE"/>
    <w:rsid w:val="00105DD5"/>
    <w:rsid w:val="00107100"/>
    <w:rsid w:val="00107403"/>
    <w:rsid w:val="0010754C"/>
    <w:rsid w:val="00107AE0"/>
    <w:rsid w:val="00107D00"/>
    <w:rsid w:val="0011067B"/>
    <w:rsid w:val="00110A87"/>
    <w:rsid w:val="001115A9"/>
    <w:rsid w:val="00111803"/>
    <w:rsid w:val="0011226C"/>
    <w:rsid w:val="001122FE"/>
    <w:rsid w:val="00112A06"/>
    <w:rsid w:val="00112AB4"/>
    <w:rsid w:val="00112B64"/>
    <w:rsid w:val="00112CCF"/>
    <w:rsid w:val="00113DFF"/>
    <w:rsid w:val="001166D4"/>
    <w:rsid w:val="00116F54"/>
    <w:rsid w:val="0011785A"/>
    <w:rsid w:val="001200FF"/>
    <w:rsid w:val="00120B7C"/>
    <w:rsid w:val="0012106F"/>
    <w:rsid w:val="0012158A"/>
    <w:rsid w:val="0012163D"/>
    <w:rsid w:val="00121C31"/>
    <w:rsid w:val="00121ED3"/>
    <w:rsid w:val="00122B95"/>
    <w:rsid w:val="00123273"/>
    <w:rsid w:val="00124676"/>
    <w:rsid w:val="00124F50"/>
    <w:rsid w:val="00125B2E"/>
    <w:rsid w:val="00125B55"/>
    <w:rsid w:val="0012614A"/>
    <w:rsid w:val="001262AF"/>
    <w:rsid w:val="00126E15"/>
    <w:rsid w:val="0013010D"/>
    <w:rsid w:val="0013140A"/>
    <w:rsid w:val="00131A15"/>
    <w:rsid w:val="001320B4"/>
    <w:rsid w:val="00132632"/>
    <w:rsid w:val="00132FF2"/>
    <w:rsid w:val="00133CF0"/>
    <w:rsid w:val="001340A5"/>
    <w:rsid w:val="001341BF"/>
    <w:rsid w:val="001344E1"/>
    <w:rsid w:val="0013466D"/>
    <w:rsid w:val="00134810"/>
    <w:rsid w:val="001349BF"/>
    <w:rsid w:val="00134CE0"/>
    <w:rsid w:val="0013517E"/>
    <w:rsid w:val="00135E83"/>
    <w:rsid w:val="00136550"/>
    <w:rsid w:val="001368DE"/>
    <w:rsid w:val="00137009"/>
    <w:rsid w:val="001371D5"/>
    <w:rsid w:val="00137A1A"/>
    <w:rsid w:val="0014034A"/>
    <w:rsid w:val="001405DF"/>
    <w:rsid w:val="00140808"/>
    <w:rsid w:val="00141B30"/>
    <w:rsid w:val="001426DA"/>
    <w:rsid w:val="00142B1F"/>
    <w:rsid w:val="00142B43"/>
    <w:rsid w:val="0014301B"/>
    <w:rsid w:val="0014316A"/>
    <w:rsid w:val="0014339D"/>
    <w:rsid w:val="00143FE3"/>
    <w:rsid w:val="001440CC"/>
    <w:rsid w:val="00144AF3"/>
    <w:rsid w:val="00145A44"/>
    <w:rsid w:val="00146B46"/>
    <w:rsid w:val="00146C34"/>
    <w:rsid w:val="00146F01"/>
    <w:rsid w:val="001473E0"/>
    <w:rsid w:val="001476B1"/>
    <w:rsid w:val="001477B5"/>
    <w:rsid w:val="00147D0A"/>
    <w:rsid w:val="00147E53"/>
    <w:rsid w:val="00150487"/>
    <w:rsid w:val="00151148"/>
    <w:rsid w:val="001511E9"/>
    <w:rsid w:val="001534E8"/>
    <w:rsid w:val="001541CE"/>
    <w:rsid w:val="0015427E"/>
    <w:rsid w:val="00154284"/>
    <w:rsid w:val="0015434E"/>
    <w:rsid w:val="00154C2F"/>
    <w:rsid w:val="0015512B"/>
    <w:rsid w:val="00155C39"/>
    <w:rsid w:val="001563A6"/>
    <w:rsid w:val="00156445"/>
    <w:rsid w:val="0015692E"/>
    <w:rsid w:val="00156962"/>
    <w:rsid w:val="001569EA"/>
    <w:rsid w:val="00156BE9"/>
    <w:rsid w:val="00157BBA"/>
    <w:rsid w:val="001600B6"/>
    <w:rsid w:val="00160EC9"/>
    <w:rsid w:val="00161672"/>
    <w:rsid w:val="001616EB"/>
    <w:rsid w:val="00161720"/>
    <w:rsid w:val="00162066"/>
    <w:rsid w:val="00162504"/>
    <w:rsid w:val="00162745"/>
    <w:rsid w:val="00162AD9"/>
    <w:rsid w:val="00162E14"/>
    <w:rsid w:val="0016328D"/>
    <w:rsid w:val="00163937"/>
    <w:rsid w:val="0016417C"/>
    <w:rsid w:val="001642C5"/>
    <w:rsid w:val="00164540"/>
    <w:rsid w:val="001647F6"/>
    <w:rsid w:val="00164964"/>
    <w:rsid w:val="00164B38"/>
    <w:rsid w:val="00164DD2"/>
    <w:rsid w:val="0016501A"/>
    <w:rsid w:val="00165A73"/>
    <w:rsid w:val="00165DE6"/>
    <w:rsid w:val="001661ED"/>
    <w:rsid w:val="0016663D"/>
    <w:rsid w:val="00167D01"/>
    <w:rsid w:val="00171865"/>
    <w:rsid w:val="00171E9E"/>
    <w:rsid w:val="00172120"/>
    <w:rsid w:val="001728A4"/>
    <w:rsid w:val="00172A27"/>
    <w:rsid w:val="00172ADC"/>
    <w:rsid w:val="0017336B"/>
    <w:rsid w:val="00173984"/>
    <w:rsid w:val="00175888"/>
    <w:rsid w:val="00175A6F"/>
    <w:rsid w:val="00175BEA"/>
    <w:rsid w:val="00175CA8"/>
    <w:rsid w:val="00177554"/>
    <w:rsid w:val="001800F6"/>
    <w:rsid w:val="00180225"/>
    <w:rsid w:val="001803CE"/>
    <w:rsid w:val="0018199C"/>
    <w:rsid w:val="001820B6"/>
    <w:rsid w:val="001825EE"/>
    <w:rsid w:val="00182D73"/>
    <w:rsid w:val="00182FEF"/>
    <w:rsid w:val="0018431F"/>
    <w:rsid w:val="00185D8E"/>
    <w:rsid w:val="00187DEE"/>
    <w:rsid w:val="00190229"/>
    <w:rsid w:val="00190BF8"/>
    <w:rsid w:val="00190F99"/>
    <w:rsid w:val="00191A0B"/>
    <w:rsid w:val="00191ADF"/>
    <w:rsid w:val="001920F7"/>
    <w:rsid w:val="001933E9"/>
    <w:rsid w:val="001941AA"/>
    <w:rsid w:val="0019480E"/>
    <w:rsid w:val="0019529D"/>
    <w:rsid w:val="00195DF6"/>
    <w:rsid w:val="00195E2B"/>
    <w:rsid w:val="00195FB0"/>
    <w:rsid w:val="00196622"/>
    <w:rsid w:val="00196724"/>
    <w:rsid w:val="0019731D"/>
    <w:rsid w:val="001979EB"/>
    <w:rsid w:val="001A00AD"/>
    <w:rsid w:val="001A0D36"/>
    <w:rsid w:val="001A1272"/>
    <w:rsid w:val="001A12F3"/>
    <w:rsid w:val="001A156E"/>
    <w:rsid w:val="001A1592"/>
    <w:rsid w:val="001A1662"/>
    <w:rsid w:val="001A196B"/>
    <w:rsid w:val="001A24D9"/>
    <w:rsid w:val="001A2C75"/>
    <w:rsid w:val="001A2D2E"/>
    <w:rsid w:val="001A3A94"/>
    <w:rsid w:val="001A470D"/>
    <w:rsid w:val="001A4D83"/>
    <w:rsid w:val="001A50B5"/>
    <w:rsid w:val="001A662E"/>
    <w:rsid w:val="001A68C0"/>
    <w:rsid w:val="001A6F91"/>
    <w:rsid w:val="001A716D"/>
    <w:rsid w:val="001A7425"/>
    <w:rsid w:val="001A763E"/>
    <w:rsid w:val="001A76A3"/>
    <w:rsid w:val="001A7B48"/>
    <w:rsid w:val="001B0087"/>
    <w:rsid w:val="001B0C9B"/>
    <w:rsid w:val="001B1C34"/>
    <w:rsid w:val="001B1FE8"/>
    <w:rsid w:val="001B209C"/>
    <w:rsid w:val="001B2353"/>
    <w:rsid w:val="001B2673"/>
    <w:rsid w:val="001B2855"/>
    <w:rsid w:val="001B2973"/>
    <w:rsid w:val="001B2B34"/>
    <w:rsid w:val="001B33B7"/>
    <w:rsid w:val="001B3C02"/>
    <w:rsid w:val="001B410F"/>
    <w:rsid w:val="001B5BD5"/>
    <w:rsid w:val="001B5CBB"/>
    <w:rsid w:val="001B719A"/>
    <w:rsid w:val="001C16B7"/>
    <w:rsid w:val="001C289E"/>
    <w:rsid w:val="001C2B26"/>
    <w:rsid w:val="001C2E02"/>
    <w:rsid w:val="001C3C05"/>
    <w:rsid w:val="001C5903"/>
    <w:rsid w:val="001C5F37"/>
    <w:rsid w:val="001C722E"/>
    <w:rsid w:val="001C751C"/>
    <w:rsid w:val="001C7BA7"/>
    <w:rsid w:val="001C7F67"/>
    <w:rsid w:val="001D0330"/>
    <w:rsid w:val="001D098F"/>
    <w:rsid w:val="001D0A22"/>
    <w:rsid w:val="001D14B8"/>
    <w:rsid w:val="001D1937"/>
    <w:rsid w:val="001D1AF3"/>
    <w:rsid w:val="001D2890"/>
    <w:rsid w:val="001D2B8E"/>
    <w:rsid w:val="001D2E12"/>
    <w:rsid w:val="001D3797"/>
    <w:rsid w:val="001D3E83"/>
    <w:rsid w:val="001D4E15"/>
    <w:rsid w:val="001D5025"/>
    <w:rsid w:val="001D5297"/>
    <w:rsid w:val="001D63AC"/>
    <w:rsid w:val="001D65C5"/>
    <w:rsid w:val="001D6C09"/>
    <w:rsid w:val="001D6F5C"/>
    <w:rsid w:val="001D7CB1"/>
    <w:rsid w:val="001D7CF9"/>
    <w:rsid w:val="001D7D3B"/>
    <w:rsid w:val="001D7E09"/>
    <w:rsid w:val="001E06E1"/>
    <w:rsid w:val="001E0E7E"/>
    <w:rsid w:val="001E1480"/>
    <w:rsid w:val="001E28E6"/>
    <w:rsid w:val="001E2E9C"/>
    <w:rsid w:val="001E30F5"/>
    <w:rsid w:val="001E3770"/>
    <w:rsid w:val="001E3986"/>
    <w:rsid w:val="001E3C5C"/>
    <w:rsid w:val="001E454B"/>
    <w:rsid w:val="001E4A94"/>
    <w:rsid w:val="001E4BC6"/>
    <w:rsid w:val="001E52A4"/>
    <w:rsid w:val="001E6B2C"/>
    <w:rsid w:val="001E6D63"/>
    <w:rsid w:val="001E73A3"/>
    <w:rsid w:val="001E73F9"/>
    <w:rsid w:val="001E74B8"/>
    <w:rsid w:val="001F045C"/>
    <w:rsid w:val="001F0962"/>
    <w:rsid w:val="001F0F03"/>
    <w:rsid w:val="001F12E7"/>
    <w:rsid w:val="001F176D"/>
    <w:rsid w:val="001F1988"/>
    <w:rsid w:val="001F1D73"/>
    <w:rsid w:val="001F2294"/>
    <w:rsid w:val="001F3414"/>
    <w:rsid w:val="001F369B"/>
    <w:rsid w:val="001F3723"/>
    <w:rsid w:val="001F3A8F"/>
    <w:rsid w:val="001F5D2A"/>
    <w:rsid w:val="001F764E"/>
    <w:rsid w:val="002007FA"/>
    <w:rsid w:val="00200D2A"/>
    <w:rsid w:val="00200F2E"/>
    <w:rsid w:val="002011BF"/>
    <w:rsid w:val="00201637"/>
    <w:rsid w:val="002016E8"/>
    <w:rsid w:val="00201E41"/>
    <w:rsid w:val="0020258C"/>
    <w:rsid w:val="0020262D"/>
    <w:rsid w:val="0020266B"/>
    <w:rsid w:val="002029F9"/>
    <w:rsid w:val="00202D15"/>
    <w:rsid w:val="00203A51"/>
    <w:rsid w:val="00204184"/>
    <w:rsid w:val="0020458C"/>
    <w:rsid w:val="00204804"/>
    <w:rsid w:val="00204BA5"/>
    <w:rsid w:val="00204DD0"/>
    <w:rsid w:val="00204ED0"/>
    <w:rsid w:val="00205631"/>
    <w:rsid w:val="0020607E"/>
    <w:rsid w:val="00206586"/>
    <w:rsid w:val="00206FE4"/>
    <w:rsid w:val="00207B55"/>
    <w:rsid w:val="0021058F"/>
    <w:rsid w:val="00210A65"/>
    <w:rsid w:val="00210F0F"/>
    <w:rsid w:val="00211A52"/>
    <w:rsid w:val="002125C0"/>
    <w:rsid w:val="0021263E"/>
    <w:rsid w:val="00212A1E"/>
    <w:rsid w:val="00214D18"/>
    <w:rsid w:val="00215384"/>
    <w:rsid w:val="0021540A"/>
    <w:rsid w:val="00215962"/>
    <w:rsid w:val="002164E3"/>
    <w:rsid w:val="002169BE"/>
    <w:rsid w:val="00217481"/>
    <w:rsid w:val="002176F3"/>
    <w:rsid w:val="00220D6B"/>
    <w:rsid w:val="00221C87"/>
    <w:rsid w:val="00221CC5"/>
    <w:rsid w:val="00222335"/>
    <w:rsid w:val="00222726"/>
    <w:rsid w:val="0022276B"/>
    <w:rsid w:val="0022287F"/>
    <w:rsid w:val="00222CB3"/>
    <w:rsid w:val="00222E00"/>
    <w:rsid w:val="00222F77"/>
    <w:rsid w:val="00223309"/>
    <w:rsid w:val="00223354"/>
    <w:rsid w:val="0022383F"/>
    <w:rsid w:val="002241D0"/>
    <w:rsid w:val="002255AD"/>
    <w:rsid w:val="00226750"/>
    <w:rsid w:val="002270DD"/>
    <w:rsid w:val="0022714D"/>
    <w:rsid w:val="0022723D"/>
    <w:rsid w:val="0022754F"/>
    <w:rsid w:val="002304DE"/>
    <w:rsid w:val="00230F76"/>
    <w:rsid w:val="002323D4"/>
    <w:rsid w:val="002328AD"/>
    <w:rsid w:val="00232954"/>
    <w:rsid w:val="00233947"/>
    <w:rsid w:val="002339E4"/>
    <w:rsid w:val="00233FD1"/>
    <w:rsid w:val="002341C8"/>
    <w:rsid w:val="0023475D"/>
    <w:rsid w:val="002347E3"/>
    <w:rsid w:val="00234B5F"/>
    <w:rsid w:val="00235A62"/>
    <w:rsid w:val="00237024"/>
    <w:rsid w:val="0023705E"/>
    <w:rsid w:val="002401F3"/>
    <w:rsid w:val="00240363"/>
    <w:rsid w:val="00240728"/>
    <w:rsid w:val="002407A5"/>
    <w:rsid w:val="002408BC"/>
    <w:rsid w:val="0024095E"/>
    <w:rsid w:val="002409EB"/>
    <w:rsid w:val="002417EB"/>
    <w:rsid w:val="002419AD"/>
    <w:rsid w:val="00241C5D"/>
    <w:rsid w:val="002422E3"/>
    <w:rsid w:val="0024366E"/>
    <w:rsid w:val="00243ECB"/>
    <w:rsid w:val="00246794"/>
    <w:rsid w:val="00247976"/>
    <w:rsid w:val="00247AE1"/>
    <w:rsid w:val="00247E03"/>
    <w:rsid w:val="0025079B"/>
    <w:rsid w:val="00251113"/>
    <w:rsid w:val="00251702"/>
    <w:rsid w:val="00251772"/>
    <w:rsid w:val="00251C6E"/>
    <w:rsid w:val="00252E8D"/>
    <w:rsid w:val="00252F29"/>
    <w:rsid w:val="002530BD"/>
    <w:rsid w:val="00253346"/>
    <w:rsid w:val="00253CA0"/>
    <w:rsid w:val="00253EF5"/>
    <w:rsid w:val="0025415B"/>
    <w:rsid w:val="00254943"/>
    <w:rsid w:val="00254FEC"/>
    <w:rsid w:val="00255501"/>
    <w:rsid w:val="002557D6"/>
    <w:rsid w:val="00256D09"/>
    <w:rsid w:val="00257203"/>
    <w:rsid w:val="00257A37"/>
    <w:rsid w:val="00257A87"/>
    <w:rsid w:val="00257AE9"/>
    <w:rsid w:val="00257BF4"/>
    <w:rsid w:val="0026011D"/>
    <w:rsid w:val="00260DB2"/>
    <w:rsid w:val="0026122A"/>
    <w:rsid w:val="002614BE"/>
    <w:rsid w:val="00261FB8"/>
    <w:rsid w:val="002636C6"/>
    <w:rsid w:val="00264775"/>
    <w:rsid w:val="00264E4A"/>
    <w:rsid w:val="002651D0"/>
    <w:rsid w:val="00266EB5"/>
    <w:rsid w:val="002673C7"/>
    <w:rsid w:val="00267A7E"/>
    <w:rsid w:val="00267B8F"/>
    <w:rsid w:val="00270081"/>
    <w:rsid w:val="00270429"/>
    <w:rsid w:val="0027046D"/>
    <w:rsid w:val="0027070F"/>
    <w:rsid w:val="0027071B"/>
    <w:rsid w:val="00270802"/>
    <w:rsid w:val="002710B0"/>
    <w:rsid w:val="002725F7"/>
    <w:rsid w:val="0027278D"/>
    <w:rsid w:val="0027295A"/>
    <w:rsid w:val="00272987"/>
    <w:rsid w:val="00272FA1"/>
    <w:rsid w:val="002734B1"/>
    <w:rsid w:val="00273534"/>
    <w:rsid w:val="002737B7"/>
    <w:rsid w:val="00274DEF"/>
    <w:rsid w:val="0027619D"/>
    <w:rsid w:val="00276370"/>
    <w:rsid w:val="002766A1"/>
    <w:rsid w:val="002766D3"/>
    <w:rsid w:val="00276955"/>
    <w:rsid w:val="00276F65"/>
    <w:rsid w:val="00277657"/>
    <w:rsid w:val="00277A5D"/>
    <w:rsid w:val="00280175"/>
    <w:rsid w:val="00281891"/>
    <w:rsid w:val="00282365"/>
    <w:rsid w:val="002831D8"/>
    <w:rsid w:val="002836D9"/>
    <w:rsid w:val="0028381E"/>
    <w:rsid w:val="00283F6C"/>
    <w:rsid w:val="00284721"/>
    <w:rsid w:val="002848A2"/>
    <w:rsid w:val="0028558C"/>
    <w:rsid w:val="00285B60"/>
    <w:rsid w:val="00286D5B"/>
    <w:rsid w:val="0028710B"/>
    <w:rsid w:val="0028734A"/>
    <w:rsid w:val="00287F89"/>
    <w:rsid w:val="00287FD1"/>
    <w:rsid w:val="00290A60"/>
    <w:rsid w:val="00290BF2"/>
    <w:rsid w:val="00290C5A"/>
    <w:rsid w:val="00291366"/>
    <w:rsid w:val="00291E20"/>
    <w:rsid w:val="00291EB7"/>
    <w:rsid w:val="00292082"/>
    <w:rsid w:val="002931BD"/>
    <w:rsid w:val="0029397E"/>
    <w:rsid w:val="002939DA"/>
    <w:rsid w:val="00293A1A"/>
    <w:rsid w:val="00293E59"/>
    <w:rsid w:val="002941F6"/>
    <w:rsid w:val="00294D3B"/>
    <w:rsid w:val="00294D78"/>
    <w:rsid w:val="00294EA5"/>
    <w:rsid w:val="0029569E"/>
    <w:rsid w:val="00295F0D"/>
    <w:rsid w:val="00295F6A"/>
    <w:rsid w:val="00296066"/>
    <w:rsid w:val="0029607C"/>
    <w:rsid w:val="002962F2"/>
    <w:rsid w:val="00297121"/>
    <w:rsid w:val="0029765E"/>
    <w:rsid w:val="00297B02"/>
    <w:rsid w:val="002A04F5"/>
    <w:rsid w:val="002A18E3"/>
    <w:rsid w:val="002A1F67"/>
    <w:rsid w:val="002A2BFE"/>
    <w:rsid w:val="002A2F71"/>
    <w:rsid w:val="002A320C"/>
    <w:rsid w:val="002A3AA7"/>
    <w:rsid w:val="002A3D65"/>
    <w:rsid w:val="002A4798"/>
    <w:rsid w:val="002A4811"/>
    <w:rsid w:val="002A5E3F"/>
    <w:rsid w:val="002A613B"/>
    <w:rsid w:val="002A6266"/>
    <w:rsid w:val="002A67EF"/>
    <w:rsid w:val="002A6A7C"/>
    <w:rsid w:val="002A6F69"/>
    <w:rsid w:val="002A753F"/>
    <w:rsid w:val="002A7852"/>
    <w:rsid w:val="002A7A42"/>
    <w:rsid w:val="002B042C"/>
    <w:rsid w:val="002B0970"/>
    <w:rsid w:val="002B123C"/>
    <w:rsid w:val="002B1A6D"/>
    <w:rsid w:val="002B1F34"/>
    <w:rsid w:val="002B21F2"/>
    <w:rsid w:val="002B3345"/>
    <w:rsid w:val="002B3CF9"/>
    <w:rsid w:val="002B4276"/>
    <w:rsid w:val="002B475B"/>
    <w:rsid w:val="002B55FC"/>
    <w:rsid w:val="002B59C2"/>
    <w:rsid w:val="002B5D68"/>
    <w:rsid w:val="002B6121"/>
    <w:rsid w:val="002B6CC2"/>
    <w:rsid w:val="002B730E"/>
    <w:rsid w:val="002B7ADD"/>
    <w:rsid w:val="002B7B6E"/>
    <w:rsid w:val="002B7B96"/>
    <w:rsid w:val="002C04A7"/>
    <w:rsid w:val="002C1BBC"/>
    <w:rsid w:val="002C21F9"/>
    <w:rsid w:val="002C2466"/>
    <w:rsid w:val="002C2BB5"/>
    <w:rsid w:val="002C30C1"/>
    <w:rsid w:val="002C3A96"/>
    <w:rsid w:val="002C3AE3"/>
    <w:rsid w:val="002C419F"/>
    <w:rsid w:val="002C50BD"/>
    <w:rsid w:val="002C5711"/>
    <w:rsid w:val="002C63AE"/>
    <w:rsid w:val="002C63F6"/>
    <w:rsid w:val="002C6ECC"/>
    <w:rsid w:val="002C7951"/>
    <w:rsid w:val="002C79C5"/>
    <w:rsid w:val="002D04A0"/>
    <w:rsid w:val="002D13CF"/>
    <w:rsid w:val="002D1787"/>
    <w:rsid w:val="002D2123"/>
    <w:rsid w:val="002D241F"/>
    <w:rsid w:val="002D2B51"/>
    <w:rsid w:val="002D2F61"/>
    <w:rsid w:val="002D3241"/>
    <w:rsid w:val="002D53C4"/>
    <w:rsid w:val="002D58D5"/>
    <w:rsid w:val="002D5AFE"/>
    <w:rsid w:val="002D6261"/>
    <w:rsid w:val="002D7071"/>
    <w:rsid w:val="002D74A5"/>
    <w:rsid w:val="002D78C6"/>
    <w:rsid w:val="002D7950"/>
    <w:rsid w:val="002E0443"/>
    <w:rsid w:val="002E05FF"/>
    <w:rsid w:val="002E1563"/>
    <w:rsid w:val="002E15E1"/>
    <w:rsid w:val="002E16C5"/>
    <w:rsid w:val="002E23C8"/>
    <w:rsid w:val="002E294E"/>
    <w:rsid w:val="002E4452"/>
    <w:rsid w:val="002E4772"/>
    <w:rsid w:val="002E585F"/>
    <w:rsid w:val="002E6208"/>
    <w:rsid w:val="002E78C5"/>
    <w:rsid w:val="002E7B6C"/>
    <w:rsid w:val="002F005D"/>
    <w:rsid w:val="002F02E2"/>
    <w:rsid w:val="002F1044"/>
    <w:rsid w:val="002F1588"/>
    <w:rsid w:val="002F2052"/>
    <w:rsid w:val="002F3BD9"/>
    <w:rsid w:val="002F4056"/>
    <w:rsid w:val="002F40D8"/>
    <w:rsid w:val="002F46F8"/>
    <w:rsid w:val="002F5AE1"/>
    <w:rsid w:val="002F6179"/>
    <w:rsid w:val="002F6DE1"/>
    <w:rsid w:val="002F6DF2"/>
    <w:rsid w:val="002F7241"/>
    <w:rsid w:val="002F77B8"/>
    <w:rsid w:val="002F785F"/>
    <w:rsid w:val="002F7B8A"/>
    <w:rsid w:val="002F7CE5"/>
    <w:rsid w:val="00300843"/>
    <w:rsid w:val="00300EA6"/>
    <w:rsid w:val="00301597"/>
    <w:rsid w:val="00301B1B"/>
    <w:rsid w:val="0030231A"/>
    <w:rsid w:val="00302AB6"/>
    <w:rsid w:val="00303599"/>
    <w:rsid w:val="00303EDD"/>
    <w:rsid w:val="00303F5B"/>
    <w:rsid w:val="00304BD9"/>
    <w:rsid w:val="00304DC2"/>
    <w:rsid w:val="00305786"/>
    <w:rsid w:val="003069C3"/>
    <w:rsid w:val="00307F15"/>
    <w:rsid w:val="0031094D"/>
    <w:rsid w:val="00310A69"/>
    <w:rsid w:val="00310CFB"/>
    <w:rsid w:val="00310DED"/>
    <w:rsid w:val="00311000"/>
    <w:rsid w:val="00311068"/>
    <w:rsid w:val="003114EF"/>
    <w:rsid w:val="003119ED"/>
    <w:rsid w:val="003121E0"/>
    <w:rsid w:val="00312CC5"/>
    <w:rsid w:val="00312E79"/>
    <w:rsid w:val="00313701"/>
    <w:rsid w:val="00313E16"/>
    <w:rsid w:val="00314233"/>
    <w:rsid w:val="00314914"/>
    <w:rsid w:val="00314A04"/>
    <w:rsid w:val="00315013"/>
    <w:rsid w:val="00315466"/>
    <w:rsid w:val="00315B68"/>
    <w:rsid w:val="003160AE"/>
    <w:rsid w:val="00316E28"/>
    <w:rsid w:val="00317CA8"/>
    <w:rsid w:val="003203F1"/>
    <w:rsid w:val="00320D67"/>
    <w:rsid w:val="00321273"/>
    <w:rsid w:val="0032181A"/>
    <w:rsid w:val="00321E10"/>
    <w:rsid w:val="00322FF4"/>
    <w:rsid w:val="00323608"/>
    <w:rsid w:val="003238B6"/>
    <w:rsid w:val="003242DB"/>
    <w:rsid w:val="00324C2A"/>
    <w:rsid w:val="00325943"/>
    <w:rsid w:val="00326AB2"/>
    <w:rsid w:val="003275DC"/>
    <w:rsid w:val="003278B4"/>
    <w:rsid w:val="00327F1B"/>
    <w:rsid w:val="0033041D"/>
    <w:rsid w:val="00330D96"/>
    <w:rsid w:val="003315BA"/>
    <w:rsid w:val="003316E3"/>
    <w:rsid w:val="003317EF"/>
    <w:rsid w:val="003325C7"/>
    <w:rsid w:val="003326B3"/>
    <w:rsid w:val="0033292D"/>
    <w:rsid w:val="00332BF7"/>
    <w:rsid w:val="00332DD0"/>
    <w:rsid w:val="0033327E"/>
    <w:rsid w:val="0033336A"/>
    <w:rsid w:val="0033352F"/>
    <w:rsid w:val="00333815"/>
    <w:rsid w:val="00333BD7"/>
    <w:rsid w:val="00334A68"/>
    <w:rsid w:val="00335937"/>
    <w:rsid w:val="00336125"/>
    <w:rsid w:val="00336629"/>
    <w:rsid w:val="00336E72"/>
    <w:rsid w:val="0033701D"/>
    <w:rsid w:val="003379BC"/>
    <w:rsid w:val="00340F50"/>
    <w:rsid w:val="003416CE"/>
    <w:rsid w:val="0034296C"/>
    <w:rsid w:val="00342CE4"/>
    <w:rsid w:val="00342EA7"/>
    <w:rsid w:val="0034335C"/>
    <w:rsid w:val="00343DE9"/>
    <w:rsid w:val="003449B4"/>
    <w:rsid w:val="00345CE1"/>
    <w:rsid w:val="0034611B"/>
    <w:rsid w:val="00346EDF"/>
    <w:rsid w:val="00350850"/>
    <w:rsid w:val="0035185D"/>
    <w:rsid w:val="00351E3E"/>
    <w:rsid w:val="003521C8"/>
    <w:rsid w:val="00352880"/>
    <w:rsid w:val="00352CA1"/>
    <w:rsid w:val="00353076"/>
    <w:rsid w:val="00354576"/>
    <w:rsid w:val="0035478F"/>
    <w:rsid w:val="00354951"/>
    <w:rsid w:val="00354D7D"/>
    <w:rsid w:val="00354FE5"/>
    <w:rsid w:val="003553F0"/>
    <w:rsid w:val="00355EF6"/>
    <w:rsid w:val="00356383"/>
    <w:rsid w:val="0035666B"/>
    <w:rsid w:val="00357C9A"/>
    <w:rsid w:val="0036053B"/>
    <w:rsid w:val="003606CE"/>
    <w:rsid w:val="00360789"/>
    <w:rsid w:val="00360CD2"/>
    <w:rsid w:val="0036126E"/>
    <w:rsid w:val="0036181A"/>
    <w:rsid w:val="00361BD6"/>
    <w:rsid w:val="00362129"/>
    <w:rsid w:val="003625C0"/>
    <w:rsid w:val="00362806"/>
    <w:rsid w:val="003628C4"/>
    <w:rsid w:val="00362D9E"/>
    <w:rsid w:val="00362DE4"/>
    <w:rsid w:val="0036390A"/>
    <w:rsid w:val="003646FC"/>
    <w:rsid w:val="00364BAE"/>
    <w:rsid w:val="00365660"/>
    <w:rsid w:val="003661B9"/>
    <w:rsid w:val="003666FB"/>
    <w:rsid w:val="00366781"/>
    <w:rsid w:val="00366C59"/>
    <w:rsid w:val="00366FCC"/>
    <w:rsid w:val="00367117"/>
    <w:rsid w:val="00367747"/>
    <w:rsid w:val="00370B0D"/>
    <w:rsid w:val="00370B9B"/>
    <w:rsid w:val="00370CA4"/>
    <w:rsid w:val="00371D71"/>
    <w:rsid w:val="00372A45"/>
    <w:rsid w:val="00372B8E"/>
    <w:rsid w:val="00373530"/>
    <w:rsid w:val="003738BA"/>
    <w:rsid w:val="00373E16"/>
    <w:rsid w:val="0037433C"/>
    <w:rsid w:val="00374576"/>
    <w:rsid w:val="003745CC"/>
    <w:rsid w:val="0037776E"/>
    <w:rsid w:val="003800CE"/>
    <w:rsid w:val="00380441"/>
    <w:rsid w:val="00380DB8"/>
    <w:rsid w:val="003813E9"/>
    <w:rsid w:val="00381452"/>
    <w:rsid w:val="00381980"/>
    <w:rsid w:val="003825B2"/>
    <w:rsid w:val="00382D0E"/>
    <w:rsid w:val="00382DD7"/>
    <w:rsid w:val="003831D4"/>
    <w:rsid w:val="00383275"/>
    <w:rsid w:val="003844C6"/>
    <w:rsid w:val="00384A48"/>
    <w:rsid w:val="00384A93"/>
    <w:rsid w:val="00384DC4"/>
    <w:rsid w:val="003850C9"/>
    <w:rsid w:val="00385122"/>
    <w:rsid w:val="00385B31"/>
    <w:rsid w:val="00386D2A"/>
    <w:rsid w:val="00386F40"/>
    <w:rsid w:val="00387B2D"/>
    <w:rsid w:val="00390E79"/>
    <w:rsid w:val="003911FA"/>
    <w:rsid w:val="003913E1"/>
    <w:rsid w:val="0039178B"/>
    <w:rsid w:val="00391EE5"/>
    <w:rsid w:val="00392D54"/>
    <w:rsid w:val="003936EE"/>
    <w:rsid w:val="00393B81"/>
    <w:rsid w:val="00393FD2"/>
    <w:rsid w:val="003947A9"/>
    <w:rsid w:val="003953E2"/>
    <w:rsid w:val="00395F5A"/>
    <w:rsid w:val="00396B3D"/>
    <w:rsid w:val="003A09EB"/>
    <w:rsid w:val="003A0B20"/>
    <w:rsid w:val="003A0B31"/>
    <w:rsid w:val="003A1176"/>
    <w:rsid w:val="003A12B4"/>
    <w:rsid w:val="003A2B81"/>
    <w:rsid w:val="003A2C9E"/>
    <w:rsid w:val="003A2CE4"/>
    <w:rsid w:val="003A3C53"/>
    <w:rsid w:val="003A4481"/>
    <w:rsid w:val="003A448E"/>
    <w:rsid w:val="003A44F4"/>
    <w:rsid w:val="003A4A64"/>
    <w:rsid w:val="003A4B33"/>
    <w:rsid w:val="003A5993"/>
    <w:rsid w:val="003A5996"/>
    <w:rsid w:val="003A5D16"/>
    <w:rsid w:val="003A5FB6"/>
    <w:rsid w:val="003A6978"/>
    <w:rsid w:val="003A6CFB"/>
    <w:rsid w:val="003A7447"/>
    <w:rsid w:val="003A77C9"/>
    <w:rsid w:val="003B0BDB"/>
    <w:rsid w:val="003B168C"/>
    <w:rsid w:val="003B2140"/>
    <w:rsid w:val="003B26A7"/>
    <w:rsid w:val="003B2718"/>
    <w:rsid w:val="003B367E"/>
    <w:rsid w:val="003B3BC9"/>
    <w:rsid w:val="003B4D84"/>
    <w:rsid w:val="003B5F44"/>
    <w:rsid w:val="003B6B4D"/>
    <w:rsid w:val="003B6E33"/>
    <w:rsid w:val="003B70EA"/>
    <w:rsid w:val="003B7B3A"/>
    <w:rsid w:val="003C0139"/>
    <w:rsid w:val="003C0A05"/>
    <w:rsid w:val="003C10CC"/>
    <w:rsid w:val="003C170E"/>
    <w:rsid w:val="003C1F28"/>
    <w:rsid w:val="003C2349"/>
    <w:rsid w:val="003C2B9F"/>
    <w:rsid w:val="003C2BF7"/>
    <w:rsid w:val="003C31AB"/>
    <w:rsid w:val="003C31D5"/>
    <w:rsid w:val="003C377A"/>
    <w:rsid w:val="003C37ED"/>
    <w:rsid w:val="003C51F3"/>
    <w:rsid w:val="003C530C"/>
    <w:rsid w:val="003C5B15"/>
    <w:rsid w:val="003C73DF"/>
    <w:rsid w:val="003D12F3"/>
    <w:rsid w:val="003D19CF"/>
    <w:rsid w:val="003D1FF9"/>
    <w:rsid w:val="003D2066"/>
    <w:rsid w:val="003D21CA"/>
    <w:rsid w:val="003D26B6"/>
    <w:rsid w:val="003D2A31"/>
    <w:rsid w:val="003D3200"/>
    <w:rsid w:val="003D3850"/>
    <w:rsid w:val="003D464F"/>
    <w:rsid w:val="003D486E"/>
    <w:rsid w:val="003D5789"/>
    <w:rsid w:val="003D57D3"/>
    <w:rsid w:val="003D6311"/>
    <w:rsid w:val="003D6A74"/>
    <w:rsid w:val="003D759F"/>
    <w:rsid w:val="003D7B92"/>
    <w:rsid w:val="003E0138"/>
    <w:rsid w:val="003E0531"/>
    <w:rsid w:val="003E09F9"/>
    <w:rsid w:val="003E0A7C"/>
    <w:rsid w:val="003E1001"/>
    <w:rsid w:val="003E211A"/>
    <w:rsid w:val="003E26D6"/>
    <w:rsid w:val="003E2BDE"/>
    <w:rsid w:val="003E515F"/>
    <w:rsid w:val="003E5BBB"/>
    <w:rsid w:val="003E5CDC"/>
    <w:rsid w:val="003E63F8"/>
    <w:rsid w:val="003E691A"/>
    <w:rsid w:val="003E741C"/>
    <w:rsid w:val="003E74D5"/>
    <w:rsid w:val="003F0439"/>
    <w:rsid w:val="003F09F7"/>
    <w:rsid w:val="003F0F2C"/>
    <w:rsid w:val="003F108E"/>
    <w:rsid w:val="003F13DA"/>
    <w:rsid w:val="003F173E"/>
    <w:rsid w:val="003F18CE"/>
    <w:rsid w:val="003F1A15"/>
    <w:rsid w:val="003F1CB7"/>
    <w:rsid w:val="003F1D31"/>
    <w:rsid w:val="003F1EDF"/>
    <w:rsid w:val="003F2626"/>
    <w:rsid w:val="003F2797"/>
    <w:rsid w:val="003F3ABB"/>
    <w:rsid w:val="003F3B0B"/>
    <w:rsid w:val="003F4ADE"/>
    <w:rsid w:val="003F5332"/>
    <w:rsid w:val="003F536B"/>
    <w:rsid w:val="003F574E"/>
    <w:rsid w:val="003F5A5D"/>
    <w:rsid w:val="003F63AB"/>
    <w:rsid w:val="003F65D6"/>
    <w:rsid w:val="003F6B4C"/>
    <w:rsid w:val="003F7212"/>
    <w:rsid w:val="003F768F"/>
    <w:rsid w:val="003F7918"/>
    <w:rsid w:val="003F7E8F"/>
    <w:rsid w:val="003F7F7D"/>
    <w:rsid w:val="00400761"/>
    <w:rsid w:val="00400C4A"/>
    <w:rsid w:val="00400EE5"/>
    <w:rsid w:val="0040119E"/>
    <w:rsid w:val="00401359"/>
    <w:rsid w:val="00401F4A"/>
    <w:rsid w:val="00402127"/>
    <w:rsid w:val="00402943"/>
    <w:rsid w:val="00402C55"/>
    <w:rsid w:val="00403340"/>
    <w:rsid w:val="0040341A"/>
    <w:rsid w:val="00403DBD"/>
    <w:rsid w:val="004041DF"/>
    <w:rsid w:val="00404616"/>
    <w:rsid w:val="00404A9F"/>
    <w:rsid w:val="00404DAA"/>
    <w:rsid w:val="004058CB"/>
    <w:rsid w:val="0040618E"/>
    <w:rsid w:val="00406D6D"/>
    <w:rsid w:val="00407337"/>
    <w:rsid w:val="00410793"/>
    <w:rsid w:val="00410B3D"/>
    <w:rsid w:val="00410E03"/>
    <w:rsid w:val="004114B2"/>
    <w:rsid w:val="004123BE"/>
    <w:rsid w:val="0041301E"/>
    <w:rsid w:val="004138B4"/>
    <w:rsid w:val="0041392C"/>
    <w:rsid w:val="00413A1E"/>
    <w:rsid w:val="00414C15"/>
    <w:rsid w:val="00415591"/>
    <w:rsid w:val="004165FD"/>
    <w:rsid w:val="00416784"/>
    <w:rsid w:val="00416B1E"/>
    <w:rsid w:val="00416B63"/>
    <w:rsid w:val="004174BF"/>
    <w:rsid w:val="004175D0"/>
    <w:rsid w:val="004201BF"/>
    <w:rsid w:val="004204B9"/>
    <w:rsid w:val="004205B8"/>
    <w:rsid w:val="00420CA4"/>
    <w:rsid w:val="004212EE"/>
    <w:rsid w:val="00421CBE"/>
    <w:rsid w:val="00421D25"/>
    <w:rsid w:val="00422BE9"/>
    <w:rsid w:val="00422C9A"/>
    <w:rsid w:val="004230F1"/>
    <w:rsid w:val="00423138"/>
    <w:rsid w:val="004238E7"/>
    <w:rsid w:val="00423C10"/>
    <w:rsid w:val="0042515A"/>
    <w:rsid w:val="0042524B"/>
    <w:rsid w:val="00425909"/>
    <w:rsid w:val="00425FBD"/>
    <w:rsid w:val="00426241"/>
    <w:rsid w:val="0042631D"/>
    <w:rsid w:val="004267C2"/>
    <w:rsid w:val="00426EBB"/>
    <w:rsid w:val="00427147"/>
    <w:rsid w:val="0043022A"/>
    <w:rsid w:val="0043143B"/>
    <w:rsid w:val="004314F9"/>
    <w:rsid w:val="00432232"/>
    <w:rsid w:val="0043229A"/>
    <w:rsid w:val="0043370E"/>
    <w:rsid w:val="00433D79"/>
    <w:rsid w:val="00434248"/>
    <w:rsid w:val="004347AF"/>
    <w:rsid w:val="00434A8C"/>
    <w:rsid w:val="00434BC5"/>
    <w:rsid w:val="00434DF3"/>
    <w:rsid w:val="004352C6"/>
    <w:rsid w:val="00435A42"/>
    <w:rsid w:val="00436841"/>
    <w:rsid w:val="00436EA8"/>
    <w:rsid w:val="00436FB7"/>
    <w:rsid w:val="004373AC"/>
    <w:rsid w:val="004375C3"/>
    <w:rsid w:val="00437D61"/>
    <w:rsid w:val="00440102"/>
    <w:rsid w:val="0044032D"/>
    <w:rsid w:val="004403DC"/>
    <w:rsid w:val="004410AD"/>
    <w:rsid w:val="004411E6"/>
    <w:rsid w:val="00441D82"/>
    <w:rsid w:val="00442408"/>
    <w:rsid w:val="004429B5"/>
    <w:rsid w:val="00443367"/>
    <w:rsid w:val="00443E17"/>
    <w:rsid w:val="004444BD"/>
    <w:rsid w:val="0044600D"/>
    <w:rsid w:val="00446B4D"/>
    <w:rsid w:val="00447C1B"/>
    <w:rsid w:val="00450DE1"/>
    <w:rsid w:val="004512AB"/>
    <w:rsid w:val="00451415"/>
    <w:rsid w:val="004514A0"/>
    <w:rsid w:val="00451FD7"/>
    <w:rsid w:val="00452C1B"/>
    <w:rsid w:val="00453184"/>
    <w:rsid w:val="00453EFA"/>
    <w:rsid w:val="00454AE2"/>
    <w:rsid w:val="00454C4A"/>
    <w:rsid w:val="00454EED"/>
    <w:rsid w:val="004551CA"/>
    <w:rsid w:val="00455D4A"/>
    <w:rsid w:val="0045613E"/>
    <w:rsid w:val="004562DE"/>
    <w:rsid w:val="004566CB"/>
    <w:rsid w:val="00456B4E"/>
    <w:rsid w:val="00456C3F"/>
    <w:rsid w:val="004574CB"/>
    <w:rsid w:val="00457565"/>
    <w:rsid w:val="0046054D"/>
    <w:rsid w:val="00460728"/>
    <w:rsid w:val="0046077E"/>
    <w:rsid w:val="00461CD0"/>
    <w:rsid w:val="004622A3"/>
    <w:rsid w:val="004625D0"/>
    <w:rsid w:val="00462910"/>
    <w:rsid w:val="00463BF7"/>
    <w:rsid w:val="00463ED1"/>
    <w:rsid w:val="00463F15"/>
    <w:rsid w:val="00463F91"/>
    <w:rsid w:val="0046419A"/>
    <w:rsid w:val="004642A7"/>
    <w:rsid w:val="004652F5"/>
    <w:rsid w:val="00465543"/>
    <w:rsid w:val="004658CE"/>
    <w:rsid w:val="00465B60"/>
    <w:rsid w:val="0046699E"/>
    <w:rsid w:val="00466C1A"/>
    <w:rsid w:val="00466D06"/>
    <w:rsid w:val="00466D78"/>
    <w:rsid w:val="00466F4A"/>
    <w:rsid w:val="00467746"/>
    <w:rsid w:val="00467E8A"/>
    <w:rsid w:val="00470323"/>
    <w:rsid w:val="004707C7"/>
    <w:rsid w:val="00470CE1"/>
    <w:rsid w:val="00471124"/>
    <w:rsid w:val="004713E7"/>
    <w:rsid w:val="00471EF9"/>
    <w:rsid w:val="00471F20"/>
    <w:rsid w:val="00471FED"/>
    <w:rsid w:val="00472816"/>
    <w:rsid w:val="0047322D"/>
    <w:rsid w:val="00473867"/>
    <w:rsid w:val="00473B16"/>
    <w:rsid w:val="00473DC6"/>
    <w:rsid w:val="00473F20"/>
    <w:rsid w:val="00475285"/>
    <w:rsid w:val="00475F5D"/>
    <w:rsid w:val="00475F94"/>
    <w:rsid w:val="00476581"/>
    <w:rsid w:val="004765A1"/>
    <w:rsid w:val="00476A88"/>
    <w:rsid w:val="004800F9"/>
    <w:rsid w:val="0048059A"/>
    <w:rsid w:val="00480814"/>
    <w:rsid w:val="004814FE"/>
    <w:rsid w:val="00481890"/>
    <w:rsid w:val="00481E18"/>
    <w:rsid w:val="00481F81"/>
    <w:rsid w:val="00482264"/>
    <w:rsid w:val="0048285D"/>
    <w:rsid w:val="00482AAF"/>
    <w:rsid w:val="00483074"/>
    <w:rsid w:val="0048345F"/>
    <w:rsid w:val="00483EA4"/>
    <w:rsid w:val="004841B6"/>
    <w:rsid w:val="00485557"/>
    <w:rsid w:val="00485D96"/>
    <w:rsid w:val="00485DBF"/>
    <w:rsid w:val="00486051"/>
    <w:rsid w:val="00486504"/>
    <w:rsid w:val="004869FC"/>
    <w:rsid w:val="00487193"/>
    <w:rsid w:val="004874C8"/>
    <w:rsid w:val="0048774C"/>
    <w:rsid w:val="00487CA4"/>
    <w:rsid w:val="00487FE7"/>
    <w:rsid w:val="004900F0"/>
    <w:rsid w:val="0049096B"/>
    <w:rsid w:val="004909F7"/>
    <w:rsid w:val="00490BEA"/>
    <w:rsid w:val="00490CB5"/>
    <w:rsid w:val="00490CF9"/>
    <w:rsid w:val="004919B9"/>
    <w:rsid w:val="00491E3A"/>
    <w:rsid w:val="0049248E"/>
    <w:rsid w:val="00492C8E"/>
    <w:rsid w:val="004936DC"/>
    <w:rsid w:val="0049431C"/>
    <w:rsid w:val="004945CC"/>
    <w:rsid w:val="004949F2"/>
    <w:rsid w:val="00495041"/>
    <w:rsid w:val="00495772"/>
    <w:rsid w:val="00495B79"/>
    <w:rsid w:val="00495EAE"/>
    <w:rsid w:val="00497282"/>
    <w:rsid w:val="0049766D"/>
    <w:rsid w:val="0049772B"/>
    <w:rsid w:val="00497E0C"/>
    <w:rsid w:val="004A017D"/>
    <w:rsid w:val="004A0A39"/>
    <w:rsid w:val="004A16E4"/>
    <w:rsid w:val="004A1A10"/>
    <w:rsid w:val="004A2544"/>
    <w:rsid w:val="004A271C"/>
    <w:rsid w:val="004A3299"/>
    <w:rsid w:val="004A3520"/>
    <w:rsid w:val="004A37C2"/>
    <w:rsid w:val="004A3BA9"/>
    <w:rsid w:val="004A3D84"/>
    <w:rsid w:val="004A41C0"/>
    <w:rsid w:val="004A4742"/>
    <w:rsid w:val="004A4900"/>
    <w:rsid w:val="004A4F49"/>
    <w:rsid w:val="004A54CB"/>
    <w:rsid w:val="004A5718"/>
    <w:rsid w:val="004A5C05"/>
    <w:rsid w:val="004A5C31"/>
    <w:rsid w:val="004A6B3E"/>
    <w:rsid w:val="004A6B86"/>
    <w:rsid w:val="004A7494"/>
    <w:rsid w:val="004A7C7F"/>
    <w:rsid w:val="004B0C9F"/>
    <w:rsid w:val="004B1BEA"/>
    <w:rsid w:val="004B1C6B"/>
    <w:rsid w:val="004B2F4F"/>
    <w:rsid w:val="004B3601"/>
    <w:rsid w:val="004B36FC"/>
    <w:rsid w:val="004B3F57"/>
    <w:rsid w:val="004B44A2"/>
    <w:rsid w:val="004B495B"/>
    <w:rsid w:val="004B689C"/>
    <w:rsid w:val="004B6E0E"/>
    <w:rsid w:val="004B7740"/>
    <w:rsid w:val="004C0119"/>
    <w:rsid w:val="004C0343"/>
    <w:rsid w:val="004C092D"/>
    <w:rsid w:val="004C164D"/>
    <w:rsid w:val="004C16B3"/>
    <w:rsid w:val="004C18F5"/>
    <w:rsid w:val="004C1F3C"/>
    <w:rsid w:val="004C2042"/>
    <w:rsid w:val="004C227A"/>
    <w:rsid w:val="004C2670"/>
    <w:rsid w:val="004C319F"/>
    <w:rsid w:val="004C4330"/>
    <w:rsid w:val="004C4C9D"/>
    <w:rsid w:val="004C51FE"/>
    <w:rsid w:val="004C5890"/>
    <w:rsid w:val="004C594D"/>
    <w:rsid w:val="004C59B3"/>
    <w:rsid w:val="004C5C21"/>
    <w:rsid w:val="004C5E36"/>
    <w:rsid w:val="004C5EC0"/>
    <w:rsid w:val="004C605C"/>
    <w:rsid w:val="004C6962"/>
    <w:rsid w:val="004C6F08"/>
    <w:rsid w:val="004D054E"/>
    <w:rsid w:val="004D065F"/>
    <w:rsid w:val="004D09E7"/>
    <w:rsid w:val="004D0E97"/>
    <w:rsid w:val="004D21FB"/>
    <w:rsid w:val="004D22AF"/>
    <w:rsid w:val="004D2D7A"/>
    <w:rsid w:val="004D2F87"/>
    <w:rsid w:val="004D2FE5"/>
    <w:rsid w:val="004D3138"/>
    <w:rsid w:val="004D362A"/>
    <w:rsid w:val="004D37AC"/>
    <w:rsid w:val="004D3B55"/>
    <w:rsid w:val="004D3F40"/>
    <w:rsid w:val="004D53A7"/>
    <w:rsid w:val="004D53BE"/>
    <w:rsid w:val="004D55B9"/>
    <w:rsid w:val="004D5A64"/>
    <w:rsid w:val="004D5FB6"/>
    <w:rsid w:val="004D642E"/>
    <w:rsid w:val="004D645B"/>
    <w:rsid w:val="004D7BA2"/>
    <w:rsid w:val="004D7C99"/>
    <w:rsid w:val="004D7EF1"/>
    <w:rsid w:val="004E01CB"/>
    <w:rsid w:val="004E01D2"/>
    <w:rsid w:val="004E1521"/>
    <w:rsid w:val="004E1FC6"/>
    <w:rsid w:val="004E2F1E"/>
    <w:rsid w:val="004E3A84"/>
    <w:rsid w:val="004E3AA5"/>
    <w:rsid w:val="004E3BE3"/>
    <w:rsid w:val="004E4552"/>
    <w:rsid w:val="004E492C"/>
    <w:rsid w:val="004E55DE"/>
    <w:rsid w:val="004E600E"/>
    <w:rsid w:val="004E630E"/>
    <w:rsid w:val="004E6DE8"/>
    <w:rsid w:val="004E7435"/>
    <w:rsid w:val="004E77FE"/>
    <w:rsid w:val="004E78B7"/>
    <w:rsid w:val="004F165D"/>
    <w:rsid w:val="004F2333"/>
    <w:rsid w:val="004F2FF3"/>
    <w:rsid w:val="004F37BF"/>
    <w:rsid w:val="004F4222"/>
    <w:rsid w:val="004F437C"/>
    <w:rsid w:val="004F44F6"/>
    <w:rsid w:val="004F54A5"/>
    <w:rsid w:val="004F578A"/>
    <w:rsid w:val="004F59E7"/>
    <w:rsid w:val="004F5A3C"/>
    <w:rsid w:val="004F5E2D"/>
    <w:rsid w:val="004F602F"/>
    <w:rsid w:val="004F63B0"/>
    <w:rsid w:val="004F7036"/>
    <w:rsid w:val="004F7EA8"/>
    <w:rsid w:val="00500B68"/>
    <w:rsid w:val="00500BF7"/>
    <w:rsid w:val="0050118A"/>
    <w:rsid w:val="00501941"/>
    <w:rsid w:val="005019B6"/>
    <w:rsid w:val="00501C9E"/>
    <w:rsid w:val="00501D18"/>
    <w:rsid w:val="00502193"/>
    <w:rsid w:val="005022FE"/>
    <w:rsid w:val="005025A0"/>
    <w:rsid w:val="005025B7"/>
    <w:rsid w:val="005027FF"/>
    <w:rsid w:val="00503459"/>
    <w:rsid w:val="00503677"/>
    <w:rsid w:val="00504666"/>
    <w:rsid w:val="00505013"/>
    <w:rsid w:val="005050CD"/>
    <w:rsid w:val="005057F1"/>
    <w:rsid w:val="00505F16"/>
    <w:rsid w:val="005060A5"/>
    <w:rsid w:val="0050752E"/>
    <w:rsid w:val="005078CE"/>
    <w:rsid w:val="00507900"/>
    <w:rsid w:val="00510034"/>
    <w:rsid w:val="0051076A"/>
    <w:rsid w:val="00510DBF"/>
    <w:rsid w:val="00511CB6"/>
    <w:rsid w:val="00511F5C"/>
    <w:rsid w:val="00511FC5"/>
    <w:rsid w:val="00512043"/>
    <w:rsid w:val="00512642"/>
    <w:rsid w:val="005131C4"/>
    <w:rsid w:val="00513331"/>
    <w:rsid w:val="005137F5"/>
    <w:rsid w:val="005141A5"/>
    <w:rsid w:val="005145FB"/>
    <w:rsid w:val="00514F4A"/>
    <w:rsid w:val="00515AA8"/>
    <w:rsid w:val="00515D17"/>
    <w:rsid w:val="005175FD"/>
    <w:rsid w:val="0051798F"/>
    <w:rsid w:val="00517E33"/>
    <w:rsid w:val="00517FE8"/>
    <w:rsid w:val="00521339"/>
    <w:rsid w:val="0052211B"/>
    <w:rsid w:val="00522242"/>
    <w:rsid w:val="005227C7"/>
    <w:rsid w:val="00522858"/>
    <w:rsid w:val="00522F70"/>
    <w:rsid w:val="00522F77"/>
    <w:rsid w:val="0052311A"/>
    <w:rsid w:val="005231E0"/>
    <w:rsid w:val="0052357E"/>
    <w:rsid w:val="00524A41"/>
    <w:rsid w:val="00524A52"/>
    <w:rsid w:val="005253DC"/>
    <w:rsid w:val="00526A04"/>
    <w:rsid w:val="00527501"/>
    <w:rsid w:val="00527AA6"/>
    <w:rsid w:val="00527ACA"/>
    <w:rsid w:val="00527F4E"/>
    <w:rsid w:val="00530982"/>
    <w:rsid w:val="005315F1"/>
    <w:rsid w:val="00531FAB"/>
    <w:rsid w:val="00533163"/>
    <w:rsid w:val="00533202"/>
    <w:rsid w:val="005343F4"/>
    <w:rsid w:val="0053495B"/>
    <w:rsid w:val="00534D46"/>
    <w:rsid w:val="00534DA4"/>
    <w:rsid w:val="00534DF4"/>
    <w:rsid w:val="00534F2F"/>
    <w:rsid w:val="00535475"/>
    <w:rsid w:val="005366BA"/>
    <w:rsid w:val="005377C9"/>
    <w:rsid w:val="00541631"/>
    <w:rsid w:val="00541FAE"/>
    <w:rsid w:val="00543505"/>
    <w:rsid w:val="00543517"/>
    <w:rsid w:val="0054464F"/>
    <w:rsid w:val="00545009"/>
    <w:rsid w:val="005451FD"/>
    <w:rsid w:val="005452E8"/>
    <w:rsid w:val="005454BD"/>
    <w:rsid w:val="0054580E"/>
    <w:rsid w:val="005467FC"/>
    <w:rsid w:val="0054680F"/>
    <w:rsid w:val="00547023"/>
    <w:rsid w:val="0054716D"/>
    <w:rsid w:val="005478CA"/>
    <w:rsid w:val="00547D0E"/>
    <w:rsid w:val="00547E54"/>
    <w:rsid w:val="00550F8B"/>
    <w:rsid w:val="005519FC"/>
    <w:rsid w:val="00551A2F"/>
    <w:rsid w:val="005527C7"/>
    <w:rsid w:val="00552AF1"/>
    <w:rsid w:val="00552B69"/>
    <w:rsid w:val="00553204"/>
    <w:rsid w:val="005544D1"/>
    <w:rsid w:val="00554E36"/>
    <w:rsid w:val="00555054"/>
    <w:rsid w:val="0055558A"/>
    <w:rsid w:val="005557F0"/>
    <w:rsid w:val="005561F6"/>
    <w:rsid w:val="005569A6"/>
    <w:rsid w:val="00556E77"/>
    <w:rsid w:val="00556FEE"/>
    <w:rsid w:val="00557DCA"/>
    <w:rsid w:val="00557F96"/>
    <w:rsid w:val="005600BC"/>
    <w:rsid w:val="005601AB"/>
    <w:rsid w:val="00560818"/>
    <w:rsid w:val="00560A6B"/>
    <w:rsid w:val="00560AC0"/>
    <w:rsid w:val="00560B2D"/>
    <w:rsid w:val="005615EA"/>
    <w:rsid w:val="00561804"/>
    <w:rsid w:val="00562019"/>
    <w:rsid w:val="0056256B"/>
    <w:rsid w:val="0056290A"/>
    <w:rsid w:val="00563515"/>
    <w:rsid w:val="00563A70"/>
    <w:rsid w:val="00564BD2"/>
    <w:rsid w:val="00565119"/>
    <w:rsid w:val="0056547B"/>
    <w:rsid w:val="00565521"/>
    <w:rsid w:val="005656A0"/>
    <w:rsid w:val="00565D9A"/>
    <w:rsid w:val="00566664"/>
    <w:rsid w:val="00566713"/>
    <w:rsid w:val="00566A36"/>
    <w:rsid w:val="0056777E"/>
    <w:rsid w:val="005678AA"/>
    <w:rsid w:val="00570159"/>
    <w:rsid w:val="00570545"/>
    <w:rsid w:val="00570893"/>
    <w:rsid w:val="00570E73"/>
    <w:rsid w:val="00571008"/>
    <w:rsid w:val="0057123A"/>
    <w:rsid w:val="00571FC7"/>
    <w:rsid w:val="00572071"/>
    <w:rsid w:val="005726BD"/>
    <w:rsid w:val="005726BE"/>
    <w:rsid w:val="00573074"/>
    <w:rsid w:val="00573DAD"/>
    <w:rsid w:val="005757E8"/>
    <w:rsid w:val="00575A22"/>
    <w:rsid w:val="00575B1D"/>
    <w:rsid w:val="005763FE"/>
    <w:rsid w:val="00577480"/>
    <w:rsid w:val="00577568"/>
    <w:rsid w:val="00577A2D"/>
    <w:rsid w:val="005800B8"/>
    <w:rsid w:val="00580322"/>
    <w:rsid w:val="00581942"/>
    <w:rsid w:val="005820A0"/>
    <w:rsid w:val="005829A5"/>
    <w:rsid w:val="00582AFF"/>
    <w:rsid w:val="00582E43"/>
    <w:rsid w:val="00583A47"/>
    <w:rsid w:val="00583AD8"/>
    <w:rsid w:val="005847EA"/>
    <w:rsid w:val="00584CA7"/>
    <w:rsid w:val="005854BF"/>
    <w:rsid w:val="005858D7"/>
    <w:rsid w:val="0058603A"/>
    <w:rsid w:val="0058690C"/>
    <w:rsid w:val="00586CCD"/>
    <w:rsid w:val="00586E65"/>
    <w:rsid w:val="00587995"/>
    <w:rsid w:val="00590783"/>
    <w:rsid w:val="00591ADC"/>
    <w:rsid w:val="00591F14"/>
    <w:rsid w:val="00591FCC"/>
    <w:rsid w:val="00592AD1"/>
    <w:rsid w:val="00592E6A"/>
    <w:rsid w:val="00592F2B"/>
    <w:rsid w:val="00593342"/>
    <w:rsid w:val="00593483"/>
    <w:rsid w:val="0059383B"/>
    <w:rsid w:val="0059413B"/>
    <w:rsid w:val="0059515D"/>
    <w:rsid w:val="00596A27"/>
    <w:rsid w:val="00596E2C"/>
    <w:rsid w:val="00597DAF"/>
    <w:rsid w:val="005A024D"/>
    <w:rsid w:val="005A069F"/>
    <w:rsid w:val="005A0C45"/>
    <w:rsid w:val="005A0E63"/>
    <w:rsid w:val="005A0E65"/>
    <w:rsid w:val="005A0F6E"/>
    <w:rsid w:val="005A16A1"/>
    <w:rsid w:val="005A1752"/>
    <w:rsid w:val="005A1D91"/>
    <w:rsid w:val="005A2275"/>
    <w:rsid w:val="005A2FD3"/>
    <w:rsid w:val="005A329C"/>
    <w:rsid w:val="005A32FA"/>
    <w:rsid w:val="005A3765"/>
    <w:rsid w:val="005A3CF7"/>
    <w:rsid w:val="005A4466"/>
    <w:rsid w:val="005A461F"/>
    <w:rsid w:val="005A63D2"/>
    <w:rsid w:val="005A6F27"/>
    <w:rsid w:val="005A70D8"/>
    <w:rsid w:val="005A748B"/>
    <w:rsid w:val="005A7935"/>
    <w:rsid w:val="005B04A2"/>
    <w:rsid w:val="005B1B2F"/>
    <w:rsid w:val="005B25EE"/>
    <w:rsid w:val="005B2843"/>
    <w:rsid w:val="005B2875"/>
    <w:rsid w:val="005B28E8"/>
    <w:rsid w:val="005B40E4"/>
    <w:rsid w:val="005B42F4"/>
    <w:rsid w:val="005B527D"/>
    <w:rsid w:val="005B598C"/>
    <w:rsid w:val="005B5F4E"/>
    <w:rsid w:val="005B63DB"/>
    <w:rsid w:val="005B64A1"/>
    <w:rsid w:val="005B67E4"/>
    <w:rsid w:val="005B691E"/>
    <w:rsid w:val="005B6A09"/>
    <w:rsid w:val="005B6B37"/>
    <w:rsid w:val="005B73C7"/>
    <w:rsid w:val="005B77A8"/>
    <w:rsid w:val="005B79E9"/>
    <w:rsid w:val="005C0067"/>
    <w:rsid w:val="005C0655"/>
    <w:rsid w:val="005C0CAE"/>
    <w:rsid w:val="005C0E7F"/>
    <w:rsid w:val="005C14A1"/>
    <w:rsid w:val="005C16A2"/>
    <w:rsid w:val="005C1B9C"/>
    <w:rsid w:val="005C2290"/>
    <w:rsid w:val="005C2756"/>
    <w:rsid w:val="005C2B44"/>
    <w:rsid w:val="005C30A3"/>
    <w:rsid w:val="005C3F92"/>
    <w:rsid w:val="005C4BD0"/>
    <w:rsid w:val="005C4D60"/>
    <w:rsid w:val="005C4D95"/>
    <w:rsid w:val="005C5673"/>
    <w:rsid w:val="005C5704"/>
    <w:rsid w:val="005C6035"/>
    <w:rsid w:val="005C63D8"/>
    <w:rsid w:val="005C6744"/>
    <w:rsid w:val="005C6A6F"/>
    <w:rsid w:val="005C72B2"/>
    <w:rsid w:val="005C79AF"/>
    <w:rsid w:val="005C7B93"/>
    <w:rsid w:val="005D0541"/>
    <w:rsid w:val="005D121C"/>
    <w:rsid w:val="005D16A7"/>
    <w:rsid w:val="005D2297"/>
    <w:rsid w:val="005D2320"/>
    <w:rsid w:val="005D23E8"/>
    <w:rsid w:val="005D2702"/>
    <w:rsid w:val="005D28F9"/>
    <w:rsid w:val="005D4181"/>
    <w:rsid w:val="005D4312"/>
    <w:rsid w:val="005D4FC7"/>
    <w:rsid w:val="005D6979"/>
    <w:rsid w:val="005D6F57"/>
    <w:rsid w:val="005E024A"/>
    <w:rsid w:val="005E0311"/>
    <w:rsid w:val="005E048A"/>
    <w:rsid w:val="005E0EF6"/>
    <w:rsid w:val="005E12D1"/>
    <w:rsid w:val="005E1374"/>
    <w:rsid w:val="005E1431"/>
    <w:rsid w:val="005E175E"/>
    <w:rsid w:val="005E2C3A"/>
    <w:rsid w:val="005E37E9"/>
    <w:rsid w:val="005E3991"/>
    <w:rsid w:val="005E3D0C"/>
    <w:rsid w:val="005E40C5"/>
    <w:rsid w:val="005E46B8"/>
    <w:rsid w:val="005E5B5B"/>
    <w:rsid w:val="005E5D80"/>
    <w:rsid w:val="005E6462"/>
    <w:rsid w:val="005E68CA"/>
    <w:rsid w:val="005F0935"/>
    <w:rsid w:val="005F1729"/>
    <w:rsid w:val="005F1B7D"/>
    <w:rsid w:val="005F5862"/>
    <w:rsid w:val="005F59E8"/>
    <w:rsid w:val="005F5B3C"/>
    <w:rsid w:val="005F6A1B"/>
    <w:rsid w:val="005F6FA9"/>
    <w:rsid w:val="005F7711"/>
    <w:rsid w:val="0060106F"/>
    <w:rsid w:val="00601D07"/>
    <w:rsid w:val="006021E6"/>
    <w:rsid w:val="006023A8"/>
    <w:rsid w:val="006025E5"/>
    <w:rsid w:val="006027F2"/>
    <w:rsid w:val="00602C8F"/>
    <w:rsid w:val="006031E2"/>
    <w:rsid w:val="0060355D"/>
    <w:rsid w:val="0060375E"/>
    <w:rsid w:val="00603AF6"/>
    <w:rsid w:val="00603BEE"/>
    <w:rsid w:val="00605D91"/>
    <w:rsid w:val="00605F1D"/>
    <w:rsid w:val="0060651D"/>
    <w:rsid w:val="00606EC9"/>
    <w:rsid w:val="00607B6F"/>
    <w:rsid w:val="00607E46"/>
    <w:rsid w:val="00610E47"/>
    <w:rsid w:val="00611B0A"/>
    <w:rsid w:val="00611FCE"/>
    <w:rsid w:val="00612943"/>
    <w:rsid w:val="00612A07"/>
    <w:rsid w:val="006130A3"/>
    <w:rsid w:val="00613536"/>
    <w:rsid w:val="006135CC"/>
    <w:rsid w:val="00613AD0"/>
    <w:rsid w:val="00613E68"/>
    <w:rsid w:val="00614492"/>
    <w:rsid w:val="0061492A"/>
    <w:rsid w:val="00614961"/>
    <w:rsid w:val="00614E55"/>
    <w:rsid w:val="00614FB5"/>
    <w:rsid w:val="0061505E"/>
    <w:rsid w:val="00615907"/>
    <w:rsid w:val="00616872"/>
    <w:rsid w:val="00616CBE"/>
    <w:rsid w:val="00616E5C"/>
    <w:rsid w:val="00617C02"/>
    <w:rsid w:val="006209A4"/>
    <w:rsid w:val="00621526"/>
    <w:rsid w:val="0062157F"/>
    <w:rsid w:val="00621CA2"/>
    <w:rsid w:val="00621CEA"/>
    <w:rsid w:val="00621F67"/>
    <w:rsid w:val="00622018"/>
    <w:rsid w:val="00622276"/>
    <w:rsid w:val="00622642"/>
    <w:rsid w:val="00622A47"/>
    <w:rsid w:val="00622B57"/>
    <w:rsid w:val="00623000"/>
    <w:rsid w:val="006230BE"/>
    <w:rsid w:val="006233FC"/>
    <w:rsid w:val="006234F3"/>
    <w:rsid w:val="00623C28"/>
    <w:rsid w:val="006241A7"/>
    <w:rsid w:val="00624761"/>
    <w:rsid w:val="00624D46"/>
    <w:rsid w:val="00625C1E"/>
    <w:rsid w:val="006261F6"/>
    <w:rsid w:val="006264DA"/>
    <w:rsid w:val="00626805"/>
    <w:rsid w:val="00627185"/>
    <w:rsid w:val="00630103"/>
    <w:rsid w:val="00630143"/>
    <w:rsid w:val="00630C42"/>
    <w:rsid w:val="00630CB5"/>
    <w:rsid w:val="0063168A"/>
    <w:rsid w:val="00632593"/>
    <w:rsid w:val="00632B4B"/>
    <w:rsid w:val="006330FA"/>
    <w:rsid w:val="006333E0"/>
    <w:rsid w:val="0063399E"/>
    <w:rsid w:val="00633C70"/>
    <w:rsid w:val="0063417D"/>
    <w:rsid w:val="0063487C"/>
    <w:rsid w:val="00634CFF"/>
    <w:rsid w:val="00634D1D"/>
    <w:rsid w:val="00634DD8"/>
    <w:rsid w:val="00634E4E"/>
    <w:rsid w:val="00635992"/>
    <w:rsid w:val="00635FBD"/>
    <w:rsid w:val="00636B97"/>
    <w:rsid w:val="00636FED"/>
    <w:rsid w:val="006404AA"/>
    <w:rsid w:val="0064097F"/>
    <w:rsid w:val="00642219"/>
    <w:rsid w:val="00642E80"/>
    <w:rsid w:val="00642FA7"/>
    <w:rsid w:val="006432FB"/>
    <w:rsid w:val="006437A5"/>
    <w:rsid w:val="00643C00"/>
    <w:rsid w:val="006440E4"/>
    <w:rsid w:val="006442C7"/>
    <w:rsid w:val="006445CA"/>
    <w:rsid w:val="00644616"/>
    <w:rsid w:val="00644AB8"/>
    <w:rsid w:val="0064570A"/>
    <w:rsid w:val="00645AD3"/>
    <w:rsid w:val="00647010"/>
    <w:rsid w:val="006470E0"/>
    <w:rsid w:val="006471BF"/>
    <w:rsid w:val="00647282"/>
    <w:rsid w:val="00647DBE"/>
    <w:rsid w:val="006521AE"/>
    <w:rsid w:val="006524F8"/>
    <w:rsid w:val="006527DE"/>
    <w:rsid w:val="0065298E"/>
    <w:rsid w:val="00652EAA"/>
    <w:rsid w:val="00654192"/>
    <w:rsid w:val="006565C8"/>
    <w:rsid w:val="00656780"/>
    <w:rsid w:val="006567E8"/>
    <w:rsid w:val="00656896"/>
    <w:rsid w:val="00656D23"/>
    <w:rsid w:val="00656DA0"/>
    <w:rsid w:val="0065741D"/>
    <w:rsid w:val="00657E12"/>
    <w:rsid w:val="006602D6"/>
    <w:rsid w:val="00660F7A"/>
    <w:rsid w:val="00661334"/>
    <w:rsid w:val="006624FC"/>
    <w:rsid w:val="006637D4"/>
    <w:rsid w:val="0066414A"/>
    <w:rsid w:val="006654BD"/>
    <w:rsid w:val="00665602"/>
    <w:rsid w:val="006662DE"/>
    <w:rsid w:val="00666376"/>
    <w:rsid w:val="006667D5"/>
    <w:rsid w:val="00667002"/>
    <w:rsid w:val="006673AB"/>
    <w:rsid w:val="00667C01"/>
    <w:rsid w:val="00671645"/>
    <w:rsid w:val="00671702"/>
    <w:rsid w:val="006719E4"/>
    <w:rsid w:val="00671E68"/>
    <w:rsid w:val="00672161"/>
    <w:rsid w:val="00672B88"/>
    <w:rsid w:val="00672D04"/>
    <w:rsid w:val="00673C08"/>
    <w:rsid w:val="0067488E"/>
    <w:rsid w:val="00674BFC"/>
    <w:rsid w:val="006755B4"/>
    <w:rsid w:val="00676534"/>
    <w:rsid w:val="00676816"/>
    <w:rsid w:val="0068063D"/>
    <w:rsid w:val="006808A8"/>
    <w:rsid w:val="00681414"/>
    <w:rsid w:val="00682330"/>
    <w:rsid w:val="00682777"/>
    <w:rsid w:val="006831EE"/>
    <w:rsid w:val="006835AA"/>
    <w:rsid w:val="00683AE4"/>
    <w:rsid w:val="00683DFF"/>
    <w:rsid w:val="006842AD"/>
    <w:rsid w:val="00684BCD"/>
    <w:rsid w:val="006860EE"/>
    <w:rsid w:val="0068636A"/>
    <w:rsid w:val="006868E0"/>
    <w:rsid w:val="00687990"/>
    <w:rsid w:val="006904FC"/>
    <w:rsid w:val="0069092B"/>
    <w:rsid w:val="00691CD3"/>
    <w:rsid w:val="00692073"/>
    <w:rsid w:val="00692113"/>
    <w:rsid w:val="00692370"/>
    <w:rsid w:val="0069361C"/>
    <w:rsid w:val="00693686"/>
    <w:rsid w:val="006955E9"/>
    <w:rsid w:val="00696247"/>
    <w:rsid w:val="0069627B"/>
    <w:rsid w:val="0069714C"/>
    <w:rsid w:val="006971AB"/>
    <w:rsid w:val="006A0394"/>
    <w:rsid w:val="006A0660"/>
    <w:rsid w:val="006A0947"/>
    <w:rsid w:val="006A0F8D"/>
    <w:rsid w:val="006A10C3"/>
    <w:rsid w:val="006A13D1"/>
    <w:rsid w:val="006A1F8C"/>
    <w:rsid w:val="006A2465"/>
    <w:rsid w:val="006A2DC2"/>
    <w:rsid w:val="006A3170"/>
    <w:rsid w:val="006A322D"/>
    <w:rsid w:val="006A424D"/>
    <w:rsid w:val="006A4A69"/>
    <w:rsid w:val="006A589A"/>
    <w:rsid w:val="006A5B2C"/>
    <w:rsid w:val="006A5C67"/>
    <w:rsid w:val="006A724D"/>
    <w:rsid w:val="006A79A7"/>
    <w:rsid w:val="006A7ADD"/>
    <w:rsid w:val="006B011A"/>
    <w:rsid w:val="006B0261"/>
    <w:rsid w:val="006B032A"/>
    <w:rsid w:val="006B1013"/>
    <w:rsid w:val="006B1159"/>
    <w:rsid w:val="006B2950"/>
    <w:rsid w:val="006B2C49"/>
    <w:rsid w:val="006B37A2"/>
    <w:rsid w:val="006B3CBE"/>
    <w:rsid w:val="006B56F4"/>
    <w:rsid w:val="006B6750"/>
    <w:rsid w:val="006B6B35"/>
    <w:rsid w:val="006B6DE2"/>
    <w:rsid w:val="006B76EF"/>
    <w:rsid w:val="006B78DF"/>
    <w:rsid w:val="006B7BD8"/>
    <w:rsid w:val="006B7FEC"/>
    <w:rsid w:val="006C1371"/>
    <w:rsid w:val="006C19DB"/>
    <w:rsid w:val="006C299C"/>
    <w:rsid w:val="006C2E86"/>
    <w:rsid w:val="006C2FD4"/>
    <w:rsid w:val="006C315B"/>
    <w:rsid w:val="006C371F"/>
    <w:rsid w:val="006C3A49"/>
    <w:rsid w:val="006C3CA6"/>
    <w:rsid w:val="006C4864"/>
    <w:rsid w:val="006C48E3"/>
    <w:rsid w:val="006C4BAA"/>
    <w:rsid w:val="006C4FAE"/>
    <w:rsid w:val="006C50B3"/>
    <w:rsid w:val="006C52D1"/>
    <w:rsid w:val="006C7575"/>
    <w:rsid w:val="006C7870"/>
    <w:rsid w:val="006D007D"/>
    <w:rsid w:val="006D0351"/>
    <w:rsid w:val="006D0A09"/>
    <w:rsid w:val="006D0B97"/>
    <w:rsid w:val="006D0DAA"/>
    <w:rsid w:val="006D137D"/>
    <w:rsid w:val="006D18E7"/>
    <w:rsid w:val="006D1929"/>
    <w:rsid w:val="006D1C3A"/>
    <w:rsid w:val="006D1DA8"/>
    <w:rsid w:val="006D4DB1"/>
    <w:rsid w:val="006D5631"/>
    <w:rsid w:val="006D5EB0"/>
    <w:rsid w:val="006D627B"/>
    <w:rsid w:val="006D703B"/>
    <w:rsid w:val="006D717B"/>
    <w:rsid w:val="006D765D"/>
    <w:rsid w:val="006E0E9B"/>
    <w:rsid w:val="006E2A50"/>
    <w:rsid w:val="006E5620"/>
    <w:rsid w:val="006E6457"/>
    <w:rsid w:val="006E6927"/>
    <w:rsid w:val="006E6A70"/>
    <w:rsid w:val="006E6CCB"/>
    <w:rsid w:val="006E75BE"/>
    <w:rsid w:val="006E7BA1"/>
    <w:rsid w:val="006F01C3"/>
    <w:rsid w:val="006F0375"/>
    <w:rsid w:val="006F0875"/>
    <w:rsid w:val="006F0A0E"/>
    <w:rsid w:val="006F174A"/>
    <w:rsid w:val="006F19F3"/>
    <w:rsid w:val="006F2B60"/>
    <w:rsid w:val="006F3004"/>
    <w:rsid w:val="006F34C1"/>
    <w:rsid w:val="006F3570"/>
    <w:rsid w:val="006F5980"/>
    <w:rsid w:val="006F7563"/>
    <w:rsid w:val="006F7D46"/>
    <w:rsid w:val="007008D3"/>
    <w:rsid w:val="00700A13"/>
    <w:rsid w:val="00701297"/>
    <w:rsid w:val="007013EE"/>
    <w:rsid w:val="007018E1"/>
    <w:rsid w:val="00702217"/>
    <w:rsid w:val="007024C8"/>
    <w:rsid w:val="0070292E"/>
    <w:rsid w:val="007029EE"/>
    <w:rsid w:val="00702C46"/>
    <w:rsid w:val="0070359E"/>
    <w:rsid w:val="007037DC"/>
    <w:rsid w:val="007039AE"/>
    <w:rsid w:val="00703FAB"/>
    <w:rsid w:val="00704092"/>
    <w:rsid w:val="0070467D"/>
    <w:rsid w:val="00705787"/>
    <w:rsid w:val="00705830"/>
    <w:rsid w:val="00706181"/>
    <w:rsid w:val="00706C0A"/>
    <w:rsid w:val="00706CA3"/>
    <w:rsid w:val="007073DB"/>
    <w:rsid w:val="00707FC9"/>
    <w:rsid w:val="007101FA"/>
    <w:rsid w:val="00710350"/>
    <w:rsid w:val="00710C78"/>
    <w:rsid w:val="00711A00"/>
    <w:rsid w:val="0071248C"/>
    <w:rsid w:val="0071342E"/>
    <w:rsid w:val="007138CD"/>
    <w:rsid w:val="007151FE"/>
    <w:rsid w:val="00716FD0"/>
    <w:rsid w:val="00717196"/>
    <w:rsid w:val="0071750A"/>
    <w:rsid w:val="007209DB"/>
    <w:rsid w:val="00721CCF"/>
    <w:rsid w:val="00721D75"/>
    <w:rsid w:val="00722AC0"/>
    <w:rsid w:val="00722D3C"/>
    <w:rsid w:val="0072414A"/>
    <w:rsid w:val="00724278"/>
    <w:rsid w:val="007247C9"/>
    <w:rsid w:val="00725386"/>
    <w:rsid w:val="00725FF3"/>
    <w:rsid w:val="0072662C"/>
    <w:rsid w:val="00726A07"/>
    <w:rsid w:val="00727465"/>
    <w:rsid w:val="00727609"/>
    <w:rsid w:val="00730171"/>
    <w:rsid w:val="00730431"/>
    <w:rsid w:val="00730947"/>
    <w:rsid w:val="00730B07"/>
    <w:rsid w:val="00730EEF"/>
    <w:rsid w:val="00731351"/>
    <w:rsid w:val="00731405"/>
    <w:rsid w:val="007315D6"/>
    <w:rsid w:val="00731851"/>
    <w:rsid w:val="00731AAF"/>
    <w:rsid w:val="00732017"/>
    <w:rsid w:val="007322B2"/>
    <w:rsid w:val="00732558"/>
    <w:rsid w:val="00732B03"/>
    <w:rsid w:val="0073325D"/>
    <w:rsid w:val="0073339E"/>
    <w:rsid w:val="00733442"/>
    <w:rsid w:val="00733C19"/>
    <w:rsid w:val="007346AA"/>
    <w:rsid w:val="00735FF5"/>
    <w:rsid w:val="00736282"/>
    <w:rsid w:val="00736317"/>
    <w:rsid w:val="007370DE"/>
    <w:rsid w:val="00737361"/>
    <w:rsid w:val="00737C73"/>
    <w:rsid w:val="007404D9"/>
    <w:rsid w:val="00740A38"/>
    <w:rsid w:val="00740C0D"/>
    <w:rsid w:val="00742A7E"/>
    <w:rsid w:val="0074364A"/>
    <w:rsid w:val="00743A00"/>
    <w:rsid w:val="00744BBB"/>
    <w:rsid w:val="00744DB0"/>
    <w:rsid w:val="00745C7E"/>
    <w:rsid w:val="007471A5"/>
    <w:rsid w:val="00747A39"/>
    <w:rsid w:val="00747CD7"/>
    <w:rsid w:val="007501B4"/>
    <w:rsid w:val="00750B10"/>
    <w:rsid w:val="00750C0D"/>
    <w:rsid w:val="00750D07"/>
    <w:rsid w:val="00751019"/>
    <w:rsid w:val="00751587"/>
    <w:rsid w:val="007516BC"/>
    <w:rsid w:val="00751CC6"/>
    <w:rsid w:val="00752459"/>
    <w:rsid w:val="00752FC0"/>
    <w:rsid w:val="00753924"/>
    <w:rsid w:val="007540EB"/>
    <w:rsid w:val="0075421E"/>
    <w:rsid w:val="00754CC6"/>
    <w:rsid w:val="007551AD"/>
    <w:rsid w:val="0075521A"/>
    <w:rsid w:val="00755BAE"/>
    <w:rsid w:val="0075611B"/>
    <w:rsid w:val="00757B62"/>
    <w:rsid w:val="00757E71"/>
    <w:rsid w:val="007606AA"/>
    <w:rsid w:val="00760A9C"/>
    <w:rsid w:val="00760C84"/>
    <w:rsid w:val="00760EAA"/>
    <w:rsid w:val="007617E3"/>
    <w:rsid w:val="00761A5F"/>
    <w:rsid w:val="00761B8F"/>
    <w:rsid w:val="00761EFA"/>
    <w:rsid w:val="007627FE"/>
    <w:rsid w:val="00762BB1"/>
    <w:rsid w:val="00763A23"/>
    <w:rsid w:val="00764730"/>
    <w:rsid w:val="00764AFB"/>
    <w:rsid w:val="00765253"/>
    <w:rsid w:val="00765F62"/>
    <w:rsid w:val="00766482"/>
    <w:rsid w:val="0076676B"/>
    <w:rsid w:val="00766A20"/>
    <w:rsid w:val="00767038"/>
    <w:rsid w:val="007675B9"/>
    <w:rsid w:val="0077001D"/>
    <w:rsid w:val="00771BDD"/>
    <w:rsid w:val="0077336E"/>
    <w:rsid w:val="0077402E"/>
    <w:rsid w:val="007744B5"/>
    <w:rsid w:val="00774985"/>
    <w:rsid w:val="0077512E"/>
    <w:rsid w:val="007758DB"/>
    <w:rsid w:val="00775FC1"/>
    <w:rsid w:val="007768E0"/>
    <w:rsid w:val="007770E8"/>
    <w:rsid w:val="0077755C"/>
    <w:rsid w:val="007806FD"/>
    <w:rsid w:val="00782225"/>
    <w:rsid w:val="00782457"/>
    <w:rsid w:val="007827D1"/>
    <w:rsid w:val="007829B1"/>
    <w:rsid w:val="00783AAC"/>
    <w:rsid w:val="00783F98"/>
    <w:rsid w:val="00783FF8"/>
    <w:rsid w:val="0078531F"/>
    <w:rsid w:val="00785BE7"/>
    <w:rsid w:val="0078601E"/>
    <w:rsid w:val="0078787D"/>
    <w:rsid w:val="00787AC8"/>
    <w:rsid w:val="00790220"/>
    <w:rsid w:val="007903CE"/>
    <w:rsid w:val="00790409"/>
    <w:rsid w:val="00790513"/>
    <w:rsid w:val="00791059"/>
    <w:rsid w:val="007919E0"/>
    <w:rsid w:val="007923EF"/>
    <w:rsid w:val="00793580"/>
    <w:rsid w:val="007944A8"/>
    <w:rsid w:val="00794920"/>
    <w:rsid w:val="00795367"/>
    <w:rsid w:val="00795571"/>
    <w:rsid w:val="007962C6"/>
    <w:rsid w:val="0079644B"/>
    <w:rsid w:val="007967BC"/>
    <w:rsid w:val="00797537"/>
    <w:rsid w:val="00797764"/>
    <w:rsid w:val="00797983"/>
    <w:rsid w:val="007A0029"/>
    <w:rsid w:val="007A0277"/>
    <w:rsid w:val="007A0658"/>
    <w:rsid w:val="007A0A51"/>
    <w:rsid w:val="007A0C42"/>
    <w:rsid w:val="007A10E1"/>
    <w:rsid w:val="007A11FA"/>
    <w:rsid w:val="007A1758"/>
    <w:rsid w:val="007A1804"/>
    <w:rsid w:val="007A2278"/>
    <w:rsid w:val="007A2591"/>
    <w:rsid w:val="007A269D"/>
    <w:rsid w:val="007A3DDC"/>
    <w:rsid w:val="007A3E89"/>
    <w:rsid w:val="007A41D3"/>
    <w:rsid w:val="007A4556"/>
    <w:rsid w:val="007A46D5"/>
    <w:rsid w:val="007A580D"/>
    <w:rsid w:val="007A5BBF"/>
    <w:rsid w:val="007A67E8"/>
    <w:rsid w:val="007A7419"/>
    <w:rsid w:val="007A75D0"/>
    <w:rsid w:val="007B027A"/>
    <w:rsid w:val="007B02D1"/>
    <w:rsid w:val="007B062C"/>
    <w:rsid w:val="007B0749"/>
    <w:rsid w:val="007B0EF4"/>
    <w:rsid w:val="007B1E7F"/>
    <w:rsid w:val="007B2B37"/>
    <w:rsid w:val="007B4986"/>
    <w:rsid w:val="007B5810"/>
    <w:rsid w:val="007B5867"/>
    <w:rsid w:val="007B5896"/>
    <w:rsid w:val="007B5B9B"/>
    <w:rsid w:val="007B6E07"/>
    <w:rsid w:val="007C010E"/>
    <w:rsid w:val="007C05EB"/>
    <w:rsid w:val="007C0825"/>
    <w:rsid w:val="007C10F4"/>
    <w:rsid w:val="007C1B73"/>
    <w:rsid w:val="007C2D58"/>
    <w:rsid w:val="007C3439"/>
    <w:rsid w:val="007C4710"/>
    <w:rsid w:val="007C4850"/>
    <w:rsid w:val="007C56D0"/>
    <w:rsid w:val="007C5C41"/>
    <w:rsid w:val="007C641D"/>
    <w:rsid w:val="007C64F4"/>
    <w:rsid w:val="007C688A"/>
    <w:rsid w:val="007C7016"/>
    <w:rsid w:val="007C793D"/>
    <w:rsid w:val="007C7D50"/>
    <w:rsid w:val="007D03D8"/>
    <w:rsid w:val="007D150A"/>
    <w:rsid w:val="007D2250"/>
    <w:rsid w:val="007D2334"/>
    <w:rsid w:val="007D2D06"/>
    <w:rsid w:val="007D30A2"/>
    <w:rsid w:val="007D31A4"/>
    <w:rsid w:val="007D37D2"/>
    <w:rsid w:val="007D4232"/>
    <w:rsid w:val="007D4744"/>
    <w:rsid w:val="007D4D2D"/>
    <w:rsid w:val="007D4F3C"/>
    <w:rsid w:val="007D503E"/>
    <w:rsid w:val="007D520C"/>
    <w:rsid w:val="007D5425"/>
    <w:rsid w:val="007D673B"/>
    <w:rsid w:val="007D677A"/>
    <w:rsid w:val="007D7129"/>
    <w:rsid w:val="007D741A"/>
    <w:rsid w:val="007D760C"/>
    <w:rsid w:val="007E05E2"/>
    <w:rsid w:val="007E092D"/>
    <w:rsid w:val="007E0972"/>
    <w:rsid w:val="007E1385"/>
    <w:rsid w:val="007E1743"/>
    <w:rsid w:val="007E2785"/>
    <w:rsid w:val="007E2F09"/>
    <w:rsid w:val="007E32BE"/>
    <w:rsid w:val="007E3E21"/>
    <w:rsid w:val="007E4474"/>
    <w:rsid w:val="007E4FA9"/>
    <w:rsid w:val="007E578D"/>
    <w:rsid w:val="007E6A20"/>
    <w:rsid w:val="007E6B16"/>
    <w:rsid w:val="007E6FE1"/>
    <w:rsid w:val="007E711E"/>
    <w:rsid w:val="007E75FA"/>
    <w:rsid w:val="007F03C7"/>
    <w:rsid w:val="007F0474"/>
    <w:rsid w:val="007F15A0"/>
    <w:rsid w:val="007F16D0"/>
    <w:rsid w:val="007F1C01"/>
    <w:rsid w:val="007F2424"/>
    <w:rsid w:val="007F2B7A"/>
    <w:rsid w:val="007F31AC"/>
    <w:rsid w:val="007F3A0A"/>
    <w:rsid w:val="007F492E"/>
    <w:rsid w:val="007F51C3"/>
    <w:rsid w:val="007F5F77"/>
    <w:rsid w:val="007F6367"/>
    <w:rsid w:val="007F68E5"/>
    <w:rsid w:val="007F6F97"/>
    <w:rsid w:val="007F7AA5"/>
    <w:rsid w:val="00800733"/>
    <w:rsid w:val="0080113D"/>
    <w:rsid w:val="0080115A"/>
    <w:rsid w:val="008012ED"/>
    <w:rsid w:val="0080155C"/>
    <w:rsid w:val="00801ED7"/>
    <w:rsid w:val="008022A9"/>
    <w:rsid w:val="008027E7"/>
    <w:rsid w:val="00803759"/>
    <w:rsid w:val="00804087"/>
    <w:rsid w:val="00805495"/>
    <w:rsid w:val="0080552B"/>
    <w:rsid w:val="008066A3"/>
    <w:rsid w:val="008066A8"/>
    <w:rsid w:val="00806807"/>
    <w:rsid w:val="008078E0"/>
    <w:rsid w:val="00807D0E"/>
    <w:rsid w:val="00810198"/>
    <w:rsid w:val="008105FA"/>
    <w:rsid w:val="00811963"/>
    <w:rsid w:val="008119F8"/>
    <w:rsid w:val="00811CB6"/>
    <w:rsid w:val="00812104"/>
    <w:rsid w:val="00812602"/>
    <w:rsid w:val="00813108"/>
    <w:rsid w:val="00813644"/>
    <w:rsid w:val="008144F2"/>
    <w:rsid w:val="00814548"/>
    <w:rsid w:val="0081483F"/>
    <w:rsid w:val="008150A9"/>
    <w:rsid w:val="00815443"/>
    <w:rsid w:val="00815842"/>
    <w:rsid w:val="00816608"/>
    <w:rsid w:val="00816C49"/>
    <w:rsid w:val="00816DBC"/>
    <w:rsid w:val="00817E02"/>
    <w:rsid w:val="00820095"/>
    <w:rsid w:val="008200BC"/>
    <w:rsid w:val="00820234"/>
    <w:rsid w:val="0082093A"/>
    <w:rsid w:val="00820E4B"/>
    <w:rsid w:val="008219E3"/>
    <w:rsid w:val="00821F93"/>
    <w:rsid w:val="00822334"/>
    <w:rsid w:val="008247B3"/>
    <w:rsid w:val="008247EA"/>
    <w:rsid w:val="0082481B"/>
    <w:rsid w:val="0082537E"/>
    <w:rsid w:val="00825588"/>
    <w:rsid w:val="008258EF"/>
    <w:rsid w:val="0082612A"/>
    <w:rsid w:val="00826137"/>
    <w:rsid w:val="00826AB2"/>
    <w:rsid w:val="00826F47"/>
    <w:rsid w:val="00826F96"/>
    <w:rsid w:val="008279CD"/>
    <w:rsid w:val="00827AFD"/>
    <w:rsid w:val="008307E6"/>
    <w:rsid w:val="0083137C"/>
    <w:rsid w:val="0083198A"/>
    <w:rsid w:val="008328A4"/>
    <w:rsid w:val="00834167"/>
    <w:rsid w:val="00834245"/>
    <w:rsid w:val="008347FC"/>
    <w:rsid w:val="00834BB9"/>
    <w:rsid w:val="00834CC4"/>
    <w:rsid w:val="008352B4"/>
    <w:rsid w:val="00835508"/>
    <w:rsid w:val="008355F0"/>
    <w:rsid w:val="00835C7E"/>
    <w:rsid w:val="0083608D"/>
    <w:rsid w:val="00836521"/>
    <w:rsid w:val="008372B2"/>
    <w:rsid w:val="008375FA"/>
    <w:rsid w:val="00837665"/>
    <w:rsid w:val="00840017"/>
    <w:rsid w:val="008405C9"/>
    <w:rsid w:val="00841E11"/>
    <w:rsid w:val="00842278"/>
    <w:rsid w:val="0084231D"/>
    <w:rsid w:val="00842DCF"/>
    <w:rsid w:val="00842E59"/>
    <w:rsid w:val="0084331C"/>
    <w:rsid w:val="008433E2"/>
    <w:rsid w:val="008435D6"/>
    <w:rsid w:val="00843825"/>
    <w:rsid w:val="00843B98"/>
    <w:rsid w:val="00844310"/>
    <w:rsid w:val="008445F0"/>
    <w:rsid w:val="00844B08"/>
    <w:rsid w:val="0084599C"/>
    <w:rsid w:val="00845A28"/>
    <w:rsid w:val="00846307"/>
    <w:rsid w:val="008465A5"/>
    <w:rsid w:val="008467CE"/>
    <w:rsid w:val="00847CF4"/>
    <w:rsid w:val="00850040"/>
    <w:rsid w:val="00851EC1"/>
    <w:rsid w:val="00851FA5"/>
    <w:rsid w:val="00852D7A"/>
    <w:rsid w:val="00853384"/>
    <w:rsid w:val="0085358A"/>
    <w:rsid w:val="00853845"/>
    <w:rsid w:val="00853E95"/>
    <w:rsid w:val="008542E9"/>
    <w:rsid w:val="00854788"/>
    <w:rsid w:val="00854EC6"/>
    <w:rsid w:val="0085566C"/>
    <w:rsid w:val="00855AE5"/>
    <w:rsid w:val="00855B42"/>
    <w:rsid w:val="00855F1B"/>
    <w:rsid w:val="00855F7B"/>
    <w:rsid w:val="00856DB0"/>
    <w:rsid w:val="008571D8"/>
    <w:rsid w:val="00860317"/>
    <w:rsid w:val="00860BFF"/>
    <w:rsid w:val="0086211C"/>
    <w:rsid w:val="00862A44"/>
    <w:rsid w:val="00862F36"/>
    <w:rsid w:val="00862FF9"/>
    <w:rsid w:val="008631C6"/>
    <w:rsid w:val="0086329C"/>
    <w:rsid w:val="00863310"/>
    <w:rsid w:val="00863EA2"/>
    <w:rsid w:val="00864E7B"/>
    <w:rsid w:val="00864F5E"/>
    <w:rsid w:val="00865013"/>
    <w:rsid w:val="0086548F"/>
    <w:rsid w:val="008654D9"/>
    <w:rsid w:val="0086593E"/>
    <w:rsid w:val="008668A4"/>
    <w:rsid w:val="00866BF6"/>
    <w:rsid w:val="0086701B"/>
    <w:rsid w:val="008702DD"/>
    <w:rsid w:val="00870405"/>
    <w:rsid w:val="00871556"/>
    <w:rsid w:val="008717A4"/>
    <w:rsid w:val="00872E25"/>
    <w:rsid w:val="00873383"/>
    <w:rsid w:val="00873F20"/>
    <w:rsid w:val="00874113"/>
    <w:rsid w:val="008745AD"/>
    <w:rsid w:val="00874653"/>
    <w:rsid w:val="00874962"/>
    <w:rsid w:val="008754AA"/>
    <w:rsid w:val="008759DD"/>
    <w:rsid w:val="00875A8F"/>
    <w:rsid w:val="00875C4A"/>
    <w:rsid w:val="00876270"/>
    <w:rsid w:val="008769B0"/>
    <w:rsid w:val="00876C15"/>
    <w:rsid w:val="00876F74"/>
    <w:rsid w:val="0087725C"/>
    <w:rsid w:val="008805D5"/>
    <w:rsid w:val="008811D0"/>
    <w:rsid w:val="008815FD"/>
    <w:rsid w:val="00883326"/>
    <w:rsid w:val="00883959"/>
    <w:rsid w:val="00884EDD"/>
    <w:rsid w:val="00885010"/>
    <w:rsid w:val="0088591A"/>
    <w:rsid w:val="00885FA8"/>
    <w:rsid w:val="00886262"/>
    <w:rsid w:val="00887141"/>
    <w:rsid w:val="00887790"/>
    <w:rsid w:val="00887BB6"/>
    <w:rsid w:val="00890044"/>
    <w:rsid w:val="008906AB"/>
    <w:rsid w:val="008911CF"/>
    <w:rsid w:val="0089175B"/>
    <w:rsid w:val="00891D29"/>
    <w:rsid w:val="00891E0D"/>
    <w:rsid w:val="00892705"/>
    <w:rsid w:val="008927DE"/>
    <w:rsid w:val="00892CAF"/>
    <w:rsid w:val="00892F61"/>
    <w:rsid w:val="0089325B"/>
    <w:rsid w:val="008933C0"/>
    <w:rsid w:val="008933E4"/>
    <w:rsid w:val="00893451"/>
    <w:rsid w:val="00893E0B"/>
    <w:rsid w:val="00893E5D"/>
    <w:rsid w:val="008940FA"/>
    <w:rsid w:val="00894393"/>
    <w:rsid w:val="0089443E"/>
    <w:rsid w:val="00896799"/>
    <w:rsid w:val="0089732C"/>
    <w:rsid w:val="008974C9"/>
    <w:rsid w:val="008978E9"/>
    <w:rsid w:val="00897F2C"/>
    <w:rsid w:val="008A055B"/>
    <w:rsid w:val="008A0659"/>
    <w:rsid w:val="008A0852"/>
    <w:rsid w:val="008A1CA3"/>
    <w:rsid w:val="008A1E1A"/>
    <w:rsid w:val="008A320A"/>
    <w:rsid w:val="008A32E1"/>
    <w:rsid w:val="008A3692"/>
    <w:rsid w:val="008A37DB"/>
    <w:rsid w:val="008A38B0"/>
    <w:rsid w:val="008A3FE5"/>
    <w:rsid w:val="008A4900"/>
    <w:rsid w:val="008A4C05"/>
    <w:rsid w:val="008A4FD1"/>
    <w:rsid w:val="008A54E5"/>
    <w:rsid w:val="008A5BC6"/>
    <w:rsid w:val="008A6A85"/>
    <w:rsid w:val="008A6F72"/>
    <w:rsid w:val="008A74BC"/>
    <w:rsid w:val="008A7C0B"/>
    <w:rsid w:val="008A7D36"/>
    <w:rsid w:val="008B0A8F"/>
    <w:rsid w:val="008B0BEC"/>
    <w:rsid w:val="008B10C5"/>
    <w:rsid w:val="008B125F"/>
    <w:rsid w:val="008B12A6"/>
    <w:rsid w:val="008B1AFC"/>
    <w:rsid w:val="008B22F5"/>
    <w:rsid w:val="008B2F9E"/>
    <w:rsid w:val="008B3AA5"/>
    <w:rsid w:val="008B3D49"/>
    <w:rsid w:val="008B3E9F"/>
    <w:rsid w:val="008B4539"/>
    <w:rsid w:val="008B4F6A"/>
    <w:rsid w:val="008B5D3E"/>
    <w:rsid w:val="008B667D"/>
    <w:rsid w:val="008B689D"/>
    <w:rsid w:val="008B7CB9"/>
    <w:rsid w:val="008C01E2"/>
    <w:rsid w:val="008C0771"/>
    <w:rsid w:val="008C0942"/>
    <w:rsid w:val="008C1776"/>
    <w:rsid w:val="008C1BD7"/>
    <w:rsid w:val="008C221D"/>
    <w:rsid w:val="008C2815"/>
    <w:rsid w:val="008C2FC5"/>
    <w:rsid w:val="008C3AAF"/>
    <w:rsid w:val="008C4014"/>
    <w:rsid w:val="008C496D"/>
    <w:rsid w:val="008C52C1"/>
    <w:rsid w:val="008C5C70"/>
    <w:rsid w:val="008C670F"/>
    <w:rsid w:val="008C67C1"/>
    <w:rsid w:val="008C6AF0"/>
    <w:rsid w:val="008C7653"/>
    <w:rsid w:val="008C7B25"/>
    <w:rsid w:val="008C7CD7"/>
    <w:rsid w:val="008C7D12"/>
    <w:rsid w:val="008C7EDA"/>
    <w:rsid w:val="008D0A6D"/>
    <w:rsid w:val="008D0C36"/>
    <w:rsid w:val="008D0DED"/>
    <w:rsid w:val="008D1794"/>
    <w:rsid w:val="008D1A31"/>
    <w:rsid w:val="008D2227"/>
    <w:rsid w:val="008D32E6"/>
    <w:rsid w:val="008D5C12"/>
    <w:rsid w:val="008D6652"/>
    <w:rsid w:val="008D6681"/>
    <w:rsid w:val="008D6762"/>
    <w:rsid w:val="008D6C80"/>
    <w:rsid w:val="008E0713"/>
    <w:rsid w:val="008E07CC"/>
    <w:rsid w:val="008E07F7"/>
    <w:rsid w:val="008E1144"/>
    <w:rsid w:val="008E245A"/>
    <w:rsid w:val="008E2716"/>
    <w:rsid w:val="008E2F93"/>
    <w:rsid w:val="008E304E"/>
    <w:rsid w:val="008E3B2C"/>
    <w:rsid w:val="008E4139"/>
    <w:rsid w:val="008E4431"/>
    <w:rsid w:val="008E638E"/>
    <w:rsid w:val="008E6B2C"/>
    <w:rsid w:val="008E70A5"/>
    <w:rsid w:val="008E7F75"/>
    <w:rsid w:val="008F0161"/>
    <w:rsid w:val="008F0FA5"/>
    <w:rsid w:val="008F14F5"/>
    <w:rsid w:val="008F151E"/>
    <w:rsid w:val="008F2025"/>
    <w:rsid w:val="008F2494"/>
    <w:rsid w:val="008F32E4"/>
    <w:rsid w:val="008F4B77"/>
    <w:rsid w:val="008F57CF"/>
    <w:rsid w:val="008F5B2E"/>
    <w:rsid w:val="008F661D"/>
    <w:rsid w:val="008F685E"/>
    <w:rsid w:val="008F6A12"/>
    <w:rsid w:val="008F70AA"/>
    <w:rsid w:val="008F70D1"/>
    <w:rsid w:val="008F7996"/>
    <w:rsid w:val="00900464"/>
    <w:rsid w:val="00900890"/>
    <w:rsid w:val="00900CA4"/>
    <w:rsid w:val="00901A61"/>
    <w:rsid w:val="00902471"/>
    <w:rsid w:val="00902D7F"/>
    <w:rsid w:val="009033C9"/>
    <w:rsid w:val="00903647"/>
    <w:rsid w:val="00903CED"/>
    <w:rsid w:val="00904C26"/>
    <w:rsid w:val="00905491"/>
    <w:rsid w:val="00905942"/>
    <w:rsid w:val="009060E0"/>
    <w:rsid w:val="00906552"/>
    <w:rsid w:val="00906AA9"/>
    <w:rsid w:val="00906F97"/>
    <w:rsid w:val="0090758C"/>
    <w:rsid w:val="00907763"/>
    <w:rsid w:val="009077B6"/>
    <w:rsid w:val="00907C7B"/>
    <w:rsid w:val="00907DCE"/>
    <w:rsid w:val="00907F8E"/>
    <w:rsid w:val="00911149"/>
    <w:rsid w:val="00911734"/>
    <w:rsid w:val="00911CB5"/>
    <w:rsid w:val="00911D58"/>
    <w:rsid w:val="00911D6D"/>
    <w:rsid w:val="00911ED7"/>
    <w:rsid w:val="00911F86"/>
    <w:rsid w:val="0091267D"/>
    <w:rsid w:val="009129B7"/>
    <w:rsid w:val="009131D4"/>
    <w:rsid w:val="0091374A"/>
    <w:rsid w:val="009137FE"/>
    <w:rsid w:val="009139E8"/>
    <w:rsid w:val="00913DDF"/>
    <w:rsid w:val="009146E0"/>
    <w:rsid w:val="00915007"/>
    <w:rsid w:val="0091522B"/>
    <w:rsid w:val="00915C69"/>
    <w:rsid w:val="00915D9B"/>
    <w:rsid w:val="00915EB5"/>
    <w:rsid w:val="009162B1"/>
    <w:rsid w:val="00916DAA"/>
    <w:rsid w:val="00917301"/>
    <w:rsid w:val="009175DC"/>
    <w:rsid w:val="00917F75"/>
    <w:rsid w:val="00917FF5"/>
    <w:rsid w:val="00920F90"/>
    <w:rsid w:val="00921920"/>
    <w:rsid w:val="00921F55"/>
    <w:rsid w:val="00923D35"/>
    <w:rsid w:val="00923F5D"/>
    <w:rsid w:val="00924288"/>
    <w:rsid w:val="00924D7D"/>
    <w:rsid w:val="00925DE6"/>
    <w:rsid w:val="0092627C"/>
    <w:rsid w:val="009262AB"/>
    <w:rsid w:val="00926507"/>
    <w:rsid w:val="00926586"/>
    <w:rsid w:val="009266ED"/>
    <w:rsid w:val="00927036"/>
    <w:rsid w:val="00927082"/>
    <w:rsid w:val="00927188"/>
    <w:rsid w:val="00927741"/>
    <w:rsid w:val="00927964"/>
    <w:rsid w:val="009300F3"/>
    <w:rsid w:val="00930147"/>
    <w:rsid w:val="009308BB"/>
    <w:rsid w:val="009315C5"/>
    <w:rsid w:val="00931A7E"/>
    <w:rsid w:val="00931DD7"/>
    <w:rsid w:val="00932CAA"/>
    <w:rsid w:val="009341C3"/>
    <w:rsid w:val="00934651"/>
    <w:rsid w:val="00934690"/>
    <w:rsid w:val="00935555"/>
    <w:rsid w:val="00935558"/>
    <w:rsid w:val="00935643"/>
    <w:rsid w:val="00935D7F"/>
    <w:rsid w:val="00936499"/>
    <w:rsid w:val="009365AC"/>
    <w:rsid w:val="0093688E"/>
    <w:rsid w:val="009372C0"/>
    <w:rsid w:val="00937AE2"/>
    <w:rsid w:val="00937D54"/>
    <w:rsid w:val="00940821"/>
    <w:rsid w:val="00941120"/>
    <w:rsid w:val="00941A22"/>
    <w:rsid w:val="00941D20"/>
    <w:rsid w:val="0094239E"/>
    <w:rsid w:val="00942BC6"/>
    <w:rsid w:val="009436E2"/>
    <w:rsid w:val="00943A86"/>
    <w:rsid w:val="00944112"/>
    <w:rsid w:val="009447B1"/>
    <w:rsid w:val="009450A3"/>
    <w:rsid w:val="00946983"/>
    <w:rsid w:val="0094700F"/>
    <w:rsid w:val="009478EA"/>
    <w:rsid w:val="00947D9E"/>
    <w:rsid w:val="00947DB5"/>
    <w:rsid w:val="00947EF5"/>
    <w:rsid w:val="00951076"/>
    <w:rsid w:val="0095119C"/>
    <w:rsid w:val="00951C71"/>
    <w:rsid w:val="00951F7D"/>
    <w:rsid w:val="00952720"/>
    <w:rsid w:val="00953849"/>
    <w:rsid w:val="00953DAB"/>
    <w:rsid w:val="00953E0F"/>
    <w:rsid w:val="00954BFB"/>
    <w:rsid w:val="00956C36"/>
    <w:rsid w:val="00957097"/>
    <w:rsid w:val="00957845"/>
    <w:rsid w:val="009600F5"/>
    <w:rsid w:val="00960251"/>
    <w:rsid w:val="00960384"/>
    <w:rsid w:val="00960407"/>
    <w:rsid w:val="00960761"/>
    <w:rsid w:val="009610BC"/>
    <w:rsid w:val="009610F0"/>
    <w:rsid w:val="0096215D"/>
    <w:rsid w:val="00962290"/>
    <w:rsid w:val="009625C8"/>
    <w:rsid w:val="00962842"/>
    <w:rsid w:val="00962EFB"/>
    <w:rsid w:val="00963D9E"/>
    <w:rsid w:val="009641A9"/>
    <w:rsid w:val="009646A7"/>
    <w:rsid w:val="009648D4"/>
    <w:rsid w:val="00964EFA"/>
    <w:rsid w:val="00965330"/>
    <w:rsid w:val="00967044"/>
    <w:rsid w:val="00967C25"/>
    <w:rsid w:val="00967DE6"/>
    <w:rsid w:val="009702FA"/>
    <w:rsid w:val="0097049D"/>
    <w:rsid w:val="0097130C"/>
    <w:rsid w:val="00971BDC"/>
    <w:rsid w:val="00971DCC"/>
    <w:rsid w:val="00971DEC"/>
    <w:rsid w:val="00971DF2"/>
    <w:rsid w:val="0097262C"/>
    <w:rsid w:val="00972AF8"/>
    <w:rsid w:val="00972C99"/>
    <w:rsid w:val="00973A63"/>
    <w:rsid w:val="00973E30"/>
    <w:rsid w:val="00973EFD"/>
    <w:rsid w:val="00973F69"/>
    <w:rsid w:val="009756BF"/>
    <w:rsid w:val="00976C4E"/>
    <w:rsid w:val="009771B8"/>
    <w:rsid w:val="0098020E"/>
    <w:rsid w:val="009804B9"/>
    <w:rsid w:val="00980509"/>
    <w:rsid w:val="00980CB2"/>
    <w:rsid w:val="00981422"/>
    <w:rsid w:val="00981845"/>
    <w:rsid w:val="00981B70"/>
    <w:rsid w:val="00982075"/>
    <w:rsid w:val="00982ACA"/>
    <w:rsid w:val="00982AE1"/>
    <w:rsid w:val="009831CA"/>
    <w:rsid w:val="009838EF"/>
    <w:rsid w:val="00983A2E"/>
    <w:rsid w:val="00983A77"/>
    <w:rsid w:val="00983F9C"/>
    <w:rsid w:val="00984DEC"/>
    <w:rsid w:val="009857B1"/>
    <w:rsid w:val="00986108"/>
    <w:rsid w:val="00986125"/>
    <w:rsid w:val="00987ECD"/>
    <w:rsid w:val="00987F2D"/>
    <w:rsid w:val="009901BB"/>
    <w:rsid w:val="00990B02"/>
    <w:rsid w:val="0099173B"/>
    <w:rsid w:val="0099176E"/>
    <w:rsid w:val="009922FE"/>
    <w:rsid w:val="009923FC"/>
    <w:rsid w:val="009929AA"/>
    <w:rsid w:val="00993336"/>
    <w:rsid w:val="0099344F"/>
    <w:rsid w:val="00993B09"/>
    <w:rsid w:val="00994413"/>
    <w:rsid w:val="00994B28"/>
    <w:rsid w:val="00995713"/>
    <w:rsid w:val="00996529"/>
    <w:rsid w:val="00996CB5"/>
    <w:rsid w:val="00997BF1"/>
    <w:rsid w:val="009A00D3"/>
    <w:rsid w:val="009A00F9"/>
    <w:rsid w:val="009A01B5"/>
    <w:rsid w:val="009A05C1"/>
    <w:rsid w:val="009A46A4"/>
    <w:rsid w:val="009A48D7"/>
    <w:rsid w:val="009A5B0A"/>
    <w:rsid w:val="009A5EB1"/>
    <w:rsid w:val="009A62F1"/>
    <w:rsid w:val="009A6321"/>
    <w:rsid w:val="009A6A8B"/>
    <w:rsid w:val="009A797F"/>
    <w:rsid w:val="009A7B41"/>
    <w:rsid w:val="009A7D5C"/>
    <w:rsid w:val="009B1933"/>
    <w:rsid w:val="009B1A7C"/>
    <w:rsid w:val="009B2178"/>
    <w:rsid w:val="009B2D58"/>
    <w:rsid w:val="009B2FD0"/>
    <w:rsid w:val="009B33D6"/>
    <w:rsid w:val="009B3A38"/>
    <w:rsid w:val="009B3C41"/>
    <w:rsid w:val="009B40FA"/>
    <w:rsid w:val="009B537D"/>
    <w:rsid w:val="009B5B5D"/>
    <w:rsid w:val="009B5D3D"/>
    <w:rsid w:val="009B5D61"/>
    <w:rsid w:val="009B5FC8"/>
    <w:rsid w:val="009B6476"/>
    <w:rsid w:val="009B680E"/>
    <w:rsid w:val="009B76E4"/>
    <w:rsid w:val="009B78FF"/>
    <w:rsid w:val="009C0B87"/>
    <w:rsid w:val="009C11B8"/>
    <w:rsid w:val="009C13F8"/>
    <w:rsid w:val="009C1652"/>
    <w:rsid w:val="009C1810"/>
    <w:rsid w:val="009C19A5"/>
    <w:rsid w:val="009C22C5"/>
    <w:rsid w:val="009C2413"/>
    <w:rsid w:val="009C2788"/>
    <w:rsid w:val="009C2B13"/>
    <w:rsid w:val="009C3325"/>
    <w:rsid w:val="009C39EA"/>
    <w:rsid w:val="009C52BE"/>
    <w:rsid w:val="009C587F"/>
    <w:rsid w:val="009C5F56"/>
    <w:rsid w:val="009C67C9"/>
    <w:rsid w:val="009C6EC7"/>
    <w:rsid w:val="009C7254"/>
    <w:rsid w:val="009C76A6"/>
    <w:rsid w:val="009C7AD4"/>
    <w:rsid w:val="009D02B3"/>
    <w:rsid w:val="009D06B0"/>
    <w:rsid w:val="009D1239"/>
    <w:rsid w:val="009D172C"/>
    <w:rsid w:val="009D273F"/>
    <w:rsid w:val="009D3462"/>
    <w:rsid w:val="009D452D"/>
    <w:rsid w:val="009D55C6"/>
    <w:rsid w:val="009D5D09"/>
    <w:rsid w:val="009D64DE"/>
    <w:rsid w:val="009D71D6"/>
    <w:rsid w:val="009D7244"/>
    <w:rsid w:val="009E05E1"/>
    <w:rsid w:val="009E0DEB"/>
    <w:rsid w:val="009E16FF"/>
    <w:rsid w:val="009E1B5D"/>
    <w:rsid w:val="009E1EE0"/>
    <w:rsid w:val="009E290B"/>
    <w:rsid w:val="009E2EBC"/>
    <w:rsid w:val="009E348A"/>
    <w:rsid w:val="009E35B8"/>
    <w:rsid w:val="009E3EA5"/>
    <w:rsid w:val="009E3EB9"/>
    <w:rsid w:val="009E3FF2"/>
    <w:rsid w:val="009E40E0"/>
    <w:rsid w:val="009E485A"/>
    <w:rsid w:val="009E4E90"/>
    <w:rsid w:val="009E4F16"/>
    <w:rsid w:val="009E4FC7"/>
    <w:rsid w:val="009E51A4"/>
    <w:rsid w:val="009E52DC"/>
    <w:rsid w:val="009E557D"/>
    <w:rsid w:val="009E590B"/>
    <w:rsid w:val="009E5D39"/>
    <w:rsid w:val="009E5DD8"/>
    <w:rsid w:val="009E60D3"/>
    <w:rsid w:val="009E63F7"/>
    <w:rsid w:val="009E665A"/>
    <w:rsid w:val="009E66EE"/>
    <w:rsid w:val="009E6B59"/>
    <w:rsid w:val="009E7228"/>
    <w:rsid w:val="009E72AE"/>
    <w:rsid w:val="009E7BF2"/>
    <w:rsid w:val="009F0200"/>
    <w:rsid w:val="009F08AC"/>
    <w:rsid w:val="009F0CD4"/>
    <w:rsid w:val="009F144C"/>
    <w:rsid w:val="009F2DBE"/>
    <w:rsid w:val="009F3294"/>
    <w:rsid w:val="009F3386"/>
    <w:rsid w:val="009F3859"/>
    <w:rsid w:val="009F3DEB"/>
    <w:rsid w:val="009F4723"/>
    <w:rsid w:val="009F513A"/>
    <w:rsid w:val="009F56C0"/>
    <w:rsid w:val="009F5A9A"/>
    <w:rsid w:val="009F5C40"/>
    <w:rsid w:val="009F690F"/>
    <w:rsid w:val="009F706E"/>
    <w:rsid w:val="009F70EA"/>
    <w:rsid w:val="009F7603"/>
    <w:rsid w:val="009F7800"/>
    <w:rsid w:val="009F7D07"/>
    <w:rsid w:val="009F7F0D"/>
    <w:rsid w:val="00A002F4"/>
    <w:rsid w:val="00A02B3B"/>
    <w:rsid w:val="00A03364"/>
    <w:rsid w:val="00A034AE"/>
    <w:rsid w:val="00A03A79"/>
    <w:rsid w:val="00A03A7B"/>
    <w:rsid w:val="00A03AA1"/>
    <w:rsid w:val="00A03FB0"/>
    <w:rsid w:val="00A0437F"/>
    <w:rsid w:val="00A0480F"/>
    <w:rsid w:val="00A048D7"/>
    <w:rsid w:val="00A04B01"/>
    <w:rsid w:val="00A052BC"/>
    <w:rsid w:val="00A055A4"/>
    <w:rsid w:val="00A057CF"/>
    <w:rsid w:val="00A058E9"/>
    <w:rsid w:val="00A065F7"/>
    <w:rsid w:val="00A068AC"/>
    <w:rsid w:val="00A06FDC"/>
    <w:rsid w:val="00A07658"/>
    <w:rsid w:val="00A078FE"/>
    <w:rsid w:val="00A07969"/>
    <w:rsid w:val="00A101FE"/>
    <w:rsid w:val="00A10223"/>
    <w:rsid w:val="00A10515"/>
    <w:rsid w:val="00A107AB"/>
    <w:rsid w:val="00A10AC0"/>
    <w:rsid w:val="00A10C71"/>
    <w:rsid w:val="00A11F4F"/>
    <w:rsid w:val="00A12FD3"/>
    <w:rsid w:val="00A13014"/>
    <w:rsid w:val="00A13CA3"/>
    <w:rsid w:val="00A14A07"/>
    <w:rsid w:val="00A1594E"/>
    <w:rsid w:val="00A15B14"/>
    <w:rsid w:val="00A161B5"/>
    <w:rsid w:val="00A17012"/>
    <w:rsid w:val="00A20245"/>
    <w:rsid w:val="00A2147C"/>
    <w:rsid w:val="00A21762"/>
    <w:rsid w:val="00A21B70"/>
    <w:rsid w:val="00A21DBB"/>
    <w:rsid w:val="00A220A3"/>
    <w:rsid w:val="00A220B0"/>
    <w:rsid w:val="00A22103"/>
    <w:rsid w:val="00A2288A"/>
    <w:rsid w:val="00A22CD5"/>
    <w:rsid w:val="00A22F6F"/>
    <w:rsid w:val="00A23A23"/>
    <w:rsid w:val="00A23B96"/>
    <w:rsid w:val="00A23ECC"/>
    <w:rsid w:val="00A24244"/>
    <w:rsid w:val="00A248C0"/>
    <w:rsid w:val="00A24D7E"/>
    <w:rsid w:val="00A257BC"/>
    <w:rsid w:val="00A26605"/>
    <w:rsid w:val="00A26E25"/>
    <w:rsid w:val="00A2707E"/>
    <w:rsid w:val="00A2721E"/>
    <w:rsid w:val="00A27674"/>
    <w:rsid w:val="00A3025C"/>
    <w:rsid w:val="00A303E9"/>
    <w:rsid w:val="00A31236"/>
    <w:rsid w:val="00A31B9A"/>
    <w:rsid w:val="00A32755"/>
    <w:rsid w:val="00A32AE3"/>
    <w:rsid w:val="00A33841"/>
    <w:rsid w:val="00A33860"/>
    <w:rsid w:val="00A33C92"/>
    <w:rsid w:val="00A33D7B"/>
    <w:rsid w:val="00A33DD1"/>
    <w:rsid w:val="00A34996"/>
    <w:rsid w:val="00A34D1C"/>
    <w:rsid w:val="00A35F2B"/>
    <w:rsid w:val="00A360F9"/>
    <w:rsid w:val="00A3677F"/>
    <w:rsid w:val="00A367A3"/>
    <w:rsid w:val="00A370AE"/>
    <w:rsid w:val="00A377F4"/>
    <w:rsid w:val="00A37CF0"/>
    <w:rsid w:val="00A37D4D"/>
    <w:rsid w:val="00A402EB"/>
    <w:rsid w:val="00A403F1"/>
    <w:rsid w:val="00A41516"/>
    <w:rsid w:val="00A41A75"/>
    <w:rsid w:val="00A41F21"/>
    <w:rsid w:val="00A4245B"/>
    <w:rsid w:val="00A426A8"/>
    <w:rsid w:val="00A427BC"/>
    <w:rsid w:val="00A42890"/>
    <w:rsid w:val="00A42CDB"/>
    <w:rsid w:val="00A42F48"/>
    <w:rsid w:val="00A432C0"/>
    <w:rsid w:val="00A436E9"/>
    <w:rsid w:val="00A437CF"/>
    <w:rsid w:val="00A4443C"/>
    <w:rsid w:val="00A4507C"/>
    <w:rsid w:val="00A45190"/>
    <w:rsid w:val="00A4536F"/>
    <w:rsid w:val="00A456E5"/>
    <w:rsid w:val="00A45AF6"/>
    <w:rsid w:val="00A46077"/>
    <w:rsid w:val="00A46F9D"/>
    <w:rsid w:val="00A4789F"/>
    <w:rsid w:val="00A506E7"/>
    <w:rsid w:val="00A50A51"/>
    <w:rsid w:val="00A50FFB"/>
    <w:rsid w:val="00A5118E"/>
    <w:rsid w:val="00A515CA"/>
    <w:rsid w:val="00A51957"/>
    <w:rsid w:val="00A5242F"/>
    <w:rsid w:val="00A525CC"/>
    <w:rsid w:val="00A529FD"/>
    <w:rsid w:val="00A52D98"/>
    <w:rsid w:val="00A53B40"/>
    <w:rsid w:val="00A53ECC"/>
    <w:rsid w:val="00A54245"/>
    <w:rsid w:val="00A54919"/>
    <w:rsid w:val="00A54C87"/>
    <w:rsid w:val="00A5547D"/>
    <w:rsid w:val="00A55C08"/>
    <w:rsid w:val="00A56267"/>
    <w:rsid w:val="00A60896"/>
    <w:rsid w:val="00A60A05"/>
    <w:rsid w:val="00A60AB5"/>
    <w:rsid w:val="00A61E4B"/>
    <w:rsid w:val="00A620A1"/>
    <w:rsid w:val="00A620C2"/>
    <w:rsid w:val="00A6219B"/>
    <w:rsid w:val="00A624D1"/>
    <w:rsid w:val="00A62FB0"/>
    <w:rsid w:val="00A6431D"/>
    <w:rsid w:val="00A64FA5"/>
    <w:rsid w:val="00A654A8"/>
    <w:rsid w:val="00A65BCB"/>
    <w:rsid w:val="00A65DC8"/>
    <w:rsid w:val="00A66258"/>
    <w:rsid w:val="00A66654"/>
    <w:rsid w:val="00A67DBF"/>
    <w:rsid w:val="00A67E04"/>
    <w:rsid w:val="00A700ED"/>
    <w:rsid w:val="00A7016B"/>
    <w:rsid w:val="00A71100"/>
    <w:rsid w:val="00A71451"/>
    <w:rsid w:val="00A71A28"/>
    <w:rsid w:val="00A72243"/>
    <w:rsid w:val="00A72785"/>
    <w:rsid w:val="00A72993"/>
    <w:rsid w:val="00A73187"/>
    <w:rsid w:val="00A73794"/>
    <w:rsid w:val="00A7501D"/>
    <w:rsid w:val="00A7516B"/>
    <w:rsid w:val="00A77224"/>
    <w:rsid w:val="00A775DB"/>
    <w:rsid w:val="00A777C1"/>
    <w:rsid w:val="00A802A1"/>
    <w:rsid w:val="00A806BD"/>
    <w:rsid w:val="00A82190"/>
    <w:rsid w:val="00A82C17"/>
    <w:rsid w:val="00A848E1"/>
    <w:rsid w:val="00A85898"/>
    <w:rsid w:val="00A87A3D"/>
    <w:rsid w:val="00A87B95"/>
    <w:rsid w:val="00A90F5E"/>
    <w:rsid w:val="00A91E36"/>
    <w:rsid w:val="00A920FB"/>
    <w:rsid w:val="00A92139"/>
    <w:rsid w:val="00A9310F"/>
    <w:rsid w:val="00A93EB7"/>
    <w:rsid w:val="00A94557"/>
    <w:rsid w:val="00A947B9"/>
    <w:rsid w:val="00A950F3"/>
    <w:rsid w:val="00A95DF2"/>
    <w:rsid w:val="00A96C8E"/>
    <w:rsid w:val="00A96E42"/>
    <w:rsid w:val="00A97BF6"/>
    <w:rsid w:val="00A97F1C"/>
    <w:rsid w:val="00AA0152"/>
    <w:rsid w:val="00AA0BA1"/>
    <w:rsid w:val="00AA148F"/>
    <w:rsid w:val="00AA261A"/>
    <w:rsid w:val="00AA2732"/>
    <w:rsid w:val="00AA2B90"/>
    <w:rsid w:val="00AA2DF7"/>
    <w:rsid w:val="00AA49CA"/>
    <w:rsid w:val="00AA5220"/>
    <w:rsid w:val="00AA5697"/>
    <w:rsid w:val="00AA59E2"/>
    <w:rsid w:val="00AA5C3E"/>
    <w:rsid w:val="00AA5D93"/>
    <w:rsid w:val="00AA6018"/>
    <w:rsid w:val="00AA6295"/>
    <w:rsid w:val="00AA70DF"/>
    <w:rsid w:val="00AA77E4"/>
    <w:rsid w:val="00AB012E"/>
    <w:rsid w:val="00AB042D"/>
    <w:rsid w:val="00AB04A9"/>
    <w:rsid w:val="00AB1163"/>
    <w:rsid w:val="00AB2210"/>
    <w:rsid w:val="00AB394D"/>
    <w:rsid w:val="00AB3F00"/>
    <w:rsid w:val="00AB418D"/>
    <w:rsid w:val="00AB4589"/>
    <w:rsid w:val="00AB5271"/>
    <w:rsid w:val="00AB5D63"/>
    <w:rsid w:val="00AB5ECB"/>
    <w:rsid w:val="00AB5F89"/>
    <w:rsid w:val="00AB677B"/>
    <w:rsid w:val="00AB7528"/>
    <w:rsid w:val="00AB75DE"/>
    <w:rsid w:val="00AC0ED4"/>
    <w:rsid w:val="00AC144E"/>
    <w:rsid w:val="00AC1F39"/>
    <w:rsid w:val="00AC2AA5"/>
    <w:rsid w:val="00AC2F2F"/>
    <w:rsid w:val="00AC3313"/>
    <w:rsid w:val="00AC4990"/>
    <w:rsid w:val="00AC5A80"/>
    <w:rsid w:val="00AC640A"/>
    <w:rsid w:val="00AC64F1"/>
    <w:rsid w:val="00AC6C4A"/>
    <w:rsid w:val="00AC6CDA"/>
    <w:rsid w:val="00AC7153"/>
    <w:rsid w:val="00AC7C6F"/>
    <w:rsid w:val="00AD01FD"/>
    <w:rsid w:val="00AD244B"/>
    <w:rsid w:val="00AD2B27"/>
    <w:rsid w:val="00AD3473"/>
    <w:rsid w:val="00AD3798"/>
    <w:rsid w:val="00AD4BB3"/>
    <w:rsid w:val="00AD4C67"/>
    <w:rsid w:val="00AD59E3"/>
    <w:rsid w:val="00AD5D55"/>
    <w:rsid w:val="00AD62E1"/>
    <w:rsid w:val="00AD6853"/>
    <w:rsid w:val="00AD6B12"/>
    <w:rsid w:val="00AD6C6E"/>
    <w:rsid w:val="00AD6CC3"/>
    <w:rsid w:val="00AD6E96"/>
    <w:rsid w:val="00AD7B54"/>
    <w:rsid w:val="00AE09F8"/>
    <w:rsid w:val="00AE0D1F"/>
    <w:rsid w:val="00AE0F18"/>
    <w:rsid w:val="00AE1352"/>
    <w:rsid w:val="00AE1A1D"/>
    <w:rsid w:val="00AE1A83"/>
    <w:rsid w:val="00AE1B12"/>
    <w:rsid w:val="00AE23FE"/>
    <w:rsid w:val="00AE2BBA"/>
    <w:rsid w:val="00AE2F5A"/>
    <w:rsid w:val="00AE3E5C"/>
    <w:rsid w:val="00AE486D"/>
    <w:rsid w:val="00AE56E0"/>
    <w:rsid w:val="00AE5F86"/>
    <w:rsid w:val="00AE62F1"/>
    <w:rsid w:val="00AE65E0"/>
    <w:rsid w:val="00AF000C"/>
    <w:rsid w:val="00AF0428"/>
    <w:rsid w:val="00AF04BB"/>
    <w:rsid w:val="00AF1257"/>
    <w:rsid w:val="00AF1426"/>
    <w:rsid w:val="00AF1516"/>
    <w:rsid w:val="00AF1B31"/>
    <w:rsid w:val="00AF2D82"/>
    <w:rsid w:val="00AF3048"/>
    <w:rsid w:val="00AF35AE"/>
    <w:rsid w:val="00AF3658"/>
    <w:rsid w:val="00AF3BCF"/>
    <w:rsid w:val="00AF3BD0"/>
    <w:rsid w:val="00AF4359"/>
    <w:rsid w:val="00AF45CC"/>
    <w:rsid w:val="00AF4853"/>
    <w:rsid w:val="00AF5552"/>
    <w:rsid w:val="00AF601B"/>
    <w:rsid w:val="00AF62EB"/>
    <w:rsid w:val="00AF645C"/>
    <w:rsid w:val="00AF661B"/>
    <w:rsid w:val="00AF6D72"/>
    <w:rsid w:val="00B003F9"/>
    <w:rsid w:val="00B010E7"/>
    <w:rsid w:val="00B013EB"/>
    <w:rsid w:val="00B0147A"/>
    <w:rsid w:val="00B01727"/>
    <w:rsid w:val="00B01753"/>
    <w:rsid w:val="00B01BF4"/>
    <w:rsid w:val="00B0226F"/>
    <w:rsid w:val="00B02E23"/>
    <w:rsid w:val="00B0350D"/>
    <w:rsid w:val="00B03FA1"/>
    <w:rsid w:val="00B044D7"/>
    <w:rsid w:val="00B04AA3"/>
    <w:rsid w:val="00B04DBA"/>
    <w:rsid w:val="00B05823"/>
    <w:rsid w:val="00B06FB4"/>
    <w:rsid w:val="00B078CC"/>
    <w:rsid w:val="00B07E00"/>
    <w:rsid w:val="00B10879"/>
    <w:rsid w:val="00B11246"/>
    <w:rsid w:val="00B12DD4"/>
    <w:rsid w:val="00B137A1"/>
    <w:rsid w:val="00B139F1"/>
    <w:rsid w:val="00B14102"/>
    <w:rsid w:val="00B145A4"/>
    <w:rsid w:val="00B14683"/>
    <w:rsid w:val="00B14B12"/>
    <w:rsid w:val="00B14B5F"/>
    <w:rsid w:val="00B1564F"/>
    <w:rsid w:val="00B15D2F"/>
    <w:rsid w:val="00B1612C"/>
    <w:rsid w:val="00B174C5"/>
    <w:rsid w:val="00B202F5"/>
    <w:rsid w:val="00B206A7"/>
    <w:rsid w:val="00B20CE9"/>
    <w:rsid w:val="00B21051"/>
    <w:rsid w:val="00B211A5"/>
    <w:rsid w:val="00B21944"/>
    <w:rsid w:val="00B21FDE"/>
    <w:rsid w:val="00B22AF8"/>
    <w:rsid w:val="00B232B7"/>
    <w:rsid w:val="00B23C38"/>
    <w:rsid w:val="00B23E9F"/>
    <w:rsid w:val="00B24264"/>
    <w:rsid w:val="00B24373"/>
    <w:rsid w:val="00B243F5"/>
    <w:rsid w:val="00B24555"/>
    <w:rsid w:val="00B2458F"/>
    <w:rsid w:val="00B24EF9"/>
    <w:rsid w:val="00B25A69"/>
    <w:rsid w:val="00B2658A"/>
    <w:rsid w:val="00B26E18"/>
    <w:rsid w:val="00B278E3"/>
    <w:rsid w:val="00B27D4E"/>
    <w:rsid w:val="00B309AE"/>
    <w:rsid w:val="00B31285"/>
    <w:rsid w:val="00B313AA"/>
    <w:rsid w:val="00B31F6B"/>
    <w:rsid w:val="00B320DE"/>
    <w:rsid w:val="00B32BD9"/>
    <w:rsid w:val="00B340F6"/>
    <w:rsid w:val="00B34B44"/>
    <w:rsid w:val="00B352B2"/>
    <w:rsid w:val="00B357B1"/>
    <w:rsid w:val="00B35840"/>
    <w:rsid w:val="00B35957"/>
    <w:rsid w:val="00B35EFA"/>
    <w:rsid w:val="00B36046"/>
    <w:rsid w:val="00B3650C"/>
    <w:rsid w:val="00B369B4"/>
    <w:rsid w:val="00B3742E"/>
    <w:rsid w:val="00B37AF1"/>
    <w:rsid w:val="00B37F0A"/>
    <w:rsid w:val="00B40E6D"/>
    <w:rsid w:val="00B41537"/>
    <w:rsid w:val="00B41ABA"/>
    <w:rsid w:val="00B42063"/>
    <w:rsid w:val="00B4220E"/>
    <w:rsid w:val="00B42580"/>
    <w:rsid w:val="00B427BD"/>
    <w:rsid w:val="00B43340"/>
    <w:rsid w:val="00B43529"/>
    <w:rsid w:val="00B439D1"/>
    <w:rsid w:val="00B4455C"/>
    <w:rsid w:val="00B44A3F"/>
    <w:rsid w:val="00B44FFB"/>
    <w:rsid w:val="00B4501D"/>
    <w:rsid w:val="00B4558C"/>
    <w:rsid w:val="00B459C7"/>
    <w:rsid w:val="00B45B6D"/>
    <w:rsid w:val="00B45CE1"/>
    <w:rsid w:val="00B45EFC"/>
    <w:rsid w:val="00B462F8"/>
    <w:rsid w:val="00B46DB0"/>
    <w:rsid w:val="00B46DB4"/>
    <w:rsid w:val="00B4709C"/>
    <w:rsid w:val="00B47112"/>
    <w:rsid w:val="00B47A69"/>
    <w:rsid w:val="00B5071C"/>
    <w:rsid w:val="00B50923"/>
    <w:rsid w:val="00B50ACD"/>
    <w:rsid w:val="00B51B8A"/>
    <w:rsid w:val="00B53203"/>
    <w:rsid w:val="00B53239"/>
    <w:rsid w:val="00B53489"/>
    <w:rsid w:val="00B534E6"/>
    <w:rsid w:val="00B536F8"/>
    <w:rsid w:val="00B53A11"/>
    <w:rsid w:val="00B5402C"/>
    <w:rsid w:val="00B5472A"/>
    <w:rsid w:val="00B55001"/>
    <w:rsid w:val="00B552E6"/>
    <w:rsid w:val="00B555FE"/>
    <w:rsid w:val="00B55782"/>
    <w:rsid w:val="00B55D24"/>
    <w:rsid w:val="00B55DAE"/>
    <w:rsid w:val="00B562BB"/>
    <w:rsid w:val="00B566A2"/>
    <w:rsid w:val="00B57009"/>
    <w:rsid w:val="00B571FB"/>
    <w:rsid w:val="00B57F1C"/>
    <w:rsid w:val="00B57F43"/>
    <w:rsid w:val="00B606E4"/>
    <w:rsid w:val="00B60AAE"/>
    <w:rsid w:val="00B611F3"/>
    <w:rsid w:val="00B61F72"/>
    <w:rsid w:val="00B62531"/>
    <w:rsid w:val="00B62A61"/>
    <w:rsid w:val="00B62B32"/>
    <w:rsid w:val="00B63CF2"/>
    <w:rsid w:val="00B63E8A"/>
    <w:rsid w:val="00B64277"/>
    <w:rsid w:val="00B642D8"/>
    <w:rsid w:val="00B64466"/>
    <w:rsid w:val="00B64879"/>
    <w:rsid w:val="00B653BE"/>
    <w:rsid w:val="00B658EA"/>
    <w:rsid w:val="00B66661"/>
    <w:rsid w:val="00B66F55"/>
    <w:rsid w:val="00B66FCC"/>
    <w:rsid w:val="00B6703D"/>
    <w:rsid w:val="00B670CF"/>
    <w:rsid w:val="00B67286"/>
    <w:rsid w:val="00B71222"/>
    <w:rsid w:val="00B7153D"/>
    <w:rsid w:val="00B7157A"/>
    <w:rsid w:val="00B71940"/>
    <w:rsid w:val="00B72BC6"/>
    <w:rsid w:val="00B72C5B"/>
    <w:rsid w:val="00B730ED"/>
    <w:rsid w:val="00B73857"/>
    <w:rsid w:val="00B743AC"/>
    <w:rsid w:val="00B749A9"/>
    <w:rsid w:val="00B74B19"/>
    <w:rsid w:val="00B74CD9"/>
    <w:rsid w:val="00B74F19"/>
    <w:rsid w:val="00B7601C"/>
    <w:rsid w:val="00B76556"/>
    <w:rsid w:val="00B76760"/>
    <w:rsid w:val="00B76DF6"/>
    <w:rsid w:val="00B776F6"/>
    <w:rsid w:val="00B77814"/>
    <w:rsid w:val="00B7790C"/>
    <w:rsid w:val="00B77FCD"/>
    <w:rsid w:val="00B802BA"/>
    <w:rsid w:val="00B804A4"/>
    <w:rsid w:val="00B82454"/>
    <w:rsid w:val="00B82910"/>
    <w:rsid w:val="00B82BEE"/>
    <w:rsid w:val="00B8336D"/>
    <w:rsid w:val="00B8339F"/>
    <w:rsid w:val="00B83A15"/>
    <w:rsid w:val="00B83EC7"/>
    <w:rsid w:val="00B841E1"/>
    <w:rsid w:val="00B8441F"/>
    <w:rsid w:val="00B84508"/>
    <w:rsid w:val="00B84F6B"/>
    <w:rsid w:val="00B85795"/>
    <w:rsid w:val="00B85B17"/>
    <w:rsid w:val="00B86049"/>
    <w:rsid w:val="00B86C96"/>
    <w:rsid w:val="00B86DF9"/>
    <w:rsid w:val="00B91060"/>
    <w:rsid w:val="00B92909"/>
    <w:rsid w:val="00B92C4D"/>
    <w:rsid w:val="00B92DCF"/>
    <w:rsid w:val="00B92EFC"/>
    <w:rsid w:val="00B934EB"/>
    <w:rsid w:val="00B936F5"/>
    <w:rsid w:val="00B93E62"/>
    <w:rsid w:val="00B94254"/>
    <w:rsid w:val="00B94783"/>
    <w:rsid w:val="00B94BF0"/>
    <w:rsid w:val="00B94BF2"/>
    <w:rsid w:val="00B94DAB"/>
    <w:rsid w:val="00B94F76"/>
    <w:rsid w:val="00B954AF"/>
    <w:rsid w:val="00B959A7"/>
    <w:rsid w:val="00B95FCC"/>
    <w:rsid w:val="00B967B3"/>
    <w:rsid w:val="00B96C53"/>
    <w:rsid w:val="00B9737F"/>
    <w:rsid w:val="00B97C2A"/>
    <w:rsid w:val="00BA0BB4"/>
    <w:rsid w:val="00BA11AD"/>
    <w:rsid w:val="00BA1717"/>
    <w:rsid w:val="00BA1D5E"/>
    <w:rsid w:val="00BA25E6"/>
    <w:rsid w:val="00BA2950"/>
    <w:rsid w:val="00BA2D75"/>
    <w:rsid w:val="00BA3612"/>
    <w:rsid w:val="00BA3BA9"/>
    <w:rsid w:val="00BA3D3E"/>
    <w:rsid w:val="00BA4DA2"/>
    <w:rsid w:val="00BA4ED4"/>
    <w:rsid w:val="00BA7229"/>
    <w:rsid w:val="00BA7341"/>
    <w:rsid w:val="00BA7CEB"/>
    <w:rsid w:val="00BA7D49"/>
    <w:rsid w:val="00BA7FC5"/>
    <w:rsid w:val="00BB010B"/>
    <w:rsid w:val="00BB012E"/>
    <w:rsid w:val="00BB06AE"/>
    <w:rsid w:val="00BB0F38"/>
    <w:rsid w:val="00BB1257"/>
    <w:rsid w:val="00BB15AD"/>
    <w:rsid w:val="00BB27E7"/>
    <w:rsid w:val="00BB2B2A"/>
    <w:rsid w:val="00BB3486"/>
    <w:rsid w:val="00BB3AC5"/>
    <w:rsid w:val="00BB3E05"/>
    <w:rsid w:val="00BB43BF"/>
    <w:rsid w:val="00BB4443"/>
    <w:rsid w:val="00BB44CB"/>
    <w:rsid w:val="00BB472E"/>
    <w:rsid w:val="00BB5D94"/>
    <w:rsid w:val="00BB6029"/>
    <w:rsid w:val="00BB60E1"/>
    <w:rsid w:val="00BB6F62"/>
    <w:rsid w:val="00BB7516"/>
    <w:rsid w:val="00BB7F26"/>
    <w:rsid w:val="00BC013A"/>
    <w:rsid w:val="00BC07B3"/>
    <w:rsid w:val="00BC0A4D"/>
    <w:rsid w:val="00BC0DAF"/>
    <w:rsid w:val="00BC1E74"/>
    <w:rsid w:val="00BC1EC7"/>
    <w:rsid w:val="00BC214C"/>
    <w:rsid w:val="00BC2539"/>
    <w:rsid w:val="00BC40D9"/>
    <w:rsid w:val="00BC4379"/>
    <w:rsid w:val="00BC5078"/>
    <w:rsid w:val="00BC522E"/>
    <w:rsid w:val="00BC571F"/>
    <w:rsid w:val="00BC5E0E"/>
    <w:rsid w:val="00BC6A39"/>
    <w:rsid w:val="00BC6E69"/>
    <w:rsid w:val="00BC7F5A"/>
    <w:rsid w:val="00BD00E7"/>
    <w:rsid w:val="00BD00FF"/>
    <w:rsid w:val="00BD0489"/>
    <w:rsid w:val="00BD10FF"/>
    <w:rsid w:val="00BD3710"/>
    <w:rsid w:val="00BD3C7D"/>
    <w:rsid w:val="00BD4083"/>
    <w:rsid w:val="00BD586E"/>
    <w:rsid w:val="00BD6D8F"/>
    <w:rsid w:val="00BD6E00"/>
    <w:rsid w:val="00BE00A3"/>
    <w:rsid w:val="00BE00D0"/>
    <w:rsid w:val="00BE00E6"/>
    <w:rsid w:val="00BE06BF"/>
    <w:rsid w:val="00BE0EFE"/>
    <w:rsid w:val="00BE1ADB"/>
    <w:rsid w:val="00BE1B34"/>
    <w:rsid w:val="00BE201D"/>
    <w:rsid w:val="00BE2A67"/>
    <w:rsid w:val="00BE3EC8"/>
    <w:rsid w:val="00BE4626"/>
    <w:rsid w:val="00BE4A4A"/>
    <w:rsid w:val="00BE4C2C"/>
    <w:rsid w:val="00BE53E0"/>
    <w:rsid w:val="00BE5671"/>
    <w:rsid w:val="00BE57CE"/>
    <w:rsid w:val="00BE6399"/>
    <w:rsid w:val="00BE665F"/>
    <w:rsid w:val="00BE7021"/>
    <w:rsid w:val="00BE7445"/>
    <w:rsid w:val="00BE7A19"/>
    <w:rsid w:val="00BE7A62"/>
    <w:rsid w:val="00BE7AEF"/>
    <w:rsid w:val="00BF0121"/>
    <w:rsid w:val="00BF03A5"/>
    <w:rsid w:val="00BF1811"/>
    <w:rsid w:val="00BF181D"/>
    <w:rsid w:val="00BF1CAC"/>
    <w:rsid w:val="00BF2AC0"/>
    <w:rsid w:val="00BF360B"/>
    <w:rsid w:val="00BF36D8"/>
    <w:rsid w:val="00BF3EC5"/>
    <w:rsid w:val="00BF403E"/>
    <w:rsid w:val="00BF48D3"/>
    <w:rsid w:val="00BF4E5A"/>
    <w:rsid w:val="00BF4FD2"/>
    <w:rsid w:val="00BF5FF6"/>
    <w:rsid w:val="00BF6476"/>
    <w:rsid w:val="00BF7529"/>
    <w:rsid w:val="00BF7596"/>
    <w:rsid w:val="00BF791E"/>
    <w:rsid w:val="00BF7D22"/>
    <w:rsid w:val="00BF7DF7"/>
    <w:rsid w:val="00BF7F8A"/>
    <w:rsid w:val="00C000BB"/>
    <w:rsid w:val="00C006F8"/>
    <w:rsid w:val="00C009C7"/>
    <w:rsid w:val="00C010AF"/>
    <w:rsid w:val="00C012CC"/>
    <w:rsid w:val="00C01B2C"/>
    <w:rsid w:val="00C01B5A"/>
    <w:rsid w:val="00C01C20"/>
    <w:rsid w:val="00C01F80"/>
    <w:rsid w:val="00C0217B"/>
    <w:rsid w:val="00C02AD8"/>
    <w:rsid w:val="00C03779"/>
    <w:rsid w:val="00C037CC"/>
    <w:rsid w:val="00C047B3"/>
    <w:rsid w:val="00C05264"/>
    <w:rsid w:val="00C06530"/>
    <w:rsid w:val="00C069F6"/>
    <w:rsid w:val="00C06A3E"/>
    <w:rsid w:val="00C06E7D"/>
    <w:rsid w:val="00C0738E"/>
    <w:rsid w:val="00C07AFC"/>
    <w:rsid w:val="00C07BDA"/>
    <w:rsid w:val="00C07E6C"/>
    <w:rsid w:val="00C07E6D"/>
    <w:rsid w:val="00C10A1F"/>
    <w:rsid w:val="00C110C1"/>
    <w:rsid w:val="00C11D2F"/>
    <w:rsid w:val="00C127B6"/>
    <w:rsid w:val="00C12BF5"/>
    <w:rsid w:val="00C12D8A"/>
    <w:rsid w:val="00C12FC2"/>
    <w:rsid w:val="00C141AF"/>
    <w:rsid w:val="00C1554C"/>
    <w:rsid w:val="00C15944"/>
    <w:rsid w:val="00C166E0"/>
    <w:rsid w:val="00C1677B"/>
    <w:rsid w:val="00C16C25"/>
    <w:rsid w:val="00C17548"/>
    <w:rsid w:val="00C17888"/>
    <w:rsid w:val="00C17941"/>
    <w:rsid w:val="00C202C6"/>
    <w:rsid w:val="00C21623"/>
    <w:rsid w:val="00C22275"/>
    <w:rsid w:val="00C2282E"/>
    <w:rsid w:val="00C229ED"/>
    <w:rsid w:val="00C22A80"/>
    <w:rsid w:val="00C247C7"/>
    <w:rsid w:val="00C2506F"/>
    <w:rsid w:val="00C25944"/>
    <w:rsid w:val="00C25EB1"/>
    <w:rsid w:val="00C26484"/>
    <w:rsid w:val="00C268E6"/>
    <w:rsid w:val="00C26B28"/>
    <w:rsid w:val="00C27083"/>
    <w:rsid w:val="00C271F5"/>
    <w:rsid w:val="00C30694"/>
    <w:rsid w:val="00C30745"/>
    <w:rsid w:val="00C309C9"/>
    <w:rsid w:val="00C30EC8"/>
    <w:rsid w:val="00C312B3"/>
    <w:rsid w:val="00C319DF"/>
    <w:rsid w:val="00C3267A"/>
    <w:rsid w:val="00C33013"/>
    <w:rsid w:val="00C33C4A"/>
    <w:rsid w:val="00C33E1B"/>
    <w:rsid w:val="00C34030"/>
    <w:rsid w:val="00C3485C"/>
    <w:rsid w:val="00C34C64"/>
    <w:rsid w:val="00C34F6E"/>
    <w:rsid w:val="00C35249"/>
    <w:rsid w:val="00C36251"/>
    <w:rsid w:val="00C362CE"/>
    <w:rsid w:val="00C37DCE"/>
    <w:rsid w:val="00C4090A"/>
    <w:rsid w:val="00C40982"/>
    <w:rsid w:val="00C40C8A"/>
    <w:rsid w:val="00C41BFD"/>
    <w:rsid w:val="00C41D3D"/>
    <w:rsid w:val="00C42C8D"/>
    <w:rsid w:val="00C43511"/>
    <w:rsid w:val="00C4382D"/>
    <w:rsid w:val="00C43BC7"/>
    <w:rsid w:val="00C43F2F"/>
    <w:rsid w:val="00C44A14"/>
    <w:rsid w:val="00C44D28"/>
    <w:rsid w:val="00C4549D"/>
    <w:rsid w:val="00C46099"/>
    <w:rsid w:val="00C46B77"/>
    <w:rsid w:val="00C4711D"/>
    <w:rsid w:val="00C479A1"/>
    <w:rsid w:val="00C501B3"/>
    <w:rsid w:val="00C506E2"/>
    <w:rsid w:val="00C50834"/>
    <w:rsid w:val="00C5162E"/>
    <w:rsid w:val="00C51C2E"/>
    <w:rsid w:val="00C51DF6"/>
    <w:rsid w:val="00C529DC"/>
    <w:rsid w:val="00C52C9D"/>
    <w:rsid w:val="00C53014"/>
    <w:rsid w:val="00C5312A"/>
    <w:rsid w:val="00C5388F"/>
    <w:rsid w:val="00C544D5"/>
    <w:rsid w:val="00C5574B"/>
    <w:rsid w:val="00C56312"/>
    <w:rsid w:val="00C56515"/>
    <w:rsid w:val="00C5700D"/>
    <w:rsid w:val="00C57AA9"/>
    <w:rsid w:val="00C57F85"/>
    <w:rsid w:val="00C60F83"/>
    <w:rsid w:val="00C61BC8"/>
    <w:rsid w:val="00C6233D"/>
    <w:rsid w:val="00C6258D"/>
    <w:rsid w:val="00C62A78"/>
    <w:rsid w:val="00C62CC4"/>
    <w:rsid w:val="00C62DAB"/>
    <w:rsid w:val="00C63D28"/>
    <w:rsid w:val="00C64248"/>
    <w:rsid w:val="00C64E64"/>
    <w:rsid w:val="00C65488"/>
    <w:rsid w:val="00C65B86"/>
    <w:rsid w:val="00C66830"/>
    <w:rsid w:val="00C66AD5"/>
    <w:rsid w:val="00C66CA4"/>
    <w:rsid w:val="00C67BDE"/>
    <w:rsid w:val="00C67CD4"/>
    <w:rsid w:val="00C67F36"/>
    <w:rsid w:val="00C704D5"/>
    <w:rsid w:val="00C70AA0"/>
    <w:rsid w:val="00C70B5D"/>
    <w:rsid w:val="00C7144C"/>
    <w:rsid w:val="00C71759"/>
    <w:rsid w:val="00C7273C"/>
    <w:rsid w:val="00C73324"/>
    <w:rsid w:val="00C74334"/>
    <w:rsid w:val="00C74422"/>
    <w:rsid w:val="00C74767"/>
    <w:rsid w:val="00C75243"/>
    <w:rsid w:val="00C753E2"/>
    <w:rsid w:val="00C763DB"/>
    <w:rsid w:val="00C7653E"/>
    <w:rsid w:val="00C76AF7"/>
    <w:rsid w:val="00C76C6F"/>
    <w:rsid w:val="00C77A1E"/>
    <w:rsid w:val="00C804EE"/>
    <w:rsid w:val="00C80587"/>
    <w:rsid w:val="00C80627"/>
    <w:rsid w:val="00C808B9"/>
    <w:rsid w:val="00C80E7E"/>
    <w:rsid w:val="00C80EC8"/>
    <w:rsid w:val="00C817EC"/>
    <w:rsid w:val="00C81B5F"/>
    <w:rsid w:val="00C81C06"/>
    <w:rsid w:val="00C81E4A"/>
    <w:rsid w:val="00C82057"/>
    <w:rsid w:val="00C82B63"/>
    <w:rsid w:val="00C82F34"/>
    <w:rsid w:val="00C82F70"/>
    <w:rsid w:val="00C834AD"/>
    <w:rsid w:val="00C83A56"/>
    <w:rsid w:val="00C83CDC"/>
    <w:rsid w:val="00C83CEA"/>
    <w:rsid w:val="00C83CF2"/>
    <w:rsid w:val="00C84043"/>
    <w:rsid w:val="00C84494"/>
    <w:rsid w:val="00C8490E"/>
    <w:rsid w:val="00C84E32"/>
    <w:rsid w:val="00C85A9A"/>
    <w:rsid w:val="00C85D0D"/>
    <w:rsid w:val="00C86697"/>
    <w:rsid w:val="00C86CE0"/>
    <w:rsid w:val="00C8738B"/>
    <w:rsid w:val="00C87A45"/>
    <w:rsid w:val="00C90195"/>
    <w:rsid w:val="00C910A0"/>
    <w:rsid w:val="00C918EA"/>
    <w:rsid w:val="00C918FC"/>
    <w:rsid w:val="00C91AF5"/>
    <w:rsid w:val="00C91EF3"/>
    <w:rsid w:val="00C92096"/>
    <w:rsid w:val="00C925BE"/>
    <w:rsid w:val="00C926D5"/>
    <w:rsid w:val="00C929C0"/>
    <w:rsid w:val="00C93968"/>
    <w:rsid w:val="00C94A37"/>
    <w:rsid w:val="00C94ED9"/>
    <w:rsid w:val="00C95217"/>
    <w:rsid w:val="00C9557C"/>
    <w:rsid w:val="00C9558C"/>
    <w:rsid w:val="00C96BAE"/>
    <w:rsid w:val="00C97EBB"/>
    <w:rsid w:val="00CA0031"/>
    <w:rsid w:val="00CA0A66"/>
    <w:rsid w:val="00CA0C2D"/>
    <w:rsid w:val="00CA132A"/>
    <w:rsid w:val="00CA1CC0"/>
    <w:rsid w:val="00CA2062"/>
    <w:rsid w:val="00CA2409"/>
    <w:rsid w:val="00CA2FBE"/>
    <w:rsid w:val="00CA372C"/>
    <w:rsid w:val="00CA3B94"/>
    <w:rsid w:val="00CA3C24"/>
    <w:rsid w:val="00CA3F20"/>
    <w:rsid w:val="00CA447F"/>
    <w:rsid w:val="00CA46BE"/>
    <w:rsid w:val="00CA5BC4"/>
    <w:rsid w:val="00CA696A"/>
    <w:rsid w:val="00CA79DA"/>
    <w:rsid w:val="00CB026A"/>
    <w:rsid w:val="00CB0597"/>
    <w:rsid w:val="00CB0D81"/>
    <w:rsid w:val="00CB0F12"/>
    <w:rsid w:val="00CB101F"/>
    <w:rsid w:val="00CB1815"/>
    <w:rsid w:val="00CB1F44"/>
    <w:rsid w:val="00CB2190"/>
    <w:rsid w:val="00CB2274"/>
    <w:rsid w:val="00CB2490"/>
    <w:rsid w:val="00CB25FF"/>
    <w:rsid w:val="00CB28FE"/>
    <w:rsid w:val="00CB2992"/>
    <w:rsid w:val="00CB35BB"/>
    <w:rsid w:val="00CB4749"/>
    <w:rsid w:val="00CB4F5D"/>
    <w:rsid w:val="00CB50EA"/>
    <w:rsid w:val="00CB5BF9"/>
    <w:rsid w:val="00CB5D47"/>
    <w:rsid w:val="00CB6589"/>
    <w:rsid w:val="00CB7443"/>
    <w:rsid w:val="00CB794E"/>
    <w:rsid w:val="00CB7CD9"/>
    <w:rsid w:val="00CC011D"/>
    <w:rsid w:val="00CC0BB1"/>
    <w:rsid w:val="00CC0ECA"/>
    <w:rsid w:val="00CC2891"/>
    <w:rsid w:val="00CC2BF8"/>
    <w:rsid w:val="00CC2D19"/>
    <w:rsid w:val="00CC3384"/>
    <w:rsid w:val="00CC361D"/>
    <w:rsid w:val="00CC39C8"/>
    <w:rsid w:val="00CC41CA"/>
    <w:rsid w:val="00CC48A4"/>
    <w:rsid w:val="00CC48FC"/>
    <w:rsid w:val="00CC4DB4"/>
    <w:rsid w:val="00CC5028"/>
    <w:rsid w:val="00CC5476"/>
    <w:rsid w:val="00CC55F1"/>
    <w:rsid w:val="00CC5A9E"/>
    <w:rsid w:val="00CC5C14"/>
    <w:rsid w:val="00CC5D6F"/>
    <w:rsid w:val="00CC60F7"/>
    <w:rsid w:val="00CC6401"/>
    <w:rsid w:val="00CC6C9D"/>
    <w:rsid w:val="00CC7786"/>
    <w:rsid w:val="00CC7BE7"/>
    <w:rsid w:val="00CD1282"/>
    <w:rsid w:val="00CD2052"/>
    <w:rsid w:val="00CD20C8"/>
    <w:rsid w:val="00CD23C1"/>
    <w:rsid w:val="00CD2656"/>
    <w:rsid w:val="00CD32D0"/>
    <w:rsid w:val="00CD42DD"/>
    <w:rsid w:val="00CD43F9"/>
    <w:rsid w:val="00CD5424"/>
    <w:rsid w:val="00CD5AE0"/>
    <w:rsid w:val="00CD6509"/>
    <w:rsid w:val="00CD6DA7"/>
    <w:rsid w:val="00CD73DF"/>
    <w:rsid w:val="00CE07C6"/>
    <w:rsid w:val="00CE09AD"/>
    <w:rsid w:val="00CE1077"/>
    <w:rsid w:val="00CE1104"/>
    <w:rsid w:val="00CE153F"/>
    <w:rsid w:val="00CE3BF0"/>
    <w:rsid w:val="00CE4480"/>
    <w:rsid w:val="00CE471C"/>
    <w:rsid w:val="00CE5578"/>
    <w:rsid w:val="00CE5D33"/>
    <w:rsid w:val="00CE6C95"/>
    <w:rsid w:val="00CE6E54"/>
    <w:rsid w:val="00CE704F"/>
    <w:rsid w:val="00CE781A"/>
    <w:rsid w:val="00CE7835"/>
    <w:rsid w:val="00CF02D0"/>
    <w:rsid w:val="00CF0666"/>
    <w:rsid w:val="00CF07D8"/>
    <w:rsid w:val="00CF0B92"/>
    <w:rsid w:val="00CF0EEB"/>
    <w:rsid w:val="00CF1345"/>
    <w:rsid w:val="00CF13B1"/>
    <w:rsid w:val="00CF1BAB"/>
    <w:rsid w:val="00CF2506"/>
    <w:rsid w:val="00CF29FB"/>
    <w:rsid w:val="00CF2A8D"/>
    <w:rsid w:val="00CF3049"/>
    <w:rsid w:val="00CF3976"/>
    <w:rsid w:val="00CF3C02"/>
    <w:rsid w:val="00CF3F84"/>
    <w:rsid w:val="00CF4699"/>
    <w:rsid w:val="00CF47D9"/>
    <w:rsid w:val="00CF47F5"/>
    <w:rsid w:val="00CF48A7"/>
    <w:rsid w:val="00CF4D29"/>
    <w:rsid w:val="00CF5030"/>
    <w:rsid w:val="00CF5914"/>
    <w:rsid w:val="00CF5C9F"/>
    <w:rsid w:val="00CF6D72"/>
    <w:rsid w:val="00CF6E3B"/>
    <w:rsid w:val="00CF71AE"/>
    <w:rsid w:val="00CF7440"/>
    <w:rsid w:val="00CF7679"/>
    <w:rsid w:val="00D00AEE"/>
    <w:rsid w:val="00D015DC"/>
    <w:rsid w:val="00D01602"/>
    <w:rsid w:val="00D019BB"/>
    <w:rsid w:val="00D01A4B"/>
    <w:rsid w:val="00D01CC3"/>
    <w:rsid w:val="00D02629"/>
    <w:rsid w:val="00D029F6"/>
    <w:rsid w:val="00D031DB"/>
    <w:rsid w:val="00D037FF"/>
    <w:rsid w:val="00D03A84"/>
    <w:rsid w:val="00D041AF"/>
    <w:rsid w:val="00D043A9"/>
    <w:rsid w:val="00D04753"/>
    <w:rsid w:val="00D05304"/>
    <w:rsid w:val="00D0546C"/>
    <w:rsid w:val="00D06437"/>
    <w:rsid w:val="00D066D6"/>
    <w:rsid w:val="00D06B5D"/>
    <w:rsid w:val="00D06C7A"/>
    <w:rsid w:val="00D07A51"/>
    <w:rsid w:val="00D1049C"/>
    <w:rsid w:val="00D104E1"/>
    <w:rsid w:val="00D115C2"/>
    <w:rsid w:val="00D11664"/>
    <w:rsid w:val="00D1192B"/>
    <w:rsid w:val="00D11BB0"/>
    <w:rsid w:val="00D1217C"/>
    <w:rsid w:val="00D12BCF"/>
    <w:rsid w:val="00D12EFE"/>
    <w:rsid w:val="00D1396D"/>
    <w:rsid w:val="00D13B64"/>
    <w:rsid w:val="00D13C78"/>
    <w:rsid w:val="00D158A6"/>
    <w:rsid w:val="00D16753"/>
    <w:rsid w:val="00D16EAC"/>
    <w:rsid w:val="00D17389"/>
    <w:rsid w:val="00D21570"/>
    <w:rsid w:val="00D2176C"/>
    <w:rsid w:val="00D21BC3"/>
    <w:rsid w:val="00D21E91"/>
    <w:rsid w:val="00D224D0"/>
    <w:rsid w:val="00D22CBF"/>
    <w:rsid w:val="00D23EC8"/>
    <w:rsid w:val="00D2451D"/>
    <w:rsid w:val="00D24544"/>
    <w:rsid w:val="00D248DB"/>
    <w:rsid w:val="00D24CD6"/>
    <w:rsid w:val="00D24D26"/>
    <w:rsid w:val="00D27D9B"/>
    <w:rsid w:val="00D27EE6"/>
    <w:rsid w:val="00D3046B"/>
    <w:rsid w:val="00D30E82"/>
    <w:rsid w:val="00D31319"/>
    <w:rsid w:val="00D316B6"/>
    <w:rsid w:val="00D3183E"/>
    <w:rsid w:val="00D319A1"/>
    <w:rsid w:val="00D31BB7"/>
    <w:rsid w:val="00D32A4E"/>
    <w:rsid w:val="00D331EE"/>
    <w:rsid w:val="00D3362E"/>
    <w:rsid w:val="00D34015"/>
    <w:rsid w:val="00D351CB"/>
    <w:rsid w:val="00D3623F"/>
    <w:rsid w:val="00D37505"/>
    <w:rsid w:val="00D407E5"/>
    <w:rsid w:val="00D40A33"/>
    <w:rsid w:val="00D41285"/>
    <w:rsid w:val="00D41545"/>
    <w:rsid w:val="00D41C74"/>
    <w:rsid w:val="00D429A5"/>
    <w:rsid w:val="00D4483E"/>
    <w:rsid w:val="00D455B7"/>
    <w:rsid w:val="00D45887"/>
    <w:rsid w:val="00D45C49"/>
    <w:rsid w:val="00D461D5"/>
    <w:rsid w:val="00D4666E"/>
    <w:rsid w:val="00D46B0C"/>
    <w:rsid w:val="00D501C1"/>
    <w:rsid w:val="00D50FB2"/>
    <w:rsid w:val="00D513D4"/>
    <w:rsid w:val="00D524D4"/>
    <w:rsid w:val="00D52F15"/>
    <w:rsid w:val="00D5429B"/>
    <w:rsid w:val="00D54D66"/>
    <w:rsid w:val="00D555BF"/>
    <w:rsid w:val="00D555D8"/>
    <w:rsid w:val="00D55744"/>
    <w:rsid w:val="00D55817"/>
    <w:rsid w:val="00D55A19"/>
    <w:rsid w:val="00D55BBE"/>
    <w:rsid w:val="00D57A42"/>
    <w:rsid w:val="00D57B73"/>
    <w:rsid w:val="00D605BF"/>
    <w:rsid w:val="00D609F0"/>
    <w:rsid w:val="00D614A9"/>
    <w:rsid w:val="00D6227A"/>
    <w:rsid w:val="00D63B22"/>
    <w:rsid w:val="00D63D1A"/>
    <w:rsid w:val="00D63DE0"/>
    <w:rsid w:val="00D63E1E"/>
    <w:rsid w:val="00D649FE"/>
    <w:rsid w:val="00D64B8E"/>
    <w:rsid w:val="00D65C0E"/>
    <w:rsid w:val="00D6616F"/>
    <w:rsid w:val="00D661CC"/>
    <w:rsid w:val="00D663B6"/>
    <w:rsid w:val="00D677A2"/>
    <w:rsid w:val="00D67851"/>
    <w:rsid w:val="00D679CC"/>
    <w:rsid w:val="00D67F33"/>
    <w:rsid w:val="00D70B9E"/>
    <w:rsid w:val="00D71888"/>
    <w:rsid w:val="00D7239A"/>
    <w:rsid w:val="00D72454"/>
    <w:rsid w:val="00D72FBB"/>
    <w:rsid w:val="00D732DB"/>
    <w:rsid w:val="00D7351A"/>
    <w:rsid w:val="00D738DE"/>
    <w:rsid w:val="00D73CBF"/>
    <w:rsid w:val="00D74161"/>
    <w:rsid w:val="00D7484A"/>
    <w:rsid w:val="00D74A9F"/>
    <w:rsid w:val="00D755C9"/>
    <w:rsid w:val="00D75780"/>
    <w:rsid w:val="00D76BA4"/>
    <w:rsid w:val="00D77913"/>
    <w:rsid w:val="00D77C5C"/>
    <w:rsid w:val="00D800D1"/>
    <w:rsid w:val="00D80410"/>
    <w:rsid w:val="00D807B8"/>
    <w:rsid w:val="00D81034"/>
    <w:rsid w:val="00D81118"/>
    <w:rsid w:val="00D817D1"/>
    <w:rsid w:val="00D81EBF"/>
    <w:rsid w:val="00D81F3A"/>
    <w:rsid w:val="00D8234E"/>
    <w:rsid w:val="00D82587"/>
    <w:rsid w:val="00D82823"/>
    <w:rsid w:val="00D82EBE"/>
    <w:rsid w:val="00D841B3"/>
    <w:rsid w:val="00D84711"/>
    <w:rsid w:val="00D8475C"/>
    <w:rsid w:val="00D848F2"/>
    <w:rsid w:val="00D84D20"/>
    <w:rsid w:val="00D84E4D"/>
    <w:rsid w:val="00D85426"/>
    <w:rsid w:val="00D85DE6"/>
    <w:rsid w:val="00D865D5"/>
    <w:rsid w:val="00D86C83"/>
    <w:rsid w:val="00D8715E"/>
    <w:rsid w:val="00D87624"/>
    <w:rsid w:val="00D91275"/>
    <w:rsid w:val="00D914F5"/>
    <w:rsid w:val="00D9197A"/>
    <w:rsid w:val="00D92E65"/>
    <w:rsid w:val="00D9344A"/>
    <w:rsid w:val="00D93ABB"/>
    <w:rsid w:val="00D93BE7"/>
    <w:rsid w:val="00D93E9B"/>
    <w:rsid w:val="00D9408F"/>
    <w:rsid w:val="00D94D89"/>
    <w:rsid w:val="00D94E04"/>
    <w:rsid w:val="00D95F0C"/>
    <w:rsid w:val="00D95F61"/>
    <w:rsid w:val="00D977D9"/>
    <w:rsid w:val="00D97831"/>
    <w:rsid w:val="00D97A52"/>
    <w:rsid w:val="00D97D01"/>
    <w:rsid w:val="00DA04DA"/>
    <w:rsid w:val="00DA0B01"/>
    <w:rsid w:val="00DA0BE0"/>
    <w:rsid w:val="00DA1313"/>
    <w:rsid w:val="00DA1697"/>
    <w:rsid w:val="00DA2173"/>
    <w:rsid w:val="00DA232C"/>
    <w:rsid w:val="00DA24FE"/>
    <w:rsid w:val="00DA2B44"/>
    <w:rsid w:val="00DA2B70"/>
    <w:rsid w:val="00DA47E5"/>
    <w:rsid w:val="00DA48F7"/>
    <w:rsid w:val="00DA4DA3"/>
    <w:rsid w:val="00DA5125"/>
    <w:rsid w:val="00DA55FF"/>
    <w:rsid w:val="00DA57EB"/>
    <w:rsid w:val="00DA59EF"/>
    <w:rsid w:val="00DA5A11"/>
    <w:rsid w:val="00DA60F5"/>
    <w:rsid w:val="00DA6256"/>
    <w:rsid w:val="00DA6DD3"/>
    <w:rsid w:val="00DA706C"/>
    <w:rsid w:val="00DA78AB"/>
    <w:rsid w:val="00DA78E3"/>
    <w:rsid w:val="00DA7E96"/>
    <w:rsid w:val="00DB0293"/>
    <w:rsid w:val="00DB0E5D"/>
    <w:rsid w:val="00DB1987"/>
    <w:rsid w:val="00DB20A7"/>
    <w:rsid w:val="00DB226F"/>
    <w:rsid w:val="00DB299B"/>
    <w:rsid w:val="00DB31DA"/>
    <w:rsid w:val="00DB37DE"/>
    <w:rsid w:val="00DB43C0"/>
    <w:rsid w:val="00DB43CB"/>
    <w:rsid w:val="00DB4442"/>
    <w:rsid w:val="00DB4EFC"/>
    <w:rsid w:val="00DB50C8"/>
    <w:rsid w:val="00DB601A"/>
    <w:rsid w:val="00DB6040"/>
    <w:rsid w:val="00DB6840"/>
    <w:rsid w:val="00DB6E4C"/>
    <w:rsid w:val="00DB6F94"/>
    <w:rsid w:val="00DB714F"/>
    <w:rsid w:val="00DB74A0"/>
    <w:rsid w:val="00DB775C"/>
    <w:rsid w:val="00DB7898"/>
    <w:rsid w:val="00DC09B7"/>
    <w:rsid w:val="00DC0AFE"/>
    <w:rsid w:val="00DC0DB6"/>
    <w:rsid w:val="00DC0EC9"/>
    <w:rsid w:val="00DC0FB6"/>
    <w:rsid w:val="00DC13C3"/>
    <w:rsid w:val="00DC2B03"/>
    <w:rsid w:val="00DC3A7B"/>
    <w:rsid w:val="00DC3AC2"/>
    <w:rsid w:val="00DC3E0C"/>
    <w:rsid w:val="00DC4672"/>
    <w:rsid w:val="00DC46D2"/>
    <w:rsid w:val="00DC4942"/>
    <w:rsid w:val="00DC4D74"/>
    <w:rsid w:val="00DC5BB2"/>
    <w:rsid w:val="00DC5D01"/>
    <w:rsid w:val="00DC6352"/>
    <w:rsid w:val="00DC6E6F"/>
    <w:rsid w:val="00DC6E80"/>
    <w:rsid w:val="00DC71D9"/>
    <w:rsid w:val="00DD00B1"/>
    <w:rsid w:val="00DD0BE2"/>
    <w:rsid w:val="00DD0CF5"/>
    <w:rsid w:val="00DD17AF"/>
    <w:rsid w:val="00DD17B8"/>
    <w:rsid w:val="00DD23AC"/>
    <w:rsid w:val="00DD35CD"/>
    <w:rsid w:val="00DD3981"/>
    <w:rsid w:val="00DD425E"/>
    <w:rsid w:val="00DD4BA0"/>
    <w:rsid w:val="00DD6340"/>
    <w:rsid w:val="00DD643B"/>
    <w:rsid w:val="00DD7475"/>
    <w:rsid w:val="00DD7E91"/>
    <w:rsid w:val="00DD7EFA"/>
    <w:rsid w:val="00DE026F"/>
    <w:rsid w:val="00DE02A1"/>
    <w:rsid w:val="00DE043C"/>
    <w:rsid w:val="00DE057D"/>
    <w:rsid w:val="00DE121F"/>
    <w:rsid w:val="00DE13F9"/>
    <w:rsid w:val="00DE2129"/>
    <w:rsid w:val="00DE2ACA"/>
    <w:rsid w:val="00DE3229"/>
    <w:rsid w:val="00DE3A19"/>
    <w:rsid w:val="00DE4963"/>
    <w:rsid w:val="00DE4B2F"/>
    <w:rsid w:val="00DE50C6"/>
    <w:rsid w:val="00DE5254"/>
    <w:rsid w:val="00DE56BB"/>
    <w:rsid w:val="00DE59EF"/>
    <w:rsid w:val="00DE651E"/>
    <w:rsid w:val="00DE71E3"/>
    <w:rsid w:val="00DE725F"/>
    <w:rsid w:val="00DE7439"/>
    <w:rsid w:val="00DE75F9"/>
    <w:rsid w:val="00DF0A3E"/>
    <w:rsid w:val="00DF1FD0"/>
    <w:rsid w:val="00DF2C57"/>
    <w:rsid w:val="00DF2CE0"/>
    <w:rsid w:val="00DF3270"/>
    <w:rsid w:val="00DF3D82"/>
    <w:rsid w:val="00DF3E72"/>
    <w:rsid w:val="00DF4424"/>
    <w:rsid w:val="00DF4A88"/>
    <w:rsid w:val="00DF5168"/>
    <w:rsid w:val="00DF57FE"/>
    <w:rsid w:val="00DF5B82"/>
    <w:rsid w:val="00DF5EB6"/>
    <w:rsid w:val="00DF5F5C"/>
    <w:rsid w:val="00DF6C47"/>
    <w:rsid w:val="00DF6C96"/>
    <w:rsid w:val="00DF7922"/>
    <w:rsid w:val="00DF7969"/>
    <w:rsid w:val="00DF7F1D"/>
    <w:rsid w:val="00E00CE7"/>
    <w:rsid w:val="00E0169F"/>
    <w:rsid w:val="00E01DC2"/>
    <w:rsid w:val="00E02392"/>
    <w:rsid w:val="00E04611"/>
    <w:rsid w:val="00E05715"/>
    <w:rsid w:val="00E06426"/>
    <w:rsid w:val="00E06466"/>
    <w:rsid w:val="00E068B1"/>
    <w:rsid w:val="00E06A43"/>
    <w:rsid w:val="00E06B07"/>
    <w:rsid w:val="00E071FA"/>
    <w:rsid w:val="00E100E4"/>
    <w:rsid w:val="00E10E21"/>
    <w:rsid w:val="00E1202A"/>
    <w:rsid w:val="00E12207"/>
    <w:rsid w:val="00E123BE"/>
    <w:rsid w:val="00E134A7"/>
    <w:rsid w:val="00E13585"/>
    <w:rsid w:val="00E13717"/>
    <w:rsid w:val="00E13CAA"/>
    <w:rsid w:val="00E13E75"/>
    <w:rsid w:val="00E14138"/>
    <w:rsid w:val="00E14B29"/>
    <w:rsid w:val="00E14C7F"/>
    <w:rsid w:val="00E151A7"/>
    <w:rsid w:val="00E15C4C"/>
    <w:rsid w:val="00E15CA9"/>
    <w:rsid w:val="00E17038"/>
    <w:rsid w:val="00E20781"/>
    <w:rsid w:val="00E214A5"/>
    <w:rsid w:val="00E2150D"/>
    <w:rsid w:val="00E21525"/>
    <w:rsid w:val="00E216D3"/>
    <w:rsid w:val="00E21811"/>
    <w:rsid w:val="00E22834"/>
    <w:rsid w:val="00E22CAC"/>
    <w:rsid w:val="00E2392E"/>
    <w:rsid w:val="00E23AB6"/>
    <w:rsid w:val="00E240CA"/>
    <w:rsid w:val="00E2447B"/>
    <w:rsid w:val="00E2535E"/>
    <w:rsid w:val="00E256DA"/>
    <w:rsid w:val="00E2664E"/>
    <w:rsid w:val="00E2671A"/>
    <w:rsid w:val="00E27072"/>
    <w:rsid w:val="00E2718A"/>
    <w:rsid w:val="00E27241"/>
    <w:rsid w:val="00E27C7D"/>
    <w:rsid w:val="00E302D6"/>
    <w:rsid w:val="00E3050B"/>
    <w:rsid w:val="00E30634"/>
    <w:rsid w:val="00E307BF"/>
    <w:rsid w:val="00E308F6"/>
    <w:rsid w:val="00E30B1A"/>
    <w:rsid w:val="00E30D08"/>
    <w:rsid w:val="00E31354"/>
    <w:rsid w:val="00E319D2"/>
    <w:rsid w:val="00E31B16"/>
    <w:rsid w:val="00E31E9C"/>
    <w:rsid w:val="00E31FB3"/>
    <w:rsid w:val="00E32128"/>
    <w:rsid w:val="00E326D7"/>
    <w:rsid w:val="00E32909"/>
    <w:rsid w:val="00E32ACA"/>
    <w:rsid w:val="00E331C5"/>
    <w:rsid w:val="00E33339"/>
    <w:rsid w:val="00E33EA5"/>
    <w:rsid w:val="00E341F7"/>
    <w:rsid w:val="00E34DA3"/>
    <w:rsid w:val="00E3514C"/>
    <w:rsid w:val="00E3541B"/>
    <w:rsid w:val="00E3620C"/>
    <w:rsid w:val="00E3623B"/>
    <w:rsid w:val="00E365ED"/>
    <w:rsid w:val="00E36A8A"/>
    <w:rsid w:val="00E36D23"/>
    <w:rsid w:val="00E36FD2"/>
    <w:rsid w:val="00E37309"/>
    <w:rsid w:val="00E375FD"/>
    <w:rsid w:val="00E37881"/>
    <w:rsid w:val="00E401C5"/>
    <w:rsid w:val="00E40D2B"/>
    <w:rsid w:val="00E40D6E"/>
    <w:rsid w:val="00E42D63"/>
    <w:rsid w:val="00E435D2"/>
    <w:rsid w:val="00E43668"/>
    <w:rsid w:val="00E438FE"/>
    <w:rsid w:val="00E4398D"/>
    <w:rsid w:val="00E441AB"/>
    <w:rsid w:val="00E441CE"/>
    <w:rsid w:val="00E44A1F"/>
    <w:rsid w:val="00E469FD"/>
    <w:rsid w:val="00E47196"/>
    <w:rsid w:val="00E500D8"/>
    <w:rsid w:val="00E50256"/>
    <w:rsid w:val="00E50604"/>
    <w:rsid w:val="00E5063A"/>
    <w:rsid w:val="00E508EB"/>
    <w:rsid w:val="00E510D9"/>
    <w:rsid w:val="00E51999"/>
    <w:rsid w:val="00E5208B"/>
    <w:rsid w:val="00E525D7"/>
    <w:rsid w:val="00E5316D"/>
    <w:rsid w:val="00E534B1"/>
    <w:rsid w:val="00E53691"/>
    <w:rsid w:val="00E538CA"/>
    <w:rsid w:val="00E54E81"/>
    <w:rsid w:val="00E5539F"/>
    <w:rsid w:val="00E558B1"/>
    <w:rsid w:val="00E55D64"/>
    <w:rsid w:val="00E56A15"/>
    <w:rsid w:val="00E571DE"/>
    <w:rsid w:val="00E57B4B"/>
    <w:rsid w:val="00E57B68"/>
    <w:rsid w:val="00E600D3"/>
    <w:rsid w:val="00E6015A"/>
    <w:rsid w:val="00E61054"/>
    <w:rsid w:val="00E623B1"/>
    <w:rsid w:val="00E623B3"/>
    <w:rsid w:val="00E6240A"/>
    <w:rsid w:val="00E6246D"/>
    <w:rsid w:val="00E6267B"/>
    <w:rsid w:val="00E6277F"/>
    <w:rsid w:val="00E62978"/>
    <w:rsid w:val="00E62AAC"/>
    <w:rsid w:val="00E63026"/>
    <w:rsid w:val="00E631E0"/>
    <w:rsid w:val="00E63502"/>
    <w:rsid w:val="00E637EF"/>
    <w:rsid w:val="00E63946"/>
    <w:rsid w:val="00E63DB9"/>
    <w:rsid w:val="00E64019"/>
    <w:rsid w:val="00E65068"/>
    <w:rsid w:val="00E65157"/>
    <w:rsid w:val="00E6516E"/>
    <w:rsid w:val="00E6584E"/>
    <w:rsid w:val="00E65F84"/>
    <w:rsid w:val="00E65FEA"/>
    <w:rsid w:val="00E66E81"/>
    <w:rsid w:val="00E675F1"/>
    <w:rsid w:val="00E70462"/>
    <w:rsid w:val="00E7084B"/>
    <w:rsid w:val="00E708B7"/>
    <w:rsid w:val="00E70E13"/>
    <w:rsid w:val="00E710A2"/>
    <w:rsid w:val="00E712F4"/>
    <w:rsid w:val="00E71845"/>
    <w:rsid w:val="00E71C34"/>
    <w:rsid w:val="00E73C43"/>
    <w:rsid w:val="00E749C2"/>
    <w:rsid w:val="00E74C49"/>
    <w:rsid w:val="00E75275"/>
    <w:rsid w:val="00E7545C"/>
    <w:rsid w:val="00E755FA"/>
    <w:rsid w:val="00E759A4"/>
    <w:rsid w:val="00E75A0B"/>
    <w:rsid w:val="00E7641D"/>
    <w:rsid w:val="00E76482"/>
    <w:rsid w:val="00E76E30"/>
    <w:rsid w:val="00E770EB"/>
    <w:rsid w:val="00E80A3B"/>
    <w:rsid w:val="00E80E71"/>
    <w:rsid w:val="00E81449"/>
    <w:rsid w:val="00E81F06"/>
    <w:rsid w:val="00E849E5"/>
    <w:rsid w:val="00E860F5"/>
    <w:rsid w:val="00E8682F"/>
    <w:rsid w:val="00E86D8B"/>
    <w:rsid w:val="00E871CD"/>
    <w:rsid w:val="00E87733"/>
    <w:rsid w:val="00E87923"/>
    <w:rsid w:val="00E909B9"/>
    <w:rsid w:val="00E9183E"/>
    <w:rsid w:val="00E91A07"/>
    <w:rsid w:val="00E91BDA"/>
    <w:rsid w:val="00E91D26"/>
    <w:rsid w:val="00E91FA1"/>
    <w:rsid w:val="00E920FE"/>
    <w:rsid w:val="00E9271E"/>
    <w:rsid w:val="00E92AFB"/>
    <w:rsid w:val="00E9359C"/>
    <w:rsid w:val="00E94834"/>
    <w:rsid w:val="00E95133"/>
    <w:rsid w:val="00E95197"/>
    <w:rsid w:val="00E96224"/>
    <w:rsid w:val="00E96299"/>
    <w:rsid w:val="00E96E32"/>
    <w:rsid w:val="00E977B4"/>
    <w:rsid w:val="00E979A9"/>
    <w:rsid w:val="00E97BA9"/>
    <w:rsid w:val="00EA00AE"/>
    <w:rsid w:val="00EA1723"/>
    <w:rsid w:val="00EA17C6"/>
    <w:rsid w:val="00EA1C76"/>
    <w:rsid w:val="00EA1CAD"/>
    <w:rsid w:val="00EA2356"/>
    <w:rsid w:val="00EA25B9"/>
    <w:rsid w:val="00EA2E8F"/>
    <w:rsid w:val="00EA3088"/>
    <w:rsid w:val="00EA36DC"/>
    <w:rsid w:val="00EA38AA"/>
    <w:rsid w:val="00EA3F4A"/>
    <w:rsid w:val="00EA4131"/>
    <w:rsid w:val="00EA5192"/>
    <w:rsid w:val="00EA55A8"/>
    <w:rsid w:val="00EA5B32"/>
    <w:rsid w:val="00EA6316"/>
    <w:rsid w:val="00EA75E5"/>
    <w:rsid w:val="00EA7CEA"/>
    <w:rsid w:val="00EB06DA"/>
    <w:rsid w:val="00EB0A9E"/>
    <w:rsid w:val="00EB0C87"/>
    <w:rsid w:val="00EB0F84"/>
    <w:rsid w:val="00EB1AEB"/>
    <w:rsid w:val="00EB23FA"/>
    <w:rsid w:val="00EB24AC"/>
    <w:rsid w:val="00EB2B2D"/>
    <w:rsid w:val="00EB2B87"/>
    <w:rsid w:val="00EB38F0"/>
    <w:rsid w:val="00EB3D98"/>
    <w:rsid w:val="00EB4374"/>
    <w:rsid w:val="00EB4F70"/>
    <w:rsid w:val="00EB5127"/>
    <w:rsid w:val="00EB58D3"/>
    <w:rsid w:val="00EB5AD6"/>
    <w:rsid w:val="00EB60AC"/>
    <w:rsid w:val="00EB6201"/>
    <w:rsid w:val="00EB62B9"/>
    <w:rsid w:val="00EB6609"/>
    <w:rsid w:val="00EC0F66"/>
    <w:rsid w:val="00EC1395"/>
    <w:rsid w:val="00EC13F2"/>
    <w:rsid w:val="00EC18E5"/>
    <w:rsid w:val="00EC3AE3"/>
    <w:rsid w:val="00EC3E64"/>
    <w:rsid w:val="00EC4804"/>
    <w:rsid w:val="00EC4E08"/>
    <w:rsid w:val="00EC5032"/>
    <w:rsid w:val="00EC5442"/>
    <w:rsid w:val="00EC5A5F"/>
    <w:rsid w:val="00EC741F"/>
    <w:rsid w:val="00EC77D3"/>
    <w:rsid w:val="00EC7BCB"/>
    <w:rsid w:val="00EC7C0D"/>
    <w:rsid w:val="00ED0839"/>
    <w:rsid w:val="00ED13EF"/>
    <w:rsid w:val="00ED14E3"/>
    <w:rsid w:val="00ED1CF7"/>
    <w:rsid w:val="00ED1D7F"/>
    <w:rsid w:val="00ED2176"/>
    <w:rsid w:val="00ED2218"/>
    <w:rsid w:val="00ED26FD"/>
    <w:rsid w:val="00ED2C13"/>
    <w:rsid w:val="00ED36EE"/>
    <w:rsid w:val="00ED42F7"/>
    <w:rsid w:val="00ED4F31"/>
    <w:rsid w:val="00ED50A2"/>
    <w:rsid w:val="00ED693C"/>
    <w:rsid w:val="00ED6BB4"/>
    <w:rsid w:val="00EE0FF4"/>
    <w:rsid w:val="00EE1189"/>
    <w:rsid w:val="00EE11CC"/>
    <w:rsid w:val="00EE145B"/>
    <w:rsid w:val="00EE2AE4"/>
    <w:rsid w:val="00EE375D"/>
    <w:rsid w:val="00EE3EBB"/>
    <w:rsid w:val="00EE4022"/>
    <w:rsid w:val="00EE4901"/>
    <w:rsid w:val="00EE4A50"/>
    <w:rsid w:val="00EE4ED2"/>
    <w:rsid w:val="00EE4FB3"/>
    <w:rsid w:val="00EE57FE"/>
    <w:rsid w:val="00EE5DA9"/>
    <w:rsid w:val="00EE5F18"/>
    <w:rsid w:val="00EE6361"/>
    <w:rsid w:val="00EE6F23"/>
    <w:rsid w:val="00EF0293"/>
    <w:rsid w:val="00EF167C"/>
    <w:rsid w:val="00EF1854"/>
    <w:rsid w:val="00EF19F4"/>
    <w:rsid w:val="00EF1D28"/>
    <w:rsid w:val="00EF2293"/>
    <w:rsid w:val="00EF22E8"/>
    <w:rsid w:val="00EF2771"/>
    <w:rsid w:val="00EF42DA"/>
    <w:rsid w:val="00EF46A2"/>
    <w:rsid w:val="00EF47A4"/>
    <w:rsid w:val="00EF4F08"/>
    <w:rsid w:val="00EF5037"/>
    <w:rsid w:val="00EF5B77"/>
    <w:rsid w:val="00EF5CF9"/>
    <w:rsid w:val="00EF6281"/>
    <w:rsid w:val="00EF6B17"/>
    <w:rsid w:val="00EF6C9B"/>
    <w:rsid w:val="00EF79F2"/>
    <w:rsid w:val="00F016C0"/>
    <w:rsid w:val="00F0171D"/>
    <w:rsid w:val="00F01D61"/>
    <w:rsid w:val="00F01E85"/>
    <w:rsid w:val="00F028CD"/>
    <w:rsid w:val="00F03426"/>
    <w:rsid w:val="00F0428C"/>
    <w:rsid w:val="00F044F4"/>
    <w:rsid w:val="00F0560C"/>
    <w:rsid w:val="00F06C87"/>
    <w:rsid w:val="00F06CE5"/>
    <w:rsid w:val="00F06F2B"/>
    <w:rsid w:val="00F07189"/>
    <w:rsid w:val="00F07691"/>
    <w:rsid w:val="00F07CB1"/>
    <w:rsid w:val="00F105F0"/>
    <w:rsid w:val="00F11B99"/>
    <w:rsid w:val="00F11C85"/>
    <w:rsid w:val="00F11DD8"/>
    <w:rsid w:val="00F1313F"/>
    <w:rsid w:val="00F143DC"/>
    <w:rsid w:val="00F1480F"/>
    <w:rsid w:val="00F150EE"/>
    <w:rsid w:val="00F15644"/>
    <w:rsid w:val="00F17CA0"/>
    <w:rsid w:val="00F17E33"/>
    <w:rsid w:val="00F17F95"/>
    <w:rsid w:val="00F2058E"/>
    <w:rsid w:val="00F2073F"/>
    <w:rsid w:val="00F215DA"/>
    <w:rsid w:val="00F222BB"/>
    <w:rsid w:val="00F228EF"/>
    <w:rsid w:val="00F2309B"/>
    <w:rsid w:val="00F23876"/>
    <w:rsid w:val="00F23FBB"/>
    <w:rsid w:val="00F241DF"/>
    <w:rsid w:val="00F25049"/>
    <w:rsid w:val="00F25C3C"/>
    <w:rsid w:val="00F25F04"/>
    <w:rsid w:val="00F26387"/>
    <w:rsid w:val="00F26BEE"/>
    <w:rsid w:val="00F27389"/>
    <w:rsid w:val="00F273E1"/>
    <w:rsid w:val="00F27A87"/>
    <w:rsid w:val="00F27AAB"/>
    <w:rsid w:val="00F27BC1"/>
    <w:rsid w:val="00F30A9B"/>
    <w:rsid w:val="00F31B98"/>
    <w:rsid w:val="00F31BCB"/>
    <w:rsid w:val="00F323D5"/>
    <w:rsid w:val="00F32A20"/>
    <w:rsid w:val="00F33595"/>
    <w:rsid w:val="00F34356"/>
    <w:rsid w:val="00F3512D"/>
    <w:rsid w:val="00F3552B"/>
    <w:rsid w:val="00F37013"/>
    <w:rsid w:val="00F37332"/>
    <w:rsid w:val="00F37DF6"/>
    <w:rsid w:val="00F4035A"/>
    <w:rsid w:val="00F40973"/>
    <w:rsid w:val="00F40FA4"/>
    <w:rsid w:val="00F419A5"/>
    <w:rsid w:val="00F42C77"/>
    <w:rsid w:val="00F42C7A"/>
    <w:rsid w:val="00F451FF"/>
    <w:rsid w:val="00F45B04"/>
    <w:rsid w:val="00F4636A"/>
    <w:rsid w:val="00F46622"/>
    <w:rsid w:val="00F466D4"/>
    <w:rsid w:val="00F46AE8"/>
    <w:rsid w:val="00F4729F"/>
    <w:rsid w:val="00F47793"/>
    <w:rsid w:val="00F478C9"/>
    <w:rsid w:val="00F50637"/>
    <w:rsid w:val="00F50F46"/>
    <w:rsid w:val="00F51466"/>
    <w:rsid w:val="00F514FF"/>
    <w:rsid w:val="00F51B4C"/>
    <w:rsid w:val="00F51D89"/>
    <w:rsid w:val="00F526A4"/>
    <w:rsid w:val="00F529E9"/>
    <w:rsid w:val="00F53A2D"/>
    <w:rsid w:val="00F54715"/>
    <w:rsid w:val="00F55260"/>
    <w:rsid w:val="00F5552E"/>
    <w:rsid w:val="00F558C3"/>
    <w:rsid w:val="00F55CF2"/>
    <w:rsid w:val="00F55FEA"/>
    <w:rsid w:val="00F56665"/>
    <w:rsid w:val="00F56A74"/>
    <w:rsid w:val="00F57059"/>
    <w:rsid w:val="00F5796F"/>
    <w:rsid w:val="00F57BB7"/>
    <w:rsid w:val="00F57C03"/>
    <w:rsid w:val="00F610DB"/>
    <w:rsid w:val="00F611E0"/>
    <w:rsid w:val="00F62370"/>
    <w:rsid w:val="00F624AD"/>
    <w:rsid w:val="00F62A46"/>
    <w:rsid w:val="00F633EA"/>
    <w:rsid w:val="00F663E7"/>
    <w:rsid w:val="00F67054"/>
    <w:rsid w:val="00F671A5"/>
    <w:rsid w:val="00F6766C"/>
    <w:rsid w:val="00F67FA3"/>
    <w:rsid w:val="00F707D1"/>
    <w:rsid w:val="00F70B06"/>
    <w:rsid w:val="00F71AAD"/>
    <w:rsid w:val="00F71B49"/>
    <w:rsid w:val="00F71F0F"/>
    <w:rsid w:val="00F72515"/>
    <w:rsid w:val="00F72617"/>
    <w:rsid w:val="00F7275B"/>
    <w:rsid w:val="00F72F48"/>
    <w:rsid w:val="00F730AB"/>
    <w:rsid w:val="00F7348C"/>
    <w:rsid w:val="00F7365E"/>
    <w:rsid w:val="00F73EE8"/>
    <w:rsid w:val="00F74B7F"/>
    <w:rsid w:val="00F750E0"/>
    <w:rsid w:val="00F7592D"/>
    <w:rsid w:val="00F75C03"/>
    <w:rsid w:val="00F7630B"/>
    <w:rsid w:val="00F76AEB"/>
    <w:rsid w:val="00F76BFB"/>
    <w:rsid w:val="00F776B4"/>
    <w:rsid w:val="00F7771D"/>
    <w:rsid w:val="00F77F76"/>
    <w:rsid w:val="00F802DE"/>
    <w:rsid w:val="00F8094A"/>
    <w:rsid w:val="00F809FA"/>
    <w:rsid w:val="00F80E99"/>
    <w:rsid w:val="00F81814"/>
    <w:rsid w:val="00F81FB3"/>
    <w:rsid w:val="00F82958"/>
    <w:rsid w:val="00F8328B"/>
    <w:rsid w:val="00F83BAB"/>
    <w:rsid w:val="00F84278"/>
    <w:rsid w:val="00F847EB"/>
    <w:rsid w:val="00F84C60"/>
    <w:rsid w:val="00F85000"/>
    <w:rsid w:val="00F853FA"/>
    <w:rsid w:val="00F854CD"/>
    <w:rsid w:val="00F86A0E"/>
    <w:rsid w:val="00F87936"/>
    <w:rsid w:val="00F90171"/>
    <w:rsid w:val="00F90623"/>
    <w:rsid w:val="00F907A4"/>
    <w:rsid w:val="00F908AF"/>
    <w:rsid w:val="00F90D95"/>
    <w:rsid w:val="00F91411"/>
    <w:rsid w:val="00F91BB3"/>
    <w:rsid w:val="00F91D7A"/>
    <w:rsid w:val="00F93A56"/>
    <w:rsid w:val="00F9601D"/>
    <w:rsid w:val="00F9619F"/>
    <w:rsid w:val="00F96532"/>
    <w:rsid w:val="00F97103"/>
    <w:rsid w:val="00F971DA"/>
    <w:rsid w:val="00F97A0A"/>
    <w:rsid w:val="00F97EC8"/>
    <w:rsid w:val="00FA0338"/>
    <w:rsid w:val="00FA041B"/>
    <w:rsid w:val="00FA29BC"/>
    <w:rsid w:val="00FA3057"/>
    <w:rsid w:val="00FA32E0"/>
    <w:rsid w:val="00FA3AE6"/>
    <w:rsid w:val="00FA3F6B"/>
    <w:rsid w:val="00FA42E0"/>
    <w:rsid w:val="00FA4826"/>
    <w:rsid w:val="00FA4985"/>
    <w:rsid w:val="00FA51AE"/>
    <w:rsid w:val="00FA526A"/>
    <w:rsid w:val="00FA7327"/>
    <w:rsid w:val="00FA7573"/>
    <w:rsid w:val="00FA7AC9"/>
    <w:rsid w:val="00FA7E70"/>
    <w:rsid w:val="00FB0CAA"/>
    <w:rsid w:val="00FB176A"/>
    <w:rsid w:val="00FB182B"/>
    <w:rsid w:val="00FB1C7D"/>
    <w:rsid w:val="00FB1E58"/>
    <w:rsid w:val="00FB2361"/>
    <w:rsid w:val="00FB2E12"/>
    <w:rsid w:val="00FB32DB"/>
    <w:rsid w:val="00FB390B"/>
    <w:rsid w:val="00FB4478"/>
    <w:rsid w:val="00FB4E19"/>
    <w:rsid w:val="00FB5148"/>
    <w:rsid w:val="00FB5FBE"/>
    <w:rsid w:val="00FB62D9"/>
    <w:rsid w:val="00FB6F8F"/>
    <w:rsid w:val="00FB7341"/>
    <w:rsid w:val="00FB7901"/>
    <w:rsid w:val="00FC096B"/>
    <w:rsid w:val="00FC1E29"/>
    <w:rsid w:val="00FC21CC"/>
    <w:rsid w:val="00FC3899"/>
    <w:rsid w:val="00FC3BFA"/>
    <w:rsid w:val="00FC414F"/>
    <w:rsid w:val="00FC441D"/>
    <w:rsid w:val="00FC4788"/>
    <w:rsid w:val="00FC591F"/>
    <w:rsid w:val="00FC5F69"/>
    <w:rsid w:val="00FC633A"/>
    <w:rsid w:val="00FC6EB9"/>
    <w:rsid w:val="00FC7305"/>
    <w:rsid w:val="00FD04E1"/>
    <w:rsid w:val="00FD0637"/>
    <w:rsid w:val="00FD0CC5"/>
    <w:rsid w:val="00FD1604"/>
    <w:rsid w:val="00FD1652"/>
    <w:rsid w:val="00FD1B9C"/>
    <w:rsid w:val="00FD23AE"/>
    <w:rsid w:val="00FD25A8"/>
    <w:rsid w:val="00FD2F3E"/>
    <w:rsid w:val="00FD4085"/>
    <w:rsid w:val="00FD41AB"/>
    <w:rsid w:val="00FD4A78"/>
    <w:rsid w:val="00FD4F9A"/>
    <w:rsid w:val="00FD6A02"/>
    <w:rsid w:val="00FD6FA6"/>
    <w:rsid w:val="00FD70C3"/>
    <w:rsid w:val="00FD74CD"/>
    <w:rsid w:val="00FD772D"/>
    <w:rsid w:val="00FD79AD"/>
    <w:rsid w:val="00FD7EEE"/>
    <w:rsid w:val="00FE0A2A"/>
    <w:rsid w:val="00FE0B9A"/>
    <w:rsid w:val="00FE1249"/>
    <w:rsid w:val="00FE18C2"/>
    <w:rsid w:val="00FE2522"/>
    <w:rsid w:val="00FE2C15"/>
    <w:rsid w:val="00FE2E53"/>
    <w:rsid w:val="00FE32C4"/>
    <w:rsid w:val="00FE3327"/>
    <w:rsid w:val="00FE3810"/>
    <w:rsid w:val="00FE3B76"/>
    <w:rsid w:val="00FE493E"/>
    <w:rsid w:val="00FE4C84"/>
    <w:rsid w:val="00FE4D27"/>
    <w:rsid w:val="00FE4D4A"/>
    <w:rsid w:val="00FE61E3"/>
    <w:rsid w:val="00FE64C6"/>
    <w:rsid w:val="00FE664A"/>
    <w:rsid w:val="00FE74D0"/>
    <w:rsid w:val="00FE7E71"/>
    <w:rsid w:val="00FF0391"/>
    <w:rsid w:val="00FF0492"/>
    <w:rsid w:val="00FF054B"/>
    <w:rsid w:val="00FF061F"/>
    <w:rsid w:val="00FF0794"/>
    <w:rsid w:val="00FF17A4"/>
    <w:rsid w:val="00FF1B57"/>
    <w:rsid w:val="00FF1D20"/>
    <w:rsid w:val="00FF28BA"/>
    <w:rsid w:val="00FF30A2"/>
    <w:rsid w:val="00FF40A9"/>
    <w:rsid w:val="00FF4483"/>
    <w:rsid w:val="00FF4620"/>
    <w:rsid w:val="00FF4705"/>
    <w:rsid w:val="00FF526D"/>
    <w:rsid w:val="00FF6B96"/>
    <w:rsid w:val="00FF7850"/>
    <w:rsid w:val="00FF7A12"/>
    <w:rsid w:val="03C02D0D"/>
    <w:rsid w:val="049142F2"/>
    <w:rsid w:val="069ED565"/>
    <w:rsid w:val="06AE83E9"/>
    <w:rsid w:val="0789AAE4"/>
    <w:rsid w:val="0924F971"/>
    <w:rsid w:val="0B1B4924"/>
    <w:rsid w:val="0C1129C4"/>
    <w:rsid w:val="0D08614D"/>
    <w:rsid w:val="13A43D1C"/>
    <w:rsid w:val="15420D18"/>
    <w:rsid w:val="1DFC5AE0"/>
    <w:rsid w:val="205D1FFA"/>
    <w:rsid w:val="22025F25"/>
    <w:rsid w:val="2686348B"/>
    <w:rsid w:val="2705E1A7"/>
    <w:rsid w:val="272308CC"/>
    <w:rsid w:val="2ADC2562"/>
    <w:rsid w:val="2B583422"/>
    <w:rsid w:val="30FE2326"/>
    <w:rsid w:val="32411F15"/>
    <w:rsid w:val="39064EEC"/>
    <w:rsid w:val="39617170"/>
    <w:rsid w:val="396F1445"/>
    <w:rsid w:val="39A49D69"/>
    <w:rsid w:val="400AE314"/>
    <w:rsid w:val="43C13821"/>
    <w:rsid w:val="460E68A0"/>
    <w:rsid w:val="4928747B"/>
    <w:rsid w:val="497BB0F5"/>
    <w:rsid w:val="4B3D96E5"/>
    <w:rsid w:val="519647E9"/>
    <w:rsid w:val="56162CC9"/>
    <w:rsid w:val="59A26A9D"/>
    <w:rsid w:val="5A642AEA"/>
    <w:rsid w:val="632AF37E"/>
    <w:rsid w:val="69F4030C"/>
    <w:rsid w:val="6BBB2D21"/>
    <w:rsid w:val="72558E3E"/>
    <w:rsid w:val="7A8C673E"/>
    <w:rsid w:val="7C56CD53"/>
    <w:rsid w:val="7EF2006A"/>
    <w:rsid w:val="7F005871"/>
    <w:rsid w:val="7FE50A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fillcolor="white">
      <v:fill color="white"/>
    </o:shapedefaults>
    <o:shapelayout v:ext="edit">
      <o:idmap v:ext="edit" data="2"/>
    </o:shapelayout>
  </w:shapeDefaults>
  <w:decimalSymbol w:val="."/>
  <w:listSeparator w:val=","/>
  <w14:docId w14:val="1C0978CF"/>
  <w15:docId w15:val="{945DFEE5-3EAF-46A9-B43B-142AE91F6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iPriority="0" w:qFormat="1"/>
    <w:lsdException w:name="index 2" w:semiHidden="1" w:uiPriority="0"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qFormat="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nhideWhenUsed="1"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uiPriority="1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qFormat="1"/>
    <w:lsdException w:name="Body Text Indent 2" w:semiHidden="1" w:unhideWhenUsed="1"/>
    <w:lsdException w:name="Body Text Indent 3" w:uiPriority="0" w:qFormat="1"/>
    <w:lsdException w:name="Block Text" w:uiPriority="0" w:qFormat="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0"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6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BEA"/>
    <w:pPr>
      <w:spacing w:before="120" w:after="200" w:line="276" w:lineRule="auto"/>
    </w:pPr>
    <w:rPr>
      <w:rFonts w:ascii="Verdana" w:eastAsia="Verdana" w:hAnsi="Verdana"/>
      <w:color w:val="000000"/>
      <w:sz w:val="18"/>
      <w:szCs w:val="22"/>
      <w:lang w:val="en-GB" w:eastAsia="en-US"/>
    </w:rPr>
  </w:style>
  <w:style w:type="paragraph" w:styleId="Heading1">
    <w:name w:val="heading 1"/>
    <w:basedOn w:val="Normal0"/>
    <w:next w:val="Normal"/>
    <w:link w:val="Heading1Char"/>
    <w:uiPriority w:val="9"/>
    <w:qFormat/>
    <w:pPr>
      <w:keepNext/>
      <w:keepLines/>
      <w:spacing w:before="240"/>
      <w:outlineLvl w:val="0"/>
    </w:pPr>
    <w:rPr>
      <w:rFonts w:ascii="Calibri" w:eastAsia="Times New Roman" w:hAnsi="Calibri"/>
      <w:b/>
      <w:caps/>
      <w:color w:val="5C52A3"/>
      <w:sz w:val="32"/>
      <w:szCs w:val="32"/>
    </w:rPr>
  </w:style>
  <w:style w:type="paragraph" w:styleId="Heading2">
    <w:name w:val="heading 2"/>
    <w:basedOn w:val="Normal"/>
    <w:next w:val="Footer"/>
    <w:link w:val="Heading2Char"/>
    <w:uiPriority w:val="9"/>
    <w:qFormat/>
    <w:pPr>
      <w:keepNext/>
      <w:keepLines/>
      <w:spacing w:before="40" w:after="0"/>
      <w:outlineLvl w:val="1"/>
    </w:pPr>
    <w:rPr>
      <w:rFonts w:ascii="Calibri" w:eastAsia="Times New Roman" w:hAnsi="Calibri"/>
      <w:b/>
      <w:color w:val="5C52A3"/>
      <w:sz w:val="28"/>
      <w:szCs w:val="26"/>
    </w:rPr>
  </w:style>
  <w:style w:type="paragraph" w:styleId="Heading3">
    <w:name w:val="heading 3"/>
    <w:basedOn w:val="Normal0"/>
    <w:next w:val="Normal"/>
    <w:link w:val="Heading3Char"/>
    <w:uiPriority w:val="9"/>
    <w:qFormat/>
    <w:pPr>
      <w:keepNext/>
      <w:keepLines/>
      <w:outlineLvl w:val="2"/>
    </w:pPr>
    <w:rPr>
      <w:rFonts w:ascii="Calibri" w:eastAsia="Times New Roman" w:hAnsi="Calibri"/>
      <w:b/>
      <w:color w:val="5C52A3"/>
    </w:rPr>
  </w:style>
  <w:style w:type="paragraph" w:styleId="Heading4">
    <w:name w:val="heading 4"/>
    <w:basedOn w:val="Normal0"/>
    <w:next w:val="Normal"/>
    <w:link w:val="Heading4Char"/>
    <w:uiPriority w:val="9"/>
    <w:qFormat/>
    <w:pPr>
      <w:keepNext/>
      <w:keepLines/>
      <w:spacing w:before="40"/>
      <w:outlineLvl w:val="3"/>
    </w:pPr>
    <w:rPr>
      <w:rFonts w:ascii="Calibri" w:eastAsia="Times New Roman" w:hAnsi="Calibri"/>
      <w:b/>
      <w:iCs/>
      <w:color w:val="5C52A3"/>
      <w:sz w:val="22"/>
    </w:rPr>
  </w:style>
  <w:style w:type="paragraph" w:styleId="Heading5">
    <w:name w:val="heading 5"/>
    <w:basedOn w:val="Normal0"/>
    <w:next w:val="Normal"/>
    <w:link w:val="Heading5Char"/>
    <w:uiPriority w:val="9"/>
    <w:qFormat/>
    <w:pPr>
      <w:keepNext/>
      <w:keepLines/>
      <w:spacing w:before="40"/>
      <w:outlineLvl w:val="4"/>
    </w:pPr>
    <w:rPr>
      <w:rFonts w:ascii="Calibri" w:eastAsia="Times New Roman" w:hAnsi="Calibri"/>
      <w:color w:val="5C52A3"/>
      <w:sz w:val="20"/>
    </w:rPr>
  </w:style>
  <w:style w:type="paragraph" w:styleId="Heading6">
    <w:name w:val="heading 6"/>
    <w:basedOn w:val="Normal"/>
    <w:next w:val="Normal"/>
    <w:link w:val="Heading6Char"/>
    <w:uiPriority w:val="9"/>
    <w:unhideWhenUsed/>
    <w:qFormat/>
    <w:pPr>
      <w:keepNext/>
      <w:keepLines/>
      <w:spacing w:before="200" w:after="0"/>
      <w:ind w:left="1152" w:hanging="1152"/>
      <w:outlineLvl w:val="5"/>
    </w:pPr>
    <w:rPr>
      <w:rFonts w:ascii="Cambria" w:eastAsia="MS Gothic" w:hAnsi="Cambria"/>
      <w:i/>
      <w:iCs/>
      <w:color w:val="243F60"/>
      <w:sz w:val="22"/>
    </w:rPr>
  </w:style>
  <w:style w:type="paragraph" w:styleId="Heading7">
    <w:name w:val="heading 7"/>
    <w:basedOn w:val="Normal"/>
    <w:next w:val="Normal"/>
    <w:link w:val="Heading7Char"/>
    <w:uiPriority w:val="9"/>
    <w:unhideWhenUsed/>
    <w:qFormat/>
    <w:pPr>
      <w:keepNext/>
      <w:keepLines/>
      <w:spacing w:before="200" w:after="0"/>
      <w:ind w:left="1296" w:hanging="1296"/>
      <w:outlineLvl w:val="6"/>
    </w:pPr>
    <w:rPr>
      <w:rFonts w:ascii="Cambria" w:eastAsia="MS Gothic" w:hAnsi="Cambria"/>
      <w:i/>
      <w:iCs/>
      <w:color w:val="404040"/>
      <w:sz w:val="24"/>
      <w:szCs w:val="24"/>
    </w:rPr>
  </w:style>
  <w:style w:type="paragraph" w:styleId="Heading8">
    <w:name w:val="heading 8"/>
    <w:basedOn w:val="Normal"/>
    <w:next w:val="Normal"/>
    <w:link w:val="Heading8Char"/>
    <w:uiPriority w:val="9"/>
    <w:unhideWhenUsed/>
    <w:qFormat/>
    <w:pPr>
      <w:keepNext/>
      <w:keepLines/>
      <w:spacing w:before="200" w:after="0"/>
      <w:ind w:left="1440" w:hanging="1440"/>
      <w:outlineLvl w:val="7"/>
    </w:pPr>
    <w:rPr>
      <w:rFonts w:ascii="Cambria" w:eastAsia="MS Gothic" w:hAnsi="Cambria"/>
      <w:color w:val="404040"/>
      <w:sz w:val="24"/>
      <w:szCs w:val="20"/>
    </w:rPr>
  </w:style>
  <w:style w:type="paragraph" w:styleId="Heading9">
    <w:name w:val="heading 9"/>
    <w:basedOn w:val="Heading1"/>
    <w:link w:val="Heading9Char"/>
    <w:uiPriority w:val="9"/>
    <w:unhideWhenUsed/>
    <w:qFormat/>
    <w:pPr>
      <w:spacing w:before="200"/>
      <w:ind w:left="1584" w:hanging="1584"/>
      <w:outlineLvl w:val="8"/>
    </w:pPr>
    <w:rPr>
      <w:rFonts w:ascii="Cambria" w:eastAsia="MS Gothic" w:hAnsi="Cambria"/>
      <w:i/>
      <w:iCs/>
      <w:color w:val="40404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unhideWhenUsed/>
    <w:qFormat/>
    <w:pPr>
      <w:widowControl w:val="0"/>
      <w:autoSpaceDE w:val="0"/>
      <w:autoSpaceDN w:val="0"/>
      <w:adjustRightInd w:val="0"/>
    </w:pPr>
    <w:rPr>
      <w:rFonts w:ascii="Arial" w:hAnsi="Arial"/>
      <w:sz w:val="24"/>
      <w:szCs w:val="24"/>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BalloonText">
    <w:name w:val="Balloon Text"/>
    <w:basedOn w:val="Normal"/>
    <w:link w:val="BalloonTextChar"/>
    <w:uiPriority w:val="99"/>
    <w:unhideWhenUsed/>
    <w:qFormat/>
    <w:pPr>
      <w:spacing w:before="0" w:after="0" w:line="240" w:lineRule="auto"/>
      <w:jc w:val="both"/>
    </w:pPr>
    <w:rPr>
      <w:rFonts w:ascii="Lucida Grande" w:eastAsia="Calibri" w:hAnsi="Lucida Grande"/>
      <w:color w:val="auto"/>
      <w:sz w:val="22"/>
      <w:szCs w:val="18"/>
    </w:rPr>
  </w:style>
  <w:style w:type="paragraph" w:styleId="BlockText">
    <w:name w:val="Block Text"/>
    <w:basedOn w:val="Normal"/>
    <w:qFormat/>
    <w:pPr>
      <w:spacing w:before="0" w:after="120"/>
      <w:ind w:left="1440" w:right="1440"/>
    </w:pPr>
    <w:rPr>
      <w:rFonts w:ascii="Calibri" w:eastAsia="Times New Roman" w:hAnsi="Calibri"/>
      <w:color w:val="auto"/>
      <w:sz w:val="22"/>
      <w:lang w:val="en-US" w:bidi="en-US"/>
    </w:rPr>
  </w:style>
  <w:style w:type="paragraph" w:styleId="BodyText">
    <w:name w:val="Body Text"/>
    <w:basedOn w:val="Normal"/>
    <w:link w:val="BodyTextChar"/>
    <w:uiPriority w:val="1"/>
    <w:unhideWhenUsed/>
    <w:qFormat/>
    <w:pPr>
      <w:spacing w:after="120"/>
    </w:pPr>
  </w:style>
  <w:style w:type="paragraph" w:styleId="BodyText2">
    <w:name w:val="Body Text 2"/>
    <w:basedOn w:val="Normal"/>
    <w:link w:val="BodyText2Char"/>
    <w:uiPriority w:val="99"/>
    <w:unhideWhenUsed/>
    <w:qFormat/>
    <w:pPr>
      <w:spacing w:before="0" w:after="120" w:line="480" w:lineRule="auto"/>
    </w:pPr>
    <w:rPr>
      <w:rFonts w:ascii="Times New Roman" w:eastAsia="Times New Roman" w:hAnsi="Times New Roman"/>
      <w:color w:val="auto"/>
      <w:sz w:val="24"/>
      <w:szCs w:val="24"/>
      <w:lang w:val="en-US"/>
    </w:rPr>
  </w:style>
  <w:style w:type="paragraph" w:styleId="BodyText3">
    <w:name w:val="Body Text 3"/>
    <w:basedOn w:val="Normal"/>
    <w:link w:val="BodyText3Char"/>
    <w:uiPriority w:val="99"/>
    <w:semiHidden/>
    <w:unhideWhenUsed/>
    <w:qFormat/>
    <w:pPr>
      <w:spacing w:before="0" w:after="120" w:line="240" w:lineRule="auto"/>
    </w:pPr>
    <w:rPr>
      <w:rFonts w:ascii="Times New Roman" w:eastAsia="Times New Roman" w:hAnsi="Times New Roman"/>
      <w:color w:val="auto"/>
      <w:sz w:val="16"/>
      <w:szCs w:val="16"/>
      <w:lang w:val="en-US"/>
    </w:rPr>
  </w:style>
  <w:style w:type="paragraph" w:styleId="BodyTextIndent">
    <w:name w:val="Body Text Indent"/>
    <w:basedOn w:val="Normal"/>
    <w:link w:val="BodyTextIndentChar"/>
    <w:uiPriority w:val="99"/>
    <w:unhideWhenUsed/>
    <w:qFormat/>
    <w:pPr>
      <w:spacing w:after="120"/>
      <w:ind w:left="283"/>
    </w:pPr>
  </w:style>
  <w:style w:type="paragraph" w:styleId="BodyTextIndent3">
    <w:name w:val="Body Text Indent 3"/>
    <w:basedOn w:val="Normal"/>
    <w:link w:val="BodyTextIndent3Char"/>
    <w:qFormat/>
    <w:pPr>
      <w:widowControl w:val="0"/>
      <w:spacing w:before="0" w:after="120" w:line="240" w:lineRule="auto"/>
      <w:ind w:left="360"/>
    </w:pPr>
    <w:rPr>
      <w:rFonts w:ascii="Courier" w:eastAsia="Times New Roman" w:hAnsi="Courier"/>
      <w:snapToGrid w:val="0"/>
      <w:color w:val="auto"/>
      <w:sz w:val="16"/>
      <w:szCs w:val="16"/>
      <w:lang w:val="en-US"/>
    </w:rPr>
  </w:style>
  <w:style w:type="paragraph" w:styleId="Caption">
    <w:name w:val="caption"/>
    <w:basedOn w:val="Normal"/>
    <w:next w:val="Footer"/>
    <w:uiPriority w:val="35"/>
    <w:qFormat/>
    <w:pPr>
      <w:spacing w:before="0" w:after="0" w:line="240" w:lineRule="auto"/>
      <w:jc w:val="center"/>
    </w:pPr>
    <w:rPr>
      <w:i/>
      <w:iCs/>
      <w:color w:val="5C52A3"/>
      <w:szCs w:val="18"/>
    </w:rPr>
  </w:style>
  <w:style w:type="character" w:styleId="CommentReference">
    <w:name w:val="annotation reference"/>
    <w:basedOn w:val="DefaultParagraphFont"/>
    <w:uiPriority w:val="99"/>
    <w:unhideWhenUsed/>
    <w:qFormat/>
    <w:rPr>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link w:val="CommentSubjectChar"/>
    <w:uiPriority w:val="99"/>
    <w:semiHidden/>
    <w:unhideWhenUsed/>
    <w:qFormat/>
    <w:pPr>
      <w:spacing w:before="0" w:after="0"/>
      <w:jc w:val="both"/>
    </w:pPr>
    <w:rPr>
      <w:rFonts w:ascii="Arial Narrow" w:eastAsia="Calibri" w:hAnsi="Arial Narrow"/>
      <w:b/>
      <w:bCs/>
      <w:sz w:val="22"/>
      <w:szCs w:val="22"/>
    </w:rPr>
  </w:style>
  <w:style w:type="paragraph" w:styleId="Date">
    <w:name w:val="Date"/>
    <w:basedOn w:val="Normal"/>
    <w:next w:val="Footer"/>
    <w:uiPriority w:val="99"/>
    <w:unhideWhenUsed/>
    <w:qFormat/>
    <w:pPr>
      <w:spacing w:before="600" w:after="0"/>
    </w:pPr>
    <w:rPr>
      <w:sz w:val="32"/>
      <w:szCs w:val="24"/>
    </w:rPr>
  </w:style>
  <w:style w:type="paragraph" w:styleId="DocumentMap">
    <w:name w:val="Document Map"/>
    <w:basedOn w:val="Normal"/>
    <w:link w:val="DocumentMapChar"/>
    <w:uiPriority w:val="99"/>
    <w:semiHidden/>
    <w:unhideWhenUsed/>
    <w:qFormat/>
    <w:rPr>
      <w:rFonts w:ascii="Lucida Grande" w:hAnsi="Lucida Grande" w:cs="Lucida Grande"/>
      <w:sz w:val="24"/>
      <w:szCs w:val="24"/>
    </w:rPr>
  </w:style>
  <w:style w:type="character" w:styleId="Emphasis">
    <w:name w:val="Emphasis"/>
    <w:basedOn w:val="DefaultParagraphFont"/>
    <w:uiPriority w:val="20"/>
    <w:qFormat/>
    <w:rPr>
      <w:i/>
      <w:iCs/>
    </w:rPr>
  </w:style>
  <w:style w:type="character" w:styleId="EndnoteReference">
    <w:name w:val="endnote reference"/>
    <w:semiHidden/>
    <w:qFormat/>
    <w:rPr>
      <w:vertAlign w:val="superscript"/>
    </w:rPr>
  </w:style>
  <w:style w:type="paragraph" w:styleId="EndnoteText">
    <w:name w:val="endnote text"/>
    <w:basedOn w:val="Normal"/>
    <w:link w:val="EndnoteTextChar"/>
    <w:semiHidden/>
    <w:qFormat/>
    <w:pPr>
      <w:widowControl w:val="0"/>
      <w:spacing w:before="0" w:after="0" w:line="240" w:lineRule="auto"/>
    </w:pPr>
    <w:rPr>
      <w:rFonts w:ascii="Courier" w:eastAsia="Times New Roman" w:hAnsi="Courier"/>
      <w:snapToGrid w:val="0"/>
      <w:color w:val="auto"/>
      <w:sz w:val="24"/>
      <w:szCs w:val="20"/>
      <w:lang w:val="en-US"/>
    </w:rPr>
  </w:style>
  <w:style w:type="character" w:styleId="FollowedHyperlink">
    <w:name w:val="FollowedHyperlink"/>
    <w:basedOn w:val="DefaultParagraphFont"/>
    <w:uiPriority w:val="99"/>
    <w:unhideWhenUsed/>
    <w:qFormat/>
    <w:rPr>
      <w:color w:val="800080" w:themeColor="followedHyperlink"/>
      <w:u w:val="single"/>
    </w:rPr>
  </w:style>
  <w:style w:type="character" w:styleId="FootnoteReference">
    <w:name w:val="footnote reference"/>
    <w:link w:val="BVIfnrCharCar1CarChar"/>
    <w:uiPriority w:val="99"/>
    <w:unhideWhenUsed/>
    <w:qFormat/>
    <w:rPr>
      <w:vertAlign w:val="superscript"/>
    </w:rPr>
  </w:style>
  <w:style w:type="paragraph" w:customStyle="1" w:styleId="BVIfnrCharCar1CarChar">
    <w:name w:val="BVI fnr Char Car1 Car Char"/>
    <w:basedOn w:val="Normal"/>
    <w:next w:val="Normal"/>
    <w:link w:val="FootnoteReference"/>
    <w:uiPriority w:val="99"/>
    <w:qFormat/>
    <w:pPr>
      <w:spacing w:before="0" w:after="160" w:line="240" w:lineRule="exact"/>
      <w:jc w:val="both"/>
    </w:pPr>
    <w:rPr>
      <w:color w:val="auto"/>
      <w:sz w:val="22"/>
      <w:vertAlign w:val="superscript"/>
    </w:rPr>
  </w:style>
  <w:style w:type="paragraph" w:styleId="FootnoteText">
    <w:name w:val="footnote text"/>
    <w:basedOn w:val="Normal"/>
    <w:link w:val="FootnoteTextChar"/>
    <w:uiPriority w:val="99"/>
    <w:unhideWhenUsed/>
    <w:qFormat/>
    <w:pPr>
      <w:spacing w:before="0" w:after="0" w:line="240" w:lineRule="auto"/>
    </w:pPr>
    <w:rPr>
      <w:sz w:val="13"/>
      <w:szCs w:val="20"/>
    </w:rPr>
  </w:style>
  <w:style w:type="paragraph" w:styleId="Header">
    <w:name w:val="header"/>
    <w:basedOn w:val="Normal0"/>
    <w:link w:val="HeaderChar"/>
    <w:uiPriority w:val="99"/>
    <w:unhideWhenUsed/>
    <w:qFormat/>
    <w:pPr>
      <w:tabs>
        <w:tab w:val="center" w:pos="4680"/>
        <w:tab w:val="right" w:pos="9360"/>
      </w:tabs>
    </w:pPr>
  </w:style>
  <w:style w:type="character" w:styleId="HTMLTypewriter">
    <w:name w:val="HTML Typewriter"/>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5C52A3"/>
      <w:u w:val="single"/>
    </w:rPr>
  </w:style>
  <w:style w:type="paragraph" w:styleId="Index1">
    <w:name w:val="index 1"/>
    <w:basedOn w:val="Normal"/>
    <w:next w:val="Normal"/>
    <w:autoRedefine/>
    <w:semiHidden/>
    <w:qFormat/>
    <w:pPr>
      <w:widowControl w:val="0"/>
      <w:tabs>
        <w:tab w:val="right" w:leader="dot" w:pos="9360"/>
      </w:tabs>
      <w:suppressAutoHyphens/>
      <w:spacing w:before="0" w:after="0" w:line="240" w:lineRule="auto"/>
      <w:ind w:left="1440" w:right="720" w:hanging="1440"/>
    </w:pPr>
    <w:rPr>
      <w:rFonts w:ascii="Courier" w:eastAsia="Times New Roman" w:hAnsi="Courier"/>
      <w:snapToGrid w:val="0"/>
      <w:color w:val="auto"/>
      <w:sz w:val="20"/>
      <w:szCs w:val="20"/>
      <w:lang w:val="en-US"/>
    </w:rPr>
  </w:style>
  <w:style w:type="paragraph" w:styleId="Index2">
    <w:name w:val="index 2"/>
    <w:basedOn w:val="Normal"/>
    <w:next w:val="Normal"/>
    <w:autoRedefine/>
    <w:semiHidden/>
    <w:qFormat/>
    <w:pPr>
      <w:widowControl w:val="0"/>
      <w:tabs>
        <w:tab w:val="right" w:leader="dot" w:pos="9360"/>
      </w:tabs>
      <w:suppressAutoHyphens/>
      <w:spacing w:before="0" w:after="0" w:line="240" w:lineRule="auto"/>
      <w:ind w:left="1440" w:right="720" w:hanging="720"/>
    </w:pPr>
    <w:rPr>
      <w:rFonts w:ascii="Courier" w:eastAsia="Times New Roman" w:hAnsi="Courier"/>
      <w:snapToGrid w:val="0"/>
      <w:color w:val="auto"/>
      <w:sz w:val="20"/>
      <w:szCs w:val="20"/>
      <w:lang w:val="en-US"/>
    </w:rPr>
  </w:style>
  <w:style w:type="paragraph" w:styleId="ListBullet">
    <w:name w:val="List Bullet"/>
    <w:basedOn w:val="Normal"/>
    <w:next w:val="Footer"/>
    <w:uiPriority w:val="11"/>
    <w:qFormat/>
    <w:pPr>
      <w:spacing w:before="0" w:after="0" w:line="240" w:lineRule="auto"/>
      <w:ind w:left="360" w:hanging="360"/>
    </w:pPr>
    <w:rPr>
      <w:rFonts w:asciiTheme="minorHAnsi" w:eastAsiaTheme="minorHAnsi" w:hAnsiTheme="minorHAnsi" w:cstheme="minorBidi"/>
      <w:color w:val="595959" w:themeColor="text1" w:themeTint="A6"/>
      <w:sz w:val="22"/>
    </w:rPr>
  </w:style>
  <w:style w:type="paragraph" w:styleId="ListBullet2">
    <w:name w:val="List Bullet 2"/>
    <w:basedOn w:val="Normal"/>
    <w:uiPriority w:val="99"/>
    <w:semiHidden/>
    <w:unhideWhenUsed/>
    <w:qFormat/>
    <w:pPr>
      <w:numPr>
        <w:numId w:val="1"/>
      </w:numPr>
    </w:pPr>
  </w:style>
  <w:style w:type="paragraph" w:styleId="ListBullet3">
    <w:name w:val="List Bullet 3"/>
    <w:basedOn w:val="ListBullet"/>
    <w:uiPriority w:val="99"/>
    <w:semiHidden/>
    <w:unhideWhenUsed/>
    <w:qFormat/>
    <w:pPr>
      <w:numPr>
        <w:numId w:val="2"/>
      </w:numPr>
    </w:pPr>
  </w:style>
  <w:style w:type="paragraph" w:styleId="ListBullet4">
    <w:name w:val="List Bullet 4"/>
    <w:basedOn w:val="ListBullet"/>
    <w:uiPriority w:val="99"/>
    <w:semiHidden/>
    <w:unhideWhenUsed/>
    <w:qFormat/>
    <w:pPr>
      <w:numPr>
        <w:numId w:val="3"/>
      </w:numPr>
    </w:pPr>
  </w:style>
  <w:style w:type="paragraph" w:styleId="ListBullet5">
    <w:name w:val="List Bullet 5"/>
    <w:basedOn w:val="ListBullet"/>
    <w:uiPriority w:val="99"/>
    <w:semiHidden/>
    <w:unhideWhenUsed/>
    <w:qFormat/>
    <w:pPr>
      <w:numPr>
        <w:numId w:val="4"/>
      </w:numPr>
    </w:pPr>
  </w:style>
  <w:style w:type="paragraph" w:styleId="ListNumber">
    <w:name w:val="List Number"/>
    <w:basedOn w:val="Normal"/>
    <w:uiPriority w:val="99"/>
    <w:qFormat/>
    <w:pPr>
      <w:spacing w:before="0" w:after="240" w:line="240" w:lineRule="auto"/>
      <w:jc w:val="both"/>
    </w:pPr>
    <w:rPr>
      <w:rFonts w:ascii="Times New Roman" w:eastAsia="Times New Roman" w:hAnsi="Times New Roman"/>
      <w:color w:val="auto"/>
      <w:sz w:val="24"/>
      <w:szCs w:val="24"/>
    </w:rPr>
  </w:style>
  <w:style w:type="paragraph" w:styleId="ListNumber2">
    <w:name w:val="List Number 2"/>
    <w:basedOn w:val="ListNumber"/>
    <w:uiPriority w:val="99"/>
    <w:semiHidden/>
    <w:unhideWhenUsed/>
    <w:qFormat/>
    <w:pPr>
      <w:numPr>
        <w:numId w:val="5"/>
      </w:numPr>
    </w:pPr>
  </w:style>
  <w:style w:type="paragraph" w:styleId="ListNumber3">
    <w:name w:val="List Number 3"/>
    <w:basedOn w:val="ListNumber"/>
    <w:next w:val="ListNumber2"/>
    <w:uiPriority w:val="99"/>
    <w:semiHidden/>
    <w:unhideWhenUsed/>
    <w:qFormat/>
    <w:pPr>
      <w:numPr>
        <w:numId w:val="6"/>
      </w:numPr>
    </w:pPr>
  </w:style>
  <w:style w:type="paragraph" w:styleId="ListNumber4">
    <w:name w:val="List Number 4"/>
    <w:basedOn w:val="ListNumber"/>
    <w:uiPriority w:val="99"/>
    <w:semiHidden/>
    <w:unhideWhenUsed/>
    <w:qFormat/>
    <w:pPr>
      <w:numPr>
        <w:numId w:val="7"/>
      </w:numPr>
    </w:pPr>
  </w:style>
  <w:style w:type="paragraph" w:styleId="ListNumber5">
    <w:name w:val="List Number 5"/>
    <w:basedOn w:val="ListNumber"/>
    <w:uiPriority w:val="99"/>
    <w:semiHidden/>
    <w:unhideWhenUsed/>
    <w:qFormat/>
    <w:pPr>
      <w:numPr>
        <w:numId w:val="8"/>
      </w:numPr>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rPr>
  </w:style>
  <w:style w:type="paragraph" w:styleId="NormalIndent">
    <w:name w:val="Normal Indent"/>
    <w:basedOn w:val="Normal"/>
    <w:qFormat/>
    <w:pPr>
      <w:spacing w:before="0" w:after="240" w:line="240" w:lineRule="auto"/>
      <w:ind w:left="720"/>
      <w:jc w:val="both"/>
    </w:pPr>
    <w:rPr>
      <w:rFonts w:ascii="Times New Roman" w:eastAsia="Times New Roman" w:hAnsi="Times New Roman"/>
      <w:color w:val="auto"/>
      <w:sz w:val="24"/>
      <w:szCs w:val="20"/>
      <w:lang w:eastAsia="en-GB"/>
    </w:rPr>
  </w:style>
  <w:style w:type="character" w:styleId="PageNumber">
    <w:name w:val="page number"/>
    <w:basedOn w:val="DefaultParagraphFont"/>
    <w:uiPriority w:val="99"/>
    <w:unhideWhenUsed/>
    <w:qFormat/>
  </w:style>
  <w:style w:type="paragraph" w:styleId="PlainText">
    <w:name w:val="Plain Text"/>
    <w:basedOn w:val="Normal"/>
    <w:link w:val="PlainTextChar"/>
    <w:qFormat/>
    <w:pPr>
      <w:spacing w:before="0" w:after="0" w:line="240" w:lineRule="auto"/>
    </w:pPr>
    <w:rPr>
      <w:rFonts w:ascii="Courier New" w:eastAsia="Times New Roman" w:hAnsi="Courier New" w:cs="Courier New"/>
      <w:color w:val="auto"/>
      <w:sz w:val="20"/>
      <w:szCs w:val="20"/>
      <w:lang w:val="en-US"/>
    </w:rPr>
  </w:style>
  <w:style w:type="character" w:styleId="Strong">
    <w:name w:val="Strong"/>
    <w:basedOn w:val="DefaultParagraphFont"/>
    <w:uiPriority w:val="22"/>
    <w:qFormat/>
    <w:rPr>
      <w:b/>
      <w:bCs/>
    </w:rPr>
  </w:style>
  <w:style w:type="paragraph" w:styleId="Subtitle">
    <w:name w:val="Subtitle"/>
    <w:basedOn w:val="Normal"/>
    <w:next w:val="Footer"/>
    <w:link w:val="SubtitleChar"/>
    <w:uiPriority w:val="11"/>
    <w:qFormat/>
    <w:pPr>
      <w:spacing w:before="0" w:after="160" w:line="259" w:lineRule="auto"/>
    </w:pPr>
    <w:rPr>
      <w:rFonts w:ascii="Arial" w:eastAsia="Arial" w:hAnsi="Arial" w:cs="Arial"/>
      <w:color w:val="auto"/>
      <w:sz w:val="28"/>
      <w:szCs w:val="28"/>
      <w:lang w:eastAsia="en-GB"/>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Footer"/>
    <w:uiPriority w:val="99"/>
    <w:unhideWhenUsed/>
    <w:pPr>
      <w:tabs>
        <w:tab w:val="right" w:pos="10773"/>
      </w:tabs>
      <w:spacing w:before="60" w:after="60"/>
    </w:pPr>
    <w:rPr>
      <w:sz w:val="22"/>
      <w:szCs w:val="24"/>
    </w:rPr>
  </w:style>
  <w:style w:type="paragraph" w:styleId="Title">
    <w:name w:val="Title"/>
    <w:basedOn w:val="Normal"/>
    <w:next w:val="Footer"/>
    <w:link w:val="TitleChar"/>
    <w:uiPriority w:val="10"/>
    <w:qFormat/>
    <w:pPr>
      <w:spacing w:before="0" w:after="0" w:line="240" w:lineRule="auto"/>
      <w:ind w:left="23"/>
      <w:contextualSpacing/>
    </w:pPr>
    <w:rPr>
      <w:rFonts w:asciiTheme="majorHAnsi" w:eastAsiaTheme="majorEastAsia" w:hAnsiTheme="majorHAnsi" w:cstheme="majorBidi"/>
      <w:color w:val="auto"/>
      <w:spacing w:val="-10"/>
      <w:kern w:val="28"/>
      <w:sz w:val="56"/>
      <w:szCs w:val="56"/>
      <w:lang w:val="en-US"/>
    </w:rPr>
  </w:style>
  <w:style w:type="paragraph" w:styleId="TOAHeading">
    <w:name w:val="toa heading"/>
    <w:basedOn w:val="Normal"/>
    <w:next w:val="Normal"/>
    <w:semiHidden/>
    <w:qFormat/>
    <w:pPr>
      <w:widowControl w:val="0"/>
      <w:tabs>
        <w:tab w:val="right" w:pos="9360"/>
      </w:tabs>
      <w:suppressAutoHyphens/>
      <w:spacing w:before="0" w:after="0" w:line="240" w:lineRule="auto"/>
    </w:pPr>
    <w:rPr>
      <w:rFonts w:ascii="Courier" w:eastAsia="Times New Roman" w:hAnsi="Courier"/>
      <w:snapToGrid w:val="0"/>
      <w:color w:val="auto"/>
      <w:sz w:val="20"/>
      <w:szCs w:val="20"/>
      <w:lang w:val="en-US"/>
    </w:rPr>
  </w:style>
  <w:style w:type="paragraph" w:styleId="TOC1">
    <w:name w:val="toc 1"/>
    <w:basedOn w:val="Normal"/>
    <w:next w:val="Footer"/>
    <w:autoRedefine/>
    <w:uiPriority w:val="39"/>
    <w:unhideWhenUsed/>
    <w:qFormat/>
    <w:rsid w:val="001D4E15"/>
    <w:pPr>
      <w:tabs>
        <w:tab w:val="right" w:leader="dot" w:pos="9017"/>
      </w:tabs>
      <w:spacing w:after="100"/>
    </w:pPr>
    <w:rPr>
      <w:rFonts w:eastAsia="Times New Roman"/>
    </w:rPr>
  </w:style>
  <w:style w:type="paragraph" w:styleId="TOC2">
    <w:name w:val="toc 2"/>
    <w:basedOn w:val="Normal"/>
    <w:next w:val="Footer"/>
    <w:autoRedefine/>
    <w:uiPriority w:val="39"/>
    <w:unhideWhenUsed/>
    <w:qFormat/>
    <w:pPr>
      <w:tabs>
        <w:tab w:val="right" w:leader="dot" w:pos="9017"/>
      </w:tabs>
      <w:spacing w:after="100"/>
      <w:ind w:left="220"/>
    </w:pPr>
    <w:rPr>
      <w:rFonts w:eastAsia="Times New Roman"/>
    </w:rPr>
  </w:style>
  <w:style w:type="paragraph" w:styleId="TOC3">
    <w:name w:val="toc 3"/>
    <w:basedOn w:val="Normal"/>
    <w:next w:val="Footer"/>
    <w:autoRedefine/>
    <w:uiPriority w:val="39"/>
    <w:unhideWhenUsed/>
    <w:qFormat/>
    <w:rsid w:val="00CE09AD"/>
    <w:pPr>
      <w:tabs>
        <w:tab w:val="right" w:leader="dot" w:pos="9017"/>
      </w:tabs>
      <w:spacing w:after="100"/>
      <w:ind w:left="442"/>
    </w:pPr>
    <w:rPr>
      <w:rFonts w:eastAsia="Times New Roman"/>
    </w:rPr>
  </w:style>
  <w:style w:type="paragraph" w:styleId="TOC4">
    <w:name w:val="toc 4"/>
    <w:basedOn w:val="TOC1"/>
    <w:autoRedefine/>
    <w:uiPriority w:val="39"/>
    <w:unhideWhenUsed/>
    <w:pPr>
      <w:widowControl w:val="0"/>
      <w:pBdr>
        <w:between w:val="double" w:sz="6" w:space="0" w:color="auto"/>
      </w:pBdr>
      <w:spacing w:before="0" w:after="0" w:line="240" w:lineRule="auto"/>
      <w:ind w:left="440"/>
    </w:pPr>
    <w:rPr>
      <w:rFonts w:ascii="Calibri" w:eastAsia="Calibri" w:hAnsi="Calibri" w:cs="Arial"/>
      <w:color w:val="auto"/>
      <w:sz w:val="20"/>
      <w:szCs w:val="20"/>
      <w:lang w:val="en-US"/>
    </w:rPr>
  </w:style>
  <w:style w:type="paragraph" w:styleId="TOC5">
    <w:name w:val="toc 5"/>
    <w:basedOn w:val="TOC2"/>
    <w:autoRedefine/>
    <w:uiPriority w:val="39"/>
    <w:unhideWhenUsed/>
    <w:pPr>
      <w:widowControl w:val="0"/>
      <w:pBdr>
        <w:between w:val="double" w:sz="6" w:space="0" w:color="auto"/>
      </w:pBdr>
      <w:spacing w:before="0" w:after="0" w:line="240" w:lineRule="auto"/>
      <w:ind w:left="660"/>
    </w:pPr>
    <w:rPr>
      <w:rFonts w:ascii="Calibri" w:eastAsia="Calibri" w:hAnsi="Calibri" w:cs="Arial"/>
      <w:color w:val="auto"/>
      <w:sz w:val="20"/>
      <w:szCs w:val="20"/>
      <w:lang w:val="en-US"/>
    </w:rPr>
  </w:style>
  <w:style w:type="paragraph" w:styleId="TOC6">
    <w:name w:val="toc 6"/>
    <w:basedOn w:val="TOC3"/>
    <w:autoRedefine/>
    <w:uiPriority w:val="39"/>
    <w:unhideWhenUsed/>
    <w:pPr>
      <w:widowControl w:val="0"/>
      <w:pBdr>
        <w:between w:val="double" w:sz="6" w:space="0" w:color="auto"/>
      </w:pBdr>
      <w:spacing w:before="0" w:after="0" w:line="240" w:lineRule="auto"/>
      <w:ind w:left="880"/>
    </w:pPr>
    <w:rPr>
      <w:rFonts w:ascii="Calibri" w:eastAsia="Calibri" w:hAnsi="Calibri" w:cs="Arial"/>
      <w:color w:val="auto"/>
      <w:sz w:val="20"/>
      <w:szCs w:val="20"/>
      <w:lang w:val="en-US"/>
    </w:rPr>
  </w:style>
  <w:style w:type="paragraph" w:styleId="TOC7">
    <w:name w:val="toc 7"/>
    <w:basedOn w:val="Normal"/>
    <w:next w:val="Normal"/>
    <w:autoRedefine/>
    <w:uiPriority w:val="39"/>
    <w:unhideWhenUsed/>
    <w:pPr>
      <w:widowControl w:val="0"/>
      <w:pBdr>
        <w:between w:val="double" w:sz="6" w:space="0" w:color="auto"/>
      </w:pBdr>
      <w:spacing w:before="0" w:after="0" w:line="240" w:lineRule="auto"/>
      <w:ind w:left="1100"/>
    </w:pPr>
    <w:rPr>
      <w:rFonts w:ascii="Calibri" w:eastAsia="Calibri" w:hAnsi="Calibri" w:cs="Arial"/>
      <w:color w:val="auto"/>
      <w:sz w:val="20"/>
      <w:szCs w:val="20"/>
      <w:lang w:val="en-US"/>
    </w:rPr>
  </w:style>
  <w:style w:type="paragraph" w:styleId="TOC8">
    <w:name w:val="toc 8"/>
    <w:basedOn w:val="TOC2"/>
    <w:next w:val="TOC5"/>
    <w:autoRedefine/>
    <w:uiPriority w:val="39"/>
    <w:unhideWhenUsed/>
    <w:pPr>
      <w:widowControl w:val="0"/>
      <w:pBdr>
        <w:between w:val="double" w:sz="6" w:space="0" w:color="auto"/>
      </w:pBdr>
      <w:spacing w:before="0" w:after="0" w:line="240" w:lineRule="auto"/>
      <w:ind w:left="1320"/>
    </w:pPr>
    <w:rPr>
      <w:rFonts w:ascii="Calibri" w:eastAsia="Calibri" w:hAnsi="Calibri" w:cs="Arial"/>
      <w:color w:val="auto"/>
      <w:sz w:val="20"/>
      <w:szCs w:val="20"/>
      <w:lang w:val="en-US"/>
    </w:rPr>
  </w:style>
  <w:style w:type="paragraph" w:styleId="TOC9">
    <w:name w:val="toc 9"/>
    <w:basedOn w:val="Normal"/>
    <w:next w:val="Normal"/>
    <w:autoRedefine/>
    <w:uiPriority w:val="39"/>
    <w:unhideWhenUsed/>
    <w:pPr>
      <w:widowControl w:val="0"/>
      <w:pBdr>
        <w:between w:val="double" w:sz="6" w:space="0" w:color="auto"/>
      </w:pBdr>
      <w:spacing w:before="0" w:after="0" w:line="240" w:lineRule="auto"/>
      <w:ind w:left="1540"/>
    </w:pPr>
    <w:rPr>
      <w:rFonts w:ascii="Calibri" w:eastAsia="Calibri" w:hAnsi="Calibri" w:cs="Arial"/>
      <w:color w:val="auto"/>
      <w:sz w:val="20"/>
      <w:szCs w:val="20"/>
      <w:lang w:val="en-US"/>
    </w:rPr>
  </w:style>
  <w:style w:type="table" w:styleId="LightShading">
    <w:name w:val="Light Shading"/>
    <w:basedOn w:val="Table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30"/>
    <w:semiHidden/>
    <w:unhideWhenUsed/>
    <w:rPr>
      <w:rFonts w:asciiTheme="minorHAnsi" w:eastAsiaTheme="minorHAnsi" w:hAnsiTheme="minorHAnsi" w:cstheme="minorBidi"/>
      <w:i/>
      <w:iCs/>
      <w:color w:val="5C52A3"/>
      <w:sz w:val="22"/>
      <w:szCs w:val="22"/>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6">
    <w:name w:val="Light List Accent 6"/>
    <w:basedOn w:val="TableNormal"/>
    <w:uiPriority w:val="61"/>
    <w:pPr>
      <w:spacing w:after="120" w:line="276" w:lineRule="auto"/>
    </w:pPr>
    <w:rPr>
      <w:rFonts w:ascii="Calibri" w:eastAsia="Calibri" w:hAnsi="Calibri"/>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Grid2">
    <w:name w:val="Medium Grid 2"/>
    <w:basedOn w:val="TableNormal"/>
    <w:uiPriority w:val="1"/>
    <w:semiHidden/>
    <w:unhideWhenUsed/>
    <w:rPr>
      <w:rFonts w:asciiTheme="minorHAnsi" w:eastAsia="MS Mincho" w:hAnsiTheme="minorHAnsi" w:cstheme="minorBidi"/>
      <w:sz w:val="22"/>
      <w:szCs w:val="22"/>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rPr>
      <w:tblPr/>
      <w:tcPr>
        <w:shd w:val="clear" w:color="auto" w:fill="E6E6E6" w:themeFill="text1" w:themeFillTint="19"/>
      </w:tcPr>
    </w:tblStylePr>
    <w:tblStylePr w:type="lastRow">
      <w:rPr>
        <w:b/>
        <w:bCs/>
        <w:color w:val="00000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DarkList-Accent6">
    <w:name w:val="Dark List Accent 6"/>
    <w:basedOn w:val="TableNormal"/>
    <w:uiPriority w:val="61"/>
    <w:pPr>
      <w:spacing w:after="120" w:line="276" w:lineRule="auto"/>
    </w:pPr>
    <w:rPr>
      <w:rFonts w:ascii="Calibri" w:eastAsia="Calibri" w:hAnsi="Calibri"/>
    </w:rPr>
    <w:tblPr>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character" w:customStyle="1" w:styleId="Heading1Char">
    <w:name w:val="Heading 1 Char"/>
    <w:basedOn w:val="DefaultParagraphFont"/>
    <w:link w:val="Heading1"/>
    <w:uiPriority w:val="9"/>
    <w:rPr>
      <w:rFonts w:ascii="Calibri" w:eastAsia="Times New Roman" w:hAnsi="Calibri" w:cs="Times New Roman"/>
      <w:b/>
      <w:caps/>
      <w:color w:val="5C52A3"/>
      <w:sz w:val="32"/>
      <w:szCs w:val="32"/>
    </w:rPr>
  </w:style>
  <w:style w:type="character" w:customStyle="1" w:styleId="Heading2Char">
    <w:name w:val="Heading 2 Char"/>
    <w:basedOn w:val="DefaultParagraphFont"/>
    <w:link w:val="Heading2"/>
    <w:uiPriority w:val="9"/>
    <w:rPr>
      <w:rFonts w:ascii="Calibri" w:eastAsia="Times New Roman" w:hAnsi="Calibri" w:cs="Times New Roman"/>
      <w:b/>
      <w:color w:val="5C52A3"/>
      <w:sz w:val="28"/>
      <w:szCs w:val="26"/>
    </w:rPr>
  </w:style>
  <w:style w:type="character" w:customStyle="1" w:styleId="Heading3Char">
    <w:name w:val="Heading 3 Char"/>
    <w:basedOn w:val="DefaultParagraphFont"/>
    <w:link w:val="Heading3"/>
    <w:uiPriority w:val="9"/>
    <w:rPr>
      <w:rFonts w:ascii="Calibri" w:eastAsia="Times New Roman" w:hAnsi="Calibri"/>
      <w:b/>
      <w:color w:val="5C52A3"/>
      <w:sz w:val="24"/>
      <w:szCs w:val="24"/>
      <w:lang w:val="en-GB"/>
    </w:rPr>
  </w:style>
  <w:style w:type="character" w:customStyle="1" w:styleId="Heading4Char">
    <w:name w:val="Heading 4 Char"/>
    <w:basedOn w:val="DefaultParagraphFont"/>
    <w:link w:val="Heading4"/>
    <w:uiPriority w:val="9"/>
    <w:rPr>
      <w:rFonts w:ascii="Calibri" w:eastAsia="Times New Roman" w:hAnsi="Calibri" w:cs="Times New Roman"/>
      <w:b/>
      <w:iCs/>
      <w:color w:val="5C52A3"/>
    </w:rPr>
  </w:style>
  <w:style w:type="character" w:customStyle="1" w:styleId="Heading5Char">
    <w:name w:val="Heading 5 Char"/>
    <w:basedOn w:val="DefaultParagraphFont"/>
    <w:link w:val="Heading5"/>
    <w:uiPriority w:val="9"/>
    <w:rPr>
      <w:rFonts w:ascii="Calibri" w:eastAsia="Times New Roman" w:hAnsi="Calibri" w:cs="Times New Roman"/>
      <w:color w:val="5C52A3"/>
      <w:sz w:val="20"/>
    </w:rPr>
  </w:style>
  <w:style w:type="paragraph" w:customStyle="1" w:styleId="MediumGrid21">
    <w:name w:val="Medium Grid 21"/>
    <w:link w:val="MediumGrid2Char"/>
    <w:uiPriority w:val="1"/>
    <w:qFormat/>
    <w:rPr>
      <w:rFonts w:ascii="Verdana" w:eastAsia="Times New Roman" w:hAnsi="Verdana"/>
      <w:sz w:val="22"/>
      <w:szCs w:val="22"/>
      <w:lang w:val="en-US" w:eastAsia="en-US"/>
    </w:rPr>
  </w:style>
  <w:style w:type="character" w:customStyle="1" w:styleId="MediumGrid2Char">
    <w:name w:val="Medium Grid 2 Char"/>
    <w:link w:val="MediumGrid21"/>
    <w:uiPriority w:val="1"/>
    <w:rPr>
      <w:rFonts w:eastAsia="Times New Roman"/>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table" w:customStyle="1" w:styleId="GridTable4-Accent51">
    <w:name w:val="Grid Table 4 - Accent 51"/>
    <w:basedOn w:val="TableNormal"/>
    <w:uiPriority w:val="49"/>
    <w:tblPr>
      <w:tblBorders>
        <w:top w:val="single" w:sz="4" w:space="0" w:color="B9B4D9"/>
        <w:left w:val="single" w:sz="4" w:space="0" w:color="B9B4D9"/>
        <w:bottom w:val="single" w:sz="4" w:space="0" w:color="B9B4D9"/>
        <w:right w:val="single" w:sz="4" w:space="0" w:color="B9B4D9"/>
        <w:insideH w:val="single" w:sz="4" w:space="0" w:color="B9B4D9"/>
        <w:insideV w:val="single" w:sz="4" w:space="0" w:color="B9B4D9"/>
      </w:tblBorders>
    </w:tblPr>
    <w:tblStylePr w:type="firstRow">
      <w:rPr>
        <w:b/>
        <w:bCs/>
        <w:color w:val="FFFFFF"/>
      </w:rPr>
      <w:tblPr/>
      <w:tcPr>
        <w:tcBorders>
          <w:top w:val="single" w:sz="4" w:space="0" w:color="8B83C1"/>
          <w:left w:val="single" w:sz="4" w:space="0" w:color="8B83C1"/>
          <w:bottom w:val="single" w:sz="4" w:space="0" w:color="8B83C1"/>
          <w:right w:val="single" w:sz="4" w:space="0" w:color="8B83C1"/>
          <w:insideH w:val="nil"/>
          <w:insideV w:val="nil"/>
        </w:tcBorders>
        <w:shd w:val="clear" w:color="auto" w:fill="8B83C1"/>
      </w:tcPr>
    </w:tblStylePr>
    <w:tblStylePr w:type="lastRow">
      <w:rPr>
        <w:b/>
        <w:bCs/>
      </w:rPr>
      <w:tblPr/>
      <w:tcPr>
        <w:tcBorders>
          <w:top w:val="double" w:sz="4" w:space="0" w:color="8B83C1"/>
        </w:tcBorders>
      </w:tcPr>
    </w:tblStylePr>
    <w:tblStylePr w:type="firstCol">
      <w:rPr>
        <w:b/>
        <w:bCs/>
      </w:rPr>
    </w:tblStylePr>
    <w:tblStylePr w:type="lastCol">
      <w:rPr>
        <w:b/>
        <w:bCs/>
      </w:rPr>
    </w:tblStylePr>
    <w:tblStylePr w:type="band1Vert">
      <w:tblPr/>
      <w:tcPr>
        <w:shd w:val="clear" w:color="auto" w:fill="E7E6F2"/>
      </w:tcPr>
    </w:tblStylePr>
    <w:tblStylePr w:type="band1Horz">
      <w:tblPr/>
      <w:tcPr>
        <w:shd w:val="clear" w:color="auto" w:fill="E7E6F2"/>
      </w:tcPr>
    </w:tblStylePr>
  </w:style>
  <w:style w:type="paragraph" w:customStyle="1" w:styleId="ColorfulList-Accent12">
    <w:name w:val="Colorful List - Accent 12"/>
    <w:basedOn w:val="Normal"/>
    <w:link w:val="ColorfulList-Accent1Char1"/>
    <w:uiPriority w:val="34"/>
    <w:qFormat/>
    <w:pPr>
      <w:ind w:left="720"/>
      <w:contextualSpacing/>
    </w:pPr>
  </w:style>
  <w:style w:type="character" w:customStyle="1" w:styleId="ColorfulList-Accent1Char1">
    <w:name w:val="Colorful List - Accent 1 Char1"/>
    <w:link w:val="ColorfulList-Accent12"/>
    <w:uiPriority w:val="34"/>
    <w:qFormat/>
    <w:locked/>
    <w:rPr>
      <w:color w:val="000000"/>
      <w:sz w:val="18"/>
    </w:rPr>
  </w:style>
  <w:style w:type="paragraph" w:customStyle="1" w:styleId="Heading">
    <w:name w:val="Heading"/>
    <w:basedOn w:val="MediumGrid21"/>
    <w:link w:val="HeadingChar"/>
    <w:qFormat/>
    <w:rPr>
      <w:rFonts w:ascii="Nexa Light" w:eastAsia="Calibri" w:hAnsi="Nexa Light"/>
      <w:sz w:val="70"/>
      <w:szCs w:val="70"/>
    </w:rPr>
  </w:style>
  <w:style w:type="character" w:customStyle="1" w:styleId="HeadingChar">
    <w:name w:val="Heading Char"/>
    <w:link w:val="Heading"/>
    <w:rPr>
      <w:rFonts w:ascii="Nexa Light" w:eastAsia="Calibri" w:hAnsi="Nexa Light" w:cs="Times New Roman"/>
      <w:sz w:val="70"/>
      <w:szCs w:val="70"/>
    </w:rPr>
  </w:style>
  <w:style w:type="paragraph" w:customStyle="1" w:styleId="BodyTextBodyStyles">
    <w:name w:val="Body Text (Body Styles)"/>
    <w:basedOn w:val="Normal"/>
    <w:uiPriority w:val="99"/>
    <w:qFormat/>
    <w:pPr>
      <w:widowControl w:val="0"/>
      <w:suppressAutoHyphens/>
      <w:autoSpaceDE w:val="0"/>
      <w:autoSpaceDN w:val="0"/>
      <w:adjustRightInd w:val="0"/>
      <w:spacing w:after="227" w:line="280" w:lineRule="atLeast"/>
      <w:textAlignment w:val="center"/>
    </w:pPr>
    <w:rPr>
      <w:rFonts w:ascii="Open Sans" w:eastAsia="Cambria" w:hAnsi="Open Sans" w:cs="HelveticaNeue"/>
      <w:szCs w:val="18"/>
    </w:rPr>
  </w:style>
  <w:style w:type="paragraph" w:customStyle="1" w:styleId="IntroductionBodyStyles">
    <w:name w:val="Introduction (Body Styles)"/>
    <w:basedOn w:val="Normal"/>
    <w:uiPriority w:val="99"/>
    <w:pPr>
      <w:widowControl w:val="0"/>
      <w:suppressAutoHyphens/>
      <w:autoSpaceDE w:val="0"/>
      <w:autoSpaceDN w:val="0"/>
      <w:adjustRightInd w:val="0"/>
      <w:spacing w:after="113" w:line="360" w:lineRule="atLeast"/>
      <w:textAlignment w:val="center"/>
    </w:pPr>
    <w:rPr>
      <w:rFonts w:ascii="Open Sans" w:eastAsia="Cambria" w:hAnsi="Open Sans" w:cs="HelveticaNeue-Italic"/>
      <w:i/>
      <w:iCs/>
      <w:sz w:val="24"/>
      <w:szCs w:val="24"/>
    </w:rPr>
  </w:style>
  <w:style w:type="paragraph" w:customStyle="1" w:styleId="GridTable31">
    <w:name w:val="Grid Table 31"/>
    <w:basedOn w:val="Heading1"/>
    <w:next w:val="Normal"/>
    <w:uiPriority w:val="39"/>
    <w:unhideWhenUsed/>
    <w:qFormat/>
    <w:pPr>
      <w:outlineLvl w:val="9"/>
    </w:pPr>
    <w:rPr>
      <w:color w:val="443D79"/>
    </w:rPr>
  </w:style>
  <w:style w:type="table" w:customStyle="1" w:styleId="GridTable6Colorful-Accent51">
    <w:name w:val="Grid Table 6 Colorful - Accent 51"/>
    <w:basedOn w:val="TableNormal"/>
    <w:uiPriority w:val="51"/>
    <w:rPr>
      <w:color w:val="5B51A1"/>
    </w:rPr>
    <w:tblPr>
      <w:tblBorders>
        <w:top w:val="single" w:sz="4" w:space="0" w:color="B9B4D9"/>
        <w:left w:val="single" w:sz="4" w:space="0" w:color="B9B4D9"/>
        <w:bottom w:val="single" w:sz="4" w:space="0" w:color="B9B4D9"/>
        <w:right w:val="single" w:sz="4" w:space="0" w:color="B9B4D9"/>
        <w:insideH w:val="single" w:sz="4" w:space="0" w:color="B9B4D9"/>
        <w:insideV w:val="single" w:sz="4" w:space="0" w:color="B9B4D9"/>
      </w:tblBorders>
    </w:tblPr>
    <w:tblStylePr w:type="firstRow">
      <w:rPr>
        <w:b/>
        <w:bCs/>
      </w:rPr>
      <w:tblPr/>
      <w:tcPr>
        <w:tcBorders>
          <w:bottom w:val="single" w:sz="12" w:space="0" w:color="B9B4D9"/>
        </w:tcBorders>
      </w:tcPr>
    </w:tblStylePr>
    <w:tblStylePr w:type="lastRow">
      <w:rPr>
        <w:b/>
        <w:bCs/>
      </w:rPr>
      <w:tblPr/>
      <w:tcPr>
        <w:tcBorders>
          <w:top w:val="double" w:sz="4" w:space="0" w:color="B9B4D9"/>
        </w:tcBorders>
      </w:tcPr>
    </w:tblStylePr>
    <w:tblStylePr w:type="firstCol">
      <w:rPr>
        <w:b/>
        <w:bCs/>
      </w:rPr>
    </w:tblStylePr>
    <w:tblStylePr w:type="lastCol">
      <w:rPr>
        <w:b/>
        <w:bCs/>
      </w:rPr>
    </w:tblStylePr>
    <w:tblStylePr w:type="band1Vert">
      <w:tblPr/>
      <w:tcPr>
        <w:shd w:val="clear" w:color="auto" w:fill="E7E6F2"/>
      </w:tcPr>
    </w:tblStylePr>
    <w:tblStylePr w:type="band1Horz">
      <w:tblPr/>
      <w:tcPr>
        <w:shd w:val="clear" w:color="auto" w:fill="E7E6F2"/>
      </w:tcPr>
    </w:tblStylePr>
  </w:style>
  <w:style w:type="table" w:customStyle="1" w:styleId="PlainTable51">
    <w:name w:val="Plain Table 51"/>
    <w:basedOn w:val="TableNormal"/>
    <w:uiPriority w:val="45"/>
    <w:tblPr/>
    <w:tblStylePr w:type="firstRow">
      <w:rPr>
        <w:rFonts w:ascii="Bahnschrift SemiBold" w:eastAsia="Times New Roman" w:hAnsi="Bahnschrift SemiBold" w:cs="Times New Roman"/>
        <w:i/>
        <w:iCs/>
        <w:sz w:val="26"/>
      </w:rPr>
      <w:tblPr/>
      <w:tcPr>
        <w:tcBorders>
          <w:bottom w:val="single" w:sz="4" w:space="0" w:color="7F7F7F"/>
        </w:tcBorders>
        <w:shd w:val="clear" w:color="auto" w:fill="FFFFFF"/>
      </w:tcPr>
    </w:tblStylePr>
    <w:tblStylePr w:type="lastRow">
      <w:rPr>
        <w:rFonts w:ascii="Bahnschrift SemiBold" w:eastAsia="Times New Roman" w:hAnsi="Bahnschrift SemiBold" w:cs="Times New Roman"/>
        <w:i/>
        <w:iCs/>
        <w:sz w:val="26"/>
      </w:rPr>
      <w:tblPr/>
      <w:tcPr>
        <w:tcBorders>
          <w:top w:val="single" w:sz="4" w:space="0" w:color="7F7F7F"/>
        </w:tcBorders>
        <w:shd w:val="clear" w:color="auto" w:fill="FFFFFF"/>
      </w:tcPr>
    </w:tblStylePr>
    <w:tblStylePr w:type="firstCol">
      <w:pPr>
        <w:jc w:val="right"/>
      </w:pPr>
      <w:rPr>
        <w:rFonts w:ascii="Bahnschrift SemiBold" w:eastAsia="Times New Roman" w:hAnsi="Bahnschrift SemiBold" w:cs="Times New Roman"/>
        <w:i/>
        <w:iCs/>
        <w:sz w:val="26"/>
      </w:rPr>
      <w:tblPr/>
      <w:tcPr>
        <w:tcBorders>
          <w:right w:val="single" w:sz="4" w:space="0" w:color="7F7F7F"/>
        </w:tcBorders>
        <w:shd w:val="clear" w:color="auto" w:fill="FFFFFF"/>
      </w:tcPr>
    </w:tblStylePr>
    <w:tblStylePr w:type="lastCol">
      <w:rPr>
        <w:rFonts w:ascii="Bahnschrift SemiBold" w:eastAsia="Times New Roman" w:hAnsi="Bahnschrift SemiBol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TableNormal"/>
    <w:uiPriority w:val="49"/>
    <w:qFormat/>
    <w:tblPr>
      <w:tblBorders>
        <w:top w:val="single" w:sz="4" w:space="0" w:color="9B95C9"/>
        <w:left w:val="single" w:sz="4" w:space="0" w:color="9B95C9"/>
        <w:bottom w:val="single" w:sz="4" w:space="0" w:color="9B95C9"/>
        <w:right w:val="single" w:sz="4" w:space="0" w:color="9B95C9"/>
        <w:insideH w:val="single" w:sz="4" w:space="0" w:color="9B95C9"/>
        <w:insideV w:val="single" w:sz="4" w:space="0" w:color="9B95C9"/>
      </w:tblBorders>
    </w:tblPr>
    <w:tblStylePr w:type="firstRow">
      <w:rPr>
        <w:b/>
        <w:bCs/>
        <w:color w:val="FFFFFF"/>
      </w:rPr>
      <w:tblPr/>
      <w:tcPr>
        <w:tcBorders>
          <w:top w:val="single" w:sz="4" w:space="0" w:color="5C52A3"/>
          <w:left w:val="single" w:sz="4" w:space="0" w:color="5C52A3"/>
          <w:bottom w:val="single" w:sz="4" w:space="0" w:color="5C52A3"/>
          <w:right w:val="single" w:sz="4" w:space="0" w:color="5C52A3"/>
          <w:insideH w:val="nil"/>
          <w:insideV w:val="nil"/>
        </w:tcBorders>
        <w:shd w:val="clear" w:color="auto" w:fill="5C52A3"/>
      </w:tcPr>
    </w:tblStylePr>
    <w:tblStylePr w:type="lastRow">
      <w:rPr>
        <w:b/>
        <w:bCs/>
      </w:rPr>
      <w:tblPr/>
      <w:tcPr>
        <w:tcBorders>
          <w:top w:val="double" w:sz="4" w:space="0" w:color="5C52A3"/>
        </w:tcBorders>
      </w:tcPr>
    </w:tblStylePr>
    <w:tblStylePr w:type="firstCol">
      <w:rPr>
        <w:b/>
        <w:bCs/>
      </w:rPr>
    </w:tblStylePr>
    <w:tblStylePr w:type="lastCol">
      <w:rPr>
        <w:b/>
        <w:bCs/>
      </w:rPr>
    </w:tblStylePr>
    <w:tblStylePr w:type="band1Vert">
      <w:tblPr/>
      <w:tcPr>
        <w:shd w:val="clear" w:color="auto" w:fill="DDDBED"/>
      </w:tcPr>
    </w:tblStylePr>
    <w:tblStylePr w:type="band1Horz">
      <w:tblPr/>
      <w:tcPr>
        <w:shd w:val="clear" w:color="auto" w:fill="DDDBED"/>
      </w:tcPr>
    </w:tblStylePr>
  </w:style>
  <w:style w:type="table" w:customStyle="1" w:styleId="PRITable">
    <w:name w:val="PRI_Table"/>
    <w:basedOn w:val="TableNormal"/>
    <w:uiPriority w:val="99"/>
    <w:pPr>
      <w:jc w:val="center"/>
    </w:pPr>
    <w:rPr>
      <w:sz w:val="18"/>
    </w:rPr>
    <w:tblPr>
      <w:tblBorders>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color w:val="auto"/>
      </w:rPr>
      <w:tblPr/>
      <w:tcPr>
        <w:shd w:val="clear" w:color="auto" w:fill="ADA8D1"/>
      </w:tcPr>
    </w:tblStylePr>
    <w:tblStylePr w:type="band1Horz">
      <w:tblPr/>
      <w:tcPr>
        <w:shd w:val="clear" w:color="auto" w:fill="E5DFEC"/>
      </w:tcPr>
    </w:tblStylePr>
    <w:tblStylePr w:type="band2Horz">
      <w:tblPr/>
      <w:tcPr>
        <w:shd w:val="clear" w:color="auto" w:fill="FFFFFF"/>
      </w:tcPr>
    </w:tblStylePr>
  </w:style>
  <w:style w:type="paragraph" w:customStyle="1" w:styleId="LightShading-Accent21">
    <w:name w:val="Light Shading - Accent 21"/>
    <w:basedOn w:val="Normal"/>
    <w:next w:val="Normal"/>
    <w:link w:val="LightShading-Accent2Char"/>
    <w:uiPriority w:val="30"/>
    <w:qFormat/>
    <w:pPr>
      <w:pBdr>
        <w:top w:val="single" w:sz="4" w:space="10" w:color="5C52A3"/>
        <w:bottom w:val="single" w:sz="4" w:space="10" w:color="5C52A3"/>
      </w:pBdr>
      <w:spacing w:before="360" w:after="360"/>
      <w:ind w:left="864" w:right="864"/>
      <w:jc w:val="center"/>
    </w:pPr>
    <w:rPr>
      <w:i/>
      <w:iCs/>
      <w:color w:val="5C52A3"/>
    </w:rPr>
  </w:style>
  <w:style w:type="character" w:customStyle="1" w:styleId="LightShading-Accent2Char">
    <w:name w:val="Light Shading - Accent 2 Char"/>
    <w:link w:val="LightShading-Accent21"/>
    <w:uiPriority w:val="30"/>
    <w:rPr>
      <w:i/>
      <w:iCs/>
      <w:color w:val="5C52A3"/>
    </w:rPr>
  </w:style>
  <w:style w:type="character" w:customStyle="1" w:styleId="TableGridLight1">
    <w:name w:val="Table Grid Light1"/>
    <w:uiPriority w:val="32"/>
    <w:qFormat/>
    <w:rPr>
      <w:b/>
      <w:bCs/>
      <w:smallCaps/>
      <w:color w:val="5C52A3"/>
      <w:spacing w:val="5"/>
    </w:rPr>
  </w:style>
  <w:style w:type="character" w:customStyle="1" w:styleId="FootnoteTextChar">
    <w:name w:val="Footnote Text Char"/>
    <w:link w:val="FootnoteText"/>
    <w:uiPriority w:val="99"/>
    <w:rPr>
      <w:color w:val="000000"/>
      <w:sz w:val="13"/>
      <w:szCs w:val="20"/>
    </w:rPr>
  </w:style>
  <w:style w:type="paragraph" w:customStyle="1" w:styleId="Footnotes">
    <w:name w:val="Footnotes"/>
    <w:basedOn w:val="FootnoteText"/>
    <w:link w:val="FootnotesChar"/>
  </w:style>
  <w:style w:type="character" w:customStyle="1" w:styleId="FootnotesChar">
    <w:name w:val="Footnotes Char"/>
    <w:link w:val="Footnotes"/>
    <w:rPr>
      <w:color w:val="000000"/>
      <w:sz w:val="13"/>
      <w:szCs w:val="20"/>
    </w:rPr>
  </w:style>
  <w:style w:type="table" w:customStyle="1" w:styleId="PRITable-2">
    <w:name w:val="PRI_Table-2"/>
    <w:basedOn w:val="PRITable"/>
    <w:uiPriority w:val="99"/>
    <w:pPr>
      <w:contextualSpacing/>
    </w:pPr>
    <w:rPr>
      <w:sz w:val="13"/>
    </w:rPr>
    <w:tblPr/>
    <w:tblStylePr w:type="firstRow">
      <w:rPr>
        <w:rFonts w:ascii="Bahnschrift SemiBold" w:hAnsi="Bahnschrift SemiBold"/>
        <w:color w:val="FFFFFF"/>
        <w:sz w:val="13"/>
      </w:rPr>
      <w:tblPr/>
      <w:tcPr>
        <w:shd w:val="clear" w:color="auto" w:fill="ADA8D1"/>
      </w:tcPr>
    </w:tblStylePr>
    <w:tblStylePr w:type="band1Horz">
      <w:tblPr/>
      <w:tcPr>
        <w:shd w:val="clear" w:color="auto" w:fill="E5DFEC"/>
      </w:tcPr>
    </w:tblStylePr>
    <w:tblStylePr w:type="band2Horz">
      <w:tblPr/>
      <w:tcPr>
        <w:shd w:val="clear" w:color="auto" w:fill="FFFFFF"/>
      </w:tcPr>
    </w:tblStylePr>
  </w:style>
  <w:style w:type="paragraph" w:customStyle="1" w:styleId="table">
    <w:name w:val="table"/>
    <w:basedOn w:val="Normal"/>
    <w:link w:val="tableChar"/>
    <w:qFormat/>
    <w:pPr>
      <w:jc w:val="center"/>
    </w:pPr>
    <w:rPr>
      <w:sz w:val="13"/>
    </w:rPr>
  </w:style>
  <w:style w:type="character" w:customStyle="1" w:styleId="tableChar">
    <w:name w:val="table Char"/>
    <w:link w:val="table"/>
    <w:rPr>
      <w:color w:val="000000"/>
      <w:sz w:val="13"/>
    </w:rPr>
  </w:style>
  <w:style w:type="character" w:customStyle="1" w:styleId="CommentTextChar">
    <w:name w:val="Comment Text Char"/>
    <w:basedOn w:val="DefaultParagraphFont"/>
    <w:link w:val="CommentText"/>
    <w:uiPriority w:val="99"/>
    <w:rPr>
      <w:rFonts w:ascii="Verdana" w:eastAsia="Verdana" w:hAnsi="Verdana" w:cs="Times New Roman"/>
      <w:color w:val="000000"/>
      <w:sz w:val="20"/>
      <w:szCs w:val="20"/>
    </w:rPr>
  </w:style>
  <w:style w:type="character" w:customStyle="1" w:styleId="BodyTextChar">
    <w:name w:val="Body Text Char"/>
    <w:basedOn w:val="DefaultParagraphFont"/>
    <w:link w:val="BodyText"/>
    <w:uiPriority w:val="1"/>
    <w:rPr>
      <w:rFonts w:ascii="Verdana" w:eastAsia="Verdana" w:hAnsi="Verdana" w:cs="Times New Roman"/>
      <w:color w:val="000000"/>
      <w:sz w:val="18"/>
    </w:rPr>
  </w:style>
  <w:style w:type="character" w:customStyle="1" w:styleId="BodyTextIndentChar">
    <w:name w:val="Body Text Indent Char"/>
    <w:link w:val="BodyTextIndent"/>
    <w:uiPriority w:val="99"/>
    <w:rPr>
      <w:color w:val="000000"/>
      <w:sz w:val="18"/>
    </w:rPr>
  </w:style>
  <w:style w:type="paragraph" w:customStyle="1" w:styleId="TableTitle">
    <w:name w:val="TableTitle"/>
    <w:basedOn w:val="Normal"/>
    <w:uiPriority w:val="14"/>
    <w:qFormat/>
    <w:pPr>
      <w:spacing w:before="0" w:after="0" w:line="220" w:lineRule="atLeast"/>
    </w:pPr>
    <w:rPr>
      <w:rFonts w:ascii="Arial Narrow" w:eastAsia="Calibri" w:hAnsi="Arial Narrow"/>
      <w:b/>
      <w:color w:val="0067AC"/>
      <w:sz w:val="20"/>
      <w:szCs w:val="24"/>
    </w:rPr>
  </w:style>
  <w:style w:type="paragraph" w:customStyle="1" w:styleId="TableTextNoSpace">
    <w:name w:val="TableTextNoSpace"/>
    <w:basedOn w:val="Normal"/>
    <w:uiPriority w:val="15"/>
    <w:qFormat/>
    <w:pPr>
      <w:spacing w:before="0" w:after="0" w:line="220" w:lineRule="atLeast"/>
    </w:pPr>
    <w:rPr>
      <w:rFonts w:ascii="Arial" w:eastAsia="Calibri" w:hAnsi="Arial"/>
      <w:color w:val="auto"/>
      <w:szCs w:val="24"/>
    </w:rPr>
  </w:style>
  <w:style w:type="table" w:customStyle="1" w:styleId="TableGrid1">
    <w:name w:val="Table Grid1"/>
    <w:basedOn w:val="TableNormal"/>
    <w:uiPriority w:val="59"/>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15"/>
    <w:qFormat/>
    <w:pPr>
      <w:spacing w:before="0" w:after="0" w:line="220" w:lineRule="atLeast"/>
    </w:pPr>
    <w:rPr>
      <w:rFonts w:ascii="Arial" w:eastAsia="Calibri" w:hAnsi="Arial"/>
      <w:color w:val="auto"/>
      <w:sz w:val="20"/>
      <w:szCs w:val="24"/>
    </w:rPr>
  </w:style>
  <w:style w:type="character" w:customStyle="1" w:styleId="BalloonTextChar">
    <w:name w:val="Balloon Text Char"/>
    <w:basedOn w:val="DefaultParagraphFont"/>
    <w:link w:val="BalloonText"/>
    <w:uiPriority w:val="99"/>
    <w:rPr>
      <w:rFonts w:ascii="Lucida Grande" w:eastAsia="Calibri" w:hAnsi="Lucida Grande"/>
      <w:szCs w:val="18"/>
    </w:rPr>
  </w:style>
  <w:style w:type="character" w:customStyle="1" w:styleId="BalloonTextChar1">
    <w:name w:val="Balloon Text Char1"/>
    <w:uiPriority w:val="99"/>
    <w:semiHidden/>
    <w:rPr>
      <w:rFonts w:ascii="Segoe UI" w:hAnsi="Segoe UI" w:cs="Segoe UI"/>
      <w:color w:val="000000"/>
      <w:sz w:val="18"/>
      <w:szCs w:val="18"/>
    </w:rPr>
  </w:style>
  <w:style w:type="character" w:customStyle="1" w:styleId="CommentSubjectChar">
    <w:name w:val="Comment Subject Char"/>
    <w:basedOn w:val="CommentTextChar"/>
    <w:link w:val="CommentSubject"/>
    <w:uiPriority w:val="99"/>
    <w:semiHidden/>
    <w:rPr>
      <w:rFonts w:ascii="Arial Narrow" w:eastAsia="Calibri" w:hAnsi="Arial Narrow" w:cs="Times New Roman"/>
      <w:b/>
      <w:bCs/>
      <w:color w:val="000000"/>
      <w:sz w:val="20"/>
      <w:szCs w:val="20"/>
    </w:rPr>
  </w:style>
  <w:style w:type="character" w:customStyle="1" w:styleId="CommentSubjectChar1">
    <w:name w:val="Comment Subject Char1"/>
    <w:uiPriority w:val="99"/>
    <w:semiHidden/>
    <w:rPr>
      <w:rFonts w:ascii="Verdana" w:eastAsia="Verdana" w:hAnsi="Verdana" w:cs="Times New Roman"/>
      <w:b/>
      <w:bCs/>
      <w:color w:val="000000"/>
      <w:sz w:val="20"/>
      <w:szCs w:val="20"/>
    </w:rPr>
  </w:style>
  <w:style w:type="paragraph" w:customStyle="1" w:styleId="Default">
    <w:name w:val="Default"/>
    <w:link w:val="DefaultChar"/>
    <w:pPr>
      <w:autoSpaceDE w:val="0"/>
      <w:autoSpaceDN w:val="0"/>
      <w:adjustRightInd w:val="0"/>
    </w:pPr>
    <w:rPr>
      <w:rFonts w:eastAsia="Calibri"/>
      <w:color w:val="000000"/>
      <w:sz w:val="24"/>
      <w:szCs w:val="24"/>
      <w:lang w:val="en-US" w:eastAsia="en-US"/>
    </w:rPr>
  </w:style>
  <w:style w:type="character" w:customStyle="1" w:styleId="apple-converted-space">
    <w:name w:val="apple-converted-space"/>
    <w:basedOn w:val="DefaultParagraphFont"/>
  </w:style>
  <w:style w:type="paragraph" w:customStyle="1" w:styleId="BodyTextIndent1">
    <w:name w:val="Body Text Indent1"/>
    <w:pPr>
      <w:spacing w:line="360" w:lineRule="atLeast"/>
      <w:ind w:left="720" w:hanging="720"/>
      <w:jc w:val="both"/>
    </w:pPr>
    <w:rPr>
      <w:rFonts w:ascii="Arial Narrow" w:eastAsia="ヒラギノ角ゴ Pro W3" w:hAnsi="Arial Narrow"/>
      <w:color w:val="000000"/>
      <w:sz w:val="28"/>
      <w:lang w:val="en-US" w:eastAsia="en-US"/>
    </w:rPr>
  </w:style>
  <w:style w:type="paragraph" w:customStyle="1" w:styleId="ListParagraph2">
    <w:name w:val="List Paragraph2"/>
    <w:basedOn w:val="Normal"/>
    <w:uiPriority w:val="34"/>
    <w:qFormat/>
    <w:pPr>
      <w:spacing w:before="0" w:after="0" w:line="240" w:lineRule="auto"/>
      <w:ind w:left="720"/>
      <w:contextualSpacing/>
    </w:pPr>
    <w:rPr>
      <w:rFonts w:ascii="Calibri" w:eastAsia="Calibri" w:hAnsi="Calibri" w:cs="Arial"/>
      <w:color w:val="auto"/>
      <w:sz w:val="22"/>
    </w:rPr>
  </w:style>
  <w:style w:type="paragraph" w:customStyle="1" w:styleId="ColorfulList-Accent11">
    <w:name w:val="Colorful List - Accent 11"/>
    <w:basedOn w:val="Normal"/>
    <w:link w:val="ColorfulList-Accent1Char"/>
    <w:uiPriority w:val="34"/>
    <w:qFormat/>
    <w:pPr>
      <w:spacing w:before="0" w:after="120"/>
      <w:ind w:left="720"/>
      <w:contextualSpacing/>
    </w:pPr>
    <w:rPr>
      <w:rFonts w:ascii="Calibri" w:eastAsia="Calibri" w:hAnsi="Calibri"/>
      <w:color w:val="auto"/>
      <w:sz w:val="22"/>
    </w:rPr>
  </w:style>
  <w:style w:type="character" w:customStyle="1" w:styleId="ColorfulList-Accent1Char">
    <w:name w:val="Colorful List - Accent 1 Char"/>
    <w:link w:val="ColorfulList-Accent11"/>
    <w:uiPriority w:val="34"/>
    <w:rPr>
      <w:rFonts w:ascii="Calibri" w:eastAsia="Calibri" w:hAnsi="Calibri" w:cs="Times New Roman"/>
      <w:lang w:val="en-GB"/>
    </w:rPr>
  </w:style>
  <w:style w:type="paragraph" w:customStyle="1" w:styleId="BoxTitle">
    <w:name w:val="BoxTitle"/>
    <w:basedOn w:val="Normal"/>
    <w:uiPriority w:val="13"/>
    <w:qFormat/>
    <w:pPr>
      <w:spacing w:after="120" w:line="320" w:lineRule="atLeast"/>
    </w:pPr>
    <w:rPr>
      <w:rFonts w:ascii="Calibri" w:eastAsia="Calibri" w:hAnsi="Calibri"/>
      <w:b/>
      <w:color w:val="0067AC"/>
      <w:sz w:val="28"/>
      <w:szCs w:val="24"/>
    </w:rPr>
  </w:style>
  <w:style w:type="paragraph" w:customStyle="1" w:styleId="Reporttext">
    <w:name w:val="Report text"/>
    <w:link w:val="ReporttextChar"/>
    <w:pPr>
      <w:spacing w:before="120"/>
    </w:pPr>
    <w:rPr>
      <w:rFonts w:ascii="Cambria" w:eastAsia="Times New Roman" w:hAnsi="Cambria"/>
      <w:sz w:val="22"/>
      <w:lang w:val="en-CA" w:eastAsia="en-US"/>
    </w:rPr>
  </w:style>
  <w:style w:type="character" w:customStyle="1" w:styleId="ReporttextChar">
    <w:name w:val="Report text Char"/>
    <w:link w:val="Reporttext"/>
    <w:rPr>
      <w:rFonts w:ascii="Cambria" w:eastAsia="Times New Roman" w:hAnsi="Cambria" w:cs="Times New Roman"/>
      <w:szCs w:val="20"/>
      <w:lang w:val="en-CA"/>
    </w:rPr>
  </w:style>
  <w:style w:type="paragraph" w:styleId="ListParagraph">
    <w:name w:val="List Paragraph"/>
    <w:aliases w:val="Resume Title,heading 4,Citation List,Ha,Medium Grid 1 - Accent 21,Indent Paragraph,Bullets,1st level - Bullet List Paragraph,Lettre d'introduction,Paragrafo elenco,List Paragraph (numbered (a)),List_Paragraph,Multilevel para_II,Dot pt,L"/>
    <w:basedOn w:val="Normal"/>
    <w:uiPriority w:val="7"/>
    <w:qFormat/>
    <w:pPr>
      <w:spacing w:before="0"/>
      <w:ind w:left="720"/>
      <w:contextualSpacing/>
    </w:pPr>
    <w:rPr>
      <w:rFonts w:ascii="Calibri" w:eastAsia="Calibri" w:hAnsi="Calibri"/>
      <w:color w:val="auto"/>
      <w:sz w:val="22"/>
    </w:rPr>
  </w:style>
  <w:style w:type="paragraph" w:customStyle="1" w:styleId="Sinespaciado1">
    <w:name w:val="Sin espaciado1"/>
    <w:uiPriority w:val="1"/>
    <w:qFormat/>
    <w:rPr>
      <w:rFonts w:ascii="Arial" w:eastAsia="Times New Roman" w:hAnsi="Arial"/>
      <w:sz w:val="22"/>
      <w:szCs w:val="22"/>
      <w:lang w:val="de-CH" w:eastAsia="de-CH"/>
    </w:rPr>
  </w:style>
  <w:style w:type="character" w:customStyle="1" w:styleId="DocumentMapChar">
    <w:name w:val="Document Map Char"/>
    <w:basedOn w:val="DefaultParagraphFont"/>
    <w:link w:val="DocumentMap"/>
    <w:uiPriority w:val="99"/>
    <w:semiHidden/>
    <w:rPr>
      <w:rFonts w:ascii="Lucida Grande" w:hAnsi="Lucida Grande" w:cs="Lucida Grande"/>
      <w:color w:val="000000"/>
      <w:sz w:val="24"/>
      <w:szCs w:val="24"/>
      <w:lang w:val="en-GB"/>
    </w:rPr>
  </w:style>
  <w:style w:type="table" w:customStyle="1" w:styleId="GridTable4-Accent112">
    <w:name w:val="Grid Table 4 - Accent 112"/>
    <w:basedOn w:val="TableNormal"/>
    <w:uiPriority w:val="49"/>
    <w:rPr>
      <w:rFonts w:asciiTheme="minorHAnsi" w:eastAsiaTheme="minorHAnsi" w:hAnsiTheme="minorHAnsi" w:cstheme="minorBidi"/>
      <w:sz w:val="22"/>
      <w:szCs w:val="22"/>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31">
    <w:name w:val="Grid Table 1 Light - Accent 31"/>
    <w:basedOn w:val="TableNormal"/>
    <w:uiPriority w:val="46"/>
    <w:rPr>
      <w:rFonts w:asciiTheme="minorHAnsi" w:eastAsiaTheme="minorEastAsia" w:hAnsiTheme="minorHAnsi" w:cstheme="minorBidi"/>
      <w:sz w:val="22"/>
      <w:szCs w:val="22"/>
    </w:rPr>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TableParagraph">
    <w:name w:val="Table Paragraph"/>
    <w:basedOn w:val="Normal"/>
    <w:uiPriority w:val="1"/>
    <w:qFormat/>
    <w:pPr>
      <w:widowControl w:val="0"/>
      <w:autoSpaceDE w:val="0"/>
      <w:autoSpaceDN w:val="0"/>
      <w:spacing w:before="0" w:after="0" w:line="240" w:lineRule="auto"/>
      <w:ind w:left="1440"/>
    </w:pPr>
    <w:rPr>
      <w:rFonts w:ascii="Cambria" w:eastAsia="Arial" w:hAnsi="Cambria" w:cs="Arial"/>
      <w:color w:val="auto"/>
      <w:sz w:val="22"/>
    </w:rPr>
  </w:style>
  <w:style w:type="table" w:customStyle="1" w:styleId="GridTable4-Accent12">
    <w:name w:val="Grid Table 4 - Accent 12"/>
    <w:basedOn w:val="TableNormal"/>
    <w:uiPriority w:val="49"/>
    <w:pPr>
      <w:spacing w:after="120" w:line="276" w:lineRule="auto"/>
    </w:pPr>
    <w:tblPr>
      <w:tblBorders>
        <w:top w:val="single" w:sz="4" w:space="0" w:color="9B95C9"/>
        <w:left w:val="single" w:sz="4" w:space="0" w:color="9B95C9"/>
        <w:bottom w:val="single" w:sz="4" w:space="0" w:color="9B95C9"/>
        <w:right w:val="single" w:sz="4" w:space="0" w:color="9B95C9"/>
        <w:insideH w:val="single" w:sz="4" w:space="0" w:color="9B95C9"/>
        <w:insideV w:val="single" w:sz="4" w:space="0" w:color="9B95C9"/>
      </w:tblBorders>
    </w:tblPr>
    <w:tblStylePr w:type="firstRow">
      <w:rPr>
        <w:b/>
        <w:bCs/>
        <w:color w:val="FFFFFF"/>
      </w:rPr>
      <w:tblPr/>
      <w:tcPr>
        <w:tcBorders>
          <w:top w:val="single" w:sz="4" w:space="0" w:color="5C52A3"/>
          <w:left w:val="single" w:sz="4" w:space="0" w:color="5C52A3"/>
          <w:bottom w:val="single" w:sz="4" w:space="0" w:color="5C52A3"/>
          <w:right w:val="single" w:sz="4" w:space="0" w:color="5C52A3"/>
          <w:insideH w:val="nil"/>
          <w:insideV w:val="nil"/>
        </w:tcBorders>
        <w:shd w:val="clear" w:color="auto" w:fill="5C52A3"/>
      </w:tcPr>
    </w:tblStylePr>
    <w:tblStylePr w:type="lastRow">
      <w:rPr>
        <w:b/>
        <w:bCs/>
      </w:rPr>
      <w:tblPr/>
      <w:tcPr>
        <w:tcBorders>
          <w:top w:val="double" w:sz="4" w:space="0" w:color="5C52A3"/>
        </w:tcBorders>
      </w:tcPr>
    </w:tblStylePr>
    <w:tblStylePr w:type="firstCol">
      <w:rPr>
        <w:b/>
        <w:bCs/>
      </w:rPr>
    </w:tblStylePr>
    <w:tblStylePr w:type="lastCol">
      <w:rPr>
        <w:b/>
        <w:bCs/>
      </w:rPr>
    </w:tblStylePr>
    <w:tblStylePr w:type="band1Vert">
      <w:tblPr/>
      <w:tcPr>
        <w:shd w:val="clear" w:color="auto" w:fill="DDDBED"/>
      </w:tcPr>
    </w:tblStylePr>
    <w:tblStylePr w:type="band1Horz">
      <w:tblPr/>
      <w:tcPr>
        <w:shd w:val="clear" w:color="auto" w:fill="DDDBED"/>
      </w:tcPr>
    </w:tblStylePr>
  </w:style>
  <w:style w:type="paragraph" w:customStyle="1" w:styleId="Revision1">
    <w:name w:val="Revision1"/>
    <w:hidden/>
    <w:uiPriority w:val="99"/>
    <w:semiHidden/>
    <w:rPr>
      <w:rFonts w:ascii="Verdana" w:eastAsia="Verdana" w:hAnsi="Verdana"/>
      <w:color w:val="000000"/>
      <w:sz w:val="18"/>
      <w:szCs w:val="22"/>
      <w:lang w:val="en-GB" w:eastAsia="en-US"/>
    </w:rPr>
  </w:style>
  <w:style w:type="table" w:customStyle="1" w:styleId="GridTable4-Accent13">
    <w:name w:val="Grid Table 4 - Accent 13"/>
    <w:basedOn w:val="TableNormal"/>
    <w:uiPriority w:val="49"/>
    <w:rPr>
      <w:rFonts w:asciiTheme="minorHAnsi" w:eastAsiaTheme="minorHAnsi" w:hAnsiTheme="minorHAnsi" w:cstheme="minorBidi"/>
      <w:sz w:val="22"/>
      <w:szCs w:val="22"/>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41">
    <w:name w:val="Grid Table 4 - Accent 41"/>
    <w:basedOn w:val="TableNormal"/>
    <w:uiPriority w:val="49"/>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6Char">
    <w:name w:val="Heading 6 Char"/>
    <w:basedOn w:val="DefaultParagraphFont"/>
    <w:link w:val="Heading6"/>
    <w:uiPriority w:val="9"/>
    <w:rPr>
      <w:rFonts w:ascii="Cambria" w:eastAsia="MS Gothic" w:hAnsi="Cambria"/>
      <w:i/>
      <w:iCs/>
      <w:color w:val="243F60"/>
      <w:sz w:val="22"/>
      <w:szCs w:val="22"/>
      <w:lang w:val="en-GB"/>
    </w:rPr>
  </w:style>
  <w:style w:type="character" w:customStyle="1" w:styleId="Heading7Char">
    <w:name w:val="Heading 7 Char"/>
    <w:basedOn w:val="DefaultParagraphFont"/>
    <w:link w:val="Heading7"/>
    <w:uiPriority w:val="9"/>
    <w:rPr>
      <w:rFonts w:ascii="Cambria" w:eastAsia="MS Gothic" w:hAnsi="Cambria"/>
      <w:i/>
      <w:iCs/>
      <w:color w:val="404040"/>
      <w:sz w:val="24"/>
      <w:szCs w:val="24"/>
      <w:lang w:val="en-GB"/>
    </w:rPr>
  </w:style>
  <w:style w:type="character" w:customStyle="1" w:styleId="Heading8Char">
    <w:name w:val="Heading 8 Char"/>
    <w:basedOn w:val="DefaultParagraphFont"/>
    <w:link w:val="Heading8"/>
    <w:uiPriority w:val="9"/>
    <w:rPr>
      <w:rFonts w:ascii="Cambria" w:eastAsia="MS Gothic" w:hAnsi="Cambria"/>
      <w:color w:val="404040"/>
      <w:sz w:val="24"/>
      <w:lang w:val="en-GB"/>
    </w:rPr>
  </w:style>
  <w:style w:type="character" w:customStyle="1" w:styleId="Heading9Char">
    <w:name w:val="Heading 9 Char"/>
    <w:basedOn w:val="DefaultParagraphFont"/>
    <w:link w:val="Heading9"/>
    <w:uiPriority w:val="9"/>
    <w:rPr>
      <w:rFonts w:ascii="Cambria" w:eastAsia="MS Gothic" w:hAnsi="Cambria"/>
      <w:i/>
      <w:iCs/>
      <w:color w:val="404040"/>
      <w:sz w:val="24"/>
      <w:lang w:val="en-GB"/>
    </w:rPr>
  </w:style>
  <w:style w:type="paragraph" w:styleId="NoSpacing">
    <w:name w:val="No Spacing"/>
    <w:link w:val="NoSpacingChar"/>
    <w:uiPriority w:val="1"/>
    <w:qFormat/>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rPr>
  </w:style>
  <w:style w:type="paragraph" w:customStyle="1" w:styleId="TOCHeading1">
    <w:name w:val="TOC Heading1"/>
    <w:basedOn w:val="Heading1"/>
    <w:next w:val="Heading9"/>
    <w:uiPriority w:val="39"/>
    <w:unhideWhenUsed/>
    <w:qFormat/>
    <w:pPr>
      <w:outlineLvl w:val="9"/>
    </w:pPr>
    <w:rPr>
      <w:rFonts w:asciiTheme="majorHAnsi" w:eastAsiaTheme="majorEastAsia" w:hAnsiTheme="majorHAnsi" w:cstheme="majorBidi"/>
      <w:color w:val="365F91" w:themeColor="accent1" w:themeShade="BF"/>
      <w:lang w:val="en-US"/>
    </w:rPr>
  </w:style>
  <w:style w:type="paragraph" w:styleId="IntenseQuote">
    <w:name w:val="Intense Quote"/>
    <w:basedOn w:val="Normal"/>
    <w:next w:val="Normal"/>
    <w:link w:val="IntenseQuoteChar"/>
    <w:uiPriority w:val="30"/>
    <w:qFormat/>
    <w:pPr>
      <w:pBdr>
        <w:top w:val="single" w:sz="4" w:space="10" w:color="5C52A3"/>
        <w:bottom w:val="single" w:sz="4" w:space="10" w:color="5C52A3"/>
      </w:pBdr>
      <w:spacing w:before="360" w:after="360"/>
      <w:ind w:left="864" w:right="864"/>
      <w:jc w:val="center"/>
    </w:pPr>
    <w:rPr>
      <w:rFonts w:asciiTheme="minorHAnsi" w:eastAsiaTheme="minorHAnsi" w:hAnsiTheme="minorHAnsi" w:cstheme="minorBidi"/>
      <w:i/>
      <w:iCs/>
      <w:color w:val="5C52A3"/>
      <w:lang w:val="en-US"/>
    </w:rPr>
  </w:style>
  <w:style w:type="character" w:customStyle="1" w:styleId="IntenseQuoteChar">
    <w:name w:val="Intense Quote Char"/>
    <w:basedOn w:val="DefaultParagraphFont"/>
    <w:link w:val="IntenseQuote"/>
    <w:uiPriority w:val="30"/>
    <w:rPr>
      <w:rFonts w:asciiTheme="minorHAnsi" w:eastAsiaTheme="minorHAnsi" w:hAnsiTheme="minorHAnsi" w:cstheme="minorBidi"/>
      <w:i/>
      <w:iCs/>
      <w:color w:val="5C52A3"/>
      <w:sz w:val="18"/>
      <w:szCs w:val="22"/>
    </w:rPr>
  </w:style>
  <w:style w:type="character" w:customStyle="1" w:styleId="IntenseReference1">
    <w:name w:val="Intense Reference1"/>
    <w:basedOn w:val="DefaultParagraphFont"/>
    <w:uiPriority w:val="32"/>
    <w:qFormat/>
    <w:rPr>
      <w:b/>
      <w:bCs/>
      <w:smallCaps/>
      <w:color w:val="5C52A3"/>
      <w:spacing w:val="5"/>
    </w:rPr>
  </w:style>
  <w:style w:type="character" w:customStyle="1" w:styleId="DefaultChar">
    <w:name w:val="Default Char"/>
    <w:basedOn w:val="DefaultParagraphFont"/>
    <w:link w:val="Default"/>
    <w:rPr>
      <w:rFonts w:ascii="Times New Roman" w:eastAsia="Calibri" w:hAnsi="Times New Roman"/>
      <w:color w:val="000000"/>
      <w:sz w:val="24"/>
      <w:szCs w:val="24"/>
    </w:rPr>
  </w:style>
  <w:style w:type="paragraph" w:customStyle="1" w:styleId="CVNavn">
    <w:name w:val="CVNavn"/>
    <w:basedOn w:val="Normal"/>
    <w:qFormat/>
    <w:pPr>
      <w:spacing w:before="0" w:after="120"/>
    </w:pPr>
    <w:rPr>
      <w:rFonts w:ascii="Arial" w:eastAsia="Calibri" w:hAnsi="Arial" w:cs="Arial"/>
      <w:b/>
      <w:color w:val="9BBB59"/>
      <w:sz w:val="22"/>
    </w:rPr>
  </w:style>
  <w:style w:type="character" w:customStyle="1" w:styleId="go">
    <w:name w:val="go"/>
    <w:basedOn w:val="DefaultParagraphFont"/>
  </w:style>
  <w:style w:type="paragraph" w:customStyle="1" w:styleId="CVInfo">
    <w:name w:val="CVInfo"/>
    <w:basedOn w:val="Normal"/>
    <w:next w:val="Normal"/>
    <w:qFormat/>
    <w:pPr>
      <w:spacing w:before="0" w:after="0"/>
    </w:pPr>
    <w:rPr>
      <w:rFonts w:ascii="Arial" w:eastAsia="Calibri" w:hAnsi="Arial" w:cs="Arial"/>
      <w:color w:val="auto"/>
      <w:sz w:val="22"/>
      <w:lang w:eastAsia="en-GB"/>
    </w:rPr>
  </w:style>
  <w:style w:type="paragraph" w:customStyle="1" w:styleId="StyleCVNavnAccent1">
    <w:name w:val="Style CVNavn + Accent 1"/>
    <w:basedOn w:val="CVNavn"/>
    <w:rPr>
      <w:bCs/>
      <w:color w:val="012169"/>
    </w:rPr>
  </w:style>
  <w:style w:type="paragraph" w:customStyle="1" w:styleId="normaltableau">
    <w:name w:val="normal_tableau"/>
    <w:basedOn w:val="Normal"/>
    <w:link w:val="normaltableauChar"/>
    <w:pPr>
      <w:spacing w:before="0" w:after="120" w:line="240" w:lineRule="auto"/>
      <w:jc w:val="both"/>
    </w:pPr>
    <w:rPr>
      <w:rFonts w:ascii="Optima" w:eastAsia="Times New Roman" w:hAnsi="Optima"/>
      <w:szCs w:val="20"/>
      <w:lang w:eastAsia="en-GB"/>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SubtitleChar">
    <w:name w:val="Subtitle Char"/>
    <w:basedOn w:val="DefaultParagraphFont"/>
    <w:link w:val="Subtitle"/>
    <w:uiPriority w:val="11"/>
    <w:rPr>
      <w:rFonts w:ascii="Arial" w:eastAsia="Arial" w:hAnsi="Arial" w:cs="Arial"/>
      <w:sz w:val="28"/>
      <w:szCs w:val="28"/>
      <w:lang w:val="en-GB" w:eastAsia="en-GB"/>
    </w:rPr>
  </w:style>
  <w:style w:type="character" w:customStyle="1" w:styleId="Listavistosa-nfasis1Car">
    <w:name w:val="Lista vistosa - Énfasis 1 Car"/>
    <w:uiPriority w:val="34"/>
    <w:locked/>
    <w:rPr>
      <w:rFonts w:ascii="Verdana" w:eastAsia="Verdana" w:hAnsi="Verdana" w:cs="Times New Roman"/>
      <w:color w:val="000000"/>
      <w:sz w:val="18"/>
      <w:lang w:val="en-GB"/>
    </w:rPr>
  </w:style>
  <w:style w:type="paragraph" w:customStyle="1" w:styleId="Cuadrculamedia21">
    <w:name w:val="Cuadrícula media 21"/>
    <w:link w:val="Cuadrculamedia2Car"/>
    <w:uiPriority w:val="1"/>
    <w:qFormat/>
    <w:pPr>
      <w:spacing w:after="120" w:line="276" w:lineRule="auto"/>
    </w:pPr>
    <w:rPr>
      <w:rFonts w:ascii="Verdana" w:eastAsia="Times New Roman" w:hAnsi="Verdana"/>
      <w:sz w:val="22"/>
      <w:szCs w:val="22"/>
      <w:lang w:val="en-US" w:eastAsia="en-US"/>
    </w:rPr>
  </w:style>
  <w:style w:type="character" w:customStyle="1" w:styleId="Cuadrculamedia2Car">
    <w:name w:val="Cuadrícula media 2 Car"/>
    <w:link w:val="Cuadrculamedia21"/>
    <w:uiPriority w:val="1"/>
    <w:rPr>
      <w:rFonts w:eastAsia="Times New Roman"/>
      <w:sz w:val="22"/>
      <w:szCs w:val="22"/>
    </w:rPr>
  </w:style>
  <w:style w:type="paragraph" w:customStyle="1" w:styleId="Tabladecuadrcula31">
    <w:name w:val="Tabla de cuadrícula 31"/>
    <w:basedOn w:val="Heading1"/>
    <w:next w:val="Normal"/>
    <w:uiPriority w:val="39"/>
    <w:unhideWhenUsed/>
    <w:qFormat/>
    <w:pPr>
      <w:outlineLvl w:val="9"/>
    </w:pPr>
    <w:rPr>
      <w:color w:val="443D79"/>
    </w:rPr>
  </w:style>
  <w:style w:type="paragraph" w:customStyle="1" w:styleId="Sombreadoclaro-nfasis21">
    <w:name w:val="Sombreado claro - Énfasis 21"/>
    <w:basedOn w:val="Normal"/>
    <w:next w:val="Normal"/>
    <w:link w:val="Sombreadoclaro-nfasis2Car"/>
    <w:uiPriority w:val="30"/>
    <w:qFormat/>
    <w:pPr>
      <w:pBdr>
        <w:top w:val="single" w:sz="4" w:space="10" w:color="5C52A3"/>
        <w:bottom w:val="single" w:sz="4" w:space="10" w:color="5C52A3"/>
      </w:pBdr>
      <w:spacing w:before="360" w:after="360"/>
      <w:ind w:left="864" w:right="864"/>
      <w:jc w:val="center"/>
    </w:pPr>
    <w:rPr>
      <w:i/>
      <w:iCs/>
      <w:color w:val="5C52A3"/>
    </w:rPr>
  </w:style>
  <w:style w:type="character" w:customStyle="1" w:styleId="Sombreadoclaro-nfasis2Car">
    <w:name w:val="Sombreado claro - Énfasis 2 Car"/>
    <w:link w:val="Sombreadoclaro-nfasis21"/>
    <w:uiPriority w:val="30"/>
    <w:rPr>
      <w:i/>
      <w:iCs/>
      <w:color w:val="5C52A3"/>
      <w:sz w:val="18"/>
      <w:szCs w:val="22"/>
      <w:lang w:val="en-GB"/>
    </w:rPr>
  </w:style>
  <w:style w:type="character" w:customStyle="1" w:styleId="Tablaconcuadrculaclara1">
    <w:name w:val="Tabla con cuadrícula clara1"/>
    <w:uiPriority w:val="32"/>
    <w:qFormat/>
    <w:rPr>
      <w:b/>
      <w:bCs/>
      <w:smallCaps/>
      <w:color w:val="5C52A3"/>
      <w:spacing w:val="5"/>
    </w:rPr>
  </w:style>
  <w:style w:type="paragraph" w:customStyle="1" w:styleId="Annexetitle">
    <w:name w:val="Annexe_title"/>
    <w:basedOn w:val="Heading1"/>
    <w:next w:val="Normal"/>
    <w:autoRedefine/>
    <w:pPr>
      <w:keepNext w:val="0"/>
      <w:keepLines w:val="0"/>
      <w:pageBreakBefore/>
      <w:tabs>
        <w:tab w:val="left" w:pos="360"/>
        <w:tab w:val="left" w:pos="1701"/>
        <w:tab w:val="left" w:pos="2552"/>
      </w:tabs>
      <w:spacing w:after="240"/>
      <w:jc w:val="center"/>
      <w:outlineLvl w:val="9"/>
    </w:pPr>
    <w:rPr>
      <w:rFonts w:ascii="Times New Roman" w:hAnsi="Times New Roman"/>
      <w:color w:val="auto"/>
      <w:sz w:val="28"/>
      <w:szCs w:val="28"/>
      <w:lang w:eastAsia="en-GB"/>
    </w:rPr>
  </w:style>
  <w:style w:type="paragraph" w:customStyle="1" w:styleId="ListNumberLevel2">
    <w:name w:val="List Number (Level 2)"/>
    <w:basedOn w:val="Normal"/>
    <w:pPr>
      <w:tabs>
        <w:tab w:val="left" w:pos="1417"/>
      </w:tabs>
      <w:spacing w:before="0" w:after="240" w:line="240" w:lineRule="auto"/>
      <w:ind w:left="1417" w:hanging="708"/>
      <w:jc w:val="both"/>
    </w:pPr>
    <w:rPr>
      <w:rFonts w:ascii="Times New Roman" w:eastAsia="Times New Roman" w:hAnsi="Times New Roman"/>
      <w:color w:val="auto"/>
      <w:sz w:val="24"/>
      <w:szCs w:val="24"/>
    </w:rPr>
  </w:style>
  <w:style w:type="paragraph" w:customStyle="1" w:styleId="ListNumberLevel3">
    <w:name w:val="List Number (Level 3)"/>
    <w:basedOn w:val="Normal"/>
    <w:pPr>
      <w:tabs>
        <w:tab w:val="left" w:pos="2126"/>
      </w:tabs>
      <w:spacing w:before="0" w:after="240" w:line="240" w:lineRule="auto"/>
      <w:ind w:left="2126" w:hanging="709"/>
      <w:jc w:val="both"/>
    </w:pPr>
    <w:rPr>
      <w:rFonts w:ascii="Times New Roman" w:eastAsia="Times New Roman" w:hAnsi="Times New Roman"/>
      <w:color w:val="auto"/>
      <w:sz w:val="24"/>
      <w:szCs w:val="24"/>
    </w:rPr>
  </w:style>
  <w:style w:type="paragraph" w:customStyle="1" w:styleId="ChapterText">
    <w:name w:val="ChapterText"/>
    <w:basedOn w:val="Normal"/>
    <w:uiPriority w:val="99"/>
    <w:pPr>
      <w:spacing w:before="0" w:after="0" w:line="240" w:lineRule="auto"/>
      <w:ind w:left="1418"/>
      <w:jc w:val="both"/>
    </w:pPr>
    <w:rPr>
      <w:rFonts w:ascii="Times New Roman" w:eastAsia="Times New Roman" w:hAnsi="Times New Roman"/>
      <w:color w:val="auto"/>
      <w:sz w:val="22"/>
      <w:szCs w:val="24"/>
    </w:rPr>
  </w:style>
  <w:style w:type="character" w:customStyle="1" w:styleId="FootnoteTextChar3">
    <w:name w:val="Footnote Text Char3"/>
    <w:uiPriority w:val="99"/>
    <w:rPr>
      <w:rFonts w:ascii="Calibri" w:eastAsia="Times New Roman" w:hAnsi="Calibri" w:cs="Times New Roman"/>
      <w:sz w:val="20"/>
      <w:lang w:bidi="en-US"/>
    </w:rPr>
  </w:style>
  <w:style w:type="paragraph" w:customStyle="1" w:styleId="Ingenmellomrom2">
    <w:name w:val="Ingen mellomrom2"/>
    <w:basedOn w:val="Normal"/>
    <w:pPr>
      <w:suppressAutoHyphens/>
      <w:spacing w:before="0" w:after="0" w:line="240" w:lineRule="auto"/>
    </w:pPr>
    <w:rPr>
      <w:rFonts w:ascii="Calibri" w:eastAsia="Times New Roman" w:hAnsi="Calibri" w:cs="Calibri"/>
      <w:color w:val="auto"/>
      <w:sz w:val="24"/>
      <w:szCs w:val="32"/>
      <w:lang w:val="en-US" w:bidi="en-US"/>
    </w:rPr>
  </w:style>
  <w:style w:type="paragraph" w:customStyle="1" w:styleId="CVHeading">
    <w:name w:val="CV_Heading"/>
    <w:basedOn w:val="Normal"/>
    <w:next w:val="Normal"/>
    <w:pPr>
      <w:keepNext/>
      <w:pBdr>
        <w:top w:val="single" w:sz="4" w:space="6" w:color="auto"/>
      </w:pBdr>
      <w:spacing w:before="240" w:after="240" w:line="240" w:lineRule="auto"/>
    </w:pPr>
    <w:rPr>
      <w:rFonts w:ascii="Arial" w:eastAsia="Times New Roman" w:hAnsi="Arial"/>
      <w:b/>
      <w:caps/>
      <w:color w:val="auto"/>
      <w:sz w:val="22"/>
      <w:szCs w:val="20"/>
    </w:rPr>
  </w:style>
  <w:style w:type="paragraph" w:customStyle="1" w:styleId="Listeafsnit1">
    <w:name w:val="Listeafsnit1"/>
    <w:basedOn w:val="Normal"/>
    <w:pPr>
      <w:spacing w:before="0" w:after="0" w:line="240" w:lineRule="auto"/>
    </w:pPr>
    <w:rPr>
      <w:rFonts w:ascii="Times New Roman" w:eastAsia="Times New Roman" w:hAnsi="Times New Roman"/>
      <w:color w:val="auto"/>
      <w:sz w:val="24"/>
      <w:szCs w:val="24"/>
    </w:rPr>
  </w:style>
  <w:style w:type="character" w:customStyle="1" w:styleId="BodyText2Char">
    <w:name w:val="Body Text 2 Char"/>
    <w:basedOn w:val="DefaultParagraphFont"/>
    <w:link w:val="BodyText2"/>
    <w:uiPriority w:val="99"/>
    <w:rPr>
      <w:rFonts w:ascii="Times New Roman" w:eastAsia="Times New Roman" w:hAnsi="Times New Roman"/>
      <w:sz w:val="24"/>
      <w:szCs w:val="24"/>
    </w:rPr>
  </w:style>
  <w:style w:type="character" w:customStyle="1" w:styleId="BodyText3Char">
    <w:name w:val="Body Text 3 Char"/>
    <w:basedOn w:val="DefaultParagraphFont"/>
    <w:link w:val="BodyText3"/>
    <w:uiPriority w:val="99"/>
    <w:semiHidden/>
    <w:rPr>
      <w:rFonts w:ascii="Times New Roman" w:eastAsia="Times New Roman" w:hAnsi="Times New Roman"/>
      <w:sz w:val="16"/>
      <w:szCs w:val="16"/>
    </w:rPr>
  </w:style>
  <w:style w:type="character" w:customStyle="1" w:styleId="BodyTextIndentChar1">
    <w:name w:val="Body Text Indent Char1"/>
    <w:uiPriority w:val="99"/>
    <w:rPr>
      <w:rFonts w:ascii="Calibri" w:eastAsia="Times New Roman" w:hAnsi="Calibri" w:cs="Times New Roman"/>
      <w:lang w:bidi="en-US"/>
    </w:rPr>
  </w:style>
  <w:style w:type="paragraph" w:customStyle="1" w:styleId="Heading31">
    <w:name w:val="Heading 31"/>
    <w:basedOn w:val="Normal"/>
    <w:next w:val="Normal"/>
    <w:qFormat/>
    <w:pPr>
      <w:keepNext/>
      <w:spacing w:before="240" w:after="60" w:line="240" w:lineRule="auto"/>
      <w:outlineLvl w:val="2"/>
    </w:pPr>
    <w:rPr>
      <w:rFonts w:ascii="Times" w:eastAsia="Times New Roman" w:hAnsi="Times"/>
      <w:b/>
      <w:color w:val="auto"/>
      <w:sz w:val="24"/>
      <w:szCs w:val="24"/>
    </w:rPr>
  </w:style>
  <w:style w:type="table" w:customStyle="1" w:styleId="TableNormal1">
    <w:name w:val="Table Normal1"/>
    <w:uiPriority w:val="99"/>
    <w:semiHidden/>
    <w:pPr>
      <w:spacing w:after="120" w:line="276" w:lineRule="auto"/>
    </w:pPr>
    <w:rPr>
      <w:rFonts w:ascii="Times" w:eastAsia="Times New Roman" w:hAnsi="Times"/>
      <w:sz w:val="24"/>
      <w:szCs w:val="24"/>
      <w:lang w:val="nb-NO" w:eastAsia="nb-NO"/>
    </w:rPr>
    <w:tblPr>
      <w:tblCellMar>
        <w:top w:w="0" w:type="dxa"/>
        <w:left w:w="108" w:type="dxa"/>
        <w:bottom w:w="0" w:type="dxa"/>
        <w:right w:w="108" w:type="dxa"/>
      </w:tblCellMar>
    </w:tblPr>
  </w:style>
  <w:style w:type="character" w:customStyle="1" w:styleId="PageNumber1">
    <w:name w:val="Page Number1"/>
    <w:basedOn w:val="DefaultParagraphFont"/>
  </w:style>
  <w:style w:type="paragraph" w:customStyle="1" w:styleId="Header1">
    <w:name w:val="Header1"/>
    <w:basedOn w:val="Normal"/>
    <w:pPr>
      <w:tabs>
        <w:tab w:val="center" w:pos="4819"/>
        <w:tab w:val="right" w:pos="9071"/>
      </w:tabs>
      <w:spacing w:before="0" w:after="0" w:line="240" w:lineRule="auto"/>
    </w:pPr>
    <w:rPr>
      <w:rFonts w:ascii="Times New Roman" w:eastAsia="Times New Roman" w:hAnsi="Times New Roman"/>
      <w:color w:val="auto"/>
      <w:sz w:val="22"/>
      <w:szCs w:val="24"/>
    </w:rPr>
  </w:style>
  <w:style w:type="paragraph" w:customStyle="1" w:styleId="Footer1">
    <w:name w:val="Footer1"/>
    <w:basedOn w:val="Normal"/>
    <w:pPr>
      <w:tabs>
        <w:tab w:val="center" w:pos="4536"/>
        <w:tab w:val="right" w:pos="9072"/>
      </w:tabs>
      <w:spacing w:before="0" w:after="0" w:line="240" w:lineRule="auto"/>
    </w:pPr>
    <w:rPr>
      <w:rFonts w:ascii="Times New Roman" w:eastAsia="Times New Roman" w:hAnsi="Times New Roman"/>
      <w:color w:val="auto"/>
      <w:sz w:val="22"/>
      <w:szCs w:val="24"/>
    </w:rPr>
  </w:style>
  <w:style w:type="paragraph" w:customStyle="1" w:styleId="CompanyName">
    <w:name w:val="Company Name"/>
    <w:basedOn w:val="Normal"/>
    <w:next w:val="Normal"/>
    <w:autoRedefine/>
    <w:pPr>
      <w:tabs>
        <w:tab w:val="left" w:pos="2160"/>
        <w:tab w:val="right" w:pos="6480"/>
      </w:tabs>
      <w:spacing w:before="240" w:after="40" w:line="220" w:lineRule="atLeast"/>
    </w:pPr>
    <w:rPr>
      <w:rFonts w:ascii="Times New Roman" w:eastAsia="Times New Roman" w:hAnsi="Times New Roman" w:cs="Angsana New"/>
      <w:color w:val="auto"/>
      <w:sz w:val="24"/>
      <w:szCs w:val="24"/>
      <w:lang w:val="en-US" w:bidi="th-TH"/>
    </w:rPr>
  </w:style>
  <w:style w:type="paragraph" w:customStyle="1" w:styleId="Achievement">
    <w:name w:val="Achievement"/>
    <w:basedOn w:val="BodyText"/>
    <w:pPr>
      <w:numPr>
        <w:numId w:val="9"/>
      </w:numPr>
      <w:spacing w:before="0" w:after="60" w:line="220" w:lineRule="atLeast"/>
      <w:jc w:val="both"/>
    </w:pPr>
    <w:rPr>
      <w:rFonts w:ascii="Arial" w:eastAsia="Times New Roman" w:hAnsi="Arial" w:cs="Angsana New"/>
      <w:color w:val="auto"/>
      <w:spacing w:val="-5"/>
      <w:sz w:val="20"/>
      <w:szCs w:val="20"/>
      <w:lang w:val="en-US" w:bidi="th-TH"/>
    </w:rPr>
  </w:style>
  <w:style w:type="paragraph" w:customStyle="1" w:styleId="JobTitle">
    <w:name w:val="Job Title"/>
    <w:next w:val="Achievement"/>
    <w:pPr>
      <w:spacing w:after="60" w:line="220" w:lineRule="atLeast"/>
    </w:pPr>
    <w:rPr>
      <w:rFonts w:ascii="Arial Black" w:eastAsia="Times New Roman" w:hAnsi="Arial Black" w:cs="Angsana New"/>
      <w:spacing w:val="-10"/>
      <w:lang w:val="en-US" w:eastAsia="en-US" w:bidi="th-TH"/>
    </w:rPr>
  </w:style>
  <w:style w:type="paragraph" w:customStyle="1" w:styleId="Objective">
    <w:name w:val="Objective"/>
    <w:basedOn w:val="Normal"/>
    <w:next w:val="BodyText"/>
    <w:pPr>
      <w:spacing w:before="240" w:after="220" w:line="220" w:lineRule="atLeast"/>
    </w:pPr>
    <w:rPr>
      <w:rFonts w:ascii="Arial" w:eastAsia="Times New Roman" w:hAnsi="Arial" w:cs="Angsana New"/>
      <w:color w:val="auto"/>
      <w:sz w:val="20"/>
      <w:szCs w:val="20"/>
      <w:lang w:val="en-US" w:bidi="th-TH"/>
    </w:rPr>
  </w:style>
  <w:style w:type="paragraph" w:customStyle="1" w:styleId="Heading11">
    <w:name w:val="Heading 11"/>
    <w:basedOn w:val="Normal"/>
    <w:pPr>
      <w:spacing w:before="0" w:after="240" w:line="240" w:lineRule="auto"/>
      <w:jc w:val="both"/>
    </w:pPr>
    <w:rPr>
      <w:rFonts w:ascii="Times New Roman" w:eastAsia="Times New Roman" w:hAnsi="Times New Roman"/>
      <w:color w:val="auto"/>
      <w:sz w:val="24"/>
      <w:szCs w:val="20"/>
      <w:lang w:eastAsia="en-GB"/>
    </w:rPr>
  </w:style>
  <w:style w:type="paragraph" w:customStyle="1" w:styleId="Heading21">
    <w:name w:val="Heading 21"/>
    <w:basedOn w:val="Normal"/>
    <w:pPr>
      <w:spacing w:before="0" w:after="240" w:line="240" w:lineRule="auto"/>
      <w:jc w:val="both"/>
    </w:pPr>
    <w:rPr>
      <w:rFonts w:ascii="Times New Roman" w:eastAsia="Times New Roman" w:hAnsi="Times New Roman"/>
      <w:color w:val="auto"/>
      <w:sz w:val="24"/>
      <w:szCs w:val="20"/>
      <w:lang w:eastAsia="en-GB"/>
    </w:rPr>
  </w:style>
  <w:style w:type="paragraph" w:customStyle="1" w:styleId="Heading41">
    <w:name w:val="Heading 41"/>
    <w:basedOn w:val="Normal"/>
    <w:qFormat/>
    <w:pPr>
      <w:spacing w:before="0" w:after="240" w:line="240" w:lineRule="auto"/>
      <w:jc w:val="both"/>
    </w:pPr>
    <w:rPr>
      <w:rFonts w:ascii="Times New Roman" w:eastAsia="Times New Roman" w:hAnsi="Times New Roman"/>
      <w:color w:val="auto"/>
      <w:sz w:val="24"/>
      <w:szCs w:val="20"/>
      <w:lang w:eastAsia="en-GB"/>
    </w:rPr>
  </w:style>
  <w:style w:type="paragraph" w:customStyle="1" w:styleId="NumPar1">
    <w:name w:val="NumPar 1"/>
    <w:basedOn w:val="Heading11"/>
    <w:next w:val="Normal"/>
    <w:pPr>
      <w:numPr>
        <w:numId w:val="10"/>
      </w:numPr>
    </w:pPr>
    <w:rPr>
      <w:kern w:val="28"/>
    </w:rPr>
  </w:style>
  <w:style w:type="paragraph" w:customStyle="1" w:styleId="Text1">
    <w:name w:val="Text 1"/>
    <w:basedOn w:val="Normal"/>
    <w:qFormat/>
    <w:pPr>
      <w:spacing w:before="0" w:after="240" w:line="240" w:lineRule="auto"/>
      <w:ind w:left="482"/>
      <w:jc w:val="both"/>
    </w:pPr>
    <w:rPr>
      <w:rFonts w:ascii="Times New Roman" w:eastAsia="Times New Roman" w:hAnsi="Times New Roman"/>
      <w:color w:val="auto"/>
      <w:sz w:val="24"/>
      <w:szCs w:val="20"/>
      <w:lang w:eastAsia="en-GB"/>
    </w:rPr>
  </w:style>
  <w:style w:type="paragraph" w:customStyle="1" w:styleId="Table0">
    <w:name w:val="Table"/>
    <w:basedOn w:val="Normal"/>
    <w:qFormat/>
    <w:pPr>
      <w:spacing w:before="60" w:after="60" w:line="220" w:lineRule="atLeast"/>
    </w:pPr>
    <w:rPr>
      <w:rFonts w:ascii="DaneHelveticaNeue" w:eastAsia="Times New Roman" w:hAnsi="DaneHelveticaNeue"/>
      <w:color w:val="auto"/>
      <w:szCs w:val="24"/>
      <w:lang w:val="en-US"/>
    </w:rPr>
  </w:style>
  <w:style w:type="table" w:customStyle="1" w:styleId="GridTable1Light-Accent11">
    <w:name w:val="Grid Table 1 Light - Accent 11"/>
    <w:basedOn w:val="TableNormal"/>
    <w:uiPriority w:val="46"/>
    <w:pPr>
      <w:spacing w:after="120" w:line="276" w:lineRule="auto"/>
    </w:pPr>
    <w:rPr>
      <w:rFonts w:ascii="Calibri" w:eastAsia="Calibri" w:hAnsi="Calibri" w:cs="Arial"/>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ontractstyle">
    <w:name w:val="Contractstyle"/>
    <w:pPr>
      <w:keepLines/>
      <w:tabs>
        <w:tab w:val="left" w:pos="720"/>
      </w:tabs>
      <w:spacing w:before="60" w:after="60" w:line="276" w:lineRule="auto"/>
      <w:ind w:left="720"/>
    </w:pPr>
    <w:rPr>
      <w:rFonts w:eastAsia="Times New Roman"/>
      <w:sz w:val="22"/>
      <w:lang w:val="nb-NO" w:eastAsia="en-US"/>
    </w:rPr>
  </w:style>
  <w:style w:type="table" w:customStyle="1" w:styleId="Tabellrutenett1">
    <w:name w:val="Tabellrutenett1"/>
    <w:basedOn w:val="TableNormal"/>
    <w:uiPriority w:val="59"/>
    <w:pPr>
      <w:spacing w:after="120" w:line="276"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pPr>
      <w:widowControl w:val="0"/>
      <w:autoSpaceDE w:val="0"/>
      <w:autoSpaceDN w:val="0"/>
      <w:adjustRightInd w:val="0"/>
      <w:spacing w:after="120" w:line="276" w:lineRule="auto"/>
    </w:pPr>
    <w:rPr>
      <w:rFonts w:ascii="Arial" w:eastAsiaTheme="minorEastAsia" w:hAnsi="Arial" w:cs="Arial"/>
      <w:sz w:val="24"/>
      <w:szCs w:val="24"/>
      <w:lang w:val="en-US" w:eastAsia="en-US"/>
    </w:rPr>
  </w:style>
  <w:style w:type="paragraph" w:customStyle="1" w:styleId="BVIfnrCharCharChar">
    <w:name w:val="BVI fnr Char Char Char"/>
    <w:basedOn w:val="Normal"/>
    <w:uiPriority w:val="99"/>
    <w:qFormat/>
    <w:pPr>
      <w:spacing w:before="0" w:after="160" w:line="240" w:lineRule="exact"/>
    </w:pPr>
    <w:rPr>
      <w:rFonts w:asciiTheme="minorHAnsi" w:eastAsiaTheme="minorHAnsi" w:hAnsiTheme="minorHAnsi" w:cstheme="minorBidi"/>
      <w:color w:val="auto"/>
      <w:sz w:val="22"/>
      <w:vertAlign w:val="superscript"/>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table" w:customStyle="1" w:styleId="GridTable4-Accent52">
    <w:name w:val="Grid Table 4 - Accent 52"/>
    <w:basedOn w:val="TableNormal"/>
    <w:uiPriority w:val="49"/>
    <w:pPr>
      <w:spacing w:after="120" w:line="276" w:lineRule="auto"/>
    </w:pPr>
    <w:tblPr>
      <w:tblBorders>
        <w:top w:val="single" w:sz="4" w:space="0" w:color="B9B4D9"/>
        <w:left w:val="single" w:sz="4" w:space="0" w:color="B9B4D9"/>
        <w:bottom w:val="single" w:sz="4" w:space="0" w:color="B9B4D9"/>
        <w:right w:val="single" w:sz="4" w:space="0" w:color="B9B4D9"/>
        <w:insideH w:val="single" w:sz="4" w:space="0" w:color="B9B4D9"/>
        <w:insideV w:val="single" w:sz="4" w:space="0" w:color="B9B4D9"/>
      </w:tblBorders>
    </w:tblPr>
    <w:tblStylePr w:type="firstRow">
      <w:rPr>
        <w:b/>
        <w:bCs/>
        <w:color w:val="FFFFFF"/>
      </w:rPr>
      <w:tblPr/>
      <w:tcPr>
        <w:tcBorders>
          <w:top w:val="single" w:sz="4" w:space="0" w:color="8B83C1"/>
          <w:left w:val="single" w:sz="4" w:space="0" w:color="8B83C1"/>
          <w:bottom w:val="single" w:sz="4" w:space="0" w:color="8B83C1"/>
          <w:right w:val="single" w:sz="4" w:space="0" w:color="8B83C1"/>
          <w:insideH w:val="nil"/>
          <w:insideV w:val="nil"/>
        </w:tcBorders>
        <w:shd w:val="clear" w:color="auto" w:fill="8B83C1"/>
      </w:tcPr>
    </w:tblStylePr>
    <w:tblStylePr w:type="lastRow">
      <w:rPr>
        <w:b/>
        <w:bCs/>
      </w:rPr>
      <w:tblPr/>
      <w:tcPr>
        <w:tcBorders>
          <w:top w:val="double" w:sz="4" w:space="0" w:color="8B83C1"/>
        </w:tcBorders>
      </w:tcPr>
    </w:tblStylePr>
    <w:tblStylePr w:type="firstCol">
      <w:rPr>
        <w:b/>
        <w:bCs/>
      </w:rPr>
    </w:tblStylePr>
    <w:tblStylePr w:type="lastCol">
      <w:rPr>
        <w:b/>
        <w:bCs/>
      </w:rPr>
    </w:tblStylePr>
    <w:tblStylePr w:type="band1Vert">
      <w:tblPr/>
      <w:tcPr>
        <w:shd w:val="clear" w:color="auto" w:fill="E7E6F2"/>
      </w:tcPr>
    </w:tblStylePr>
    <w:tblStylePr w:type="band1Horz">
      <w:tblPr/>
      <w:tcPr>
        <w:shd w:val="clear" w:color="auto" w:fill="E7E6F2"/>
      </w:tcPr>
    </w:tblStylePr>
  </w:style>
  <w:style w:type="table" w:customStyle="1" w:styleId="GridTable6Colorful-Accent52">
    <w:name w:val="Grid Table 6 Colorful - Accent 52"/>
    <w:basedOn w:val="TableNormal"/>
    <w:uiPriority w:val="51"/>
    <w:pPr>
      <w:spacing w:after="120" w:line="276" w:lineRule="auto"/>
    </w:pPr>
    <w:rPr>
      <w:color w:val="5B51A1"/>
    </w:rPr>
    <w:tblPr>
      <w:tblBorders>
        <w:top w:val="single" w:sz="4" w:space="0" w:color="B9B4D9"/>
        <w:left w:val="single" w:sz="4" w:space="0" w:color="B9B4D9"/>
        <w:bottom w:val="single" w:sz="4" w:space="0" w:color="B9B4D9"/>
        <w:right w:val="single" w:sz="4" w:space="0" w:color="B9B4D9"/>
        <w:insideH w:val="single" w:sz="4" w:space="0" w:color="B9B4D9"/>
        <w:insideV w:val="single" w:sz="4" w:space="0" w:color="B9B4D9"/>
      </w:tblBorders>
    </w:tblPr>
    <w:tblStylePr w:type="firstRow">
      <w:rPr>
        <w:b/>
        <w:bCs/>
      </w:rPr>
      <w:tblPr/>
      <w:tcPr>
        <w:tcBorders>
          <w:bottom w:val="single" w:sz="12" w:space="0" w:color="B9B4D9"/>
        </w:tcBorders>
      </w:tcPr>
    </w:tblStylePr>
    <w:tblStylePr w:type="lastRow">
      <w:rPr>
        <w:b/>
        <w:bCs/>
      </w:rPr>
      <w:tblPr/>
      <w:tcPr>
        <w:tcBorders>
          <w:top w:val="double" w:sz="4" w:space="0" w:color="B9B4D9"/>
        </w:tcBorders>
      </w:tcPr>
    </w:tblStylePr>
    <w:tblStylePr w:type="firstCol">
      <w:rPr>
        <w:b/>
        <w:bCs/>
      </w:rPr>
    </w:tblStylePr>
    <w:tblStylePr w:type="lastCol">
      <w:rPr>
        <w:b/>
        <w:bCs/>
      </w:rPr>
    </w:tblStylePr>
    <w:tblStylePr w:type="band1Vert">
      <w:tblPr/>
      <w:tcPr>
        <w:shd w:val="clear" w:color="auto" w:fill="E7E6F2"/>
      </w:tcPr>
    </w:tblStylePr>
    <w:tblStylePr w:type="band1Horz">
      <w:tblPr/>
      <w:tcPr>
        <w:shd w:val="clear" w:color="auto" w:fill="E7E6F2"/>
      </w:tcPr>
    </w:tblStylePr>
  </w:style>
  <w:style w:type="table" w:customStyle="1" w:styleId="PlainTable52">
    <w:name w:val="Plain Table 52"/>
    <w:basedOn w:val="TableNormal"/>
    <w:uiPriority w:val="45"/>
    <w:pPr>
      <w:spacing w:after="120" w:line="276" w:lineRule="auto"/>
    </w:pP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ocument1">
    <w:name w:val="Document 1"/>
    <w:uiPriority w:val="99"/>
    <w:pPr>
      <w:keepNext/>
      <w:keepLines/>
      <w:widowControl w:val="0"/>
      <w:tabs>
        <w:tab w:val="left" w:pos="-720"/>
      </w:tabs>
      <w:suppressAutoHyphens/>
      <w:spacing w:after="120" w:line="276" w:lineRule="auto"/>
    </w:pPr>
    <w:rPr>
      <w:rFonts w:ascii="Univers 12pt" w:eastAsia="Times New Roman" w:hAnsi="Univers 12pt"/>
      <w:sz w:val="24"/>
      <w:lang w:val="en-GB" w:eastAsia="en-US"/>
    </w:rPr>
  </w:style>
  <w:style w:type="character" w:customStyle="1" w:styleId="TableheadingChar">
    <w:name w:val="Table heading Char"/>
    <w:link w:val="Tableheading"/>
    <w:uiPriority w:val="99"/>
    <w:locked/>
    <w:rPr>
      <w:rFonts w:ascii="Arial Narrow" w:hAnsi="Arial Narrow"/>
      <w:i/>
      <w:lang w:val="en-GB" w:eastAsia="en-GB"/>
    </w:rPr>
  </w:style>
  <w:style w:type="paragraph" w:customStyle="1" w:styleId="Tableheading">
    <w:name w:val="Table heading"/>
    <w:link w:val="TableheadingChar"/>
    <w:uiPriority w:val="99"/>
    <w:pPr>
      <w:spacing w:before="40" w:after="40" w:line="276" w:lineRule="auto"/>
      <w:jc w:val="center"/>
    </w:pPr>
    <w:rPr>
      <w:rFonts w:ascii="Arial Narrow" w:eastAsia="Verdana" w:hAnsi="Arial Narrow"/>
      <w:i/>
      <w:lang w:val="en-GB" w:eastAsia="en-GB"/>
    </w:rPr>
  </w:style>
  <w:style w:type="character" w:customStyle="1" w:styleId="fontstyle01">
    <w:name w:val="fontstyle01"/>
    <w:basedOn w:val="DefaultParagraphFont"/>
    <w:qFormat/>
    <w:rPr>
      <w:rFonts w:ascii="GillSansMT-Bold" w:hAnsi="GillSansMT-Bold" w:hint="default"/>
      <w:b/>
      <w:bCs/>
      <w:color w:val="000000"/>
      <w:sz w:val="26"/>
      <w:szCs w:val="26"/>
    </w:rPr>
  </w:style>
  <w:style w:type="table" w:customStyle="1" w:styleId="GridTable5Dark-Accent11">
    <w:name w:val="Grid Table 5 Dark - Accent 11"/>
    <w:basedOn w:val="TableNormal"/>
    <w:uiPriority w:val="50"/>
    <w:qFormat/>
    <w:pPr>
      <w:spacing w:after="120" w:line="276" w:lineRule="auto"/>
    </w:pPr>
    <w:rPr>
      <w:rFonts w:ascii="Calibri" w:eastAsia="Calibri" w:hAnsi="Calibri" w:cs="Arial"/>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1Light-Accent12">
    <w:name w:val="Grid Table 1 Light - Accent 12"/>
    <w:basedOn w:val="TableNormal"/>
    <w:uiPriority w:val="46"/>
    <w:qFormat/>
    <w:pPr>
      <w:spacing w:after="120" w:line="276" w:lineRule="auto"/>
    </w:pPr>
    <w:rPr>
      <w:rFonts w:ascii="Calibri" w:eastAsia="Calibri" w:hAnsi="Calibri" w:cs="Arial"/>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2">
    <w:name w:val="Table Grid2"/>
    <w:basedOn w:val="TableNormal"/>
    <w:uiPriority w:val="59"/>
    <w:qFormat/>
    <w:pPr>
      <w:spacing w:after="120" w:line="276" w:lineRule="auto"/>
    </w:pPr>
    <w:rPr>
      <w:rFonts w:ascii="Calibri" w:eastAsia="MS Mincho" w:hAnsi="Calibri"/>
      <w:sz w:val="24"/>
      <w:szCs w:val="24"/>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ITable-21">
    <w:name w:val="PRI_Table-21"/>
    <w:basedOn w:val="PRITable"/>
    <w:uiPriority w:val="99"/>
    <w:qFormat/>
    <w:pPr>
      <w:spacing w:after="120" w:line="276" w:lineRule="auto"/>
      <w:contextualSpacing/>
    </w:pPr>
    <w:rPr>
      <w:sz w:val="13"/>
    </w:rPr>
    <w:tblPr/>
    <w:tblStylePr w:type="firstRow">
      <w:rPr>
        <w:rFonts w:ascii="Verdana" w:hAnsi="Verdana"/>
        <w:color w:val="FFFFFF"/>
        <w:sz w:val="13"/>
      </w:rPr>
      <w:tblPr/>
      <w:tcPr>
        <w:shd w:val="clear" w:color="auto" w:fill="ADA8D1"/>
      </w:tcPr>
    </w:tblStylePr>
    <w:tblStylePr w:type="band1Horz">
      <w:tblPr/>
      <w:tcPr>
        <w:shd w:val="clear" w:color="auto" w:fill="E5DFEC"/>
      </w:tcPr>
    </w:tblStylePr>
    <w:tblStylePr w:type="band2Horz">
      <w:tblPr/>
      <w:tcPr>
        <w:shd w:val="clear" w:color="auto" w:fill="FFFFFF"/>
      </w:tcPr>
    </w:tblStylePr>
  </w:style>
  <w:style w:type="table" w:customStyle="1" w:styleId="GridTable1Light-Accent61">
    <w:name w:val="Grid Table 1 Light - Accent 61"/>
    <w:basedOn w:val="TableNormal"/>
    <w:uiPriority w:val="46"/>
    <w:qFormat/>
    <w:pPr>
      <w:spacing w:after="120" w:line="276" w:lineRule="auto"/>
    </w:pPr>
    <w:rPr>
      <w:rFonts w:asciiTheme="minorHAnsi" w:eastAsiaTheme="minorHAnsi" w:hAnsiTheme="minorHAnsi" w:cstheme="minorBidi"/>
      <w:sz w:val="22"/>
      <w:szCs w:val="22"/>
    </w:rPr>
    <w:tblPr>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eGrid0">
    <w:name w:val="TableGrid"/>
    <w:qFormat/>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character" w:customStyle="1" w:styleId="PlainTextChar">
    <w:name w:val="Plain Text Char"/>
    <w:basedOn w:val="DefaultParagraphFont"/>
    <w:link w:val="PlainText"/>
    <w:qFormat/>
    <w:rPr>
      <w:rFonts w:ascii="Courier New" w:eastAsia="Times New Roman" w:hAnsi="Courier New" w:cs="Courier New"/>
    </w:rPr>
  </w:style>
  <w:style w:type="character" w:customStyle="1" w:styleId="spellingerror">
    <w:name w:val="spellingerror"/>
    <w:basedOn w:val="DefaultParagraphFont"/>
    <w:qFormat/>
  </w:style>
  <w:style w:type="table" w:customStyle="1" w:styleId="GridTable4-Accent53">
    <w:name w:val="Grid Table 4 - Accent 53"/>
    <w:basedOn w:val="TableNormal"/>
    <w:uiPriority w:val="49"/>
    <w:qFormat/>
    <w:rPr>
      <w:rFonts w:asciiTheme="minorHAnsi" w:eastAsiaTheme="minorHAnsi" w:hAnsiTheme="minorHAnsi" w:cstheme="minorBidi"/>
      <w:sz w:val="22"/>
      <w:szCs w:val="22"/>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3">
    <w:name w:val="Grid Table 6 Colorful - Accent 53"/>
    <w:basedOn w:val="TableNormal"/>
    <w:uiPriority w:val="51"/>
    <w:rPr>
      <w:rFonts w:asciiTheme="minorHAnsi" w:eastAsiaTheme="minorHAnsi" w:hAnsiTheme="minorHAnsi" w:cstheme="minorBidi"/>
      <w:color w:val="31849B" w:themeColor="accent5" w:themeShade="BF"/>
      <w:sz w:val="22"/>
      <w:szCs w:val="22"/>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53">
    <w:name w:val="Plain Table 53"/>
    <w:basedOn w:val="TableNormal"/>
    <w:uiPriority w:val="45"/>
    <w:qFormat/>
    <w:rPr>
      <w:rFonts w:asciiTheme="minorHAnsi" w:eastAsiaTheme="minorHAnsi" w:hAnsiTheme="minorHAnsi" w:cstheme="minorBidi"/>
      <w:sz w:val="22"/>
      <w:szCs w:val="22"/>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31">
    <w:name w:val="Grid Table 4 - Accent 31"/>
    <w:basedOn w:val="TableNormal"/>
    <w:uiPriority w:val="49"/>
    <w:qFormat/>
    <w:rPr>
      <w:rFonts w:asciiTheme="minorHAnsi" w:eastAsiaTheme="minorHAnsi" w:hAnsiTheme="minorHAnsi" w:cstheme="minorBidi"/>
      <w:sz w:val="22"/>
      <w:szCs w:val="22"/>
    </w:r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ReportText0">
    <w:name w:val="Report Text"/>
    <w:basedOn w:val="Normal"/>
    <w:pPr>
      <w:spacing w:before="0" w:after="0" w:line="240" w:lineRule="auto"/>
      <w:ind w:left="851"/>
      <w:jc w:val="both"/>
    </w:pPr>
    <w:rPr>
      <w:rFonts w:ascii="Times New Roman" w:eastAsia="Times New Roman" w:hAnsi="Times New Roman"/>
      <w:color w:val="auto"/>
      <w:sz w:val="22"/>
      <w:szCs w:val="20"/>
    </w:rPr>
  </w:style>
  <w:style w:type="character" w:customStyle="1" w:styleId="normaltableauChar">
    <w:name w:val="normal_tableau Char"/>
    <w:link w:val="normaltableau"/>
    <w:rPr>
      <w:rFonts w:ascii="Optima" w:eastAsia="Times New Roman" w:hAnsi="Optima"/>
      <w:color w:val="000000"/>
      <w:sz w:val="18"/>
      <w:lang w:val="en-GB" w:eastAsia="en-GB"/>
    </w:rPr>
  </w:style>
  <w:style w:type="character" w:customStyle="1" w:styleId="unsafesenderemail1">
    <w:name w:val="unsafesenderemail1"/>
  </w:style>
  <w:style w:type="paragraph" w:customStyle="1" w:styleId="i3cv">
    <w:name w:val="i3cv"/>
    <w:basedOn w:val="Normal"/>
    <w:uiPriority w:val="99"/>
    <w:pPr>
      <w:keepLines/>
      <w:tabs>
        <w:tab w:val="left" w:pos="1701"/>
      </w:tabs>
      <w:spacing w:before="0" w:after="0" w:line="240" w:lineRule="auto"/>
      <w:ind w:left="1701" w:hanging="1701"/>
      <w:jc w:val="both"/>
    </w:pPr>
    <w:rPr>
      <w:rFonts w:ascii="Arial" w:eastAsia="Times New Roman" w:hAnsi="Arial"/>
      <w:color w:val="auto"/>
      <w:sz w:val="20"/>
      <w:szCs w:val="20"/>
    </w:rPr>
  </w:style>
  <w:style w:type="paragraph" w:customStyle="1" w:styleId="CarattereCarattereCharCharCarattereCarattere">
    <w:name w:val="Carattere Carattere Char Char Carattere Carattere"/>
    <w:basedOn w:val="Normal"/>
    <w:pPr>
      <w:spacing w:before="0" w:after="0" w:line="240" w:lineRule="auto"/>
    </w:pPr>
    <w:rPr>
      <w:rFonts w:ascii="Times New Roman" w:eastAsia="Times New Roman" w:hAnsi="Times New Roman"/>
      <w:color w:val="auto"/>
      <w:sz w:val="24"/>
      <w:szCs w:val="24"/>
      <w:lang w:val="pl-PL" w:eastAsia="pl-PL"/>
    </w:rPr>
  </w:style>
  <w:style w:type="table" w:customStyle="1" w:styleId="ListTable5Dark-Accent11">
    <w:name w:val="List Table 5 Dark - Accent 11"/>
    <w:basedOn w:val="TableNormal"/>
    <w:uiPriority w:val="50"/>
    <w:rPr>
      <w:rFonts w:asciiTheme="minorHAnsi" w:eastAsiaTheme="minorHAnsi" w:hAnsiTheme="minorHAnsi" w:cstheme="minorBidi"/>
      <w:color w:val="FFFFFF" w:themeColor="background1"/>
      <w:sz w:val="22"/>
      <w:szCs w:val="22"/>
    </w:rPr>
    <w:tblPr>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11">
    <w:name w:val="Grid Table 4 - Accent 111"/>
    <w:basedOn w:val="TableNormal"/>
    <w:uiPriority w:val="49"/>
    <w:rPr>
      <w:rFonts w:asciiTheme="minorHAnsi" w:eastAsiaTheme="minorHAnsi" w:hAnsiTheme="minorHAnsi" w:cstheme="minorBidi"/>
      <w:sz w:val="22"/>
      <w:szCs w:val="22"/>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11">
    <w:name w:val="Grid Table 6 Colorful - Accent 511"/>
    <w:basedOn w:val="TableNormal"/>
    <w:uiPriority w:val="51"/>
    <w:rPr>
      <w:rFonts w:asciiTheme="minorHAnsi" w:eastAsiaTheme="minorHAnsi" w:hAnsiTheme="minorHAnsi" w:cstheme="minorBidi"/>
      <w:color w:val="31849B" w:themeColor="accent5" w:themeShade="BF"/>
      <w:sz w:val="22"/>
      <w:szCs w:val="22"/>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511">
    <w:name w:val="Plain Table 511"/>
    <w:basedOn w:val="TableNormal"/>
    <w:uiPriority w:val="45"/>
    <w:rPr>
      <w:rFonts w:asciiTheme="minorHAnsi" w:eastAsiaTheme="minorHAnsi" w:hAnsiTheme="minorHAnsi" w:cstheme="minorBidi"/>
      <w:sz w:val="22"/>
      <w:szCs w:val="22"/>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1">
    <w:name w:val="Unresolved Mention11"/>
    <w:basedOn w:val="DefaultParagraphFont"/>
    <w:uiPriority w:val="99"/>
    <w:rPr>
      <w:color w:val="808080"/>
      <w:shd w:val="clear" w:color="auto" w:fill="E6E6E6"/>
    </w:rPr>
  </w:style>
  <w:style w:type="table" w:customStyle="1" w:styleId="GridTable4-Accent530">
    <w:name w:val="Grid Table 4 - Accent 530"/>
    <w:basedOn w:val="TableNormal"/>
    <w:uiPriority w:val="49"/>
    <w:tblPr>
      <w:tblBorders>
        <w:top w:val="single" w:sz="4" w:space="0" w:color="B9B4D9"/>
        <w:left w:val="single" w:sz="4" w:space="0" w:color="B9B4D9"/>
        <w:bottom w:val="single" w:sz="4" w:space="0" w:color="B9B4D9"/>
        <w:right w:val="single" w:sz="4" w:space="0" w:color="B9B4D9"/>
        <w:insideH w:val="single" w:sz="4" w:space="0" w:color="B9B4D9"/>
        <w:insideV w:val="single" w:sz="4" w:space="0" w:color="B9B4D9"/>
      </w:tblBorders>
    </w:tblPr>
    <w:tblStylePr w:type="firstRow">
      <w:rPr>
        <w:b/>
        <w:bCs/>
        <w:color w:val="FFFFFF"/>
      </w:rPr>
      <w:tblPr/>
      <w:tcPr>
        <w:tcBorders>
          <w:top w:val="single" w:sz="4" w:space="0" w:color="8B83C1"/>
          <w:left w:val="single" w:sz="4" w:space="0" w:color="8B83C1"/>
          <w:bottom w:val="single" w:sz="4" w:space="0" w:color="8B83C1"/>
          <w:right w:val="single" w:sz="4" w:space="0" w:color="8B83C1"/>
          <w:insideH w:val="nil"/>
          <w:insideV w:val="nil"/>
        </w:tcBorders>
        <w:shd w:val="clear" w:color="auto" w:fill="8B83C1"/>
      </w:tcPr>
    </w:tblStylePr>
    <w:tblStylePr w:type="lastRow">
      <w:rPr>
        <w:b/>
        <w:bCs/>
      </w:rPr>
      <w:tblPr/>
      <w:tcPr>
        <w:tcBorders>
          <w:top w:val="double" w:sz="4" w:space="0" w:color="8B83C1"/>
        </w:tcBorders>
      </w:tcPr>
    </w:tblStylePr>
    <w:tblStylePr w:type="firstCol">
      <w:rPr>
        <w:b/>
        <w:bCs/>
      </w:rPr>
    </w:tblStylePr>
    <w:tblStylePr w:type="lastCol">
      <w:rPr>
        <w:b/>
        <w:bCs/>
      </w:rPr>
    </w:tblStylePr>
    <w:tblStylePr w:type="band1Vert">
      <w:tblPr/>
      <w:tcPr>
        <w:shd w:val="clear" w:color="auto" w:fill="E7E6F2"/>
      </w:tcPr>
    </w:tblStylePr>
    <w:tblStylePr w:type="band1Horz">
      <w:tblPr/>
      <w:tcPr>
        <w:shd w:val="clear" w:color="auto" w:fill="E7E6F2"/>
      </w:tcPr>
    </w:tblStylePr>
  </w:style>
  <w:style w:type="table" w:customStyle="1" w:styleId="GridTable6Colorful-Accent530">
    <w:name w:val="Grid Table 6 Colorful - Accent 530"/>
    <w:basedOn w:val="TableNormal"/>
    <w:uiPriority w:val="51"/>
    <w:rPr>
      <w:color w:val="5B51A1"/>
    </w:rPr>
    <w:tblPr>
      <w:tblBorders>
        <w:top w:val="single" w:sz="4" w:space="0" w:color="B9B4D9"/>
        <w:left w:val="single" w:sz="4" w:space="0" w:color="B9B4D9"/>
        <w:bottom w:val="single" w:sz="4" w:space="0" w:color="B9B4D9"/>
        <w:right w:val="single" w:sz="4" w:space="0" w:color="B9B4D9"/>
        <w:insideH w:val="single" w:sz="4" w:space="0" w:color="B9B4D9"/>
        <w:insideV w:val="single" w:sz="4" w:space="0" w:color="B9B4D9"/>
      </w:tblBorders>
    </w:tblPr>
    <w:tblStylePr w:type="firstRow">
      <w:rPr>
        <w:b/>
        <w:bCs/>
      </w:rPr>
      <w:tblPr/>
      <w:tcPr>
        <w:tcBorders>
          <w:bottom w:val="single" w:sz="12" w:space="0" w:color="B9B4D9"/>
        </w:tcBorders>
      </w:tcPr>
    </w:tblStylePr>
    <w:tblStylePr w:type="lastRow">
      <w:rPr>
        <w:b/>
        <w:bCs/>
      </w:rPr>
      <w:tblPr/>
      <w:tcPr>
        <w:tcBorders>
          <w:top w:val="double" w:sz="4" w:space="0" w:color="B9B4D9"/>
        </w:tcBorders>
      </w:tcPr>
    </w:tblStylePr>
    <w:tblStylePr w:type="firstCol">
      <w:rPr>
        <w:b/>
        <w:bCs/>
      </w:rPr>
    </w:tblStylePr>
    <w:tblStylePr w:type="lastCol">
      <w:rPr>
        <w:b/>
        <w:bCs/>
      </w:rPr>
    </w:tblStylePr>
    <w:tblStylePr w:type="band1Vert">
      <w:tblPr/>
      <w:tcPr>
        <w:shd w:val="clear" w:color="auto" w:fill="E7E6F2"/>
      </w:tcPr>
    </w:tblStylePr>
    <w:tblStylePr w:type="band1Horz">
      <w:tblPr/>
      <w:tcPr>
        <w:shd w:val="clear" w:color="auto" w:fill="E7E6F2"/>
      </w:tcPr>
    </w:tblStylePr>
  </w:style>
  <w:style w:type="table" w:customStyle="1" w:styleId="PlainTable530">
    <w:name w:val="Plain Table 530"/>
    <w:basedOn w:val="TableNormal"/>
    <w:uiPriority w:val="45"/>
    <w:tblPr/>
    <w:tblStylePr w:type="firstRow">
      <w:rPr>
        <w:rFonts w:ascii="Gulim" w:eastAsia="MS Gothic" w:hAnsi="Gulim" w:cs="Times New Roman"/>
        <w:i/>
        <w:iCs/>
        <w:sz w:val="26"/>
      </w:rPr>
      <w:tblPr/>
      <w:tcPr>
        <w:tcBorders>
          <w:bottom w:val="single" w:sz="4" w:space="0" w:color="7F7F7F"/>
        </w:tcBorders>
        <w:shd w:val="clear" w:color="auto" w:fill="FFFFFF"/>
      </w:tcPr>
    </w:tblStylePr>
    <w:tblStylePr w:type="lastRow">
      <w:rPr>
        <w:rFonts w:ascii="Gulim" w:eastAsia="MS Gothic" w:hAnsi="Gulim" w:cs="Times New Roman"/>
        <w:i/>
        <w:iCs/>
        <w:sz w:val="26"/>
      </w:rPr>
      <w:tblPr/>
      <w:tcPr>
        <w:tcBorders>
          <w:top w:val="single" w:sz="4" w:space="0" w:color="7F7F7F"/>
        </w:tcBorders>
        <w:shd w:val="clear" w:color="auto" w:fill="FFFFFF"/>
      </w:tcPr>
    </w:tblStylePr>
    <w:tblStylePr w:type="firstCol">
      <w:pPr>
        <w:jc w:val="right"/>
      </w:pPr>
      <w:rPr>
        <w:rFonts w:ascii="Gulim" w:eastAsia="MS Gothic" w:hAnsi="Gulim" w:cs="Times New Roman"/>
        <w:i/>
        <w:iCs/>
        <w:sz w:val="26"/>
      </w:rPr>
      <w:tblPr/>
      <w:tcPr>
        <w:tcBorders>
          <w:right w:val="single" w:sz="4" w:space="0" w:color="7F7F7F"/>
        </w:tcBorders>
        <w:shd w:val="clear" w:color="auto" w:fill="FFFFFF"/>
      </w:tcPr>
    </w:tblStylePr>
    <w:tblStylePr w:type="lastCol">
      <w:rPr>
        <w:rFonts w:ascii="Gulim" w:eastAsia="MS Gothic" w:hAnsi="Gulim"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30">
    <w:name w:val="Grid Table 4 - Accent 130"/>
    <w:basedOn w:val="TableNormal"/>
    <w:uiPriority w:val="49"/>
    <w:tblPr>
      <w:tblBorders>
        <w:top w:val="single" w:sz="4" w:space="0" w:color="9B95C9"/>
        <w:left w:val="single" w:sz="4" w:space="0" w:color="9B95C9"/>
        <w:bottom w:val="single" w:sz="4" w:space="0" w:color="9B95C9"/>
        <w:right w:val="single" w:sz="4" w:space="0" w:color="9B95C9"/>
        <w:insideH w:val="single" w:sz="4" w:space="0" w:color="9B95C9"/>
        <w:insideV w:val="single" w:sz="4" w:space="0" w:color="9B95C9"/>
      </w:tblBorders>
    </w:tblPr>
    <w:tblStylePr w:type="firstRow">
      <w:rPr>
        <w:b/>
        <w:bCs/>
        <w:color w:val="FFFFFF"/>
      </w:rPr>
      <w:tblPr/>
      <w:tcPr>
        <w:tcBorders>
          <w:top w:val="single" w:sz="4" w:space="0" w:color="5C52A3"/>
          <w:left w:val="single" w:sz="4" w:space="0" w:color="5C52A3"/>
          <w:bottom w:val="single" w:sz="4" w:space="0" w:color="5C52A3"/>
          <w:right w:val="single" w:sz="4" w:space="0" w:color="5C52A3"/>
          <w:insideH w:val="nil"/>
          <w:insideV w:val="nil"/>
        </w:tcBorders>
        <w:shd w:val="clear" w:color="auto" w:fill="5C52A3"/>
      </w:tcPr>
    </w:tblStylePr>
    <w:tblStylePr w:type="lastRow">
      <w:rPr>
        <w:b/>
        <w:bCs/>
      </w:rPr>
      <w:tblPr/>
      <w:tcPr>
        <w:tcBorders>
          <w:top w:val="double" w:sz="4" w:space="0" w:color="5C52A3"/>
        </w:tcBorders>
      </w:tcPr>
    </w:tblStylePr>
    <w:tblStylePr w:type="firstCol">
      <w:rPr>
        <w:b/>
        <w:bCs/>
      </w:rPr>
    </w:tblStylePr>
    <w:tblStylePr w:type="lastCol">
      <w:rPr>
        <w:b/>
        <w:bCs/>
      </w:rPr>
    </w:tblStylePr>
    <w:tblStylePr w:type="band1Vert">
      <w:tblPr/>
      <w:tcPr>
        <w:shd w:val="clear" w:color="auto" w:fill="DDDBED"/>
      </w:tcPr>
    </w:tblStylePr>
    <w:tblStylePr w:type="band1Horz">
      <w:tblPr/>
      <w:tcPr>
        <w:shd w:val="clear" w:color="auto" w:fill="DDDBED"/>
      </w:tcPr>
    </w:tblStylePr>
  </w:style>
  <w:style w:type="table" w:customStyle="1" w:styleId="GridTable4-Accent310">
    <w:name w:val="Grid Table 4 - Accent 310"/>
    <w:basedOn w:val="TableNormal"/>
    <w:uiPriority w:val="49"/>
    <w:tblPr>
      <w:tblBorders>
        <w:top w:val="single" w:sz="4" w:space="0" w:color="AEA9D3"/>
        <w:left w:val="single" w:sz="4" w:space="0" w:color="AEA9D3"/>
        <w:bottom w:val="single" w:sz="4" w:space="0" w:color="AEA9D3"/>
        <w:right w:val="single" w:sz="4" w:space="0" w:color="AEA9D3"/>
        <w:insideH w:val="single" w:sz="4" w:space="0" w:color="AEA9D3"/>
        <w:insideV w:val="single" w:sz="4" w:space="0" w:color="AEA9D3"/>
      </w:tblBorders>
    </w:tblPr>
    <w:tblStylePr w:type="firstRow">
      <w:rPr>
        <w:b/>
        <w:bCs/>
        <w:color w:val="FFFFFF"/>
      </w:rPr>
      <w:tblPr/>
      <w:tcPr>
        <w:tcBorders>
          <w:top w:val="single" w:sz="4" w:space="0" w:color="7971B7"/>
          <w:left w:val="single" w:sz="4" w:space="0" w:color="7971B7"/>
          <w:bottom w:val="single" w:sz="4" w:space="0" w:color="7971B7"/>
          <w:right w:val="single" w:sz="4" w:space="0" w:color="7971B7"/>
          <w:insideH w:val="nil"/>
          <w:insideV w:val="nil"/>
        </w:tcBorders>
        <w:shd w:val="clear" w:color="auto" w:fill="7971B7"/>
      </w:tcPr>
    </w:tblStylePr>
    <w:tblStylePr w:type="lastRow">
      <w:rPr>
        <w:b/>
        <w:bCs/>
      </w:rPr>
      <w:tblPr/>
      <w:tcPr>
        <w:tcBorders>
          <w:top w:val="double" w:sz="4" w:space="0" w:color="7971B7"/>
        </w:tcBorders>
      </w:tcPr>
    </w:tblStylePr>
    <w:tblStylePr w:type="firstCol">
      <w:rPr>
        <w:b/>
        <w:bCs/>
      </w:rPr>
    </w:tblStylePr>
    <w:tblStylePr w:type="lastCol">
      <w:rPr>
        <w:b/>
        <w:bCs/>
      </w:rPr>
    </w:tblStylePr>
    <w:tblStylePr w:type="band1Vert">
      <w:tblPr/>
      <w:tcPr>
        <w:shd w:val="clear" w:color="auto" w:fill="E3E2F0"/>
      </w:tcPr>
    </w:tblStylePr>
    <w:tblStylePr w:type="band1Horz">
      <w:tblPr/>
      <w:tcPr>
        <w:shd w:val="clear" w:color="auto" w:fill="E3E2F0"/>
      </w:tcPr>
    </w:tblStylePr>
  </w:style>
  <w:style w:type="character" w:customStyle="1" w:styleId="UnresolvedMention20">
    <w:name w:val="Unresolved Mention20"/>
    <w:uiPriority w:val="99"/>
    <w:semiHidden/>
    <w:unhideWhenUsed/>
    <w:rPr>
      <w:color w:val="605E5C"/>
      <w:shd w:val="clear" w:color="auto" w:fill="E1DFDD"/>
    </w:rPr>
  </w:style>
  <w:style w:type="character" w:customStyle="1" w:styleId="s1">
    <w:name w:val="s1"/>
  </w:style>
  <w:style w:type="paragraph" w:customStyle="1" w:styleId="PrpslText">
    <w:name w:val="Prpsl Text"/>
    <w:basedOn w:val="Normal"/>
    <w:link w:val="PrpslTextChar"/>
    <w:qFormat/>
    <w:pPr>
      <w:spacing w:before="0" w:after="60" w:line="240" w:lineRule="auto"/>
    </w:pPr>
    <w:rPr>
      <w:rFonts w:ascii="Times New Roman" w:eastAsia="Times New Roman" w:hAnsi="Times New Roman"/>
      <w:bCs/>
      <w:color w:val="auto"/>
      <w:sz w:val="24"/>
      <w:szCs w:val="20"/>
      <w:lang w:val="en-US"/>
    </w:rPr>
  </w:style>
  <w:style w:type="character" w:customStyle="1" w:styleId="PrpslTextChar">
    <w:name w:val="Prpsl Text Char"/>
    <w:link w:val="PrpslText"/>
    <w:rPr>
      <w:rFonts w:ascii="Times New Roman" w:eastAsia="Times New Roman" w:hAnsi="Times New Roman"/>
      <w:bCs/>
      <w:sz w:val="24"/>
    </w:rPr>
  </w:style>
  <w:style w:type="paragraph" w:customStyle="1" w:styleId="ECVSectionBullet">
    <w:name w:val="_ECV_SectionBullet"/>
    <w:basedOn w:val="Normal"/>
    <w:pPr>
      <w:widowControl w:val="0"/>
      <w:suppressLineNumbers/>
      <w:suppressAutoHyphens/>
      <w:autoSpaceDE w:val="0"/>
      <w:spacing w:before="0" w:after="0" w:line="100" w:lineRule="atLeast"/>
    </w:pPr>
    <w:rPr>
      <w:rFonts w:ascii="Arial" w:eastAsia="SimSun" w:hAnsi="Arial" w:cs="Mangal"/>
      <w:color w:val="3F3A38"/>
      <w:spacing w:val="-6"/>
      <w:kern w:val="1"/>
      <w:szCs w:val="24"/>
      <w:lang w:eastAsia="zh-CN" w:bidi="hi-IN"/>
    </w:rPr>
  </w:style>
  <w:style w:type="paragraph" w:customStyle="1" w:styleId="ECVLeftDetails">
    <w:name w:val="_ECV_LeftDetails"/>
    <w:basedOn w:val="Normal"/>
    <w:pPr>
      <w:widowControl w:val="0"/>
      <w:suppressLineNumbers/>
      <w:suppressAutoHyphens/>
      <w:spacing w:before="23" w:after="0" w:line="240" w:lineRule="auto"/>
      <w:ind w:right="283"/>
      <w:jc w:val="right"/>
    </w:pPr>
    <w:rPr>
      <w:rFonts w:ascii="Arial" w:eastAsia="SimSun" w:hAnsi="Arial" w:cs="Mangal"/>
      <w:color w:val="0E4194"/>
      <w:spacing w:val="-6"/>
      <w:kern w:val="1"/>
      <w:szCs w:val="24"/>
      <w:lang w:eastAsia="zh-CN" w:bidi="hi-IN"/>
    </w:rPr>
  </w:style>
  <w:style w:type="paragraph" w:customStyle="1" w:styleId="ECVText">
    <w:name w:val="_ECV_Text"/>
    <w:basedOn w:val="BodyText"/>
    <w:pPr>
      <w:widowControl w:val="0"/>
      <w:suppressAutoHyphens/>
      <w:spacing w:before="0" w:after="0" w:line="100" w:lineRule="atLeast"/>
    </w:pPr>
    <w:rPr>
      <w:rFonts w:ascii="Arial" w:eastAsia="SimSun" w:hAnsi="Arial" w:cs="Mangal"/>
      <w:color w:val="3F3A38"/>
      <w:spacing w:val="-6"/>
      <w:kern w:val="1"/>
      <w:sz w:val="16"/>
      <w:szCs w:val="24"/>
      <w:lang w:eastAsia="zh-CN" w:bidi="hi-IN"/>
    </w:rPr>
  </w:style>
  <w:style w:type="paragraph" w:customStyle="1" w:styleId="TitleofTender">
    <w:name w:val="Title of Tender"/>
    <w:pPr>
      <w:tabs>
        <w:tab w:val="left" w:pos="185"/>
      </w:tabs>
      <w:spacing w:line="560" w:lineRule="exact"/>
    </w:pPr>
    <w:rPr>
      <w:rFonts w:ascii="Futura Std Book" w:eastAsia="Times New Roman" w:hAnsi="Futura Std Book" w:cs="Futura Std Book"/>
      <w:color w:val="000000"/>
      <w:spacing w:val="-4"/>
      <w:sz w:val="44"/>
      <w:szCs w:val="34"/>
      <w:lang w:val="sv-SE" w:eastAsia="sv-SE"/>
    </w:rPr>
  </w:style>
  <w:style w:type="table" w:customStyle="1" w:styleId="Style1">
    <w:name w:val="Style1"/>
    <w:basedOn w:val="TableNormal"/>
    <w:uiPriority w:val="99"/>
    <w:pPr>
      <w:spacing w:after="120" w:line="259" w:lineRule="auto"/>
    </w:pPr>
    <w:rPr>
      <w:rFonts w:asciiTheme="minorHAnsi" w:eastAsiaTheme="minorHAnsi" w:hAnsiTheme="minorHAnsi" w:cstheme="minorBidi"/>
      <w:sz w:val="22"/>
      <w:szCs w:val="22"/>
    </w:rPr>
    <w:tblPr/>
    <w:tblStylePr w:type="firstRow">
      <w:rPr>
        <w:color w:val="FFFFFF" w:themeColor="background1"/>
      </w:rPr>
      <w:tblPr/>
      <w:tcPr>
        <w:shd w:val="clear" w:color="auto" w:fill="5B4FA2"/>
      </w:tcPr>
    </w:tblStylePr>
    <w:tblStylePr w:type="band1Horz">
      <w:tblPr/>
      <w:tcPr>
        <w:shd w:val="clear" w:color="auto" w:fill="E5DFEC"/>
      </w:tcPr>
    </w:tblStylePr>
    <w:tblStylePr w:type="band2Horz">
      <w:tblPr/>
      <w:tcPr>
        <w:shd w:val="clear" w:color="auto" w:fill="FFFFFF" w:themeFill="background1"/>
      </w:tcPr>
    </w:tblStylePr>
  </w:style>
  <w:style w:type="paragraph" w:customStyle="1" w:styleId="TK15-Texte">
    <w:name w:val="TK15 - Texte"/>
    <w:basedOn w:val="Normal"/>
    <w:link w:val="TK15-TexteCar"/>
    <w:qFormat/>
    <w:pPr>
      <w:spacing w:before="0" w:after="0" w:line="240" w:lineRule="auto"/>
      <w:contextualSpacing/>
      <w:jc w:val="both"/>
    </w:pPr>
    <w:rPr>
      <w:rFonts w:ascii="Calibri" w:eastAsia="Calibri" w:hAnsi="Calibri" w:cs="Calibri"/>
      <w:color w:val="auto"/>
      <w:sz w:val="22"/>
      <w:szCs w:val="20"/>
      <w:lang w:val="fr-FR"/>
    </w:rPr>
  </w:style>
  <w:style w:type="character" w:customStyle="1" w:styleId="TK15-TexteCar">
    <w:name w:val="TK15 - Texte Car"/>
    <w:link w:val="TK15-Texte"/>
    <w:rPr>
      <w:rFonts w:ascii="Calibri" w:eastAsia="Calibri" w:hAnsi="Calibri" w:cs="Calibri"/>
      <w:sz w:val="22"/>
      <w:lang w:val="fr-FR"/>
    </w:rPr>
  </w:style>
  <w:style w:type="table" w:customStyle="1" w:styleId="GridTable41">
    <w:name w:val="Grid Table 41"/>
    <w:basedOn w:val="TableNormal"/>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aoeeu">
    <w:name w:val="Aaoeeu"/>
    <w:pPr>
      <w:widowControl w:val="0"/>
    </w:pPr>
    <w:rPr>
      <w:rFonts w:eastAsia="Times New Roman"/>
      <w:lang w:val="en-US" w:eastAsia="it-IT"/>
    </w:rPr>
  </w:style>
  <w:style w:type="paragraph" w:customStyle="1" w:styleId="OiaeaeiYiio2">
    <w:name w:val="O?ia eaeiYiio 2"/>
    <w:basedOn w:val="Aaoeeu"/>
    <w:pPr>
      <w:jc w:val="right"/>
    </w:pPr>
    <w:rPr>
      <w:i/>
      <w:sz w:val="16"/>
    </w:rPr>
  </w:style>
  <w:style w:type="character" w:customStyle="1" w:styleId="gd">
    <w:name w:val="gd"/>
    <w:basedOn w:val="DefaultParagraphFont"/>
  </w:style>
  <w:style w:type="table" w:customStyle="1" w:styleId="PlainTable41">
    <w:name w:val="Plain Table 41"/>
    <w:basedOn w:val="TableNormal"/>
    <w:uiPriority w:val="44"/>
    <w:pPr>
      <w:spacing w:before="120"/>
    </w:pPr>
    <w:rPr>
      <w:rFonts w:ascii="Lato" w:eastAsia="Lato" w:hAnsi="Lato" w:cs="Lato"/>
      <w:sz w:val="22"/>
      <w:szCs w:val="22"/>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notedescriptionChar">
    <w:name w:val="footnote description Char"/>
    <w:link w:val="footnotedescription"/>
    <w:locked/>
    <w:rPr>
      <w:rFonts w:cs="Verdana"/>
      <w:color w:val="000000"/>
      <w:sz w:val="15"/>
      <w:lang w:eastAsia="en-GB"/>
    </w:rPr>
  </w:style>
  <w:style w:type="paragraph" w:customStyle="1" w:styleId="footnotedescription">
    <w:name w:val="footnote description"/>
    <w:next w:val="Normal"/>
    <w:link w:val="footnotedescriptionChar"/>
    <w:pPr>
      <w:spacing w:line="256" w:lineRule="auto"/>
      <w:ind w:right="60"/>
    </w:pPr>
    <w:rPr>
      <w:rFonts w:ascii="Verdana" w:eastAsia="Verdana" w:hAnsi="Verdana" w:cs="Verdana"/>
      <w:color w:val="000000"/>
      <w:sz w:val="15"/>
      <w:lang w:val="en-US" w:eastAsia="en-GB"/>
    </w:rPr>
  </w:style>
  <w:style w:type="character" w:customStyle="1" w:styleId="footnotemark">
    <w:name w:val="footnote mark"/>
    <w:rPr>
      <w:rFonts w:ascii="Verdana" w:eastAsia="Verdana" w:hAnsi="Verdana" w:cs="Verdana" w:hint="default"/>
      <w:color w:val="000000"/>
      <w:sz w:val="15"/>
      <w:vertAlign w:val="superscript"/>
    </w:rPr>
  </w:style>
  <w:style w:type="paragraph" w:customStyle="1" w:styleId="msonormal0">
    <w:name w:val="msonormal"/>
    <w:basedOn w:val="Normal"/>
    <w:pPr>
      <w:spacing w:before="100" w:beforeAutospacing="1" w:after="100" w:afterAutospacing="1" w:line="240" w:lineRule="auto"/>
      <w:jc w:val="both"/>
    </w:pPr>
    <w:rPr>
      <w:rFonts w:ascii="Times New Roman" w:eastAsiaTheme="minorEastAsia" w:hAnsi="Times New Roman"/>
      <w:color w:val="auto"/>
      <w:sz w:val="24"/>
      <w:szCs w:val="24"/>
    </w:rPr>
  </w:style>
  <w:style w:type="table" w:customStyle="1" w:styleId="TableGridLight2">
    <w:name w:val="Table Grid Light2"/>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tionTitle">
    <w:name w:val="Section Title"/>
    <w:basedOn w:val="Normal"/>
    <w:next w:val="Normal"/>
    <w:autoRedefine/>
    <w:pPr>
      <w:spacing w:before="220" w:after="0" w:line="220" w:lineRule="atLeast"/>
    </w:pPr>
    <w:rPr>
      <w:rFonts w:ascii="Arial" w:eastAsia="Batang" w:hAnsi="Arial" w:cs="Arial"/>
      <w:b/>
      <w:color w:val="auto"/>
      <w:sz w:val="20"/>
      <w:szCs w:val="20"/>
    </w:rPr>
  </w:style>
  <w:style w:type="paragraph" w:customStyle="1" w:styleId="CVNormal">
    <w:name w:val="CV Normal"/>
    <w:basedOn w:val="Normal"/>
    <w:pPr>
      <w:suppressAutoHyphens/>
      <w:spacing w:before="0" w:after="0" w:line="240" w:lineRule="auto"/>
      <w:ind w:left="113" w:right="113"/>
    </w:pPr>
    <w:rPr>
      <w:rFonts w:ascii="Arial Narrow" w:eastAsia="Times New Roman" w:hAnsi="Arial Narrow"/>
      <w:color w:val="auto"/>
      <w:sz w:val="20"/>
      <w:szCs w:val="20"/>
      <w:lang w:eastAsia="ar-SA"/>
    </w:rPr>
  </w:style>
  <w:style w:type="paragraph" w:customStyle="1" w:styleId="CVNormal-FirstLine">
    <w:name w:val="CV Normal - First Line"/>
    <w:basedOn w:val="CVNormal"/>
    <w:next w:val="CVNormal"/>
    <w:pPr>
      <w:spacing w:before="74"/>
    </w:pPr>
  </w:style>
  <w:style w:type="paragraph" w:customStyle="1" w:styleId="ContactInfo">
    <w:name w:val="Contact Info"/>
    <w:basedOn w:val="Normal"/>
    <w:uiPriority w:val="3"/>
    <w:qFormat/>
    <w:pPr>
      <w:spacing w:before="0" w:after="0" w:line="240" w:lineRule="auto"/>
      <w:jc w:val="center"/>
    </w:pPr>
    <w:rPr>
      <w:rFonts w:asciiTheme="minorHAnsi" w:eastAsiaTheme="minorHAnsi" w:hAnsiTheme="minorHAnsi" w:cstheme="minorBidi"/>
      <w:color w:val="595959" w:themeColor="text1" w:themeTint="A6"/>
      <w:sz w:val="22"/>
    </w:rPr>
  </w:style>
  <w:style w:type="character" w:customStyle="1" w:styleId="SubtleReference1">
    <w:name w:val="Subtle Reference1"/>
    <w:basedOn w:val="DefaultParagraphFont"/>
    <w:uiPriority w:val="10"/>
    <w:qFormat/>
    <w:rPr>
      <w:b/>
      <w:smallCaps/>
      <w:color w:val="595959" w:themeColor="text1" w:themeTint="A6"/>
    </w:rPr>
  </w:style>
  <w:style w:type="character" w:customStyle="1" w:styleId="IntenseEmphasis1">
    <w:name w:val="Intense Emphasis1"/>
    <w:basedOn w:val="DefaultParagraphFont"/>
    <w:uiPriority w:val="21"/>
    <w:qFormat/>
    <w:rPr>
      <w:b/>
      <w:iCs/>
      <w:color w:val="262626" w:themeColor="text1" w:themeTint="D9"/>
    </w:rPr>
  </w:style>
  <w:style w:type="paragraph" w:customStyle="1" w:styleId="ContactInfoEmphasis">
    <w:name w:val="Contact Info Emphasis"/>
    <w:basedOn w:val="Normal"/>
    <w:uiPriority w:val="4"/>
    <w:qFormat/>
    <w:pPr>
      <w:spacing w:before="0" w:after="0" w:line="240" w:lineRule="auto"/>
      <w:jc w:val="center"/>
    </w:pPr>
    <w:rPr>
      <w:rFonts w:asciiTheme="minorHAnsi" w:eastAsiaTheme="minorHAnsi" w:hAnsiTheme="minorHAnsi" w:cstheme="minorBidi"/>
      <w:b/>
      <w:color w:val="4F81BD" w:themeColor="accent1"/>
      <w:sz w:val="22"/>
    </w:rPr>
  </w:style>
  <w:style w:type="character" w:customStyle="1" w:styleId="IDLOHeading3">
    <w:name w:val="IDLO Heading 3"/>
    <w:uiPriority w:val="1"/>
    <w:qFormat/>
    <w:rPr>
      <w:rFonts w:ascii="Cabin Regular" w:hAnsi="Cabin Regular"/>
      <w:b/>
      <w:color w:val="006695"/>
      <w:sz w:val="22"/>
      <w:szCs w:val="28"/>
      <w:vertAlign w:val="baseline"/>
      <w:lang w:val="en-GB"/>
    </w:rPr>
  </w:style>
  <w:style w:type="paragraph" w:customStyle="1" w:styleId="Cover-Title">
    <w:name w:val="Cover - Title"/>
    <w:basedOn w:val="Normal"/>
    <w:next w:val="Normal"/>
    <w:link w:val="Cover-TitleChar"/>
    <w:uiPriority w:val="10"/>
    <w:pPr>
      <w:framePr w:hSpace="142" w:wrap="around" w:hAnchor="margin" w:yAlign="bottom"/>
      <w:suppressAutoHyphens/>
      <w:spacing w:before="0" w:after="260" w:line="880" w:lineRule="atLeast"/>
      <w:contextualSpacing/>
      <w:suppressOverlap/>
      <w:jc w:val="right"/>
    </w:pPr>
    <w:rPr>
      <w:rFonts w:ascii="Segoe UI Light" w:eastAsiaTheme="minorHAnsi" w:hAnsi="Segoe UI Light" w:cstheme="minorBidi"/>
      <w:color w:val="auto"/>
      <w:sz w:val="80"/>
      <w:szCs w:val="20"/>
      <w:lang w:val="da-DK"/>
    </w:rPr>
  </w:style>
  <w:style w:type="character" w:customStyle="1" w:styleId="Cover-TitleChar">
    <w:name w:val="Cover - Title Char"/>
    <w:basedOn w:val="DefaultParagraphFont"/>
    <w:link w:val="Cover-Title"/>
    <w:uiPriority w:val="10"/>
    <w:rPr>
      <w:rFonts w:ascii="Segoe UI Light" w:eastAsiaTheme="minorHAnsi" w:hAnsi="Segoe UI Light" w:cstheme="minorBidi"/>
      <w:sz w:val="80"/>
      <w:lang w:val="da-DK"/>
    </w:rPr>
  </w:style>
  <w:style w:type="paragraph" w:customStyle="1" w:styleId="z-TopofForm1">
    <w:name w:val="z-Top of Form1"/>
    <w:basedOn w:val="Normal"/>
    <w:next w:val="Normal"/>
    <w:link w:val="z-TopofFormChar"/>
    <w:uiPriority w:val="99"/>
    <w:semiHidden/>
    <w:unhideWhenUsed/>
    <w:pPr>
      <w:pBdr>
        <w:bottom w:val="single" w:sz="6" w:space="1" w:color="auto"/>
      </w:pBdr>
      <w:spacing w:before="0"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semiHidden/>
    <w:unhideWhenUsed/>
    <w:pPr>
      <w:pBdr>
        <w:top w:val="single" w:sz="6" w:space="1" w:color="auto"/>
      </w:pBdr>
      <w:spacing w:before="0"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1"/>
    <w:uiPriority w:val="99"/>
    <w:semiHidden/>
    <w:rPr>
      <w:rFonts w:ascii="Arial" w:eastAsia="Times New Roman" w:hAnsi="Arial" w:cs="Arial"/>
      <w:vanish/>
      <w:sz w:val="16"/>
      <w:szCs w:val="16"/>
    </w:rPr>
  </w:style>
  <w:style w:type="character" w:customStyle="1" w:styleId="EndnoteTextChar">
    <w:name w:val="Endnote Text Char"/>
    <w:basedOn w:val="DefaultParagraphFont"/>
    <w:link w:val="EndnoteText"/>
    <w:semiHidden/>
    <w:rPr>
      <w:rFonts w:ascii="Courier" w:eastAsia="Times New Roman" w:hAnsi="Courier"/>
      <w:snapToGrid w:val="0"/>
      <w:sz w:val="24"/>
    </w:rPr>
  </w:style>
  <w:style w:type="character" w:customStyle="1" w:styleId="EquationCaption">
    <w:name w:val="_Equation Caption"/>
    <w:qFormat/>
  </w:style>
  <w:style w:type="character" w:customStyle="1" w:styleId="BodyTextIndent3Char">
    <w:name w:val="Body Text Indent 3 Char"/>
    <w:basedOn w:val="DefaultParagraphFont"/>
    <w:link w:val="BodyTextIndent3"/>
    <w:rPr>
      <w:rFonts w:ascii="Courier" w:eastAsia="Times New Roman" w:hAnsi="Courier"/>
      <w:snapToGrid w:val="0"/>
      <w:sz w:val="16"/>
      <w:szCs w:val="16"/>
    </w:rPr>
  </w:style>
  <w:style w:type="table" w:customStyle="1" w:styleId="GridTable6Colorful-Accent512">
    <w:name w:val="Grid Table 6 Colorful - Accent 512"/>
    <w:basedOn w:val="TableNormal"/>
    <w:uiPriority w:val="51"/>
    <w:rPr>
      <w:rFonts w:asciiTheme="minorHAnsi" w:eastAsiaTheme="minorHAnsi" w:hAnsiTheme="minorHAnsi" w:cstheme="minorBidi"/>
      <w:color w:val="31849B" w:themeColor="accent5" w:themeShade="BF"/>
      <w:sz w:val="22"/>
      <w:szCs w:val="22"/>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512">
    <w:name w:val="Plain Table 512"/>
    <w:basedOn w:val="TableNormal"/>
    <w:uiPriority w:val="45"/>
    <w:rPr>
      <w:rFonts w:asciiTheme="minorHAnsi" w:eastAsiaTheme="minorHAnsi" w:hAnsiTheme="minorHAnsi" w:cstheme="minorBidi"/>
      <w:sz w:val="22"/>
      <w:szCs w:val="22"/>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2">
    <w:name w:val="Unresolved Mention12"/>
    <w:basedOn w:val="DefaultParagraphFont"/>
    <w:uiPriority w:val="99"/>
    <w:rPr>
      <w:color w:val="808080"/>
      <w:shd w:val="clear" w:color="auto" w:fill="E6E6E6"/>
    </w:rPr>
  </w:style>
  <w:style w:type="table" w:customStyle="1" w:styleId="ListTable5Dark-Accent110">
    <w:name w:val="List Table 5 Dark - Accent 110"/>
    <w:basedOn w:val="TableNormal"/>
    <w:uiPriority w:val="50"/>
    <w:rPr>
      <w:rFonts w:asciiTheme="minorHAnsi" w:eastAsiaTheme="minorHAnsi" w:hAnsiTheme="minorHAnsi" w:cstheme="minorBidi"/>
      <w:color w:val="FFFFFF" w:themeColor="background1"/>
      <w:sz w:val="22"/>
      <w:szCs w:val="22"/>
    </w:rPr>
    <w:tblPr>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21">
    <w:name w:val="Unresolved Mention21"/>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table" w:customStyle="1" w:styleId="PlainTable21">
    <w:name w:val="Plain Table 21"/>
    <w:basedOn w:val="TableNormal"/>
    <w:uiPriority w:val="42"/>
    <w:rPr>
      <w:rFonts w:asciiTheme="minorHAnsi" w:eastAsiaTheme="minorHAnsi" w:hAnsiTheme="minorHAnsi" w:cstheme="minorBidi"/>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oecd-shared-footercopyright-first">
    <w:name w:val="oecd-shared-footer__copyright-first"/>
    <w:basedOn w:val="DefaultParagraphFont"/>
  </w:style>
  <w:style w:type="character" w:customStyle="1" w:styleId="oecd-shared-footercopyright-second">
    <w:name w:val="oecd-shared-footer__copyright-second"/>
    <w:basedOn w:val="DefaultParagraphFont"/>
  </w:style>
  <w:style w:type="paragraph" w:customStyle="1" w:styleId="imgleft">
    <w:name w:val="imgleft"/>
    <w:basedOn w:val="Normal"/>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size500">
    <w:name w:val="size500"/>
    <w:basedOn w:val="DefaultParagraphFont"/>
  </w:style>
  <w:style w:type="paragraph" w:customStyle="1" w:styleId="imgright">
    <w:name w:val="imgright"/>
    <w:basedOn w:val="Normal"/>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size01">
    <w:name w:val="size01"/>
    <w:basedOn w:val="DefaultParagraphFont"/>
  </w:style>
  <w:style w:type="paragraph" w:customStyle="1" w:styleId="pagetop">
    <w:name w:val="pagetop"/>
    <w:basedOn w:val="Normal"/>
    <w:pPr>
      <w:spacing w:before="100" w:beforeAutospacing="1" w:after="100" w:afterAutospacing="1" w:line="240" w:lineRule="auto"/>
    </w:pPr>
    <w:rPr>
      <w:rFonts w:ascii="Times New Roman" w:eastAsia="Times New Roman" w:hAnsi="Times New Roman"/>
      <w:color w:val="auto"/>
      <w:sz w:val="24"/>
      <w:szCs w:val="24"/>
      <w:lang w:eastAsia="en-GB"/>
    </w:rPr>
  </w:style>
  <w:style w:type="paragraph" w:customStyle="1" w:styleId="on">
    <w:name w:val="on"/>
    <w:basedOn w:val="Normal"/>
    <w:pPr>
      <w:spacing w:before="100" w:beforeAutospacing="1" w:after="100" w:afterAutospacing="1" w:line="240" w:lineRule="auto"/>
    </w:pPr>
    <w:rPr>
      <w:rFonts w:ascii="Times New Roman" w:eastAsia="Times New Roman" w:hAnsi="Times New Roman"/>
      <w:color w:val="auto"/>
      <w:sz w:val="24"/>
      <w:szCs w:val="24"/>
      <w:lang w:eastAsia="en-GB"/>
    </w:rPr>
  </w:style>
  <w:style w:type="paragraph" w:customStyle="1" w:styleId="end">
    <w:name w:val="end"/>
    <w:basedOn w:val="Normal"/>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UnresolvedMention5">
    <w:name w:val="Unresolved Mention5"/>
    <w:basedOn w:val="DefaultParagraphFont"/>
    <w:uiPriority w:val="99"/>
    <w:semiHidden/>
    <w:unhideWhenUsed/>
    <w:rPr>
      <w:color w:val="605E5C"/>
      <w:shd w:val="clear" w:color="auto" w:fill="E1DFDD"/>
    </w:rPr>
  </w:style>
  <w:style w:type="table" w:customStyle="1" w:styleId="TableGridLight3">
    <w:name w:val="Table Grid Light3"/>
    <w:basedOn w:val="TableNormal"/>
    <w:uiPriority w:val="40"/>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6">
    <w:name w:val="Unresolved Mention6"/>
    <w:basedOn w:val="DefaultParagraphFont"/>
    <w:uiPriority w:val="99"/>
    <w:semiHidden/>
    <w:unhideWhenUsed/>
    <w:rPr>
      <w:color w:val="605E5C"/>
      <w:shd w:val="clear" w:color="auto" w:fill="E1DFDD"/>
    </w:rPr>
  </w:style>
  <w:style w:type="paragraph" w:customStyle="1" w:styleId="Texte-CG2010">
    <w:name w:val="Texte - CG 2010"/>
    <w:basedOn w:val="Normal"/>
    <w:link w:val="Texte-CG2010Car"/>
    <w:uiPriority w:val="99"/>
    <w:pPr>
      <w:spacing w:before="0" w:after="0" w:line="240" w:lineRule="auto"/>
      <w:jc w:val="both"/>
    </w:pPr>
    <w:rPr>
      <w:rFonts w:ascii="Arial" w:eastAsia="Times New Roman" w:hAnsi="Arial" w:cs="Arial"/>
      <w:color w:val="auto"/>
      <w:sz w:val="22"/>
      <w:lang w:val="fr-FR" w:eastAsia="fr-FR"/>
    </w:rPr>
  </w:style>
  <w:style w:type="character" w:customStyle="1" w:styleId="Texte-CG2010Car">
    <w:name w:val="Texte - CG 2010 Car"/>
    <w:basedOn w:val="DefaultParagraphFont"/>
    <w:link w:val="Texte-CG2010"/>
    <w:uiPriority w:val="99"/>
    <w:locked/>
    <w:rPr>
      <w:rFonts w:ascii="Arial" w:eastAsia="Times New Roman" w:hAnsi="Arial" w:cs="Arial"/>
      <w:sz w:val="22"/>
      <w:szCs w:val="22"/>
      <w:lang w:val="fr-FR" w:eastAsia="fr-FR"/>
    </w:rPr>
  </w:style>
  <w:style w:type="character" w:customStyle="1" w:styleId="TK15-Instructions">
    <w:name w:val="TK15 - Instructions"/>
    <w:basedOn w:val="TK15-TexteCar"/>
    <w:uiPriority w:val="1"/>
    <w:qFormat/>
    <w:rPr>
      <w:rFonts w:ascii="Calibri" w:eastAsia="Calibri" w:hAnsi="Calibri" w:cstheme="minorHAnsi"/>
      <w:i/>
      <w:color w:val="808080" w:themeColor="background1" w:themeShade="80"/>
      <w:sz w:val="22"/>
      <w:szCs w:val="20"/>
      <w:lang w:val="fr-FR" w:eastAsia="en-US"/>
    </w:rPr>
  </w:style>
  <w:style w:type="paragraph" w:customStyle="1" w:styleId="ListParagraph20">
    <w:name w:val="List Paragraph 2"/>
    <w:basedOn w:val="ListParagraph"/>
    <w:uiPriority w:val="19"/>
    <w:semiHidden/>
    <w:pPr>
      <w:spacing w:before="120" w:after="120" w:line="240" w:lineRule="auto"/>
      <w:ind w:left="567" w:hanging="283"/>
    </w:pPr>
    <w:rPr>
      <w:szCs w:val="20"/>
      <w:lang w:val="en-AU"/>
    </w:rPr>
  </w:style>
  <w:style w:type="paragraph" w:customStyle="1" w:styleId="ListParagraph3">
    <w:name w:val="List Paragraph 3"/>
    <w:basedOn w:val="ListParagraph"/>
    <w:uiPriority w:val="19"/>
    <w:semiHidden/>
    <w:pPr>
      <w:tabs>
        <w:tab w:val="left" w:pos="1134"/>
      </w:tabs>
      <w:spacing w:before="120" w:after="120" w:line="240" w:lineRule="auto"/>
      <w:ind w:left="1134" w:hanging="1134"/>
    </w:pPr>
    <w:rPr>
      <w:szCs w:val="20"/>
      <w:lang w:val="en-AU"/>
    </w:rPr>
  </w:style>
  <w:style w:type="paragraph" w:customStyle="1" w:styleId="ListParagraph4">
    <w:name w:val="List Paragraph 4"/>
    <w:basedOn w:val="ListParagraph"/>
    <w:uiPriority w:val="19"/>
    <w:semiHidden/>
    <w:pPr>
      <w:spacing w:before="120" w:after="120" w:line="240" w:lineRule="auto"/>
      <w:ind w:left="1440" w:hanging="360"/>
    </w:pPr>
    <w:rPr>
      <w:szCs w:val="20"/>
      <w:lang w:val="en-AU"/>
    </w:rPr>
  </w:style>
  <w:style w:type="paragraph" w:customStyle="1" w:styleId="ListParagraph5">
    <w:name w:val="List Paragraph 5"/>
    <w:basedOn w:val="ListParagraph"/>
    <w:uiPriority w:val="19"/>
    <w:semiHidden/>
    <w:pPr>
      <w:spacing w:before="120" w:after="120" w:line="240" w:lineRule="auto"/>
      <w:ind w:left="0"/>
    </w:pPr>
    <w:rPr>
      <w:szCs w:val="20"/>
      <w:lang w:val="en-AU"/>
    </w:rPr>
  </w:style>
  <w:style w:type="paragraph" w:customStyle="1" w:styleId="ListParagraph6">
    <w:name w:val="List Paragraph 6"/>
    <w:basedOn w:val="ListParagraph"/>
    <w:uiPriority w:val="19"/>
    <w:semiHidden/>
    <w:pPr>
      <w:spacing w:before="120" w:after="120" w:line="240" w:lineRule="auto"/>
      <w:ind w:left="2160" w:hanging="360"/>
    </w:pPr>
    <w:rPr>
      <w:szCs w:val="20"/>
      <w:lang w:val="en-AU"/>
    </w:rPr>
  </w:style>
  <w:style w:type="table" w:customStyle="1" w:styleId="DisasterREADYTable2">
    <w:name w:val="_Disaster READY Table 2"/>
    <w:basedOn w:val="TableNormal"/>
    <w:uiPriority w:val="99"/>
    <w:pPr>
      <w:spacing w:before="120"/>
      <w:ind w:left="57" w:right="57"/>
    </w:pPr>
    <w:rPr>
      <w:rFonts w:ascii="Segoe UI Light" w:eastAsiaTheme="minorHAnsi" w:hAnsi="Segoe UI Light" w:cstheme="minorBidi"/>
      <w:color w:val="1F497D" w:themeColor="text2"/>
    </w:rPr>
    <w:tblPr>
      <w:tblBorders>
        <w:insideH w:val="single" w:sz="4" w:space="0" w:color="948A54" w:themeColor="background2" w:themeShade="80"/>
      </w:tblBorders>
      <w:tblCellMar>
        <w:top w:w="85" w:type="dxa"/>
        <w:left w:w="85" w:type="dxa"/>
        <w:bottom w:w="85" w:type="dxa"/>
        <w:right w:w="85" w:type="dxa"/>
      </w:tblCellMar>
    </w:tblPr>
    <w:trPr>
      <w:cantSplit/>
    </w:trPr>
    <w:tcPr>
      <w:shd w:val="clear" w:color="auto" w:fill="FFFFFF" w:themeFill="background1"/>
    </w:tcPr>
    <w:tblStylePr w:type="firstRow">
      <w:pPr>
        <w:wordWrap/>
        <w:spacing w:beforeLines="0" w:before="0" w:beforeAutospacing="0" w:afterLines="0" w:after="0" w:afterAutospacing="0" w:line="240" w:lineRule="auto"/>
        <w:ind w:leftChars="0" w:left="57" w:rightChars="0" w:right="57"/>
        <w:contextualSpacing w:val="0"/>
      </w:pPr>
      <w:rPr>
        <w:rFonts w:asciiTheme="majorHAnsi" w:hAnsiTheme="majorHAnsi"/>
        <w:b/>
        <w:color w:val="1F497D" w:themeColor="text2"/>
        <w:sz w:val="20"/>
      </w:rPr>
      <w:tblPr/>
      <w:tcPr>
        <w:shd w:val="clear" w:color="auto" w:fill="C0504D" w:themeFill="accent2"/>
      </w:tcPr>
    </w:tblStylePr>
    <w:tblStylePr w:type="lastRow">
      <w:pPr>
        <w:wordWrap/>
        <w:spacing w:beforeLines="0" w:before="0" w:beforeAutospacing="0" w:afterLines="0" w:after="0" w:afterAutospacing="0" w:line="240" w:lineRule="auto"/>
        <w:contextualSpacing w:val="0"/>
      </w:pPr>
      <w:rPr>
        <w:rFonts w:asciiTheme="minorHAnsi" w:hAnsiTheme="minorHAnsi"/>
        <w:b/>
        <w:color w:val="auto"/>
        <w:sz w:val="20"/>
      </w:rPr>
      <w:tblPr/>
      <w:tcPr>
        <w:tcBorders>
          <w:top w:val="single" w:sz="4" w:space="0" w:color="4F81BD" w:themeColor="accent1"/>
          <w:bottom w:val="single" w:sz="4" w:space="0" w:color="4F81BD" w:themeColor="accent1"/>
        </w:tcBorders>
        <w:shd w:val="clear" w:color="auto" w:fill="F2F2F2" w:themeFill="background1" w:themeFillShade="F2"/>
      </w:tcPr>
    </w:tblStylePr>
    <w:tblStylePr w:type="firstCol">
      <w:tblPr/>
      <w:tcPr>
        <w:shd w:val="clear" w:color="auto" w:fill="FFFFFF" w:themeFill="background1"/>
      </w:tcPr>
    </w:tblStylePr>
    <w:tblStylePr w:type="band2Vert">
      <w:tblPr/>
      <w:tcPr>
        <w:shd w:val="clear" w:color="auto" w:fill="FFFFFF" w:themeFill="background1"/>
      </w:tcPr>
    </w:tblStylePr>
    <w:tblStylePr w:type="band2Horz">
      <w:tblPr/>
      <w:tcPr>
        <w:shd w:val="clear" w:color="auto" w:fill="FFFFFF" w:themeFill="background1"/>
      </w:tcPr>
    </w:tblStylePr>
  </w:style>
  <w:style w:type="paragraph" w:customStyle="1" w:styleId="task-list-item">
    <w:name w:val="task-list-item"/>
    <w:basedOn w:val="Normal"/>
    <w:pPr>
      <w:spacing w:before="100" w:beforeAutospacing="1" w:after="100" w:afterAutospacing="1" w:line="240" w:lineRule="auto"/>
    </w:pPr>
    <w:rPr>
      <w:rFonts w:ascii="Times New Roman" w:eastAsia="Times New Roman" w:hAnsi="Times New Roman"/>
      <w:color w:val="auto"/>
      <w:sz w:val="24"/>
      <w:szCs w:val="24"/>
      <w14:ligatures w14:val="standardContextual"/>
    </w:rPr>
  </w:style>
  <w:style w:type="table" w:customStyle="1" w:styleId="GridTable4-Accent21">
    <w:name w:val="Grid Table 4 - Accent 21"/>
    <w:basedOn w:val="TableNormal"/>
    <w:uiPriority w:val="49"/>
    <w:rPr>
      <w:rFonts w:asciiTheme="minorHAnsi" w:eastAsiaTheme="minorHAnsi" w:hAnsiTheme="minorHAnsi" w:cstheme="minorBidi"/>
      <w:kern w:val="2"/>
      <w:sz w:val="22"/>
      <w:szCs w:val="22"/>
      <w14:ligatures w14:val="standardContextual"/>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51">
    <w:name w:val="Grid Table 1 Light - Accent 51"/>
    <w:basedOn w:val="TableNormal"/>
    <w:uiPriority w:val="46"/>
    <w:rPr>
      <w:rFonts w:asciiTheme="minorHAnsi" w:eastAsiaTheme="minorHAnsi" w:hAnsiTheme="minorHAnsi" w:cstheme="minorBidi"/>
      <w:sz w:val="22"/>
      <w:szCs w:val="22"/>
    </w:rPr>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pf0">
    <w:name w:val="pf0"/>
    <w:basedOn w:val="Normal"/>
    <w:pPr>
      <w:spacing w:before="100" w:beforeAutospacing="1" w:after="100" w:afterAutospacing="1" w:line="240" w:lineRule="auto"/>
    </w:pPr>
    <w:rPr>
      <w:rFonts w:ascii="Times New Roman" w:eastAsia="Times New Roman" w:hAnsi="Times New Roman"/>
      <w:color w:val="auto"/>
      <w:sz w:val="24"/>
      <w:szCs w:val="24"/>
      <w14:ligatures w14:val="standardContextual"/>
    </w:rPr>
  </w:style>
  <w:style w:type="character" w:customStyle="1" w:styleId="cf01">
    <w:name w:val="cf01"/>
    <w:basedOn w:val="DefaultParagraphFont"/>
    <w:qFormat/>
    <w:rPr>
      <w:rFonts w:ascii="Segoe UI" w:hAnsi="Segoe UI" w:cs="Segoe UI" w:hint="default"/>
      <w:sz w:val="18"/>
      <w:szCs w:val="18"/>
    </w:rPr>
  </w:style>
  <w:style w:type="table" w:customStyle="1" w:styleId="GridTable4-Accent531">
    <w:name w:val="Grid Table 4 - Accent 531"/>
    <w:basedOn w:val="TableNormal"/>
    <w:uiPriority w:val="49"/>
    <w:tblPr>
      <w:tblBorders>
        <w:top w:val="single" w:sz="4" w:space="0" w:color="B9B4D9"/>
        <w:left w:val="single" w:sz="4" w:space="0" w:color="B9B4D9"/>
        <w:bottom w:val="single" w:sz="4" w:space="0" w:color="B9B4D9"/>
        <w:right w:val="single" w:sz="4" w:space="0" w:color="B9B4D9"/>
        <w:insideH w:val="single" w:sz="4" w:space="0" w:color="B9B4D9"/>
        <w:insideV w:val="single" w:sz="4" w:space="0" w:color="B9B4D9"/>
      </w:tblBorders>
    </w:tblPr>
    <w:tblStylePr w:type="firstRow">
      <w:rPr>
        <w:b/>
        <w:bCs/>
        <w:color w:val="FFFFFF"/>
      </w:rPr>
      <w:tblPr/>
      <w:tcPr>
        <w:tcBorders>
          <w:top w:val="single" w:sz="4" w:space="0" w:color="8B83C1"/>
          <w:left w:val="single" w:sz="4" w:space="0" w:color="8B83C1"/>
          <w:bottom w:val="single" w:sz="4" w:space="0" w:color="8B83C1"/>
          <w:right w:val="single" w:sz="4" w:space="0" w:color="8B83C1"/>
          <w:insideH w:val="nil"/>
          <w:insideV w:val="nil"/>
        </w:tcBorders>
        <w:shd w:val="clear" w:color="auto" w:fill="8B83C1"/>
      </w:tcPr>
    </w:tblStylePr>
    <w:tblStylePr w:type="lastRow">
      <w:rPr>
        <w:b/>
        <w:bCs/>
      </w:rPr>
      <w:tblPr/>
      <w:tcPr>
        <w:tcBorders>
          <w:top w:val="double" w:sz="4" w:space="0" w:color="8B83C1"/>
        </w:tcBorders>
      </w:tcPr>
    </w:tblStylePr>
    <w:tblStylePr w:type="firstCol">
      <w:rPr>
        <w:b/>
        <w:bCs/>
      </w:rPr>
    </w:tblStylePr>
    <w:tblStylePr w:type="lastCol">
      <w:rPr>
        <w:b/>
        <w:bCs/>
      </w:rPr>
    </w:tblStylePr>
    <w:tblStylePr w:type="band1Vert">
      <w:tblPr/>
      <w:tcPr>
        <w:shd w:val="clear" w:color="auto" w:fill="E7E6F2"/>
      </w:tcPr>
    </w:tblStylePr>
    <w:tblStylePr w:type="band1Horz">
      <w:tblPr/>
      <w:tcPr>
        <w:shd w:val="clear" w:color="auto" w:fill="E7E6F2"/>
      </w:tcPr>
    </w:tblStylePr>
  </w:style>
  <w:style w:type="table" w:customStyle="1" w:styleId="GridTable6Colorful-Accent531">
    <w:name w:val="Grid Table 6 Colorful - Accent 531"/>
    <w:basedOn w:val="TableNormal"/>
    <w:uiPriority w:val="51"/>
    <w:rPr>
      <w:color w:val="5B51A1"/>
    </w:rPr>
    <w:tblPr>
      <w:tblBorders>
        <w:top w:val="single" w:sz="4" w:space="0" w:color="B9B4D9"/>
        <w:left w:val="single" w:sz="4" w:space="0" w:color="B9B4D9"/>
        <w:bottom w:val="single" w:sz="4" w:space="0" w:color="B9B4D9"/>
        <w:right w:val="single" w:sz="4" w:space="0" w:color="B9B4D9"/>
        <w:insideH w:val="single" w:sz="4" w:space="0" w:color="B9B4D9"/>
        <w:insideV w:val="single" w:sz="4" w:space="0" w:color="B9B4D9"/>
      </w:tblBorders>
    </w:tblPr>
    <w:tblStylePr w:type="firstRow">
      <w:rPr>
        <w:b/>
        <w:bCs/>
      </w:rPr>
      <w:tblPr/>
      <w:tcPr>
        <w:tcBorders>
          <w:bottom w:val="single" w:sz="12" w:space="0" w:color="B9B4D9"/>
        </w:tcBorders>
      </w:tcPr>
    </w:tblStylePr>
    <w:tblStylePr w:type="lastRow">
      <w:rPr>
        <w:b/>
        <w:bCs/>
      </w:rPr>
      <w:tblPr/>
      <w:tcPr>
        <w:tcBorders>
          <w:top w:val="double" w:sz="4" w:space="0" w:color="B9B4D9"/>
        </w:tcBorders>
      </w:tcPr>
    </w:tblStylePr>
    <w:tblStylePr w:type="firstCol">
      <w:rPr>
        <w:b/>
        <w:bCs/>
      </w:rPr>
    </w:tblStylePr>
    <w:tblStylePr w:type="lastCol">
      <w:rPr>
        <w:b/>
        <w:bCs/>
      </w:rPr>
    </w:tblStylePr>
    <w:tblStylePr w:type="band1Vert">
      <w:tblPr/>
      <w:tcPr>
        <w:shd w:val="clear" w:color="auto" w:fill="E7E6F2"/>
      </w:tcPr>
    </w:tblStylePr>
    <w:tblStylePr w:type="band1Horz">
      <w:tblPr/>
      <w:tcPr>
        <w:shd w:val="clear" w:color="auto" w:fill="E7E6F2"/>
      </w:tcPr>
    </w:tblStylePr>
  </w:style>
  <w:style w:type="table" w:customStyle="1" w:styleId="PlainTable531">
    <w:name w:val="Plain Table 531"/>
    <w:basedOn w:val="TableNormal"/>
    <w:uiPriority w:val="45"/>
    <w:tblPr/>
    <w:tblStylePr w:type="firstRow">
      <w:rPr>
        <w:rFonts w:ascii="Gulim" w:eastAsia="MS Gothic" w:hAnsi="Gulim" w:cs="Times New Roman"/>
        <w:i/>
        <w:iCs/>
        <w:sz w:val="26"/>
      </w:rPr>
      <w:tblPr/>
      <w:tcPr>
        <w:tcBorders>
          <w:bottom w:val="single" w:sz="4" w:space="0" w:color="7F7F7F"/>
        </w:tcBorders>
        <w:shd w:val="clear" w:color="auto" w:fill="FFFFFF"/>
      </w:tcPr>
    </w:tblStylePr>
    <w:tblStylePr w:type="lastRow">
      <w:rPr>
        <w:rFonts w:ascii="Gulim" w:eastAsia="MS Gothic" w:hAnsi="Gulim" w:cs="Times New Roman"/>
        <w:i/>
        <w:iCs/>
        <w:sz w:val="26"/>
      </w:rPr>
      <w:tblPr/>
      <w:tcPr>
        <w:tcBorders>
          <w:top w:val="single" w:sz="4" w:space="0" w:color="7F7F7F"/>
        </w:tcBorders>
        <w:shd w:val="clear" w:color="auto" w:fill="FFFFFF"/>
      </w:tcPr>
    </w:tblStylePr>
    <w:tblStylePr w:type="firstCol">
      <w:pPr>
        <w:jc w:val="right"/>
      </w:pPr>
      <w:rPr>
        <w:rFonts w:ascii="Gulim" w:eastAsia="MS Gothic" w:hAnsi="Gulim" w:cs="Times New Roman"/>
        <w:i/>
        <w:iCs/>
        <w:sz w:val="26"/>
      </w:rPr>
      <w:tblPr/>
      <w:tcPr>
        <w:tcBorders>
          <w:right w:val="single" w:sz="4" w:space="0" w:color="7F7F7F"/>
        </w:tcBorders>
        <w:shd w:val="clear" w:color="auto" w:fill="FFFFFF"/>
      </w:tcPr>
    </w:tblStylePr>
    <w:tblStylePr w:type="lastCol">
      <w:rPr>
        <w:rFonts w:ascii="Gulim" w:eastAsia="MS Gothic" w:hAnsi="Gulim"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31">
    <w:name w:val="Grid Table 4 - Accent 131"/>
    <w:basedOn w:val="TableNormal"/>
    <w:uiPriority w:val="49"/>
    <w:tblPr>
      <w:tblBorders>
        <w:top w:val="single" w:sz="4" w:space="0" w:color="9B95C9"/>
        <w:left w:val="single" w:sz="4" w:space="0" w:color="9B95C9"/>
        <w:bottom w:val="single" w:sz="4" w:space="0" w:color="9B95C9"/>
        <w:right w:val="single" w:sz="4" w:space="0" w:color="9B95C9"/>
        <w:insideH w:val="single" w:sz="4" w:space="0" w:color="9B95C9"/>
        <w:insideV w:val="single" w:sz="4" w:space="0" w:color="9B95C9"/>
      </w:tblBorders>
    </w:tblPr>
    <w:tblStylePr w:type="firstRow">
      <w:rPr>
        <w:b/>
        <w:bCs/>
        <w:color w:val="FFFFFF"/>
      </w:rPr>
      <w:tblPr/>
      <w:tcPr>
        <w:tcBorders>
          <w:top w:val="single" w:sz="4" w:space="0" w:color="5C52A3"/>
          <w:left w:val="single" w:sz="4" w:space="0" w:color="5C52A3"/>
          <w:bottom w:val="single" w:sz="4" w:space="0" w:color="5C52A3"/>
          <w:right w:val="single" w:sz="4" w:space="0" w:color="5C52A3"/>
          <w:insideH w:val="nil"/>
          <w:insideV w:val="nil"/>
        </w:tcBorders>
        <w:shd w:val="clear" w:color="auto" w:fill="5C52A3"/>
      </w:tcPr>
    </w:tblStylePr>
    <w:tblStylePr w:type="lastRow">
      <w:rPr>
        <w:b/>
        <w:bCs/>
      </w:rPr>
      <w:tblPr/>
      <w:tcPr>
        <w:tcBorders>
          <w:top w:val="double" w:sz="4" w:space="0" w:color="5C52A3"/>
        </w:tcBorders>
      </w:tcPr>
    </w:tblStylePr>
    <w:tblStylePr w:type="firstCol">
      <w:rPr>
        <w:b/>
        <w:bCs/>
      </w:rPr>
    </w:tblStylePr>
    <w:tblStylePr w:type="lastCol">
      <w:rPr>
        <w:b/>
        <w:bCs/>
      </w:rPr>
    </w:tblStylePr>
    <w:tblStylePr w:type="band1Vert">
      <w:tblPr/>
      <w:tcPr>
        <w:shd w:val="clear" w:color="auto" w:fill="DDDBED"/>
      </w:tcPr>
    </w:tblStylePr>
    <w:tblStylePr w:type="band1Horz">
      <w:tblPr/>
      <w:tcPr>
        <w:shd w:val="clear" w:color="auto" w:fill="DDDBED"/>
      </w:tcPr>
    </w:tblStylePr>
  </w:style>
  <w:style w:type="table" w:customStyle="1" w:styleId="GridTable4-Accent311">
    <w:name w:val="Grid Table 4 - Accent 311"/>
    <w:basedOn w:val="TableNormal"/>
    <w:uiPriority w:val="49"/>
    <w:tblPr>
      <w:tblBorders>
        <w:top w:val="single" w:sz="4" w:space="0" w:color="AEA9D3"/>
        <w:left w:val="single" w:sz="4" w:space="0" w:color="AEA9D3"/>
        <w:bottom w:val="single" w:sz="4" w:space="0" w:color="AEA9D3"/>
        <w:right w:val="single" w:sz="4" w:space="0" w:color="AEA9D3"/>
        <w:insideH w:val="single" w:sz="4" w:space="0" w:color="AEA9D3"/>
        <w:insideV w:val="single" w:sz="4" w:space="0" w:color="AEA9D3"/>
      </w:tblBorders>
    </w:tblPr>
    <w:tblStylePr w:type="firstRow">
      <w:rPr>
        <w:b/>
        <w:bCs/>
        <w:color w:val="FFFFFF"/>
      </w:rPr>
      <w:tblPr/>
      <w:tcPr>
        <w:tcBorders>
          <w:top w:val="single" w:sz="4" w:space="0" w:color="7971B7"/>
          <w:left w:val="single" w:sz="4" w:space="0" w:color="7971B7"/>
          <w:bottom w:val="single" w:sz="4" w:space="0" w:color="7971B7"/>
          <w:right w:val="single" w:sz="4" w:space="0" w:color="7971B7"/>
          <w:insideH w:val="nil"/>
          <w:insideV w:val="nil"/>
        </w:tcBorders>
        <w:shd w:val="clear" w:color="auto" w:fill="7971B7"/>
      </w:tcPr>
    </w:tblStylePr>
    <w:tblStylePr w:type="lastRow">
      <w:rPr>
        <w:b/>
        <w:bCs/>
      </w:rPr>
      <w:tblPr/>
      <w:tcPr>
        <w:tcBorders>
          <w:top w:val="double" w:sz="4" w:space="0" w:color="7971B7"/>
        </w:tcBorders>
      </w:tcPr>
    </w:tblStylePr>
    <w:tblStylePr w:type="firstCol">
      <w:rPr>
        <w:b/>
        <w:bCs/>
      </w:rPr>
    </w:tblStylePr>
    <w:tblStylePr w:type="lastCol">
      <w:rPr>
        <w:b/>
        <w:bCs/>
      </w:rPr>
    </w:tblStylePr>
    <w:tblStylePr w:type="band1Vert">
      <w:tblPr/>
      <w:tcPr>
        <w:shd w:val="clear" w:color="auto" w:fill="E3E2F0"/>
      </w:tcPr>
    </w:tblStylePr>
    <w:tblStylePr w:type="band1Horz">
      <w:tblPr/>
      <w:tcPr>
        <w:shd w:val="clear" w:color="auto" w:fill="E3E2F0"/>
      </w:tcPr>
    </w:tblStylePr>
  </w:style>
  <w:style w:type="character" w:customStyle="1" w:styleId="UnresolvedMention22">
    <w:name w:val="Unresolved Mention22"/>
    <w:uiPriority w:val="99"/>
    <w:semiHidden/>
    <w:unhideWhenUsed/>
    <w:rPr>
      <w:color w:val="605E5C"/>
      <w:shd w:val="clear" w:color="auto" w:fill="E1DFDD"/>
    </w:rPr>
  </w:style>
  <w:style w:type="table" w:customStyle="1" w:styleId="ListTable5Dark-Accent111">
    <w:name w:val="List Table 5 Dark - Accent 111"/>
    <w:basedOn w:val="TableNormal"/>
    <w:uiPriority w:val="50"/>
    <w:rPr>
      <w:rFonts w:asciiTheme="minorHAnsi" w:eastAsiaTheme="minorHAnsi" w:hAnsiTheme="minorHAnsi" w:cstheme="minorBidi"/>
      <w:color w:val="FFFFFF" w:themeColor="background1"/>
      <w:sz w:val="22"/>
      <w:szCs w:val="22"/>
    </w:rPr>
    <w:tblPr>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yle2">
    <w:name w:val="Style2"/>
    <w:basedOn w:val="TableNormal"/>
    <w:uiPriority w:val="99"/>
    <w:tblPr/>
  </w:style>
  <w:style w:type="character" w:customStyle="1" w:styleId="UnresolvedMention7">
    <w:name w:val="Unresolved Mention7"/>
    <w:basedOn w:val="DefaultParagraphFont"/>
    <w:uiPriority w:val="99"/>
    <w:semiHidden/>
    <w:unhideWhenUsed/>
    <w:rPr>
      <w:color w:val="605E5C"/>
      <w:shd w:val="clear" w:color="auto" w:fill="E1DFDD"/>
    </w:rPr>
  </w:style>
  <w:style w:type="paragraph" w:styleId="Quote">
    <w:name w:val="Quote"/>
    <w:basedOn w:val="Normal"/>
    <w:next w:val="Footer"/>
    <w:link w:val="QuoteChar"/>
    <w:uiPriority w:val="29"/>
    <w:qFormat/>
    <w:pPr>
      <w:spacing w:before="160" w:after="160" w:line="278" w:lineRule="auto"/>
      <w:jc w:val="center"/>
    </w:pPr>
    <w:rPr>
      <w:rFonts w:asciiTheme="minorHAnsi" w:eastAsiaTheme="minorHAnsi" w:hAnsiTheme="minorHAnsi" w:cstheme="minorBidi"/>
      <w:i/>
      <w:iCs/>
      <w:color w:val="404040" w:themeColor="text1" w:themeTint="BF"/>
      <w:kern w:val="2"/>
      <w:sz w:val="24"/>
      <w:szCs w:val="24"/>
    </w:rPr>
  </w:style>
  <w:style w:type="character" w:customStyle="1" w:styleId="QuoteChar">
    <w:name w:val="Quote Char"/>
    <w:basedOn w:val="DefaultParagraphFont"/>
    <w:link w:val="Quote"/>
    <w:uiPriority w:val="29"/>
    <w:rPr>
      <w:rFonts w:asciiTheme="minorHAnsi" w:eastAsiaTheme="minorHAnsi" w:hAnsiTheme="minorHAnsi" w:cstheme="minorBidi"/>
      <w:i/>
      <w:iCs/>
      <w:color w:val="404040" w:themeColor="text1" w:themeTint="BF"/>
      <w:kern w:val="2"/>
      <w:sz w:val="24"/>
      <w:szCs w:val="24"/>
      <w:lang w:val="en-GB"/>
    </w:rPr>
  </w:style>
  <w:style w:type="table" w:customStyle="1" w:styleId="GridTable4-Accent54">
    <w:name w:val="Grid Table 4 - Accent 54"/>
    <w:basedOn w:val="TableNormal"/>
    <w:uiPriority w:val="49"/>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xl65">
    <w:name w:val="xl65"/>
    <w:basedOn w:val="Normal"/>
    <w:pPr>
      <w:spacing w:before="100" w:beforeAutospacing="1" w:after="100" w:afterAutospacing="1" w:line="240" w:lineRule="auto"/>
      <w:textAlignment w:val="top"/>
    </w:pPr>
    <w:rPr>
      <w:rFonts w:ascii="Times New Roman" w:eastAsia="Times New Roman" w:hAnsi="Times New Roman"/>
      <w:color w:val="auto"/>
      <w:sz w:val="24"/>
      <w:szCs w:val="24"/>
    </w:rPr>
  </w:style>
  <w:style w:type="paragraph" w:customStyle="1" w:styleId="xl66">
    <w:name w:val="xl66"/>
    <w:basedOn w:val="Normal"/>
    <w:pPr>
      <w:spacing w:before="100" w:beforeAutospacing="1" w:after="100" w:afterAutospacing="1" w:line="240" w:lineRule="auto"/>
      <w:textAlignment w:val="top"/>
    </w:pPr>
    <w:rPr>
      <w:rFonts w:ascii="Times New Roman" w:eastAsia="Times New Roman" w:hAnsi="Times New Roman"/>
      <w:color w:val="auto"/>
      <w:sz w:val="24"/>
      <w:szCs w:val="24"/>
    </w:rPr>
  </w:style>
  <w:style w:type="paragraph" w:customStyle="1" w:styleId="xl67">
    <w:name w:val="xl67"/>
    <w:basedOn w:val="Normal"/>
    <w:pPr>
      <w:pBdr>
        <w:top w:val="dashed" w:sz="4" w:space="0" w:color="auto"/>
        <w:left w:val="dashed" w:sz="4" w:space="0" w:color="auto"/>
        <w:bottom w:val="dashed" w:sz="4" w:space="0" w:color="auto"/>
        <w:right w:val="dashed" w:sz="4" w:space="0" w:color="auto"/>
      </w:pBdr>
      <w:spacing w:before="100" w:beforeAutospacing="1" w:after="100" w:afterAutospacing="1" w:line="240" w:lineRule="auto"/>
      <w:textAlignment w:val="center"/>
    </w:pPr>
    <w:rPr>
      <w:rFonts w:ascii="Times New Roman" w:eastAsia="Times New Roman" w:hAnsi="Times New Roman"/>
      <w:b/>
      <w:bCs/>
      <w:color w:val="auto"/>
      <w:sz w:val="24"/>
      <w:szCs w:val="24"/>
    </w:rPr>
  </w:style>
  <w:style w:type="paragraph" w:customStyle="1" w:styleId="xl68">
    <w:name w:val="xl68"/>
    <w:basedOn w:val="Normal"/>
    <w:pPr>
      <w:pBdr>
        <w:top w:val="dashed" w:sz="4" w:space="0" w:color="auto"/>
        <w:left w:val="dashed" w:sz="4" w:space="0" w:color="auto"/>
        <w:bottom w:val="dashed" w:sz="4" w:space="0" w:color="auto"/>
        <w:right w:val="dashed" w:sz="4" w:space="0" w:color="auto"/>
      </w:pBdr>
      <w:spacing w:before="100" w:beforeAutospacing="1" w:after="100" w:afterAutospacing="1" w:line="240" w:lineRule="auto"/>
      <w:textAlignment w:val="center"/>
    </w:pPr>
    <w:rPr>
      <w:rFonts w:ascii="Times New Roman" w:eastAsia="Times New Roman" w:hAnsi="Times New Roman"/>
      <w:b/>
      <w:bCs/>
      <w:color w:val="auto"/>
      <w:sz w:val="24"/>
      <w:szCs w:val="24"/>
    </w:rPr>
  </w:style>
  <w:style w:type="paragraph" w:customStyle="1" w:styleId="xl69">
    <w:name w:val="xl69"/>
    <w:basedOn w:val="Normal"/>
    <w:pPr>
      <w:pBdr>
        <w:top w:val="dashed" w:sz="4" w:space="0" w:color="auto"/>
        <w:left w:val="dashed" w:sz="4" w:space="0" w:color="auto"/>
        <w:bottom w:val="dashed" w:sz="4" w:space="0" w:color="auto"/>
        <w:right w:val="dashed" w:sz="4" w:space="0" w:color="auto"/>
      </w:pBdr>
      <w:spacing w:before="100" w:beforeAutospacing="1" w:after="100" w:afterAutospacing="1" w:line="240" w:lineRule="auto"/>
      <w:textAlignment w:val="center"/>
    </w:pPr>
    <w:rPr>
      <w:rFonts w:ascii="Times New Roman" w:eastAsia="Times New Roman" w:hAnsi="Times New Roman"/>
      <w:color w:val="auto"/>
      <w:sz w:val="24"/>
      <w:szCs w:val="24"/>
    </w:rPr>
  </w:style>
  <w:style w:type="character" w:customStyle="1" w:styleId="ui-provider">
    <w:name w:val="ui-provider"/>
    <w:basedOn w:val="DefaultParagraphFont"/>
  </w:style>
  <w:style w:type="paragraph" w:customStyle="1" w:styleId="xl63">
    <w:name w:val="xl63"/>
    <w:basedOn w:val="Normal"/>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eastAsia="zh-TW"/>
    </w:rPr>
  </w:style>
  <w:style w:type="paragraph" w:customStyle="1" w:styleId="xl64">
    <w:name w:val="xl64"/>
    <w:basedOn w:val="Normal"/>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b/>
      <w:bCs/>
      <w:color w:val="auto"/>
      <w:sz w:val="24"/>
      <w:szCs w:val="24"/>
      <w:lang w:eastAsia="zh-TW"/>
    </w:rPr>
  </w:style>
  <w:style w:type="table" w:customStyle="1" w:styleId="GridTable1Light1">
    <w:name w:val="Grid Table 1 Light1"/>
    <w:basedOn w:val="TableNormal"/>
    <w:uiPriority w:val="46"/>
    <w:rPr>
      <w:rFonts w:asciiTheme="minorHAnsi" w:eastAsiaTheme="minorEastAsia" w:hAnsiTheme="minorHAnsi" w:cstheme="minorBidi"/>
      <w:kern w:val="2"/>
      <w:sz w:val="24"/>
      <w:szCs w:val="24"/>
      <w14:ligatures w14:val="standardContextual"/>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brHeading1">
    <w:name w:val="Nbr Heading 1"/>
    <w:basedOn w:val="Heading1"/>
    <w:next w:val="Heading9"/>
    <w:uiPriority w:val="99"/>
    <w:unhideWhenUsed/>
    <w:pPr>
      <w:numPr>
        <w:numId w:val="11"/>
      </w:numPr>
      <w:tabs>
        <w:tab w:val="left" w:pos="1134"/>
      </w:tabs>
    </w:pPr>
    <w:rPr>
      <w:sz w:val="40"/>
      <w:szCs w:val="24"/>
    </w:rPr>
  </w:style>
  <w:style w:type="paragraph" w:customStyle="1" w:styleId="AppendixHeading1">
    <w:name w:val="Appendix Heading 1"/>
    <w:basedOn w:val="NbrHeading1"/>
    <w:uiPriority w:val="99"/>
    <w:unhideWhenUsed/>
    <w:pPr>
      <w:numPr>
        <w:numId w:val="12"/>
      </w:numPr>
      <w:tabs>
        <w:tab w:val="clear" w:pos="1134"/>
      </w:tabs>
      <w:spacing w:line="264" w:lineRule="auto"/>
    </w:pPr>
  </w:style>
  <w:style w:type="paragraph" w:customStyle="1" w:styleId="NbrHeading2">
    <w:name w:val="Nbr Heading 2"/>
    <w:basedOn w:val="Heading2"/>
    <w:uiPriority w:val="99"/>
    <w:unhideWhenUsed/>
    <w:pPr>
      <w:numPr>
        <w:ilvl w:val="1"/>
        <w:numId w:val="13"/>
      </w:numPr>
      <w:tabs>
        <w:tab w:val="left" w:pos="1134"/>
      </w:tabs>
      <w:spacing w:after="120"/>
    </w:pPr>
    <w:rPr>
      <w:szCs w:val="24"/>
    </w:rPr>
  </w:style>
  <w:style w:type="paragraph" w:customStyle="1" w:styleId="AppendixHeading2">
    <w:name w:val="Appendix Heading 2"/>
    <w:basedOn w:val="NbrHeading2"/>
    <w:uiPriority w:val="99"/>
    <w:unhideWhenUsed/>
    <w:pPr>
      <w:numPr>
        <w:numId w:val="14"/>
      </w:numPr>
      <w:spacing w:before="240" w:line="264" w:lineRule="auto"/>
    </w:pPr>
  </w:style>
  <w:style w:type="paragraph" w:customStyle="1" w:styleId="CoverDetails">
    <w:name w:val="Cover Details"/>
    <w:basedOn w:val="Normal"/>
    <w:next w:val="Footer"/>
    <w:uiPriority w:val="99"/>
    <w:unhideWhenUsed/>
    <w:pPr>
      <w:spacing w:line="264" w:lineRule="auto"/>
      <w:ind w:left="142" w:right="142"/>
    </w:pPr>
    <w:rPr>
      <w:b/>
      <w:color w:val="FFFFFF"/>
      <w:sz w:val="20"/>
      <w:szCs w:val="24"/>
    </w:rPr>
  </w:style>
  <w:style w:type="paragraph" w:customStyle="1" w:styleId="FigureCaption">
    <w:name w:val="Figure Caption"/>
    <w:basedOn w:val="Normal"/>
    <w:uiPriority w:val="99"/>
    <w:unhideWhenUsed/>
    <w:pPr>
      <w:spacing w:before="240"/>
    </w:pPr>
    <w:rPr>
      <w:i/>
      <w:sz w:val="20"/>
      <w:szCs w:val="24"/>
    </w:rPr>
  </w:style>
  <w:style w:type="paragraph" w:customStyle="1" w:styleId="FigureHeading">
    <w:name w:val="Figure Heading"/>
    <w:basedOn w:val="Normal"/>
    <w:next w:val="Footer"/>
    <w:uiPriority w:val="99"/>
    <w:unhideWhenUsed/>
    <w:pPr>
      <w:keepNext/>
      <w:tabs>
        <w:tab w:val="left" w:pos="1134"/>
      </w:tabs>
      <w:spacing w:before="240" w:line="260" w:lineRule="atLeast"/>
      <w:ind w:left="1134" w:hanging="1134"/>
    </w:pPr>
    <w:rPr>
      <w:b/>
      <w:sz w:val="20"/>
      <w:szCs w:val="24"/>
    </w:rPr>
  </w:style>
  <w:style w:type="paragraph" w:customStyle="1" w:styleId="FigureStyle">
    <w:name w:val="Figure Style"/>
    <w:basedOn w:val="Normal"/>
    <w:next w:val="Footer"/>
    <w:uiPriority w:val="99"/>
    <w:unhideWhenUsed/>
    <w:pPr>
      <w:spacing w:after="240"/>
    </w:pPr>
    <w:rPr>
      <w:sz w:val="20"/>
      <w:szCs w:val="24"/>
    </w:rPr>
  </w:style>
  <w:style w:type="paragraph" w:customStyle="1" w:styleId="Headlinesmall">
    <w:name w:val="Headline small"/>
    <w:basedOn w:val="Normal"/>
    <w:uiPriority w:val="99"/>
    <w:unhideWhenUsed/>
    <w:pPr>
      <w:tabs>
        <w:tab w:val="left" w:pos="960"/>
      </w:tabs>
    </w:pPr>
    <w:rPr>
      <w:rFonts w:ascii="Akkurat Pro Light" w:eastAsia="Akkurat Pro Light" w:hAnsi="Akkurat Pro Light"/>
      <w:color w:val="2DCCD3"/>
      <w:sz w:val="52"/>
      <w:szCs w:val="24"/>
    </w:rPr>
  </w:style>
  <w:style w:type="paragraph" w:customStyle="1" w:styleId="ListAlpha">
    <w:name w:val="List Alpha"/>
    <w:basedOn w:val="Normal"/>
    <w:uiPriority w:val="99"/>
    <w:unhideWhenUsed/>
    <w:pPr>
      <w:numPr>
        <w:numId w:val="15"/>
      </w:numPr>
      <w:tabs>
        <w:tab w:val="left" w:pos="425"/>
      </w:tabs>
      <w:spacing w:line="260" w:lineRule="atLeast"/>
    </w:pPr>
    <w:rPr>
      <w:sz w:val="20"/>
      <w:szCs w:val="24"/>
    </w:rPr>
  </w:style>
  <w:style w:type="paragraph" w:customStyle="1" w:styleId="ListAlpha2">
    <w:name w:val="List Alpha 2"/>
    <w:basedOn w:val="ListAlpha"/>
    <w:uiPriority w:val="99"/>
    <w:unhideWhenUsed/>
    <w:pPr>
      <w:numPr>
        <w:ilvl w:val="1"/>
        <w:numId w:val="16"/>
      </w:numPr>
      <w:tabs>
        <w:tab w:val="clear" w:pos="425"/>
        <w:tab w:val="left" w:pos="850"/>
      </w:tabs>
    </w:pPr>
  </w:style>
  <w:style w:type="paragraph" w:customStyle="1" w:styleId="ListAlpha3">
    <w:name w:val="List Alpha 3"/>
    <w:basedOn w:val="ListAlpha"/>
    <w:next w:val="ListAlpha2"/>
    <w:uiPriority w:val="99"/>
    <w:unhideWhenUsed/>
    <w:pPr>
      <w:numPr>
        <w:ilvl w:val="2"/>
        <w:numId w:val="17"/>
      </w:numPr>
      <w:tabs>
        <w:tab w:val="clear" w:pos="425"/>
        <w:tab w:val="left" w:pos="1275"/>
      </w:tabs>
    </w:pPr>
  </w:style>
  <w:style w:type="paragraph" w:customStyle="1" w:styleId="ListAlpha4">
    <w:name w:val="List Alpha 4"/>
    <w:basedOn w:val="ListAlpha"/>
    <w:uiPriority w:val="99"/>
    <w:unhideWhenUsed/>
    <w:pPr>
      <w:numPr>
        <w:ilvl w:val="3"/>
        <w:numId w:val="18"/>
      </w:numPr>
      <w:tabs>
        <w:tab w:val="clear" w:pos="425"/>
        <w:tab w:val="left" w:pos="1700"/>
      </w:tabs>
    </w:pPr>
  </w:style>
  <w:style w:type="paragraph" w:customStyle="1" w:styleId="ListAlpha5">
    <w:name w:val="List Alpha 5"/>
    <w:basedOn w:val="ListAlpha"/>
    <w:uiPriority w:val="99"/>
    <w:unhideWhenUsed/>
    <w:pPr>
      <w:numPr>
        <w:ilvl w:val="4"/>
        <w:numId w:val="19"/>
      </w:numPr>
      <w:tabs>
        <w:tab w:val="clear" w:pos="425"/>
        <w:tab w:val="left" w:pos="2125"/>
      </w:tabs>
    </w:pPr>
  </w:style>
  <w:style w:type="paragraph" w:customStyle="1" w:styleId="ListAlpha6">
    <w:name w:val="List Alpha 6"/>
    <w:basedOn w:val="ListAlpha"/>
    <w:uiPriority w:val="99"/>
    <w:unhideWhenUsed/>
    <w:pPr>
      <w:numPr>
        <w:ilvl w:val="5"/>
        <w:numId w:val="20"/>
      </w:numPr>
      <w:tabs>
        <w:tab w:val="clear" w:pos="425"/>
        <w:tab w:val="left" w:pos="2550"/>
      </w:tabs>
    </w:pPr>
  </w:style>
  <w:style w:type="paragraph" w:customStyle="1" w:styleId="ListBullet6">
    <w:name w:val="List Bullet 6"/>
    <w:basedOn w:val="ListBullet"/>
    <w:uiPriority w:val="99"/>
    <w:unhideWhenUsed/>
    <w:pPr>
      <w:numPr>
        <w:ilvl w:val="5"/>
        <w:numId w:val="21"/>
      </w:numPr>
      <w:tabs>
        <w:tab w:val="left" w:pos="2550"/>
      </w:tabs>
    </w:pPr>
    <w:rPr>
      <w:sz w:val="20"/>
      <w:szCs w:val="24"/>
    </w:rPr>
  </w:style>
  <w:style w:type="paragraph" w:customStyle="1" w:styleId="ListNumber6">
    <w:name w:val="List Number 6"/>
    <w:basedOn w:val="ListNumber"/>
    <w:uiPriority w:val="99"/>
    <w:unhideWhenUsed/>
    <w:pPr>
      <w:numPr>
        <w:ilvl w:val="5"/>
        <w:numId w:val="22"/>
      </w:numPr>
      <w:tabs>
        <w:tab w:val="left" w:pos="2550"/>
      </w:tabs>
    </w:pPr>
    <w:rPr>
      <w:sz w:val="20"/>
    </w:rPr>
  </w:style>
  <w:style w:type="paragraph" w:customStyle="1" w:styleId="Name">
    <w:name w:val="Name"/>
    <w:basedOn w:val="Normal"/>
    <w:uiPriority w:val="99"/>
    <w:unhideWhenUsed/>
    <w:pPr>
      <w:spacing w:before="160" w:after="0"/>
      <w:jc w:val="center"/>
    </w:pPr>
    <w:rPr>
      <w:rFonts w:ascii="DINOT-Bold" w:eastAsia="DINOT-Bold" w:hAnsi="DINOT-Bold"/>
      <w:sz w:val="20"/>
      <w:szCs w:val="24"/>
    </w:rPr>
  </w:style>
  <w:style w:type="paragraph" w:customStyle="1" w:styleId="Nameofquotee">
    <w:name w:val="Name of quotee"/>
    <w:basedOn w:val="Normal"/>
    <w:uiPriority w:val="99"/>
    <w:unhideWhenUsed/>
    <w:pPr>
      <w:ind w:left="851"/>
    </w:pPr>
    <w:rPr>
      <w:color w:val="FFFFFF"/>
      <w:sz w:val="20"/>
      <w:szCs w:val="24"/>
    </w:rPr>
  </w:style>
  <w:style w:type="paragraph" w:customStyle="1" w:styleId="Noticetext">
    <w:name w:val="Notice text"/>
    <w:basedOn w:val="Normal"/>
    <w:uiPriority w:val="99"/>
    <w:unhideWhenUsed/>
    <w:pPr>
      <w:spacing w:after="0" w:line="312" w:lineRule="auto"/>
      <w:ind w:left="3969"/>
    </w:pPr>
    <w:rPr>
      <w:sz w:val="20"/>
      <w:szCs w:val="24"/>
    </w:rPr>
  </w:style>
  <w:style w:type="paragraph" w:customStyle="1" w:styleId="TableText0">
    <w:name w:val="Table Text"/>
    <w:basedOn w:val="Normal"/>
    <w:uiPriority w:val="99"/>
    <w:unhideWhenUsed/>
    <w:pPr>
      <w:spacing w:before="0" w:after="0"/>
    </w:pPr>
    <w:rPr>
      <w:rFonts w:ascii="Segoe UI Light" w:eastAsia="Segoe UI Light" w:hAnsi="Segoe UI Light"/>
      <w:sz w:val="20"/>
      <w:szCs w:val="24"/>
    </w:rPr>
  </w:style>
  <w:style w:type="paragraph" w:customStyle="1" w:styleId="TableBullet">
    <w:name w:val="Table Bullet"/>
    <w:basedOn w:val="TableText0"/>
    <w:uiPriority w:val="99"/>
    <w:unhideWhenUsed/>
    <w:pPr>
      <w:numPr>
        <w:numId w:val="23"/>
      </w:numPr>
      <w:tabs>
        <w:tab w:val="left" w:pos="397"/>
      </w:tabs>
    </w:pPr>
  </w:style>
  <w:style w:type="paragraph" w:customStyle="1" w:styleId="TableBullet2">
    <w:name w:val="Table Bullet 2"/>
    <w:basedOn w:val="TableBullet"/>
    <w:uiPriority w:val="99"/>
    <w:unhideWhenUsed/>
    <w:pPr>
      <w:numPr>
        <w:ilvl w:val="1"/>
        <w:numId w:val="24"/>
      </w:numPr>
      <w:tabs>
        <w:tab w:val="clear" w:pos="397"/>
        <w:tab w:val="left" w:pos="680"/>
      </w:tabs>
    </w:pPr>
  </w:style>
  <w:style w:type="paragraph" w:customStyle="1" w:styleId="TableHeading0">
    <w:name w:val="Table Heading"/>
    <w:basedOn w:val="TableText0"/>
    <w:uiPriority w:val="99"/>
    <w:unhideWhenUsed/>
    <w:rPr>
      <w:rFonts w:ascii="Segoe UI" w:eastAsia="Segoe UI" w:hAnsi="Segoe UI"/>
      <w:b/>
    </w:rPr>
  </w:style>
  <w:style w:type="paragraph" w:customStyle="1" w:styleId="TableNumber">
    <w:name w:val="Table Number"/>
    <w:basedOn w:val="TableText0"/>
    <w:uiPriority w:val="99"/>
    <w:unhideWhenUsed/>
    <w:pPr>
      <w:numPr>
        <w:numId w:val="25"/>
      </w:numPr>
      <w:tabs>
        <w:tab w:val="left" w:pos="397"/>
      </w:tabs>
    </w:pPr>
  </w:style>
  <w:style w:type="paragraph" w:customStyle="1" w:styleId="TableNumber2">
    <w:name w:val="Table Number 2"/>
    <w:basedOn w:val="TableNumber"/>
    <w:uiPriority w:val="99"/>
    <w:unhideWhenUsed/>
    <w:pPr>
      <w:numPr>
        <w:ilvl w:val="1"/>
        <w:numId w:val="26"/>
      </w:numPr>
      <w:tabs>
        <w:tab w:val="clear" w:pos="397"/>
        <w:tab w:val="left" w:pos="680"/>
      </w:tabs>
    </w:pPr>
  </w:style>
  <w:style w:type="paragraph" w:customStyle="1" w:styleId="TableCaption">
    <w:name w:val="Table Caption"/>
    <w:basedOn w:val="Normal"/>
    <w:next w:val="Footer"/>
    <w:uiPriority w:val="99"/>
    <w:unhideWhenUsed/>
    <w:pPr>
      <w:keepNext/>
      <w:tabs>
        <w:tab w:val="left" w:pos="1134"/>
      </w:tabs>
      <w:spacing w:before="240"/>
      <w:ind w:left="1134" w:hanging="1134"/>
    </w:pPr>
    <w:rPr>
      <w:b/>
      <w:sz w:val="20"/>
      <w:szCs w:val="24"/>
    </w:rPr>
  </w:style>
  <w:style w:type="paragraph" w:customStyle="1" w:styleId="Heavynormal">
    <w:name w:val="Heavy normal"/>
    <w:basedOn w:val="Normal"/>
    <w:uiPriority w:val="99"/>
    <w:unhideWhenUsed/>
    <w:rPr>
      <w:sz w:val="22"/>
      <w:szCs w:val="24"/>
    </w:rPr>
  </w:style>
  <w:style w:type="paragraph" w:customStyle="1" w:styleId="elementtoproof">
    <w:name w:val="elementtoproof"/>
    <w:basedOn w:val="Normal"/>
    <w:uiPriority w:val="99"/>
    <w:unhideWhenUsed/>
    <w:pPr>
      <w:spacing w:before="0" w:after="0"/>
    </w:pPr>
    <w:rPr>
      <w:rFonts w:ascii="Calibri" w:eastAsia="Calibri" w:hAnsi="Calibri"/>
      <w:sz w:val="22"/>
      <w:szCs w:val="24"/>
    </w:rPr>
  </w:style>
  <w:style w:type="paragraph" w:customStyle="1" w:styleId="PLANNummerierung1">
    <w:name w:val="PLAN Nummerierung 1"/>
    <w:basedOn w:val="Normal"/>
    <w:uiPriority w:val="99"/>
    <w:unhideWhenUsed/>
    <w:pPr>
      <w:numPr>
        <w:numId w:val="27"/>
      </w:numPr>
      <w:tabs>
        <w:tab w:val="left" w:pos="425"/>
      </w:tabs>
      <w:spacing w:before="0" w:after="0" w:line="260" w:lineRule="atLeast"/>
    </w:pPr>
    <w:rPr>
      <w:rFonts w:ascii="Helvetica LT Pro" w:eastAsia="Helvetica LT Pro" w:hAnsi="Helvetica LT Pro"/>
      <w:sz w:val="20"/>
      <w:szCs w:val="24"/>
    </w:rPr>
  </w:style>
  <w:style w:type="paragraph" w:customStyle="1" w:styleId="PLANNummerierung2">
    <w:name w:val="PLAN Nummerierung 2"/>
    <w:basedOn w:val="Normal"/>
    <w:uiPriority w:val="99"/>
    <w:unhideWhenUsed/>
    <w:pPr>
      <w:numPr>
        <w:ilvl w:val="1"/>
        <w:numId w:val="28"/>
      </w:numPr>
      <w:tabs>
        <w:tab w:val="left" w:pos="851"/>
      </w:tabs>
      <w:spacing w:before="0" w:after="0" w:line="260" w:lineRule="atLeast"/>
    </w:pPr>
    <w:rPr>
      <w:rFonts w:ascii="Helvetica LT Pro" w:eastAsia="Helvetica LT Pro" w:hAnsi="Helvetica LT Pro"/>
      <w:sz w:val="20"/>
      <w:szCs w:val="24"/>
    </w:rPr>
  </w:style>
  <w:style w:type="paragraph" w:customStyle="1" w:styleId="PLANNummerierung3">
    <w:name w:val="PLAN Nummerierung 3"/>
    <w:basedOn w:val="Normal"/>
    <w:uiPriority w:val="99"/>
    <w:unhideWhenUsed/>
    <w:pPr>
      <w:numPr>
        <w:ilvl w:val="2"/>
        <w:numId w:val="29"/>
      </w:numPr>
      <w:tabs>
        <w:tab w:val="left" w:pos="1276"/>
      </w:tabs>
      <w:spacing w:before="0" w:after="0" w:line="260" w:lineRule="atLeast"/>
    </w:pPr>
    <w:rPr>
      <w:rFonts w:ascii="Helvetica LT Pro" w:eastAsia="Helvetica LT Pro" w:hAnsi="Helvetica LT Pro"/>
      <w:sz w:val="20"/>
      <w:szCs w:val="24"/>
    </w:rPr>
  </w:style>
  <w:style w:type="paragraph" w:customStyle="1" w:styleId="NbrHeading3">
    <w:name w:val="Nbr Heading 3"/>
    <w:basedOn w:val="Heading3"/>
    <w:uiPriority w:val="99"/>
    <w:unhideWhenUsed/>
    <w:pPr>
      <w:numPr>
        <w:ilvl w:val="2"/>
        <w:numId w:val="30"/>
      </w:numPr>
      <w:tabs>
        <w:tab w:val="left" w:pos="1134"/>
      </w:tabs>
    </w:pPr>
    <w:rPr>
      <w:sz w:val="20"/>
    </w:rPr>
  </w:style>
  <w:style w:type="paragraph" w:customStyle="1" w:styleId="AppendixHeading3">
    <w:name w:val="Appendix Heading 3"/>
    <w:basedOn w:val="NbrHeading3"/>
    <w:uiPriority w:val="99"/>
    <w:unhideWhenUsed/>
    <w:pPr>
      <w:numPr>
        <w:numId w:val="31"/>
      </w:numPr>
      <w:spacing w:before="240" w:line="264" w:lineRule="auto"/>
    </w:pPr>
    <w:rPr>
      <w:b w:val="0"/>
    </w:rPr>
  </w:style>
  <w:style w:type="paragraph" w:customStyle="1" w:styleId="TOCHeading2">
    <w:name w:val="TOC Heading 2"/>
    <w:basedOn w:val="Heading3"/>
    <w:uiPriority w:val="99"/>
    <w:unhideWhenUsed/>
    <w:rPr>
      <w:b w:val="0"/>
      <w:sz w:val="20"/>
    </w:rPr>
  </w:style>
  <w:style w:type="paragraph" w:customStyle="1" w:styleId="NbrHeading4">
    <w:name w:val="Nbr Heading 4"/>
    <w:basedOn w:val="Heading4"/>
    <w:uiPriority w:val="99"/>
    <w:unhideWhenUsed/>
    <w:pPr>
      <w:numPr>
        <w:ilvl w:val="3"/>
        <w:numId w:val="32"/>
      </w:numPr>
      <w:tabs>
        <w:tab w:val="left" w:pos="1134"/>
      </w:tabs>
    </w:pPr>
    <w:rPr>
      <w:sz w:val="20"/>
    </w:rPr>
  </w:style>
  <w:style w:type="paragraph" w:customStyle="1" w:styleId="AppendixHeading4">
    <w:name w:val="Appendix Heading 4"/>
    <w:basedOn w:val="NbrHeading4"/>
    <w:uiPriority w:val="99"/>
    <w:unhideWhenUsed/>
    <w:pPr>
      <w:numPr>
        <w:numId w:val="33"/>
      </w:numPr>
      <w:spacing w:line="264" w:lineRule="auto"/>
      <w:ind w:left="0" w:firstLine="0"/>
    </w:pPr>
  </w:style>
  <w:style w:type="paragraph" w:customStyle="1" w:styleId="NbrHeading5">
    <w:name w:val="Nbr Heading 5"/>
    <w:basedOn w:val="Heading5"/>
    <w:uiPriority w:val="99"/>
    <w:unhideWhenUsed/>
    <w:pPr>
      <w:numPr>
        <w:ilvl w:val="4"/>
        <w:numId w:val="34"/>
      </w:numPr>
      <w:tabs>
        <w:tab w:val="left" w:pos="1134"/>
      </w:tabs>
    </w:pPr>
  </w:style>
  <w:style w:type="paragraph" w:customStyle="1" w:styleId="AppendixHeading5">
    <w:name w:val="Appendix Heading 5"/>
    <w:basedOn w:val="NbrHeading5"/>
    <w:uiPriority w:val="99"/>
    <w:unhideWhenUsed/>
    <w:pPr>
      <w:numPr>
        <w:numId w:val="35"/>
      </w:numPr>
      <w:spacing w:line="264" w:lineRule="auto"/>
      <w:ind w:left="0" w:firstLine="0"/>
    </w:pPr>
    <w:rPr>
      <w:rFonts w:ascii="Segoe UI Light" w:eastAsia="Segoe UI Light" w:hAnsi="Segoe UI Light"/>
      <w:i/>
      <w:color w:val="000000"/>
    </w:rPr>
  </w:style>
  <w:style w:type="paragraph" w:customStyle="1" w:styleId="Appendix">
    <w:name w:val="Appendix"/>
    <w:basedOn w:val="Normal0"/>
    <w:next w:val="Normal"/>
    <w:uiPriority w:val="99"/>
    <w:unhideWhenUsed/>
    <w:pPr>
      <w:widowControl/>
      <w:numPr>
        <w:numId w:val="36"/>
      </w:numPr>
      <w:spacing w:before="120" w:after="120"/>
    </w:pPr>
    <w:rPr>
      <w:rFonts w:ascii="Segoe UI" w:eastAsia="Segoe UI" w:hAnsi="Segoe UI"/>
      <w:color w:val="FFFFFF"/>
      <w:sz w:val="84"/>
    </w:rPr>
  </w:style>
  <w:style w:type="paragraph" w:customStyle="1" w:styleId="AssetHeading">
    <w:name w:val="Asset Heading"/>
    <w:basedOn w:val="Normal0"/>
    <w:uiPriority w:val="99"/>
    <w:unhideWhenUsed/>
    <w:pPr>
      <w:widowControl/>
      <w:spacing w:before="120"/>
    </w:pPr>
    <w:rPr>
      <w:rFonts w:ascii="Segoe UI Light" w:eastAsia="Segoe UI Light" w:hAnsi="Segoe UI Light"/>
      <w:color w:val="000000"/>
      <w:sz w:val="36"/>
    </w:rPr>
  </w:style>
  <w:style w:type="paragraph" w:customStyle="1" w:styleId="Contact">
    <w:name w:val="Contact"/>
    <w:basedOn w:val="Normal0"/>
    <w:uiPriority w:val="99"/>
    <w:unhideWhenUsed/>
    <w:pPr>
      <w:widowControl/>
      <w:spacing w:before="600" w:after="120"/>
      <w:jc w:val="center"/>
    </w:pPr>
    <w:rPr>
      <w:rFonts w:ascii="Segoe UI" w:eastAsia="Segoe UI" w:hAnsi="Segoe UI"/>
      <w:color w:val="111239"/>
      <w:sz w:val="60"/>
    </w:rPr>
  </w:style>
  <w:style w:type="paragraph" w:customStyle="1" w:styleId="Divider">
    <w:name w:val="Divider"/>
    <w:basedOn w:val="Normal0"/>
    <w:uiPriority w:val="99"/>
    <w:unhideWhenUsed/>
    <w:pPr>
      <w:widowControl/>
      <w:numPr>
        <w:numId w:val="37"/>
      </w:numPr>
      <w:tabs>
        <w:tab w:val="left" w:pos="720"/>
      </w:tabs>
      <w:ind w:right="567"/>
    </w:pPr>
    <w:rPr>
      <w:rFonts w:ascii="Segoe UI" w:eastAsia="Segoe UI" w:hAnsi="Segoe UI"/>
      <w:color w:val="111239"/>
      <w:sz w:val="60"/>
    </w:rPr>
  </w:style>
  <w:style w:type="paragraph" w:customStyle="1" w:styleId="DividerNumber">
    <w:name w:val="Divider Number"/>
    <w:basedOn w:val="Normal0"/>
    <w:uiPriority w:val="99"/>
    <w:unhideWhenUsed/>
    <w:pPr>
      <w:widowControl/>
      <w:spacing w:before="120"/>
    </w:pPr>
    <w:rPr>
      <w:rFonts w:ascii="Segoe UI" w:eastAsia="Segoe UI" w:hAnsi="Segoe UI"/>
      <w:color w:val="FFFFFF"/>
      <w:sz w:val="220"/>
    </w:rPr>
  </w:style>
  <w:style w:type="paragraph" w:customStyle="1" w:styleId="Dividersubtitle">
    <w:name w:val="Divider subtitle"/>
    <w:basedOn w:val="Normal0"/>
    <w:uiPriority w:val="99"/>
    <w:unhideWhenUsed/>
    <w:pPr>
      <w:widowControl/>
      <w:spacing w:before="120"/>
      <w:ind w:right="567"/>
    </w:pPr>
    <w:rPr>
      <w:rFonts w:ascii="Segoe UI Light" w:eastAsia="Segoe UI Light" w:hAnsi="Segoe UI Light"/>
      <w:color w:val="111239"/>
      <w:sz w:val="36"/>
    </w:rPr>
  </w:style>
  <w:style w:type="paragraph" w:customStyle="1" w:styleId="DividerTitle">
    <w:name w:val="Divider Title"/>
    <w:basedOn w:val="Normal0"/>
    <w:uiPriority w:val="99"/>
    <w:unhideWhenUsed/>
    <w:pPr>
      <w:widowControl/>
      <w:spacing w:before="120"/>
      <w:ind w:right="567"/>
    </w:pPr>
    <w:rPr>
      <w:rFonts w:ascii="Segoe UI" w:eastAsia="Segoe UI" w:hAnsi="Segoe UI"/>
      <w:color w:val="111239"/>
      <w:sz w:val="60"/>
    </w:rPr>
  </w:style>
  <w:style w:type="paragraph" w:customStyle="1" w:styleId="Image">
    <w:name w:val="Image"/>
    <w:basedOn w:val="Normal0"/>
    <w:uiPriority w:val="99"/>
    <w:unhideWhenUsed/>
    <w:pPr>
      <w:widowControl/>
      <w:spacing w:before="120"/>
    </w:pPr>
    <w:rPr>
      <w:rFonts w:ascii="Segoe UI Light" w:eastAsia="Segoe UI Light" w:hAnsi="Segoe UI Light"/>
      <w:color w:val="111239"/>
      <w:sz w:val="20"/>
    </w:rPr>
  </w:style>
  <w:style w:type="paragraph" w:customStyle="1" w:styleId="Introduction">
    <w:name w:val="Introduction"/>
    <w:basedOn w:val="Normal0"/>
    <w:uiPriority w:val="99"/>
    <w:unhideWhenUsed/>
    <w:pPr>
      <w:widowControl/>
      <w:spacing w:before="120" w:after="120"/>
    </w:pPr>
    <w:rPr>
      <w:rFonts w:ascii="Segoe UI Light" w:eastAsia="Segoe UI Light" w:hAnsi="Segoe UI Light"/>
      <w:color w:val="FF7305"/>
      <w:sz w:val="36"/>
    </w:rPr>
  </w:style>
  <w:style w:type="paragraph" w:customStyle="1" w:styleId="IntroductionText">
    <w:name w:val="Introduction Text"/>
    <w:basedOn w:val="Normal0"/>
    <w:next w:val="Normal"/>
    <w:uiPriority w:val="99"/>
    <w:unhideWhenUsed/>
    <w:pPr>
      <w:widowControl/>
      <w:spacing w:before="120" w:after="120"/>
    </w:pPr>
    <w:rPr>
      <w:rFonts w:ascii="Segoe UI Light" w:eastAsia="Segoe UI Light" w:hAnsi="Segoe UI Light"/>
      <w:color w:val="4C7A95"/>
      <w:sz w:val="28"/>
    </w:rPr>
  </w:style>
  <w:style w:type="paragraph" w:customStyle="1" w:styleId="Largequotestatementtext">
    <w:name w:val="Large quote/statement text"/>
    <w:basedOn w:val="Normal0"/>
    <w:uiPriority w:val="99"/>
    <w:unhideWhenUsed/>
    <w:pPr>
      <w:widowControl/>
      <w:spacing w:before="120"/>
    </w:pPr>
    <w:rPr>
      <w:rFonts w:ascii="Segoe UI Light" w:eastAsia="Segoe UI Light" w:hAnsi="Segoe UI Light"/>
      <w:color w:val="111239"/>
      <w:sz w:val="28"/>
    </w:rPr>
  </w:style>
  <w:style w:type="paragraph" w:customStyle="1" w:styleId="Noticeheading">
    <w:name w:val="Notice heading"/>
    <w:basedOn w:val="Normal0"/>
    <w:uiPriority w:val="99"/>
    <w:unhideWhenUsed/>
    <w:pPr>
      <w:widowControl/>
      <w:spacing w:before="120" w:after="120"/>
    </w:pPr>
    <w:rPr>
      <w:rFonts w:ascii="Segoe UI Light" w:eastAsia="Segoe UI Light" w:hAnsi="Segoe UI Light"/>
      <w:color w:val="111239"/>
      <w:sz w:val="120"/>
    </w:rPr>
  </w:style>
  <w:style w:type="paragraph" w:customStyle="1" w:styleId="Quotename">
    <w:name w:val="Quote name"/>
    <w:basedOn w:val="Normal0"/>
    <w:uiPriority w:val="99"/>
    <w:unhideWhenUsed/>
    <w:pPr>
      <w:widowControl/>
      <w:spacing w:before="120"/>
    </w:pPr>
    <w:rPr>
      <w:rFonts w:ascii="Segoe UI Light" w:eastAsia="Segoe UI Light" w:hAnsi="Segoe UI Light"/>
      <w:i/>
      <w:color w:val="111239"/>
      <w:sz w:val="20"/>
    </w:rPr>
  </w:style>
  <w:style w:type="paragraph" w:customStyle="1" w:styleId="RowHeading">
    <w:name w:val="Row Heading"/>
    <w:basedOn w:val="Normal0"/>
    <w:uiPriority w:val="99"/>
    <w:unhideWhenUsed/>
    <w:pPr>
      <w:widowControl/>
      <w:spacing w:before="120"/>
    </w:pPr>
    <w:rPr>
      <w:rFonts w:ascii="Segoe UI Light" w:eastAsia="Segoe UI Light" w:hAnsi="Segoe UI Light"/>
      <w:b/>
      <w:color w:val="111239"/>
      <w:sz w:val="20"/>
    </w:rPr>
  </w:style>
  <w:style w:type="paragraph" w:customStyle="1" w:styleId="Stat">
    <w:name w:val="Stat"/>
    <w:basedOn w:val="Normal0"/>
    <w:uiPriority w:val="99"/>
    <w:unhideWhenUsed/>
    <w:pPr>
      <w:widowControl/>
      <w:spacing w:before="120" w:line="264" w:lineRule="auto"/>
      <w:ind w:right="343"/>
    </w:pPr>
    <w:rPr>
      <w:rFonts w:ascii="Roobert" w:eastAsia="Roobert" w:hAnsi="Roobert"/>
      <w:color w:val="111239"/>
      <w:sz w:val="64"/>
    </w:rPr>
  </w:style>
  <w:style w:type="paragraph" w:customStyle="1" w:styleId="StatementHeading">
    <w:name w:val="Statement Heading"/>
    <w:basedOn w:val="Normal0"/>
    <w:uiPriority w:val="99"/>
    <w:unhideWhenUsed/>
    <w:pPr>
      <w:widowControl/>
      <w:spacing w:before="120"/>
      <w:jc w:val="center"/>
    </w:pPr>
    <w:rPr>
      <w:rFonts w:ascii="Segoe UI" w:eastAsia="Segoe UI" w:hAnsi="Segoe UI"/>
      <w:color w:val="111239"/>
      <w:sz w:val="132"/>
    </w:rPr>
  </w:style>
  <w:style w:type="paragraph" w:customStyle="1" w:styleId="Statementtext">
    <w:name w:val="Statement text"/>
    <w:basedOn w:val="Normal0"/>
    <w:uiPriority w:val="99"/>
    <w:unhideWhenUsed/>
    <w:pPr>
      <w:widowControl/>
      <w:spacing w:before="120"/>
      <w:jc w:val="center"/>
    </w:pPr>
    <w:rPr>
      <w:rFonts w:ascii="Segoe UI Light" w:eastAsia="Segoe UI Light" w:hAnsi="Segoe UI Light"/>
      <w:color w:val="111239"/>
      <w:sz w:val="36"/>
    </w:rPr>
  </w:style>
  <w:style w:type="paragraph" w:customStyle="1" w:styleId="Statementquoteheading">
    <w:name w:val="Statement/quote heading"/>
    <w:basedOn w:val="Normal0"/>
    <w:uiPriority w:val="99"/>
    <w:unhideWhenUsed/>
    <w:pPr>
      <w:widowControl/>
      <w:spacing w:before="120"/>
    </w:pPr>
    <w:rPr>
      <w:rFonts w:ascii="Segoe UI Light" w:eastAsia="Segoe UI Light" w:hAnsi="Segoe UI Light"/>
      <w:b/>
      <w:color w:val="4C7A95"/>
      <w:sz w:val="36"/>
    </w:rPr>
  </w:style>
  <w:style w:type="paragraph" w:customStyle="1" w:styleId="Subhead">
    <w:name w:val="Sub head"/>
    <w:basedOn w:val="Normal0"/>
    <w:uiPriority w:val="99"/>
    <w:unhideWhenUsed/>
    <w:pPr>
      <w:widowControl/>
      <w:spacing w:before="120" w:after="240"/>
    </w:pPr>
    <w:rPr>
      <w:rFonts w:ascii="Calibri" w:eastAsia="Calibri" w:hAnsi="Calibri"/>
      <w:b/>
      <w:color w:val="2DCCD3"/>
    </w:rPr>
  </w:style>
  <w:style w:type="paragraph" w:customStyle="1" w:styleId="TableSubheading">
    <w:name w:val="Table Subheading"/>
    <w:basedOn w:val="Normal0"/>
    <w:uiPriority w:val="99"/>
    <w:unhideWhenUsed/>
    <w:pPr>
      <w:widowControl/>
    </w:pPr>
    <w:rPr>
      <w:rFonts w:ascii="Segoe UI Light" w:eastAsia="Segoe UI Light" w:hAnsi="Segoe UI Light"/>
      <w:b/>
      <w:color w:val="000000"/>
      <w:sz w:val="20"/>
    </w:rPr>
  </w:style>
  <w:style w:type="paragraph" w:customStyle="1" w:styleId="TOCheading20">
    <w:name w:val="TOC heading 2"/>
    <w:basedOn w:val="Normal0"/>
    <w:uiPriority w:val="99"/>
    <w:unhideWhenUsed/>
    <w:pPr>
      <w:pageBreakBefore/>
      <w:widowControl/>
      <w:spacing w:before="120" w:after="120"/>
    </w:pPr>
    <w:rPr>
      <w:rFonts w:ascii="Calibri" w:eastAsia="Calibri" w:hAnsi="Calibri"/>
      <w:color w:val="FFD4B3"/>
      <w:sz w:val="36"/>
    </w:rPr>
  </w:style>
  <w:style w:type="character" w:customStyle="1" w:styleId="DateChar">
    <w:name w:val="Date Char"/>
    <w:basedOn w:val="DefaultParagraphFont"/>
    <w:uiPriority w:val="99"/>
    <w:unhideWhenUsed/>
    <w:rPr>
      <w:rFonts w:ascii="Segoe UI Light" w:eastAsia="Segoe UI Light" w:hAnsi="Segoe UI Light" w:hint="default"/>
      <w:color w:val="111239"/>
      <w:sz w:val="32"/>
      <w:szCs w:val="24"/>
    </w:rPr>
  </w:style>
  <w:style w:type="character" w:styleId="PlaceholderText">
    <w:name w:val="Placeholder Text"/>
    <w:basedOn w:val="DefaultParagraphFont"/>
    <w:uiPriority w:val="99"/>
    <w:unhideWhenUsed/>
    <w:rPr>
      <w:rFonts w:hint="default"/>
      <w:color w:val="808080"/>
      <w:sz w:val="24"/>
      <w:szCs w:val="24"/>
    </w:rPr>
  </w:style>
  <w:style w:type="character" w:customStyle="1" w:styleId="QuoteChar1">
    <w:name w:val="Quote Char1"/>
    <w:basedOn w:val="DefaultParagraphFont"/>
    <w:uiPriority w:val="99"/>
    <w:unhideWhenUsed/>
    <w:rPr>
      <w:rFonts w:ascii="Calibri" w:eastAsia="Calibri" w:hAnsi="Calibri" w:hint="default"/>
      <w:i/>
      <w:color w:val="404040"/>
      <w:sz w:val="24"/>
      <w:szCs w:val="24"/>
    </w:rPr>
  </w:style>
  <w:style w:type="character" w:customStyle="1" w:styleId="HeavynormalChar">
    <w:name w:val="Heavy normal Char"/>
    <w:basedOn w:val="DefaultParagraphFont"/>
    <w:uiPriority w:val="99"/>
    <w:unhideWhenUsed/>
    <w:rPr>
      <w:rFonts w:ascii="Segoe UI" w:eastAsia="Segoe UI" w:hAnsi="Segoe UI" w:hint="default"/>
      <w:sz w:val="24"/>
      <w:szCs w:val="24"/>
    </w:rPr>
  </w:style>
  <w:style w:type="character" w:customStyle="1" w:styleId="cskcde">
    <w:name w:val="cskcde"/>
    <w:basedOn w:val="DefaultParagraphFont"/>
    <w:uiPriority w:val="99"/>
    <w:unhideWhenUsed/>
    <w:rPr>
      <w:rFonts w:hint="default"/>
      <w:sz w:val="24"/>
      <w:szCs w:val="24"/>
    </w:rPr>
  </w:style>
  <w:style w:type="character" w:customStyle="1" w:styleId="hgkelc">
    <w:name w:val="hgkelc"/>
    <w:basedOn w:val="DefaultParagraphFont"/>
    <w:uiPriority w:val="99"/>
    <w:unhideWhenUsed/>
    <w:rPr>
      <w:rFonts w:hint="default"/>
      <w:sz w:val="24"/>
      <w:szCs w:val="24"/>
    </w:rPr>
  </w:style>
  <w:style w:type="character" w:customStyle="1" w:styleId="Mention1">
    <w:name w:val="Mention1"/>
    <w:basedOn w:val="DefaultParagraphFont"/>
    <w:uiPriority w:val="99"/>
    <w:unhideWhenUsed/>
    <w:rPr>
      <w:rFonts w:hint="default"/>
      <w:color w:val="2B579A"/>
      <w:sz w:val="24"/>
      <w:szCs w:val="24"/>
      <w:shd w:val="clear" w:color="auto" w:fill="C0C0C0"/>
    </w:rPr>
  </w:style>
  <w:style w:type="character" w:customStyle="1" w:styleId="cf11">
    <w:name w:val="cf11"/>
    <w:basedOn w:val="DefaultParagraphFont"/>
    <w:unhideWhenUsed/>
    <w:rPr>
      <w:rFonts w:ascii="Segoe UI" w:eastAsia="Segoe UI" w:hAnsi="Segoe UI" w:hint="default"/>
      <w:color w:val="374151"/>
      <w:sz w:val="18"/>
      <w:szCs w:val="24"/>
      <w:shd w:val="clear" w:color="auto" w:fill="FFFFFF"/>
    </w:rPr>
  </w:style>
  <w:style w:type="paragraph" w:customStyle="1" w:styleId="Revision2">
    <w:name w:val="Revision2"/>
    <w:hidden/>
    <w:uiPriority w:val="99"/>
    <w:unhideWhenUsed/>
    <w:rPr>
      <w:rFonts w:ascii="Verdana" w:eastAsia="Verdana" w:hAnsi="Verdana"/>
      <w:color w:val="000000"/>
      <w:sz w:val="18"/>
      <w:szCs w:val="22"/>
      <w:lang w:val="en-GB" w:eastAsia="en-US"/>
    </w:rPr>
  </w:style>
  <w:style w:type="paragraph" w:customStyle="1" w:styleId="TOCHeading21">
    <w:name w:val="TOC Heading2"/>
    <w:basedOn w:val="Heading1"/>
    <w:next w:val="Normal"/>
    <w:uiPriority w:val="39"/>
    <w:unhideWhenUsed/>
    <w:qFormat/>
    <w:pPr>
      <w:widowControl/>
      <w:autoSpaceDE/>
      <w:autoSpaceDN/>
      <w:adjustRightInd/>
      <w:spacing w:line="276" w:lineRule="auto"/>
      <w:outlineLvl w:val="9"/>
    </w:pPr>
    <w:rPr>
      <w:rFonts w:asciiTheme="majorHAnsi" w:eastAsiaTheme="majorEastAsia" w:hAnsiTheme="majorHAnsi" w:cstheme="majorBidi"/>
      <w:color w:val="365F91" w:themeColor="accent1" w:themeShade="BF"/>
      <w:lang w:val="en-US" w:eastAsia="en-US"/>
    </w:rPr>
  </w:style>
  <w:style w:type="character" w:customStyle="1" w:styleId="IntenseReference2">
    <w:name w:val="Intense Reference2"/>
    <w:basedOn w:val="DefaultParagraphFont"/>
    <w:uiPriority w:val="32"/>
    <w:qFormat/>
    <w:rPr>
      <w:b/>
      <w:bCs/>
      <w:smallCaps/>
      <w:color w:val="5C52A3"/>
      <w:spacing w:val="5"/>
    </w:rPr>
  </w:style>
  <w:style w:type="character" w:customStyle="1" w:styleId="SubtleReference2">
    <w:name w:val="Subtle Reference2"/>
    <w:basedOn w:val="DefaultParagraphFont"/>
    <w:uiPriority w:val="10"/>
    <w:qFormat/>
    <w:rPr>
      <w:b/>
      <w:smallCaps/>
      <w:color w:val="595959" w:themeColor="text1" w:themeTint="A6"/>
    </w:rPr>
  </w:style>
  <w:style w:type="character" w:customStyle="1" w:styleId="IntenseEmphasis2">
    <w:name w:val="Intense Emphasis2"/>
    <w:basedOn w:val="DefaultParagraphFont"/>
    <w:uiPriority w:val="21"/>
    <w:qFormat/>
    <w:rPr>
      <w:b/>
      <w:iCs/>
      <w:color w:val="262626" w:themeColor="text1" w:themeTint="D9"/>
    </w:rPr>
  </w:style>
  <w:style w:type="paragraph" w:customStyle="1" w:styleId="z-TopofForm2">
    <w:name w:val="z-Top of Form2"/>
    <w:basedOn w:val="Normal"/>
    <w:next w:val="Normal"/>
    <w:hidden/>
    <w:uiPriority w:val="99"/>
    <w:semiHidden/>
    <w:unhideWhenUsed/>
    <w:pPr>
      <w:pBdr>
        <w:bottom w:val="single" w:sz="6" w:space="1" w:color="auto"/>
      </w:pBdr>
      <w:spacing w:before="0" w:after="0" w:line="240" w:lineRule="auto"/>
      <w:jc w:val="center"/>
    </w:pPr>
    <w:rPr>
      <w:rFonts w:ascii="Arial" w:eastAsia="Times New Roman" w:hAnsi="Arial" w:cs="Arial"/>
      <w:vanish/>
      <w:color w:val="auto"/>
      <w:sz w:val="16"/>
      <w:szCs w:val="16"/>
    </w:rPr>
  </w:style>
  <w:style w:type="character" w:customStyle="1" w:styleId="z-TopofFormChar1">
    <w:name w:val="z-Top of Form Char1"/>
    <w:basedOn w:val="DefaultParagraphFont"/>
    <w:uiPriority w:val="99"/>
    <w:semiHidden/>
    <w:rPr>
      <w:rFonts w:ascii="Arial" w:eastAsia="Verdana" w:hAnsi="Arial" w:cs="Arial"/>
      <w:vanish/>
      <w:color w:val="000000"/>
      <w:sz w:val="16"/>
      <w:szCs w:val="16"/>
      <w:lang w:val="en-GB" w:eastAsia="en-US"/>
    </w:rPr>
  </w:style>
  <w:style w:type="paragraph" w:customStyle="1" w:styleId="z-BottomofForm2">
    <w:name w:val="z-Bottom of Form2"/>
    <w:basedOn w:val="Normal"/>
    <w:next w:val="Normal"/>
    <w:hidden/>
    <w:uiPriority w:val="99"/>
    <w:semiHidden/>
    <w:unhideWhenUsed/>
    <w:pPr>
      <w:pBdr>
        <w:top w:val="single" w:sz="6" w:space="1" w:color="auto"/>
      </w:pBdr>
      <w:spacing w:before="0" w:after="0" w:line="240" w:lineRule="auto"/>
      <w:jc w:val="center"/>
    </w:pPr>
    <w:rPr>
      <w:rFonts w:ascii="Arial" w:eastAsia="Times New Roman" w:hAnsi="Arial" w:cs="Arial"/>
      <w:vanish/>
      <w:color w:val="auto"/>
      <w:sz w:val="16"/>
      <w:szCs w:val="16"/>
    </w:rPr>
  </w:style>
  <w:style w:type="character" w:customStyle="1" w:styleId="z-BottomofFormChar1">
    <w:name w:val="z-Bottom of Form Char1"/>
    <w:basedOn w:val="DefaultParagraphFont"/>
    <w:uiPriority w:val="99"/>
    <w:semiHidden/>
    <w:rPr>
      <w:rFonts w:ascii="Arial" w:eastAsia="Verdana" w:hAnsi="Arial" w:cs="Arial"/>
      <w:vanish/>
      <w:color w:val="000000"/>
      <w:sz w:val="16"/>
      <w:szCs w:val="16"/>
      <w:lang w:val="en-GB" w:eastAsia="en-US"/>
    </w:rPr>
  </w:style>
  <w:style w:type="character" w:customStyle="1" w:styleId="UnresolvedMention8">
    <w:name w:val="Unresolved Mention8"/>
    <w:basedOn w:val="DefaultParagraphFont"/>
    <w:uiPriority w:val="99"/>
    <w:semiHidden/>
    <w:unhideWhenUsed/>
    <w:rPr>
      <w:color w:val="605E5C"/>
      <w:shd w:val="clear" w:color="auto" w:fill="E1DFDD"/>
    </w:rPr>
  </w:style>
  <w:style w:type="table" w:customStyle="1" w:styleId="GridTable4-Accent55">
    <w:name w:val="Grid Table 4 - Accent 55"/>
    <w:basedOn w:val="TableNormal"/>
    <w:uiPriority w:val="49"/>
    <w:rPr>
      <w:lang w:val="en-US" w:eastAsia="en-US"/>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2">
    <w:name w:val="Grid Table 1 Light2"/>
    <w:basedOn w:val="TableNormal"/>
    <w:uiPriority w:val="46"/>
    <w:rPr>
      <w:rFonts w:asciiTheme="minorHAnsi" w:eastAsiaTheme="minorEastAsia" w:hAnsiTheme="minorHAnsi" w:cstheme="minorBidi"/>
      <w:kern w:val="2"/>
      <w:sz w:val="24"/>
      <w:szCs w:val="24"/>
      <w:lang w:val="en-US"/>
      <w14:ligatures w14:val="standardContextual"/>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unhideWhenUsed/>
    <w:rsid w:val="00ED0839"/>
    <w:rPr>
      <w:rFonts w:ascii="Verdana" w:eastAsia="Verdana" w:hAnsi="Verdana"/>
      <w:color w:val="000000"/>
      <w:sz w:val="18"/>
      <w:szCs w:val="22"/>
      <w:lang w:val="en-GB" w:eastAsia="en-US"/>
    </w:rPr>
  </w:style>
  <w:style w:type="character" w:styleId="UnresolvedMention">
    <w:name w:val="Unresolved Mention"/>
    <w:basedOn w:val="DefaultParagraphFont"/>
    <w:uiPriority w:val="99"/>
    <w:semiHidden/>
    <w:unhideWhenUsed/>
    <w:rsid w:val="0060651D"/>
    <w:rPr>
      <w:color w:val="605E5C"/>
      <w:shd w:val="clear" w:color="auto" w:fill="E1DFDD"/>
    </w:rPr>
  </w:style>
  <w:style w:type="paragraph" w:styleId="TOCHeading">
    <w:name w:val="TOC Heading"/>
    <w:basedOn w:val="Heading1"/>
    <w:next w:val="Normal"/>
    <w:uiPriority w:val="39"/>
    <w:unhideWhenUsed/>
    <w:qFormat/>
    <w:rsid w:val="008A74BC"/>
    <w:pPr>
      <w:widowControl/>
      <w:autoSpaceDE/>
      <w:autoSpaceDN/>
      <w:adjustRightInd/>
      <w:spacing w:line="259" w:lineRule="auto"/>
      <w:outlineLvl w:val="9"/>
    </w:pPr>
    <w:rPr>
      <w:rFonts w:asciiTheme="majorHAnsi" w:eastAsiaTheme="majorEastAsia" w:hAnsiTheme="majorHAnsi" w:cstheme="majorBidi"/>
      <w:b w:val="0"/>
      <w:caps w:val="0"/>
      <w:color w:val="365F91" w:themeColor="accent1" w:themeShade="B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850318">
      <w:bodyDiv w:val="1"/>
      <w:marLeft w:val="0"/>
      <w:marRight w:val="0"/>
      <w:marTop w:val="0"/>
      <w:marBottom w:val="0"/>
      <w:divBdr>
        <w:top w:val="none" w:sz="0" w:space="0" w:color="auto"/>
        <w:left w:val="none" w:sz="0" w:space="0" w:color="auto"/>
        <w:bottom w:val="none" w:sz="0" w:space="0" w:color="auto"/>
        <w:right w:val="none" w:sz="0" w:space="0" w:color="auto"/>
      </w:divBdr>
      <w:divsChild>
        <w:div w:id="19138146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dmin@pri.swiss" TargetMode="External"/><Relationship Id="rId18" Type="http://schemas.openxmlformats.org/officeDocument/2006/relationships/image" Target="media/image6.png"/><Relationship Id="rId26" Type="http://schemas.openxmlformats.org/officeDocument/2006/relationships/hyperlink" Target="https://www.internal-displacement.org/" TargetMode="External"/><Relationship Id="rId39" Type="http://schemas.openxmlformats.org/officeDocument/2006/relationships/hyperlink" Target="https://www.dfat.gov.au/about-us/publications/Pages/dfat-monitoring-and-evaluation-standards" TargetMode="External"/><Relationship Id="rId21" Type="http://schemas.openxmlformats.org/officeDocument/2006/relationships/hyperlink" Target="https://drmkc.jrc.ec.europa.eu/inform-index" TargetMode="External"/><Relationship Id="rId34" Type="http://schemas.openxmlformats.org/officeDocument/2006/relationships/hyperlink" Target="https://docs.getodk.org/collect-intro/" TargetMode="External"/><Relationship Id="rId42" Type="http://schemas.openxmlformats.org/officeDocument/2006/relationships/hyperlink" Target="https://www.dfat.gov.au/about-us/publications/Pages/dfat-monitoring-and-evaluation-standards" TargetMode="External"/><Relationship Id="rId47" Type="http://schemas.openxmlformats.org/officeDocument/2006/relationships/hyperlink" Target="https://www.dfat.gov.au/publications/development/australias-international-development-policy" TargetMode="External"/><Relationship Id="rId50" Type="http://schemas.openxmlformats.org/officeDocument/2006/relationships/hyperlink" Target="https://www.dfat.gov.au/aid/topics/aid-risk-management/Pages/environmental-and-social-safeguards" TargetMode="External"/><Relationship Id="rId55" Type="http://schemas.openxmlformats.org/officeDocument/2006/relationships/hyperlink" Target="https://www.plan.org.au/publications/food-security-as-a-modality-for-change/" TargetMode="External"/><Relationship Id="rId63" Type="http://schemas.openxmlformats.org/officeDocument/2006/relationships/hyperlink" Target="https://resourcecentre.savethechildren.net/document/resourcing-families-better-nutrition-common-approach/" TargetMode="External"/><Relationship Id="rId68" Type="http://schemas.openxmlformats.org/officeDocument/2006/relationships/hyperlink" Target="https://view.officeapps.live.com/op/view.aspx?src=https%3A%2F%2Fwww.dfat.gov.au%2Fsites%2Fdefault%2Ffiles%2Fdfat-design-monitoring-evaluation-learning-standards.docx&amp;wdOrigin=BROWSELINK" TargetMode="External"/><Relationship Id="rId76" Type="http://schemas.openxmlformats.org/officeDocument/2006/relationships/hyperlink" Target="https://view.officeapps.live.com/op/view.aspx?src=https%3A%2F%2Fwww.dfat.gov.au%2Fsites%2Fdefault%2Ffiles%2Fdfat-design-monitoring-evaluation-learning-standards.docx&amp;wdOrigin=BROWSELINK" TargetMode="External"/><Relationship Id="rId84" Type="http://schemas.openxmlformats.org/officeDocument/2006/relationships/hyperlink" Target="https://www.aes.asn.au/images/AES_Guidelines_web_v2.pdf" TargetMode="External"/><Relationship Id="rId89"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view.officeapps.live.com/op/view.aspx?src=https%3A%2F%2Fwww.dfat.gov.au%2Fsites%2Fdefault%2Ffiles%2Fdfat-design-monitoring-evaluation-learning-standards.docx&amp;wdOrigin=BROWSELINK"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wfp.org/" TargetMode="External"/><Relationship Id="rId11" Type="http://schemas.openxmlformats.org/officeDocument/2006/relationships/endnotes" Target="endnotes.xml"/><Relationship Id="rId24" Type="http://schemas.openxmlformats.org/officeDocument/2006/relationships/hyperlink" Target="https://www.who.int/" TargetMode="External"/><Relationship Id="rId32" Type="http://schemas.openxmlformats.org/officeDocument/2006/relationships/hyperlink" Target="https://www.oecd-ilibrary.org/sites/543e84ed-en/1/3/4/index.html?itemId=/content/publication/543e84ed-en&amp;_csp_=535d2f2a848b7727d35502d7f36e4885&amp;itemIGO=oecd&amp;itemContentType=book" TargetMode="External"/><Relationship Id="rId37" Type="http://schemas.openxmlformats.org/officeDocument/2006/relationships/hyperlink" Target="https://one.oecd.org/document/DCD/DAC(2019)58/FINAL/En/pdf" TargetMode="External"/><Relationship Id="rId40" Type="http://schemas.openxmlformats.org/officeDocument/2006/relationships/hyperlink" Target="https://www.dfat.gov.au/about-us/publications/Pages/dfat-monitoring-and-evaluation-standards" TargetMode="External"/><Relationship Id="rId45" Type="http://schemas.openxmlformats.org/officeDocument/2006/relationships/hyperlink" Target="https://www.dfat.gov.au/publications/development/australias-international-development-policy" TargetMode="External"/><Relationship Id="rId53" Type="http://schemas.openxmlformats.org/officeDocument/2006/relationships/hyperlink" Target="https://www.plan.org.au/publications/food-security-as-a-modality-for-change/" TargetMode="External"/><Relationship Id="rId58" Type="http://schemas.openxmlformats.org/officeDocument/2006/relationships/hyperlink" Target="https://www.plan.org.au/publications/food-security-as-a-modality-for-change/" TargetMode="External"/><Relationship Id="rId66" Type="http://schemas.openxmlformats.org/officeDocument/2006/relationships/hyperlink" Target="https://view.officeapps.live.com/op/view.aspx?src=https%3A%2F%2Fwww.dfat.gov.au%2Fsites%2Fdefault%2Ffiles%2Fdfat-design-monitoring-evaluation-learning-standards.docx&amp;wdOrigin=BROWSELINK" TargetMode="External"/><Relationship Id="rId74" Type="http://schemas.openxmlformats.org/officeDocument/2006/relationships/hyperlink" Target="https://view.officeapps.live.com/op/view.aspx?src=https%3A%2F%2Fwww.dfat.gov.au%2Fsites%2Fdefault%2Ffiles%2Fdfat-design-monitoring-evaluation-learning-standards.docx&amp;wdOrigin=BROWSELINK" TargetMode="External"/><Relationship Id="rId79" Type="http://schemas.openxmlformats.org/officeDocument/2006/relationships/hyperlink" Target="https://www.dfat.gov.au/aid/topics/development-issues/research" TargetMode="External"/><Relationship Id="rId87" Type="http://schemas.openxmlformats.org/officeDocument/2006/relationships/hyperlink" Target="https://www.aes.asn.au/images/AES_Code_of_Ethics_web.pdf" TargetMode="External"/><Relationship Id="rId5" Type="http://schemas.openxmlformats.org/officeDocument/2006/relationships/customXml" Target="../customXml/item5.xml"/><Relationship Id="rId61" Type="http://schemas.openxmlformats.org/officeDocument/2006/relationships/hyperlink" Target="https://www.plan.org.au/publications/food-security-as-a-modality-for-change/" TargetMode="External"/><Relationship Id="rId82" Type="http://schemas.openxmlformats.org/officeDocument/2006/relationships/hyperlink" Target="https://www.aes.asn.au/images/AES_Guidelines_web_v2.pdf" TargetMode="External"/><Relationship Id="rId90" Type="http://schemas.openxmlformats.org/officeDocument/2006/relationships/theme" Target="theme/theme1.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ri.swiss" TargetMode="External"/><Relationship Id="rId22" Type="http://schemas.openxmlformats.org/officeDocument/2006/relationships/hyperlink" Target="https://www.fao.org/" TargetMode="External"/><Relationship Id="rId27" Type="http://schemas.openxmlformats.org/officeDocument/2006/relationships/hyperlink" Target="https://www.internal-displacement.org/" TargetMode="External"/><Relationship Id="rId30" Type="http://schemas.openxmlformats.org/officeDocument/2006/relationships/hyperlink" Target="https://www.fao.org/" TargetMode="External"/><Relationship Id="rId35" Type="http://schemas.openxmlformats.org/officeDocument/2006/relationships/hyperlink" Target="https://www.oecd-ilibrary.org/sites/543e84ed-en/1/3/4/index.html?itemId=/content/publication/543e84ed-en&amp;_csp_=535d2f2a848b7727d35502d7f36e4885&amp;itemIGO=oecd&amp;itemContentType=book" TargetMode="External"/><Relationship Id="rId43" Type="http://schemas.openxmlformats.org/officeDocument/2006/relationships/hyperlink" Target="https://www.dfat.gov.au/publications/development/australias-international-development-policy" TargetMode="External"/><Relationship Id="rId48" Type="http://schemas.openxmlformats.org/officeDocument/2006/relationships/hyperlink" Target="https://www.dfat.gov.au/aid/topics/aid-risk-management/Pages/environmental-and-social-safeguards" TargetMode="External"/><Relationship Id="rId56" Type="http://schemas.openxmlformats.org/officeDocument/2006/relationships/hyperlink" Target="https://www.plan.org.au/publications/food-security-as-a-modality-for-change/" TargetMode="External"/><Relationship Id="rId64" Type="http://schemas.openxmlformats.org/officeDocument/2006/relationships/hyperlink" Target="https://resourcecentre.savethechildren.net/document/resourcing-families-better-nutrition-common-approach/" TargetMode="External"/><Relationship Id="rId69" Type="http://schemas.openxmlformats.org/officeDocument/2006/relationships/hyperlink" Target="https://view.officeapps.live.com/op/view.aspx?src=https%3A%2F%2Fwww.dfat.gov.au%2Fsites%2Fdefault%2Ffiles%2Fdfat-design-monitoring-evaluation-learning-standards.docx&amp;wdOrigin=BROWSELINK" TargetMode="External"/><Relationship Id="rId77" Type="http://schemas.openxmlformats.org/officeDocument/2006/relationships/hyperlink" Target="https://view.officeapps.live.com/op/view.aspx?src=https%3A%2F%2Fwww.dfat.gov.au%2Fsites%2Fdefault%2Ffiles%2Fdfat-design-monitoring-evaluation-learning-standards.docx&amp;wdOrigin=BROWSELINK" TargetMode="External"/><Relationship Id="rId8" Type="http://schemas.openxmlformats.org/officeDocument/2006/relationships/settings" Target="settings.xml"/><Relationship Id="rId51" Type="http://schemas.openxmlformats.org/officeDocument/2006/relationships/hyperlink" Target="https://www.dfat.gov.au/sites/default/files/ethical-research-evaluation-guidance-note.pdf" TargetMode="External"/><Relationship Id="rId72" Type="http://schemas.openxmlformats.org/officeDocument/2006/relationships/hyperlink" Target="https://view.officeapps.live.com/op/view.aspx?src=https%3A%2F%2Fwww.dfat.gov.au%2Fsites%2Fdefault%2Ffiles%2Fdfat-design-monitoring-evaluation-learning-standards.docx&amp;wdOrigin=BROWSELINK" TargetMode="External"/><Relationship Id="rId80" Type="http://schemas.openxmlformats.org/officeDocument/2006/relationships/hyperlink" Target="https://www.dfat.gov.au/aid/topics/development-issues/research" TargetMode="External"/><Relationship Id="rId85" Type="http://schemas.openxmlformats.org/officeDocument/2006/relationships/hyperlink" Target="https://www.aes.asn.au/images/AES_Code_of_Ethics_web.pdf"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www.wfp.org/" TargetMode="External"/><Relationship Id="rId33" Type="http://schemas.openxmlformats.org/officeDocument/2006/relationships/hyperlink" Target="https://www.betterevaluation.org/methods-approaches/approaches/utilisation-focused-evaluation" TargetMode="External"/><Relationship Id="rId38" Type="http://schemas.openxmlformats.org/officeDocument/2006/relationships/hyperlink" Target="https://www.dfat.gov.au/about-us/publications/Pages/dfat-monitoring-and-evaluation-standards" TargetMode="External"/><Relationship Id="rId46" Type="http://schemas.openxmlformats.org/officeDocument/2006/relationships/hyperlink" Target="https://www.dfat.gov.au/publications/development/australias-international-development-policy" TargetMode="External"/><Relationship Id="rId59" Type="http://schemas.openxmlformats.org/officeDocument/2006/relationships/hyperlink" Target="https://www.plan.org.au/publications/food-security-as-a-modality-for-change/" TargetMode="External"/><Relationship Id="rId67" Type="http://schemas.openxmlformats.org/officeDocument/2006/relationships/hyperlink" Target="https://view.officeapps.live.com/op/view.aspx?src=https%3A%2F%2Fwww.dfat.gov.au%2Fsites%2Fdefault%2Ffiles%2Fdfat-design-monitoring-evaluation-learning-standards.docx&amp;wdOrigin=BROWSELINK" TargetMode="External"/><Relationship Id="rId20" Type="http://schemas.openxmlformats.org/officeDocument/2006/relationships/hyperlink" Target="https://www.dfat.gov.au/sites/default/files/localisation-and-the-ancp-2019-20.pdf" TargetMode="External"/><Relationship Id="rId41" Type="http://schemas.openxmlformats.org/officeDocument/2006/relationships/hyperlink" Target="https://www.dfat.gov.au/about-us/publications/Pages/dfat-monitoring-and-evaluation-standards" TargetMode="External"/><Relationship Id="rId54" Type="http://schemas.openxmlformats.org/officeDocument/2006/relationships/hyperlink" Target="https://www.plan.org.au/publications/food-security-as-a-modality-for-change/" TargetMode="External"/><Relationship Id="rId62" Type="http://schemas.openxmlformats.org/officeDocument/2006/relationships/hyperlink" Target="https://resourcecentre.savethechildren.net/document/resourcing-families-better-nutrition-common-approach/" TargetMode="External"/><Relationship Id="rId70" Type="http://schemas.openxmlformats.org/officeDocument/2006/relationships/hyperlink" Target="https://view.officeapps.live.com/op/view.aspx?src=https%3A%2F%2Fwww.dfat.gov.au%2Fsites%2Fdefault%2Ffiles%2Fdfat-design-monitoring-evaluation-learning-standards.docx&amp;wdOrigin=BROWSELINK" TargetMode="External"/><Relationship Id="rId75" Type="http://schemas.openxmlformats.org/officeDocument/2006/relationships/hyperlink" Target="https://view.officeapps.live.com/op/view.aspx?src=https%3A%2F%2Fwww.dfat.gov.au%2Fsites%2Fdefault%2Ffiles%2Fdfat-design-monitoring-evaluation-learning-standards.docx&amp;wdOrigin=BROWSELINK" TargetMode="External"/><Relationship Id="rId83" Type="http://schemas.openxmlformats.org/officeDocument/2006/relationships/hyperlink" Target="https://www.aes.asn.au/images/AES_Guidelines_web_v2.pdf" TargetMode="External"/><Relationship Id="rId88"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ipcinfo.org/" TargetMode="External"/><Relationship Id="rId28" Type="http://schemas.openxmlformats.org/officeDocument/2006/relationships/hyperlink" Target="https://www.unocha.org/" TargetMode="External"/><Relationship Id="rId36" Type="http://schemas.openxmlformats.org/officeDocument/2006/relationships/hyperlink" Target="https://openknowledge.fao.org/server/api/core/bitstreams/1961df5b-aa3b-42de-8647-a33d2baca7a7/content" TargetMode="External"/><Relationship Id="rId49" Type="http://schemas.openxmlformats.org/officeDocument/2006/relationships/hyperlink" Target="https://www.dfat.gov.au/aid/topics/aid-risk-management/Pages/environmental-and-social-safeguards" TargetMode="External"/><Relationship Id="rId57" Type="http://schemas.openxmlformats.org/officeDocument/2006/relationships/hyperlink" Target="https://www.plan.org.au/publications/food-security-as-a-modality-for-change/" TargetMode="External"/><Relationship Id="rId10" Type="http://schemas.openxmlformats.org/officeDocument/2006/relationships/footnotes" Target="footnotes.xml"/><Relationship Id="rId31" Type="http://schemas.openxmlformats.org/officeDocument/2006/relationships/hyperlink" Target="https://ndrmc.gov.et/" TargetMode="External"/><Relationship Id="rId44" Type="http://schemas.openxmlformats.org/officeDocument/2006/relationships/hyperlink" Target="https://www.dfat.gov.au/publications/development/australias-international-development-policy" TargetMode="External"/><Relationship Id="rId52" Type="http://schemas.openxmlformats.org/officeDocument/2006/relationships/hyperlink" Target="https://www.dfat.gov.au/sites/default/files/ethical-research-evaluation-guidance-note.pdf" TargetMode="External"/><Relationship Id="rId60" Type="http://schemas.openxmlformats.org/officeDocument/2006/relationships/hyperlink" Target="https://www.plan.org.au/publications/food-security-as-a-modality-for-change/" TargetMode="External"/><Relationship Id="rId65" Type="http://schemas.openxmlformats.org/officeDocument/2006/relationships/hyperlink" Target="https://resourcecentre.savethechildren.net/document/resourcing-families-better-nutrition-common-approach/" TargetMode="External"/><Relationship Id="rId73" Type="http://schemas.openxmlformats.org/officeDocument/2006/relationships/hyperlink" Target="https://view.officeapps.live.com/op/view.aspx?src=https%3A%2F%2Fwww.dfat.gov.au%2Fsites%2Fdefault%2Ffiles%2Fdfat-design-monitoring-evaluation-learning-standards.docx&amp;wdOrigin=BROWSELINK" TargetMode="External"/><Relationship Id="rId78" Type="http://schemas.openxmlformats.org/officeDocument/2006/relationships/hyperlink" Target="https://view.officeapps.live.com/op/view.aspx?src=https%3A%2F%2Fwww.dfat.gov.au%2Fsites%2Fdefault%2Ffiles%2Fdfat-design-monitoring-evaluation-learning-standards.docx&amp;wdOrigin=BROWSELINK" TargetMode="External"/><Relationship Id="rId81" Type="http://schemas.openxmlformats.org/officeDocument/2006/relationships/hyperlink" Target="https://www.dfat.gov.au/aid/topics/development-issues/research" TargetMode="External"/><Relationship Id="rId86" Type="http://schemas.openxmlformats.org/officeDocument/2006/relationships/hyperlink" Target="https://www.aes.asn.au/images/AES_Code_of_Ethics_web.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sites/default/files/localisation-and-the-ancp-2019-20.pdf" TargetMode="External"/><Relationship Id="rId13" Type="http://schemas.openxmlformats.org/officeDocument/2006/relationships/hyperlink" Target="https://www.dfat.gov.au/sites/default/files/development-cooperation-fact-sheet-climate-change.pdf" TargetMode="External"/><Relationship Id="rId18" Type="http://schemas.openxmlformats.org/officeDocument/2006/relationships/hyperlink" Target="https://www.dfat.gov.au/sites/default/files/development-cooperation-fact-sheet-climate-change.pdf" TargetMode="External"/><Relationship Id="rId26" Type="http://schemas.openxmlformats.org/officeDocument/2006/relationships/hyperlink" Target="https://www.dfat.gov.au/sites/default/files/development-cooperation-fact-sheet-climate-change.pdf" TargetMode="External"/><Relationship Id="rId3" Type="http://schemas.openxmlformats.org/officeDocument/2006/relationships/hyperlink" Target="https://one.oecd.org/document/DCD/DAC(2019)58/FINAL/En/pdf" TargetMode="External"/><Relationship Id="rId21" Type="http://schemas.openxmlformats.org/officeDocument/2006/relationships/hyperlink" Target="https://www.dfat.gov.au/sites/default/files/development-cooperation-fact-sheet-climate-change.pdf" TargetMode="External"/><Relationship Id="rId34" Type="http://schemas.openxmlformats.org/officeDocument/2006/relationships/hyperlink" Target="https://www.dfat.gov.au/sites/default/files/development-cooperation-fact-sheet-climate-change.pdf" TargetMode="External"/><Relationship Id="rId7" Type="http://schemas.openxmlformats.org/officeDocument/2006/relationships/hyperlink" Target="https://www.dfat.gov.au/sites/default/files/localisation-and-the-ancp-2019-20.pdf" TargetMode="External"/><Relationship Id="rId12" Type="http://schemas.openxmlformats.org/officeDocument/2006/relationships/hyperlink" Target="https://www.dfat.gov.au/sites/default/files/development-cooperation-fact-sheet-climate-change.pdf" TargetMode="External"/><Relationship Id="rId17" Type="http://schemas.openxmlformats.org/officeDocument/2006/relationships/hyperlink" Target="https://www.dfat.gov.au/sites/default/files/development-cooperation-fact-sheet-climate-change.pdf" TargetMode="External"/><Relationship Id="rId25" Type="http://schemas.openxmlformats.org/officeDocument/2006/relationships/hyperlink" Target="https://www.dfat.gov.au/sites/default/files/localisation-and-the-ancp-2019-20.pdf" TargetMode="External"/><Relationship Id="rId33" Type="http://schemas.openxmlformats.org/officeDocument/2006/relationships/hyperlink" Target="https://www.dfat.gov.au/sites/default/files/development-cooperation-fact-sheet-climate-change.pdf" TargetMode="External"/><Relationship Id="rId2" Type="http://schemas.openxmlformats.org/officeDocument/2006/relationships/hyperlink" Target="https://one.oecd.org/document/DCD/DAC(2019)58/FINAL/En/pdf" TargetMode="External"/><Relationship Id="rId16" Type="http://schemas.openxmlformats.org/officeDocument/2006/relationships/hyperlink" Target="https://www.dfat.gov.au/sites/default/files/development-cooperation-fact-sheet-climate-change.pdf" TargetMode="External"/><Relationship Id="rId20" Type="http://schemas.openxmlformats.org/officeDocument/2006/relationships/hyperlink" Target="https://www.dfat.gov.au/sites/default/files/development-cooperation-fact-sheet-climate-change.pdf" TargetMode="External"/><Relationship Id="rId29" Type="http://schemas.openxmlformats.org/officeDocument/2006/relationships/hyperlink" Target="https://www.dfat.gov.au/sites/default/files/development-cooperation-fact-sheet-climate-change.pdf" TargetMode="External"/><Relationship Id="rId1" Type="http://schemas.openxmlformats.org/officeDocument/2006/relationships/hyperlink" Target="https://drmkc.jrc.ec.europa.eu/inform-index" TargetMode="External"/><Relationship Id="rId6" Type="http://schemas.openxmlformats.org/officeDocument/2006/relationships/hyperlink" Target="https://www.dfat.gov.au/sites/default/files/localisation-and-the-ancp-2019-20.pdf" TargetMode="External"/><Relationship Id="rId11" Type="http://schemas.openxmlformats.org/officeDocument/2006/relationships/hyperlink" Target="https://www.dfat.gov.au/sites/default/files/development-cooperation-fact-sheet-climate-change.pdf" TargetMode="External"/><Relationship Id="rId24" Type="http://schemas.openxmlformats.org/officeDocument/2006/relationships/hyperlink" Target="https://www.dfat.gov.au/sites/default/files/localisation-and-the-ancp-2019-20.pdf" TargetMode="External"/><Relationship Id="rId32" Type="http://schemas.openxmlformats.org/officeDocument/2006/relationships/hyperlink" Target="https://www.dfat.gov.au/sites/default/files/development-cooperation-fact-sheet-climate-change.pdf" TargetMode="External"/><Relationship Id="rId37" Type="http://schemas.openxmlformats.org/officeDocument/2006/relationships/hyperlink" Target="https://www.dfat.gov.au/sites/default/files/development-cooperation-fact-sheet-climate-change.pdf" TargetMode="External"/><Relationship Id="rId5" Type="http://schemas.openxmlformats.org/officeDocument/2006/relationships/hyperlink" Target="https://one.oecd.org/document/DCD/DAC(2019)58/FINAL/En/pdf" TargetMode="External"/><Relationship Id="rId15" Type="http://schemas.openxmlformats.org/officeDocument/2006/relationships/hyperlink" Target="https://www.dfat.gov.au/sites/default/files/development-cooperation-fact-sheet-climate-change.pdf" TargetMode="External"/><Relationship Id="rId23" Type="http://schemas.openxmlformats.org/officeDocument/2006/relationships/hyperlink" Target="https://www.dfat.gov.au/sites/default/files/localisation-and-the-ancp-2019-20.pdf" TargetMode="External"/><Relationship Id="rId28" Type="http://schemas.openxmlformats.org/officeDocument/2006/relationships/hyperlink" Target="https://www.dfat.gov.au/sites/default/files/development-cooperation-fact-sheet-climate-change.pdf" TargetMode="External"/><Relationship Id="rId36" Type="http://schemas.openxmlformats.org/officeDocument/2006/relationships/hyperlink" Target="https://www.dfat.gov.au/sites/default/files/development-cooperation-fact-sheet-climate-change.pdf" TargetMode="External"/><Relationship Id="rId10" Type="http://schemas.openxmlformats.org/officeDocument/2006/relationships/hyperlink" Target="https://www.dfat.gov.au/sites/default/files/development-cooperation-fact-sheet-climate-change.pdf" TargetMode="External"/><Relationship Id="rId19" Type="http://schemas.openxmlformats.org/officeDocument/2006/relationships/hyperlink" Target="https://www.dfat.gov.au/sites/default/files/development-cooperation-fact-sheet-climate-change.pdf" TargetMode="External"/><Relationship Id="rId31" Type="http://schemas.openxmlformats.org/officeDocument/2006/relationships/hyperlink" Target="https://www.dfat.gov.au/sites/default/files/development-cooperation-fact-sheet-climate-change.pdf" TargetMode="External"/><Relationship Id="rId4" Type="http://schemas.openxmlformats.org/officeDocument/2006/relationships/hyperlink" Target="https://www.oecd-ilibrary.org/sites/543e84ed-en/1/3/4/index.html?itemId=/content/publication/543e84ed-en&amp;_csp_=535d2f2a848b7727d35502d7f36e4885&amp;itemIGO=oecd&amp;itemContentType=book" TargetMode="External"/><Relationship Id="rId9" Type="http://schemas.openxmlformats.org/officeDocument/2006/relationships/hyperlink" Target="https://www.dfat.gov.au/sites/default/files/localisation-and-the-ancp-2019-20.pdf" TargetMode="External"/><Relationship Id="rId14" Type="http://schemas.openxmlformats.org/officeDocument/2006/relationships/hyperlink" Target="https://www.dfat.gov.au/sites/default/files/development-cooperation-fact-sheet-climate-change.pdf" TargetMode="External"/><Relationship Id="rId22" Type="http://schemas.openxmlformats.org/officeDocument/2006/relationships/hyperlink" Target="https://www.dfat.gov.au/sites/default/files/localisation-and-the-ancp-2019-20.pdf" TargetMode="External"/><Relationship Id="rId27" Type="http://schemas.openxmlformats.org/officeDocument/2006/relationships/hyperlink" Target="https://www.dfat.gov.au/sites/default/files/development-cooperation-fact-sheet-climate-change.pdf" TargetMode="External"/><Relationship Id="rId30" Type="http://schemas.openxmlformats.org/officeDocument/2006/relationships/hyperlink" Target="https://www.dfat.gov.au/sites/default/files/development-cooperation-fact-sheet-climate-change.pdf" TargetMode="External"/><Relationship Id="rId35" Type="http://schemas.openxmlformats.org/officeDocument/2006/relationships/hyperlink" Target="https://www.dfat.gov.au/sites/default/files/development-cooperation-fact-sheet-climate-chang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86e8d90-b1cf-4189-9b2f-ae030d5e16a9">
      <Terms xmlns="http://schemas.microsoft.com/office/infopath/2007/PartnerControls"/>
    </lcf76f155ced4ddcb4097134ff3c332f>
    <TaxCatchAll xmlns="dc38c545-a6be-4a86-9def-2acfd0db9a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BFA74484E6471C458F1433A614004FB0" ma:contentTypeVersion="18" ma:contentTypeDescription="Create a new document." ma:contentTypeScope="" ma:versionID="f9d308788d207310e0a9d3e46bea15c2">
  <xsd:schema xmlns:xsd="http://www.w3.org/2001/XMLSchema" xmlns:xs="http://www.w3.org/2001/XMLSchema" xmlns:p="http://schemas.microsoft.com/office/2006/metadata/properties" xmlns:ns2="086e8d90-b1cf-4189-9b2f-ae030d5e16a9" xmlns:ns3="dc38c545-a6be-4a86-9def-2acfd0db9acf" targetNamespace="http://schemas.microsoft.com/office/2006/metadata/properties" ma:root="true" ma:fieldsID="3985491a292b68e128604f8e36a5fd03" ns2:_="" ns3:_="">
    <xsd:import namespace="086e8d90-b1cf-4189-9b2f-ae030d5e16a9"/>
    <xsd:import namespace="dc38c545-a6be-4a86-9def-2acfd0db9a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6e8d90-b1cf-4189-9b2f-ae030d5e16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2d92b5-746e-49a8-aa32-1dfdc1be39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38c545-a6be-4a86-9def-2acfd0db9ac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a309aa1-a8b2-445e-bd79-61f83e1a3718}" ma:internalName="TaxCatchAll" ma:showField="CatchAllData" ma:web="dc38c545-a6be-4a86-9def-2acfd0db9a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0451E-CD93-4FAD-A73D-CD0FD5A57D0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c38c545-a6be-4a86-9def-2acfd0db9acf"/>
    <ds:schemaRef ds:uri="http://purl.org/dc/elements/1.1/"/>
    <ds:schemaRef ds:uri="http://schemas.microsoft.com/office/2006/metadata/properties"/>
    <ds:schemaRef ds:uri="086e8d90-b1cf-4189-9b2f-ae030d5e16a9"/>
    <ds:schemaRef ds:uri="http://www.w3.org/XML/1998/namespace"/>
    <ds:schemaRef ds:uri="http://purl.org/dc/dcmitype/"/>
  </ds:schemaRefs>
</ds:datastoreItem>
</file>

<file path=customXml/itemProps2.xml><?xml version="1.0" encoding="utf-8"?>
<ds:datastoreItem xmlns:ds="http://schemas.openxmlformats.org/officeDocument/2006/customXml" ds:itemID="{2D44917D-41E2-4359-A56B-224627EDF5B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CACEEA5-0F3C-4516-8B3A-E1B5836B7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6e8d90-b1cf-4189-9b2f-ae030d5e16a9"/>
    <ds:schemaRef ds:uri="dc38c545-a6be-4a86-9def-2acfd0db9a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F80C37-63D2-4541-AF3A-538BA6CBA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32062</Words>
  <Characters>203874</Characters>
  <Application>Microsoft Office Word</Application>
  <DocSecurity>4</DocSecurity>
  <Lines>4310</Lines>
  <Paragraphs>2171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Humanitarian Partnership’s Activations on Food Security and Livelihoods in Ethiopia and Kenya: Final Report</dc:title>
  <dc:subject/>
  <dc:creator>Policy Research Institute</dc:creator>
  <cp:keywords>[SEC=OFFICIAL]</cp:keywords>
  <dc:description/>
  <cp:lastModifiedBy>Patrick Baggoley</cp:lastModifiedBy>
  <cp:revision>2</cp:revision>
  <cp:lastPrinted>2024-10-31T04:35:00Z</cp:lastPrinted>
  <dcterms:created xsi:type="dcterms:W3CDTF">2024-12-09T03:02:00Z</dcterms:created>
  <dcterms:modified xsi:type="dcterms:W3CDTF">2024-12-09T03:02:00Z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KSOProductBuildVer">
    <vt:lpwstr>1033-12.2.0.17153</vt:lpwstr>
  </property>
  <property fmtid="{D5CDD505-2E9C-101B-9397-08002B2CF9AE}" pid="4" name="ICV">
    <vt:lpwstr>8550119FF21B48ED95328CDF4AA95A69_13</vt:lpwstr>
  </property>
  <property fmtid="{D5CDD505-2E9C-101B-9397-08002B2CF9AE}" pid="5" name="PM_Namespace">
    <vt:lpwstr>gov.au</vt:lpwstr>
  </property>
  <property fmtid="{D5CDD505-2E9C-101B-9397-08002B2CF9AE}" pid="6" name="PM_Caveats_Count">
    <vt:lpwstr>0</vt:lpwstr>
  </property>
  <property fmtid="{D5CDD505-2E9C-101B-9397-08002B2CF9AE}" pid="7" name="PM_Version">
    <vt:lpwstr>2018.4</vt:lpwstr>
  </property>
  <property fmtid="{D5CDD505-2E9C-101B-9397-08002B2CF9AE}" pid="8" name="PM_Note">
    <vt:lpwstr/>
  </property>
  <property fmtid="{D5CDD505-2E9C-101B-9397-08002B2CF9AE}" pid="9" name="PMHMAC">
    <vt:lpwstr>v=2022.1;a=SHA256;h=26BE7939F9F877C67BCA041B526D82FAC72CD8546399FBDFA15BB339AB76A81D</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2024-07-29T07:36:02Z</vt:lpwstr>
  </property>
  <property fmtid="{D5CDD505-2E9C-101B-9397-08002B2CF9AE}" pid="14" name="PM_Markers">
    <vt:lpwstr/>
  </property>
  <property fmtid="{D5CDD505-2E9C-101B-9397-08002B2CF9AE}" pid="15" name="PM_InsertionValue">
    <vt:lpwstr>OFFICIAL</vt:lpwstr>
  </property>
  <property fmtid="{D5CDD505-2E9C-101B-9397-08002B2CF9AE}" pid="16" name="PM_Originator_Hash_SHA1">
    <vt:lpwstr>E5329D78ADFF18985C404F3A4015F7B7C209C4C5</vt:lpwstr>
  </property>
  <property fmtid="{D5CDD505-2E9C-101B-9397-08002B2CF9AE}" pid="17" name="PM_DisplayValueSecClassificationWithQualifier">
    <vt:lpwstr>OFFICIAL</vt:lpwstr>
  </property>
  <property fmtid="{D5CDD505-2E9C-101B-9397-08002B2CF9AE}" pid="18" name="PM_Originating_FileId">
    <vt:lpwstr>E0A31038881F4B8CA6D4F8B6044DECAB</vt:lpwstr>
  </property>
  <property fmtid="{D5CDD505-2E9C-101B-9397-08002B2CF9AE}" pid="19" name="PM_ProtectiveMarkingValue_Footer">
    <vt:lpwstr>OFFICIAL</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Image_Footer">
    <vt:lpwstr>C:\Program Files (x86)\Common Files\janusNET Shared\janusSEAL\Images\DocumentSlashBlue.png</vt:lpwstr>
  </property>
  <property fmtid="{D5CDD505-2E9C-101B-9397-08002B2CF9AE}" pid="22" name="PM_Display">
    <vt:lpwstr>OFFICIAL</vt:lpwstr>
  </property>
  <property fmtid="{D5CDD505-2E9C-101B-9397-08002B2CF9AE}" pid="23" name="PM_OriginatorUserAccountName_SHA256">
    <vt:lpwstr>C427463A240001568B1E728057080C091949066E05DD342FA6B5B9F6FF33F8D6</vt:lpwstr>
  </property>
  <property fmtid="{D5CDD505-2E9C-101B-9397-08002B2CF9AE}" pid="24" name="PM_OriginatorDomainName_SHA256">
    <vt:lpwstr>6F3591835F3B2A8A025B00B5BA6418010DA3A17C9C26EA9C049FFD28039489A2</vt:lpwstr>
  </property>
  <property fmtid="{D5CDD505-2E9C-101B-9397-08002B2CF9AE}" pid="25" name="PMUuid">
    <vt:lpwstr>v=2022.2;d=gov.au;g=46DD6D7C-8107-577B-BC6E-F348953B2E44</vt:lpwstr>
  </property>
  <property fmtid="{D5CDD505-2E9C-101B-9397-08002B2CF9AE}" pid="26" name="PM_Hash_Version">
    <vt:lpwstr>2022.1</vt:lpwstr>
  </property>
  <property fmtid="{D5CDD505-2E9C-101B-9397-08002B2CF9AE}" pid="27" name="PM_Hash_Salt_Prev">
    <vt:lpwstr>EB2AF976E56DCE16EE5C7D757DAD4ABA</vt:lpwstr>
  </property>
  <property fmtid="{D5CDD505-2E9C-101B-9397-08002B2CF9AE}" pid="28" name="PM_Hash_Salt">
    <vt:lpwstr>E64475BECBF6A114D6EB3D689F455D40</vt:lpwstr>
  </property>
  <property fmtid="{D5CDD505-2E9C-101B-9397-08002B2CF9AE}" pid="29" name="PM_Hash_SHA1">
    <vt:lpwstr>6824DD4B9020072278E7B3CE6EEAAF2473E2489F</vt:lpwstr>
  </property>
  <property fmtid="{D5CDD505-2E9C-101B-9397-08002B2CF9AE}" pid="30" name="PM_SecurityClassification_Prev">
    <vt:lpwstr>OFFICIAL</vt:lpwstr>
  </property>
  <property fmtid="{D5CDD505-2E9C-101B-9397-08002B2CF9AE}" pid="31" name="PM_Qualifier_Prev">
    <vt:lpwstr/>
  </property>
  <property fmtid="{D5CDD505-2E9C-101B-9397-08002B2CF9AE}" pid="32" name="ContentTypeId">
    <vt:lpwstr>0x010100BFA74484E6471C458F1433A614004FB0</vt:lpwstr>
  </property>
</Properties>
</file>