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59F5" w14:textId="120C0226" w:rsidR="00F8008A" w:rsidRPr="00D815F5" w:rsidRDefault="00F8008A" w:rsidP="00F8008A">
      <w:pPr>
        <w:spacing w:line="360" w:lineRule="auto"/>
        <w:jc w:val="center"/>
        <w:rPr>
          <w:b/>
          <w:bCs/>
          <w:iCs/>
        </w:rPr>
      </w:pPr>
      <w:r w:rsidRPr="00D815F5">
        <w:rPr>
          <w:b/>
          <w:bCs/>
          <w:iCs/>
        </w:rPr>
        <w:t>Before the World Trade Organization</w:t>
      </w:r>
    </w:p>
    <w:p w14:paraId="1B95D5E3" w14:textId="77777777" w:rsidR="00F8008A" w:rsidRPr="00D815F5" w:rsidRDefault="00F8008A" w:rsidP="00F8008A">
      <w:pPr>
        <w:spacing w:line="360" w:lineRule="auto"/>
        <w:jc w:val="center"/>
        <w:rPr>
          <w:b/>
          <w:bCs/>
          <w:i/>
          <w:iCs/>
          <w:sz w:val="28"/>
          <w:szCs w:val="28"/>
        </w:rPr>
      </w:pPr>
    </w:p>
    <w:p w14:paraId="5E3B1CAF" w14:textId="77777777" w:rsidR="00F8008A" w:rsidRPr="00D815F5" w:rsidRDefault="00F8008A" w:rsidP="00F8008A">
      <w:pPr>
        <w:spacing w:line="360" w:lineRule="auto"/>
        <w:jc w:val="center"/>
        <w:rPr>
          <w:b/>
          <w:bCs/>
          <w:i/>
          <w:iCs/>
          <w:sz w:val="28"/>
          <w:szCs w:val="28"/>
        </w:rPr>
      </w:pPr>
    </w:p>
    <w:p w14:paraId="1CC860C2" w14:textId="77777777" w:rsidR="00F8008A" w:rsidRPr="00D815F5" w:rsidRDefault="00F8008A" w:rsidP="00F8008A">
      <w:pPr>
        <w:spacing w:line="360" w:lineRule="auto"/>
        <w:jc w:val="center"/>
        <w:rPr>
          <w:b/>
          <w:bCs/>
          <w:i/>
          <w:iCs/>
          <w:sz w:val="28"/>
          <w:szCs w:val="28"/>
        </w:rPr>
      </w:pPr>
    </w:p>
    <w:p w14:paraId="4E34BDA1" w14:textId="77777777" w:rsidR="00F8008A" w:rsidRPr="00D815F5" w:rsidRDefault="00F8008A" w:rsidP="00F8008A">
      <w:pPr>
        <w:spacing w:line="360" w:lineRule="auto"/>
        <w:jc w:val="center"/>
        <w:rPr>
          <w:b/>
          <w:bCs/>
          <w:i/>
          <w:iCs/>
          <w:sz w:val="28"/>
          <w:szCs w:val="28"/>
        </w:rPr>
      </w:pPr>
    </w:p>
    <w:p w14:paraId="585BAA72" w14:textId="77777777" w:rsidR="00F8008A" w:rsidRPr="00D815F5" w:rsidRDefault="00F8008A" w:rsidP="00F8008A">
      <w:pPr>
        <w:spacing w:line="360" w:lineRule="auto"/>
        <w:jc w:val="center"/>
        <w:rPr>
          <w:b/>
          <w:bCs/>
          <w:i/>
          <w:iCs/>
          <w:sz w:val="28"/>
          <w:szCs w:val="28"/>
        </w:rPr>
      </w:pPr>
    </w:p>
    <w:p w14:paraId="4FA6B2E7" w14:textId="77777777" w:rsidR="00F8008A" w:rsidRPr="00D815F5" w:rsidRDefault="00F8008A" w:rsidP="00F8008A">
      <w:pPr>
        <w:spacing w:line="360" w:lineRule="auto"/>
        <w:jc w:val="center"/>
        <w:rPr>
          <w:b/>
          <w:bCs/>
          <w:i/>
          <w:iCs/>
          <w:sz w:val="28"/>
          <w:szCs w:val="28"/>
        </w:rPr>
      </w:pPr>
    </w:p>
    <w:p w14:paraId="492A1971" w14:textId="53C2D422" w:rsidR="00F8008A" w:rsidRPr="00D815F5" w:rsidRDefault="008641B2" w:rsidP="00F8008A">
      <w:pPr>
        <w:spacing w:line="360" w:lineRule="auto"/>
        <w:jc w:val="center"/>
        <w:rPr>
          <w:b/>
          <w:i/>
          <w:sz w:val="28"/>
          <w:szCs w:val="28"/>
        </w:rPr>
      </w:pPr>
      <w:r>
        <w:rPr>
          <w:b/>
          <w:i/>
          <w:sz w:val="28"/>
          <w:szCs w:val="28"/>
        </w:rPr>
        <w:t>Panama – Measures concerning the importation of certain products from Costa Rica</w:t>
      </w:r>
      <w:r w:rsidR="00F8008A" w:rsidRPr="00D815F5">
        <w:rPr>
          <w:b/>
          <w:i/>
          <w:sz w:val="28"/>
          <w:szCs w:val="28"/>
        </w:rPr>
        <w:t xml:space="preserve"> (</w:t>
      </w:r>
      <w:r>
        <w:rPr>
          <w:b/>
          <w:i/>
          <w:sz w:val="28"/>
          <w:szCs w:val="28"/>
        </w:rPr>
        <w:t>Costa Rica</w:t>
      </w:r>
      <w:r w:rsidR="00F8008A" w:rsidRPr="00D815F5">
        <w:rPr>
          <w:b/>
          <w:i/>
          <w:sz w:val="28"/>
          <w:szCs w:val="28"/>
        </w:rPr>
        <w:t xml:space="preserve">) </w:t>
      </w:r>
      <w:r w:rsidR="00F8008A" w:rsidRPr="00D815F5">
        <w:rPr>
          <w:b/>
          <w:iCs/>
          <w:sz w:val="28"/>
          <w:szCs w:val="28"/>
        </w:rPr>
        <w:t>(</w:t>
      </w:r>
      <w:bookmarkStart w:id="0" w:name="_Toc305666123"/>
      <w:r w:rsidR="00F8008A" w:rsidRPr="00D815F5">
        <w:rPr>
          <w:b/>
          <w:iCs/>
          <w:sz w:val="28"/>
          <w:szCs w:val="28"/>
        </w:rPr>
        <w:t>WT/DS</w:t>
      </w:r>
      <w:r w:rsidR="00996648">
        <w:rPr>
          <w:b/>
          <w:iCs/>
          <w:sz w:val="28"/>
          <w:szCs w:val="28"/>
        </w:rPr>
        <w:t>599</w:t>
      </w:r>
      <w:r w:rsidR="00F8008A" w:rsidRPr="00D815F5">
        <w:rPr>
          <w:b/>
          <w:iCs/>
          <w:sz w:val="28"/>
          <w:szCs w:val="28"/>
        </w:rPr>
        <w:t>)</w:t>
      </w:r>
      <w:bookmarkEnd w:id="0"/>
    </w:p>
    <w:p w14:paraId="6F1ECF80" w14:textId="77777777" w:rsidR="00F8008A" w:rsidRPr="00D815F5" w:rsidRDefault="00F8008A" w:rsidP="00F8008A">
      <w:pPr>
        <w:spacing w:line="360" w:lineRule="auto"/>
        <w:jc w:val="center"/>
        <w:rPr>
          <w:b/>
          <w:i/>
          <w:sz w:val="28"/>
          <w:szCs w:val="28"/>
        </w:rPr>
      </w:pPr>
    </w:p>
    <w:p w14:paraId="0C0B5E56" w14:textId="77777777" w:rsidR="00F8008A" w:rsidRPr="00D815F5" w:rsidRDefault="00F8008A" w:rsidP="00F8008A">
      <w:pPr>
        <w:spacing w:line="360" w:lineRule="auto"/>
        <w:jc w:val="center"/>
        <w:rPr>
          <w:b/>
          <w:i/>
          <w:sz w:val="28"/>
          <w:szCs w:val="28"/>
        </w:rPr>
      </w:pPr>
    </w:p>
    <w:p w14:paraId="2B2EAE09" w14:textId="77777777" w:rsidR="00F8008A" w:rsidRPr="00D815F5" w:rsidRDefault="00F8008A" w:rsidP="00F8008A">
      <w:pPr>
        <w:spacing w:line="360" w:lineRule="auto"/>
        <w:jc w:val="center"/>
        <w:rPr>
          <w:b/>
          <w:i/>
          <w:sz w:val="28"/>
          <w:szCs w:val="28"/>
        </w:rPr>
      </w:pPr>
    </w:p>
    <w:p w14:paraId="38D749DD" w14:textId="77777777" w:rsidR="00F8008A" w:rsidRPr="00D815F5" w:rsidRDefault="00F8008A" w:rsidP="00F8008A">
      <w:pPr>
        <w:spacing w:line="360" w:lineRule="auto"/>
        <w:jc w:val="center"/>
        <w:rPr>
          <w:b/>
          <w:i/>
          <w:sz w:val="28"/>
          <w:szCs w:val="28"/>
        </w:rPr>
      </w:pPr>
    </w:p>
    <w:p w14:paraId="36397EC6" w14:textId="77777777" w:rsidR="00F8008A" w:rsidRPr="00D815F5" w:rsidRDefault="00F8008A" w:rsidP="00F8008A">
      <w:pPr>
        <w:spacing w:line="360" w:lineRule="auto"/>
        <w:jc w:val="center"/>
        <w:rPr>
          <w:b/>
          <w:i/>
          <w:sz w:val="28"/>
          <w:szCs w:val="28"/>
        </w:rPr>
      </w:pPr>
    </w:p>
    <w:p w14:paraId="56C14373" w14:textId="77777777" w:rsidR="00F8008A" w:rsidRPr="00D815F5" w:rsidRDefault="00F8008A" w:rsidP="00F8008A">
      <w:pPr>
        <w:spacing w:line="360" w:lineRule="auto"/>
        <w:jc w:val="center"/>
        <w:rPr>
          <w:b/>
          <w:i/>
          <w:sz w:val="28"/>
          <w:szCs w:val="28"/>
        </w:rPr>
      </w:pPr>
    </w:p>
    <w:p w14:paraId="4F458498" w14:textId="77777777" w:rsidR="00F8008A" w:rsidRPr="00D815F5" w:rsidRDefault="00F8008A" w:rsidP="00F8008A">
      <w:pPr>
        <w:spacing w:line="360" w:lineRule="auto"/>
        <w:jc w:val="center"/>
        <w:rPr>
          <w:b/>
          <w:i/>
          <w:sz w:val="28"/>
          <w:szCs w:val="28"/>
        </w:rPr>
      </w:pPr>
    </w:p>
    <w:p w14:paraId="38FC91B0" w14:textId="77777777" w:rsidR="00F8008A" w:rsidRPr="00D815F5" w:rsidRDefault="00F8008A" w:rsidP="00F8008A">
      <w:pPr>
        <w:spacing w:line="360" w:lineRule="auto"/>
        <w:jc w:val="center"/>
        <w:rPr>
          <w:b/>
          <w:i/>
          <w:sz w:val="28"/>
          <w:szCs w:val="28"/>
        </w:rPr>
      </w:pPr>
    </w:p>
    <w:p w14:paraId="4C6DD7F1" w14:textId="77777777" w:rsidR="00F8008A" w:rsidRPr="00D815F5" w:rsidRDefault="00F8008A" w:rsidP="00F8008A">
      <w:pPr>
        <w:spacing w:line="360" w:lineRule="auto"/>
        <w:jc w:val="center"/>
        <w:rPr>
          <w:b/>
          <w:i/>
          <w:sz w:val="28"/>
          <w:szCs w:val="28"/>
        </w:rPr>
      </w:pPr>
    </w:p>
    <w:p w14:paraId="2D020B93" w14:textId="13E6553C" w:rsidR="00F8008A" w:rsidRPr="00D815F5" w:rsidRDefault="00F8008A" w:rsidP="00F8008A">
      <w:pPr>
        <w:spacing w:line="360" w:lineRule="auto"/>
        <w:jc w:val="center"/>
        <w:rPr>
          <w:b/>
          <w:sz w:val="28"/>
          <w:szCs w:val="28"/>
        </w:rPr>
      </w:pPr>
      <w:bookmarkStart w:id="1" w:name="_Toc269726911"/>
      <w:bookmarkStart w:id="2" w:name="_Toc269823222"/>
      <w:bookmarkStart w:id="3" w:name="_Toc269823313"/>
      <w:r w:rsidRPr="00D815F5">
        <w:rPr>
          <w:b/>
          <w:sz w:val="28"/>
          <w:szCs w:val="28"/>
        </w:rPr>
        <w:t>Responses of Australia</w:t>
      </w:r>
      <w:bookmarkEnd w:id="1"/>
      <w:bookmarkEnd w:id="2"/>
      <w:bookmarkEnd w:id="3"/>
      <w:r w:rsidRPr="00D815F5">
        <w:rPr>
          <w:b/>
          <w:sz w:val="28"/>
          <w:szCs w:val="28"/>
        </w:rPr>
        <w:t xml:space="preserve"> to the Panel</w:t>
      </w:r>
      <w:r w:rsidR="002A4A17">
        <w:rPr>
          <w:b/>
          <w:sz w:val="28"/>
          <w:szCs w:val="28"/>
        </w:rPr>
        <w:t>'</w:t>
      </w:r>
      <w:r w:rsidRPr="00D815F5">
        <w:rPr>
          <w:b/>
          <w:sz w:val="28"/>
          <w:szCs w:val="28"/>
        </w:rPr>
        <w:t>s Questions</w:t>
      </w:r>
    </w:p>
    <w:p w14:paraId="4282C3C5" w14:textId="77777777"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2D9D2D57" w14:textId="77777777"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01E1351B" w14:textId="7BB4DA91"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6431F724" w14:textId="6BE313B1" w:rsidR="00451912" w:rsidRPr="00D815F5" w:rsidRDefault="00451912" w:rsidP="00451912">
      <w:pPr>
        <w:rPr>
          <w:lang w:eastAsia="zh-CN"/>
        </w:rPr>
      </w:pPr>
    </w:p>
    <w:p w14:paraId="0177518F" w14:textId="59808FEC" w:rsidR="00451912" w:rsidRPr="00D815F5" w:rsidRDefault="00451912" w:rsidP="00451912">
      <w:pPr>
        <w:rPr>
          <w:lang w:eastAsia="zh-CN"/>
        </w:rPr>
      </w:pPr>
    </w:p>
    <w:p w14:paraId="341E3AAF" w14:textId="06BE2ABD" w:rsidR="00451912" w:rsidRPr="00D815F5" w:rsidRDefault="00451912" w:rsidP="00451912">
      <w:pPr>
        <w:rPr>
          <w:lang w:eastAsia="zh-CN"/>
        </w:rPr>
      </w:pPr>
    </w:p>
    <w:p w14:paraId="487A3BFF" w14:textId="145C8D57" w:rsidR="00451912" w:rsidRPr="00D815F5" w:rsidRDefault="00451912" w:rsidP="00451912">
      <w:pPr>
        <w:rPr>
          <w:lang w:eastAsia="zh-CN"/>
        </w:rPr>
      </w:pPr>
    </w:p>
    <w:p w14:paraId="3DA70511" w14:textId="77777777" w:rsidR="00451912" w:rsidRPr="00D815F5" w:rsidRDefault="00451912" w:rsidP="00451912">
      <w:pPr>
        <w:rPr>
          <w:lang w:eastAsia="zh-CN"/>
        </w:rPr>
      </w:pPr>
    </w:p>
    <w:p w14:paraId="37BEFFC3" w14:textId="0502E1E0" w:rsidR="00F8008A" w:rsidRPr="00D815F5" w:rsidRDefault="00137EA1" w:rsidP="00F8008A">
      <w:pPr>
        <w:pStyle w:val="MinuteHeading"/>
        <w:framePr w:w="0" w:hSpace="0" w:vSpace="0" w:wrap="auto" w:vAnchor="margin" w:hAnchor="text" w:xAlign="left" w:yAlign="inline"/>
        <w:spacing w:after="0" w:line="360" w:lineRule="auto"/>
        <w:rPr>
          <w:sz w:val="28"/>
          <w:szCs w:val="28"/>
          <w:lang w:val="en-AU"/>
        </w:rPr>
      </w:pPr>
      <w:r>
        <w:rPr>
          <w:sz w:val="28"/>
          <w:szCs w:val="28"/>
          <w:lang w:val="en-AU"/>
        </w:rPr>
        <w:t>15 February 2023</w:t>
      </w:r>
    </w:p>
    <w:p w14:paraId="0FB0A914" w14:textId="77777777" w:rsidR="00F8008A" w:rsidRPr="00D815F5" w:rsidRDefault="00F8008A">
      <w:pPr>
        <w:rPr>
          <w:b/>
          <w:bCs/>
          <w:lang w:eastAsia="zh-CN"/>
        </w:rPr>
      </w:pPr>
      <w:r w:rsidRPr="00D815F5">
        <w:br w:type="page"/>
      </w:r>
    </w:p>
    <w:p w14:paraId="4623E6EF" w14:textId="77777777" w:rsidR="003D1A5C" w:rsidRDefault="00C85264" w:rsidP="003D1A5C">
      <w:pPr>
        <w:rPr>
          <w:sz w:val="22"/>
          <w:szCs w:val="22"/>
        </w:rPr>
      </w:pPr>
      <w:r w:rsidRPr="00D815F5">
        <w:rPr>
          <w:b/>
          <w:u w:val="single"/>
          <w:lang w:val="en-GB"/>
        </w:rPr>
        <w:lastRenderedPageBreak/>
        <w:t>Q</w:t>
      </w:r>
      <w:r w:rsidR="00C57D03">
        <w:rPr>
          <w:b/>
          <w:u w:val="single"/>
          <w:lang w:val="en-GB"/>
        </w:rPr>
        <w:t>5</w:t>
      </w:r>
      <w:r w:rsidR="00EA16A8" w:rsidRPr="00D815F5">
        <w:rPr>
          <w:b/>
          <w:u w:val="single"/>
          <w:lang w:val="en-GB"/>
        </w:rPr>
        <w:t xml:space="preserve"> </w:t>
      </w:r>
      <w:r w:rsidR="00E841F9" w:rsidRPr="00D815F5">
        <w:rPr>
          <w:b/>
          <w:u w:val="single"/>
          <w:lang w:val="en-GB"/>
        </w:rPr>
        <w:t xml:space="preserve">To all third parties [Advance question </w:t>
      </w:r>
      <w:r w:rsidR="00C57D03">
        <w:rPr>
          <w:b/>
          <w:u w:val="single"/>
          <w:lang w:val="en-GB"/>
        </w:rPr>
        <w:t>5</w:t>
      </w:r>
      <w:r w:rsidR="00E841F9" w:rsidRPr="00D815F5">
        <w:rPr>
          <w:b/>
          <w:u w:val="single"/>
          <w:lang w:val="en-GB"/>
        </w:rPr>
        <w:t>]:</w:t>
      </w:r>
      <w:r w:rsidR="00DB42DB" w:rsidRPr="00D815F5">
        <w:rPr>
          <w:b/>
          <w:lang w:val="en-GB"/>
        </w:rPr>
        <w:t xml:space="preserve"> </w:t>
      </w:r>
      <w:r w:rsidR="003D1A5C" w:rsidRPr="003D1A5C">
        <w:rPr>
          <w:b/>
          <w:bCs/>
        </w:rPr>
        <w:t>Please comment on the following assertion by Panama: Costa Rica's claims [with respect to the measure relating to the importation of dairy and meat products] refer exclusively to Panama's "control, inspection and approval procedures" within the meaning of Article 8 of the SPS Agreement and Annex C thereto. As such, these procedures do not fall within the scope of Articles 2.2, 2.3, 5.1, 5.2, 5.3, 5.5, 5.6 and 5.7 of the SPS Agreement.</w:t>
      </w:r>
    </w:p>
    <w:p w14:paraId="70AB925A" w14:textId="210C6197" w:rsidR="00212557" w:rsidRDefault="00C4147F" w:rsidP="008F29BD">
      <w:pPr>
        <w:pStyle w:val="ListParagraph"/>
        <w:numPr>
          <w:ilvl w:val="0"/>
          <w:numId w:val="9"/>
        </w:numPr>
        <w:spacing w:before="240" w:line="276" w:lineRule="auto"/>
        <w:ind w:left="0" w:hanging="567"/>
        <w:contextualSpacing w:val="0"/>
      </w:pPr>
      <w:bookmarkStart w:id="4" w:name="_Hlk106204078"/>
      <w:r>
        <w:t>Article 8 of the SPS Agreement requires Members to observe the provisions of Annex C in the operation of control, inspection and approval procedures</w:t>
      </w:r>
      <w:r w:rsidR="009C1A4A">
        <w:t xml:space="preserve"> and </w:t>
      </w:r>
      <w:r w:rsidR="009C1A4A" w:rsidRPr="00973719">
        <w:rPr>
          <w:i/>
          <w:iCs/>
        </w:rPr>
        <w:t>to ensure those procedures are not inconsistent with the provisions of the SPS Agreement</w:t>
      </w:r>
      <w:r w:rsidR="00D85BE2">
        <w:t xml:space="preserve">. </w:t>
      </w:r>
      <w:r w:rsidR="00973719">
        <w:t xml:space="preserve">Panama’s argument </w:t>
      </w:r>
      <w:r w:rsidR="00895EA5">
        <w:t>is not supported by the text of Article 8</w:t>
      </w:r>
      <w:r w:rsidR="003E09D2">
        <w:t>. In particular, it</w:t>
      </w:r>
      <w:r w:rsidR="007A58E3">
        <w:t xml:space="preserve"> would be </w:t>
      </w:r>
      <w:r w:rsidR="003E09D2">
        <w:t>internally inconsistent</w:t>
      </w:r>
      <w:r w:rsidR="007A58E3">
        <w:t xml:space="preserve"> to require </w:t>
      </w:r>
      <w:r w:rsidR="003E09D2">
        <w:t xml:space="preserve">Members to </w:t>
      </w:r>
      <w:r w:rsidR="00330F11">
        <w:t>“</w:t>
      </w:r>
      <w:r w:rsidR="003E09D2">
        <w:t>ensure</w:t>
      </w:r>
      <w:r w:rsidR="00330F11">
        <w:t xml:space="preserve"> that their</w:t>
      </w:r>
      <w:r w:rsidR="007A58E3">
        <w:t xml:space="preserve"> </w:t>
      </w:r>
      <w:r w:rsidR="00330F11">
        <w:t>[</w:t>
      </w:r>
      <w:r w:rsidR="007A58E3">
        <w:t>control, inspection and approval procedures</w:t>
      </w:r>
      <w:r w:rsidR="00330F11">
        <w:t>]</w:t>
      </w:r>
      <w:r w:rsidR="00EB344D">
        <w:t xml:space="preserve"> are not inconsistent with the provisions of the Agreement</w:t>
      </w:r>
      <w:r w:rsidR="00330F11">
        <w:t>”</w:t>
      </w:r>
      <w:r w:rsidR="00EB344D">
        <w:t xml:space="preserve"> if those provisions did not apply to the procedures.</w:t>
      </w:r>
    </w:p>
    <w:p w14:paraId="5EB8205F" w14:textId="76E73C44" w:rsidR="005D0D5F" w:rsidRPr="00D815F5" w:rsidRDefault="00932B66" w:rsidP="00EC2CA6">
      <w:pPr>
        <w:pStyle w:val="ListParagraph"/>
        <w:numPr>
          <w:ilvl w:val="0"/>
          <w:numId w:val="9"/>
        </w:numPr>
        <w:spacing w:before="240" w:line="276" w:lineRule="auto"/>
        <w:ind w:left="0" w:hanging="567"/>
        <w:contextualSpacing w:val="0"/>
      </w:pPr>
      <w:r>
        <w:t>Article 8 does not limit the scope of provisions that might be applicable to “control, inspection and approval procedures”</w:t>
      </w:r>
      <w:r w:rsidR="007B009D">
        <w:t xml:space="preserve">. </w:t>
      </w:r>
      <w:r w:rsidR="00822058">
        <w:t xml:space="preserve">Instead in </w:t>
      </w:r>
      <w:r w:rsidR="00B720A8">
        <w:t>Australia’s</w:t>
      </w:r>
      <w:r w:rsidR="00822058">
        <w:t xml:space="preserve"> view it </w:t>
      </w:r>
      <w:r w:rsidR="00263F62">
        <w:t xml:space="preserve">specifies that in respect of a sub-set of </w:t>
      </w:r>
      <w:r w:rsidR="00B720A8">
        <w:t>measures</w:t>
      </w:r>
      <w:r w:rsidR="00263F62">
        <w:t xml:space="preserve"> (control, inspection and approval procedures)</w:t>
      </w:r>
      <w:r w:rsidR="007A58E3">
        <w:t xml:space="preserve"> the provisions of Annex C must be observed</w:t>
      </w:r>
      <w:r w:rsidR="0019384B">
        <w:t>, which may be additional to the application of other provisions of the SPS Agreement to such measures</w:t>
      </w:r>
      <w:r w:rsidR="007A58E3">
        <w:t>.</w:t>
      </w:r>
    </w:p>
    <w:bookmarkEnd w:id="4"/>
    <w:p w14:paraId="794874AC" w14:textId="77777777" w:rsidR="00396D61" w:rsidRDefault="00DB42DB" w:rsidP="00396D61">
      <w:pPr>
        <w:pStyle w:val="ListParagraph"/>
        <w:spacing w:before="240" w:line="276" w:lineRule="auto"/>
        <w:ind w:left="0"/>
        <w:contextualSpacing w:val="0"/>
        <w:rPr>
          <w:b/>
          <w:bCs/>
        </w:rPr>
      </w:pPr>
      <w:r w:rsidRPr="00D815F5">
        <w:rPr>
          <w:b/>
          <w:bCs/>
          <w:u w:val="single"/>
        </w:rPr>
        <w:t>Q</w:t>
      </w:r>
      <w:r w:rsidR="003D1A5C">
        <w:rPr>
          <w:b/>
          <w:bCs/>
          <w:u w:val="single"/>
        </w:rPr>
        <w:t>6</w:t>
      </w:r>
      <w:r w:rsidRPr="00D815F5">
        <w:rPr>
          <w:b/>
          <w:bCs/>
          <w:u w:val="single"/>
        </w:rPr>
        <w:t xml:space="preserve"> To all third parties [Advance question </w:t>
      </w:r>
      <w:r w:rsidR="003D1A5C">
        <w:rPr>
          <w:b/>
          <w:bCs/>
          <w:u w:val="single"/>
        </w:rPr>
        <w:t>6</w:t>
      </w:r>
      <w:r w:rsidRPr="00D815F5">
        <w:rPr>
          <w:b/>
          <w:bCs/>
          <w:u w:val="single"/>
        </w:rPr>
        <w:t>]:</w:t>
      </w:r>
      <w:r w:rsidRPr="00D815F5">
        <w:rPr>
          <w:b/>
          <w:bCs/>
        </w:rPr>
        <w:t xml:space="preserve"> </w:t>
      </w:r>
      <w:r w:rsidR="00396D61" w:rsidRPr="00396D61">
        <w:rPr>
          <w:b/>
          <w:bCs/>
        </w:rPr>
        <w:t>Article 5.7 of the SPS Agreement refers to "insufficient" relevant scientific evidence. What parameters should the Panel take into consideration in order to determine whether scientific evidence submitted by the parties is "relevant" and "sufficient" within the meaning of Article 5.7 of the SPS Agreement?</w:t>
      </w:r>
    </w:p>
    <w:p w14:paraId="0319929B" w14:textId="2E246CCF" w:rsidR="00367D20" w:rsidRDefault="008528C8" w:rsidP="00D46583">
      <w:pPr>
        <w:pStyle w:val="ListParagraph"/>
        <w:numPr>
          <w:ilvl w:val="0"/>
          <w:numId w:val="9"/>
        </w:numPr>
        <w:spacing w:before="240" w:line="276" w:lineRule="auto"/>
        <w:ind w:left="0" w:hanging="567"/>
        <w:contextualSpacing w:val="0"/>
      </w:pPr>
      <w:r>
        <w:t>Article 5.7 is internally balanced</w:t>
      </w:r>
      <w:r w:rsidR="006B7ADA">
        <w:t xml:space="preserve"> by its four cumulative requirements</w:t>
      </w:r>
      <w:r w:rsidR="0019384B">
        <w:t xml:space="preserve">, namely: </w:t>
      </w:r>
      <w:r w:rsidR="00B656A2">
        <w:br/>
      </w:r>
      <w:r w:rsidR="00367D20">
        <w:br/>
      </w:r>
      <w:r w:rsidR="00443BB4">
        <w:t xml:space="preserve">(i) relevant scientific evidence is insufficient; </w:t>
      </w:r>
      <w:r w:rsidR="00430F2D">
        <w:br/>
      </w:r>
      <w:r w:rsidR="00443BB4">
        <w:t xml:space="preserve">(ii) </w:t>
      </w:r>
      <w:r w:rsidR="004D216D">
        <w:t xml:space="preserve">provisional SPS measures are adopted on the basis of </w:t>
      </w:r>
      <w:r w:rsidR="00B83C6C">
        <w:t xml:space="preserve">available pertinent information; </w:t>
      </w:r>
      <w:r w:rsidR="00430F2D">
        <w:br/>
      </w:r>
      <w:r w:rsidR="00B83C6C">
        <w:t>(iii) the adop</w:t>
      </w:r>
      <w:r w:rsidR="00697BE4">
        <w:t>ting member seeks the additional information necessary for a more objective assessment of risk</w:t>
      </w:r>
      <w:r w:rsidR="00430F2D">
        <w:t>; and</w:t>
      </w:r>
      <w:r w:rsidR="00E177FC">
        <w:br/>
        <w:t>(iv) the adopting member reviews the SPS measures with</w:t>
      </w:r>
      <w:r w:rsidR="000F1983">
        <w:t>in a reasonable period of time.</w:t>
      </w:r>
    </w:p>
    <w:p w14:paraId="2912F106" w14:textId="7F5FDA4C" w:rsidR="009D3D76" w:rsidRPr="00165585" w:rsidRDefault="00186A12" w:rsidP="38FB1A29">
      <w:pPr>
        <w:pStyle w:val="ListParagraph"/>
        <w:numPr>
          <w:ilvl w:val="0"/>
          <w:numId w:val="9"/>
        </w:numPr>
        <w:spacing w:before="240" w:line="276" w:lineRule="auto"/>
        <w:ind w:left="0" w:hanging="567"/>
        <w:contextualSpacing w:val="0"/>
      </w:pPr>
      <w:r>
        <w:t xml:space="preserve">The first two requirements recognise WTO Members need the latitude to </w:t>
      </w:r>
      <w:proofErr w:type="gramStart"/>
      <w:r>
        <w:t>take action</w:t>
      </w:r>
      <w:proofErr w:type="gramEnd"/>
      <w:r>
        <w:t xml:space="preserve"> where there is some risk even if it cannot be fully assessed</w:t>
      </w:r>
      <w:r w:rsidR="00AD7FE0">
        <w:t xml:space="preserve"> at that time</w:t>
      </w:r>
      <w:r>
        <w:t>. T</w:t>
      </w:r>
      <w:r w:rsidR="006B6537">
        <w:t>he second two</w:t>
      </w:r>
      <w:r w:rsidR="005D5A09">
        <w:t xml:space="preserve"> requirements </w:t>
      </w:r>
      <w:r w:rsidR="006B6537">
        <w:t xml:space="preserve">discipline the </w:t>
      </w:r>
      <w:r w:rsidR="006B6537" w:rsidRPr="00186A12">
        <w:t xml:space="preserve">maintenance </w:t>
      </w:r>
      <w:r w:rsidR="006B6537">
        <w:t>of</w:t>
      </w:r>
      <w:r w:rsidR="005D5A09">
        <w:t xml:space="preserve"> those measures</w:t>
      </w:r>
      <w:r w:rsidR="4FE02035">
        <w:t>.</w:t>
      </w:r>
      <w:r w:rsidR="00BF6175">
        <w:t xml:space="preserve"> </w:t>
      </w:r>
      <w:r w:rsidR="001B7DEA">
        <w:t>Too</w:t>
      </w:r>
      <w:r w:rsidR="004848EF">
        <w:t xml:space="preserve"> narrow </w:t>
      </w:r>
      <w:r w:rsidR="001B7DEA">
        <w:t xml:space="preserve">an </w:t>
      </w:r>
      <w:r w:rsidR="00804F7F">
        <w:t>interpretation of the</w:t>
      </w:r>
      <w:r w:rsidR="00875ED1">
        <w:t xml:space="preserve"> first two requirements </w:t>
      </w:r>
      <w:r w:rsidR="004848EF">
        <w:t xml:space="preserve">risks </w:t>
      </w:r>
      <w:r w:rsidR="001B7DEA">
        <w:t>disturbing th</w:t>
      </w:r>
      <w:r w:rsidR="002C77EF">
        <w:t>is existing balance</w:t>
      </w:r>
      <w:r w:rsidR="00DB7696">
        <w:t xml:space="preserve">. </w:t>
      </w:r>
    </w:p>
    <w:p w14:paraId="3D1AC68B" w14:textId="1A67589D" w:rsidR="00DB187F" w:rsidRDefault="009D3D76" w:rsidP="00C17AA2">
      <w:pPr>
        <w:pStyle w:val="ListParagraph"/>
        <w:numPr>
          <w:ilvl w:val="0"/>
          <w:numId w:val="9"/>
        </w:numPr>
        <w:spacing w:before="240" w:line="276" w:lineRule="auto"/>
        <w:ind w:left="0" w:hanging="567"/>
        <w:contextualSpacing w:val="0"/>
      </w:pPr>
      <w:r>
        <w:t xml:space="preserve">The first requirement </w:t>
      </w:r>
      <w:r w:rsidR="00543A61">
        <w:t xml:space="preserve">places a limitation on the scope </w:t>
      </w:r>
      <w:r>
        <w:t>of Article 5.7</w:t>
      </w:r>
      <w:r w:rsidR="00543A61">
        <w:t>.</w:t>
      </w:r>
      <w:r>
        <w:t xml:space="preserve"> </w:t>
      </w:r>
      <w:r w:rsidR="00F447C4">
        <w:t>It only applies</w:t>
      </w:r>
      <w:r>
        <w:t xml:space="preserve"> in situations where ‘relevant scientific evidence is insufficient’. In previous disputes this has been interpreted as meaning ‘the body of available scientific evidence does not </w:t>
      </w:r>
      <w:r>
        <w:lastRenderedPageBreak/>
        <w:t xml:space="preserve">allow, in quantitative or qualitative terms, the performance of an adequate assessment of risks as required under Article 5.1 and as defined in Annex A to the SPS Agreement.’ </w:t>
      </w:r>
      <w:r w:rsidR="00F65AAF">
        <w:t xml:space="preserve">Australia agrees with this approach and considers it provides the </w:t>
      </w:r>
      <w:r w:rsidR="00CB6536">
        <w:t>parameters</w:t>
      </w:r>
      <w:r w:rsidR="00F65AAF">
        <w:t xml:space="preserve"> for WTO members to argue whether the </w:t>
      </w:r>
      <w:r w:rsidR="00CB6536">
        <w:t>requirement has been met.</w:t>
      </w:r>
    </w:p>
    <w:p w14:paraId="7F848218" w14:textId="2CD79CD4" w:rsidR="009D3D76" w:rsidRDefault="009D3D76" w:rsidP="752EBF3C">
      <w:pPr>
        <w:pStyle w:val="ListParagraph"/>
        <w:numPr>
          <w:ilvl w:val="0"/>
          <w:numId w:val="9"/>
        </w:numPr>
        <w:spacing w:before="240" w:line="276" w:lineRule="auto"/>
        <w:ind w:left="0" w:hanging="567"/>
        <w:contextualSpacing w:val="0"/>
      </w:pPr>
      <w:r>
        <w:t xml:space="preserve">In </w:t>
      </w:r>
      <w:r w:rsidR="00A973EF">
        <w:t xml:space="preserve">that context, </w:t>
      </w:r>
      <w:r>
        <w:t xml:space="preserve">‘relevant’ means any scientific evidence that is pertinent to performing a risk assessment and ‘insufficient’ </w:t>
      </w:r>
      <w:r w:rsidR="51DCA935">
        <w:t xml:space="preserve">means </w:t>
      </w:r>
      <w:r>
        <w:t xml:space="preserve">less than ‘sufficient’ evidence to perform </w:t>
      </w:r>
      <w:proofErr w:type="spellStart"/>
      <w:proofErr w:type="gramStart"/>
      <w:r>
        <w:t>a</w:t>
      </w:r>
      <w:proofErr w:type="spellEnd"/>
      <w:proofErr w:type="gramEnd"/>
      <w:r>
        <w:t xml:space="preserve"> </w:t>
      </w:r>
      <w:r w:rsidR="3633BD84">
        <w:t>adequate</w:t>
      </w:r>
      <w:r>
        <w:t xml:space="preserve"> risk assessment under Article 5.1. </w:t>
      </w:r>
      <w:r w:rsidR="00A973EF">
        <w:t>In Australia’s view, the</w:t>
      </w:r>
      <w:r>
        <w:t xml:space="preserve"> question is less about the parameters of the terms ‘relevant’ and ‘insufficient’ and more about whether the WTO Member has enough evidence </w:t>
      </w:r>
      <w:r w:rsidRPr="00C17AA2">
        <w:rPr>
          <w:i/>
          <w:iCs/>
        </w:rPr>
        <w:t>overall</w:t>
      </w:r>
      <w:r>
        <w:t xml:space="preserve"> to perform an adequate risk assessment. If there is some evidence of risk but a</w:t>
      </w:r>
      <w:r w:rsidR="003414E3">
        <w:t xml:space="preserve">n adequate </w:t>
      </w:r>
      <w:r>
        <w:t>assessment cannot be performed</w:t>
      </w:r>
      <w:r w:rsidR="00C22C1F">
        <w:t xml:space="preserve"> on its basis</w:t>
      </w:r>
      <w:r>
        <w:t xml:space="preserve">, it follows that ‘relevant scientific evidence is insufficient’. </w:t>
      </w:r>
    </w:p>
    <w:p w14:paraId="39DCECAF" w14:textId="54CF21B4" w:rsidR="00335CFD" w:rsidRPr="00335CFD" w:rsidRDefault="009D3D76" w:rsidP="00D4656B">
      <w:pPr>
        <w:pStyle w:val="ListParagraph"/>
        <w:spacing w:before="240" w:line="276" w:lineRule="auto"/>
        <w:ind w:left="0"/>
        <w:contextualSpacing w:val="0"/>
        <w:rPr>
          <w:b/>
          <w:bCs/>
        </w:rPr>
      </w:pPr>
      <w:r>
        <w:t>.</w:t>
      </w:r>
      <w:r w:rsidR="003B5285" w:rsidRPr="00D815F5">
        <w:rPr>
          <w:b/>
          <w:bCs/>
          <w:u w:val="single"/>
        </w:rPr>
        <w:t>Q7</w:t>
      </w:r>
      <w:r w:rsidR="00220E9E" w:rsidRPr="00D815F5">
        <w:rPr>
          <w:b/>
          <w:bCs/>
          <w:u w:val="single"/>
        </w:rPr>
        <w:t xml:space="preserve"> To all third parties [Advance question 7]:</w:t>
      </w:r>
      <w:r w:rsidR="00220E9E" w:rsidRPr="00D815F5">
        <w:rPr>
          <w:b/>
          <w:bCs/>
        </w:rPr>
        <w:t xml:space="preserve"> </w:t>
      </w:r>
      <w:r w:rsidR="00335CFD" w:rsidRPr="00335CFD">
        <w:rPr>
          <w:b/>
          <w:bCs/>
        </w:rPr>
        <w:t>Article 3.1 of the SPS Agreement provides that "Members shall base their sanitary and phytosanitary measures on international standards, guidelines or recommendations, where they exist". In this regard, Costa Rica asserts that there exist relevant international guidelines and standards that determine (i) the types of measures that an importing country may take in the event of non-compliance with an MRL, including the exchange of information in such instances ; and (ii) the situations in which SPS measures banning imports can be adopted.  Costa Rica also asserts that "[r]</w:t>
      </w:r>
      <w:proofErr w:type="spellStart"/>
      <w:r w:rsidR="00335CFD" w:rsidRPr="00335CFD">
        <w:rPr>
          <w:b/>
          <w:bCs/>
        </w:rPr>
        <w:t>elevant</w:t>
      </w:r>
      <w:proofErr w:type="spellEnd"/>
      <w:r w:rsidR="00335CFD" w:rsidRPr="00335CFD">
        <w:rPr>
          <w:b/>
          <w:bCs/>
        </w:rPr>
        <w:t xml:space="preserve"> international standards may include not only those provisions that address specific diseases or pests, but also horizontal provisions or those that establish a basic framework of general application."  Please comment on these assertions by Costa Rica.</w:t>
      </w:r>
    </w:p>
    <w:p w14:paraId="51CF69D5" w14:textId="77777777" w:rsidR="00436412" w:rsidRDefault="007C2654" w:rsidP="00436412">
      <w:pPr>
        <w:pStyle w:val="ListParagraph"/>
        <w:numPr>
          <w:ilvl w:val="0"/>
          <w:numId w:val="9"/>
        </w:numPr>
        <w:spacing w:before="240" w:line="276" w:lineRule="auto"/>
        <w:ind w:left="0" w:hanging="567"/>
        <w:contextualSpacing w:val="0"/>
      </w:pPr>
      <w:r>
        <w:t>A</w:t>
      </w:r>
      <w:r w:rsidR="00BF00E0">
        <w:t xml:space="preserve"> </w:t>
      </w:r>
      <w:r>
        <w:t>p</w:t>
      </w:r>
      <w:r w:rsidR="00BF00E0">
        <w:t xml:space="preserve">anel’s role is to determine whether </w:t>
      </w:r>
      <w:r w:rsidR="0039562E">
        <w:t xml:space="preserve">international </w:t>
      </w:r>
      <w:r w:rsidR="00BF00E0">
        <w:t>standards</w:t>
      </w:r>
      <w:r w:rsidR="00792F31">
        <w:t xml:space="preserve">, guidelines and recommendations </w:t>
      </w:r>
      <w:r w:rsidR="00BF00E0">
        <w:t>exist</w:t>
      </w:r>
      <w:r w:rsidR="00B96BF1">
        <w:t xml:space="preserve"> </w:t>
      </w:r>
      <w:r w:rsidR="0039562E">
        <w:t xml:space="preserve">based on the definition </w:t>
      </w:r>
      <w:r w:rsidR="0054289D">
        <w:t>in paragraph 3 of Annex A</w:t>
      </w:r>
      <w:r w:rsidR="00B96BF1">
        <w:t>.</w:t>
      </w:r>
      <w:r w:rsidR="007B5161">
        <w:t xml:space="preserve"> </w:t>
      </w:r>
      <w:r>
        <w:t>A</w:t>
      </w:r>
      <w:r w:rsidR="007B5161">
        <w:t xml:space="preserve"> </w:t>
      </w:r>
      <w:r>
        <w:t>p</w:t>
      </w:r>
      <w:r w:rsidR="007B5161">
        <w:t>anel need not determine the level of the standards, the consensus behind them or their adoption process.</w:t>
      </w:r>
      <w:r w:rsidR="00F63FE5">
        <w:rPr>
          <w:rStyle w:val="FootnoteReference"/>
        </w:rPr>
        <w:footnoteReference w:id="2"/>
      </w:r>
      <w:r w:rsidR="006221D3">
        <w:t xml:space="preserve"> </w:t>
      </w:r>
      <w:r>
        <w:t>If relevant standards exist, a panel must then consider whether the SPS measures at issue are ‘based on’ those standards</w:t>
      </w:r>
      <w:r w:rsidR="00E442EF">
        <w:t xml:space="preserve">. </w:t>
      </w:r>
      <w:r w:rsidR="00023C44">
        <w:t xml:space="preserve">That will be the case where the measure has </w:t>
      </w:r>
      <w:r w:rsidR="000806F3">
        <w:t>some foundation in or is support</w:t>
      </w:r>
      <w:r w:rsidR="005E0A3F">
        <w:t>ed</w:t>
      </w:r>
      <w:r w:rsidR="000806F3">
        <w:t xml:space="preserve"> by those standards,</w:t>
      </w:r>
      <w:r w:rsidR="00B773DD">
        <w:rPr>
          <w:rStyle w:val="FootnoteReference"/>
        </w:rPr>
        <w:footnoteReference w:id="3"/>
      </w:r>
      <w:r w:rsidR="000806F3">
        <w:t xml:space="preserve"> and does not contradict those standards.</w:t>
      </w:r>
      <w:r w:rsidR="003D3199">
        <w:rPr>
          <w:rStyle w:val="FootnoteReference"/>
        </w:rPr>
        <w:footnoteReference w:id="4"/>
      </w:r>
      <w:r w:rsidR="00BB7610">
        <w:t xml:space="preserve"> </w:t>
      </w:r>
    </w:p>
    <w:p w14:paraId="05F4A87D" w14:textId="7D326DDA" w:rsidR="00436412" w:rsidRDefault="00FD3A82" w:rsidP="00436412">
      <w:pPr>
        <w:pStyle w:val="ListParagraph"/>
        <w:numPr>
          <w:ilvl w:val="0"/>
          <w:numId w:val="9"/>
        </w:numPr>
        <w:spacing w:before="240" w:line="276" w:lineRule="auto"/>
        <w:ind w:left="0" w:hanging="567"/>
        <w:contextualSpacing w:val="0"/>
      </w:pPr>
      <w:r>
        <w:t xml:space="preserve">However, Australia recalls </w:t>
      </w:r>
      <w:r w:rsidR="006939EA">
        <w:t>the exception to Article 3.1</w:t>
      </w:r>
      <w:r w:rsidR="00BB7610">
        <w:t xml:space="preserve"> </w:t>
      </w:r>
      <w:r w:rsidR="006939EA">
        <w:t>in Article 3.3 which allows a</w:t>
      </w:r>
      <w:r w:rsidR="00BB7610">
        <w:t xml:space="preserve"> WTO Member </w:t>
      </w:r>
      <w:r w:rsidR="006939EA">
        <w:t>to</w:t>
      </w:r>
      <w:r w:rsidR="00BB7610">
        <w:t xml:space="preserve"> adopt</w:t>
      </w:r>
      <w:r w:rsidR="00935724">
        <w:t xml:space="preserve"> </w:t>
      </w:r>
      <w:r w:rsidR="001C65A6">
        <w:t>a level of protection different from that implicit in the international standard, and</w:t>
      </w:r>
      <w:r w:rsidR="002B5956">
        <w:t>, subject to certain condit</w:t>
      </w:r>
      <w:r w:rsidR="008C61B5">
        <w:t>i</w:t>
      </w:r>
      <w:r w:rsidR="002B5956">
        <w:t>ons,</w:t>
      </w:r>
      <w:r w:rsidR="001C65A6">
        <w:t xml:space="preserve"> to implement or embody that level of protection in a measure not 'based on' the international standard. </w:t>
      </w:r>
    </w:p>
    <w:p w14:paraId="682A86D3" w14:textId="77777777" w:rsidR="00335CFD" w:rsidRPr="00D815F5" w:rsidRDefault="00335CFD" w:rsidP="00436412">
      <w:pPr>
        <w:pStyle w:val="ListParagraph"/>
        <w:spacing w:before="240" w:line="276" w:lineRule="auto"/>
        <w:ind w:left="0"/>
        <w:contextualSpacing w:val="0"/>
      </w:pPr>
    </w:p>
    <w:p w14:paraId="2F972B1B" w14:textId="77777777" w:rsidR="008732D0" w:rsidRPr="008732D0" w:rsidRDefault="00816B3E" w:rsidP="008732D0">
      <w:pPr>
        <w:pStyle w:val="ListParagraph"/>
        <w:spacing w:before="240" w:line="276" w:lineRule="auto"/>
        <w:ind w:left="0"/>
        <w:rPr>
          <w:b/>
          <w:bCs/>
          <w:lang w:val="en-GB"/>
        </w:rPr>
      </w:pPr>
      <w:r w:rsidRPr="00D815F5">
        <w:rPr>
          <w:b/>
          <w:bCs/>
          <w:u w:val="single"/>
        </w:rPr>
        <w:lastRenderedPageBreak/>
        <w:t>Q1</w:t>
      </w:r>
      <w:r w:rsidR="00335CFD">
        <w:rPr>
          <w:b/>
          <w:bCs/>
          <w:u w:val="single"/>
        </w:rPr>
        <w:t>0</w:t>
      </w:r>
      <w:r w:rsidRPr="00D815F5">
        <w:rPr>
          <w:b/>
          <w:bCs/>
          <w:u w:val="single"/>
        </w:rPr>
        <w:t xml:space="preserve"> [Advance question </w:t>
      </w:r>
      <w:r w:rsidR="00335CFD">
        <w:rPr>
          <w:b/>
          <w:bCs/>
          <w:u w:val="single"/>
        </w:rPr>
        <w:t>10</w:t>
      </w:r>
      <w:r w:rsidRPr="00D815F5">
        <w:rPr>
          <w:b/>
          <w:bCs/>
          <w:u w:val="single"/>
        </w:rPr>
        <w:t>]:</w:t>
      </w:r>
      <w:r w:rsidRPr="00D815F5">
        <w:rPr>
          <w:b/>
          <w:bCs/>
        </w:rPr>
        <w:t xml:space="preserve"> </w:t>
      </w:r>
      <w:r w:rsidR="008732D0" w:rsidRPr="008732D0">
        <w:rPr>
          <w:b/>
          <w:bCs/>
          <w:lang w:val="en-GB"/>
        </w:rPr>
        <w:t>In its third-party statement at the third-party session of the Panel's first meeting with the parties, Australia states the following:</w:t>
      </w:r>
    </w:p>
    <w:p w14:paraId="555D6D45" w14:textId="77777777" w:rsidR="008732D0" w:rsidRPr="008732D0" w:rsidRDefault="008732D0" w:rsidP="00CD1D35">
      <w:pPr>
        <w:pStyle w:val="ListParagraph"/>
        <w:spacing w:before="240" w:line="276" w:lineRule="auto"/>
        <w:ind w:left="1492"/>
        <w:rPr>
          <w:b/>
          <w:bCs/>
          <w:lang w:val="en-GB"/>
        </w:rPr>
      </w:pPr>
      <w:r w:rsidRPr="008732D0">
        <w:rPr>
          <w:b/>
          <w:bCs/>
          <w:lang w:val="en-GB"/>
        </w:rPr>
        <w:t xml:space="preserve">[T]he relevant assessment of risk, against which the sufficiency of relevant scientific evidence should be analysed, is defined in Annex A of the SPS Agreement, as "the evaluation of the potential for adverse effects on human... health arising from the presence of... contaminants [or] toxins... in food". Accordingly in Australia's view, Panama will meet the first requirement of Article 5.7 if it can show that the relevant scientific evidence is insufficient to allow for an adequate assessment of the potential for adverse effects on human health </w:t>
      </w:r>
      <w:r w:rsidRPr="008732D0">
        <w:rPr>
          <w:b/>
          <w:bCs/>
          <w:i/>
          <w:iCs/>
          <w:lang w:val="en-GB"/>
        </w:rPr>
        <w:t xml:space="preserve">from the presence of a particular </w:t>
      </w:r>
      <w:proofErr w:type="spellStart"/>
      <w:r w:rsidRPr="008732D0">
        <w:rPr>
          <w:b/>
          <w:bCs/>
          <w:i/>
          <w:iCs/>
          <w:lang w:val="en-GB"/>
        </w:rPr>
        <w:t>Oxamil</w:t>
      </w:r>
      <w:proofErr w:type="spellEnd"/>
      <w:r w:rsidRPr="008732D0">
        <w:rPr>
          <w:b/>
          <w:bCs/>
          <w:i/>
          <w:iCs/>
          <w:lang w:val="en-GB"/>
        </w:rPr>
        <w:t xml:space="preserve"> residue level in food</w:t>
      </w:r>
      <w:r w:rsidRPr="008732D0">
        <w:rPr>
          <w:b/>
          <w:bCs/>
          <w:lang w:val="en-GB"/>
        </w:rPr>
        <w:t xml:space="preserve">. This is distinct from whether strawberries from Costa Rica would comply with the maximum residue limit Panama has set to address the risks associated with </w:t>
      </w:r>
      <w:proofErr w:type="spellStart"/>
      <w:r w:rsidRPr="008732D0">
        <w:rPr>
          <w:b/>
          <w:bCs/>
          <w:lang w:val="en-GB"/>
        </w:rPr>
        <w:t>Oxamil</w:t>
      </w:r>
      <w:proofErr w:type="spellEnd"/>
      <w:r w:rsidRPr="008732D0">
        <w:rPr>
          <w:b/>
          <w:bCs/>
          <w:lang w:val="en-GB"/>
        </w:rPr>
        <w:t xml:space="preserve"> for human health.</w:t>
      </w:r>
      <w:r w:rsidRPr="008732D0">
        <w:rPr>
          <w:b/>
          <w:bCs/>
          <w:vertAlign w:val="superscript"/>
          <w:lang w:val="en-GB"/>
        </w:rPr>
        <w:footnoteReference w:id="5"/>
      </w:r>
    </w:p>
    <w:p w14:paraId="05DD31B1" w14:textId="599B69D8" w:rsidR="009F3D25" w:rsidRPr="000014AB" w:rsidRDefault="008732D0" w:rsidP="008732D0">
      <w:pPr>
        <w:pStyle w:val="ListParagraph"/>
        <w:spacing w:before="240" w:line="276" w:lineRule="auto"/>
        <w:ind w:left="0"/>
        <w:contextualSpacing w:val="0"/>
        <w:rPr>
          <w:b/>
          <w:bCs/>
          <w:lang w:val="en-GB"/>
        </w:rPr>
      </w:pPr>
      <w:r w:rsidRPr="008732D0">
        <w:rPr>
          <w:b/>
          <w:bCs/>
          <w:lang w:val="en-GB"/>
        </w:rPr>
        <w:t>Under what circumstances would the detection of a pesticide in quantities greater than the relevant MRL cause relevant scientific evidence that was deemed sufficient prior to detection to be deemed "insufficient", within the meaning of Article 5.7 of the SPS Agreement, after the detection? Does the level of non-compliance detected have a bearing thereon?</w:t>
      </w:r>
    </w:p>
    <w:p w14:paraId="406A2516" w14:textId="48006539" w:rsidR="00264F95" w:rsidRDefault="005A428B" w:rsidP="752EBF3C">
      <w:pPr>
        <w:pStyle w:val="ListParagraph"/>
        <w:numPr>
          <w:ilvl w:val="0"/>
          <w:numId w:val="9"/>
        </w:numPr>
        <w:spacing w:before="240" w:line="276" w:lineRule="auto"/>
        <w:ind w:left="0" w:hanging="567"/>
        <w:contextualSpacing w:val="0"/>
      </w:pPr>
      <w:r>
        <w:t xml:space="preserve">It is difficult to foresee circumstances in which the detection of a higher level of pesticide residue than that permitted under </w:t>
      </w:r>
      <w:r w:rsidR="00B656A2">
        <w:t>an established</w:t>
      </w:r>
      <w:r>
        <w:t xml:space="preserve"> MRL would cause </w:t>
      </w:r>
      <w:r w:rsidR="00B656A2">
        <w:t xml:space="preserve">the </w:t>
      </w:r>
      <w:r>
        <w:t>relevant evidence</w:t>
      </w:r>
      <w:r w:rsidR="00B656A2">
        <w:t xml:space="preserve"> (that was </w:t>
      </w:r>
      <w:r>
        <w:t xml:space="preserve">deemed sufficient to </w:t>
      </w:r>
      <w:r w:rsidR="005C6EA1">
        <w:t>establish the MRL</w:t>
      </w:r>
      <w:r w:rsidR="00B656A2">
        <w:t>)</w:t>
      </w:r>
      <w:r w:rsidR="005C6EA1">
        <w:t xml:space="preserve"> to be deemed insufficient within the meaning of Article 5.7 of the SPS Agreement.</w:t>
      </w:r>
      <w:r w:rsidR="00E97200">
        <w:t xml:space="preserve"> </w:t>
      </w:r>
    </w:p>
    <w:p w14:paraId="15C2A34F" w14:textId="4D2B1D7D" w:rsidR="00591EE7" w:rsidRDefault="008274FC" w:rsidP="00F10817">
      <w:pPr>
        <w:pStyle w:val="ListParagraph"/>
        <w:numPr>
          <w:ilvl w:val="0"/>
          <w:numId w:val="9"/>
        </w:numPr>
        <w:spacing w:before="240" w:line="276" w:lineRule="auto"/>
        <w:ind w:left="0" w:hanging="567"/>
        <w:contextualSpacing w:val="0"/>
      </w:pPr>
      <w:r>
        <w:t xml:space="preserve">The level of non-compliance </w:t>
      </w:r>
      <w:r w:rsidR="00273E77">
        <w:t>detected</w:t>
      </w:r>
      <w:r w:rsidR="00591EE7">
        <w:t xml:space="preserve">, on its own, </w:t>
      </w:r>
      <w:r w:rsidR="00BF268C">
        <w:t xml:space="preserve">does not have a bearing on </w:t>
      </w:r>
      <w:r w:rsidR="00A60FEA">
        <w:t xml:space="preserve">whether the </w:t>
      </w:r>
      <w:r w:rsidR="00591EE7">
        <w:t>scientific evidence that was d</w:t>
      </w:r>
      <w:r w:rsidR="00FE7E2A">
        <w:t xml:space="preserve">eemed sufficient prior to detection </w:t>
      </w:r>
      <w:r w:rsidR="007C54F3">
        <w:t>can</w:t>
      </w:r>
      <w:r w:rsidR="008B0DF0">
        <w:t xml:space="preserve"> </w:t>
      </w:r>
      <w:r w:rsidR="007C54F3">
        <w:t xml:space="preserve">be </w:t>
      </w:r>
      <w:r w:rsidR="008B0DF0">
        <w:t>subsequently</w:t>
      </w:r>
      <w:r w:rsidR="00FE7E2A">
        <w:t xml:space="preserve"> deemed insufficient. </w:t>
      </w:r>
      <w:r w:rsidR="008B0DF0">
        <w:t xml:space="preserve">Absent some link to </w:t>
      </w:r>
      <w:r w:rsidR="008B7139">
        <w:t xml:space="preserve">the effect on human health of a particular residue level, </w:t>
      </w:r>
      <w:r w:rsidR="005B730E">
        <w:t xml:space="preserve">the detection of any residue level </w:t>
      </w:r>
      <w:r w:rsidR="00591EE7">
        <w:t>(whether higher or lower than the established MRL)</w:t>
      </w:r>
      <w:r w:rsidR="00B220A8">
        <w:t xml:space="preserve"> </w:t>
      </w:r>
      <w:r w:rsidR="00591EE7">
        <w:t xml:space="preserve">would not be </w:t>
      </w:r>
      <w:r w:rsidR="00B220A8">
        <w:t>relevant</w:t>
      </w:r>
      <w:r w:rsidR="00591EE7">
        <w:t xml:space="preserve"> to the risk assessment required under Article 5.7</w:t>
      </w:r>
      <w:r w:rsidR="00F50B03">
        <w:t xml:space="preserve"> of the SPS Agreement.</w:t>
      </w:r>
    </w:p>
    <w:p w14:paraId="5BA1AE85" w14:textId="440E97F0" w:rsidR="000014AB" w:rsidRDefault="00756B90" w:rsidP="000A5DB7">
      <w:pPr>
        <w:pStyle w:val="ListParagraph"/>
        <w:numPr>
          <w:ilvl w:val="0"/>
          <w:numId w:val="9"/>
        </w:numPr>
        <w:spacing w:before="240" w:line="276" w:lineRule="auto"/>
        <w:ind w:left="0" w:hanging="567"/>
        <w:contextualSpacing w:val="0"/>
      </w:pPr>
      <w:r>
        <w:t xml:space="preserve">In our view, Panama’s submission incorrectly </w:t>
      </w:r>
      <w:r w:rsidR="001D50E8">
        <w:t xml:space="preserve">identified the relevant risk assessment within the meaning of Article 5.7. It </w:t>
      </w:r>
      <w:r w:rsidR="002E2188">
        <w:t xml:space="preserve">focused on the risk of </w:t>
      </w:r>
      <w:r w:rsidR="002E2188" w:rsidRPr="0072068B">
        <w:rPr>
          <w:i/>
          <w:iCs/>
        </w:rPr>
        <w:t xml:space="preserve">Costa Rican </w:t>
      </w:r>
      <w:r w:rsidR="002E2188">
        <w:t>strawberries specificall</w:t>
      </w:r>
      <w:r w:rsidR="001C6BB3">
        <w:t>y and argued</w:t>
      </w:r>
      <w:r w:rsidR="001A64A6">
        <w:t xml:space="preserve"> that residue levels above the MRL call</w:t>
      </w:r>
      <w:r w:rsidR="001C6BB3">
        <w:t>ed</w:t>
      </w:r>
      <w:r w:rsidR="001A64A6">
        <w:t xml:space="preserve"> into question </w:t>
      </w:r>
      <w:r w:rsidR="001C6BB3">
        <w:t xml:space="preserve">Panama’s assessment of </w:t>
      </w:r>
      <w:r w:rsidR="001A64A6">
        <w:t xml:space="preserve">the risk posed by Costa Rica in respect of </w:t>
      </w:r>
      <w:proofErr w:type="spellStart"/>
      <w:r w:rsidR="001A64A6">
        <w:t>Oxamyl</w:t>
      </w:r>
      <w:proofErr w:type="spellEnd"/>
      <w:r w:rsidR="001A64A6">
        <w:t xml:space="preserve"> residue levels</w:t>
      </w:r>
      <w:r w:rsidR="001C6BB3">
        <w:t xml:space="preserve"> </w:t>
      </w:r>
      <w:r w:rsidR="007C54F3">
        <w:t>i</w:t>
      </w:r>
      <w:r w:rsidR="001C6BB3">
        <w:t>n strawberries</w:t>
      </w:r>
      <w:r w:rsidR="001A64A6">
        <w:t>.</w:t>
      </w:r>
      <w:r w:rsidR="001C6BB3">
        <w:t xml:space="preserve"> Australia’s view is that </w:t>
      </w:r>
      <w:r w:rsidR="0072068B">
        <w:t xml:space="preserve">the correct assessment in this context </w:t>
      </w:r>
      <w:r w:rsidR="009C2C32">
        <w:t>is</w:t>
      </w:r>
      <w:r w:rsidR="0072068B">
        <w:t xml:space="preserve"> an assessment of the risk posed to </w:t>
      </w:r>
      <w:r w:rsidR="002E2188">
        <w:t>human health by the contaminant or toxin (</w:t>
      </w:r>
      <w:proofErr w:type="gramStart"/>
      <w:r w:rsidR="002E2188">
        <w:t>i.e.</w:t>
      </w:r>
      <w:proofErr w:type="gramEnd"/>
      <w:r w:rsidR="002E2188">
        <w:t xml:space="preserve"> </w:t>
      </w:r>
      <w:proofErr w:type="spellStart"/>
      <w:r w:rsidR="002E2188">
        <w:t>Oxamyl</w:t>
      </w:r>
      <w:proofErr w:type="spellEnd"/>
      <w:r w:rsidR="002E2188">
        <w:t>)</w:t>
      </w:r>
      <w:r w:rsidR="005864F8">
        <w:t xml:space="preserve"> in strawberries (regardless of the origin of the strawberries).</w:t>
      </w:r>
      <w:r w:rsidR="00EE15EF">
        <w:t xml:space="preserve"> </w:t>
      </w:r>
      <w:r w:rsidR="00B656A2">
        <w:t xml:space="preserve">In our view, </w:t>
      </w:r>
      <w:r w:rsidR="00B656A2">
        <w:lastRenderedPageBreak/>
        <w:t>Panama’s arguments go more to compliance with a measure established under Article 2.2 than to the relevant test for adopting a measure under Article 5.7.</w:t>
      </w:r>
    </w:p>
    <w:p w14:paraId="3D5C8CFD" w14:textId="47BBF35A" w:rsidR="60F7AF1A" w:rsidRDefault="60F7AF1A" w:rsidP="60F7AF1A">
      <w:pPr>
        <w:pStyle w:val="ListParagraph"/>
        <w:spacing w:before="240" w:line="276" w:lineRule="auto"/>
        <w:ind w:left="0"/>
        <w:rPr>
          <w:b/>
          <w:bCs/>
          <w:lang w:val="en-GB"/>
        </w:rPr>
      </w:pPr>
    </w:p>
    <w:p w14:paraId="66CFFE1A" w14:textId="77777777" w:rsidR="00E32DE4" w:rsidRPr="00E32DE4" w:rsidRDefault="009823B8" w:rsidP="00E32DE4">
      <w:pPr>
        <w:tabs>
          <w:tab w:val="left" w:pos="3090"/>
        </w:tabs>
        <w:rPr>
          <w:b/>
          <w:bCs/>
          <w:sz w:val="22"/>
          <w:szCs w:val="22"/>
          <w:u w:val="single"/>
        </w:rPr>
      </w:pPr>
      <w:r>
        <w:rPr>
          <w:b/>
          <w:u w:val="single"/>
          <w:lang w:val="en-GB"/>
        </w:rPr>
        <w:t xml:space="preserve">Q9 To all third parties: </w:t>
      </w:r>
      <w:r w:rsidR="00E32DE4" w:rsidRPr="00E32DE4">
        <w:rPr>
          <w:b/>
          <w:bCs/>
          <w:u w:val="single"/>
        </w:rPr>
        <w:t xml:space="preserve">Costa Rica asserts that "no importing country [of fresh Costa Rican pineapple] has ever expressed any concerns regarding the pink hibiscus mealybug".  </w:t>
      </w:r>
    </w:p>
    <w:p w14:paraId="6191A7BE" w14:textId="54541D2F" w:rsidR="009823B8" w:rsidRDefault="00E32DE4" w:rsidP="00E32DE4">
      <w:pPr>
        <w:pStyle w:val="ListParagraph"/>
        <w:spacing w:before="240" w:line="276" w:lineRule="auto"/>
        <w:ind w:left="0"/>
        <w:contextualSpacing w:val="0"/>
        <w:rPr>
          <w:b/>
          <w:bCs/>
          <w:u w:val="single"/>
        </w:rPr>
      </w:pPr>
      <w:r w:rsidRPr="00E32DE4">
        <w:rPr>
          <w:b/>
          <w:bCs/>
          <w:u w:val="single"/>
        </w:rPr>
        <w:t>Could the third parties importing fresh pineapple from Costa Rica corroborate this assertion and identify the phytosanitary measures taken to allow fresh Costa Rican pineapple access to your markets?</w:t>
      </w:r>
    </w:p>
    <w:p w14:paraId="19A76FB1" w14:textId="439109ED" w:rsidR="0022721E" w:rsidRPr="005202AA" w:rsidRDefault="00E32DE4" w:rsidP="00B656A2">
      <w:pPr>
        <w:pStyle w:val="ListParagraph"/>
        <w:numPr>
          <w:ilvl w:val="0"/>
          <w:numId w:val="9"/>
        </w:numPr>
        <w:spacing w:before="240" w:line="276" w:lineRule="auto"/>
        <w:ind w:left="0" w:hanging="567"/>
        <w:contextualSpacing w:val="0"/>
      </w:pPr>
      <w:r>
        <w:t>Australia does not import fresh pineapple from Costa Rica.</w:t>
      </w:r>
    </w:p>
    <w:sectPr w:rsidR="0022721E" w:rsidRPr="005202AA" w:rsidSect="002570F3">
      <w:headerReference w:type="default" r:id="rId7"/>
      <w:footerReference w:type="default" r:id="rId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BAF7" w14:textId="77777777" w:rsidR="00FA2BEF" w:rsidRDefault="00FA2BEF" w:rsidP="00692A7E">
      <w:r>
        <w:separator/>
      </w:r>
    </w:p>
  </w:endnote>
  <w:endnote w:type="continuationSeparator" w:id="0">
    <w:p w14:paraId="63D0BB29" w14:textId="77777777" w:rsidR="00FA2BEF" w:rsidRDefault="00FA2BEF" w:rsidP="00692A7E">
      <w:r>
        <w:continuationSeparator/>
      </w:r>
    </w:p>
  </w:endnote>
  <w:endnote w:type="continuationNotice" w:id="1">
    <w:p w14:paraId="446C8C29" w14:textId="77777777" w:rsidR="00FA2BEF" w:rsidRDefault="00FA2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4331"/>
      <w:docPartObj>
        <w:docPartGallery w:val="Page Numbers (Bottom of Page)"/>
        <w:docPartUnique/>
      </w:docPartObj>
    </w:sdtPr>
    <w:sdtEndPr>
      <w:rPr>
        <w:noProof/>
      </w:rPr>
    </w:sdtEndPr>
    <w:sdtContent>
      <w:p w14:paraId="16EEF87B" w14:textId="77777777" w:rsidR="00A137B4" w:rsidRDefault="00A137B4" w:rsidP="00451912">
        <w:pPr>
          <w:pStyle w:val="Footer"/>
          <w:jc w:val="center"/>
        </w:pPr>
        <w:r>
          <w:fldChar w:fldCharType="begin"/>
        </w:r>
        <w:r>
          <w:instrText xml:space="preserve"> PAGE   \* MERGEFORMAT </w:instrText>
        </w:r>
        <w:r>
          <w:fldChar w:fldCharType="separate"/>
        </w:r>
        <w:r w:rsidR="00324CE3">
          <w:rPr>
            <w:noProof/>
          </w:rPr>
          <w:t>2</w:t>
        </w:r>
        <w:r>
          <w:rPr>
            <w:noProof/>
          </w:rPr>
          <w:fldChar w:fldCharType="end"/>
        </w:r>
      </w:p>
    </w:sdtContent>
  </w:sdt>
  <w:p w14:paraId="68BF488B" w14:textId="77777777" w:rsidR="00A137B4" w:rsidRDefault="00A1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AC16" w14:textId="77777777" w:rsidR="00FA2BEF" w:rsidRDefault="00FA2BEF" w:rsidP="00692A7E">
      <w:r>
        <w:separator/>
      </w:r>
    </w:p>
  </w:footnote>
  <w:footnote w:type="continuationSeparator" w:id="0">
    <w:p w14:paraId="761DA096" w14:textId="77777777" w:rsidR="00FA2BEF" w:rsidRDefault="00FA2BEF" w:rsidP="00692A7E">
      <w:r>
        <w:continuationSeparator/>
      </w:r>
    </w:p>
  </w:footnote>
  <w:footnote w:type="continuationNotice" w:id="1">
    <w:p w14:paraId="37897069" w14:textId="77777777" w:rsidR="00FA2BEF" w:rsidRDefault="00FA2BEF"/>
  </w:footnote>
  <w:footnote w:id="2">
    <w:p w14:paraId="4D7CDEB6" w14:textId="4BF09963" w:rsidR="00F63FE5" w:rsidRDefault="00F63FE5">
      <w:pPr>
        <w:pStyle w:val="FootnoteText"/>
      </w:pPr>
      <w:r>
        <w:rPr>
          <w:rStyle w:val="FootnoteReference"/>
        </w:rPr>
        <w:footnoteRef/>
      </w:r>
      <w:r>
        <w:t xml:space="preserve"> </w:t>
      </w:r>
      <w:r w:rsidR="007B5161">
        <w:t>Panel Reports, EC – Hormones (Canada), para. 8.72; and EC – Hormones (US), para. 8.69.</w:t>
      </w:r>
    </w:p>
  </w:footnote>
  <w:footnote w:id="3">
    <w:p w14:paraId="0D3F7451" w14:textId="3F171163" w:rsidR="00B773DD" w:rsidRDefault="00B773DD">
      <w:pPr>
        <w:pStyle w:val="FootnoteText"/>
      </w:pPr>
      <w:r>
        <w:rPr>
          <w:rStyle w:val="FootnoteReference"/>
        </w:rPr>
        <w:footnoteRef/>
      </w:r>
      <w:r>
        <w:t xml:space="preserve"> Panel Report, US – Animals, para. 7.233.</w:t>
      </w:r>
    </w:p>
  </w:footnote>
  <w:footnote w:id="4">
    <w:p w14:paraId="74DF3475" w14:textId="7033AD69" w:rsidR="003D3199" w:rsidRDefault="003D3199">
      <w:pPr>
        <w:pStyle w:val="FootnoteText"/>
      </w:pPr>
      <w:r>
        <w:rPr>
          <w:rStyle w:val="FootnoteReference"/>
        </w:rPr>
        <w:footnoteRef/>
      </w:r>
      <w:r>
        <w:t xml:space="preserve"> Panel Report, India – Agricultural Products, para. 7.269.</w:t>
      </w:r>
    </w:p>
  </w:footnote>
  <w:footnote w:id="5">
    <w:p w14:paraId="37393353" w14:textId="77777777" w:rsidR="008732D0" w:rsidRPr="0009122E" w:rsidRDefault="008732D0" w:rsidP="008732D0">
      <w:pPr>
        <w:pStyle w:val="FootnoteText"/>
      </w:pPr>
      <w:r w:rsidRPr="0009122E">
        <w:rPr>
          <w:rStyle w:val="FootnoteReference"/>
        </w:rPr>
        <w:footnoteRef/>
      </w:r>
      <w:r w:rsidRPr="0009122E">
        <w:t xml:space="preserve"> Australia's third-party statement, para. 11. (italics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E4D3" w14:textId="52C198A1" w:rsidR="00451912" w:rsidRPr="009B6DBE" w:rsidRDefault="006652D5" w:rsidP="006652D5">
    <w:pPr>
      <w:pStyle w:val="Header"/>
      <w:rPr>
        <w:i/>
        <w:sz w:val="20"/>
        <w:szCs w:val="20"/>
      </w:rPr>
    </w:pPr>
    <w:r>
      <w:rPr>
        <w:i/>
        <w:sz w:val="20"/>
        <w:szCs w:val="20"/>
      </w:rPr>
      <w:t xml:space="preserve">Panama – </w:t>
    </w:r>
    <w:r w:rsidR="008641B2">
      <w:rPr>
        <w:i/>
        <w:sz w:val="20"/>
        <w:szCs w:val="20"/>
      </w:rPr>
      <w:t>Import Measures (Costa Rica) (DS599)</w:t>
    </w:r>
    <w:r w:rsidR="008641B2">
      <w:rPr>
        <w:i/>
        <w:sz w:val="20"/>
        <w:szCs w:val="20"/>
      </w:rPr>
      <w:tab/>
    </w:r>
    <w:r w:rsidR="00451912">
      <w:rPr>
        <w:i/>
        <w:sz w:val="20"/>
        <w:szCs w:val="20"/>
      </w:rPr>
      <w:tab/>
    </w:r>
    <w:r w:rsidR="008742C4">
      <w:rPr>
        <w:i/>
        <w:sz w:val="20"/>
        <w:szCs w:val="20"/>
      </w:rPr>
      <w:t xml:space="preserve">    </w:t>
    </w:r>
    <w:r w:rsidR="00451912">
      <w:rPr>
        <w:i/>
        <w:sz w:val="20"/>
        <w:szCs w:val="20"/>
      </w:rPr>
      <w:t xml:space="preserve"> </w:t>
    </w:r>
    <w:r w:rsidR="00451912" w:rsidRPr="009B6DBE">
      <w:rPr>
        <w:i/>
        <w:sz w:val="20"/>
        <w:szCs w:val="20"/>
      </w:rPr>
      <w:t>Australia</w:t>
    </w:r>
    <w:r w:rsidR="002A4A17">
      <w:rPr>
        <w:i/>
        <w:sz w:val="20"/>
        <w:szCs w:val="20"/>
      </w:rPr>
      <w:t>'</w:t>
    </w:r>
    <w:r w:rsidR="00451912" w:rsidRPr="009B6DBE">
      <w:rPr>
        <w:i/>
        <w:sz w:val="20"/>
        <w:szCs w:val="20"/>
      </w:rPr>
      <w:t>s Responses to Panel Questions</w:t>
    </w:r>
  </w:p>
  <w:p w14:paraId="3647DD9C" w14:textId="406E76C4" w:rsidR="00451912" w:rsidRDefault="008641B2" w:rsidP="008641B2">
    <w:pPr>
      <w:pStyle w:val="Header"/>
      <w:jc w:val="right"/>
      <w:rPr>
        <w:i/>
        <w:sz w:val="20"/>
        <w:szCs w:val="20"/>
      </w:rPr>
    </w:pPr>
    <w:r>
      <w:rPr>
        <w:i/>
        <w:sz w:val="20"/>
        <w:szCs w:val="20"/>
      </w:rPr>
      <w:tab/>
      <w:t xml:space="preserve">      </w:t>
    </w:r>
    <w:r w:rsidR="00EF0A97">
      <w:rPr>
        <w:i/>
        <w:sz w:val="20"/>
        <w:szCs w:val="20"/>
      </w:rPr>
      <w:t xml:space="preserve">           </w:t>
    </w:r>
    <w:r w:rsidR="008742C4">
      <w:rPr>
        <w:i/>
        <w:sz w:val="20"/>
        <w:szCs w:val="20"/>
      </w:rPr>
      <w:t xml:space="preserve">                                   </w:t>
    </w:r>
    <w:r w:rsidR="00451912">
      <w:rPr>
        <w:i/>
        <w:sz w:val="20"/>
        <w:szCs w:val="20"/>
      </w:rPr>
      <w:t xml:space="preserve"> </w:t>
    </w:r>
    <w:r w:rsidR="00EF0A97">
      <w:rPr>
        <w:i/>
        <w:sz w:val="20"/>
        <w:szCs w:val="20"/>
      </w:rPr>
      <w:t xml:space="preserve">                                                         </w:t>
    </w:r>
    <w:r w:rsidR="006652D5">
      <w:rPr>
        <w:i/>
        <w:sz w:val="20"/>
        <w:szCs w:val="20"/>
      </w:rPr>
      <w:t xml:space="preserve"> 15 February 2023</w:t>
    </w:r>
  </w:p>
  <w:p w14:paraId="1C2B0529" w14:textId="77777777" w:rsidR="00451912" w:rsidRPr="00451912" w:rsidRDefault="00451912" w:rsidP="00451912">
    <w:pPr>
      <w:pStyle w:val="Head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163A94"/>
    <w:lvl w:ilvl="0">
      <w:start w:val="1"/>
      <w:numFmt w:val="decimal"/>
      <w:lvlText w:val="%1."/>
      <w:lvlJc w:val="left"/>
      <w:pPr>
        <w:ind w:left="360" w:hanging="360"/>
      </w:pPr>
      <w:rPr>
        <w:b w:val="0"/>
      </w:rPr>
    </w:lvl>
  </w:abstractNum>
  <w:abstractNum w:abstractNumId="1"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47065"/>
    <w:multiLevelType w:val="hybridMultilevel"/>
    <w:tmpl w:val="6712764A"/>
    <w:lvl w:ilvl="0" w:tplc="15AE2050">
      <w:start w:val="17"/>
      <w:numFmt w:val="decimal"/>
      <w:lvlText w:val="%1."/>
      <w:lvlJc w:val="left"/>
      <w:pPr>
        <w:tabs>
          <w:tab w:val="num" w:pos="360"/>
        </w:tabs>
        <w:ind w:left="360" w:hanging="360"/>
      </w:pPr>
      <w:rPr>
        <w:rFonts w:hint="default"/>
        <w:b w:val="0"/>
        <w:i w:val="0"/>
        <w:strike w:val="0"/>
        <w:d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D3F67"/>
    <w:multiLevelType w:val="multilevel"/>
    <w:tmpl w:val="30D24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D73F3C"/>
    <w:multiLevelType w:val="hybridMultilevel"/>
    <w:tmpl w:val="23DC32D2"/>
    <w:lvl w:ilvl="0" w:tplc="F5CE7BA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0A5F1512"/>
    <w:multiLevelType w:val="multilevel"/>
    <w:tmpl w:val="7444E79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0AB57EF4"/>
    <w:multiLevelType w:val="hybridMultilevel"/>
    <w:tmpl w:val="95DEEC6A"/>
    <w:lvl w:ilvl="0" w:tplc="98101448">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B542FF"/>
    <w:multiLevelType w:val="hybridMultilevel"/>
    <w:tmpl w:val="87D47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971B09"/>
    <w:multiLevelType w:val="hybridMultilevel"/>
    <w:tmpl w:val="B86EE9BC"/>
    <w:lvl w:ilvl="0" w:tplc="3E9AF3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625DD"/>
    <w:multiLevelType w:val="multilevel"/>
    <w:tmpl w:val="815E93A4"/>
    <w:lvl w:ilvl="0">
      <w:start w:val="1"/>
      <w:numFmt w:val="decimal"/>
      <w:pStyle w:val="SummaryText"/>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22A96168"/>
    <w:multiLevelType w:val="hybridMultilevel"/>
    <w:tmpl w:val="5BECF5DC"/>
    <w:lvl w:ilvl="0" w:tplc="EC6EB6C6">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1" w15:restartNumberingAfterBreak="0">
    <w:nsid w:val="25030E9E"/>
    <w:multiLevelType w:val="hybridMultilevel"/>
    <w:tmpl w:val="B2B8D0EE"/>
    <w:lvl w:ilvl="0" w:tplc="A32AFD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097C1D"/>
    <w:multiLevelType w:val="hybridMultilevel"/>
    <w:tmpl w:val="F45ADE0E"/>
    <w:lvl w:ilvl="0" w:tplc="06AC4EF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AF1A6B"/>
    <w:multiLevelType w:val="hybridMultilevel"/>
    <w:tmpl w:val="8E642F4E"/>
    <w:lvl w:ilvl="0" w:tplc="324AB58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2FBA2CE2"/>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2C900D8"/>
    <w:multiLevelType w:val="multilevel"/>
    <w:tmpl w:val="C81C5874"/>
    <w:lvl w:ilvl="0">
      <w:start w:val="1"/>
      <w:numFmt w:val="upperRoman"/>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16" w15:restartNumberingAfterBreak="0">
    <w:nsid w:val="38F66D48"/>
    <w:multiLevelType w:val="multilevel"/>
    <w:tmpl w:val="69D694E2"/>
    <w:lvl w:ilvl="0">
      <w:start w:val="1"/>
      <w:numFmt w:val="upperRoman"/>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lowerRoman"/>
      <w:lvlText w:val="%9."/>
      <w:lvlJc w:val="right"/>
      <w:pPr>
        <w:tabs>
          <w:tab w:val="num" w:pos="2104"/>
        </w:tabs>
        <w:ind w:left="2104" w:hanging="664"/>
      </w:pPr>
    </w:lvl>
  </w:abstractNum>
  <w:abstractNum w:abstractNumId="17" w15:restartNumberingAfterBreak="0">
    <w:nsid w:val="3A9E0F1F"/>
    <w:multiLevelType w:val="hybridMultilevel"/>
    <w:tmpl w:val="B3F08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D06F97"/>
    <w:multiLevelType w:val="hybridMultilevel"/>
    <w:tmpl w:val="73A02766"/>
    <w:lvl w:ilvl="0" w:tplc="19EA8F7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D9162B"/>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340302A"/>
    <w:multiLevelType w:val="multilevel"/>
    <w:tmpl w:val="0F0A434E"/>
    <w:lvl w:ilvl="0">
      <w:start w:val="1"/>
      <w:numFmt w:val="decimal"/>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21" w15:restartNumberingAfterBreak="0">
    <w:nsid w:val="47B53AB1"/>
    <w:multiLevelType w:val="hybridMultilevel"/>
    <w:tmpl w:val="F8F42AC0"/>
    <w:lvl w:ilvl="0" w:tplc="0409000F">
      <w:start w:val="1"/>
      <w:numFmt w:val="decimal"/>
      <w:lvlText w:val="%1."/>
      <w:lvlJc w:val="left"/>
      <w:pPr>
        <w:ind w:left="3195" w:hanging="360"/>
      </w:pPr>
    </w:lvl>
    <w:lvl w:ilvl="1" w:tplc="04090019">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2" w15:restartNumberingAfterBreak="0">
    <w:nsid w:val="559752ED"/>
    <w:multiLevelType w:val="hybridMultilevel"/>
    <w:tmpl w:val="1EBA0D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BodyText"/>
      <w:isLgl/>
      <w:suff w:val="nothing"/>
      <w:lvlText w:val="%1.%2.%3.%4.%5.%6  "/>
      <w:lvlJc w:val="left"/>
      <w:pPr>
        <w:ind w:left="0" w:firstLine="0"/>
      </w:pPr>
      <w:rPr>
        <w:rFonts w:hint="default"/>
      </w:rPr>
    </w:lvl>
    <w:lvl w:ilvl="6">
      <w:start w:val="1"/>
      <w:numFmt w:val="decimal"/>
      <w:lvlRestart w:val="1"/>
      <w:pStyle w:val="BodyText2"/>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pStyle w:val="BodyText4"/>
      <w:lvlText w:val="%9."/>
      <w:lvlJc w:val="left"/>
      <w:pPr>
        <w:tabs>
          <w:tab w:val="num" w:pos="1701"/>
        </w:tabs>
        <w:ind w:left="1701" w:hanging="567"/>
      </w:pPr>
      <w:rPr>
        <w:rFonts w:hint="default"/>
      </w:rPr>
    </w:lvl>
  </w:abstractNum>
  <w:abstractNum w:abstractNumId="24" w15:restartNumberingAfterBreak="0">
    <w:nsid w:val="5DE02BCC"/>
    <w:multiLevelType w:val="hybridMultilevel"/>
    <w:tmpl w:val="D3E6B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3D526BA"/>
    <w:multiLevelType w:val="multilevel"/>
    <w:tmpl w:val="DDB4DFB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4BD6090"/>
    <w:multiLevelType w:val="hybridMultilevel"/>
    <w:tmpl w:val="4F7229C0"/>
    <w:lvl w:ilvl="0" w:tplc="F1CCDB0E">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7EAB3592"/>
    <w:multiLevelType w:val="hybridMultilevel"/>
    <w:tmpl w:val="0BBEE58C"/>
    <w:lvl w:ilvl="0" w:tplc="D4D0D464">
      <w:start w:val="1"/>
      <w:numFmt w:val="decimal"/>
      <w:lvlText w:val="%1."/>
      <w:lvlJc w:val="left"/>
      <w:pPr>
        <w:ind w:left="1418" w:hanging="851"/>
      </w:pPr>
      <w:rPr>
        <w:rFonts w:hint="default"/>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676954732">
    <w:abstractNumId w:val="23"/>
  </w:num>
  <w:num w:numId="2" w16cid:durableId="1516578926">
    <w:abstractNumId w:val="0"/>
  </w:num>
  <w:num w:numId="3" w16cid:durableId="1366364556">
    <w:abstractNumId w:val="22"/>
  </w:num>
  <w:num w:numId="4" w16cid:durableId="746153005">
    <w:abstractNumId w:val="2"/>
  </w:num>
  <w:num w:numId="5" w16cid:durableId="694043464">
    <w:abstractNumId w:val="3"/>
  </w:num>
  <w:num w:numId="6" w16cid:durableId="735934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134499">
    <w:abstractNumId w:val="9"/>
  </w:num>
  <w:num w:numId="8" w16cid:durableId="407076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101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65"/>
    <w:rsid w:val="000014AB"/>
    <w:rsid w:val="000023D6"/>
    <w:rsid w:val="00004C8F"/>
    <w:rsid w:val="00006D4A"/>
    <w:rsid w:val="000079B9"/>
    <w:rsid w:val="0001043F"/>
    <w:rsid w:val="00011194"/>
    <w:rsid w:val="00013CF7"/>
    <w:rsid w:val="00015A92"/>
    <w:rsid w:val="00023C44"/>
    <w:rsid w:val="00027DD3"/>
    <w:rsid w:val="00030C0B"/>
    <w:rsid w:val="00031B44"/>
    <w:rsid w:val="00032D2D"/>
    <w:rsid w:val="00034FD4"/>
    <w:rsid w:val="00035280"/>
    <w:rsid w:val="000366DD"/>
    <w:rsid w:val="00041743"/>
    <w:rsid w:val="00042A20"/>
    <w:rsid w:val="0004681C"/>
    <w:rsid w:val="00051E1D"/>
    <w:rsid w:val="00053038"/>
    <w:rsid w:val="000562A7"/>
    <w:rsid w:val="00057416"/>
    <w:rsid w:val="000576CC"/>
    <w:rsid w:val="00060857"/>
    <w:rsid w:val="00063C2B"/>
    <w:rsid w:val="000642F3"/>
    <w:rsid w:val="000666E4"/>
    <w:rsid w:val="0006735A"/>
    <w:rsid w:val="0006767D"/>
    <w:rsid w:val="00074E69"/>
    <w:rsid w:val="00075B4E"/>
    <w:rsid w:val="00080677"/>
    <w:rsid w:val="000806F3"/>
    <w:rsid w:val="000868D2"/>
    <w:rsid w:val="00090457"/>
    <w:rsid w:val="00091B2E"/>
    <w:rsid w:val="000A1266"/>
    <w:rsid w:val="000A195B"/>
    <w:rsid w:val="000B66E8"/>
    <w:rsid w:val="000B7765"/>
    <w:rsid w:val="000C7DB4"/>
    <w:rsid w:val="000C7EE6"/>
    <w:rsid w:val="000D1BE3"/>
    <w:rsid w:val="000D2A46"/>
    <w:rsid w:val="000D5D43"/>
    <w:rsid w:val="000D7728"/>
    <w:rsid w:val="000E0327"/>
    <w:rsid w:val="000E2F3A"/>
    <w:rsid w:val="000E4DFA"/>
    <w:rsid w:val="000E62AB"/>
    <w:rsid w:val="000E7AD0"/>
    <w:rsid w:val="000F06A1"/>
    <w:rsid w:val="000F176D"/>
    <w:rsid w:val="000F1983"/>
    <w:rsid w:val="000F1DE8"/>
    <w:rsid w:val="000F2E6C"/>
    <w:rsid w:val="000F5CB5"/>
    <w:rsid w:val="00101E37"/>
    <w:rsid w:val="00102F79"/>
    <w:rsid w:val="001035AC"/>
    <w:rsid w:val="001123B9"/>
    <w:rsid w:val="00116022"/>
    <w:rsid w:val="00120765"/>
    <w:rsid w:val="001267D1"/>
    <w:rsid w:val="00127568"/>
    <w:rsid w:val="00132187"/>
    <w:rsid w:val="00133732"/>
    <w:rsid w:val="001360E4"/>
    <w:rsid w:val="00137EA1"/>
    <w:rsid w:val="00143A3D"/>
    <w:rsid w:val="00146B13"/>
    <w:rsid w:val="001530CE"/>
    <w:rsid w:val="001565FE"/>
    <w:rsid w:val="0016060A"/>
    <w:rsid w:val="001645E7"/>
    <w:rsid w:val="0016537C"/>
    <w:rsid w:val="00173581"/>
    <w:rsid w:val="0017419F"/>
    <w:rsid w:val="00174AFB"/>
    <w:rsid w:val="0017636C"/>
    <w:rsid w:val="00176F24"/>
    <w:rsid w:val="00177950"/>
    <w:rsid w:val="001820EE"/>
    <w:rsid w:val="00186A12"/>
    <w:rsid w:val="0019384B"/>
    <w:rsid w:val="00194181"/>
    <w:rsid w:val="0019661A"/>
    <w:rsid w:val="001A1768"/>
    <w:rsid w:val="001A1A59"/>
    <w:rsid w:val="001A64A6"/>
    <w:rsid w:val="001A6EB8"/>
    <w:rsid w:val="001B05F8"/>
    <w:rsid w:val="001B11A2"/>
    <w:rsid w:val="001B526C"/>
    <w:rsid w:val="001B63E7"/>
    <w:rsid w:val="001B734B"/>
    <w:rsid w:val="001B74D2"/>
    <w:rsid w:val="001B7DEA"/>
    <w:rsid w:val="001C24C1"/>
    <w:rsid w:val="001C416A"/>
    <w:rsid w:val="001C65A6"/>
    <w:rsid w:val="001C6BB3"/>
    <w:rsid w:val="001D50E8"/>
    <w:rsid w:val="001E0F71"/>
    <w:rsid w:val="001E1DB1"/>
    <w:rsid w:val="001E3E0A"/>
    <w:rsid w:val="001F422B"/>
    <w:rsid w:val="001F48F1"/>
    <w:rsid w:val="00200BF5"/>
    <w:rsid w:val="002030CD"/>
    <w:rsid w:val="002033F9"/>
    <w:rsid w:val="00206856"/>
    <w:rsid w:val="00207C9E"/>
    <w:rsid w:val="002105A2"/>
    <w:rsid w:val="00210EB9"/>
    <w:rsid w:val="00211C81"/>
    <w:rsid w:val="00212557"/>
    <w:rsid w:val="00214B16"/>
    <w:rsid w:val="00217636"/>
    <w:rsid w:val="00220083"/>
    <w:rsid w:val="00220A72"/>
    <w:rsid w:val="00220E9E"/>
    <w:rsid w:val="00221F73"/>
    <w:rsid w:val="00225422"/>
    <w:rsid w:val="00226CA3"/>
    <w:rsid w:val="0022721E"/>
    <w:rsid w:val="00236815"/>
    <w:rsid w:val="00237543"/>
    <w:rsid w:val="0024166C"/>
    <w:rsid w:val="00241736"/>
    <w:rsid w:val="0024198F"/>
    <w:rsid w:val="00251A85"/>
    <w:rsid w:val="00251B01"/>
    <w:rsid w:val="002534F0"/>
    <w:rsid w:val="00254BB6"/>
    <w:rsid w:val="002570F3"/>
    <w:rsid w:val="00261518"/>
    <w:rsid w:val="0026371A"/>
    <w:rsid w:val="00263F62"/>
    <w:rsid w:val="00264F95"/>
    <w:rsid w:val="0026740C"/>
    <w:rsid w:val="00272D19"/>
    <w:rsid w:val="00273E77"/>
    <w:rsid w:val="00275504"/>
    <w:rsid w:val="002755B7"/>
    <w:rsid w:val="002807B2"/>
    <w:rsid w:val="00281418"/>
    <w:rsid w:val="002822B6"/>
    <w:rsid w:val="00291C0A"/>
    <w:rsid w:val="0029214A"/>
    <w:rsid w:val="002945FC"/>
    <w:rsid w:val="002946D3"/>
    <w:rsid w:val="002A1F3B"/>
    <w:rsid w:val="002A4A17"/>
    <w:rsid w:val="002B0541"/>
    <w:rsid w:val="002B0FD7"/>
    <w:rsid w:val="002B5670"/>
    <w:rsid w:val="002B5956"/>
    <w:rsid w:val="002C5E95"/>
    <w:rsid w:val="002C77EF"/>
    <w:rsid w:val="002C7C87"/>
    <w:rsid w:val="002D17A9"/>
    <w:rsid w:val="002D3C68"/>
    <w:rsid w:val="002E0FA4"/>
    <w:rsid w:val="002E1996"/>
    <w:rsid w:val="002E2188"/>
    <w:rsid w:val="002E48EE"/>
    <w:rsid w:val="002E5C9F"/>
    <w:rsid w:val="002F53F0"/>
    <w:rsid w:val="0030096E"/>
    <w:rsid w:val="00300D1C"/>
    <w:rsid w:val="00301FB9"/>
    <w:rsid w:val="00305D17"/>
    <w:rsid w:val="00306761"/>
    <w:rsid w:val="003077DE"/>
    <w:rsid w:val="003103DA"/>
    <w:rsid w:val="00314299"/>
    <w:rsid w:val="0031744C"/>
    <w:rsid w:val="00322392"/>
    <w:rsid w:val="00324CE3"/>
    <w:rsid w:val="00325D08"/>
    <w:rsid w:val="00327B5F"/>
    <w:rsid w:val="00330F11"/>
    <w:rsid w:val="003317A0"/>
    <w:rsid w:val="00335CFD"/>
    <w:rsid w:val="003371B2"/>
    <w:rsid w:val="0033762C"/>
    <w:rsid w:val="003414E3"/>
    <w:rsid w:val="0034292B"/>
    <w:rsid w:val="00344A74"/>
    <w:rsid w:val="00351920"/>
    <w:rsid w:val="00352887"/>
    <w:rsid w:val="00355329"/>
    <w:rsid w:val="00360899"/>
    <w:rsid w:val="00360F34"/>
    <w:rsid w:val="00362313"/>
    <w:rsid w:val="0036391E"/>
    <w:rsid w:val="00367D20"/>
    <w:rsid w:val="003710AF"/>
    <w:rsid w:val="00372E45"/>
    <w:rsid w:val="00372FE3"/>
    <w:rsid w:val="003733CF"/>
    <w:rsid w:val="00385016"/>
    <w:rsid w:val="00387A33"/>
    <w:rsid w:val="00390F0B"/>
    <w:rsid w:val="00392474"/>
    <w:rsid w:val="00392E38"/>
    <w:rsid w:val="0039512E"/>
    <w:rsid w:val="0039562E"/>
    <w:rsid w:val="00395AA0"/>
    <w:rsid w:val="00396D61"/>
    <w:rsid w:val="003A4997"/>
    <w:rsid w:val="003B308C"/>
    <w:rsid w:val="003B5285"/>
    <w:rsid w:val="003B5829"/>
    <w:rsid w:val="003C0A80"/>
    <w:rsid w:val="003C2C51"/>
    <w:rsid w:val="003C5B71"/>
    <w:rsid w:val="003C70B4"/>
    <w:rsid w:val="003C7289"/>
    <w:rsid w:val="003D14DF"/>
    <w:rsid w:val="003D1601"/>
    <w:rsid w:val="003D1A5C"/>
    <w:rsid w:val="003D3199"/>
    <w:rsid w:val="003D485C"/>
    <w:rsid w:val="003E09D2"/>
    <w:rsid w:val="003E0FD4"/>
    <w:rsid w:val="003F7263"/>
    <w:rsid w:val="00403A61"/>
    <w:rsid w:val="00404447"/>
    <w:rsid w:val="00411489"/>
    <w:rsid w:val="00420B5C"/>
    <w:rsid w:val="00420F59"/>
    <w:rsid w:val="004213DA"/>
    <w:rsid w:val="004218AC"/>
    <w:rsid w:val="00426DF9"/>
    <w:rsid w:val="0042793D"/>
    <w:rsid w:val="00430F2D"/>
    <w:rsid w:val="004329FA"/>
    <w:rsid w:val="004330DA"/>
    <w:rsid w:val="0043632E"/>
    <w:rsid w:val="00436412"/>
    <w:rsid w:val="00443BB4"/>
    <w:rsid w:val="0044429C"/>
    <w:rsid w:val="00451912"/>
    <w:rsid w:val="00461F7F"/>
    <w:rsid w:val="00466E62"/>
    <w:rsid w:val="00467BAB"/>
    <w:rsid w:val="0047352C"/>
    <w:rsid w:val="00477E7B"/>
    <w:rsid w:val="00483866"/>
    <w:rsid w:val="004848EF"/>
    <w:rsid w:val="004871B2"/>
    <w:rsid w:val="004910BD"/>
    <w:rsid w:val="00493E2D"/>
    <w:rsid w:val="00494DF9"/>
    <w:rsid w:val="00496A46"/>
    <w:rsid w:val="004A2DB0"/>
    <w:rsid w:val="004A3CAE"/>
    <w:rsid w:val="004A631A"/>
    <w:rsid w:val="004A6D92"/>
    <w:rsid w:val="004B10BD"/>
    <w:rsid w:val="004B5287"/>
    <w:rsid w:val="004C3139"/>
    <w:rsid w:val="004C5809"/>
    <w:rsid w:val="004C7B55"/>
    <w:rsid w:val="004D216D"/>
    <w:rsid w:val="004D2F60"/>
    <w:rsid w:val="004D5678"/>
    <w:rsid w:val="004E09B8"/>
    <w:rsid w:val="004E2697"/>
    <w:rsid w:val="004E5202"/>
    <w:rsid w:val="004F121D"/>
    <w:rsid w:val="004F2A07"/>
    <w:rsid w:val="004F2C0D"/>
    <w:rsid w:val="004F3ED6"/>
    <w:rsid w:val="004F5F38"/>
    <w:rsid w:val="00501C29"/>
    <w:rsid w:val="00507B39"/>
    <w:rsid w:val="0051008B"/>
    <w:rsid w:val="0051758D"/>
    <w:rsid w:val="005202AA"/>
    <w:rsid w:val="00520650"/>
    <w:rsid w:val="005221FD"/>
    <w:rsid w:val="00531D06"/>
    <w:rsid w:val="00536998"/>
    <w:rsid w:val="005372E4"/>
    <w:rsid w:val="0054289D"/>
    <w:rsid w:val="00543780"/>
    <w:rsid w:val="00543A61"/>
    <w:rsid w:val="00545AB8"/>
    <w:rsid w:val="00546A94"/>
    <w:rsid w:val="005470EA"/>
    <w:rsid w:val="00550972"/>
    <w:rsid w:val="0055307F"/>
    <w:rsid w:val="0055376B"/>
    <w:rsid w:val="0055456F"/>
    <w:rsid w:val="00556DFA"/>
    <w:rsid w:val="00566705"/>
    <w:rsid w:val="00566D41"/>
    <w:rsid w:val="00577EB3"/>
    <w:rsid w:val="005800F6"/>
    <w:rsid w:val="00583F88"/>
    <w:rsid w:val="005864F8"/>
    <w:rsid w:val="00591EE7"/>
    <w:rsid w:val="005A425C"/>
    <w:rsid w:val="005A428B"/>
    <w:rsid w:val="005B0DA8"/>
    <w:rsid w:val="005B1B9B"/>
    <w:rsid w:val="005B247B"/>
    <w:rsid w:val="005B730E"/>
    <w:rsid w:val="005C02DB"/>
    <w:rsid w:val="005C3D38"/>
    <w:rsid w:val="005C511F"/>
    <w:rsid w:val="005C6751"/>
    <w:rsid w:val="005C6EA1"/>
    <w:rsid w:val="005D0D5F"/>
    <w:rsid w:val="005D0DA9"/>
    <w:rsid w:val="005D5058"/>
    <w:rsid w:val="005D5A09"/>
    <w:rsid w:val="005D7822"/>
    <w:rsid w:val="005D788D"/>
    <w:rsid w:val="005D7CE5"/>
    <w:rsid w:val="005E0A3F"/>
    <w:rsid w:val="005E2803"/>
    <w:rsid w:val="005E5B68"/>
    <w:rsid w:val="005E6678"/>
    <w:rsid w:val="005E7810"/>
    <w:rsid w:val="005F0A8D"/>
    <w:rsid w:val="005F1A59"/>
    <w:rsid w:val="005F2E29"/>
    <w:rsid w:val="00601888"/>
    <w:rsid w:val="00601F14"/>
    <w:rsid w:val="006022E1"/>
    <w:rsid w:val="00605783"/>
    <w:rsid w:val="00613FB7"/>
    <w:rsid w:val="00614E2E"/>
    <w:rsid w:val="00616063"/>
    <w:rsid w:val="00621972"/>
    <w:rsid w:val="00621FEB"/>
    <w:rsid w:val="006221D3"/>
    <w:rsid w:val="0062418D"/>
    <w:rsid w:val="0062576C"/>
    <w:rsid w:val="00630AB0"/>
    <w:rsid w:val="00636A92"/>
    <w:rsid w:val="00636AAB"/>
    <w:rsid w:val="00636CE0"/>
    <w:rsid w:val="00636E8A"/>
    <w:rsid w:val="006405C0"/>
    <w:rsid w:val="00641F96"/>
    <w:rsid w:val="00642256"/>
    <w:rsid w:val="00644494"/>
    <w:rsid w:val="0064508A"/>
    <w:rsid w:val="00645964"/>
    <w:rsid w:val="0064621F"/>
    <w:rsid w:val="00650258"/>
    <w:rsid w:val="006526BE"/>
    <w:rsid w:val="00652B54"/>
    <w:rsid w:val="00652F86"/>
    <w:rsid w:val="006532AD"/>
    <w:rsid w:val="00656D99"/>
    <w:rsid w:val="006626F9"/>
    <w:rsid w:val="00662921"/>
    <w:rsid w:val="00662BFB"/>
    <w:rsid w:val="00663295"/>
    <w:rsid w:val="00663D93"/>
    <w:rsid w:val="006652D5"/>
    <w:rsid w:val="006705CB"/>
    <w:rsid w:val="00672900"/>
    <w:rsid w:val="006768A1"/>
    <w:rsid w:val="006820EE"/>
    <w:rsid w:val="006910C5"/>
    <w:rsid w:val="00692A7E"/>
    <w:rsid w:val="00693916"/>
    <w:rsid w:val="006939EA"/>
    <w:rsid w:val="006973AC"/>
    <w:rsid w:val="00697BE4"/>
    <w:rsid w:val="006A15B1"/>
    <w:rsid w:val="006A5118"/>
    <w:rsid w:val="006A55E0"/>
    <w:rsid w:val="006A63B0"/>
    <w:rsid w:val="006A6B79"/>
    <w:rsid w:val="006B1F7C"/>
    <w:rsid w:val="006B28B7"/>
    <w:rsid w:val="006B651B"/>
    <w:rsid w:val="006B6537"/>
    <w:rsid w:val="006B6DBC"/>
    <w:rsid w:val="006B7ADA"/>
    <w:rsid w:val="006B7F3B"/>
    <w:rsid w:val="006C0040"/>
    <w:rsid w:val="006C152D"/>
    <w:rsid w:val="006C1943"/>
    <w:rsid w:val="006C53A4"/>
    <w:rsid w:val="006C57E4"/>
    <w:rsid w:val="006D42D2"/>
    <w:rsid w:val="006E1301"/>
    <w:rsid w:val="006E23FA"/>
    <w:rsid w:val="006E66F4"/>
    <w:rsid w:val="006F0586"/>
    <w:rsid w:val="006F0BEB"/>
    <w:rsid w:val="006F2381"/>
    <w:rsid w:val="006F3170"/>
    <w:rsid w:val="006F605B"/>
    <w:rsid w:val="006F6421"/>
    <w:rsid w:val="006F7904"/>
    <w:rsid w:val="00703B6E"/>
    <w:rsid w:val="00703BA0"/>
    <w:rsid w:val="007129DD"/>
    <w:rsid w:val="00713404"/>
    <w:rsid w:val="0071545A"/>
    <w:rsid w:val="00717B7A"/>
    <w:rsid w:val="0072068B"/>
    <w:rsid w:val="00720D4B"/>
    <w:rsid w:val="00724991"/>
    <w:rsid w:val="00726554"/>
    <w:rsid w:val="0073416B"/>
    <w:rsid w:val="0074409A"/>
    <w:rsid w:val="00747607"/>
    <w:rsid w:val="00751139"/>
    <w:rsid w:val="00755992"/>
    <w:rsid w:val="00756B90"/>
    <w:rsid w:val="007607ED"/>
    <w:rsid w:val="00760F2A"/>
    <w:rsid w:val="00761EC7"/>
    <w:rsid w:val="00761FD4"/>
    <w:rsid w:val="007625BB"/>
    <w:rsid w:val="007628D2"/>
    <w:rsid w:val="00763588"/>
    <w:rsid w:val="00764100"/>
    <w:rsid w:val="007652D0"/>
    <w:rsid w:val="0077159B"/>
    <w:rsid w:val="00781AF2"/>
    <w:rsid w:val="00784750"/>
    <w:rsid w:val="007856C5"/>
    <w:rsid w:val="00786052"/>
    <w:rsid w:val="00792F31"/>
    <w:rsid w:val="0079321A"/>
    <w:rsid w:val="00795AB1"/>
    <w:rsid w:val="00795D72"/>
    <w:rsid w:val="007967EB"/>
    <w:rsid w:val="00797D34"/>
    <w:rsid w:val="007A2A62"/>
    <w:rsid w:val="007A58E3"/>
    <w:rsid w:val="007A60F2"/>
    <w:rsid w:val="007A65FD"/>
    <w:rsid w:val="007B009D"/>
    <w:rsid w:val="007B3351"/>
    <w:rsid w:val="007B432E"/>
    <w:rsid w:val="007B5161"/>
    <w:rsid w:val="007B5A2C"/>
    <w:rsid w:val="007B783A"/>
    <w:rsid w:val="007C2654"/>
    <w:rsid w:val="007C54F3"/>
    <w:rsid w:val="007C72C5"/>
    <w:rsid w:val="007D1278"/>
    <w:rsid w:val="007D2B64"/>
    <w:rsid w:val="007D3C11"/>
    <w:rsid w:val="007D78F5"/>
    <w:rsid w:val="007E24D1"/>
    <w:rsid w:val="007E53F0"/>
    <w:rsid w:val="007E6A3E"/>
    <w:rsid w:val="007F0234"/>
    <w:rsid w:val="007F1D5B"/>
    <w:rsid w:val="007F5ADA"/>
    <w:rsid w:val="007F7AB8"/>
    <w:rsid w:val="0080273C"/>
    <w:rsid w:val="00803084"/>
    <w:rsid w:val="00804F7F"/>
    <w:rsid w:val="00804F80"/>
    <w:rsid w:val="00805BE7"/>
    <w:rsid w:val="00810C38"/>
    <w:rsid w:val="00812276"/>
    <w:rsid w:val="008129B2"/>
    <w:rsid w:val="0081374D"/>
    <w:rsid w:val="00815C01"/>
    <w:rsid w:val="00816B3E"/>
    <w:rsid w:val="00817F36"/>
    <w:rsid w:val="00822058"/>
    <w:rsid w:val="00824048"/>
    <w:rsid w:val="00824BFB"/>
    <w:rsid w:val="008274FC"/>
    <w:rsid w:val="00830361"/>
    <w:rsid w:val="008315EC"/>
    <w:rsid w:val="00831815"/>
    <w:rsid w:val="008319E6"/>
    <w:rsid w:val="00831FF9"/>
    <w:rsid w:val="0083301D"/>
    <w:rsid w:val="00833741"/>
    <w:rsid w:val="0083549A"/>
    <w:rsid w:val="008361A5"/>
    <w:rsid w:val="008361AE"/>
    <w:rsid w:val="00840073"/>
    <w:rsid w:val="0084263D"/>
    <w:rsid w:val="00843AF8"/>
    <w:rsid w:val="00851397"/>
    <w:rsid w:val="008528C8"/>
    <w:rsid w:val="00852966"/>
    <w:rsid w:val="008532E8"/>
    <w:rsid w:val="008552DA"/>
    <w:rsid w:val="0085542B"/>
    <w:rsid w:val="00857C15"/>
    <w:rsid w:val="008641B2"/>
    <w:rsid w:val="00867168"/>
    <w:rsid w:val="008703C9"/>
    <w:rsid w:val="008719EF"/>
    <w:rsid w:val="008732D0"/>
    <w:rsid w:val="008732F9"/>
    <w:rsid w:val="008742C4"/>
    <w:rsid w:val="00874EA0"/>
    <w:rsid w:val="008758A9"/>
    <w:rsid w:val="00875ED1"/>
    <w:rsid w:val="0087662F"/>
    <w:rsid w:val="00880BCA"/>
    <w:rsid w:val="00892811"/>
    <w:rsid w:val="00894401"/>
    <w:rsid w:val="00894D97"/>
    <w:rsid w:val="00895EA5"/>
    <w:rsid w:val="0089649C"/>
    <w:rsid w:val="00897C0A"/>
    <w:rsid w:val="008A1AA0"/>
    <w:rsid w:val="008A3F31"/>
    <w:rsid w:val="008A4D92"/>
    <w:rsid w:val="008B08DA"/>
    <w:rsid w:val="008B0DF0"/>
    <w:rsid w:val="008B358B"/>
    <w:rsid w:val="008B6185"/>
    <w:rsid w:val="008B7139"/>
    <w:rsid w:val="008C03BD"/>
    <w:rsid w:val="008C38EF"/>
    <w:rsid w:val="008C41B1"/>
    <w:rsid w:val="008C4516"/>
    <w:rsid w:val="008C4D43"/>
    <w:rsid w:val="008C61B5"/>
    <w:rsid w:val="008C668D"/>
    <w:rsid w:val="008D669D"/>
    <w:rsid w:val="008E0806"/>
    <w:rsid w:val="008E2767"/>
    <w:rsid w:val="008E2EC8"/>
    <w:rsid w:val="008E4691"/>
    <w:rsid w:val="008E59D1"/>
    <w:rsid w:val="008E5B6B"/>
    <w:rsid w:val="008E69FA"/>
    <w:rsid w:val="008F047C"/>
    <w:rsid w:val="008F29BD"/>
    <w:rsid w:val="008F7B79"/>
    <w:rsid w:val="0090144A"/>
    <w:rsid w:val="00903785"/>
    <w:rsid w:val="0091164D"/>
    <w:rsid w:val="00911D03"/>
    <w:rsid w:val="00913F38"/>
    <w:rsid w:val="0091703F"/>
    <w:rsid w:val="00927834"/>
    <w:rsid w:val="00930ECD"/>
    <w:rsid w:val="00932B66"/>
    <w:rsid w:val="00935724"/>
    <w:rsid w:val="00943CED"/>
    <w:rsid w:val="00952ED4"/>
    <w:rsid w:val="00957504"/>
    <w:rsid w:val="00961129"/>
    <w:rsid w:val="0096760B"/>
    <w:rsid w:val="0097096B"/>
    <w:rsid w:val="00971425"/>
    <w:rsid w:val="00972328"/>
    <w:rsid w:val="00973719"/>
    <w:rsid w:val="009749B4"/>
    <w:rsid w:val="009823B8"/>
    <w:rsid w:val="00982F54"/>
    <w:rsid w:val="00983E53"/>
    <w:rsid w:val="00986702"/>
    <w:rsid w:val="00986E3C"/>
    <w:rsid w:val="009921B6"/>
    <w:rsid w:val="009925EB"/>
    <w:rsid w:val="00993EA3"/>
    <w:rsid w:val="00996648"/>
    <w:rsid w:val="009A0812"/>
    <w:rsid w:val="009A4B89"/>
    <w:rsid w:val="009B6DBE"/>
    <w:rsid w:val="009B71DF"/>
    <w:rsid w:val="009B7310"/>
    <w:rsid w:val="009B7838"/>
    <w:rsid w:val="009C0688"/>
    <w:rsid w:val="009C1A4A"/>
    <w:rsid w:val="009C2533"/>
    <w:rsid w:val="009C2C32"/>
    <w:rsid w:val="009D1217"/>
    <w:rsid w:val="009D3D43"/>
    <w:rsid w:val="009D3D76"/>
    <w:rsid w:val="009D4680"/>
    <w:rsid w:val="009D623F"/>
    <w:rsid w:val="009D726C"/>
    <w:rsid w:val="009E3FCA"/>
    <w:rsid w:val="009E6D17"/>
    <w:rsid w:val="009E7970"/>
    <w:rsid w:val="009F3D25"/>
    <w:rsid w:val="00A01F46"/>
    <w:rsid w:val="00A02EA4"/>
    <w:rsid w:val="00A12C60"/>
    <w:rsid w:val="00A137B4"/>
    <w:rsid w:val="00A14383"/>
    <w:rsid w:val="00A17FCA"/>
    <w:rsid w:val="00A244AE"/>
    <w:rsid w:val="00A26982"/>
    <w:rsid w:val="00A26E8A"/>
    <w:rsid w:val="00A30819"/>
    <w:rsid w:val="00A32458"/>
    <w:rsid w:val="00A32D41"/>
    <w:rsid w:val="00A35506"/>
    <w:rsid w:val="00A35C07"/>
    <w:rsid w:val="00A420BC"/>
    <w:rsid w:val="00A4627A"/>
    <w:rsid w:val="00A4638D"/>
    <w:rsid w:val="00A4687E"/>
    <w:rsid w:val="00A469C1"/>
    <w:rsid w:val="00A46C1C"/>
    <w:rsid w:val="00A5094A"/>
    <w:rsid w:val="00A5355E"/>
    <w:rsid w:val="00A55CE6"/>
    <w:rsid w:val="00A60FEA"/>
    <w:rsid w:val="00A63BFB"/>
    <w:rsid w:val="00A64F28"/>
    <w:rsid w:val="00A714C4"/>
    <w:rsid w:val="00A76FA6"/>
    <w:rsid w:val="00A81D8E"/>
    <w:rsid w:val="00A876F4"/>
    <w:rsid w:val="00A96DC4"/>
    <w:rsid w:val="00A973EF"/>
    <w:rsid w:val="00A97998"/>
    <w:rsid w:val="00A97EE1"/>
    <w:rsid w:val="00AA378D"/>
    <w:rsid w:val="00AA632F"/>
    <w:rsid w:val="00AB262D"/>
    <w:rsid w:val="00AB4FF2"/>
    <w:rsid w:val="00AD7FE0"/>
    <w:rsid w:val="00AE298A"/>
    <w:rsid w:val="00AE5EB9"/>
    <w:rsid w:val="00B00A76"/>
    <w:rsid w:val="00B133E9"/>
    <w:rsid w:val="00B157D0"/>
    <w:rsid w:val="00B15969"/>
    <w:rsid w:val="00B220A8"/>
    <w:rsid w:val="00B22461"/>
    <w:rsid w:val="00B32A1A"/>
    <w:rsid w:val="00B32DDA"/>
    <w:rsid w:val="00B33588"/>
    <w:rsid w:val="00B364AA"/>
    <w:rsid w:val="00B369C6"/>
    <w:rsid w:val="00B369D2"/>
    <w:rsid w:val="00B40109"/>
    <w:rsid w:val="00B43F57"/>
    <w:rsid w:val="00B46E4C"/>
    <w:rsid w:val="00B51BFC"/>
    <w:rsid w:val="00B526F5"/>
    <w:rsid w:val="00B53E25"/>
    <w:rsid w:val="00B6203E"/>
    <w:rsid w:val="00B62778"/>
    <w:rsid w:val="00B64196"/>
    <w:rsid w:val="00B64EFB"/>
    <w:rsid w:val="00B656A2"/>
    <w:rsid w:val="00B7152D"/>
    <w:rsid w:val="00B7192F"/>
    <w:rsid w:val="00B720A8"/>
    <w:rsid w:val="00B74AE7"/>
    <w:rsid w:val="00B7681C"/>
    <w:rsid w:val="00B773DD"/>
    <w:rsid w:val="00B83C6C"/>
    <w:rsid w:val="00B867BF"/>
    <w:rsid w:val="00B91FA3"/>
    <w:rsid w:val="00B93692"/>
    <w:rsid w:val="00B95841"/>
    <w:rsid w:val="00B96BF1"/>
    <w:rsid w:val="00B97775"/>
    <w:rsid w:val="00B97C72"/>
    <w:rsid w:val="00BA096B"/>
    <w:rsid w:val="00BA7475"/>
    <w:rsid w:val="00BB2711"/>
    <w:rsid w:val="00BB6F0F"/>
    <w:rsid w:val="00BB7610"/>
    <w:rsid w:val="00BC1C94"/>
    <w:rsid w:val="00BC64C1"/>
    <w:rsid w:val="00BD2564"/>
    <w:rsid w:val="00BD7375"/>
    <w:rsid w:val="00BE5E5B"/>
    <w:rsid w:val="00BF00E0"/>
    <w:rsid w:val="00BF0641"/>
    <w:rsid w:val="00BF1868"/>
    <w:rsid w:val="00BF1F6C"/>
    <w:rsid w:val="00BF268C"/>
    <w:rsid w:val="00BF41DE"/>
    <w:rsid w:val="00BF6175"/>
    <w:rsid w:val="00C034A3"/>
    <w:rsid w:val="00C0612C"/>
    <w:rsid w:val="00C079FE"/>
    <w:rsid w:val="00C11906"/>
    <w:rsid w:val="00C13A1D"/>
    <w:rsid w:val="00C17AA2"/>
    <w:rsid w:val="00C17DEB"/>
    <w:rsid w:val="00C2226C"/>
    <w:rsid w:val="00C22C1F"/>
    <w:rsid w:val="00C24186"/>
    <w:rsid w:val="00C246F8"/>
    <w:rsid w:val="00C26905"/>
    <w:rsid w:val="00C272F1"/>
    <w:rsid w:val="00C31530"/>
    <w:rsid w:val="00C32CF7"/>
    <w:rsid w:val="00C3303C"/>
    <w:rsid w:val="00C346ED"/>
    <w:rsid w:val="00C347E3"/>
    <w:rsid w:val="00C34F7F"/>
    <w:rsid w:val="00C36236"/>
    <w:rsid w:val="00C37ADA"/>
    <w:rsid w:val="00C4147F"/>
    <w:rsid w:val="00C41CFE"/>
    <w:rsid w:val="00C42ED7"/>
    <w:rsid w:val="00C4512E"/>
    <w:rsid w:val="00C451D6"/>
    <w:rsid w:val="00C51497"/>
    <w:rsid w:val="00C52293"/>
    <w:rsid w:val="00C52D97"/>
    <w:rsid w:val="00C54479"/>
    <w:rsid w:val="00C5592D"/>
    <w:rsid w:val="00C574E7"/>
    <w:rsid w:val="00C57D03"/>
    <w:rsid w:val="00C62581"/>
    <w:rsid w:val="00C63A5F"/>
    <w:rsid w:val="00C71A6C"/>
    <w:rsid w:val="00C73D36"/>
    <w:rsid w:val="00C810E6"/>
    <w:rsid w:val="00C82861"/>
    <w:rsid w:val="00C85264"/>
    <w:rsid w:val="00C876EE"/>
    <w:rsid w:val="00C92EB3"/>
    <w:rsid w:val="00C97BB5"/>
    <w:rsid w:val="00C97F20"/>
    <w:rsid w:val="00CA2C2C"/>
    <w:rsid w:val="00CB0AC7"/>
    <w:rsid w:val="00CB3997"/>
    <w:rsid w:val="00CB4E6F"/>
    <w:rsid w:val="00CB6536"/>
    <w:rsid w:val="00CB6778"/>
    <w:rsid w:val="00CB68BB"/>
    <w:rsid w:val="00CC57F6"/>
    <w:rsid w:val="00CC7F46"/>
    <w:rsid w:val="00CD0263"/>
    <w:rsid w:val="00CD1D35"/>
    <w:rsid w:val="00CD481A"/>
    <w:rsid w:val="00CF4B27"/>
    <w:rsid w:val="00CF768E"/>
    <w:rsid w:val="00D018BC"/>
    <w:rsid w:val="00D0306A"/>
    <w:rsid w:val="00D03DA8"/>
    <w:rsid w:val="00D0518C"/>
    <w:rsid w:val="00D06462"/>
    <w:rsid w:val="00D11F75"/>
    <w:rsid w:val="00D168F5"/>
    <w:rsid w:val="00D20180"/>
    <w:rsid w:val="00D20C49"/>
    <w:rsid w:val="00D23294"/>
    <w:rsid w:val="00D23A45"/>
    <w:rsid w:val="00D23D29"/>
    <w:rsid w:val="00D26BEF"/>
    <w:rsid w:val="00D35944"/>
    <w:rsid w:val="00D35CB5"/>
    <w:rsid w:val="00D36F71"/>
    <w:rsid w:val="00D43093"/>
    <w:rsid w:val="00D43F5F"/>
    <w:rsid w:val="00D4656B"/>
    <w:rsid w:val="00D46583"/>
    <w:rsid w:val="00D507D8"/>
    <w:rsid w:val="00D50A76"/>
    <w:rsid w:val="00D5518A"/>
    <w:rsid w:val="00D57F97"/>
    <w:rsid w:val="00D62351"/>
    <w:rsid w:val="00D62BD9"/>
    <w:rsid w:val="00D64185"/>
    <w:rsid w:val="00D664F9"/>
    <w:rsid w:val="00D70D6D"/>
    <w:rsid w:val="00D72A49"/>
    <w:rsid w:val="00D74AAA"/>
    <w:rsid w:val="00D815F5"/>
    <w:rsid w:val="00D81694"/>
    <w:rsid w:val="00D84249"/>
    <w:rsid w:val="00D85BE2"/>
    <w:rsid w:val="00D925D6"/>
    <w:rsid w:val="00D942D9"/>
    <w:rsid w:val="00DA0051"/>
    <w:rsid w:val="00DA17B6"/>
    <w:rsid w:val="00DA2E25"/>
    <w:rsid w:val="00DA3E3C"/>
    <w:rsid w:val="00DB187F"/>
    <w:rsid w:val="00DB42DB"/>
    <w:rsid w:val="00DB75B8"/>
    <w:rsid w:val="00DB7696"/>
    <w:rsid w:val="00DC35D2"/>
    <w:rsid w:val="00DC4583"/>
    <w:rsid w:val="00DC4E3F"/>
    <w:rsid w:val="00DC58D1"/>
    <w:rsid w:val="00DC6975"/>
    <w:rsid w:val="00DC7154"/>
    <w:rsid w:val="00DD323D"/>
    <w:rsid w:val="00DD329E"/>
    <w:rsid w:val="00DD6F13"/>
    <w:rsid w:val="00DE1555"/>
    <w:rsid w:val="00DE7FF6"/>
    <w:rsid w:val="00DF0C1D"/>
    <w:rsid w:val="00DF2489"/>
    <w:rsid w:val="00DF358E"/>
    <w:rsid w:val="00DF4A91"/>
    <w:rsid w:val="00DF5CDC"/>
    <w:rsid w:val="00DF73A7"/>
    <w:rsid w:val="00E03979"/>
    <w:rsid w:val="00E03FE1"/>
    <w:rsid w:val="00E06F70"/>
    <w:rsid w:val="00E0794C"/>
    <w:rsid w:val="00E14FA5"/>
    <w:rsid w:val="00E177FC"/>
    <w:rsid w:val="00E24559"/>
    <w:rsid w:val="00E32DE4"/>
    <w:rsid w:val="00E409F6"/>
    <w:rsid w:val="00E41C4B"/>
    <w:rsid w:val="00E436A0"/>
    <w:rsid w:val="00E442EF"/>
    <w:rsid w:val="00E449E2"/>
    <w:rsid w:val="00E46C71"/>
    <w:rsid w:val="00E516DE"/>
    <w:rsid w:val="00E548EC"/>
    <w:rsid w:val="00E54BBD"/>
    <w:rsid w:val="00E570E3"/>
    <w:rsid w:val="00E6345E"/>
    <w:rsid w:val="00E659AC"/>
    <w:rsid w:val="00E67B2E"/>
    <w:rsid w:val="00E74513"/>
    <w:rsid w:val="00E74730"/>
    <w:rsid w:val="00E817CA"/>
    <w:rsid w:val="00E841F9"/>
    <w:rsid w:val="00E913A2"/>
    <w:rsid w:val="00E922F8"/>
    <w:rsid w:val="00E97200"/>
    <w:rsid w:val="00E975D0"/>
    <w:rsid w:val="00EA055A"/>
    <w:rsid w:val="00EA16A8"/>
    <w:rsid w:val="00EA3C01"/>
    <w:rsid w:val="00EB344D"/>
    <w:rsid w:val="00EB3B70"/>
    <w:rsid w:val="00EB59B3"/>
    <w:rsid w:val="00EC04D2"/>
    <w:rsid w:val="00EC0CC7"/>
    <w:rsid w:val="00EC2CA6"/>
    <w:rsid w:val="00EC6241"/>
    <w:rsid w:val="00EC7B79"/>
    <w:rsid w:val="00ED305B"/>
    <w:rsid w:val="00ED4763"/>
    <w:rsid w:val="00ED4C38"/>
    <w:rsid w:val="00ED4E8A"/>
    <w:rsid w:val="00EE0337"/>
    <w:rsid w:val="00EE0524"/>
    <w:rsid w:val="00EE11DF"/>
    <w:rsid w:val="00EE15EF"/>
    <w:rsid w:val="00EE1E94"/>
    <w:rsid w:val="00EE4949"/>
    <w:rsid w:val="00EF0A97"/>
    <w:rsid w:val="00EF6AD5"/>
    <w:rsid w:val="00F00CAD"/>
    <w:rsid w:val="00F01691"/>
    <w:rsid w:val="00F04574"/>
    <w:rsid w:val="00F05144"/>
    <w:rsid w:val="00F05D74"/>
    <w:rsid w:val="00F1592E"/>
    <w:rsid w:val="00F17A0E"/>
    <w:rsid w:val="00F20826"/>
    <w:rsid w:val="00F20A25"/>
    <w:rsid w:val="00F20AD9"/>
    <w:rsid w:val="00F223B7"/>
    <w:rsid w:val="00F30496"/>
    <w:rsid w:val="00F3093F"/>
    <w:rsid w:val="00F30B72"/>
    <w:rsid w:val="00F31D48"/>
    <w:rsid w:val="00F41210"/>
    <w:rsid w:val="00F447C4"/>
    <w:rsid w:val="00F46D07"/>
    <w:rsid w:val="00F50B03"/>
    <w:rsid w:val="00F50E71"/>
    <w:rsid w:val="00F564BB"/>
    <w:rsid w:val="00F6211A"/>
    <w:rsid w:val="00F63FE5"/>
    <w:rsid w:val="00F65AAF"/>
    <w:rsid w:val="00F66E0C"/>
    <w:rsid w:val="00F71520"/>
    <w:rsid w:val="00F8008A"/>
    <w:rsid w:val="00F81151"/>
    <w:rsid w:val="00F83D6B"/>
    <w:rsid w:val="00F860C2"/>
    <w:rsid w:val="00F90B98"/>
    <w:rsid w:val="00FA2BEF"/>
    <w:rsid w:val="00FA3C3D"/>
    <w:rsid w:val="00FB2C4A"/>
    <w:rsid w:val="00FB5AA2"/>
    <w:rsid w:val="00FB5B0A"/>
    <w:rsid w:val="00FB67F3"/>
    <w:rsid w:val="00FB73A3"/>
    <w:rsid w:val="00FC4789"/>
    <w:rsid w:val="00FC6179"/>
    <w:rsid w:val="00FD3A82"/>
    <w:rsid w:val="00FD4617"/>
    <w:rsid w:val="00FD50E4"/>
    <w:rsid w:val="00FE2A87"/>
    <w:rsid w:val="00FE38F0"/>
    <w:rsid w:val="00FE3E95"/>
    <w:rsid w:val="00FE6816"/>
    <w:rsid w:val="00FE7449"/>
    <w:rsid w:val="00FE7E2A"/>
    <w:rsid w:val="00FF0F55"/>
    <w:rsid w:val="00FF2C73"/>
    <w:rsid w:val="00FF561E"/>
    <w:rsid w:val="00FF7D71"/>
    <w:rsid w:val="06D6D2E2"/>
    <w:rsid w:val="08AA46D5"/>
    <w:rsid w:val="0D642060"/>
    <w:rsid w:val="0DA5647E"/>
    <w:rsid w:val="155B73F4"/>
    <w:rsid w:val="1DD719B4"/>
    <w:rsid w:val="1F3799A9"/>
    <w:rsid w:val="270F1300"/>
    <w:rsid w:val="2F28CF17"/>
    <w:rsid w:val="3633BD84"/>
    <w:rsid w:val="38FB1A29"/>
    <w:rsid w:val="3B59DC49"/>
    <w:rsid w:val="47B6891E"/>
    <w:rsid w:val="48DDE4C6"/>
    <w:rsid w:val="4FE02035"/>
    <w:rsid w:val="51DCA935"/>
    <w:rsid w:val="5277745F"/>
    <w:rsid w:val="5985D38B"/>
    <w:rsid w:val="60F7AF1A"/>
    <w:rsid w:val="6E392494"/>
    <w:rsid w:val="6E7D2CB7"/>
    <w:rsid w:val="712CBCBD"/>
    <w:rsid w:val="740DA959"/>
    <w:rsid w:val="752EBF3C"/>
    <w:rsid w:val="77C0ABB1"/>
    <w:rsid w:val="7B5B6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4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65"/>
    <w:rPr>
      <w:sz w:val="24"/>
      <w:szCs w:val="24"/>
      <w:lang w:eastAsia="en-US"/>
    </w:rPr>
  </w:style>
  <w:style w:type="paragraph" w:styleId="Heading1">
    <w:name w:val="heading 1"/>
    <w:basedOn w:val="Normal"/>
    <w:next w:val="Heading2"/>
    <w:link w:val="Heading1Char"/>
    <w:uiPriority w:val="2"/>
    <w:qFormat/>
    <w:rsid w:val="00692A7E"/>
    <w:pPr>
      <w:keepNext/>
      <w:spacing w:after="240"/>
      <w:jc w:val="both"/>
      <w:outlineLvl w:val="0"/>
    </w:pPr>
    <w:rPr>
      <w:b/>
      <w:caps/>
      <w:sz w:val="22"/>
      <w:szCs w:val="20"/>
      <w:lang w:val="en-GB"/>
    </w:rPr>
  </w:style>
  <w:style w:type="paragraph" w:styleId="Heading2">
    <w:name w:val="heading 2"/>
    <w:basedOn w:val="Normal"/>
    <w:next w:val="Heading3"/>
    <w:link w:val="Heading2Char"/>
    <w:uiPriority w:val="2"/>
    <w:qFormat/>
    <w:rsid w:val="00692A7E"/>
    <w:pPr>
      <w:keepNext/>
      <w:numPr>
        <w:ilvl w:val="1"/>
        <w:numId w:val="1"/>
      </w:numPr>
      <w:tabs>
        <w:tab w:val="num" w:pos="360"/>
      </w:tabs>
      <w:spacing w:after="240"/>
      <w:jc w:val="both"/>
      <w:outlineLvl w:val="1"/>
    </w:pPr>
    <w:rPr>
      <w:b/>
      <w:smallCaps/>
      <w:sz w:val="22"/>
      <w:szCs w:val="20"/>
      <w:lang w:val="en-GB"/>
    </w:rPr>
  </w:style>
  <w:style w:type="paragraph" w:styleId="Heading3">
    <w:name w:val="heading 3"/>
    <w:basedOn w:val="Normal"/>
    <w:next w:val="Heading4"/>
    <w:link w:val="Heading3Char"/>
    <w:uiPriority w:val="2"/>
    <w:qFormat/>
    <w:rsid w:val="00692A7E"/>
    <w:pPr>
      <w:keepNext/>
      <w:numPr>
        <w:ilvl w:val="2"/>
        <w:numId w:val="1"/>
      </w:numPr>
      <w:spacing w:after="240"/>
      <w:jc w:val="both"/>
      <w:outlineLvl w:val="2"/>
    </w:pPr>
    <w:rPr>
      <w:b/>
      <w:sz w:val="22"/>
      <w:szCs w:val="20"/>
      <w:lang w:val="en-GB"/>
    </w:rPr>
  </w:style>
  <w:style w:type="paragraph" w:styleId="Heading4">
    <w:name w:val="heading 4"/>
    <w:basedOn w:val="Normal"/>
    <w:next w:val="Normal"/>
    <w:link w:val="Heading4Char"/>
    <w:uiPriority w:val="2"/>
    <w:unhideWhenUsed/>
    <w:qFormat/>
    <w:rsid w:val="00692A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uiPriority w:val="2"/>
    <w:qFormat/>
    <w:rsid w:val="00692A7E"/>
    <w:pPr>
      <w:numPr>
        <w:ilvl w:val="4"/>
        <w:numId w:val="1"/>
      </w:numPr>
      <w:spacing w:after="240"/>
      <w:jc w:val="both"/>
      <w:outlineLvl w:val="4"/>
    </w:pPr>
    <w:rPr>
      <w:i/>
      <w:sz w:val="22"/>
      <w:szCs w:val="20"/>
      <w:lang w:val="en-GB"/>
    </w:rPr>
  </w:style>
  <w:style w:type="paragraph" w:styleId="Heading6">
    <w:name w:val="heading 6"/>
    <w:basedOn w:val="Normal"/>
    <w:next w:val="BodyText"/>
    <w:link w:val="Heading6Char"/>
    <w:uiPriority w:val="2"/>
    <w:qFormat/>
    <w:rsid w:val="008732D0"/>
    <w:pPr>
      <w:keepNext/>
      <w:keepLines/>
      <w:spacing w:after="240"/>
      <w:jc w:val="both"/>
      <w:outlineLvl w:val="5"/>
    </w:pPr>
    <w:rPr>
      <w:rFonts w:ascii="Verdana" w:eastAsiaTheme="majorEastAsia" w:hAnsi="Verdana" w:cstheme="majorBidi"/>
      <w:b/>
      <w:iCs/>
      <w:color w:val="006283"/>
      <w:sz w:val="1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A7E"/>
    <w:rPr>
      <w:b/>
      <w:caps/>
      <w:sz w:val="22"/>
      <w:lang w:val="en-GB" w:eastAsia="en-US"/>
    </w:rPr>
  </w:style>
  <w:style w:type="character" w:customStyle="1" w:styleId="Heading2Char">
    <w:name w:val="Heading 2 Char"/>
    <w:basedOn w:val="DefaultParagraphFont"/>
    <w:link w:val="Heading2"/>
    <w:rsid w:val="00692A7E"/>
    <w:rPr>
      <w:b/>
      <w:smallCaps/>
      <w:sz w:val="22"/>
      <w:lang w:val="en-GB" w:eastAsia="en-US"/>
    </w:rPr>
  </w:style>
  <w:style w:type="character" w:customStyle="1" w:styleId="Heading3Char">
    <w:name w:val="Heading 3 Char"/>
    <w:basedOn w:val="DefaultParagraphFont"/>
    <w:link w:val="Heading3"/>
    <w:rsid w:val="00692A7E"/>
    <w:rPr>
      <w:b/>
      <w:sz w:val="22"/>
      <w:lang w:val="en-GB" w:eastAsia="en-US"/>
    </w:rPr>
  </w:style>
  <w:style w:type="character" w:customStyle="1" w:styleId="Heading5Char">
    <w:name w:val="Heading 5 Char"/>
    <w:basedOn w:val="DefaultParagraphFont"/>
    <w:link w:val="Heading5"/>
    <w:rsid w:val="00692A7E"/>
    <w:rPr>
      <w:i/>
      <w:sz w:val="22"/>
      <w:lang w:val="en-GB" w:eastAsia="en-US"/>
    </w:rPr>
  </w:style>
  <w:style w:type="paragraph" w:customStyle="1" w:styleId="MinuteHeading">
    <w:name w:val="Minute Heading"/>
    <w:basedOn w:val="Normal"/>
    <w:next w:val="Normal"/>
    <w:rsid w:val="00692A7E"/>
    <w:pPr>
      <w:framePr w:w="7200" w:hSpace="187" w:vSpace="187" w:wrap="auto" w:vAnchor="page" w:hAnchor="page" w:x="2113" w:y="1056"/>
      <w:spacing w:after="240" w:line="360" w:lineRule="atLeast"/>
      <w:jc w:val="center"/>
    </w:pPr>
    <w:rPr>
      <w:b/>
      <w:bCs/>
      <w:sz w:val="36"/>
      <w:szCs w:val="36"/>
      <w:lang w:val="en-GB" w:eastAsia="zh-CN"/>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VBB Footnote Text"/>
    <w:basedOn w:val="Normal"/>
    <w:link w:val="FootnoteTextChar"/>
    <w:uiPriority w:val="99"/>
    <w:qFormat/>
    <w:rsid w:val="00692A7E"/>
    <w:rPr>
      <w:sz w:val="20"/>
      <w:szCs w:val="20"/>
      <w:lang w:eastAsia="en-AU"/>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uiPriority w:val="99"/>
    <w:rsid w:val="00692A7E"/>
  </w:style>
  <w:style w:type="character" w:styleId="FootnoteReference">
    <w:name w:val="footnote reference"/>
    <w:aliases w:val="Ref,de nota al pie,註腳內容,Footnote Reference1,Ref1,de nota al pie1,de nota al pie + (Asian) MS Mincho,11 pt,註?腳Ò®é»,11 p,註?腳內—e,????,-E Fußnotenzeichen,16 Point,Superscript 6 Point,註??腳內—e,11,-E Fuﬂnotenzeichen,註?腳內Ñe,-E Fu§notenzeichen"/>
    <w:uiPriority w:val="5"/>
    <w:qFormat/>
    <w:rsid w:val="00692A7E"/>
    <w:rPr>
      <w:vertAlign w:val="superscript"/>
    </w:rPr>
  </w:style>
  <w:style w:type="paragraph" w:styleId="BodyText">
    <w:name w:val="Body Text"/>
    <w:basedOn w:val="Normal"/>
    <w:link w:val="BodyTextChar"/>
    <w:uiPriority w:val="1"/>
    <w:qFormat/>
    <w:rsid w:val="00692A7E"/>
    <w:pPr>
      <w:numPr>
        <w:ilvl w:val="5"/>
        <w:numId w:val="1"/>
      </w:numPr>
      <w:spacing w:after="240"/>
      <w:jc w:val="both"/>
    </w:pPr>
    <w:rPr>
      <w:sz w:val="22"/>
      <w:szCs w:val="20"/>
      <w:lang w:val="en-GB"/>
    </w:rPr>
  </w:style>
  <w:style w:type="character" w:customStyle="1" w:styleId="BodyTextChar">
    <w:name w:val="Body Text Char"/>
    <w:basedOn w:val="DefaultParagraphFont"/>
    <w:link w:val="BodyText"/>
    <w:rsid w:val="00692A7E"/>
    <w:rPr>
      <w:sz w:val="22"/>
      <w:lang w:val="en-GB" w:eastAsia="en-US"/>
    </w:rPr>
  </w:style>
  <w:style w:type="paragraph" w:styleId="BodyText2">
    <w:name w:val="Body Text 2"/>
    <w:basedOn w:val="Normal"/>
    <w:link w:val="BodyText2Char"/>
    <w:uiPriority w:val="1"/>
    <w:qFormat/>
    <w:rsid w:val="00692A7E"/>
    <w:pPr>
      <w:numPr>
        <w:ilvl w:val="6"/>
        <w:numId w:val="1"/>
      </w:numPr>
      <w:spacing w:after="240"/>
      <w:jc w:val="both"/>
    </w:pPr>
    <w:rPr>
      <w:sz w:val="22"/>
      <w:szCs w:val="20"/>
      <w:lang w:val="en-GB"/>
    </w:rPr>
  </w:style>
  <w:style w:type="character" w:customStyle="1" w:styleId="BodyText2Char">
    <w:name w:val="Body Text 2 Char"/>
    <w:basedOn w:val="DefaultParagraphFont"/>
    <w:link w:val="BodyText2"/>
    <w:rsid w:val="00692A7E"/>
    <w:rPr>
      <w:sz w:val="22"/>
      <w:lang w:val="en-GB" w:eastAsia="en-US"/>
    </w:rPr>
  </w:style>
  <w:style w:type="paragraph" w:styleId="BodyText3">
    <w:name w:val="Body Text 3"/>
    <w:basedOn w:val="Normal"/>
    <w:link w:val="BodyText3Char"/>
    <w:uiPriority w:val="1"/>
    <w:qFormat/>
    <w:rsid w:val="00692A7E"/>
    <w:pPr>
      <w:spacing w:after="240"/>
      <w:jc w:val="both"/>
    </w:pPr>
    <w:rPr>
      <w:sz w:val="22"/>
      <w:szCs w:val="20"/>
      <w:lang w:val="en-GB"/>
    </w:rPr>
  </w:style>
  <w:style w:type="character" w:customStyle="1" w:styleId="BodyText3Char">
    <w:name w:val="Body Text 3 Char"/>
    <w:basedOn w:val="DefaultParagraphFont"/>
    <w:link w:val="BodyText3"/>
    <w:rsid w:val="00692A7E"/>
    <w:rPr>
      <w:sz w:val="22"/>
      <w:lang w:val="en-GB" w:eastAsia="en-US"/>
    </w:rPr>
  </w:style>
  <w:style w:type="paragraph" w:customStyle="1" w:styleId="BodyText4">
    <w:name w:val="Body Text 4"/>
    <w:basedOn w:val="Normal"/>
    <w:rsid w:val="00692A7E"/>
    <w:pPr>
      <w:numPr>
        <w:ilvl w:val="8"/>
        <w:numId w:val="1"/>
      </w:numPr>
      <w:tabs>
        <w:tab w:val="left" w:pos="2160"/>
      </w:tabs>
      <w:spacing w:after="240"/>
      <w:jc w:val="both"/>
    </w:pPr>
    <w:rPr>
      <w:sz w:val="22"/>
      <w:szCs w:val="20"/>
      <w:lang w:val="en-GB"/>
    </w:rPr>
  </w:style>
  <w:style w:type="paragraph" w:styleId="ListParagraph">
    <w:name w:val="List Paragraph"/>
    <w:basedOn w:val="Normal"/>
    <w:uiPriority w:val="34"/>
    <w:qFormat/>
    <w:rsid w:val="00692A7E"/>
    <w:pPr>
      <w:ind w:left="720"/>
      <w:contextualSpacing/>
    </w:pPr>
  </w:style>
  <w:style w:type="character" w:styleId="Hyperlink">
    <w:name w:val="Hyperlink"/>
    <w:uiPriority w:val="99"/>
    <w:unhideWhenUsed/>
    <w:rsid w:val="00692A7E"/>
    <w:rPr>
      <w:color w:val="0000FF"/>
      <w:u w:val="single"/>
    </w:rPr>
  </w:style>
  <w:style w:type="character" w:customStyle="1" w:styleId="Heading4Char">
    <w:name w:val="Heading 4 Char"/>
    <w:basedOn w:val="DefaultParagraphFont"/>
    <w:link w:val="Heading4"/>
    <w:semiHidden/>
    <w:rsid w:val="00692A7E"/>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rsid w:val="003317A0"/>
    <w:rPr>
      <w:color w:val="800080" w:themeColor="followedHyperlink"/>
      <w:u w:val="single"/>
    </w:rPr>
  </w:style>
  <w:style w:type="paragraph" w:styleId="BalloonText">
    <w:name w:val="Balloon Text"/>
    <w:basedOn w:val="Normal"/>
    <w:link w:val="BalloonTextChar"/>
    <w:rsid w:val="003C7289"/>
    <w:rPr>
      <w:rFonts w:ascii="Tahoma" w:hAnsi="Tahoma" w:cs="Tahoma"/>
      <w:sz w:val="16"/>
      <w:szCs w:val="16"/>
    </w:rPr>
  </w:style>
  <w:style w:type="character" w:customStyle="1" w:styleId="BalloonTextChar">
    <w:name w:val="Balloon Text Char"/>
    <w:basedOn w:val="DefaultParagraphFont"/>
    <w:link w:val="BalloonText"/>
    <w:rsid w:val="003C7289"/>
    <w:rPr>
      <w:rFonts w:ascii="Tahoma" w:hAnsi="Tahoma" w:cs="Tahoma"/>
      <w:sz w:val="16"/>
      <w:szCs w:val="16"/>
      <w:lang w:eastAsia="en-US"/>
    </w:rPr>
  </w:style>
  <w:style w:type="paragraph" w:customStyle="1" w:styleId="SummaryText">
    <w:name w:val="SummaryText"/>
    <w:basedOn w:val="Normal"/>
    <w:uiPriority w:val="4"/>
    <w:qFormat/>
    <w:rsid w:val="007B783A"/>
    <w:pPr>
      <w:numPr>
        <w:numId w:val="9"/>
      </w:numPr>
      <w:spacing w:after="240"/>
      <w:jc w:val="both"/>
    </w:pPr>
    <w:rPr>
      <w:rFonts w:ascii="Verdana" w:eastAsia="Calibri" w:hAnsi="Verdana"/>
      <w:sz w:val="18"/>
      <w:szCs w:val="22"/>
      <w:lang w:val="en-GB"/>
    </w:rPr>
  </w:style>
  <w:style w:type="character" w:styleId="CommentReference">
    <w:name w:val="annotation reference"/>
    <w:basedOn w:val="DefaultParagraphFont"/>
    <w:uiPriority w:val="99"/>
    <w:semiHidden/>
    <w:unhideWhenUsed/>
    <w:rsid w:val="006526BE"/>
    <w:rPr>
      <w:sz w:val="16"/>
      <w:szCs w:val="16"/>
    </w:rPr>
  </w:style>
  <w:style w:type="paragraph" w:styleId="CommentText">
    <w:name w:val="annotation text"/>
    <w:basedOn w:val="Normal"/>
    <w:link w:val="CommentTextChar"/>
    <w:uiPriority w:val="99"/>
    <w:unhideWhenUsed/>
    <w:rsid w:val="006526BE"/>
    <w:rPr>
      <w:sz w:val="20"/>
      <w:szCs w:val="20"/>
    </w:rPr>
  </w:style>
  <w:style w:type="character" w:customStyle="1" w:styleId="CommentTextChar">
    <w:name w:val="Comment Text Char"/>
    <w:basedOn w:val="DefaultParagraphFont"/>
    <w:link w:val="CommentText"/>
    <w:uiPriority w:val="99"/>
    <w:rsid w:val="006526BE"/>
    <w:rPr>
      <w:lang w:eastAsia="en-US"/>
    </w:rPr>
  </w:style>
  <w:style w:type="paragraph" w:styleId="CommentSubject">
    <w:name w:val="annotation subject"/>
    <w:basedOn w:val="CommentText"/>
    <w:next w:val="CommentText"/>
    <w:link w:val="CommentSubjectChar"/>
    <w:semiHidden/>
    <w:unhideWhenUsed/>
    <w:rsid w:val="006526BE"/>
    <w:rPr>
      <w:b/>
      <w:bCs/>
    </w:rPr>
  </w:style>
  <w:style w:type="character" w:customStyle="1" w:styleId="CommentSubjectChar">
    <w:name w:val="Comment Subject Char"/>
    <w:basedOn w:val="CommentTextChar"/>
    <w:link w:val="CommentSubject"/>
    <w:semiHidden/>
    <w:rsid w:val="006526BE"/>
    <w:rPr>
      <w:b/>
      <w:bCs/>
      <w:lang w:eastAsia="en-US"/>
    </w:rPr>
  </w:style>
  <w:style w:type="paragraph" w:customStyle="1" w:styleId="ColorfulList-Accent11">
    <w:name w:val="Colorful List - Accent 11"/>
    <w:basedOn w:val="Normal"/>
    <w:uiPriority w:val="34"/>
    <w:qFormat/>
    <w:rsid w:val="00B51BFC"/>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137B4"/>
    <w:pPr>
      <w:tabs>
        <w:tab w:val="center" w:pos="4513"/>
        <w:tab w:val="right" w:pos="9026"/>
      </w:tabs>
    </w:pPr>
  </w:style>
  <w:style w:type="character" w:customStyle="1" w:styleId="HeaderChar">
    <w:name w:val="Header Char"/>
    <w:basedOn w:val="DefaultParagraphFont"/>
    <w:link w:val="Header"/>
    <w:rsid w:val="00A137B4"/>
    <w:rPr>
      <w:sz w:val="24"/>
      <w:szCs w:val="24"/>
      <w:lang w:eastAsia="en-US"/>
    </w:rPr>
  </w:style>
  <w:style w:type="paragraph" w:styleId="Footer">
    <w:name w:val="footer"/>
    <w:basedOn w:val="Normal"/>
    <w:link w:val="FooterChar"/>
    <w:uiPriority w:val="99"/>
    <w:unhideWhenUsed/>
    <w:rsid w:val="00A137B4"/>
    <w:pPr>
      <w:tabs>
        <w:tab w:val="center" w:pos="4513"/>
        <w:tab w:val="right" w:pos="9026"/>
      </w:tabs>
    </w:pPr>
  </w:style>
  <w:style w:type="character" w:customStyle="1" w:styleId="FooterChar">
    <w:name w:val="Footer Char"/>
    <w:basedOn w:val="DefaultParagraphFont"/>
    <w:link w:val="Footer"/>
    <w:uiPriority w:val="99"/>
    <w:rsid w:val="00A137B4"/>
    <w:rPr>
      <w:sz w:val="24"/>
      <w:szCs w:val="24"/>
      <w:lang w:eastAsia="en-US"/>
    </w:rPr>
  </w:style>
  <w:style w:type="paragraph" w:styleId="BodyTextIndent">
    <w:name w:val="Body Text Indent"/>
    <w:basedOn w:val="Normal"/>
    <w:link w:val="BodyTextIndentChar"/>
    <w:semiHidden/>
    <w:unhideWhenUsed/>
    <w:rsid w:val="00A81D8E"/>
    <w:pPr>
      <w:spacing w:after="120"/>
      <w:ind w:left="283"/>
    </w:pPr>
  </w:style>
  <w:style w:type="character" w:customStyle="1" w:styleId="BodyTextIndentChar">
    <w:name w:val="Body Text Indent Char"/>
    <w:basedOn w:val="DefaultParagraphFont"/>
    <w:link w:val="BodyTextIndent"/>
    <w:semiHidden/>
    <w:rsid w:val="00A81D8E"/>
    <w:rPr>
      <w:sz w:val="24"/>
      <w:szCs w:val="24"/>
      <w:lang w:eastAsia="en-US"/>
    </w:rPr>
  </w:style>
  <w:style w:type="paragraph" w:styleId="NoSpacing">
    <w:name w:val="No Spacing"/>
    <w:link w:val="NoSpacingChar"/>
    <w:uiPriority w:val="1"/>
    <w:qFormat/>
    <w:rsid w:val="00F8008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008A"/>
    <w:rPr>
      <w:rFonts w:asciiTheme="minorHAnsi" w:eastAsiaTheme="minorEastAsia" w:hAnsiTheme="minorHAnsi" w:cstheme="minorBidi"/>
      <w:sz w:val="22"/>
      <w:szCs w:val="22"/>
      <w:lang w:val="en-US" w:eastAsia="en-US"/>
    </w:rPr>
  </w:style>
  <w:style w:type="paragraph" w:styleId="EndnoteText">
    <w:name w:val="endnote text"/>
    <w:basedOn w:val="Normal"/>
    <w:link w:val="EndnoteTextChar"/>
    <w:semiHidden/>
    <w:unhideWhenUsed/>
    <w:rsid w:val="008732D0"/>
    <w:rPr>
      <w:sz w:val="20"/>
      <w:szCs w:val="20"/>
    </w:rPr>
  </w:style>
  <w:style w:type="character" w:customStyle="1" w:styleId="EndnoteTextChar">
    <w:name w:val="Endnote Text Char"/>
    <w:basedOn w:val="DefaultParagraphFont"/>
    <w:link w:val="EndnoteText"/>
    <w:semiHidden/>
    <w:rsid w:val="008732D0"/>
    <w:rPr>
      <w:lang w:eastAsia="en-US"/>
    </w:rPr>
  </w:style>
  <w:style w:type="character" w:customStyle="1" w:styleId="Heading6Char">
    <w:name w:val="Heading 6 Char"/>
    <w:basedOn w:val="DefaultParagraphFont"/>
    <w:link w:val="Heading6"/>
    <w:uiPriority w:val="2"/>
    <w:rsid w:val="008732D0"/>
    <w:rPr>
      <w:rFonts w:ascii="Verdana" w:eastAsiaTheme="majorEastAsia" w:hAnsi="Verdana" w:cstheme="majorBidi"/>
      <w:b/>
      <w:iCs/>
      <w:color w:val="006283"/>
      <w:sz w:val="18"/>
      <w:szCs w:val="22"/>
      <w:lang w:val="en-GB" w:eastAsia="en-US"/>
    </w:rPr>
  </w:style>
  <w:style w:type="numbering" w:customStyle="1" w:styleId="LegalHeadings">
    <w:name w:val="LegalHeadings"/>
    <w:uiPriority w:val="99"/>
    <w:rsid w:val="008732D0"/>
    <w:pPr>
      <w:numPr>
        <w:numId w:val="1"/>
      </w:numPr>
    </w:pPr>
  </w:style>
  <w:style w:type="paragraph" w:styleId="ListNumber5">
    <w:name w:val="List Number 5"/>
    <w:basedOn w:val="Normal"/>
    <w:uiPriority w:val="49"/>
    <w:semiHidden/>
    <w:unhideWhenUsed/>
    <w:rsid w:val="008732D0"/>
    <w:pPr>
      <w:contextualSpacing/>
      <w:jc w:val="both"/>
    </w:pPr>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326">
      <w:bodyDiv w:val="1"/>
      <w:marLeft w:val="0"/>
      <w:marRight w:val="0"/>
      <w:marTop w:val="0"/>
      <w:marBottom w:val="0"/>
      <w:divBdr>
        <w:top w:val="none" w:sz="0" w:space="0" w:color="auto"/>
        <w:left w:val="none" w:sz="0" w:space="0" w:color="auto"/>
        <w:bottom w:val="none" w:sz="0" w:space="0" w:color="auto"/>
        <w:right w:val="none" w:sz="0" w:space="0" w:color="auto"/>
      </w:divBdr>
    </w:div>
    <w:div w:id="49161487">
      <w:bodyDiv w:val="1"/>
      <w:marLeft w:val="0"/>
      <w:marRight w:val="0"/>
      <w:marTop w:val="0"/>
      <w:marBottom w:val="0"/>
      <w:divBdr>
        <w:top w:val="none" w:sz="0" w:space="0" w:color="auto"/>
        <w:left w:val="none" w:sz="0" w:space="0" w:color="auto"/>
        <w:bottom w:val="none" w:sz="0" w:space="0" w:color="auto"/>
        <w:right w:val="none" w:sz="0" w:space="0" w:color="auto"/>
      </w:divBdr>
    </w:div>
    <w:div w:id="299767133">
      <w:bodyDiv w:val="1"/>
      <w:marLeft w:val="0"/>
      <w:marRight w:val="0"/>
      <w:marTop w:val="0"/>
      <w:marBottom w:val="0"/>
      <w:divBdr>
        <w:top w:val="none" w:sz="0" w:space="0" w:color="auto"/>
        <w:left w:val="none" w:sz="0" w:space="0" w:color="auto"/>
        <w:bottom w:val="none" w:sz="0" w:space="0" w:color="auto"/>
        <w:right w:val="none" w:sz="0" w:space="0" w:color="auto"/>
      </w:divBdr>
    </w:div>
    <w:div w:id="673843785">
      <w:bodyDiv w:val="1"/>
      <w:marLeft w:val="0"/>
      <w:marRight w:val="0"/>
      <w:marTop w:val="0"/>
      <w:marBottom w:val="0"/>
      <w:divBdr>
        <w:top w:val="none" w:sz="0" w:space="0" w:color="auto"/>
        <w:left w:val="none" w:sz="0" w:space="0" w:color="auto"/>
        <w:bottom w:val="none" w:sz="0" w:space="0" w:color="auto"/>
        <w:right w:val="none" w:sz="0" w:space="0" w:color="auto"/>
      </w:divBdr>
    </w:div>
    <w:div w:id="795681201">
      <w:bodyDiv w:val="1"/>
      <w:marLeft w:val="0"/>
      <w:marRight w:val="0"/>
      <w:marTop w:val="0"/>
      <w:marBottom w:val="0"/>
      <w:divBdr>
        <w:top w:val="none" w:sz="0" w:space="0" w:color="auto"/>
        <w:left w:val="none" w:sz="0" w:space="0" w:color="auto"/>
        <w:bottom w:val="none" w:sz="0" w:space="0" w:color="auto"/>
        <w:right w:val="none" w:sz="0" w:space="0" w:color="auto"/>
      </w:divBdr>
    </w:div>
    <w:div w:id="894505448">
      <w:bodyDiv w:val="1"/>
      <w:marLeft w:val="0"/>
      <w:marRight w:val="0"/>
      <w:marTop w:val="0"/>
      <w:marBottom w:val="0"/>
      <w:divBdr>
        <w:top w:val="none" w:sz="0" w:space="0" w:color="auto"/>
        <w:left w:val="none" w:sz="0" w:space="0" w:color="auto"/>
        <w:bottom w:val="none" w:sz="0" w:space="0" w:color="auto"/>
        <w:right w:val="none" w:sz="0" w:space="0" w:color="auto"/>
      </w:divBdr>
    </w:div>
    <w:div w:id="994408227">
      <w:bodyDiv w:val="1"/>
      <w:marLeft w:val="0"/>
      <w:marRight w:val="0"/>
      <w:marTop w:val="0"/>
      <w:marBottom w:val="0"/>
      <w:divBdr>
        <w:top w:val="none" w:sz="0" w:space="0" w:color="auto"/>
        <w:left w:val="none" w:sz="0" w:space="0" w:color="auto"/>
        <w:bottom w:val="none" w:sz="0" w:space="0" w:color="auto"/>
        <w:right w:val="none" w:sz="0" w:space="0" w:color="auto"/>
      </w:divBdr>
    </w:div>
    <w:div w:id="1446080499">
      <w:bodyDiv w:val="1"/>
      <w:marLeft w:val="0"/>
      <w:marRight w:val="0"/>
      <w:marTop w:val="0"/>
      <w:marBottom w:val="0"/>
      <w:divBdr>
        <w:top w:val="none" w:sz="0" w:space="0" w:color="auto"/>
        <w:left w:val="none" w:sz="0" w:space="0" w:color="auto"/>
        <w:bottom w:val="none" w:sz="0" w:space="0" w:color="auto"/>
        <w:right w:val="none" w:sz="0" w:space="0" w:color="auto"/>
      </w:divBdr>
    </w:div>
    <w:div w:id="2082944217">
      <w:bodyDiv w:val="1"/>
      <w:marLeft w:val="0"/>
      <w:marRight w:val="0"/>
      <w:marTop w:val="0"/>
      <w:marBottom w:val="0"/>
      <w:divBdr>
        <w:top w:val="none" w:sz="0" w:space="0" w:color="auto"/>
        <w:left w:val="none" w:sz="0" w:space="0" w:color="auto"/>
        <w:bottom w:val="none" w:sz="0" w:space="0" w:color="auto"/>
        <w:right w:val="none" w:sz="0" w:space="0" w:color="auto"/>
      </w:divBdr>
    </w:div>
    <w:div w:id="20922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7552</Characters>
  <Application>Microsoft Office Word</Application>
  <DocSecurity>0</DocSecurity>
  <Lines>153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 Measures concerning the importation of certain products from Costa Rica (Costa Rica) (WT/DS599)</dc:title>
  <dc:creator/>
  <cp:keywords>[SEC=OFFICIAL]</cp:keywords>
  <cp:lastModifiedBy/>
  <cp:revision>1</cp:revision>
  <dcterms:created xsi:type="dcterms:W3CDTF">2024-02-01T22:52:00Z</dcterms:created>
  <dcterms:modified xsi:type="dcterms:W3CDTF">2024-02-06T01:24:00Z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v=2022.1;a=SHA256;h=695532F9705F8383B527D00033BABF16181B0A83304639E755C8CF82CE0E22CD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C08690FD2B2C4EAB9B538875BF84ABE1</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2023-02-15T10:08:02Z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Hash_Salt_Prev">
    <vt:lpwstr>967386D4C825C8D0CBD40640E37F650D</vt:lpwstr>
  </property>
  <property fmtid="{D5CDD505-2E9C-101B-9397-08002B2CF9AE}" pid="19" name="PM_Hash_Salt">
    <vt:lpwstr>1CD56E9ACE14FE0F36F1E2EFAA6010C7</vt:lpwstr>
  </property>
  <property fmtid="{D5CDD505-2E9C-101B-9397-08002B2CF9AE}" pid="20" name="PM_Hash_SHA1">
    <vt:lpwstr>27D45725E1976D4F673749168B4A1B4051B18F26</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Display">
    <vt:lpwstr>OFFICIAL</vt:lpwstr>
  </property>
  <property fmtid="{D5CDD505-2E9C-101B-9397-08002B2CF9AE}" pid="24" name="PMUuid">
    <vt:lpwstr>v=2022.2;d=gov.au;g=46DD6D7C-8107-577B-BC6E-F348953B2E44</vt:lpwstr>
  </property>
  <property fmtid="{D5CDD505-2E9C-101B-9397-08002B2CF9AE}" pid="25" name="PM_OriginatorDomainName_SHA256">
    <vt:lpwstr>6F3591835F3B2A8A025B00B5BA6418010DA3A17C9C26EA9C049FFD28039489A2</vt:lpwstr>
  </property>
  <property fmtid="{D5CDD505-2E9C-101B-9397-08002B2CF9AE}" pid="26" name="PM_Originator_Hash_SHA1">
    <vt:lpwstr>899E4EA469A04FB023F4432B63374BB33589BF8A</vt:lpwstr>
  </property>
  <property fmtid="{D5CDD505-2E9C-101B-9397-08002B2CF9AE}" pid="27" name="PM_OriginatorUserAccountName_SHA256">
    <vt:lpwstr>290C9CFCFE70E139C4500567FB5830ACF9049F26A1998DDACA65669D45D5D2AD</vt:lpwstr>
  </property>
  <property fmtid="{D5CDD505-2E9C-101B-9397-08002B2CF9AE}" pid="28" name="PM_Caveats_Count">
    <vt:lpwstr>0</vt:lpwstr>
  </property>
</Properties>
</file>