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EC230" w14:textId="77777777" w:rsidR="00D95303" w:rsidRPr="00323D96" w:rsidRDefault="00D95303" w:rsidP="00D95303">
      <w:pPr>
        <w:pStyle w:val="MinuteHeading"/>
        <w:framePr w:w="0" w:hSpace="0" w:vSpace="0" w:wrap="auto" w:vAnchor="margin" w:hAnchor="text" w:xAlign="left" w:yAlign="inline"/>
        <w:spacing w:before="40" w:after="0"/>
        <w:outlineLvl w:val="0"/>
        <w:rPr>
          <w:sz w:val="24"/>
          <w:szCs w:val="24"/>
          <w:lang w:val="en-AU"/>
        </w:rPr>
      </w:pPr>
    </w:p>
    <w:p w14:paraId="14AC82A8" w14:textId="77777777" w:rsidR="00D95303" w:rsidRPr="00323D96" w:rsidRDefault="00D95303" w:rsidP="00D95303">
      <w:pPr>
        <w:pStyle w:val="MinuteHeading"/>
        <w:framePr w:w="0" w:hSpace="0" w:vSpace="0" w:wrap="auto" w:vAnchor="margin" w:hAnchor="text" w:xAlign="left" w:yAlign="inline"/>
        <w:spacing w:before="40" w:after="0"/>
        <w:outlineLvl w:val="0"/>
        <w:rPr>
          <w:sz w:val="24"/>
          <w:szCs w:val="24"/>
          <w:lang w:val="en-AU"/>
        </w:rPr>
      </w:pPr>
    </w:p>
    <w:p w14:paraId="391D2AFE" w14:textId="77777777" w:rsidR="00BD3E0C" w:rsidRPr="00323D96" w:rsidRDefault="00BD3E0C" w:rsidP="00E530A2">
      <w:pPr>
        <w:jc w:val="center"/>
      </w:pPr>
      <w:r w:rsidRPr="00323D96">
        <w:t>BEFORE THE</w:t>
      </w:r>
      <w:r w:rsidR="00323D96" w:rsidRPr="00323D96">
        <w:t xml:space="preserve"> </w:t>
      </w:r>
      <w:r w:rsidRPr="00323D96">
        <w:t>WORLD TRADE ORGANIZATION</w:t>
      </w:r>
    </w:p>
    <w:p w14:paraId="2F072273" w14:textId="77777777" w:rsidR="00D95303" w:rsidRPr="00323D96" w:rsidRDefault="00D95303" w:rsidP="00D95303">
      <w:pPr>
        <w:pStyle w:val="MinuteHeading"/>
        <w:framePr w:w="0" w:hSpace="0" w:vSpace="0" w:wrap="auto" w:vAnchor="margin" w:hAnchor="text" w:xAlign="left" w:yAlign="inline"/>
        <w:spacing w:before="40" w:after="0"/>
        <w:outlineLvl w:val="0"/>
        <w:rPr>
          <w:sz w:val="24"/>
          <w:szCs w:val="24"/>
          <w:lang w:val="en-AU"/>
        </w:rPr>
      </w:pPr>
    </w:p>
    <w:p w14:paraId="3FC156E4" w14:textId="77777777" w:rsidR="00D95303" w:rsidRPr="00323D96" w:rsidRDefault="00D95303" w:rsidP="00D95303">
      <w:pPr>
        <w:pStyle w:val="MinuteHeading"/>
        <w:framePr w:w="0" w:hSpace="0" w:vSpace="0" w:wrap="auto" w:vAnchor="margin" w:hAnchor="text" w:xAlign="left" w:yAlign="inline"/>
        <w:spacing w:before="40" w:after="0"/>
        <w:outlineLvl w:val="0"/>
        <w:rPr>
          <w:sz w:val="24"/>
          <w:szCs w:val="24"/>
          <w:lang w:val="en-AU"/>
        </w:rPr>
      </w:pPr>
    </w:p>
    <w:p w14:paraId="772F3CBF" w14:textId="77777777" w:rsidR="009422FD" w:rsidRPr="00323D96" w:rsidRDefault="009422FD" w:rsidP="009422FD">
      <w:pPr>
        <w:rPr>
          <w:lang w:eastAsia="zh-CN"/>
        </w:rPr>
      </w:pPr>
    </w:p>
    <w:p w14:paraId="6A3A5602" w14:textId="77777777" w:rsidR="009422FD" w:rsidRPr="00323D96" w:rsidRDefault="009422FD" w:rsidP="009422FD">
      <w:pPr>
        <w:rPr>
          <w:lang w:eastAsia="zh-CN"/>
        </w:rPr>
      </w:pPr>
    </w:p>
    <w:p w14:paraId="5B0276D9" w14:textId="77777777" w:rsidR="00BD3E0C" w:rsidRPr="00323D96" w:rsidRDefault="00BD3E0C" w:rsidP="00BD3E0C"/>
    <w:p w14:paraId="089640CC" w14:textId="77777777" w:rsidR="00BD3E0C" w:rsidRPr="00323D96" w:rsidRDefault="00BD3E0C" w:rsidP="00BD3E0C"/>
    <w:p w14:paraId="07407D0C" w14:textId="77777777" w:rsidR="00BD3E0C" w:rsidRPr="00323D96" w:rsidRDefault="00BD3E0C" w:rsidP="00BD3E0C"/>
    <w:p w14:paraId="5009EBE8" w14:textId="77777777" w:rsidR="00BD3E0C" w:rsidRPr="00323D96" w:rsidRDefault="00BD3E0C" w:rsidP="00BD3E0C"/>
    <w:p w14:paraId="27AC061D" w14:textId="77777777" w:rsidR="00BD3E0C" w:rsidRPr="00323D96" w:rsidRDefault="00BD3E0C" w:rsidP="00D95303">
      <w:pPr>
        <w:jc w:val="center"/>
        <w:rPr>
          <w:b/>
          <w:i/>
        </w:rPr>
      </w:pPr>
      <w:bookmarkStart w:id="0" w:name="_Toc269726909"/>
      <w:bookmarkStart w:id="1" w:name="_Toc269823220"/>
      <w:bookmarkStart w:id="2" w:name="_Toc269823311"/>
      <w:bookmarkStart w:id="3" w:name="_Toc305666122"/>
    </w:p>
    <w:p w14:paraId="0D73506B" w14:textId="77777777" w:rsidR="00BD3E0C" w:rsidRPr="00323D96" w:rsidRDefault="00BD3E0C" w:rsidP="00D95303">
      <w:pPr>
        <w:jc w:val="center"/>
        <w:rPr>
          <w:b/>
          <w:i/>
        </w:rPr>
      </w:pPr>
    </w:p>
    <w:p w14:paraId="1BE0D019" w14:textId="5E567FD8" w:rsidR="00D95303" w:rsidRPr="00323D96" w:rsidRDefault="00323D96" w:rsidP="00BD3E0C">
      <w:pPr>
        <w:jc w:val="center"/>
        <w:rPr>
          <w:b/>
          <w:sz w:val="28"/>
          <w:szCs w:val="28"/>
        </w:rPr>
      </w:pPr>
      <w:r w:rsidRPr="00323D96">
        <w:rPr>
          <w:b/>
          <w:i/>
          <w:sz w:val="28"/>
          <w:szCs w:val="28"/>
        </w:rPr>
        <w:t>European Union</w:t>
      </w:r>
      <w:r w:rsidR="00D95303" w:rsidRPr="00323D96">
        <w:rPr>
          <w:b/>
          <w:i/>
          <w:sz w:val="28"/>
          <w:szCs w:val="28"/>
        </w:rPr>
        <w:t xml:space="preserve"> –</w:t>
      </w:r>
      <w:bookmarkEnd w:id="0"/>
      <w:bookmarkEnd w:id="1"/>
      <w:bookmarkEnd w:id="2"/>
      <w:r w:rsidR="00D95303" w:rsidRPr="00323D96">
        <w:rPr>
          <w:b/>
          <w:i/>
          <w:sz w:val="28"/>
          <w:szCs w:val="28"/>
        </w:rPr>
        <w:t xml:space="preserve"> </w:t>
      </w:r>
      <w:bookmarkEnd w:id="3"/>
      <w:r w:rsidR="006B66A8">
        <w:rPr>
          <w:b/>
          <w:i/>
          <w:sz w:val="28"/>
          <w:szCs w:val="28"/>
        </w:rPr>
        <w:t xml:space="preserve">Certain </w:t>
      </w:r>
      <w:r w:rsidRPr="00323D96">
        <w:rPr>
          <w:b/>
          <w:i/>
          <w:sz w:val="28"/>
          <w:szCs w:val="28"/>
        </w:rPr>
        <w:t xml:space="preserve">Measures </w:t>
      </w:r>
      <w:r w:rsidR="006B66A8">
        <w:rPr>
          <w:b/>
          <w:i/>
          <w:sz w:val="28"/>
          <w:szCs w:val="28"/>
        </w:rPr>
        <w:t>Concerning</w:t>
      </w:r>
      <w:r w:rsidRPr="00323D96">
        <w:rPr>
          <w:b/>
          <w:i/>
          <w:sz w:val="28"/>
          <w:szCs w:val="28"/>
        </w:rPr>
        <w:t xml:space="preserve"> P</w:t>
      </w:r>
      <w:r w:rsidR="006B66A8">
        <w:rPr>
          <w:b/>
          <w:i/>
          <w:sz w:val="28"/>
          <w:szCs w:val="28"/>
        </w:rPr>
        <w:t>alm Oil and Oil Palm Crop-Based Biofuels</w:t>
      </w:r>
      <w:r w:rsidR="00BD3E0C" w:rsidRPr="00323D96">
        <w:rPr>
          <w:b/>
          <w:i/>
          <w:sz w:val="28"/>
          <w:szCs w:val="28"/>
        </w:rPr>
        <w:t xml:space="preserve"> </w:t>
      </w:r>
      <w:r w:rsidRPr="00323D96">
        <w:rPr>
          <w:b/>
          <w:sz w:val="28"/>
          <w:szCs w:val="28"/>
        </w:rPr>
        <w:t>(WT/DS5</w:t>
      </w:r>
      <w:r w:rsidR="006B66A8">
        <w:rPr>
          <w:b/>
          <w:sz w:val="28"/>
          <w:szCs w:val="28"/>
        </w:rPr>
        <w:t>93</w:t>
      </w:r>
      <w:r w:rsidR="00BD3E0C" w:rsidRPr="00323D96">
        <w:rPr>
          <w:b/>
          <w:sz w:val="28"/>
          <w:szCs w:val="28"/>
        </w:rPr>
        <w:t>)</w:t>
      </w:r>
    </w:p>
    <w:p w14:paraId="1A9BFD8A" w14:textId="77777777" w:rsidR="00D95303" w:rsidRPr="00323D96" w:rsidRDefault="00D95303" w:rsidP="00BD3E0C">
      <w:pPr>
        <w:rPr>
          <w:b/>
          <w:i/>
          <w:sz w:val="28"/>
          <w:szCs w:val="28"/>
        </w:rPr>
      </w:pPr>
    </w:p>
    <w:p w14:paraId="6D5A6249" w14:textId="77777777" w:rsidR="00D95303" w:rsidRPr="00323D96" w:rsidRDefault="00D95303" w:rsidP="00D95303">
      <w:pPr>
        <w:jc w:val="center"/>
        <w:rPr>
          <w:b/>
          <w:i/>
          <w:sz w:val="28"/>
          <w:szCs w:val="28"/>
        </w:rPr>
      </w:pPr>
    </w:p>
    <w:p w14:paraId="3F796B7A" w14:textId="77777777" w:rsidR="00D95303" w:rsidRPr="00323D96" w:rsidRDefault="00D95303" w:rsidP="00D95303">
      <w:pPr>
        <w:jc w:val="center"/>
        <w:rPr>
          <w:b/>
          <w:i/>
          <w:sz w:val="28"/>
          <w:szCs w:val="28"/>
        </w:rPr>
      </w:pPr>
    </w:p>
    <w:p w14:paraId="301D02F5" w14:textId="77777777" w:rsidR="00D95303" w:rsidRPr="00323D96" w:rsidRDefault="00D95303" w:rsidP="00D95303">
      <w:pPr>
        <w:jc w:val="center"/>
        <w:rPr>
          <w:b/>
          <w:i/>
          <w:sz w:val="28"/>
          <w:szCs w:val="28"/>
        </w:rPr>
      </w:pPr>
    </w:p>
    <w:p w14:paraId="64075076" w14:textId="77777777" w:rsidR="00BD3E0C" w:rsidRPr="00323D96" w:rsidRDefault="00BD3E0C" w:rsidP="00D95303">
      <w:pPr>
        <w:jc w:val="center"/>
        <w:rPr>
          <w:b/>
          <w:i/>
          <w:sz w:val="28"/>
          <w:szCs w:val="28"/>
        </w:rPr>
      </w:pPr>
    </w:p>
    <w:p w14:paraId="07A6A872" w14:textId="77777777" w:rsidR="00BD3E0C" w:rsidRPr="00323D96" w:rsidRDefault="00BD3E0C" w:rsidP="00D95303">
      <w:pPr>
        <w:jc w:val="center"/>
        <w:rPr>
          <w:b/>
          <w:i/>
          <w:sz w:val="28"/>
          <w:szCs w:val="28"/>
        </w:rPr>
      </w:pPr>
    </w:p>
    <w:p w14:paraId="1F98CE45" w14:textId="77777777" w:rsidR="00BD3E0C" w:rsidRPr="00323D96" w:rsidRDefault="00BD3E0C" w:rsidP="00D95303">
      <w:pPr>
        <w:jc w:val="center"/>
        <w:rPr>
          <w:b/>
          <w:i/>
          <w:sz w:val="28"/>
          <w:szCs w:val="28"/>
        </w:rPr>
      </w:pPr>
    </w:p>
    <w:p w14:paraId="442DF107" w14:textId="77777777" w:rsidR="00D95303" w:rsidRPr="00323D96" w:rsidRDefault="00D95303" w:rsidP="00D95303">
      <w:pPr>
        <w:jc w:val="center"/>
        <w:rPr>
          <w:b/>
          <w:i/>
          <w:sz w:val="28"/>
          <w:szCs w:val="28"/>
        </w:rPr>
      </w:pPr>
    </w:p>
    <w:p w14:paraId="318469B8" w14:textId="77777777" w:rsidR="009422FD" w:rsidRPr="00323D96" w:rsidRDefault="009422FD" w:rsidP="00D95303">
      <w:pPr>
        <w:jc w:val="center"/>
        <w:rPr>
          <w:b/>
          <w:i/>
          <w:sz w:val="28"/>
          <w:szCs w:val="28"/>
        </w:rPr>
      </w:pPr>
    </w:p>
    <w:p w14:paraId="3FD878F5" w14:textId="77777777" w:rsidR="009422FD" w:rsidRPr="00323D96" w:rsidRDefault="009422FD" w:rsidP="00D95303">
      <w:pPr>
        <w:jc w:val="center"/>
        <w:rPr>
          <w:b/>
          <w:i/>
          <w:sz w:val="28"/>
          <w:szCs w:val="28"/>
        </w:rPr>
      </w:pPr>
    </w:p>
    <w:p w14:paraId="6EA522EC" w14:textId="77777777" w:rsidR="009422FD" w:rsidRPr="00323D96" w:rsidRDefault="009422FD" w:rsidP="00D95303">
      <w:pPr>
        <w:jc w:val="center"/>
        <w:rPr>
          <w:b/>
          <w:i/>
          <w:sz w:val="28"/>
          <w:szCs w:val="28"/>
        </w:rPr>
      </w:pPr>
    </w:p>
    <w:p w14:paraId="5039A25B" w14:textId="77777777" w:rsidR="00D95303" w:rsidRPr="00323D96" w:rsidRDefault="00D95303" w:rsidP="00D95303">
      <w:pPr>
        <w:jc w:val="center"/>
        <w:rPr>
          <w:b/>
          <w:i/>
          <w:sz w:val="28"/>
          <w:szCs w:val="28"/>
        </w:rPr>
      </w:pPr>
    </w:p>
    <w:p w14:paraId="4E16692E" w14:textId="77777777" w:rsidR="00D95303" w:rsidRPr="00323D96" w:rsidRDefault="00D95303" w:rsidP="00D95303">
      <w:pPr>
        <w:jc w:val="center"/>
        <w:rPr>
          <w:b/>
          <w:sz w:val="28"/>
          <w:szCs w:val="28"/>
        </w:rPr>
      </w:pPr>
      <w:bookmarkStart w:id="4" w:name="_Toc269726911"/>
      <w:bookmarkStart w:id="5" w:name="_Toc269823222"/>
      <w:bookmarkStart w:id="6" w:name="_Toc269823313"/>
      <w:r w:rsidRPr="00323D96">
        <w:rPr>
          <w:b/>
          <w:sz w:val="28"/>
          <w:szCs w:val="28"/>
        </w:rPr>
        <w:t xml:space="preserve">Third </w:t>
      </w:r>
      <w:r w:rsidR="005A3CC0">
        <w:rPr>
          <w:b/>
          <w:sz w:val="28"/>
          <w:szCs w:val="28"/>
        </w:rPr>
        <w:t>Party</w:t>
      </w:r>
      <w:r w:rsidRPr="00323D96">
        <w:rPr>
          <w:b/>
          <w:sz w:val="28"/>
          <w:szCs w:val="28"/>
        </w:rPr>
        <w:t xml:space="preserve"> Written Submission of Australia</w:t>
      </w:r>
      <w:bookmarkEnd w:id="4"/>
      <w:bookmarkEnd w:id="5"/>
      <w:bookmarkEnd w:id="6"/>
    </w:p>
    <w:p w14:paraId="4CCDE7AC" w14:textId="77777777" w:rsidR="00D95303" w:rsidRPr="00323D96" w:rsidRDefault="00D95303" w:rsidP="00D95303">
      <w:pPr>
        <w:pStyle w:val="MinuteHeading"/>
        <w:framePr w:w="0" w:hSpace="0" w:vSpace="0" w:wrap="auto" w:vAnchor="margin" w:hAnchor="text" w:xAlign="left" w:yAlign="inline"/>
        <w:rPr>
          <w:sz w:val="28"/>
          <w:szCs w:val="28"/>
          <w:lang w:val="en-AU"/>
        </w:rPr>
      </w:pPr>
    </w:p>
    <w:p w14:paraId="123D82C9" w14:textId="77777777" w:rsidR="00D95303" w:rsidRPr="00323D96" w:rsidRDefault="00D95303" w:rsidP="00D95303">
      <w:pPr>
        <w:pStyle w:val="MinuteHeading"/>
        <w:framePr w:w="0" w:hSpace="0" w:vSpace="0" w:wrap="auto" w:vAnchor="margin" w:hAnchor="text" w:xAlign="left" w:yAlign="inline"/>
        <w:rPr>
          <w:sz w:val="24"/>
          <w:szCs w:val="24"/>
          <w:lang w:val="en-AU"/>
        </w:rPr>
      </w:pPr>
    </w:p>
    <w:p w14:paraId="5CCF0F91" w14:textId="77777777" w:rsidR="00BD3E0C" w:rsidRPr="00323D96" w:rsidRDefault="00BD3E0C" w:rsidP="00BD3E0C"/>
    <w:p w14:paraId="0E951082" w14:textId="77777777" w:rsidR="00BD3E0C" w:rsidRPr="00323D96" w:rsidRDefault="00BD3E0C" w:rsidP="00BD3E0C"/>
    <w:p w14:paraId="07A7151C" w14:textId="77777777" w:rsidR="00BD3E0C" w:rsidRPr="00323D96" w:rsidRDefault="00BD3E0C" w:rsidP="00BD3E0C"/>
    <w:p w14:paraId="2FE18A65" w14:textId="77777777" w:rsidR="00BD3E0C" w:rsidRPr="00323D96" w:rsidRDefault="00BD3E0C" w:rsidP="00BD3E0C"/>
    <w:p w14:paraId="7A871982" w14:textId="77777777" w:rsidR="00BD3E0C" w:rsidRPr="00323D96" w:rsidRDefault="00BD3E0C" w:rsidP="00BD3E0C"/>
    <w:p w14:paraId="2BEA81BF" w14:textId="77777777" w:rsidR="00BD3E0C" w:rsidRPr="00323D96" w:rsidRDefault="00BD3E0C" w:rsidP="00BD3E0C"/>
    <w:p w14:paraId="5E80370E" w14:textId="77777777" w:rsidR="00BD3E0C" w:rsidRPr="00323D96" w:rsidRDefault="00BD3E0C" w:rsidP="00BD3E0C"/>
    <w:p w14:paraId="77CCF68A" w14:textId="77777777" w:rsidR="00BD3E0C" w:rsidRPr="00323D96" w:rsidRDefault="00BD3E0C" w:rsidP="00BD3E0C"/>
    <w:p w14:paraId="0D1AFFE7" w14:textId="77777777" w:rsidR="00BD3E0C" w:rsidRPr="00323D96" w:rsidRDefault="00BD3E0C" w:rsidP="00BD3E0C"/>
    <w:p w14:paraId="5FD7E675" w14:textId="77777777" w:rsidR="00D95303" w:rsidRPr="00323D96" w:rsidRDefault="00D95303" w:rsidP="00D95303">
      <w:pPr>
        <w:pStyle w:val="MinuteHeading"/>
        <w:framePr w:w="0" w:hSpace="0" w:vSpace="0" w:wrap="auto" w:vAnchor="margin" w:hAnchor="text" w:xAlign="left" w:yAlign="inline"/>
        <w:rPr>
          <w:sz w:val="24"/>
          <w:szCs w:val="24"/>
          <w:lang w:val="en-AU"/>
        </w:rPr>
      </w:pPr>
    </w:p>
    <w:p w14:paraId="78B0F06A" w14:textId="66E455F6" w:rsidR="00D95303" w:rsidRPr="00323D96" w:rsidRDefault="009531FF" w:rsidP="00D95303">
      <w:pPr>
        <w:pStyle w:val="MinuteHeading"/>
        <w:framePr w:w="0" w:hSpace="0" w:vSpace="0" w:wrap="auto" w:vAnchor="margin" w:hAnchor="text" w:xAlign="left" w:yAlign="inline"/>
        <w:rPr>
          <w:b w:val="0"/>
          <w:sz w:val="28"/>
          <w:szCs w:val="28"/>
        </w:rPr>
      </w:pPr>
      <w:r>
        <w:rPr>
          <w:sz w:val="28"/>
          <w:szCs w:val="28"/>
          <w:lang w:val="en-AU"/>
        </w:rPr>
        <w:t>19</w:t>
      </w:r>
      <w:r w:rsidR="00323D96" w:rsidRPr="00323D96">
        <w:rPr>
          <w:sz w:val="28"/>
          <w:szCs w:val="28"/>
          <w:lang w:val="en-AU"/>
        </w:rPr>
        <w:t xml:space="preserve"> </w:t>
      </w:r>
      <w:r w:rsidR="006B66A8">
        <w:rPr>
          <w:sz w:val="28"/>
          <w:szCs w:val="28"/>
          <w:lang w:val="en-AU"/>
        </w:rPr>
        <w:t>March</w:t>
      </w:r>
      <w:r w:rsidR="0004707D" w:rsidRPr="00323D96">
        <w:rPr>
          <w:sz w:val="28"/>
          <w:szCs w:val="28"/>
          <w:lang w:val="en-AU"/>
        </w:rPr>
        <w:t xml:space="preserve"> 20</w:t>
      </w:r>
      <w:r w:rsidR="006B66A8">
        <w:rPr>
          <w:sz w:val="28"/>
          <w:szCs w:val="28"/>
          <w:lang w:val="en-AU"/>
        </w:rPr>
        <w:t>21</w:t>
      </w:r>
      <w:r w:rsidR="00D95303" w:rsidRPr="00323D96">
        <w:rPr>
          <w:sz w:val="28"/>
          <w:szCs w:val="28"/>
          <w:lang w:val="en-AU"/>
        </w:rPr>
        <w:br/>
      </w:r>
    </w:p>
    <w:p w14:paraId="37041183" w14:textId="77777777" w:rsidR="00954C96" w:rsidRDefault="00954C96" w:rsidP="00D95303">
      <w:pPr>
        <w:pStyle w:val="TOCHeading1"/>
        <w:rPr>
          <w:rFonts w:ascii="Times New Roman" w:hAnsi="Times New Roman"/>
          <w:b w:val="0"/>
          <w:sz w:val="24"/>
          <w:szCs w:val="24"/>
          <w:u w:val="single"/>
        </w:rPr>
        <w:sectPr w:rsidR="00954C96" w:rsidSect="00323D96">
          <w:headerReference w:type="even" r:id="rId9"/>
          <w:footerReference w:type="default" r:id="rId10"/>
          <w:pgSz w:w="11906" w:h="16838"/>
          <w:pgMar w:top="1134" w:right="1797" w:bottom="1440" w:left="1797" w:header="567" w:footer="284" w:gutter="0"/>
          <w:pgNumType w:fmt="lowerRoman" w:start="1"/>
          <w:cols w:space="708"/>
          <w:formProt w:val="0"/>
          <w:titlePg/>
          <w:docGrid w:linePitch="360"/>
        </w:sectPr>
      </w:pPr>
    </w:p>
    <w:p w14:paraId="3220A3EF" w14:textId="77777777" w:rsidR="00D95303" w:rsidRPr="00323D96" w:rsidRDefault="00D95303" w:rsidP="00D95303">
      <w:pPr>
        <w:pStyle w:val="NormalCentred"/>
        <w:ind w:right="3"/>
        <w:rPr>
          <w:b/>
          <w:bCs/>
        </w:rPr>
      </w:pPr>
      <w:r w:rsidRPr="00323D96">
        <w:rPr>
          <w:b/>
          <w:bCs/>
        </w:rPr>
        <w:lastRenderedPageBreak/>
        <w:t>TABLE OF CONTENTS</w:t>
      </w:r>
    </w:p>
    <w:p w14:paraId="293DDD65" w14:textId="77777777" w:rsidR="00D95303" w:rsidRPr="00323D96" w:rsidRDefault="00D95303" w:rsidP="00D95303">
      <w:pPr>
        <w:jc w:val="center"/>
      </w:pPr>
    </w:p>
    <w:p w14:paraId="45632FCD" w14:textId="77777777" w:rsidR="00AD022F" w:rsidRPr="00A43ADC" w:rsidRDefault="00D95303">
      <w:pPr>
        <w:pStyle w:val="TOC1"/>
        <w:rPr>
          <w:rFonts w:ascii="Times New Roman" w:eastAsia="Times New Roman" w:hAnsi="Times New Roman"/>
          <w:b w:val="0"/>
          <w:caps w:val="0"/>
          <w:sz w:val="24"/>
          <w:szCs w:val="24"/>
          <w:lang w:eastAsia="en-AU"/>
        </w:rPr>
      </w:pPr>
      <w:r w:rsidRPr="00AD022F">
        <w:rPr>
          <w:rFonts w:ascii="Times New Roman" w:hAnsi="Times New Roman"/>
          <w:b w:val="0"/>
          <w:sz w:val="24"/>
          <w:szCs w:val="24"/>
        </w:rPr>
        <w:fldChar w:fldCharType="begin"/>
      </w:r>
      <w:r w:rsidRPr="00AD022F">
        <w:rPr>
          <w:rFonts w:ascii="Times New Roman" w:hAnsi="Times New Roman"/>
          <w:b w:val="0"/>
          <w:sz w:val="24"/>
          <w:szCs w:val="24"/>
        </w:rPr>
        <w:instrText xml:space="preserve"> TOC \o "1-3" \h \z \u </w:instrText>
      </w:r>
      <w:r w:rsidRPr="00AD022F">
        <w:rPr>
          <w:rFonts w:ascii="Times New Roman" w:hAnsi="Times New Roman"/>
          <w:b w:val="0"/>
          <w:sz w:val="24"/>
          <w:szCs w:val="24"/>
        </w:rPr>
        <w:fldChar w:fldCharType="separate"/>
      </w:r>
      <w:hyperlink w:anchor="_Toc499057957" w:history="1">
        <w:r w:rsidR="00AD022F" w:rsidRPr="00AD022F">
          <w:rPr>
            <w:rStyle w:val="Hyperlink"/>
            <w:rFonts w:ascii="Times New Roman" w:hAnsi="Times New Roman"/>
            <w:sz w:val="24"/>
            <w:szCs w:val="24"/>
          </w:rPr>
          <w:t>I.</w:t>
        </w:r>
        <w:r w:rsidR="00AD022F" w:rsidRPr="00A43ADC">
          <w:rPr>
            <w:rFonts w:ascii="Times New Roman" w:eastAsia="Times New Roman" w:hAnsi="Times New Roman"/>
            <w:b w:val="0"/>
            <w:caps w:val="0"/>
            <w:sz w:val="24"/>
            <w:szCs w:val="24"/>
            <w:lang w:eastAsia="en-AU"/>
          </w:rPr>
          <w:tab/>
        </w:r>
        <w:r w:rsidR="00AD022F" w:rsidRPr="00AD022F">
          <w:rPr>
            <w:rStyle w:val="Hyperlink"/>
            <w:rFonts w:ascii="Times New Roman" w:hAnsi="Times New Roman"/>
            <w:sz w:val="24"/>
            <w:szCs w:val="24"/>
          </w:rPr>
          <w:t>INTRODUCTION</w:t>
        </w:r>
        <w:r w:rsidR="00AD022F" w:rsidRPr="00AD022F">
          <w:rPr>
            <w:rFonts w:ascii="Times New Roman" w:hAnsi="Times New Roman"/>
            <w:webHidden/>
            <w:sz w:val="24"/>
            <w:szCs w:val="24"/>
          </w:rPr>
          <w:tab/>
        </w:r>
        <w:r w:rsidR="00AD022F" w:rsidRPr="00AD022F">
          <w:rPr>
            <w:rFonts w:ascii="Times New Roman" w:hAnsi="Times New Roman"/>
            <w:webHidden/>
            <w:sz w:val="24"/>
            <w:szCs w:val="24"/>
          </w:rPr>
          <w:fldChar w:fldCharType="begin"/>
        </w:r>
        <w:r w:rsidR="00AD022F" w:rsidRPr="00AD022F">
          <w:rPr>
            <w:rFonts w:ascii="Times New Roman" w:hAnsi="Times New Roman"/>
            <w:webHidden/>
            <w:sz w:val="24"/>
            <w:szCs w:val="24"/>
          </w:rPr>
          <w:instrText xml:space="preserve"> PAGEREF _Toc499057957 \h </w:instrText>
        </w:r>
        <w:r w:rsidR="00AD022F" w:rsidRPr="00AD022F">
          <w:rPr>
            <w:rFonts w:ascii="Times New Roman" w:hAnsi="Times New Roman"/>
            <w:webHidden/>
            <w:sz w:val="24"/>
            <w:szCs w:val="24"/>
          </w:rPr>
        </w:r>
        <w:r w:rsidR="00AD022F" w:rsidRPr="00AD022F">
          <w:rPr>
            <w:rFonts w:ascii="Times New Roman" w:hAnsi="Times New Roman"/>
            <w:webHidden/>
            <w:sz w:val="24"/>
            <w:szCs w:val="24"/>
          </w:rPr>
          <w:fldChar w:fldCharType="separate"/>
        </w:r>
        <w:r w:rsidR="00132FA6">
          <w:rPr>
            <w:rFonts w:ascii="Times New Roman" w:hAnsi="Times New Roman"/>
            <w:webHidden/>
            <w:sz w:val="24"/>
            <w:szCs w:val="24"/>
          </w:rPr>
          <w:t>- 1 -</w:t>
        </w:r>
        <w:r w:rsidR="00AD022F" w:rsidRPr="00AD022F">
          <w:rPr>
            <w:rFonts w:ascii="Times New Roman" w:hAnsi="Times New Roman"/>
            <w:webHidden/>
            <w:sz w:val="24"/>
            <w:szCs w:val="24"/>
          </w:rPr>
          <w:fldChar w:fldCharType="end"/>
        </w:r>
      </w:hyperlink>
    </w:p>
    <w:p w14:paraId="092DA996" w14:textId="77777777" w:rsidR="00AD022F" w:rsidRDefault="00AD022F">
      <w:pPr>
        <w:pStyle w:val="TOC1"/>
        <w:rPr>
          <w:rStyle w:val="Hyperlink"/>
          <w:rFonts w:ascii="Times New Roman" w:hAnsi="Times New Roman"/>
          <w:sz w:val="24"/>
          <w:szCs w:val="24"/>
        </w:rPr>
      </w:pPr>
    </w:p>
    <w:p w14:paraId="37CF985D" w14:textId="71114502" w:rsidR="00AD022F" w:rsidRPr="00A43ADC" w:rsidRDefault="004F7E94">
      <w:pPr>
        <w:pStyle w:val="TOC1"/>
        <w:rPr>
          <w:rFonts w:ascii="Times New Roman" w:eastAsia="Times New Roman" w:hAnsi="Times New Roman"/>
          <w:b w:val="0"/>
          <w:caps w:val="0"/>
          <w:sz w:val="24"/>
          <w:szCs w:val="24"/>
          <w:lang w:eastAsia="en-AU"/>
        </w:rPr>
      </w:pPr>
      <w:hyperlink w:anchor="_Toc499057958" w:history="1">
        <w:r w:rsidR="00AD022F" w:rsidRPr="00AD022F">
          <w:rPr>
            <w:rStyle w:val="Hyperlink"/>
            <w:rFonts w:ascii="Times New Roman" w:hAnsi="Times New Roman"/>
            <w:sz w:val="24"/>
            <w:szCs w:val="24"/>
          </w:rPr>
          <w:t>II.</w:t>
        </w:r>
        <w:r w:rsidR="00AD022F" w:rsidRPr="00A43ADC">
          <w:rPr>
            <w:rFonts w:ascii="Times New Roman" w:eastAsia="Times New Roman" w:hAnsi="Times New Roman"/>
            <w:b w:val="0"/>
            <w:caps w:val="0"/>
            <w:sz w:val="24"/>
            <w:szCs w:val="24"/>
            <w:lang w:eastAsia="en-AU"/>
          </w:rPr>
          <w:tab/>
        </w:r>
        <w:r w:rsidR="002A41E9">
          <w:rPr>
            <w:rStyle w:val="Hyperlink"/>
            <w:rFonts w:ascii="Times New Roman" w:hAnsi="Times New Roman"/>
            <w:sz w:val="24"/>
            <w:szCs w:val="24"/>
          </w:rPr>
          <w:t>A</w:t>
        </w:r>
        <w:r w:rsidR="00EF0886">
          <w:rPr>
            <w:rStyle w:val="Hyperlink"/>
            <w:rFonts w:ascii="Times New Roman" w:hAnsi="Times New Roman"/>
            <w:sz w:val="24"/>
            <w:szCs w:val="24"/>
          </w:rPr>
          <w:t>greement on Technical Barriers to Trade</w:t>
        </w:r>
        <w:r w:rsidR="00AD022F" w:rsidRPr="00AD022F">
          <w:rPr>
            <w:rFonts w:ascii="Times New Roman" w:hAnsi="Times New Roman"/>
            <w:webHidden/>
            <w:sz w:val="24"/>
            <w:szCs w:val="24"/>
          </w:rPr>
          <w:tab/>
        </w:r>
      </w:hyperlink>
      <w:r w:rsidR="002F0A3F">
        <w:rPr>
          <w:rFonts w:ascii="Times New Roman" w:hAnsi="Times New Roman"/>
          <w:sz w:val="24"/>
          <w:szCs w:val="24"/>
        </w:rPr>
        <w:t>- 1 -</w:t>
      </w:r>
    </w:p>
    <w:p w14:paraId="14E2F60B" w14:textId="57002AE3" w:rsidR="005F7A9D" w:rsidRDefault="004F7E94" w:rsidP="005F7A9D">
      <w:pPr>
        <w:pStyle w:val="TOC2"/>
      </w:pPr>
      <w:hyperlink w:anchor="_Toc499057960" w:history="1">
        <w:r w:rsidR="005F7A9D" w:rsidRPr="00AD022F">
          <w:rPr>
            <w:rStyle w:val="Hyperlink"/>
          </w:rPr>
          <w:t>A.</w:t>
        </w:r>
        <w:r w:rsidR="005F7A9D" w:rsidRPr="00A43ADC">
          <w:rPr>
            <w:rFonts w:eastAsia="Times New Roman"/>
            <w:lang w:eastAsia="en-AU"/>
          </w:rPr>
          <w:tab/>
        </w:r>
        <w:r w:rsidR="005F7A9D" w:rsidRPr="00AD022F">
          <w:rPr>
            <w:rStyle w:val="Hyperlink"/>
          </w:rPr>
          <w:t xml:space="preserve">Article </w:t>
        </w:r>
        <w:r w:rsidR="005F7A9D">
          <w:rPr>
            <w:rStyle w:val="Hyperlink"/>
          </w:rPr>
          <w:t xml:space="preserve">2.2 of the </w:t>
        </w:r>
        <w:r w:rsidR="00C5703B">
          <w:rPr>
            <w:rStyle w:val="Hyperlink"/>
          </w:rPr>
          <w:t>TBT Agreement</w:t>
        </w:r>
        <w:r w:rsidR="005F7A9D" w:rsidRPr="00AD022F">
          <w:rPr>
            <w:webHidden/>
          </w:rPr>
          <w:tab/>
        </w:r>
        <w:r w:rsidR="005F7A9D" w:rsidRPr="00AD022F">
          <w:rPr>
            <w:webHidden/>
          </w:rPr>
          <w:fldChar w:fldCharType="begin"/>
        </w:r>
        <w:r w:rsidR="005F7A9D" w:rsidRPr="00AD022F">
          <w:rPr>
            <w:webHidden/>
          </w:rPr>
          <w:instrText xml:space="preserve"> PAGEREF _Toc499057960 \h </w:instrText>
        </w:r>
        <w:r w:rsidR="005F7A9D" w:rsidRPr="00AD022F">
          <w:rPr>
            <w:webHidden/>
          </w:rPr>
        </w:r>
        <w:r w:rsidR="005F7A9D" w:rsidRPr="00AD022F">
          <w:rPr>
            <w:webHidden/>
          </w:rPr>
          <w:fldChar w:fldCharType="separate"/>
        </w:r>
        <w:r w:rsidR="005F7A9D">
          <w:rPr>
            <w:webHidden/>
          </w:rPr>
          <w:t>- 2 -</w:t>
        </w:r>
        <w:r w:rsidR="005F7A9D" w:rsidRPr="00AD022F">
          <w:rPr>
            <w:webHidden/>
          </w:rPr>
          <w:fldChar w:fldCharType="end"/>
        </w:r>
      </w:hyperlink>
    </w:p>
    <w:p w14:paraId="7751B6E9" w14:textId="77777777" w:rsidR="005F7A9D" w:rsidRPr="005F7A9D" w:rsidRDefault="005F7A9D" w:rsidP="005F7A9D">
      <w:pPr>
        <w:rPr>
          <w:lang w:eastAsia="zh-CN"/>
        </w:rPr>
      </w:pPr>
    </w:p>
    <w:p w14:paraId="6A25D1B8" w14:textId="5B6C43FA" w:rsidR="00AD022F" w:rsidRPr="00A43ADC" w:rsidRDefault="004F7E94">
      <w:pPr>
        <w:pStyle w:val="TOC1"/>
        <w:rPr>
          <w:rFonts w:ascii="Times New Roman" w:eastAsia="Times New Roman" w:hAnsi="Times New Roman"/>
          <w:b w:val="0"/>
          <w:caps w:val="0"/>
          <w:sz w:val="24"/>
          <w:szCs w:val="24"/>
          <w:lang w:eastAsia="en-AU"/>
        </w:rPr>
      </w:pPr>
      <w:hyperlink w:anchor="_Toc499057959" w:history="1">
        <w:r w:rsidR="00AD022F" w:rsidRPr="00AD022F">
          <w:rPr>
            <w:rStyle w:val="Hyperlink"/>
            <w:rFonts w:ascii="Times New Roman" w:hAnsi="Times New Roman"/>
            <w:sz w:val="24"/>
            <w:szCs w:val="24"/>
          </w:rPr>
          <w:t>III.</w:t>
        </w:r>
        <w:r w:rsidR="00AD022F" w:rsidRPr="00A43ADC">
          <w:rPr>
            <w:rFonts w:ascii="Times New Roman" w:eastAsia="Times New Roman" w:hAnsi="Times New Roman"/>
            <w:b w:val="0"/>
            <w:caps w:val="0"/>
            <w:sz w:val="24"/>
            <w:szCs w:val="24"/>
            <w:lang w:eastAsia="en-AU"/>
          </w:rPr>
          <w:tab/>
        </w:r>
        <w:r w:rsidR="006375D8">
          <w:rPr>
            <w:rFonts w:ascii="Times New Roman" w:eastAsia="Times New Roman" w:hAnsi="Times New Roman"/>
            <w:bCs/>
            <w:caps w:val="0"/>
            <w:sz w:val="24"/>
            <w:szCs w:val="24"/>
            <w:lang w:eastAsia="en-AU"/>
          </w:rPr>
          <w:t>GENERAL AGREEMENT ON TARIFFS AND TRADE 1994</w:t>
        </w:r>
        <w:r w:rsidR="00AD022F" w:rsidRPr="00AD022F">
          <w:rPr>
            <w:rFonts w:ascii="Times New Roman" w:hAnsi="Times New Roman"/>
            <w:webHidden/>
            <w:sz w:val="24"/>
            <w:szCs w:val="24"/>
          </w:rPr>
          <w:tab/>
        </w:r>
        <w:r w:rsidR="00AD022F" w:rsidRPr="00AD022F">
          <w:rPr>
            <w:rFonts w:ascii="Times New Roman" w:hAnsi="Times New Roman"/>
            <w:webHidden/>
            <w:sz w:val="24"/>
            <w:szCs w:val="24"/>
          </w:rPr>
          <w:fldChar w:fldCharType="begin"/>
        </w:r>
        <w:r w:rsidR="00AD022F" w:rsidRPr="00AD022F">
          <w:rPr>
            <w:rFonts w:ascii="Times New Roman" w:hAnsi="Times New Roman"/>
            <w:webHidden/>
            <w:sz w:val="24"/>
            <w:szCs w:val="24"/>
          </w:rPr>
          <w:instrText xml:space="preserve"> PAGEREF _Toc499057959 \h </w:instrText>
        </w:r>
        <w:r w:rsidR="00AD022F" w:rsidRPr="00AD022F">
          <w:rPr>
            <w:rFonts w:ascii="Times New Roman" w:hAnsi="Times New Roman"/>
            <w:webHidden/>
            <w:sz w:val="24"/>
            <w:szCs w:val="24"/>
          </w:rPr>
        </w:r>
        <w:r w:rsidR="00AD022F" w:rsidRPr="00AD022F">
          <w:rPr>
            <w:rFonts w:ascii="Times New Roman" w:hAnsi="Times New Roman"/>
            <w:webHidden/>
            <w:sz w:val="24"/>
            <w:szCs w:val="24"/>
          </w:rPr>
          <w:fldChar w:fldCharType="separate"/>
        </w:r>
        <w:r w:rsidR="00132FA6">
          <w:rPr>
            <w:rFonts w:ascii="Times New Roman" w:hAnsi="Times New Roman"/>
            <w:webHidden/>
            <w:sz w:val="24"/>
            <w:szCs w:val="24"/>
          </w:rPr>
          <w:t xml:space="preserve">- </w:t>
        </w:r>
        <w:r w:rsidR="002A41E9">
          <w:rPr>
            <w:rFonts w:ascii="Times New Roman" w:hAnsi="Times New Roman"/>
            <w:webHidden/>
            <w:sz w:val="24"/>
            <w:szCs w:val="24"/>
          </w:rPr>
          <w:t>6</w:t>
        </w:r>
        <w:r w:rsidR="00132FA6">
          <w:rPr>
            <w:rFonts w:ascii="Times New Roman" w:hAnsi="Times New Roman"/>
            <w:webHidden/>
            <w:sz w:val="24"/>
            <w:szCs w:val="24"/>
          </w:rPr>
          <w:t>-</w:t>
        </w:r>
        <w:r w:rsidR="00AD022F" w:rsidRPr="00AD022F">
          <w:rPr>
            <w:rFonts w:ascii="Times New Roman" w:hAnsi="Times New Roman"/>
            <w:webHidden/>
            <w:sz w:val="24"/>
            <w:szCs w:val="24"/>
          </w:rPr>
          <w:fldChar w:fldCharType="end"/>
        </w:r>
      </w:hyperlink>
    </w:p>
    <w:p w14:paraId="47EB690B" w14:textId="2AC701E6" w:rsidR="00AD022F" w:rsidRPr="00A43ADC" w:rsidRDefault="004F7E94">
      <w:pPr>
        <w:pStyle w:val="TOC2"/>
        <w:rPr>
          <w:rFonts w:eastAsia="Times New Roman"/>
          <w:lang w:eastAsia="en-AU"/>
        </w:rPr>
      </w:pPr>
      <w:hyperlink w:anchor="_Toc499057960" w:history="1">
        <w:r w:rsidR="00AD022F" w:rsidRPr="00AD022F">
          <w:rPr>
            <w:rStyle w:val="Hyperlink"/>
          </w:rPr>
          <w:t>A.</w:t>
        </w:r>
        <w:r w:rsidR="00AD022F" w:rsidRPr="00A43ADC">
          <w:rPr>
            <w:rFonts w:eastAsia="Times New Roman"/>
            <w:lang w:eastAsia="en-AU"/>
          </w:rPr>
          <w:tab/>
        </w:r>
        <w:r w:rsidR="00AD022F" w:rsidRPr="00AD022F">
          <w:rPr>
            <w:rStyle w:val="Hyperlink"/>
          </w:rPr>
          <w:t xml:space="preserve">Article </w:t>
        </w:r>
        <w:r w:rsidR="006375D8">
          <w:rPr>
            <w:rStyle w:val="Hyperlink"/>
          </w:rPr>
          <w:t>XX</w:t>
        </w:r>
        <w:r w:rsidR="00AD022F" w:rsidRPr="00AD022F">
          <w:rPr>
            <w:webHidden/>
          </w:rPr>
          <w:tab/>
        </w:r>
        <w:r w:rsidR="00AD022F" w:rsidRPr="00AD022F">
          <w:rPr>
            <w:webHidden/>
          </w:rPr>
          <w:fldChar w:fldCharType="begin"/>
        </w:r>
        <w:r w:rsidR="00AD022F" w:rsidRPr="00AD022F">
          <w:rPr>
            <w:webHidden/>
          </w:rPr>
          <w:instrText xml:space="preserve"> PAGEREF _Toc499057960 \h </w:instrText>
        </w:r>
        <w:r w:rsidR="00AD022F" w:rsidRPr="00AD022F">
          <w:rPr>
            <w:webHidden/>
          </w:rPr>
        </w:r>
        <w:r w:rsidR="00AD022F" w:rsidRPr="00AD022F">
          <w:rPr>
            <w:webHidden/>
          </w:rPr>
          <w:fldChar w:fldCharType="separate"/>
        </w:r>
        <w:r w:rsidR="00132FA6">
          <w:rPr>
            <w:webHidden/>
          </w:rPr>
          <w:t xml:space="preserve">- </w:t>
        </w:r>
        <w:r w:rsidR="002A41E9">
          <w:rPr>
            <w:webHidden/>
          </w:rPr>
          <w:t>6</w:t>
        </w:r>
        <w:r w:rsidR="00132FA6">
          <w:rPr>
            <w:webHidden/>
          </w:rPr>
          <w:t xml:space="preserve"> -</w:t>
        </w:r>
        <w:r w:rsidR="00AD022F" w:rsidRPr="00AD022F">
          <w:rPr>
            <w:webHidden/>
          </w:rPr>
          <w:fldChar w:fldCharType="end"/>
        </w:r>
      </w:hyperlink>
    </w:p>
    <w:p w14:paraId="5F2FED95" w14:textId="3D7234A8" w:rsidR="00AD022F" w:rsidRPr="00A43ADC" w:rsidRDefault="004F7E94">
      <w:pPr>
        <w:pStyle w:val="TOC1"/>
        <w:rPr>
          <w:rFonts w:ascii="Times New Roman" w:eastAsia="Times New Roman" w:hAnsi="Times New Roman"/>
          <w:b w:val="0"/>
          <w:caps w:val="0"/>
          <w:sz w:val="24"/>
          <w:szCs w:val="24"/>
          <w:lang w:eastAsia="en-AU"/>
        </w:rPr>
      </w:pPr>
      <w:hyperlink w:anchor="_Toc499057963" w:history="1">
        <w:r w:rsidR="00AD022F" w:rsidRPr="00AD022F">
          <w:rPr>
            <w:rStyle w:val="Hyperlink"/>
            <w:rFonts w:ascii="Times New Roman" w:hAnsi="Times New Roman"/>
            <w:sz w:val="24"/>
            <w:szCs w:val="24"/>
          </w:rPr>
          <w:t>IV.</w:t>
        </w:r>
        <w:r w:rsidR="00AD022F" w:rsidRPr="00A43ADC">
          <w:rPr>
            <w:rFonts w:ascii="Times New Roman" w:eastAsia="Times New Roman" w:hAnsi="Times New Roman"/>
            <w:b w:val="0"/>
            <w:caps w:val="0"/>
            <w:sz w:val="24"/>
            <w:szCs w:val="24"/>
            <w:lang w:eastAsia="en-AU"/>
          </w:rPr>
          <w:tab/>
        </w:r>
        <w:r w:rsidR="00AD022F" w:rsidRPr="00AD022F">
          <w:rPr>
            <w:rStyle w:val="Hyperlink"/>
            <w:rFonts w:ascii="Times New Roman" w:hAnsi="Times New Roman"/>
            <w:sz w:val="24"/>
            <w:szCs w:val="24"/>
          </w:rPr>
          <w:t>CONCLUSION</w:t>
        </w:r>
        <w:r w:rsidR="00AD022F" w:rsidRPr="00AD022F">
          <w:rPr>
            <w:rFonts w:ascii="Times New Roman" w:hAnsi="Times New Roman"/>
            <w:webHidden/>
            <w:sz w:val="24"/>
            <w:szCs w:val="24"/>
          </w:rPr>
          <w:tab/>
        </w:r>
        <w:r w:rsidR="00AD022F" w:rsidRPr="00AD022F">
          <w:rPr>
            <w:rFonts w:ascii="Times New Roman" w:hAnsi="Times New Roman"/>
            <w:webHidden/>
            <w:sz w:val="24"/>
            <w:szCs w:val="24"/>
          </w:rPr>
          <w:fldChar w:fldCharType="begin"/>
        </w:r>
        <w:r w:rsidR="00AD022F" w:rsidRPr="00AD022F">
          <w:rPr>
            <w:rFonts w:ascii="Times New Roman" w:hAnsi="Times New Roman"/>
            <w:webHidden/>
            <w:sz w:val="24"/>
            <w:szCs w:val="24"/>
          </w:rPr>
          <w:instrText xml:space="preserve"> PAGEREF _Toc499057963 \h </w:instrText>
        </w:r>
        <w:r w:rsidR="00AD022F" w:rsidRPr="00AD022F">
          <w:rPr>
            <w:rFonts w:ascii="Times New Roman" w:hAnsi="Times New Roman"/>
            <w:webHidden/>
            <w:sz w:val="24"/>
            <w:szCs w:val="24"/>
          </w:rPr>
        </w:r>
        <w:r w:rsidR="00AD022F" w:rsidRPr="00AD022F">
          <w:rPr>
            <w:rFonts w:ascii="Times New Roman" w:hAnsi="Times New Roman"/>
            <w:webHidden/>
            <w:sz w:val="24"/>
            <w:szCs w:val="24"/>
          </w:rPr>
          <w:fldChar w:fldCharType="separate"/>
        </w:r>
        <w:r w:rsidR="00132FA6">
          <w:rPr>
            <w:rFonts w:ascii="Times New Roman" w:hAnsi="Times New Roman"/>
            <w:webHidden/>
            <w:sz w:val="24"/>
            <w:szCs w:val="24"/>
          </w:rPr>
          <w:t xml:space="preserve">- </w:t>
        </w:r>
        <w:r w:rsidR="000C2B5F">
          <w:rPr>
            <w:rFonts w:ascii="Times New Roman" w:hAnsi="Times New Roman"/>
            <w:webHidden/>
            <w:sz w:val="24"/>
            <w:szCs w:val="24"/>
          </w:rPr>
          <w:t>7</w:t>
        </w:r>
        <w:r w:rsidR="00132FA6">
          <w:rPr>
            <w:rFonts w:ascii="Times New Roman" w:hAnsi="Times New Roman"/>
            <w:webHidden/>
            <w:sz w:val="24"/>
            <w:szCs w:val="24"/>
          </w:rPr>
          <w:t xml:space="preserve"> -</w:t>
        </w:r>
        <w:r w:rsidR="00AD022F" w:rsidRPr="00AD022F">
          <w:rPr>
            <w:rFonts w:ascii="Times New Roman" w:hAnsi="Times New Roman"/>
            <w:webHidden/>
            <w:sz w:val="24"/>
            <w:szCs w:val="24"/>
          </w:rPr>
          <w:fldChar w:fldCharType="end"/>
        </w:r>
      </w:hyperlink>
    </w:p>
    <w:p w14:paraId="4CBA6636" w14:textId="77777777" w:rsidR="00D95303" w:rsidRPr="00AD022F" w:rsidRDefault="00D95303" w:rsidP="00D95303">
      <w:r w:rsidRPr="00AD022F">
        <w:fldChar w:fldCharType="end"/>
      </w:r>
    </w:p>
    <w:p w14:paraId="25F013D7" w14:textId="4737F59D" w:rsidR="00D95303" w:rsidRPr="00AD022F" w:rsidRDefault="00D95303" w:rsidP="00D95303">
      <w:pPr>
        <w:rPr>
          <w:rFonts w:eastAsia="Calibri"/>
          <w:b/>
        </w:rPr>
      </w:pPr>
      <w:r w:rsidRPr="00AD022F">
        <w:rPr>
          <w:rFonts w:eastAsia="Calibri"/>
          <w:b/>
        </w:rPr>
        <w:br w:type="page"/>
      </w:r>
    </w:p>
    <w:p w14:paraId="0635DA01" w14:textId="77777777" w:rsidR="00D95303" w:rsidRPr="00323D96" w:rsidRDefault="00D95303" w:rsidP="00384BC6">
      <w:pPr>
        <w:jc w:val="center"/>
        <w:rPr>
          <w:b/>
        </w:rPr>
      </w:pPr>
      <w:bookmarkStart w:id="7" w:name="_Toc260256831"/>
      <w:r w:rsidRPr="00323D96">
        <w:rPr>
          <w:b/>
        </w:rPr>
        <w:lastRenderedPageBreak/>
        <w:t>CASES</w:t>
      </w:r>
      <w:bookmarkEnd w:id="7"/>
      <w:r w:rsidR="00384BC6" w:rsidRPr="00323D96">
        <w:rPr>
          <w:b/>
        </w:rPr>
        <w:t xml:space="preserve"> CITED IN THIS SUBMISSION</w:t>
      </w:r>
    </w:p>
    <w:p w14:paraId="5AF902FF" w14:textId="77777777" w:rsidR="00384BC6" w:rsidRPr="00323D96" w:rsidRDefault="00384BC6" w:rsidP="00384BC6">
      <w:pPr>
        <w:jc w:val="center"/>
        <w:rPr>
          <w:b/>
        </w:rPr>
      </w:pPr>
    </w:p>
    <w:p w14:paraId="1DF4D80A" w14:textId="77777777" w:rsidR="00384BC6" w:rsidRPr="00323D96" w:rsidRDefault="00384BC6" w:rsidP="00384BC6">
      <w:pPr>
        <w:jc w:val="center"/>
        <w:rPr>
          <w:b/>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6800"/>
      </w:tblGrid>
      <w:tr w:rsidR="00D95303" w:rsidRPr="00323D96" w14:paraId="19A734B0" w14:textId="77777777" w:rsidTr="00EB26ED">
        <w:trPr>
          <w:cantSplit/>
          <w:trHeight w:val="1040"/>
          <w:tblHeader/>
          <w:jc w:val="center"/>
        </w:trPr>
        <w:tc>
          <w:tcPr>
            <w:tcW w:w="2274" w:type="dxa"/>
            <w:vAlign w:val="center"/>
          </w:tcPr>
          <w:p w14:paraId="5510C495" w14:textId="77777777" w:rsidR="00D95303" w:rsidRPr="00323D96" w:rsidRDefault="00D95303" w:rsidP="00EB26ED">
            <w:pPr>
              <w:keepLines/>
              <w:tabs>
                <w:tab w:val="left" w:pos="2268"/>
                <w:tab w:val="left" w:pos="4536"/>
              </w:tabs>
              <w:spacing w:before="120" w:after="120"/>
              <w:jc w:val="center"/>
              <w:rPr>
                <w:b/>
                <w:spacing w:val="-2"/>
              </w:rPr>
            </w:pPr>
            <w:r w:rsidRPr="00323D96">
              <w:rPr>
                <w:b/>
                <w:spacing w:val="-2"/>
              </w:rPr>
              <w:t>Short Title</w:t>
            </w:r>
          </w:p>
        </w:tc>
        <w:tc>
          <w:tcPr>
            <w:tcW w:w="6800" w:type="dxa"/>
            <w:vAlign w:val="center"/>
          </w:tcPr>
          <w:p w14:paraId="7F5276DF" w14:textId="77777777" w:rsidR="00D95303" w:rsidRPr="00323D96" w:rsidRDefault="00D95303" w:rsidP="00EB26ED">
            <w:pPr>
              <w:keepLines/>
              <w:tabs>
                <w:tab w:val="left" w:pos="2268"/>
                <w:tab w:val="left" w:pos="4536"/>
              </w:tabs>
              <w:spacing w:before="120" w:after="120"/>
              <w:jc w:val="center"/>
              <w:rPr>
                <w:b/>
                <w:spacing w:val="-2"/>
              </w:rPr>
            </w:pPr>
            <w:r w:rsidRPr="00323D96">
              <w:rPr>
                <w:b/>
                <w:spacing w:val="-2"/>
              </w:rPr>
              <w:t>Full Case Title and Citation</w:t>
            </w:r>
          </w:p>
        </w:tc>
      </w:tr>
      <w:tr w:rsidR="0091382C" w:rsidRPr="00323D96" w14:paraId="5A923401" w14:textId="77777777" w:rsidTr="001D370E">
        <w:trPr>
          <w:cantSplit/>
          <w:trHeight w:val="1040"/>
          <w:jc w:val="center"/>
        </w:trPr>
        <w:tc>
          <w:tcPr>
            <w:tcW w:w="2274" w:type="dxa"/>
            <w:shd w:val="clear" w:color="auto" w:fill="auto"/>
          </w:tcPr>
          <w:p w14:paraId="3E9CF82A" w14:textId="316F761B" w:rsidR="0091382C" w:rsidRPr="007851AE" w:rsidRDefault="00F2512B" w:rsidP="0091382C">
            <w:pPr>
              <w:spacing w:before="40" w:after="40"/>
              <w:rPr>
                <w:i/>
                <w:iCs/>
              </w:rPr>
            </w:pPr>
            <w:r w:rsidRPr="007851AE">
              <w:rPr>
                <w:i/>
              </w:rPr>
              <w:t>Australia</w:t>
            </w:r>
            <w:r w:rsidR="0091382C" w:rsidRPr="007851AE">
              <w:rPr>
                <w:i/>
              </w:rPr>
              <w:t xml:space="preserve"> – </w:t>
            </w:r>
            <w:r w:rsidRPr="007851AE">
              <w:rPr>
                <w:i/>
              </w:rPr>
              <w:t>Tobacco Plain Packaging</w:t>
            </w:r>
          </w:p>
        </w:tc>
        <w:tc>
          <w:tcPr>
            <w:tcW w:w="6800" w:type="dxa"/>
            <w:shd w:val="clear" w:color="auto" w:fill="auto"/>
          </w:tcPr>
          <w:p w14:paraId="26E92DE3" w14:textId="398AB787" w:rsidR="0091382C" w:rsidRPr="007851AE" w:rsidRDefault="0091382C" w:rsidP="0091382C">
            <w:pPr>
              <w:tabs>
                <w:tab w:val="left" w:pos="2268"/>
                <w:tab w:val="left" w:pos="4536"/>
              </w:tabs>
              <w:spacing w:before="40" w:after="40"/>
              <w:rPr>
                <w:i/>
              </w:rPr>
            </w:pPr>
            <w:r w:rsidRPr="007851AE">
              <w:t>Panel Report</w:t>
            </w:r>
            <w:r w:rsidR="00F2512B" w:rsidRPr="007851AE">
              <w:t>s</w:t>
            </w:r>
            <w:r w:rsidRPr="007851AE">
              <w:t>,</w:t>
            </w:r>
            <w:r w:rsidR="00B60B40" w:rsidRPr="007851AE">
              <w:t xml:space="preserve"> </w:t>
            </w:r>
            <w:r w:rsidR="00B60B40" w:rsidRPr="007851AE">
              <w:rPr>
                <w:i/>
                <w:iCs/>
              </w:rPr>
              <w:t>Australia -</w:t>
            </w:r>
            <w:r w:rsidRPr="007851AE">
              <w:t xml:space="preserve"> </w:t>
            </w:r>
            <w:r w:rsidR="00F2512B" w:rsidRPr="007851AE">
              <w:rPr>
                <w:i/>
              </w:rPr>
              <w:t>Certain Measures Concerning Trademarks, Geographical Indications and Other Plain Packaging Requirements Applicable to Tobacco Products and Packaging</w:t>
            </w:r>
            <w:r w:rsidRPr="007851AE">
              <w:t xml:space="preserve">, </w:t>
            </w:r>
            <w:r w:rsidR="009975F5" w:rsidRPr="007851AE">
              <w:t>WT/DS435/R, WT/DS435/R/Add.1, and WT/DS435/R/Suppl.1; WT/DS441/R, WT/DS441/R/Add.1, and WT/DS441/R/Suppl.1 adopted on 29 June 2020, as modified by Appellate Body Reports WT/DS435/AB/R and WT/DS435/AB/R/Add.1, WT/DS441/AB/R and WT/DS441/AB/R/Add.1</w:t>
            </w:r>
          </w:p>
        </w:tc>
      </w:tr>
      <w:tr w:rsidR="00864155" w:rsidRPr="00323D96" w14:paraId="7B10F29B" w14:textId="77777777" w:rsidTr="001D370E">
        <w:trPr>
          <w:cantSplit/>
          <w:trHeight w:val="1040"/>
          <w:jc w:val="center"/>
        </w:trPr>
        <w:tc>
          <w:tcPr>
            <w:tcW w:w="2274" w:type="dxa"/>
            <w:shd w:val="clear" w:color="auto" w:fill="auto"/>
          </w:tcPr>
          <w:p w14:paraId="758AB797" w14:textId="025AD036" w:rsidR="00864155" w:rsidRPr="007851AE" w:rsidRDefault="00864155" w:rsidP="0091382C">
            <w:pPr>
              <w:spacing w:before="40" w:after="40"/>
              <w:rPr>
                <w:i/>
              </w:rPr>
            </w:pPr>
            <w:r w:rsidRPr="007851AE">
              <w:rPr>
                <w:i/>
              </w:rPr>
              <w:t>Australia – Tobacco Plain Packaging</w:t>
            </w:r>
          </w:p>
        </w:tc>
        <w:tc>
          <w:tcPr>
            <w:tcW w:w="6800" w:type="dxa"/>
            <w:shd w:val="clear" w:color="auto" w:fill="auto"/>
          </w:tcPr>
          <w:p w14:paraId="65B20FB1" w14:textId="36B3EDB9" w:rsidR="00864155" w:rsidRPr="007851AE" w:rsidRDefault="00864155" w:rsidP="0091382C">
            <w:pPr>
              <w:tabs>
                <w:tab w:val="left" w:pos="2268"/>
                <w:tab w:val="left" w:pos="4536"/>
              </w:tabs>
              <w:spacing w:before="40" w:after="40"/>
            </w:pPr>
            <w:r w:rsidRPr="007851AE">
              <w:t xml:space="preserve">Appellate Body Reports, </w:t>
            </w:r>
            <w:r w:rsidRPr="007851AE">
              <w:rPr>
                <w:i/>
                <w:iCs/>
              </w:rPr>
              <w:t>Australia -</w:t>
            </w:r>
            <w:r w:rsidRPr="007851AE">
              <w:t xml:space="preserve"> </w:t>
            </w:r>
            <w:r w:rsidRPr="007851AE">
              <w:rPr>
                <w:i/>
              </w:rPr>
              <w:t>Certain Measures Concerning Trademarks, Geographical Indications and Other Plain Packaging Requirements Applicable to Tobacco Products and Packaging</w:t>
            </w:r>
            <w:r w:rsidRPr="007851AE">
              <w:t>, WT/DS435/AB/R, WT/DS435/AB/R/Add.1 and WT/DS435/AB/R/Suppl.</w:t>
            </w:r>
            <w:r w:rsidR="00027548" w:rsidRPr="007851AE">
              <w:t>1</w:t>
            </w:r>
            <w:r w:rsidR="007851AE">
              <w:t xml:space="preserve">; </w:t>
            </w:r>
            <w:r w:rsidR="007851AE" w:rsidRPr="007851AE">
              <w:t>WT/DS441/R, WT/DS441/</w:t>
            </w:r>
            <w:r w:rsidR="007851AE">
              <w:t>AB/</w:t>
            </w:r>
            <w:r w:rsidR="007851AE" w:rsidRPr="007851AE">
              <w:t>R/Add.1, and WT/DS441</w:t>
            </w:r>
            <w:r w:rsidR="007851AE">
              <w:t>/AB</w:t>
            </w:r>
            <w:r w:rsidR="007851AE" w:rsidRPr="007851AE">
              <w:t>/R/Suppl.1</w:t>
            </w:r>
            <w:r w:rsidRPr="007851AE">
              <w:t xml:space="preserve"> adopted 29 June </w:t>
            </w:r>
            <w:r w:rsidR="007851AE">
              <w:t>2020</w:t>
            </w:r>
          </w:p>
        </w:tc>
      </w:tr>
      <w:tr w:rsidR="00B60B40" w:rsidRPr="00323D96" w14:paraId="601E336B" w14:textId="77777777" w:rsidTr="00FD5C6F">
        <w:trPr>
          <w:cantSplit/>
          <w:trHeight w:val="866"/>
          <w:jc w:val="center"/>
        </w:trPr>
        <w:tc>
          <w:tcPr>
            <w:tcW w:w="2274" w:type="dxa"/>
            <w:shd w:val="clear" w:color="auto" w:fill="auto"/>
          </w:tcPr>
          <w:p w14:paraId="189F203D" w14:textId="4706A039" w:rsidR="00B60B40" w:rsidRPr="007A3379" w:rsidRDefault="00B60B40" w:rsidP="0091382C">
            <w:pPr>
              <w:keepNext/>
              <w:keepLines/>
              <w:spacing w:before="40" w:after="40"/>
              <w:rPr>
                <w:i/>
                <w:iCs/>
              </w:rPr>
            </w:pPr>
            <w:r>
              <w:rPr>
                <w:i/>
                <w:iCs/>
              </w:rPr>
              <w:t>Brazil – Retreaded Tyres</w:t>
            </w:r>
          </w:p>
        </w:tc>
        <w:tc>
          <w:tcPr>
            <w:tcW w:w="6800" w:type="dxa"/>
            <w:shd w:val="clear" w:color="auto" w:fill="auto"/>
          </w:tcPr>
          <w:p w14:paraId="2BA47B62" w14:textId="7351D101" w:rsidR="00B60B40" w:rsidRDefault="00B60B40" w:rsidP="0091382C">
            <w:pPr>
              <w:keepNext/>
              <w:keepLines/>
              <w:tabs>
                <w:tab w:val="left" w:pos="2268"/>
                <w:tab w:val="left" w:pos="4536"/>
              </w:tabs>
              <w:spacing w:before="40" w:after="40"/>
            </w:pPr>
            <w:r>
              <w:t xml:space="preserve">Appellate Body Report, </w:t>
            </w:r>
            <w:r>
              <w:rPr>
                <w:i/>
                <w:iCs/>
              </w:rPr>
              <w:t xml:space="preserve">Brazil – Measures Affecting Imports of Retreaded Tyres </w:t>
            </w:r>
            <w:r>
              <w:t xml:space="preserve"> </w:t>
            </w:r>
            <w:r w:rsidR="00252353">
              <w:t>WT/DS332/AB/R, adopted 17 December 2007, DSR 2007:IV, p.1527.</w:t>
            </w:r>
          </w:p>
        </w:tc>
      </w:tr>
      <w:tr w:rsidR="007028FA" w:rsidRPr="00323D96" w14:paraId="080F8283" w14:textId="77777777" w:rsidTr="001D370E">
        <w:trPr>
          <w:cantSplit/>
          <w:trHeight w:val="1040"/>
          <w:jc w:val="center"/>
        </w:trPr>
        <w:tc>
          <w:tcPr>
            <w:tcW w:w="2274" w:type="dxa"/>
            <w:shd w:val="clear" w:color="auto" w:fill="auto"/>
          </w:tcPr>
          <w:p w14:paraId="5A51A76A" w14:textId="560E83C0" w:rsidR="007028FA" w:rsidRPr="00A60FA9" w:rsidRDefault="007028FA" w:rsidP="0091382C">
            <w:pPr>
              <w:keepNext/>
              <w:keepLines/>
              <w:spacing w:before="40" w:after="40"/>
              <w:rPr>
                <w:i/>
                <w:iCs/>
              </w:rPr>
            </w:pPr>
            <w:r w:rsidRPr="007A3379">
              <w:rPr>
                <w:i/>
                <w:iCs/>
              </w:rPr>
              <w:t>China – Rare Earths</w:t>
            </w:r>
          </w:p>
        </w:tc>
        <w:tc>
          <w:tcPr>
            <w:tcW w:w="6800" w:type="dxa"/>
            <w:shd w:val="clear" w:color="auto" w:fill="auto"/>
          </w:tcPr>
          <w:p w14:paraId="09908373" w14:textId="3FD3507B" w:rsidR="007028FA" w:rsidRDefault="00F658B5" w:rsidP="0091382C">
            <w:pPr>
              <w:keepNext/>
              <w:keepLines/>
              <w:tabs>
                <w:tab w:val="left" w:pos="2268"/>
                <w:tab w:val="left" w:pos="4536"/>
              </w:tabs>
              <w:spacing w:before="40" w:after="40"/>
            </w:pPr>
            <w:r>
              <w:t xml:space="preserve">Appellate Body Reports, </w:t>
            </w:r>
            <w:r w:rsidRPr="00F658B5">
              <w:rPr>
                <w:i/>
                <w:iCs/>
              </w:rPr>
              <w:t>China – Measures Related to the Exportation of Rare Earths, Tungsten, and Molybdenum</w:t>
            </w:r>
            <w:r>
              <w:t xml:space="preserve">, WT/DS431/AB/R / WT/DS432/AB/R / WT/DS433/AB/R, adopted 29 August 2014, DSR 2014:III, p. 805 </w:t>
            </w:r>
          </w:p>
        </w:tc>
      </w:tr>
      <w:tr w:rsidR="007028FA" w:rsidRPr="00323D96" w14:paraId="62892969" w14:textId="77777777" w:rsidTr="00FD5C6F">
        <w:trPr>
          <w:cantSplit/>
          <w:trHeight w:val="883"/>
          <w:jc w:val="center"/>
        </w:trPr>
        <w:tc>
          <w:tcPr>
            <w:tcW w:w="2274" w:type="dxa"/>
            <w:shd w:val="clear" w:color="auto" w:fill="auto"/>
          </w:tcPr>
          <w:p w14:paraId="14236CE0" w14:textId="43068AA5" w:rsidR="007028FA" w:rsidRPr="00A60FA9" w:rsidRDefault="007028FA" w:rsidP="0091382C">
            <w:pPr>
              <w:keepNext/>
              <w:keepLines/>
              <w:spacing w:before="40" w:after="40"/>
              <w:rPr>
                <w:i/>
                <w:iCs/>
              </w:rPr>
            </w:pPr>
            <w:r w:rsidRPr="0018427C">
              <w:rPr>
                <w:i/>
                <w:iCs/>
              </w:rPr>
              <w:t>Colombia – Textiles</w:t>
            </w:r>
          </w:p>
        </w:tc>
        <w:tc>
          <w:tcPr>
            <w:tcW w:w="6800" w:type="dxa"/>
            <w:shd w:val="clear" w:color="auto" w:fill="auto"/>
          </w:tcPr>
          <w:p w14:paraId="2E147996" w14:textId="2F1893B7" w:rsidR="007028FA" w:rsidRPr="00F658B5" w:rsidRDefault="00A15851" w:rsidP="0091382C">
            <w:pPr>
              <w:keepNext/>
              <w:keepLines/>
              <w:tabs>
                <w:tab w:val="left" w:pos="2268"/>
                <w:tab w:val="left" w:pos="4536"/>
              </w:tabs>
              <w:spacing w:before="40" w:after="40"/>
            </w:pPr>
            <w:r>
              <w:t>Appellate Body Report</w:t>
            </w:r>
            <w:r w:rsidR="00F658B5">
              <w:t xml:space="preserve">, </w:t>
            </w:r>
            <w:r w:rsidR="00F658B5">
              <w:rPr>
                <w:i/>
                <w:iCs/>
              </w:rPr>
              <w:t xml:space="preserve">Colombia – Measures Relating to the Importation of Textiles, Apparel and Footwear, </w:t>
            </w:r>
            <w:r w:rsidR="00F658B5">
              <w:t>WT/DS461/AB/R and Add.1, adopted 22 June 2016, DSR 2016:III, p.1227</w:t>
            </w:r>
          </w:p>
        </w:tc>
      </w:tr>
      <w:tr w:rsidR="0091382C" w:rsidRPr="00323D96" w14:paraId="02697735" w14:textId="77777777" w:rsidTr="001D370E">
        <w:trPr>
          <w:cantSplit/>
          <w:trHeight w:val="1040"/>
          <w:jc w:val="center"/>
        </w:trPr>
        <w:tc>
          <w:tcPr>
            <w:tcW w:w="2274" w:type="dxa"/>
            <w:shd w:val="clear" w:color="auto" w:fill="auto"/>
          </w:tcPr>
          <w:p w14:paraId="35E202B3" w14:textId="35AB9C58" w:rsidR="0091382C" w:rsidRPr="0091382C" w:rsidRDefault="007028FA" w:rsidP="0091382C">
            <w:pPr>
              <w:keepNext/>
              <w:keepLines/>
              <w:spacing w:before="40" w:after="40"/>
              <w:rPr>
                <w:i/>
              </w:rPr>
            </w:pPr>
            <w:r w:rsidRPr="00A60FA9">
              <w:rPr>
                <w:i/>
                <w:iCs/>
              </w:rPr>
              <w:t>EC – Seal Products</w:t>
            </w:r>
          </w:p>
        </w:tc>
        <w:tc>
          <w:tcPr>
            <w:tcW w:w="6800" w:type="dxa"/>
            <w:shd w:val="clear" w:color="auto" w:fill="auto"/>
          </w:tcPr>
          <w:p w14:paraId="3A8E5BED" w14:textId="1F287688" w:rsidR="007028FA" w:rsidRPr="0091382C" w:rsidRDefault="00A15851" w:rsidP="0091382C">
            <w:pPr>
              <w:keepNext/>
              <w:keepLines/>
              <w:tabs>
                <w:tab w:val="left" w:pos="2268"/>
                <w:tab w:val="left" w:pos="4536"/>
              </w:tabs>
              <w:spacing w:before="40" w:after="40"/>
            </w:pPr>
            <w:r>
              <w:t xml:space="preserve">Panel Reports, </w:t>
            </w:r>
            <w:r w:rsidRPr="00A15851">
              <w:rPr>
                <w:i/>
                <w:iCs/>
              </w:rPr>
              <w:t>European Communities – Measures Prohibiting the Importation and Marketing of Seal Products</w:t>
            </w:r>
            <w:r>
              <w:t>, WT/DS400/R and Add.1 / WT/DS401/R and Add.1, adopted 18 June 2014, as modified by Appellate Body Reports WT/DS400/AB/R / WT/DS401/AB/R, DSR 2014:II, p. 365</w:t>
            </w:r>
          </w:p>
        </w:tc>
      </w:tr>
      <w:tr w:rsidR="00A15851" w:rsidRPr="00323D96" w14:paraId="6D16A228" w14:textId="77777777" w:rsidTr="001D370E">
        <w:trPr>
          <w:cantSplit/>
          <w:trHeight w:val="1040"/>
          <w:jc w:val="center"/>
        </w:trPr>
        <w:tc>
          <w:tcPr>
            <w:tcW w:w="2274" w:type="dxa"/>
            <w:shd w:val="clear" w:color="auto" w:fill="auto"/>
          </w:tcPr>
          <w:p w14:paraId="23284B92" w14:textId="02A870B1" w:rsidR="00A15851" w:rsidRDefault="00A15851" w:rsidP="0091382C">
            <w:pPr>
              <w:keepNext/>
              <w:keepLines/>
              <w:spacing w:before="40" w:after="40"/>
              <w:rPr>
                <w:i/>
                <w:iCs/>
              </w:rPr>
            </w:pPr>
            <w:r w:rsidRPr="00A60FA9">
              <w:rPr>
                <w:i/>
                <w:iCs/>
              </w:rPr>
              <w:t>EC – Seal Products</w:t>
            </w:r>
          </w:p>
        </w:tc>
        <w:tc>
          <w:tcPr>
            <w:tcW w:w="6800" w:type="dxa"/>
            <w:shd w:val="clear" w:color="auto" w:fill="auto"/>
          </w:tcPr>
          <w:p w14:paraId="5BE7F7B4" w14:textId="4853E443" w:rsidR="00A15851" w:rsidRDefault="00A15851" w:rsidP="0091382C">
            <w:pPr>
              <w:keepNext/>
              <w:keepLines/>
              <w:tabs>
                <w:tab w:val="left" w:pos="2268"/>
                <w:tab w:val="left" w:pos="4536"/>
              </w:tabs>
              <w:spacing w:before="40" w:after="40"/>
            </w:pPr>
            <w:r>
              <w:t xml:space="preserve">Appellate Body Reports, </w:t>
            </w:r>
            <w:r w:rsidRPr="00A15851">
              <w:rPr>
                <w:i/>
                <w:iCs/>
              </w:rPr>
              <w:t>European Communities – Measures Prohibiting the Importation and Marketing of Seal Products</w:t>
            </w:r>
            <w:r>
              <w:t>, WT/DS400/AB/R / WT/DS401/AB/R, adopted 18 June 2014, DSR 2014:I, p. 7</w:t>
            </w:r>
          </w:p>
        </w:tc>
      </w:tr>
      <w:tr w:rsidR="007028FA" w:rsidRPr="00323D96" w14:paraId="4637E777" w14:textId="77777777" w:rsidTr="00FD5C6F">
        <w:trPr>
          <w:cantSplit/>
          <w:trHeight w:val="990"/>
          <w:jc w:val="center"/>
        </w:trPr>
        <w:tc>
          <w:tcPr>
            <w:tcW w:w="2274" w:type="dxa"/>
            <w:shd w:val="clear" w:color="auto" w:fill="auto"/>
          </w:tcPr>
          <w:p w14:paraId="284E3EEB" w14:textId="7AC0A999" w:rsidR="007028FA" w:rsidRPr="00A60FA9" w:rsidRDefault="007028FA" w:rsidP="0091382C">
            <w:pPr>
              <w:keepNext/>
              <w:keepLines/>
              <w:spacing w:before="40" w:after="40"/>
              <w:rPr>
                <w:i/>
                <w:iCs/>
              </w:rPr>
            </w:pPr>
            <w:r>
              <w:rPr>
                <w:i/>
                <w:iCs/>
              </w:rPr>
              <w:t>Korea – Various Measures on Beef</w:t>
            </w:r>
          </w:p>
        </w:tc>
        <w:tc>
          <w:tcPr>
            <w:tcW w:w="6800" w:type="dxa"/>
            <w:shd w:val="clear" w:color="auto" w:fill="auto"/>
          </w:tcPr>
          <w:p w14:paraId="5CD082D4" w14:textId="2B5D0AB3" w:rsidR="007028FA" w:rsidRDefault="00BF2E47" w:rsidP="0091382C">
            <w:pPr>
              <w:keepNext/>
              <w:keepLines/>
              <w:tabs>
                <w:tab w:val="left" w:pos="2268"/>
                <w:tab w:val="left" w:pos="4536"/>
              </w:tabs>
              <w:spacing w:before="40" w:after="40"/>
            </w:pPr>
            <w:r>
              <w:t xml:space="preserve">Appellate Body Report, </w:t>
            </w:r>
            <w:r w:rsidRPr="00BF2E47">
              <w:rPr>
                <w:i/>
                <w:iCs/>
              </w:rPr>
              <w:t>Korea – Measures Affecting Imports of Fresh, Chilled and Frozen Beef</w:t>
            </w:r>
            <w:r>
              <w:t>, WT/DS161/AB/R, WT/DS169/AB/R, adopted 10 January 2001, DSR 2001:I, p. 5</w:t>
            </w:r>
          </w:p>
        </w:tc>
      </w:tr>
      <w:tr w:rsidR="007028FA" w:rsidRPr="00323D96" w14:paraId="123D8214" w14:textId="77777777" w:rsidTr="00480752">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59356BEA" w14:textId="77777777" w:rsidR="007028FA" w:rsidRPr="00C542C9" w:rsidRDefault="007028FA" w:rsidP="00480752">
            <w:pPr>
              <w:spacing w:before="40" w:after="40"/>
              <w:rPr>
                <w:i/>
              </w:rPr>
            </w:pPr>
            <w:r>
              <w:rPr>
                <w:i/>
                <w:iCs/>
              </w:rPr>
              <w:t xml:space="preserve">US - </w:t>
            </w:r>
            <w:r w:rsidRPr="00A60FA9">
              <w:rPr>
                <w:i/>
                <w:iCs/>
              </w:rPr>
              <w:t>Clove Cigarettes</w:t>
            </w:r>
          </w:p>
        </w:tc>
        <w:tc>
          <w:tcPr>
            <w:tcW w:w="6800" w:type="dxa"/>
            <w:tcBorders>
              <w:top w:val="single" w:sz="4" w:space="0" w:color="auto"/>
              <w:left w:val="single" w:sz="4" w:space="0" w:color="auto"/>
              <w:bottom w:val="single" w:sz="4" w:space="0" w:color="auto"/>
              <w:right w:val="single" w:sz="4" w:space="0" w:color="auto"/>
            </w:tcBorders>
          </w:tcPr>
          <w:p w14:paraId="14CCDCC1" w14:textId="5CFD2292" w:rsidR="007028FA" w:rsidRPr="00C542C9" w:rsidRDefault="009547FF" w:rsidP="00480752">
            <w:pPr>
              <w:keepLines/>
              <w:tabs>
                <w:tab w:val="left" w:pos="2268"/>
                <w:tab w:val="left" w:pos="4536"/>
              </w:tabs>
              <w:spacing w:before="40" w:after="40"/>
            </w:pPr>
            <w:r>
              <w:t xml:space="preserve">Panel Report, </w:t>
            </w:r>
            <w:r w:rsidRPr="00FD5C6F">
              <w:rPr>
                <w:i/>
                <w:iCs/>
              </w:rPr>
              <w:t>United States – Measures Affecting the Production and Sale of Clove Cigarettes</w:t>
            </w:r>
            <w:r>
              <w:t>, WT/DS406/R, adopted 24 April 2012, as modified by Appellate Body Report WT/DS406/AB/R, DSR 2012:XI, p. 5865</w:t>
            </w:r>
          </w:p>
        </w:tc>
      </w:tr>
      <w:tr w:rsidR="0091382C" w:rsidRPr="00323D96" w14:paraId="0CFEDF13" w14:textId="77777777" w:rsidTr="001D370E">
        <w:trPr>
          <w:cantSplit/>
          <w:trHeight w:val="1040"/>
          <w:jc w:val="center"/>
        </w:trPr>
        <w:tc>
          <w:tcPr>
            <w:tcW w:w="2274" w:type="dxa"/>
          </w:tcPr>
          <w:p w14:paraId="230ED325" w14:textId="01270AEE" w:rsidR="0091382C" w:rsidRPr="0091382C" w:rsidRDefault="007028FA" w:rsidP="0091382C">
            <w:pPr>
              <w:keepNext/>
              <w:keepLines/>
              <w:spacing w:before="40" w:after="40"/>
              <w:rPr>
                <w:i/>
              </w:rPr>
            </w:pPr>
            <w:r w:rsidRPr="00A60FA9">
              <w:rPr>
                <w:i/>
                <w:iCs/>
              </w:rPr>
              <w:lastRenderedPageBreak/>
              <w:t>US – COOL</w:t>
            </w:r>
          </w:p>
        </w:tc>
        <w:tc>
          <w:tcPr>
            <w:tcW w:w="6800" w:type="dxa"/>
          </w:tcPr>
          <w:p w14:paraId="0AC6F057" w14:textId="59C55E8F" w:rsidR="007028FA" w:rsidRPr="0091382C" w:rsidRDefault="009547FF" w:rsidP="0091382C">
            <w:pPr>
              <w:keepNext/>
              <w:keepLines/>
              <w:tabs>
                <w:tab w:val="left" w:pos="2268"/>
                <w:tab w:val="left" w:pos="4536"/>
              </w:tabs>
              <w:spacing w:before="40" w:after="40"/>
            </w:pPr>
            <w:r>
              <w:t xml:space="preserve">Panel Reports, </w:t>
            </w:r>
            <w:r w:rsidRPr="009547FF">
              <w:rPr>
                <w:i/>
                <w:iCs/>
              </w:rPr>
              <w:t>United States – Certain Country of Origin Labelling (COOL) Requirements</w:t>
            </w:r>
            <w:r>
              <w:t>, WT/DS384/R / WT/DS386/R, adopted 23 July 2012, as modified by Appellate Body Reports WT/DS384/AB/R / WT/DS386/AB/R, DSR 2012:VI, p. 2745</w:t>
            </w:r>
          </w:p>
        </w:tc>
      </w:tr>
      <w:tr w:rsidR="009547FF" w:rsidRPr="00323D96" w14:paraId="01CF17FF" w14:textId="77777777" w:rsidTr="00480752">
        <w:trPr>
          <w:cantSplit/>
          <w:trHeight w:val="1040"/>
          <w:jc w:val="center"/>
        </w:trPr>
        <w:tc>
          <w:tcPr>
            <w:tcW w:w="2274" w:type="dxa"/>
          </w:tcPr>
          <w:p w14:paraId="049AB90E" w14:textId="4FB9E08A" w:rsidR="009547FF" w:rsidRPr="005E6C44" w:rsidRDefault="009547FF" w:rsidP="00480752">
            <w:pPr>
              <w:keepNext/>
              <w:keepLines/>
              <w:spacing w:before="40" w:after="40"/>
              <w:rPr>
                <w:i/>
                <w:iCs/>
              </w:rPr>
            </w:pPr>
            <w:r w:rsidRPr="00A60FA9">
              <w:rPr>
                <w:i/>
                <w:iCs/>
              </w:rPr>
              <w:t>US – COOL</w:t>
            </w:r>
          </w:p>
        </w:tc>
        <w:tc>
          <w:tcPr>
            <w:tcW w:w="6800" w:type="dxa"/>
          </w:tcPr>
          <w:p w14:paraId="3EBA07EE" w14:textId="7DD26A3D" w:rsidR="009547FF" w:rsidRPr="0091382C" w:rsidRDefault="009547FF" w:rsidP="00480752">
            <w:pPr>
              <w:keepNext/>
              <w:keepLines/>
              <w:tabs>
                <w:tab w:val="left" w:pos="2268"/>
                <w:tab w:val="left" w:pos="4536"/>
              </w:tabs>
              <w:spacing w:before="40" w:after="40"/>
            </w:pPr>
            <w:r>
              <w:t xml:space="preserve">Appellate Body Reports, </w:t>
            </w:r>
            <w:r w:rsidRPr="009547FF">
              <w:rPr>
                <w:i/>
                <w:iCs/>
              </w:rPr>
              <w:t>United States – Certain Country of Origin Labelling (COOL) Requirements</w:t>
            </w:r>
            <w:r>
              <w:t>, WT/DS384/AB/R / WT/DS386/AB/R, adopted 23 July 2012, DSR 2012:V, p. 2449</w:t>
            </w:r>
          </w:p>
        </w:tc>
      </w:tr>
      <w:tr w:rsidR="009547FF" w:rsidRPr="00323D96" w14:paraId="4124EDFD" w14:textId="77777777" w:rsidTr="00480752">
        <w:trPr>
          <w:cantSplit/>
          <w:trHeight w:val="1040"/>
          <w:jc w:val="center"/>
        </w:trPr>
        <w:tc>
          <w:tcPr>
            <w:tcW w:w="2274" w:type="dxa"/>
          </w:tcPr>
          <w:p w14:paraId="2ED9F96C" w14:textId="474934F6" w:rsidR="009547FF" w:rsidRPr="0091382C" w:rsidRDefault="009547FF" w:rsidP="00480752">
            <w:pPr>
              <w:keepNext/>
              <w:keepLines/>
              <w:spacing w:before="40" w:after="40"/>
              <w:rPr>
                <w:i/>
              </w:rPr>
            </w:pPr>
            <w:r w:rsidRPr="005E6C44">
              <w:rPr>
                <w:i/>
                <w:iCs/>
              </w:rPr>
              <w:t>US – COOL (Article 21.5 – Canada and Mexico</w:t>
            </w:r>
            <w:r>
              <w:t>)</w:t>
            </w:r>
          </w:p>
        </w:tc>
        <w:tc>
          <w:tcPr>
            <w:tcW w:w="6800" w:type="dxa"/>
          </w:tcPr>
          <w:p w14:paraId="7B427F92" w14:textId="15B26A0C" w:rsidR="009547FF" w:rsidRPr="0091382C" w:rsidRDefault="009547FF" w:rsidP="00480752">
            <w:pPr>
              <w:keepNext/>
              <w:keepLines/>
              <w:tabs>
                <w:tab w:val="left" w:pos="2268"/>
                <w:tab w:val="left" w:pos="4536"/>
              </w:tabs>
              <w:spacing w:before="40" w:after="40"/>
            </w:pPr>
            <w:r>
              <w:t xml:space="preserve">Appellate Body Reports, </w:t>
            </w:r>
            <w:r w:rsidRPr="009547FF">
              <w:rPr>
                <w:i/>
                <w:iCs/>
              </w:rPr>
              <w:t>United States – Certain Country of Origin Labelling (COOL) Requirements – Recourse to Article 21.5 of the DSU by Canada and Mexico</w:t>
            </w:r>
            <w:r>
              <w:t>, WT/DS384/AB/RW / WT/DS386/AB/RW, adopted 29 May 2015, DSR 2015:IV, p. 1725</w:t>
            </w:r>
          </w:p>
        </w:tc>
      </w:tr>
      <w:tr w:rsidR="007028FA" w:rsidRPr="00323D96" w14:paraId="6F25F7EF" w14:textId="77777777" w:rsidTr="000E23FA">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1815C0C4" w14:textId="2D1C4CCC" w:rsidR="007028FA" w:rsidRPr="00A60FA9" w:rsidRDefault="007028FA" w:rsidP="0091382C">
            <w:pPr>
              <w:spacing w:before="40" w:after="40"/>
              <w:rPr>
                <w:i/>
                <w:iCs/>
              </w:rPr>
            </w:pPr>
            <w:r>
              <w:rPr>
                <w:i/>
                <w:iCs/>
              </w:rPr>
              <w:t>US – Gambling</w:t>
            </w:r>
          </w:p>
        </w:tc>
        <w:tc>
          <w:tcPr>
            <w:tcW w:w="6800" w:type="dxa"/>
            <w:tcBorders>
              <w:top w:val="single" w:sz="4" w:space="0" w:color="auto"/>
              <w:left w:val="single" w:sz="4" w:space="0" w:color="auto"/>
              <w:bottom w:val="single" w:sz="4" w:space="0" w:color="auto"/>
              <w:right w:val="single" w:sz="4" w:space="0" w:color="auto"/>
            </w:tcBorders>
          </w:tcPr>
          <w:p w14:paraId="1590CD70" w14:textId="5A53DB7D" w:rsidR="007028FA" w:rsidRDefault="00BF2E47" w:rsidP="00BA161F">
            <w:pPr>
              <w:keepLines/>
              <w:tabs>
                <w:tab w:val="left" w:pos="2268"/>
                <w:tab w:val="left" w:pos="4536"/>
              </w:tabs>
              <w:spacing w:before="40" w:after="40"/>
            </w:pPr>
            <w:r w:rsidRPr="00BF2E47">
              <w:t>Appellate Body Report, </w:t>
            </w:r>
            <w:r w:rsidRPr="00BF2E47">
              <w:rPr>
                <w:i/>
                <w:iCs/>
              </w:rPr>
              <w:t>United States – Measures Affecting the Cross-Border Supply of Gambling and Betting Services</w:t>
            </w:r>
            <w:r w:rsidRPr="00BF2E47">
              <w:t>, WT/DS285/AB/R, adopted 20 April 2005, DSR 2005:XII, 5663 (Corr.1, DSR 2006:XII, 5475)</w:t>
            </w:r>
          </w:p>
        </w:tc>
      </w:tr>
      <w:tr w:rsidR="007028FA" w:rsidRPr="00323D96" w14:paraId="0BC633F3" w14:textId="77777777" w:rsidTr="00FA333F">
        <w:trPr>
          <w:cantSplit/>
          <w:trHeight w:val="872"/>
          <w:jc w:val="center"/>
        </w:trPr>
        <w:tc>
          <w:tcPr>
            <w:tcW w:w="2274" w:type="dxa"/>
            <w:tcBorders>
              <w:top w:val="single" w:sz="4" w:space="0" w:color="auto"/>
              <w:left w:val="single" w:sz="4" w:space="0" w:color="auto"/>
              <w:bottom w:val="single" w:sz="4" w:space="0" w:color="auto"/>
              <w:right w:val="single" w:sz="4" w:space="0" w:color="auto"/>
            </w:tcBorders>
          </w:tcPr>
          <w:p w14:paraId="38013367" w14:textId="4DC3B5D6" w:rsidR="007028FA" w:rsidRDefault="007028FA" w:rsidP="0091382C">
            <w:pPr>
              <w:spacing w:before="40" w:after="40"/>
              <w:rPr>
                <w:i/>
                <w:iCs/>
              </w:rPr>
            </w:pPr>
            <w:r>
              <w:rPr>
                <w:i/>
                <w:iCs/>
              </w:rPr>
              <w:t>US – Gasoline</w:t>
            </w:r>
          </w:p>
        </w:tc>
        <w:tc>
          <w:tcPr>
            <w:tcW w:w="6800" w:type="dxa"/>
            <w:tcBorders>
              <w:top w:val="single" w:sz="4" w:space="0" w:color="auto"/>
              <w:left w:val="single" w:sz="4" w:space="0" w:color="auto"/>
              <w:bottom w:val="single" w:sz="4" w:space="0" w:color="auto"/>
              <w:right w:val="single" w:sz="4" w:space="0" w:color="auto"/>
            </w:tcBorders>
          </w:tcPr>
          <w:p w14:paraId="211DB56F" w14:textId="728E05DC" w:rsidR="007028FA" w:rsidRDefault="00BF2E47" w:rsidP="00BA161F">
            <w:pPr>
              <w:keepLines/>
              <w:tabs>
                <w:tab w:val="left" w:pos="2268"/>
                <w:tab w:val="left" w:pos="4536"/>
              </w:tabs>
              <w:spacing w:before="40" w:after="40"/>
            </w:pPr>
            <w:r w:rsidRPr="005F7792">
              <w:rPr>
                <w:color w:val="000000"/>
              </w:rPr>
              <w:t xml:space="preserve">Appellate Body Report, </w:t>
            </w:r>
            <w:r w:rsidRPr="005F7792">
              <w:rPr>
                <w:i/>
                <w:color w:val="000000"/>
              </w:rPr>
              <w:t>United States – Standards for Reformulated and Conventional Gasoline</w:t>
            </w:r>
            <w:r w:rsidRPr="005F7792">
              <w:rPr>
                <w:color w:val="000000"/>
              </w:rPr>
              <w:t xml:space="preserve">, </w:t>
            </w:r>
            <w:r w:rsidRPr="00BA161F">
              <w:t>WT/DS2/AB/R</w:t>
            </w:r>
            <w:r w:rsidRPr="005F7792">
              <w:rPr>
                <w:color w:val="000000"/>
              </w:rPr>
              <w:t>, adopted 20 May 1996, DSR 1996:I, p. 3</w:t>
            </w:r>
          </w:p>
        </w:tc>
      </w:tr>
      <w:tr w:rsidR="0091382C" w:rsidRPr="00323D96" w14:paraId="3BF0AF18" w14:textId="77777777" w:rsidTr="000E23FA">
        <w:trPr>
          <w:cantSplit/>
          <w:trHeight w:val="1040"/>
          <w:jc w:val="center"/>
        </w:trPr>
        <w:tc>
          <w:tcPr>
            <w:tcW w:w="2274" w:type="dxa"/>
            <w:tcBorders>
              <w:top w:val="single" w:sz="4" w:space="0" w:color="auto"/>
              <w:left w:val="single" w:sz="4" w:space="0" w:color="auto"/>
              <w:bottom w:val="single" w:sz="4" w:space="0" w:color="auto"/>
              <w:right w:val="single" w:sz="4" w:space="0" w:color="auto"/>
            </w:tcBorders>
          </w:tcPr>
          <w:p w14:paraId="28C0887D" w14:textId="39E79266" w:rsidR="0091382C" w:rsidRPr="0091382C" w:rsidRDefault="007028FA" w:rsidP="0091382C">
            <w:pPr>
              <w:spacing w:before="40" w:after="40"/>
              <w:rPr>
                <w:i/>
              </w:rPr>
            </w:pPr>
            <w:r w:rsidRPr="00A60FA9">
              <w:rPr>
                <w:i/>
                <w:iCs/>
              </w:rPr>
              <w:t>US – Tuna II (Mexico)</w:t>
            </w:r>
          </w:p>
        </w:tc>
        <w:tc>
          <w:tcPr>
            <w:tcW w:w="6800" w:type="dxa"/>
            <w:tcBorders>
              <w:top w:val="single" w:sz="4" w:space="0" w:color="auto"/>
              <w:left w:val="single" w:sz="4" w:space="0" w:color="auto"/>
              <w:bottom w:val="single" w:sz="4" w:space="0" w:color="auto"/>
              <w:right w:val="single" w:sz="4" w:space="0" w:color="auto"/>
            </w:tcBorders>
          </w:tcPr>
          <w:p w14:paraId="7D40D9CE" w14:textId="322F42F9" w:rsidR="007028FA" w:rsidRPr="0091382C" w:rsidRDefault="007028FA" w:rsidP="00BA161F">
            <w:pPr>
              <w:keepLines/>
              <w:tabs>
                <w:tab w:val="left" w:pos="2268"/>
                <w:tab w:val="left" w:pos="4536"/>
              </w:tabs>
              <w:spacing w:before="40" w:after="40"/>
            </w:pPr>
            <w:r>
              <w:t>Panel Report,</w:t>
            </w:r>
            <w:r w:rsidR="00BA161F">
              <w:t xml:space="preserve"> </w:t>
            </w:r>
            <w:r w:rsidR="00BA161F">
              <w:rPr>
                <w:i/>
                <w:iCs/>
              </w:rPr>
              <w:t xml:space="preserve">United States – Measures Concerning the Importation, Marketing and Sale of Tuna and Tuna Products, </w:t>
            </w:r>
            <w:r w:rsidR="00BA161F">
              <w:t>WT/DS381/R adopted 13 June 2012, as modified by Appellate Body Report WT/DS381/AB/R, DSR 2012:IV, p.2013</w:t>
            </w:r>
          </w:p>
        </w:tc>
      </w:tr>
      <w:tr w:rsidR="00BA161F" w:rsidRPr="00323D96" w14:paraId="72E61F8E" w14:textId="77777777" w:rsidTr="00A32325">
        <w:trPr>
          <w:cantSplit/>
          <w:trHeight w:val="918"/>
          <w:jc w:val="center"/>
        </w:trPr>
        <w:tc>
          <w:tcPr>
            <w:tcW w:w="2274" w:type="dxa"/>
            <w:tcBorders>
              <w:top w:val="single" w:sz="4" w:space="0" w:color="auto"/>
              <w:left w:val="single" w:sz="4" w:space="0" w:color="auto"/>
              <w:bottom w:val="single" w:sz="4" w:space="0" w:color="auto"/>
              <w:right w:val="single" w:sz="4" w:space="0" w:color="auto"/>
            </w:tcBorders>
          </w:tcPr>
          <w:p w14:paraId="579D96FA" w14:textId="77777777" w:rsidR="00BA161F" w:rsidRPr="00BA161F" w:rsidRDefault="00BA161F" w:rsidP="00480752">
            <w:pPr>
              <w:spacing w:before="40" w:after="40"/>
              <w:rPr>
                <w:i/>
                <w:iCs/>
              </w:rPr>
            </w:pPr>
            <w:bookmarkStart w:id="8" w:name="_Toc260160815"/>
            <w:bookmarkStart w:id="9" w:name="_Toc260256832"/>
            <w:r w:rsidRPr="00A60FA9">
              <w:rPr>
                <w:i/>
                <w:iCs/>
              </w:rPr>
              <w:t>US – Tuna II (Mexico)</w:t>
            </w:r>
          </w:p>
        </w:tc>
        <w:tc>
          <w:tcPr>
            <w:tcW w:w="6800" w:type="dxa"/>
            <w:tcBorders>
              <w:top w:val="single" w:sz="4" w:space="0" w:color="auto"/>
              <w:left w:val="single" w:sz="4" w:space="0" w:color="auto"/>
              <w:bottom w:val="single" w:sz="4" w:space="0" w:color="auto"/>
              <w:right w:val="single" w:sz="4" w:space="0" w:color="auto"/>
            </w:tcBorders>
          </w:tcPr>
          <w:p w14:paraId="678BA281" w14:textId="3A933931" w:rsidR="00BA161F" w:rsidRPr="0091382C" w:rsidRDefault="00BA161F" w:rsidP="00480752">
            <w:pPr>
              <w:keepLines/>
              <w:tabs>
                <w:tab w:val="left" w:pos="2268"/>
                <w:tab w:val="left" w:pos="4536"/>
              </w:tabs>
              <w:spacing w:before="40" w:after="40"/>
            </w:pPr>
            <w:r>
              <w:t>Appellate Body Report,</w:t>
            </w:r>
            <w:r>
              <w:rPr>
                <w:i/>
                <w:iCs/>
              </w:rPr>
              <w:t xml:space="preserve"> United States – Measures Concerning the Importation, Marketing and Sale of Tuna and Tuna Products</w:t>
            </w:r>
            <w:r>
              <w:t xml:space="preserve">, </w:t>
            </w:r>
            <w:r w:rsidR="00A32325">
              <w:t>WT/DS381/AB/R, adopted 13 June 2012, DSR 2012:IV, p. 1837</w:t>
            </w:r>
          </w:p>
        </w:tc>
      </w:tr>
    </w:tbl>
    <w:p w14:paraId="28D5073D" w14:textId="77777777" w:rsidR="00323D96" w:rsidRDefault="00323D96" w:rsidP="00D95303">
      <w:pPr>
        <w:sectPr w:rsidR="00323D96" w:rsidSect="00954C96">
          <w:pgSz w:w="11906" w:h="16838"/>
          <w:pgMar w:top="1134" w:right="1797" w:bottom="1440" w:left="1797" w:header="567" w:footer="284" w:gutter="0"/>
          <w:pgNumType w:fmt="lowerRoman" w:start="1"/>
          <w:cols w:space="708"/>
          <w:formProt w:val="0"/>
          <w:docGrid w:linePitch="360"/>
        </w:sectPr>
      </w:pPr>
    </w:p>
    <w:p w14:paraId="0F837D63" w14:textId="77777777" w:rsidR="00D95303" w:rsidRPr="00323D96" w:rsidRDefault="00D95303" w:rsidP="00D95303">
      <w:pPr>
        <w:rPr>
          <w:b/>
          <w:smallCaps/>
          <w:lang w:val="en-GB"/>
        </w:rPr>
      </w:pPr>
    </w:p>
    <w:p w14:paraId="426E0AB8" w14:textId="77777777" w:rsidR="00D95303" w:rsidRPr="00323D96" w:rsidRDefault="00D95303" w:rsidP="00D95303">
      <w:pPr>
        <w:pStyle w:val="Heading1"/>
        <w:numPr>
          <w:ilvl w:val="0"/>
          <w:numId w:val="3"/>
        </w:numPr>
        <w:rPr>
          <w:sz w:val="24"/>
          <w:szCs w:val="24"/>
        </w:rPr>
      </w:pPr>
      <w:bookmarkStart w:id="10" w:name="_Toc496200747"/>
      <w:bookmarkStart w:id="11" w:name="_Toc499057957"/>
      <w:r w:rsidRPr="00323D96">
        <w:rPr>
          <w:sz w:val="24"/>
          <w:szCs w:val="24"/>
        </w:rPr>
        <w:t>INTRODUCTION</w:t>
      </w:r>
      <w:bookmarkEnd w:id="8"/>
      <w:bookmarkEnd w:id="9"/>
      <w:bookmarkEnd w:id="10"/>
      <w:bookmarkEnd w:id="11"/>
    </w:p>
    <w:p w14:paraId="129E00D3" w14:textId="01AB9B15" w:rsidR="00D95303" w:rsidRPr="00323D96" w:rsidRDefault="00E530A2" w:rsidP="00E43CFE">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323D96">
        <w:rPr>
          <w:rFonts w:ascii="Times New Roman" w:hAnsi="Times New Roman"/>
          <w:sz w:val="24"/>
          <w:szCs w:val="24"/>
        </w:rPr>
        <w:t>Australia considers that t</w:t>
      </w:r>
      <w:r w:rsidR="00D8540C" w:rsidRPr="00323D96">
        <w:rPr>
          <w:rFonts w:ascii="Times New Roman" w:hAnsi="Times New Roman"/>
          <w:sz w:val="24"/>
          <w:szCs w:val="24"/>
        </w:rPr>
        <w:t xml:space="preserve">hese </w:t>
      </w:r>
      <w:r w:rsidR="00B739FD" w:rsidRPr="00323D96">
        <w:rPr>
          <w:rFonts w:ascii="Times New Roman" w:hAnsi="Times New Roman"/>
          <w:sz w:val="24"/>
          <w:szCs w:val="24"/>
        </w:rPr>
        <w:t>proceedings</w:t>
      </w:r>
      <w:r w:rsidR="0060627F">
        <w:rPr>
          <w:rFonts w:ascii="Times New Roman" w:hAnsi="Times New Roman"/>
          <w:sz w:val="24"/>
          <w:szCs w:val="24"/>
        </w:rPr>
        <w:t xml:space="preserve"> initiated by Indonesia under the Understanding on Rules and Procedures Governing the Settlement of Disputes (DSU) rais</w:t>
      </w:r>
      <w:r w:rsidR="0013756D" w:rsidRPr="00323D96">
        <w:rPr>
          <w:rFonts w:ascii="Times New Roman" w:hAnsi="Times New Roman"/>
          <w:sz w:val="24"/>
          <w:szCs w:val="24"/>
        </w:rPr>
        <w:t>e</w:t>
      </w:r>
      <w:r w:rsidR="00D8540C" w:rsidRPr="00323D96">
        <w:rPr>
          <w:rFonts w:ascii="Times New Roman" w:hAnsi="Times New Roman"/>
          <w:sz w:val="24"/>
          <w:szCs w:val="24"/>
        </w:rPr>
        <w:t xml:space="preserve"> </w:t>
      </w:r>
      <w:r w:rsidR="00FD5B5D">
        <w:rPr>
          <w:rFonts w:ascii="Times New Roman" w:hAnsi="Times New Roman"/>
          <w:sz w:val="24"/>
          <w:szCs w:val="24"/>
        </w:rPr>
        <w:t>significant systemic issues concerning the substantive legal obligations and rights of WTO Members under</w:t>
      </w:r>
      <w:r w:rsidR="00622136">
        <w:rPr>
          <w:rFonts w:ascii="Times New Roman" w:hAnsi="Times New Roman"/>
          <w:sz w:val="24"/>
          <w:szCs w:val="24"/>
        </w:rPr>
        <w:t xml:space="preserve"> </w:t>
      </w:r>
      <w:r w:rsidR="00B01F93">
        <w:rPr>
          <w:rFonts w:ascii="Times New Roman" w:hAnsi="Times New Roman"/>
          <w:sz w:val="24"/>
          <w:szCs w:val="24"/>
        </w:rPr>
        <w:t xml:space="preserve">the </w:t>
      </w:r>
      <w:r w:rsidR="00FE2674" w:rsidRPr="00323D96">
        <w:rPr>
          <w:rFonts w:ascii="Times New Roman" w:hAnsi="Times New Roman"/>
          <w:sz w:val="24"/>
          <w:szCs w:val="24"/>
        </w:rPr>
        <w:t>Agreement on T</w:t>
      </w:r>
      <w:r w:rsidR="00B01F93">
        <w:rPr>
          <w:rFonts w:ascii="Times New Roman" w:hAnsi="Times New Roman"/>
          <w:sz w:val="24"/>
          <w:szCs w:val="24"/>
        </w:rPr>
        <w:t>echnical Barriers to Tr</w:t>
      </w:r>
      <w:r w:rsidR="00FE2674">
        <w:rPr>
          <w:rFonts w:ascii="Times New Roman" w:hAnsi="Times New Roman"/>
          <w:sz w:val="24"/>
          <w:szCs w:val="24"/>
        </w:rPr>
        <w:t>ade</w:t>
      </w:r>
      <w:r w:rsidR="00FE5EA6">
        <w:rPr>
          <w:rFonts w:ascii="Times New Roman" w:hAnsi="Times New Roman"/>
          <w:sz w:val="24"/>
          <w:szCs w:val="24"/>
        </w:rPr>
        <w:t xml:space="preserve"> (TBT Agreement)</w:t>
      </w:r>
      <w:r w:rsidR="00FE2674">
        <w:rPr>
          <w:rFonts w:ascii="Times New Roman" w:hAnsi="Times New Roman"/>
          <w:sz w:val="24"/>
          <w:szCs w:val="24"/>
        </w:rPr>
        <w:t xml:space="preserve"> and</w:t>
      </w:r>
      <w:r w:rsidR="00B01F93">
        <w:rPr>
          <w:rFonts w:ascii="Times New Roman" w:hAnsi="Times New Roman"/>
          <w:sz w:val="24"/>
          <w:szCs w:val="24"/>
        </w:rPr>
        <w:t xml:space="preserve"> </w:t>
      </w:r>
      <w:r w:rsidR="00FE2674">
        <w:rPr>
          <w:rFonts w:ascii="Times New Roman" w:hAnsi="Times New Roman"/>
          <w:sz w:val="24"/>
          <w:szCs w:val="24"/>
        </w:rPr>
        <w:t xml:space="preserve">the </w:t>
      </w:r>
      <w:r w:rsidR="0030318F">
        <w:rPr>
          <w:rFonts w:ascii="Times New Roman" w:hAnsi="Times New Roman"/>
          <w:sz w:val="24"/>
          <w:szCs w:val="24"/>
        </w:rPr>
        <w:t>General Agreement on Tariffs and T</w:t>
      </w:r>
      <w:r w:rsidR="00FE2674">
        <w:rPr>
          <w:rFonts w:ascii="Times New Roman" w:hAnsi="Times New Roman"/>
          <w:sz w:val="24"/>
          <w:szCs w:val="24"/>
        </w:rPr>
        <w:t>rade 1994 (the GATT 1994)</w:t>
      </w:r>
      <w:r w:rsidR="00F60BC1">
        <w:rPr>
          <w:rFonts w:ascii="Times New Roman" w:hAnsi="Times New Roman"/>
          <w:sz w:val="24"/>
          <w:szCs w:val="24"/>
        </w:rPr>
        <w:t>.</w:t>
      </w:r>
      <w:r w:rsidR="00FD5B5D">
        <w:rPr>
          <w:rFonts w:ascii="Times New Roman" w:hAnsi="Times New Roman"/>
          <w:sz w:val="24"/>
          <w:szCs w:val="24"/>
        </w:rPr>
        <w:t xml:space="preserve"> The European Union’s</w:t>
      </w:r>
      <w:r w:rsidR="00D022E7">
        <w:rPr>
          <w:rFonts w:ascii="Times New Roman" w:hAnsi="Times New Roman"/>
          <w:sz w:val="24"/>
          <w:szCs w:val="24"/>
        </w:rPr>
        <w:t xml:space="preserve"> (EU)</w:t>
      </w:r>
      <w:r w:rsidR="00FD5B5D">
        <w:rPr>
          <w:rFonts w:ascii="Times New Roman" w:hAnsi="Times New Roman"/>
          <w:sz w:val="24"/>
          <w:szCs w:val="24"/>
        </w:rPr>
        <w:t xml:space="preserve"> palm oil and oil palm crop-based biofuel measures at issue in this dispute test the boundaries of those rights and obligations.</w:t>
      </w:r>
    </w:p>
    <w:p w14:paraId="402EA7D8" w14:textId="77777777" w:rsidR="00FD5B5D" w:rsidRDefault="00FD5B5D" w:rsidP="0013756D">
      <w:pPr>
        <w:pStyle w:val="ColorfulList-Accent11"/>
        <w:spacing w:after="0" w:line="240" w:lineRule="auto"/>
        <w:ind w:left="0"/>
        <w:rPr>
          <w:rFonts w:ascii="Times New Roman" w:hAnsi="Times New Roman"/>
          <w:sz w:val="24"/>
          <w:szCs w:val="24"/>
        </w:rPr>
      </w:pPr>
    </w:p>
    <w:p w14:paraId="60B14E03" w14:textId="3E91535D" w:rsidR="00AA248E" w:rsidRPr="00AA248E" w:rsidRDefault="002157A9" w:rsidP="001C59FA">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AA248E">
        <w:rPr>
          <w:rFonts w:ascii="Times New Roman" w:hAnsi="Times New Roman"/>
          <w:sz w:val="24"/>
          <w:szCs w:val="24"/>
        </w:rPr>
        <w:t>Australia</w:t>
      </w:r>
      <w:r w:rsidR="00147EE1">
        <w:rPr>
          <w:rFonts w:ascii="Times New Roman" w:hAnsi="Times New Roman"/>
          <w:sz w:val="24"/>
          <w:szCs w:val="24"/>
        </w:rPr>
        <w:t xml:space="preserve"> recognises the right of </w:t>
      </w:r>
      <w:r w:rsidR="00852446">
        <w:rPr>
          <w:rFonts w:ascii="Times New Roman" w:hAnsi="Times New Roman"/>
          <w:sz w:val="24"/>
          <w:szCs w:val="24"/>
        </w:rPr>
        <w:t xml:space="preserve">WTO </w:t>
      </w:r>
      <w:r w:rsidR="00147EE1">
        <w:rPr>
          <w:rFonts w:ascii="Times New Roman" w:hAnsi="Times New Roman"/>
          <w:sz w:val="24"/>
          <w:szCs w:val="24"/>
        </w:rPr>
        <w:t xml:space="preserve">Members to take measures necessary for protecting legitimate public policy objectives, such as, environmental </w:t>
      </w:r>
      <w:r w:rsidR="00852446">
        <w:rPr>
          <w:rFonts w:ascii="Times New Roman" w:hAnsi="Times New Roman"/>
          <w:sz w:val="24"/>
          <w:szCs w:val="24"/>
        </w:rPr>
        <w:t>protection</w:t>
      </w:r>
      <w:r w:rsidR="00AA248E" w:rsidRPr="00AA248E">
        <w:rPr>
          <w:rFonts w:ascii="Times New Roman" w:hAnsi="Times New Roman"/>
          <w:sz w:val="24"/>
          <w:szCs w:val="24"/>
        </w:rPr>
        <w:t>.</w:t>
      </w:r>
      <w:r w:rsidR="00F745D4">
        <w:rPr>
          <w:rFonts w:ascii="Times New Roman" w:hAnsi="Times New Roman"/>
          <w:sz w:val="24"/>
          <w:szCs w:val="24"/>
        </w:rPr>
        <w:t xml:space="preserve"> </w:t>
      </w:r>
      <w:r w:rsidR="00AA248E">
        <w:rPr>
          <w:rFonts w:ascii="Times New Roman" w:hAnsi="Times New Roman"/>
          <w:sz w:val="24"/>
          <w:szCs w:val="24"/>
        </w:rPr>
        <w:t>In saying this,</w:t>
      </w:r>
      <w:r w:rsidR="00F745D4">
        <w:rPr>
          <w:rFonts w:ascii="Times New Roman" w:hAnsi="Times New Roman"/>
          <w:sz w:val="24"/>
          <w:szCs w:val="24"/>
        </w:rPr>
        <w:t xml:space="preserve"> it is</w:t>
      </w:r>
      <w:r w:rsidR="00AA248E">
        <w:rPr>
          <w:rFonts w:ascii="Times New Roman" w:hAnsi="Times New Roman"/>
          <w:sz w:val="24"/>
          <w:szCs w:val="24"/>
        </w:rPr>
        <w:t xml:space="preserve"> </w:t>
      </w:r>
      <w:r w:rsidR="00F745D4">
        <w:rPr>
          <w:rFonts w:ascii="Times New Roman" w:hAnsi="Times New Roman"/>
          <w:sz w:val="24"/>
          <w:szCs w:val="24"/>
        </w:rPr>
        <w:t xml:space="preserve">Australia’s </w:t>
      </w:r>
      <w:r w:rsidR="00D85E1E">
        <w:rPr>
          <w:rFonts w:ascii="Times New Roman" w:hAnsi="Times New Roman"/>
          <w:sz w:val="24"/>
          <w:szCs w:val="24"/>
        </w:rPr>
        <w:t>firmly held</w:t>
      </w:r>
      <w:r w:rsidR="00F745D4">
        <w:rPr>
          <w:rFonts w:ascii="Times New Roman" w:hAnsi="Times New Roman"/>
          <w:sz w:val="24"/>
          <w:szCs w:val="24"/>
        </w:rPr>
        <w:t xml:space="preserve"> view, that WTO Members should not, under the guise of environmental action, implement trade protectionist measures. </w:t>
      </w:r>
    </w:p>
    <w:p w14:paraId="0D0AAF5F" w14:textId="77777777" w:rsidR="00AA248E" w:rsidRDefault="00AA248E" w:rsidP="00AA248E">
      <w:pPr>
        <w:pStyle w:val="ListParagraph"/>
      </w:pPr>
    </w:p>
    <w:p w14:paraId="72878B46" w14:textId="6E77381C" w:rsidR="00F745D4" w:rsidRDefault="00B2647C" w:rsidP="00994E2D">
      <w:pPr>
        <w:pStyle w:val="ColorfulList-Accent11"/>
        <w:numPr>
          <w:ilvl w:val="0"/>
          <w:numId w:val="2"/>
        </w:numPr>
        <w:tabs>
          <w:tab w:val="num" w:pos="0"/>
        </w:tabs>
        <w:spacing w:after="0" w:line="240" w:lineRule="auto"/>
        <w:ind w:left="0" w:hanging="567"/>
        <w:jc w:val="both"/>
        <w:rPr>
          <w:rFonts w:ascii="Times New Roman" w:hAnsi="Times New Roman"/>
          <w:sz w:val="24"/>
          <w:szCs w:val="24"/>
        </w:rPr>
      </w:pPr>
      <w:r w:rsidRPr="00F745D4">
        <w:rPr>
          <w:rFonts w:ascii="Times New Roman" w:hAnsi="Times New Roman"/>
          <w:sz w:val="24"/>
          <w:szCs w:val="24"/>
        </w:rPr>
        <w:t xml:space="preserve">In this submission, Australia </w:t>
      </w:r>
      <w:r w:rsidR="00D8540C" w:rsidRPr="00F745D4">
        <w:rPr>
          <w:rFonts w:ascii="Times New Roman" w:hAnsi="Times New Roman"/>
          <w:sz w:val="24"/>
          <w:szCs w:val="24"/>
        </w:rPr>
        <w:t xml:space="preserve">will </w:t>
      </w:r>
      <w:r w:rsidR="0091382C" w:rsidRPr="00F745D4">
        <w:rPr>
          <w:rFonts w:ascii="Times New Roman" w:hAnsi="Times New Roman"/>
          <w:sz w:val="24"/>
          <w:szCs w:val="24"/>
        </w:rPr>
        <w:t>focus on</w:t>
      </w:r>
      <w:r w:rsidR="000F2F49" w:rsidRPr="00F745D4">
        <w:rPr>
          <w:rFonts w:ascii="Times New Roman" w:hAnsi="Times New Roman"/>
          <w:sz w:val="24"/>
          <w:szCs w:val="24"/>
        </w:rPr>
        <w:t xml:space="preserve"> </w:t>
      </w:r>
      <w:r w:rsidR="00F60BC1" w:rsidRPr="00F745D4">
        <w:rPr>
          <w:rFonts w:ascii="Times New Roman" w:hAnsi="Times New Roman"/>
          <w:sz w:val="24"/>
          <w:szCs w:val="24"/>
        </w:rPr>
        <w:t xml:space="preserve">the proper </w:t>
      </w:r>
      <w:r w:rsidR="002042EE" w:rsidRPr="00F745D4">
        <w:rPr>
          <w:rFonts w:ascii="Times New Roman" w:hAnsi="Times New Roman"/>
          <w:sz w:val="24"/>
          <w:szCs w:val="24"/>
        </w:rPr>
        <w:t xml:space="preserve">legal analysis that should be applied under </w:t>
      </w:r>
      <w:r w:rsidR="00511DAA" w:rsidRPr="00F745D4">
        <w:rPr>
          <w:rFonts w:ascii="Times New Roman" w:hAnsi="Times New Roman"/>
          <w:sz w:val="24"/>
          <w:szCs w:val="24"/>
        </w:rPr>
        <w:t xml:space="preserve">Article </w:t>
      </w:r>
      <w:r w:rsidR="00FE5EA6" w:rsidRPr="00F745D4">
        <w:rPr>
          <w:rFonts w:ascii="Times New Roman" w:hAnsi="Times New Roman"/>
          <w:sz w:val="24"/>
          <w:szCs w:val="24"/>
        </w:rPr>
        <w:t>2.2</w:t>
      </w:r>
      <w:r w:rsidR="00511DAA" w:rsidRPr="00F745D4">
        <w:rPr>
          <w:rFonts w:ascii="Times New Roman" w:hAnsi="Times New Roman"/>
          <w:sz w:val="24"/>
          <w:szCs w:val="24"/>
        </w:rPr>
        <w:t xml:space="preserve"> of t</w:t>
      </w:r>
      <w:r w:rsidR="00830C71" w:rsidRPr="00F745D4">
        <w:rPr>
          <w:rFonts w:ascii="Times New Roman" w:hAnsi="Times New Roman"/>
          <w:sz w:val="24"/>
          <w:szCs w:val="24"/>
        </w:rPr>
        <w:t xml:space="preserve">he </w:t>
      </w:r>
      <w:r w:rsidR="00FE5EA6" w:rsidRPr="00F745D4">
        <w:rPr>
          <w:rFonts w:ascii="Times New Roman" w:hAnsi="Times New Roman"/>
          <w:sz w:val="24"/>
          <w:szCs w:val="24"/>
        </w:rPr>
        <w:t>TBT Agreement</w:t>
      </w:r>
      <w:r w:rsidR="00511DAA" w:rsidRPr="00F745D4">
        <w:rPr>
          <w:rFonts w:ascii="Times New Roman" w:hAnsi="Times New Roman"/>
          <w:sz w:val="24"/>
          <w:szCs w:val="24"/>
        </w:rPr>
        <w:t xml:space="preserve"> and </w:t>
      </w:r>
      <w:r w:rsidR="00F60BC1" w:rsidRPr="00F745D4">
        <w:rPr>
          <w:rFonts w:ascii="Times New Roman" w:hAnsi="Times New Roman"/>
          <w:sz w:val="24"/>
          <w:szCs w:val="24"/>
        </w:rPr>
        <w:t xml:space="preserve">Article </w:t>
      </w:r>
      <w:r w:rsidR="00FE5EA6" w:rsidRPr="00F745D4">
        <w:rPr>
          <w:rFonts w:ascii="Times New Roman" w:hAnsi="Times New Roman"/>
          <w:sz w:val="24"/>
          <w:szCs w:val="24"/>
        </w:rPr>
        <w:t>XX of the GATT 1994</w:t>
      </w:r>
      <w:r w:rsidR="0030318F" w:rsidRPr="00F745D4">
        <w:rPr>
          <w:rFonts w:ascii="Times New Roman" w:hAnsi="Times New Roman"/>
          <w:sz w:val="24"/>
          <w:szCs w:val="24"/>
        </w:rPr>
        <w:t xml:space="preserve">.  </w:t>
      </w:r>
      <w:r w:rsidR="00F60BC1" w:rsidRPr="00F745D4">
        <w:rPr>
          <w:rFonts w:ascii="Times New Roman" w:hAnsi="Times New Roman"/>
          <w:sz w:val="24"/>
          <w:szCs w:val="24"/>
        </w:rPr>
        <w:t xml:space="preserve">In </w:t>
      </w:r>
      <w:r w:rsidR="0091382C" w:rsidRPr="00F745D4">
        <w:rPr>
          <w:rFonts w:ascii="Times New Roman" w:hAnsi="Times New Roman"/>
          <w:sz w:val="24"/>
          <w:szCs w:val="24"/>
        </w:rPr>
        <w:t xml:space="preserve">particular, Australia will </w:t>
      </w:r>
      <w:r w:rsidR="00F745D4">
        <w:rPr>
          <w:rFonts w:ascii="Times New Roman" w:hAnsi="Times New Roman"/>
          <w:sz w:val="24"/>
          <w:szCs w:val="24"/>
        </w:rPr>
        <w:t>set out the correct legal standard for determining:</w:t>
      </w:r>
    </w:p>
    <w:p w14:paraId="54F6F8BC" w14:textId="77777777" w:rsidR="00F745D4" w:rsidRDefault="00F745D4" w:rsidP="00F745D4">
      <w:pPr>
        <w:pStyle w:val="ListParagraph"/>
      </w:pPr>
    </w:p>
    <w:p w14:paraId="37CFE4BC" w14:textId="2AA86EA5" w:rsidR="00F745D4" w:rsidRDefault="00E42C29" w:rsidP="00F745D4">
      <w:pPr>
        <w:pStyle w:val="ColorfulList-Accent11"/>
        <w:numPr>
          <w:ilvl w:val="0"/>
          <w:numId w:val="33"/>
        </w:numPr>
        <w:spacing w:after="0" w:line="240" w:lineRule="auto"/>
        <w:jc w:val="both"/>
        <w:rPr>
          <w:rFonts w:ascii="Times New Roman" w:hAnsi="Times New Roman"/>
          <w:sz w:val="24"/>
          <w:szCs w:val="24"/>
        </w:rPr>
      </w:pPr>
      <w:r>
        <w:rPr>
          <w:rFonts w:ascii="Times New Roman" w:hAnsi="Times New Roman"/>
          <w:sz w:val="24"/>
          <w:szCs w:val="24"/>
        </w:rPr>
        <w:t>‘</w:t>
      </w:r>
      <w:r w:rsidR="00F745D4">
        <w:rPr>
          <w:rFonts w:ascii="Times New Roman" w:hAnsi="Times New Roman"/>
          <w:sz w:val="24"/>
          <w:szCs w:val="24"/>
        </w:rPr>
        <w:t>trade restrictiveness</w:t>
      </w:r>
      <w:r>
        <w:rPr>
          <w:rFonts w:ascii="Times New Roman" w:hAnsi="Times New Roman"/>
          <w:sz w:val="24"/>
          <w:szCs w:val="24"/>
        </w:rPr>
        <w:t>’</w:t>
      </w:r>
      <w:r w:rsidR="00F745D4">
        <w:rPr>
          <w:rFonts w:ascii="Times New Roman" w:hAnsi="Times New Roman"/>
          <w:sz w:val="24"/>
          <w:szCs w:val="24"/>
        </w:rPr>
        <w:t xml:space="preserve">, </w:t>
      </w:r>
      <w:r>
        <w:rPr>
          <w:rFonts w:ascii="Times New Roman" w:hAnsi="Times New Roman"/>
          <w:sz w:val="24"/>
          <w:szCs w:val="24"/>
        </w:rPr>
        <w:t>‘</w:t>
      </w:r>
      <w:r w:rsidR="00F745D4">
        <w:rPr>
          <w:rFonts w:ascii="Times New Roman" w:hAnsi="Times New Roman"/>
          <w:sz w:val="24"/>
          <w:szCs w:val="24"/>
        </w:rPr>
        <w:t>contribution</w:t>
      </w:r>
      <w:r>
        <w:rPr>
          <w:rFonts w:ascii="Times New Roman" w:hAnsi="Times New Roman"/>
          <w:sz w:val="24"/>
          <w:szCs w:val="24"/>
        </w:rPr>
        <w:t>’</w:t>
      </w:r>
      <w:r w:rsidR="00F745D4">
        <w:rPr>
          <w:rFonts w:ascii="Times New Roman" w:hAnsi="Times New Roman"/>
          <w:sz w:val="24"/>
          <w:szCs w:val="24"/>
        </w:rPr>
        <w:t xml:space="preserve"> and </w:t>
      </w:r>
      <w:r>
        <w:rPr>
          <w:rFonts w:ascii="Times New Roman" w:hAnsi="Times New Roman"/>
          <w:sz w:val="24"/>
          <w:szCs w:val="24"/>
        </w:rPr>
        <w:t>‘</w:t>
      </w:r>
      <w:r w:rsidR="00F745D4">
        <w:rPr>
          <w:rFonts w:ascii="Times New Roman" w:hAnsi="Times New Roman"/>
          <w:sz w:val="24"/>
          <w:szCs w:val="24"/>
        </w:rPr>
        <w:t>less trade restrictive alternatives</w:t>
      </w:r>
      <w:r>
        <w:rPr>
          <w:rFonts w:ascii="Times New Roman" w:hAnsi="Times New Roman"/>
          <w:sz w:val="24"/>
          <w:szCs w:val="24"/>
        </w:rPr>
        <w:t>’</w:t>
      </w:r>
      <w:r w:rsidR="00F745D4">
        <w:rPr>
          <w:rFonts w:ascii="Times New Roman" w:hAnsi="Times New Roman"/>
          <w:sz w:val="24"/>
          <w:szCs w:val="24"/>
        </w:rPr>
        <w:t xml:space="preserve"> under Article 2.2 of the TBT Agreement;</w:t>
      </w:r>
      <w:r w:rsidR="00147EE1">
        <w:rPr>
          <w:rFonts w:ascii="Times New Roman" w:hAnsi="Times New Roman"/>
          <w:sz w:val="24"/>
          <w:szCs w:val="24"/>
        </w:rPr>
        <w:t xml:space="preserve"> and </w:t>
      </w:r>
    </w:p>
    <w:p w14:paraId="5373C181" w14:textId="129DEE78" w:rsidR="000F2F49" w:rsidRPr="00F745D4" w:rsidRDefault="00147EE1" w:rsidP="00F745D4">
      <w:pPr>
        <w:pStyle w:val="ColorfulList-Accent11"/>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 </w:t>
      </w:r>
      <w:r w:rsidR="00EF43EA">
        <w:rPr>
          <w:rFonts w:ascii="Times New Roman" w:hAnsi="Times New Roman"/>
          <w:sz w:val="24"/>
          <w:szCs w:val="24"/>
        </w:rPr>
        <w:t>‘</w:t>
      </w:r>
      <w:r>
        <w:rPr>
          <w:rFonts w:ascii="Times New Roman" w:hAnsi="Times New Roman"/>
          <w:sz w:val="24"/>
          <w:szCs w:val="24"/>
        </w:rPr>
        <w:t>necessity</w:t>
      </w:r>
      <w:r w:rsidR="00EF43EA">
        <w:rPr>
          <w:rFonts w:ascii="Times New Roman" w:hAnsi="Times New Roman"/>
          <w:sz w:val="24"/>
          <w:szCs w:val="24"/>
        </w:rPr>
        <w:t>’</w:t>
      </w:r>
      <w:r>
        <w:rPr>
          <w:rFonts w:ascii="Times New Roman" w:hAnsi="Times New Roman"/>
          <w:sz w:val="24"/>
          <w:szCs w:val="24"/>
        </w:rPr>
        <w:t xml:space="preserve"> </w:t>
      </w:r>
      <w:r w:rsidR="00A60FA9">
        <w:rPr>
          <w:rFonts w:ascii="Times New Roman" w:hAnsi="Times New Roman"/>
          <w:sz w:val="24"/>
          <w:szCs w:val="24"/>
        </w:rPr>
        <w:t xml:space="preserve">under </w:t>
      </w:r>
      <w:r w:rsidR="00852446">
        <w:rPr>
          <w:rFonts w:ascii="Times New Roman" w:hAnsi="Times New Roman"/>
          <w:sz w:val="24"/>
          <w:szCs w:val="24"/>
        </w:rPr>
        <w:t>Articles</w:t>
      </w:r>
      <w:r w:rsidR="00A60FA9">
        <w:rPr>
          <w:rFonts w:ascii="Times New Roman" w:hAnsi="Times New Roman"/>
          <w:sz w:val="24"/>
          <w:szCs w:val="24"/>
        </w:rPr>
        <w:t xml:space="preserve"> </w:t>
      </w:r>
      <w:r w:rsidR="00852446">
        <w:rPr>
          <w:rFonts w:ascii="Times New Roman" w:hAnsi="Times New Roman"/>
          <w:sz w:val="24"/>
          <w:szCs w:val="24"/>
        </w:rPr>
        <w:t>XX</w:t>
      </w:r>
      <w:r w:rsidR="00A60FA9">
        <w:rPr>
          <w:rFonts w:ascii="Times New Roman" w:hAnsi="Times New Roman"/>
          <w:sz w:val="24"/>
          <w:szCs w:val="24"/>
        </w:rPr>
        <w:t xml:space="preserve">(a) and (b) </w:t>
      </w:r>
      <w:r w:rsidR="00852446">
        <w:rPr>
          <w:rFonts w:ascii="Times New Roman" w:hAnsi="Times New Roman"/>
          <w:sz w:val="24"/>
          <w:szCs w:val="24"/>
        </w:rPr>
        <w:t xml:space="preserve">and </w:t>
      </w:r>
      <w:r w:rsidR="00EF43EA">
        <w:rPr>
          <w:rFonts w:ascii="Times New Roman" w:hAnsi="Times New Roman"/>
          <w:sz w:val="24"/>
          <w:szCs w:val="24"/>
        </w:rPr>
        <w:t>‘</w:t>
      </w:r>
      <w:r w:rsidR="00852446">
        <w:rPr>
          <w:rFonts w:ascii="Times New Roman" w:hAnsi="Times New Roman"/>
          <w:sz w:val="24"/>
          <w:szCs w:val="24"/>
        </w:rPr>
        <w:t>relates to</w:t>
      </w:r>
      <w:r w:rsidR="00EF43EA">
        <w:rPr>
          <w:rFonts w:ascii="Times New Roman" w:hAnsi="Times New Roman"/>
          <w:sz w:val="24"/>
          <w:szCs w:val="24"/>
        </w:rPr>
        <w:t>’</w:t>
      </w:r>
      <w:r w:rsidR="00852446">
        <w:rPr>
          <w:rFonts w:ascii="Times New Roman" w:hAnsi="Times New Roman"/>
          <w:sz w:val="24"/>
          <w:szCs w:val="24"/>
        </w:rPr>
        <w:t xml:space="preserve"> under Article XX(g) of the</w:t>
      </w:r>
      <w:r w:rsidR="00A60FA9">
        <w:rPr>
          <w:rFonts w:ascii="Times New Roman" w:hAnsi="Times New Roman"/>
          <w:sz w:val="24"/>
          <w:szCs w:val="24"/>
        </w:rPr>
        <w:t xml:space="preserve"> GATT 1994.</w:t>
      </w:r>
    </w:p>
    <w:p w14:paraId="62EC2B61" w14:textId="77777777" w:rsidR="00A65589" w:rsidRDefault="00A65589" w:rsidP="00A65589">
      <w:pPr>
        <w:pStyle w:val="ListParagraph"/>
      </w:pPr>
    </w:p>
    <w:p w14:paraId="366B114E" w14:textId="4C9AD361" w:rsidR="00B2647C" w:rsidRPr="00323D96" w:rsidRDefault="00B2647C" w:rsidP="00D95303">
      <w:pPr>
        <w:pStyle w:val="ColorfulList-Accent11"/>
        <w:numPr>
          <w:ilvl w:val="0"/>
          <w:numId w:val="2"/>
        </w:numPr>
        <w:tabs>
          <w:tab w:val="num" w:pos="0"/>
        </w:tabs>
        <w:spacing w:after="0" w:line="240" w:lineRule="auto"/>
        <w:ind w:left="0" w:hanging="567"/>
        <w:rPr>
          <w:rFonts w:ascii="Times New Roman" w:hAnsi="Times New Roman"/>
          <w:sz w:val="24"/>
          <w:szCs w:val="24"/>
        </w:rPr>
      </w:pPr>
      <w:r w:rsidRPr="00323D96">
        <w:rPr>
          <w:rFonts w:ascii="Times New Roman" w:hAnsi="Times New Roman"/>
          <w:sz w:val="24"/>
          <w:szCs w:val="24"/>
        </w:rPr>
        <w:t>Australia reserves the right to raise</w:t>
      </w:r>
      <w:r w:rsidR="004E2865" w:rsidRPr="00323D96">
        <w:rPr>
          <w:rFonts w:ascii="Times New Roman" w:hAnsi="Times New Roman"/>
          <w:sz w:val="24"/>
          <w:szCs w:val="24"/>
        </w:rPr>
        <w:t xml:space="preserve"> other issues </w:t>
      </w:r>
      <w:r w:rsidR="00F60BC1">
        <w:rPr>
          <w:rFonts w:ascii="Times New Roman" w:hAnsi="Times New Roman"/>
          <w:sz w:val="24"/>
          <w:szCs w:val="24"/>
        </w:rPr>
        <w:t>at the third party hearing</w:t>
      </w:r>
      <w:r w:rsidR="004C097B">
        <w:rPr>
          <w:rFonts w:ascii="Times New Roman" w:hAnsi="Times New Roman"/>
          <w:sz w:val="24"/>
          <w:szCs w:val="24"/>
        </w:rPr>
        <w:t xml:space="preserve"> before the Panel</w:t>
      </w:r>
      <w:r w:rsidRPr="00323D96">
        <w:rPr>
          <w:rFonts w:ascii="Times New Roman" w:hAnsi="Times New Roman"/>
          <w:sz w:val="24"/>
          <w:szCs w:val="24"/>
        </w:rPr>
        <w:t>.</w:t>
      </w:r>
    </w:p>
    <w:p w14:paraId="4483B753" w14:textId="77777777" w:rsidR="005E569B" w:rsidRDefault="005E569B" w:rsidP="0086210E">
      <w:pPr>
        <w:tabs>
          <w:tab w:val="left" w:pos="1815"/>
        </w:tabs>
      </w:pPr>
    </w:p>
    <w:p w14:paraId="0C1CCAC4" w14:textId="53B6BA85" w:rsidR="008E6F84" w:rsidRDefault="00EF0886" w:rsidP="008E6F84">
      <w:pPr>
        <w:pStyle w:val="Heading1"/>
        <w:numPr>
          <w:ilvl w:val="0"/>
          <w:numId w:val="3"/>
        </w:numPr>
        <w:rPr>
          <w:sz w:val="24"/>
          <w:szCs w:val="24"/>
        </w:rPr>
      </w:pPr>
      <w:bookmarkStart w:id="12" w:name="_Toc496200748"/>
      <w:r>
        <w:rPr>
          <w:sz w:val="24"/>
          <w:szCs w:val="24"/>
        </w:rPr>
        <w:t>Agreement on Technical barriers to trade</w:t>
      </w:r>
    </w:p>
    <w:p w14:paraId="61B5FDBD" w14:textId="272A3739" w:rsidR="003B4A92" w:rsidRPr="00A01DD5" w:rsidRDefault="00A01DD5" w:rsidP="00A01DD5">
      <w:pPr>
        <w:pStyle w:val="ListParagraph"/>
        <w:numPr>
          <w:ilvl w:val="0"/>
          <w:numId w:val="26"/>
        </w:numPr>
        <w:tabs>
          <w:tab w:val="left" w:pos="1815"/>
        </w:tabs>
        <w:rPr>
          <w:b/>
          <w:bCs/>
          <w:caps/>
          <w:color w:val="000000"/>
          <w:sz w:val="22"/>
          <w:szCs w:val="22"/>
        </w:rPr>
      </w:pPr>
      <w:r w:rsidRPr="00A01DD5">
        <w:rPr>
          <w:b/>
          <w:bCs/>
          <w:caps/>
          <w:sz w:val="22"/>
          <w:szCs w:val="22"/>
        </w:rPr>
        <w:t>Article 2.2</w:t>
      </w:r>
      <w:r w:rsidR="00EC7D67">
        <w:rPr>
          <w:b/>
          <w:bCs/>
          <w:caps/>
          <w:sz w:val="22"/>
          <w:szCs w:val="22"/>
        </w:rPr>
        <w:t xml:space="preserve"> of</w:t>
      </w:r>
      <w:r w:rsidRPr="00A01DD5">
        <w:rPr>
          <w:b/>
          <w:bCs/>
          <w:caps/>
          <w:sz w:val="22"/>
          <w:szCs w:val="22"/>
        </w:rPr>
        <w:t xml:space="preserve"> the TBT Agreement</w:t>
      </w:r>
    </w:p>
    <w:p w14:paraId="4A029441" w14:textId="77777777" w:rsidR="003B4A92" w:rsidRPr="003B4A92" w:rsidRDefault="003B4A92" w:rsidP="003B4A92">
      <w:pPr>
        <w:tabs>
          <w:tab w:val="left" w:pos="1815"/>
        </w:tabs>
        <w:rPr>
          <w:color w:val="000000"/>
        </w:rPr>
      </w:pPr>
    </w:p>
    <w:p w14:paraId="5AAFC4C6" w14:textId="28926508" w:rsidR="00A01DD5" w:rsidRDefault="00A01DD5" w:rsidP="00DB6461">
      <w:pPr>
        <w:numPr>
          <w:ilvl w:val="0"/>
          <w:numId w:val="2"/>
        </w:numPr>
        <w:tabs>
          <w:tab w:val="num" w:pos="0"/>
          <w:tab w:val="left" w:pos="1815"/>
        </w:tabs>
        <w:ind w:left="0" w:hanging="567"/>
        <w:jc w:val="both"/>
        <w:rPr>
          <w:color w:val="000000"/>
        </w:rPr>
      </w:pPr>
      <w:r>
        <w:rPr>
          <w:color w:val="000000"/>
        </w:rPr>
        <w:t>Article 2.2 of the TBT Agreement provides:</w:t>
      </w:r>
    </w:p>
    <w:p w14:paraId="133AA266" w14:textId="3F2ECE52" w:rsidR="00A01DD5" w:rsidRDefault="00A01DD5" w:rsidP="00A01DD5">
      <w:pPr>
        <w:tabs>
          <w:tab w:val="left" w:pos="1815"/>
        </w:tabs>
        <w:jc w:val="both"/>
        <w:rPr>
          <w:color w:val="000000"/>
        </w:rPr>
      </w:pPr>
    </w:p>
    <w:p w14:paraId="18A80C9B" w14:textId="3E6D685D" w:rsidR="00A01DD5" w:rsidRPr="00A01DD5" w:rsidRDefault="00A01DD5" w:rsidP="00A01DD5">
      <w:pPr>
        <w:tabs>
          <w:tab w:val="left" w:pos="1815"/>
        </w:tabs>
        <w:ind w:left="720"/>
        <w:jc w:val="both"/>
        <w:rPr>
          <w:sz w:val="22"/>
          <w:szCs w:val="22"/>
        </w:rPr>
      </w:pPr>
      <w:r w:rsidRPr="00A01DD5">
        <w:rPr>
          <w:sz w:val="22"/>
          <w:szCs w:val="22"/>
        </w:rPr>
        <w:t>Members shall ensure that technical regulations are not prepared, adopted or applied with a view to or with the effect of creating unnecessary obstacles to international trade. For this purpose, technical regulations shall not be more trade-restrictive than necessary to fulfil a legitimate objective, taking account of the risks non-fulfilment would create. Such legitimate objectives are, inter alia: national security requirements; the prevention of deceptive practices; protection of human health or safety, animal or plant life or health, or the environment. In assessing such risks, relevant elements of consideration are, inter alia: available scientific and technical information, related processing technology or intended end-uses of products</w:t>
      </w:r>
      <w:r w:rsidR="00BD5C9C">
        <w:rPr>
          <w:sz w:val="22"/>
          <w:szCs w:val="22"/>
        </w:rPr>
        <w:t>.</w:t>
      </w:r>
    </w:p>
    <w:p w14:paraId="260AE5BA" w14:textId="77777777" w:rsidR="00A01DD5" w:rsidRPr="00A01DD5" w:rsidRDefault="00A01DD5" w:rsidP="00A01DD5">
      <w:pPr>
        <w:tabs>
          <w:tab w:val="left" w:pos="1815"/>
        </w:tabs>
        <w:jc w:val="both"/>
        <w:rPr>
          <w:color w:val="000000"/>
        </w:rPr>
      </w:pPr>
    </w:p>
    <w:p w14:paraId="0820761D" w14:textId="55D06116" w:rsidR="00DB6461" w:rsidRDefault="00A01DD5" w:rsidP="00DB6461">
      <w:pPr>
        <w:numPr>
          <w:ilvl w:val="0"/>
          <w:numId w:val="2"/>
        </w:numPr>
        <w:tabs>
          <w:tab w:val="num" w:pos="0"/>
          <w:tab w:val="left" w:pos="1815"/>
        </w:tabs>
        <w:ind w:left="0" w:hanging="567"/>
        <w:jc w:val="both"/>
        <w:rPr>
          <w:color w:val="000000"/>
        </w:rPr>
      </w:pPr>
      <w:r>
        <w:t>T</w:t>
      </w:r>
      <w:r w:rsidR="00055BE1">
        <w:t>o establish that</w:t>
      </w:r>
      <w:r w:rsidR="00EF0886">
        <w:t xml:space="preserve"> </w:t>
      </w:r>
      <w:r w:rsidR="00AC1E3B">
        <w:t xml:space="preserve">a </w:t>
      </w:r>
      <w:r w:rsidR="00EF0886">
        <w:t xml:space="preserve">measure is inconsistent with Article 2.2, a complainant must demonstrate that: (i) the measure at issue constitutes a </w:t>
      </w:r>
      <w:r w:rsidR="00E42C29">
        <w:t>“</w:t>
      </w:r>
      <w:r w:rsidR="00EF0886">
        <w:t>technical regulation</w:t>
      </w:r>
      <w:r w:rsidR="00E42C29">
        <w:t>”</w:t>
      </w:r>
      <w:r w:rsidR="00EF0886">
        <w:t xml:space="preserve"> within the meaning of the TBT Agreement;</w:t>
      </w:r>
      <w:r w:rsidR="00EF0886">
        <w:rPr>
          <w:rStyle w:val="FootnoteReference"/>
        </w:rPr>
        <w:footnoteReference w:id="1"/>
      </w:r>
      <w:r w:rsidR="00EF0886">
        <w:t xml:space="preserve"> and (ii) the measure is </w:t>
      </w:r>
      <w:r w:rsidR="00E42C29">
        <w:t>“</w:t>
      </w:r>
      <w:r w:rsidR="00EF0886">
        <w:t xml:space="preserve">more trade-restrictive than </w:t>
      </w:r>
      <w:r w:rsidR="00EF0886">
        <w:lastRenderedPageBreak/>
        <w:t>necessary to fulfil a legitimate objective, taking account of the risks non-fulfilment would create</w:t>
      </w:r>
      <w:r w:rsidR="00E42C29">
        <w:t>”</w:t>
      </w:r>
      <w:r w:rsidR="00EF0886">
        <w:t xml:space="preserve">. </w:t>
      </w:r>
    </w:p>
    <w:p w14:paraId="5B3F5FA6" w14:textId="77777777" w:rsidR="00DB6461" w:rsidRDefault="00DB6461" w:rsidP="00DB6461">
      <w:pPr>
        <w:tabs>
          <w:tab w:val="left" w:pos="1815"/>
        </w:tabs>
        <w:jc w:val="both"/>
        <w:rPr>
          <w:color w:val="000000"/>
        </w:rPr>
      </w:pPr>
    </w:p>
    <w:p w14:paraId="1AB0031A" w14:textId="7B631CB6" w:rsidR="00055BE1" w:rsidRPr="00A60FA9" w:rsidRDefault="009A42FD" w:rsidP="00A60FA9">
      <w:pPr>
        <w:numPr>
          <w:ilvl w:val="0"/>
          <w:numId w:val="2"/>
        </w:numPr>
        <w:tabs>
          <w:tab w:val="num" w:pos="0"/>
          <w:tab w:val="left" w:pos="1815"/>
        </w:tabs>
        <w:ind w:left="0" w:hanging="567"/>
        <w:jc w:val="both"/>
        <w:rPr>
          <w:color w:val="000000"/>
        </w:rPr>
      </w:pPr>
      <w:r w:rsidRPr="00F745D4">
        <w:rPr>
          <w:color w:val="000000"/>
        </w:rPr>
        <w:t>T</w:t>
      </w:r>
      <w:r w:rsidR="00055BE1" w:rsidRPr="00F745D4">
        <w:rPr>
          <w:color w:val="000000"/>
        </w:rPr>
        <w:t xml:space="preserve">he EU </w:t>
      </w:r>
      <w:r w:rsidRPr="00F745D4">
        <w:rPr>
          <w:color w:val="000000"/>
        </w:rPr>
        <w:t xml:space="preserve">contends that neither </w:t>
      </w:r>
      <w:r w:rsidRPr="00F745D4">
        <w:rPr>
          <w:lang w:val="en-IE"/>
        </w:rPr>
        <w:t>Article 26 RED II nor the Delegated Regulation</w:t>
      </w:r>
      <w:r w:rsidRPr="00F745D4">
        <w:rPr>
          <w:color w:val="000000"/>
        </w:rPr>
        <w:t xml:space="preserve"> </w:t>
      </w:r>
      <w:r w:rsidR="00055BE1" w:rsidRPr="00F745D4">
        <w:rPr>
          <w:color w:val="000000"/>
        </w:rPr>
        <w:t>are technical regulations</w:t>
      </w:r>
      <w:r w:rsidR="00CE0B3F" w:rsidRPr="00F745D4">
        <w:rPr>
          <w:color w:val="000000"/>
        </w:rPr>
        <w:t xml:space="preserve"> </w:t>
      </w:r>
      <w:r w:rsidR="007C51B9">
        <w:rPr>
          <w:color w:val="000000"/>
        </w:rPr>
        <w:t>(</w:t>
      </w:r>
      <w:r w:rsidR="00CE0B3F" w:rsidRPr="00F745D4">
        <w:rPr>
          <w:color w:val="000000"/>
        </w:rPr>
        <w:t>or conformity assessment procedures</w:t>
      </w:r>
      <w:r w:rsidR="007C51B9">
        <w:rPr>
          <w:color w:val="000000"/>
        </w:rPr>
        <w:t>)</w:t>
      </w:r>
      <w:r w:rsidR="00055BE1" w:rsidRPr="00F745D4">
        <w:rPr>
          <w:color w:val="000000"/>
        </w:rPr>
        <w:t xml:space="preserve"> within the meaning of the TBT Agreement.</w:t>
      </w:r>
      <w:r w:rsidR="00CE0B3F" w:rsidRPr="00F745D4">
        <w:rPr>
          <w:rStyle w:val="FootnoteReference"/>
          <w:color w:val="000000"/>
        </w:rPr>
        <w:footnoteReference w:id="2"/>
      </w:r>
      <w:r w:rsidRPr="00F745D4">
        <w:rPr>
          <w:color w:val="000000"/>
        </w:rPr>
        <w:t xml:space="preserve"> Australia </w:t>
      </w:r>
      <w:r w:rsidR="00CB3A5F" w:rsidRPr="00F745D4">
        <w:rPr>
          <w:color w:val="000000"/>
        </w:rPr>
        <w:t xml:space="preserve">notes simply that </w:t>
      </w:r>
      <w:r w:rsidR="00A60FA9">
        <w:rPr>
          <w:color w:val="000000"/>
        </w:rPr>
        <w:t xml:space="preserve">the correct legal analysis for determining </w:t>
      </w:r>
      <w:r w:rsidR="0008124F">
        <w:rPr>
          <w:color w:val="000000"/>
        </w:rPr>
        <w:t>whether measure</w:t>
      </w:r>
      <w:r w:rsidR="00BD5C9C">
        <w:rPr>
          <w:color w:val="000000"/>
        </w:rPr>
        <w:t>s</w:t>
      </w:r>
      <w:r w:rsidR="0008124F">
        <w:rPr>
          <w:color w:val="000000"/>
        </w:rPr>
        <w:t xml:space="preserve"> </w:t>
      </w:r>
      <w:r w:rsidR="00BD5C9C">
        <w:rPr>
          <w:color w:val="000000"/>
        </w:rPr>
        <w:t>are</w:t>
      </w:r>
      <w:r w:rsidR="0008124F">
        <w:rPr>
          <w:color w:val="000000"/>
        </w:rPr>
        <w:t xml:space="preserve"> </w:t>
      </w:r>
      <w:r w:rsidR="00A60FA9">
        <w:rPr>
          <w:color w:val="000000"/>
        </w:rPr>
        <w:t>“technical regulation</w:t>
      </w:r>
      <w:r w:rsidR="00BD5C9C">
        <w:rPr>
          <w:color w:val="000000"/>
        </w:rPr>
        <w:t>s</w:t>
      </w:r>
      <w:r w:rsidR="00A60FA9">
        <w:rPr>
          <w:color w:val="000000"/>
        </w:rPr>
        <w:t>” has been examined in detail by numerous panels and the Appellate Body.</w:t>
      </w:r>
      <w:r w:rsidR="00A60FA9">
        <w:rPr>
          <w:rStyle w:val="FootnoteReference"/>
          <w:color w:val="000000"/>
        </w:rPr>
        <w:footnoteReference w:id="3"/>
      </w:r>
      <w:r w:rsidR="007C51B9">
        <w:rPr>
          <w:color w:val="000000"/>
        </w:rPr>
        <w:t xml:space="preserve"> </w:t>
      </w:r>
      <w:r w:rsidR="00A60FA9">
        <w:rPr>
          <w:color w:val="000000"/>
        </w:rPr>
        <w:t xml:space="preserve">Australia </w:t>
      </w:r>
      <w:r w:rsidR="007C5F50" w:rsidRPr="00A60FA9">
        <w:rPr>
          <w:color w:val="000000"/>
        </w:rPr>
        <w:t xml:space="preserve">will </w:t>
      </w:r>
      <w:r w:rsidR="007C51B9">
        <w:rPr>
          <w:color w:val="000000"/>
        </w:rPr>
        <w:t xml:space="preserve">therefore </w:t>
      </w:r>
      <w:r w:rsidR="007C5F50" w:rsidRPr="00A60FA9">
        <w:rPr>
          <w:color w:val="000000"/>
        </w:rPr>
        <w:t>confine its comments to the second element</w:t>
      </w:r>
      <w:r w:rsidR="007C51B9">
        <w:rPr>
          <w:color w:val="000000"/>
        </w:rPr>
        <w:t xml:space="preserve">: whether </w:t>
      </w:r>
      <w:r w:rsidR="007C51B9">
        <w:t>the measure</w:t>
      </w:r>
      <w:r w:rsidR="00BD5C9C">
        <w:t>s are</w:t>
      </w:r>
      <w:r w:rsidR="007C51B9">
        <w:t xml:space="preserve"> </w:t>
      </w:r>
      <w:r w:rsidR="00BD5C9C">
        <w:t>“</w:t>
      </w:r>
      <w:r w:rsidR="007C51B9">
        <w:t>more trade-restrictive than necessary to fulfil a legitimate objective, taking account of the risks non-fulfilment would create</w:t>
      </w:r>
      <w:r w:rsidR="00BD5C9C">
        <w:t>”</w:t>
      </w:r>
      <w:r w:rsidR="00A60FA9" w:rsidRPr="00A60FA9">
        <w:rPr>
          <w:color w:val="000000"/>
        </w:rPr>
        <w:t>.</w:t>
      </w:r>
    </w:p>
    <w:p w14:paraId="6D73C2F3" w14:textId="77777777" w:rsidR="00055BE1" w:rsidRDefault="00055BE1" w:rsidP="00055BE1">
      <w:pPr>
        <w:pStyle w:val="ListParagraph"/>
      </w:pPr>
    </w:p>
    <w:p w14:paraId="318D80C9" w14:textId="61EEA2BC" w:rsidR="00EF0886" w:rsidRPr="00DB6461" w:rsidRDefault="007C51B9" w:rsidP="00DB6461">
      <w:pPr>
        <w:numPr>
          <w:ilvl w:val="0"/>
          <w:numId w:val="2"/>
        </w:numPr>
        <w:tabs>
          <w:tab w:val="num" w:pos="0"/>
          <w:tab w:val="left" w:pos="1815"/>
        </w:tabs>
        <w:ind w:left="0" w:hanging="567"/>
        <w:jc w:val="both"/>
        <w:rPr>
          <w:color w:val="000000"/>
        </w:rPr>
      </w:pPr>
      <w:r>
        <w:t>In relation to</w:t>
      </w:r>
      <w:r w:rsidR="00EF0886">
        <w:t xml:space="preserve"> the second element</w:t>
      </w:r>
      <w:r w:rsidR="00AC1E3B">
        <w:t xml:space="preserve"> of the test under Article 2.2</w:t>
      </w:r>
      <w:r w:rsidR="00EF0886">
        <w:t xml:space="preserve">, </w:t>
      </w:r>
      <w:r w:rsidR="00055BE1">
        <w:t xml:space="preserve">Australia </w:t>
      </w:r>
      <w:r w:rsidR="005F7A9D">
        <w:t>recalls</w:t>
      </w:r>
      <w:r w:rsidR="00055BE1">
        <w:t xml:space="preserve"> that </w:t>
      </w:r>
      <w:r w:rsidR="00EF0886">
        <w:t xml:space="preserve">the Appellate Body has said that a panel must determine the objective that the Member seeks to achieve by means of the technical regulation at issue and whether that objective is </w:t>
      </w:r>
      <w:r w:rsidR="00BD5C9C">
        <w:t>“</w:t>
      </w:r>
      <w:r w:rsidR="00EF0886">
        <w:t>legitimate</w:t>
      </w:r>
      <w:r w:rsidR="00BD5C9C">
        <w:t>”</w:t>
      </w:r>
      <w:r w:rsidR="00EF0886">
        <w:t>.</w:t>
      </w:r>
      <w:r w:rsidR="00EF0886">
        <w:rPr>
          <w:rStyle w:val="FootnoteReference"/>
        </w:rPr>
        <w:footnoteReference w:id="4"/>
      </w:r>
      <w:r w:rsidR="00EF0886">
        <w:t xml:space="preserve"> A panel must also determine whether the technical regulation is </w:t>
      </w:r>
      <w:r w:rsidR="00E42C29">
        <w:t>“</w:t>
      </w:r>
      <w:r w:rsidR="00EF0886">
        <w:t>more trade-restrictive than necessary</w:t>
      </w:r>
      <w:r w:rsidR="00E42C29">
        <w:t>”</w:t>
      </w:r>
      <w:r w:rsidR="00EF0886">
        <w:t xml:space="preserve"> to fulfil </w:t>
      </w:r>
      <w:r w:rsidR="00A01DD5">
        <w:t>that</w:t>
      </w:r>
      <w:r w:rsidR="00EF0886">
        <w:t xml:space="preserve"> legitimate objective. </w:t>
      </w:r>
      <w:r w:rsidR="00055BE1">
        <w:t xml:space="preserve">In </w:t>
      </w:r>
      <w:r w:rsidR="00055BE1">
        <w:rPr>
          <w:i/>
          <w:iCs/>
        </w:rPr>
        <w:t xml:space="preserve">Australia – Tobacco Plain </w:t>
      </w:r>
      <w:r w:rsidR="00055BE1" w:rsidRPr="00055BE1">
        <w:rPr>
          <w:i/>
          <w:iCs/>
        </w:rPr>
        <w:t>Packaging</w:t>
      </w:r>
      <w:r w:rsidR="00055BE1">
        <w:rPr>
          <w:i/>
          <w:iCs/>
        </w:rPr>
        <w:t xml:space="preserve"> </w:t>
      </w:r>
      <w:r w:rsidR="00055BE1">
        <w:t>the</w:t>
      </w:r>
      <w:r w:rsidR="00EF0886">
        <w:t xml:space="preserve"> Appellate Body</w:t>
      </w:r>
      <w:r w:rsidR="005F7A9D">
        <w:t xml:space="preserve"> recalled </w:t>
      </w:r>
      <w:r w:rsidR="00EF0886">
        <w:t xml:space="preserve">that the assessment of </w:t>
      </w:r>
      <w:r w:rsidR="00E42C29">
        <w:t>‘</w:t>
      </w:r>
      <w:r w:rsidR="00EF0886">
        <w:t>necessity</w:t>
      </w:r>
      <w:r w:rsidR="00E42C29">
        <w:t>’</w:t>
      </w:r>
      <w:r w:rsidR="00EF0886">
        <w:t xml:space="preserve">, in the context of Article 2.2, involves a </w:t>
      </w:r>
      <w:r w:rsidR="00E42C29">
        <w:t>‘</w:t>
      </w:r>
      <w:r w:rsidR="00EF0886">
        <w:t>relational analysis</w:t>
      </w:r>
      <w:r w:rsidR="00E42C29">
        <w:t>’</w:t>
      </w:r>
      <w:r w:rsidR="00EF0886">
        <w:t xml:space="preserve"> of the following factors: (i) the trade restrictiveness of the technical regulation; (ii) the degree of contribution that the technical regulation makes to the achievement of a legitimate objective; and (iii) the risks non-fulfilment would create.</w:t>
      </w:r>
      <w:r w:rsidR="00EF0886">
        <w:rPr>
          <w:rStyle w:val="FootnoteReference"/>
        </w:rPr>
        <w:footnoteReference w:id="5"/>
      </w:r>
      <w:r w:rsidR="005E6C44">
        <w:t xml:space="preserve"> </w:t>
      </w:r>
      <w:r w:rsidR="00943712">
        <w:t>In most cases, when considering whether a technical regulation is “more trade-restrictive than necessary”</w:t>
      </w:r>
      <w:r w:rsidR="005E6C44">
        <w:t xml:space="preserve">, a comparison of the challenged measure and possible alternative measures should </w:t>
      </w:r>
      <w:r w:rsidR="005B5022">
        <w:t xml:space="preserve">also </w:t>
      </w:r>
      <w:r w:rsidR="005E6C44">
        <w:t>be undertaken.</w:t>
      </w:r>
      <w:r w:rsidR="005E6C44">
        <w:rPr>
          <w:rStyle w:val="FootnoteReference"/>
        </w:rPr>
        <w:footnoteReference w:id="6"/>
      </w:r>
    </w:p>
    <w:p w14:paraId="5E36C15C" w14:textId="77777777" w:rsidR="00EF0886" w:rsidRDefault="00EF0886" w:rsidP="003B4A92">
      <w:pPr>
        <w:tabs>
          <w:tab w:val="left" w:pos="1815"/>
        </w:tabs>
        <w:rPr>
          <w:color w:val="000000"/>
        </w:rPr>
      </w:pPr>
    </w:p>
    <w:p w14:paraId="24859233" w14:textId="7342705B" w:rsidR="005F7A9D" w:rsidRPr="005F7A9D" w:rsidRDefault="005F7A9D" w:rsidP="003B4A92">
      <w:pPr>
        <w:numPr>
          <w:ilvl w:val="0"/>
          <w:numId w:val="2"/>
        </w:numPr>
        <w:tabs>
          <w:tab w:val="num" w:pos="0"/>
          <w:tab w:val="left" w:pos="1815"/>
        </w:tabs>
        <w:ind w:left="0" w:hanging="567"/>
        <w:jc w:val="both"/>
        <w:rPr>
          <w:color w:val="000000"/>
        </w:rPr>
      </w:pPr>
      <w:r>
        <w:rPr>
          <w:color w:val="000000"/>
        </w:rPr>
        <w:t>Australia</w:t>
      </w:r>
      <w:r w:rsidR="007C51B9">
        <w:rPr>
          <w:color w:val="000000"/>
        </w:rPr>
        <w:t>’s</w:t>
      </w:r>
      <w:r>
        <w:rPr>
          <w:color w:val="000000"/>
        </w:rPr>
        <w:t xml:space="preserve"> comments</w:t>
      </w:r>
      <w:r w:rsidR="007C51B9">
        <w:rPr>
          <w:color w:val="000000"/>
        </w:rPr>
        <w:t xml:space="preserve"> </w:t>
      </w:r>
      <w:r w:rsidR="00AC1E3B">
        <w:rPr>
          <w:color w:val="000000"/>
        </w:rPr>
        <w:t xml:space="preserve">on Article 2.2 </w:t>
      </w:r>
      <w:r w:rsidR="007C51B9">
        <w:rPr>
          <w:color w:val="000000"/>
        </w:rPr>
        <w:t>below will focus on</w:t>
      </w:r>
      <w:r>
        <w:rPr>
          <w:color w:val="000000"/>
        </w:rPr>
        <w:t xml:space="preserve"> the proper legal analysis that should be undertaken when examining the factors of: </w:t>
      </w:r>
      <w:r>
        <w:t>the trade restrictiveness of the technical regulation; the degree of contribution that the technical regulation makes to the achievement of a legitimate objective</w:t>
      </w:r>
      <w:r w:rsidR="00943712">
        <w:t xml:space="preserve">; and the comparison of the challenged measure </w:t>
      </w:r>
      <w:r w:rsidR="00BD5C9C">
        <w:t>with</w:t>
      </w:r>
      <w:r w:rsidR="00943712">
        <w:t xml:space="preserve"> possible alternative measures</w:t>
      </w:r>
      <w:r>
        <w:t>.</w:t>
      </w:r>
    </w:p>
    <w:p w14:paraId="334683F3" w14:textId="7934DAFB" w:rsidR="005F7A9D" w:rsidRDefault="005F7A9D" w:rsidP="005F7A9D"/>
    <w:p w14:paraId="11B0E5AB" w14:textId="1591A558" w:rsidR="005F7A9D" w:rsidRPr="00E708C9" w:rsidRDefault="00E708C9" w:rsidP="005F7A9D">
      <w:pPr>
        <w:rPr>
          <w:i/>
          <w:iCs/>
          <w:u w:val="single"/>
        </w:rPr>
      </w:pPr>
      <w:r w:rsidRPr="00E708C9">
        <w:rPr>
          <w:i/>
          <w:iCs/>
          <w:u w:val="single"/>
        </w:rPr>
        <w:t>Trade</w:t>
      </w:r>
      <w:r w:rsidR="006C3EB7">
        <w:rPr>
          <w:i/>
          <w:iCs/>
          <w:u w:val="single"/>
        </w:rPr>
        <w:t xml:space="preserve"> </w:t>
      </w:r>
      <w:r w:rsidRPr="00E708C9">
        <w:rPr>
          <w:i/>
          <w:iCs/>
          <w:u w:val="single"/>
        </w:rPr>
        <w:t>restrictiveness of the technical regulation</w:t>
      </w:r>
    </w:p>
    <w:p w14:paraId="3ECE61B2" w14:textId="77777777" w:rsidR="00E708C9" w:rsidRPr="00E708C9" w:rsidRDefault="00E708C9" w:rsidP="00E708C9">
      <w:pPr>
        <w:tabs>
          <w:tab w:val="left" w:pos="1815"/>
        </w:tabs>
        <w:jc w:val="both"/>
        <w:rPr>
          <w:color w:val="000000"/>
        </w:rPr>
      </w:pPr>
    </w:p>
    <w:p w14:paraId="08D8BAFF" w14:textId="600C0C6D" w:rsidR="00A31F74" w:rsidRPr="00A31F74" w:rsidRDefault="004D081F" w:rsidP="00B777B7">
      <w:pPr>
        <w:numPr>
          <w:ilvl w:val="0"/>
          <w:numId w:val="2"/>
        </w:numPr>
        <w:tabs>
          <w:tab w:val="num" w:pos="0"/>
          <w:tab w:val="left" w:pos="1815"/>
        </w:tabs>
        <w:ind w:left="0" w:hanging="567"/>
        <w:jc w:val="both"/>
        <w:rPr>
          <w:color w:val="000000"/>
        </w:rPr>
      </w:pPr>
      <w:r>
        <w:t>A technical regulation is “trade</w:t>
      </w:r>
      <w:r w:rsidR="006C3EB7">
        <w:t>-</w:t>
      </w:r>
      <w:r>
        <w:t>restrictive” within the meaning of Article 2.2 when it has a limiting effect on international trade.</w:t>
      </w:r>
      <w:r>
        <w:rPr>
          <w:rStyle w:val="FootnoteReference"/>
        </w:rPr>
        <w:footnoteReference w:id="7"/>
      </w:r>
      <w:r w:rsidR="00D4020A">
        <w:t xml:space="preserve"> </w:t>
      </w:r>
      <w:r w:rsidR="00B77019">
        <w:t xml:space="preserve">The </w:t>
      </w:r>
      <w:r w:rsidR="00D71F56">
        <w:t>existence and extent</w:t>
      </w:r>
      <w:r w:rsidR="00B77019">
        <w:t xml:space="preserve"> </w:t>
      </w:r>
      <w:r w:rsidR="00D71F56">
        <w:t xml:space="preserve">of </w:t>
      </w:r>
      <w:r w:rsidR="00411B1F">
        <w:t xml:space="preserve">the </w:t>
      </w:r>
      <w:r w:rsidR="00D71F56">
        <w:t xml:space="preserve">‘trade </w:t>
      </w:r>
      <w:r w:rsidR="00D71F56">
        <w:lastRenderedPageBreak/>
        <w:t>restrictive</w:t>
      </w:r>
      <w:r w:rsidR="00411B1F">
        <w:t>ness</w:t>
      </w:r>
      <w:r w:rsidR="00D71F56">
        <w:t>’ w</w:t>
      </w:r>
      <w:r w:rsidR="00B77019">
        <w:t xml:space="preserve">ill depend </w:t>
      </w:r>
      <w:r w:rsidR="00411B1F">
        <w:t>up</w:t>
      </w:r>
      <w:r w:rsidR="00B77019">
        <w:t xml:space="preserve">on the circumstances of a given case, and </w:t>
      </w:r>
      <w:r w:rsidR="00411B1F">
        <w:t>could be determined by</w:t>
      </w:r>
      <w:r w:rsidR="00B77019">
        <w:t xml:space="preserve"> qualitative or quantitative arguments and evidence, or both, including evidence relating to the characteristics of the challenged measure as revealed by its design and operation</w:t>
      </w:r>
      <w:r w:rsidR="003A5F63">
        <w:t>.</w:t>
      </w:r>
      <w:r w:rsidR="003A5F63">
        <w:rPr>
          <w:rStyle w:val="FootnoteReference"/>
        </w:rPr>
        <w:footnoteReference w:id="8"/>
      </w:r>
    </w:p>
    <w:p w14:paraId="100BD59A" w14:textId="77777777" w:rsidR="00A31F74" w:rsidRPr="00A31F74" w:rsidRDefault="00A31F74" w:rsidP="00A31F74">
      <w:pPr>
        <w:tabs>
          <w:tab w:val="left" w:pos="1815"/>
        </w:tabs>
        <w:jc w:val="both"/>
        <w:rPr>
          <w:color w:val="000000"/>
        </w:rPr>
      </w:pPr>
    </w:p>
    <w:p w14:paraId="16A9BA3E" w14:textId="038DC037" w:rsidR="00A31F74" w:rsidRDefault="00AC1E3B" w:rsidP="0000475C">
      <w:pPr>
        <w:numPr>
          <w:ilvl w:val="0"/>
          <w:numId w:val="2"/>
        </w:numPr>
        <w:tabs>
          <w:tab w:val="num" w:pos="0"/>
          <w:tab w:val="left" w:pos="1815"/>
        </w:tabs>
        <w:ind w:left="0" w:hanging="567"/>
        <w:jc w:val="both"/>
        <w:rPr>
          <w:color w:val="000000"/>
        </w:rPr>
      </w:pPr>
      <w:r w:rsidRPr="00411B1F">
        <w:rPr>
          <w:color w:val="000000"/>
        </w:rPr>
        <w:t>In it</w:t>
      </w:r>
      <w:r w:rsidR="00A31F74" w:rsidRPr="00411B1F">
        <w:rPr>
          <w:color w:val="000000"/>
        </w:rPr>
        <w:t xml:space="preserve">s </w:t>
      </w:r>
      <w:r w:rsidR="005B2C13" w:rsidRPr="00411B1F">
        <w:rPr>
          <w:color w:val="000000"/>
        </w:rPr>
        <w:t xml:space="preserve">first written </w:t>
      </w:r>
      <w:r w:rsidR="00A31F74" w:rsidRPr="00411B1F">
        <w:rPr>
          <w:color w:val="000000"/>
        </w:rPr>
        <w:t xml:space="preserve">submission, the EU </w:t>
      </w:r>
      <w:r w:rsidRPr="00411B1F">
        <w:rPr>
          <w:color w:val="000000"/>
        </w:rPr>
        <w:t>contends that the measures at issue</w:t>
      </w:r>
      <w:r w:rsidR="004C0AF8" w:rsidRPr="00411B1F">
        <w:rPr>
          <w:color w:val="000000"/>
        </w:rPr>
        <w:t xml:space="preserve"> will</w:t>
      </w:r>
      <w:r w:rsidRPr="00411B1F">
        <w:rPr>
          <w:color w:val="000000"/>
        </w:rPr>
        <w:t xml:space="preserve"> have a “minimal” impact on trade because they do not prevent</w:t>
      </w:r>
      <w:r w:rsidR="00A31F74" w:rsidRPr="00411B1F">
        <w:rPr>
          <w:color w:val="000000"/>
        </w:rPr>
        <w:t xml:space="preserve"> market access.</w:t>
      </w:r>
      <w:r w:rsidR="00A31F74" w:rsidRPr="006430E7">
        <w:rPr>
          <w:rStyle w:val="FootnoteReference"/>
          <w:color w:val="000000"/>
        </w:rPr>
        <w:footnoteReference w:id="9"/>
      </w:r>
      <w:r w:rsidR="00A31F74" w:rsidRPr="00411B1F">
        <w:rPr>
          <w:color w:val="000000"/>
        </w:rPr>
        <w:t xml:space="preserve"> In Australia’s view </w:t>
      </w:r>
      <w:r w:rsidR="007C51B9" w:rsidRPr="00411B1F">
        <w:rPr>
          <w:color w:val="000000"/>
        </w:rPr>
        <w:t xml:space="preserve">the </w:t>
      </w:r>
      <w:r w:rsidR="00A06A34" w:rsidRPr="00411B1F">
        <w:rPr>
          <w:color w:val="000000"/>
        </w:rPr>
        <w:t>prevention of market access</w:t>
      </w:r>
      <w:r w:rsidRPr="00411B1F">
        <w:rPr>
          <w:color w:val="000000"/>
        </w:rPr>
        <w:t xml:space="preserve"> </w:t>
      </w:r>
      <w:r w:rsidR="003A5F63" w:rsidRPr="00411B1F">
        <w:rPr>
          <w:color w:val="000000"/>
        </w:rPr>
        <w:t xml:space="preserve">is </w:t>
      </w:r>
      <w:r w:rsidR="00222EC5">
        <w:rPr>
          <w:color w:val="000000"/>
        </w:rPr>
        <w:t>not the appropriate legal standard for determining the degree of</w:t>
      </w:r>
      <w:r w:rsidR="005C01FE" w:rsidRPr="00411B1F">
        <w:rPr>
          <w:color w:val="000000"/>
        </w:rPr>
        <w:t xml:space="preserve"> </w:t>
      </w:r>
      <w:r w:rsidR="00F06F85" w:rsidRPr="00411B1F">
        <w:rPr>
          <w:color w:val="000000"/>
        </w:rPr>
        <w:t>‘</w:t>
      </w:r>
      <w:r w:rsidR="0068217E" w:rsidRPr="00411B1F">
        <w:rPr>
          <w:color w:val="000000"/>
        </w:rPr>
        <w:t>trade restrictiveness</w:t>
      </w:r>
      <w:r w:rsidR="00F06F85" w:rsidRPr="00411B1F">
        <w:rPr>
          <w:color w:val="000000"/>
        </w:rPr>
        <w:t>’</w:t>
      </w:r>
      <w:r w:rsidR="0068217E" w:rsidRPr="00411B1F">
        <w:rPr>
          <w:color w:val="000000"/>
        </w:rPr>
        <w:t xml:space="preserve"> under Article 2.2 of the TBT Agreement</w:t>
      </w:r>
      <w:r w:rsidR="00A31F74" w:rsidRPr="00411B1F">
        <w:rPr>
          <w:color w:val="000000"/>
        </w:rPr>
        <w:t xml:space="preserve">. </w:t>
      </w:r>
      <w:r w:rsidR="00F06F85" w:rsidRPr="00411B1F">
        <w:rPr>
          <w:color w:val="000000"/>
        </w:rPr>
        <w:t>T</w:t>
      </w:r>
      <w:r w:rsidR="00F06F85">
        <w:t xml:space="preserve">o determine the </w:t>
      </w:r>
      <w:r w:rsidR="00222EC5">
        <w:t>extent</w:t>
      </w:r>
      <w:r w:rsidR="00F06F85">
        <w:t xml:space="preserve"> of </w:t>
      </w:r>
      <w:r w:rsidR="00970418">
        <w:t>‘</w:t>
      </w:r>
      <w:r w:rsidR="00F06F85">
        <w:t>trade restrictiveness,</w:t>
      </w:r>
      <w:r w:rsidR="00970418">
        <w:t>’</w:t>
      </w:r>
      <w:r w:rsidR="00F06F85">
        <w:t xml:space="preserve"> a panel should</w:t>
      </w:r>
      <w:r w:rsidR="00084542">
        <w:t xml:space="preserve"> examine the structure</w:t>
      </w:r>
      <w:r w:rsidR="00D71F56">
        <w:t>,</w:t>
      </w:r>
      <w:r w:rsidR="00084542">
        <w:t xml:space="preserve"> design</w:t>
      </w:r>
      <w:r w:rsidR="00D71F56">
        <w:t xml:space="preserve"> and operation</w:t>
      </w:r>
      <w:r w:rsidR="00084542">
        <w:t xml:space="preserve"> of the measure, as well</w:t>
      </w:r>
      <w:r w:rsidR="00F06F85">
        <w:t xml:space="preserve"> </w:t>
      </w:r>
      <w:r w:rsidR="00084542">
        <w:t xml:space="preserve">as </w:t>
      </w:r>
      <w:r w:rsidR="00F06F85">
        <w:t>take</w:t>
      </w:r>
      <w:r w:rsidR="00F06F85" w:rsidRPr="00411B1F">
        <w:rPr>
          <w:color w:val="000000"/>
        </w:rPr>
        <w:t xml:space="preserve"> </w:t>
      </w:r>
      <w:r w:rsidR="00F06F85">
        <w:t>into account all relevant evidence adduced by the parties.</w:t>
      </w:r>
      <w:r w:rsidR="00F06F85">
        <w:rPr>
          <w:rStyle w:val="FootnoteReference"/>
        </w:rPr>
        <w:footnoteReference w:id="10"/>
      </w:r>
      <w:r w:rsidR="00F06F85">
        <w:t xml:space="preserve"> </w:t>
      </w:r>
      <w:r w:rsidR="001C59FA" w:rsidRPr="00411B1F">
        <w:rPr>
          <w:color w:val="000000"/>
        </w:rPr>
        <w:t xml:space="preserve">In this regard, </w:t>
      </w:r>
      <w:r w:rsidR="004C0AF8" w:rsidRPr="00411B1F">
        <w:rPr>
          <w:color w:val="000000"/>
        </w:rPr>
        <w:t xml:space="preserve">qualitative or quantitative arguments and evidence demonstrating </w:t>
      </w:r>
      <w:r w:rsidR="00222EC5">
        <w:rPr>
          <w:color w:val="000000"/>
        </w:rPr>
        <w:t>the</w:t>
      </w:r>
      <w:r w:rsidR="004C0AF8" w:rsidRPr="00411B1F">
        <w:rPr>
          <w:color w:val="000000"/>
        </w:rPr>
        <w:t xml:space="preserve"> </w:t>
      </w:r>
      <w:r w:rsidR="001C59FA" w:rsidRPr="00411B1F">
        <w:rPr>
          <w:color w:val="000000"/>
        </w:rPr>
        <w:t xml:space="preserve">complete prevention of market access, could be probative to the extent that </w:t>
      </w:r>
      <w:r w:rsidR="004C0AF8" w:rsidRPr="00411B1F">
        <w:rPr>
          <w:color w:val="000000"/>
        </w:rPr>
        <w:t>such evidence</w:t>
      </w:r>
      <w:r w:rsidR="001C59FA" w:rsidRPr="00411B1F">
        <w:rPr>
          <w:color w:val="000000"/>
        </w:rPr>
        <w:t xml:space="preserve"> demonstrate</w:t>
      </w:r>
      <w:r w:rsidR="004C0AF8" w:rsidRPr="00411B1F">
        <w:rPr>
          <w:color w:val="000000"/>
        </w:rPr>
        <w:t>s</w:t>
      </w:r>
      <w:r w:rsidR="001C59FA" w:rsidRPr="00411B1F">
        <w:rPr>
          <w:color w:val="000000"/>
        </w:rPr>
        <w:t xml:space="preserve"> t</w:t>
      </w:r>
      <w:r w:rsidR="00F06F85" w:rsidRPr="00411B1F">
        <w:rPr>
          <w:color w:val="000000"/>
        </w:rPr>
        <w:t>he degree to which</w:t>
      </w:r>
      <w:r w:rsidR="001C59FA" w:rsidRPr="00411B1F">
        <w:rPr>
          <w:color w:val="000000"/>
        </w:rPr>
        <w:t xml:space="preserve"> the measure</w:t>
      </w:r>
      <w:r w:rsidR="00A06A34" w:rsidRPr="00411B1F">
        <w:rPr>
          <w:color w:val="000000"/>
        </w:rPr>
        <w:t>s</w:t>
      </w:r>
      <w:r w:rsidR="001C59FA" w:rsidRPr="00411B1F">
        <w:rPr>
          <w:color w:val="000000"/>
        </w:rPr>
        <w:t xml:space="preserve"> ha</w:t>
      </w:r>
      <w:r w:rsidR="00A06A34" w:rsidRPr="00411B1F">
        <w:rPr>
          <w:color w:val="000000"/>
        </w:rPr>
        <w:t>ve</w:t>
      </w:r>
      <w:r w:rsidR="001C59FA" w:rsidRPr="00411B1F">
        <w:rPr>
          <w:color w:val="000000"/>
        </w:rPr>
        <w:t xml:space="preserve"> a limiting effect on the </w:t>
      </w:r>
      <w:r w:rsidR="005B2C13" w:rsidRPr="00411B1F">
        <w:rPr>
          <w:color w:val="000000"/>
        </w:rPr>
        <w:t>trade</w:t>
      </w:r>
      <w:r w:rsidR="001C59FA" w:rsidRPr="00411B1F">
        <w:rPr>
          <w:color w:val="000000"/>
        </w:rPr>
        <w:t xml:space="preserve"> </w:t>
      </w:r>
      <w:r w:rsidR="005C01FE" w:rsidRPr="00411B1F">
        <w:rPr>
          <w:color w:val="000000"/>
        </w:rPr>
        <w:t>between</w:t>
      </w:r>
      <w:r w:rsidR="001C59FA" w:rsidRPr="00411B1F">
        <w:rPr>
          <w:color w:val="000000"/>
        </w:rPr>
        <w:t xml:space="preserve"> WTO Member</w:t>
      </w:r>
      <w:r w:rsidR="005C01FE" w:rsidRPr="00411B1F">
        <w:rPr>
          <w:color w:val="000000"/>
        </w:rPr>
        <w:t>s</w:t>
      </w:r>
      <w:r w:rsidR="001C59FA" w:rsidRPr="00411B1F">
        <w:rPr>
          <w:color w:val="000000"/>
        </w:rPr>
        <w:t>. But it does not follow, as the EU suggest</w:t>
      </w:r>
      <w:r w:rsidR="00BD5C9C" w:rsidRPr="00411B1F">
        <w:rPr>
          <w:color w:val="000000"/>
        </w:rPr>
        <w:t>s</w:t>
      </w:r>
      <w:r w:rsidR="001C59FA" w:rsidRPr="00411B1F">
        <w:rPr>
          <w:color w:val="000000"/>
        </w:rPr>
        <w:t>, that in the absence of</w:t>
      </w:r>
      <w:r w:rsidR="004C0AF8" w:rsidRPr="00411B1F">
        <w:rPr>
          <w:color w:val="000000"/>
        </w:rPr>
        <w:t xml:space="preserve"> a complete prevention of market access, </w:t>
      </w:r>
      <w:r w:rsidR="006B579A" w:rsidRPr="00411B1F">
        <w:rPr>
          <w:color w:val="000000"/>
        </w:rPr>
        <w:t xml:space="preserve">the trade restrictiveness of a measure </w:t>
      </w:r>
      <w:r w:rsidR="0068217E" w:rsidRPr="00411B1F">
        <w:rPr>
          <w:color w:val="000000"/>
        </w:rPr>
        <w:t xml:space="preserve">will </w:t>
      </w:r>
      <w:r w:rsidR="004C0AF8" w:rsidRPr="00411B1F">
        <w:rPr>
          <w:color w:val="000000"/>
        </w:rPr>
        <w:t xml:space="preserve">necessarily </w:t>
      </w:r>
      <w:r w:rsidR="006B579A" w:rsidRPr="00411B1F">
        <w:rPr>
          <w:color w:val="000000"/>
        </w:rPr>
        <w:t xml:space="preserve">be </w:t>
      </w:r>
      <w:r w:rsidR="0068217E" w:rsidRPr="00411B1F">
        <w:rPr>
          <w:color w:val="000000"/>
        </w:rPr>
        <w:t>“minimal.”</w:t>
      </w:r>
      <w:r w:rsidR="0068217E" w:rsidRPr="006430E7">
        <w:rPr>
          <w:rStyle w:val="FootnoteReference"/>
          <w:color w:val="000000"/>
        </w:rPr>
        <w:footnoteReference w:id="11"/>
      </w:r>
      <w:r w:rsidR="00970418">
        <w:rPr>
          <w:color w:val="000000"/>
        </w:rPr>
        <w:t xml:space="preserve"> In determining the degree of ‘trade restrictiveness,’ a</w:t>
      </w:r>
      <w:r w:rsidR="00222EC5">
        <w:rPr>
          <w:color w:val="000000"/>
        </w:rPr>
        <w:t xml:space="preserve"> panel</w:t>
      </w:r>
      <w:r w:rsidR="00970418">
        <w:rPr>
          <w:color w:val="000000"/>
        </w:rPr>
        <w:t xml:space="preserve"> should not limit its examination to a subset of the evidence (eg. market access), but rather, it</w:t>
      </w:r>
      <w:r w:rsidR="00222EC5">
        <w:rPr>
          <w:color w:val="000000"/>
        </w:rPr>
        <w:t xml:space="preserve"> </w:t>
      </w:r>
      <w:r w:rsidR="00970418">
        <w:rPr>
          <w:color w:val="000000"/>
        </w:rPr>
        <w:t>must</w:t>
      </w:r>
      <w:r w:rsidR="00222EC5">
        <w:rPr>
          <w:color w:val="000000"/>
        </w:rPr>
        <w:t xml:space="preserve"> </w:t>
      </w:r>
      <w:r w:rsidR="00222EC5">
        <w:t xml:space="preserve">examine the </w:t>
      </w:r>
      <w:r w:rsidR="00B900A7">
        <w:t>characteristics of the challenged</w:t>
      </w:r>
      <w:r w:rsidR="00222EC5">
        <w:t xml:space="preserve"> measure</w:t>
      </w:r>
      <w:r w:rsidR="00B900A7">
        <w:t xml:space="preserve"> as revealed by its design and operation</w:t>
      </w:r>
      <w:r w:rsidR="00222EC5">
        <w:t>, as well as all relevant evidence</w:t>
      </w:r>
      <w:r w:rsidR="00222EC5">
        <w:rPr>
          <w:color w:val="000000"/>
        </w:rPr>
        <w:t>.</w:t>
      </w:r>
      <w:r w:rsidR="00970418">
        <w:rPr>
          <w:rStyle w:val="FootnoteReference"/>
          <w:color w:val="000000"/>
        </w:rPr>
        <w:footnoteReference w:id="12"/>
      </w:r>
      <w:r w:rsidR="00222EC5">
        <w:rPr>
          <w:color w:val="000000"/>
        </w:rPr>
        <w:t xml:space="preserve"> </w:t>
      </w:r>
    </w:p>
    <w:p w14:paraId="67FB52F8" w14:textId="77777777" w:rsidR="00411B1F" w:rsidRPr="00411B1F" w:rsidRDefault="00411B1F" w:rsidP="00411B1F">
      <w:pPr>
        <w:tabs>
          <w:tab w:val="left" w:pos="1815"/>
        </w:tabs>
        <w:jc w:val="both"/>
        <w:rPr>
          <w:color w:val="000000"/>
        </w:rPr>
      </w:pPr>
    </w:p>
    <w:p w14:paraId="31FA946E" w14:textId="1104D96C" w:rsidR="00EF0886" w:rsidRPr="00B97B1D" w:rsidRDefault="00B97B1D" w:rsidP="001C1A95">
      <w:pPr>
        <w:numPr>
          <w:ilvl w:val="0"/>
          <w:numId w:val="2"/>
        </w:numPr>
        <w:tabs>
          <w:tab w:val="num" w:pos="0"/>
          <w:tab w:val="left" w:pos="1815"/>
        </w:tabs>
        <w:ind w:left="0" w:hanging="567"/>
        <w:jc w:val="both"/>
        <w:rPr>
          <w:color w:val="000000"/>
        </w:rPr>
      </w:pPr>
      <w:r w:rsidRPr="00B97B1D">
        <w:rPr>
          <w:color w:val="000000"/>
        </w:rPr>
        <w:t>Australia also notes that this case involves claims under both Article 2.1 and 2.2 of the TBT Agreement.</w:t>
      </w:r>
      <w:r>
        <w:rPr>
          <w:color w:val="000000"/>
        </w:rPr>
        <w:t xml:space="preserve"> </w:t>
      </w:r>
      <w:r w:rsidR="00713E95">
        <w:rPr>
          <w:color w:val="000000"/>
        </w:rPr>
        <w:t>Australia recalls that t</w:t>
      </w:r>
      <w:r w:rsidR="00D4020A">
        <w:t xml:space="preserve">he </w:t>
      </w:r>
      <w:r w:rsidR="00F057BF">
        <w:t xml:space="preserve">Appellate Body has indicated that a panel's determination that a measure modifies the conditions of competition for imported products as a group </w:t>
      </w:r>
      <w:r w:rsidR="00F057BF" w:rsidRPr="00B97B1D">
        <w:rPr>
          <w:i/>
          <w:iCs/>
        </w:rPr>
        <w:t>vis-à-vis</w:t>
      </w:r>
      <w:r w:rsidR="00F057BF">
        <w:t xml:space="preserve"> domestic products as a group (for instance, in the context of assessing a claim under Article 2.1 of the TBT Agreement) </w:t>
      </w:r>
      <w:r>
        <w:t>may</w:t>
      </w:r>
      <w:r w:rsidR="00F057BF">
        <w:t xml:space="preserve"> suffice to indicate that the technical regulation </w:t>
      </w:r>
      <w:r w:rsidR="00F057BF" w:rsidRPr="0078218A">
        <w:rPr>
          <w:i/>
          <w:iCs/>
          <w:u w:val="single"/>
        </w:rPr>
        <w:t>is</w:t>
      </w:r>
      <w:r w:rsidR="00F057BF">
        <w:t xml:space="preserve"> trade</w:t>
      </w:r>
      <w:r w:rsidR="00713E95">
        <w:t xml:space="preserve"> </w:t>
      </w:r>
      <w:r w:rsidR="00F057BF">
        <w:t>restrictive within the meaning of Article 2.2</w:t>
      </w:r>
      <w:r w:rsidR="00D4020A">
        <w:t>.</w:t>
      </w:r>
      <w:r w:rsidR="00D4020A">
        <w:rPr>
          <w:rStyle w:val="FootnoteReference"/>
        </w:rPr>
        <w:footnoteReference w:id="13"/>
      </w:r>
      <w:r w:rsidR="00686C38">
        <w:t xml:space="preserve"> That is, the existence of discrimination may contribute to the establishment of trade</w:t>
      </w:r>
      <w:r w:rsidR="006C3EB7">
        <w:t xml:space="preserve"> </w:t>
      </w:r>
      <w:r w:rsidR="00686C38">
        <w:t>restrictiveness</w:t>
      </w:r>
      <w:r w:rsidR="006C3EB7">
        <w:t>’</w:t>
      </w:r>
      <w:r w:rsidR="00686C38">
        <w:t xml:space="preserve"> within the meaning of Article 2.2.</w:t>
      </w:r>
    </w:p>
    <w:p w14:paraId="109E6CD1" w14:textId="77777777" w:rsidR="00BD1230" w:rsidRDefault="00BD1230" w:rsidP="00BD1230">
      <w:pPr>
        <w:pStyle w:val="ListParagraph"/>
        <w:rPr>
          <w:color w:val="000000"/>
          <w:highlight w:val="yellow"/>
        </w:rPr>
      </w:pPr>
    </w:p>
    <w:p w14:paraId="5D7ABAC2" w14:textId="2231EDCA" w:rsidR="00EF0ED4" w:rsidRPr="00BD1230" w:rsidRDefault="00BD1230" w:rsidP="009531FF">
      <w:pPr>
        <w:numPr>
          <w:ilvl w:val="0"/>
          <w:numId w:val="2"/>
        </w:numPr>
        <w:tabs>
          <w:tab w:val="num" w:pos="0"/>
          <w:tab w:val="left" w:pos="1815"/>
        </w:tabs>
        <w:ind w:left="0" w:hanging="567"/>
        <w:jc w:val="both"/>
        <w:rPr>
          <w:color w:val="000000"/>
        </w:rPr>
      </w:pPr>
      <w:r w:rsidRPr="00BD1230">
        <w:rPr>
          <w:color w:val="000000"/>
        </w:rPr>
        <w:t>In referring to</w:t>
      </w:r>
      <w:r w:rsidR="00FD4C9A">
        <w:rPr>
          <w:color w:val="000000"/>
        </w:rPr>
        <w:t xml:space="preserve"> </w:t>
      </w:r>
      <w:r w:rsidR="007A62E1">
        <w:rPr>
          <w:color w:val="000000"/>
        </w:rPr>
        <w:t>its measures at issue</w:t>
      </w:r>
      <w:r w:rsidR="00005B8A">
        <w:rPr>
          <w:color w:val="000000"/>
        </w:rPr>
        <w:t xml:space="preserve"> and discrimination</w:t>
      </w:r>
      <w:r w:rsidRPr="00BD1230">
        <w:rPr>
          <w:color w:val="000000"/>
        </w:rPr>
        <w:t xml:space="preserve"> (</w:t>
      </w:r>
      <w:r w:rsidRPr="00BD1230">
        <w:rPr>
          <w:i/>
          <w:iCs/>
          <w:color w:val="000000"/>
        </w:rPr>
        <w:t xml:space="preserve">vis-à-vis </w:t>
      </w:r>
      <w:r w:rsidRPr="00BD1230">
        <w:rPr>
          <w:color w:val="000000"/>
        </w:rPr>
        <w:t>fossil fuels</w:t>
      </w:r>
      <w:r w:rsidR="00FD4C9A">
        <w:rPr>
          <w:color w:val="000000"/>
        </w:rPr>
        <w:t xml:space="preserve"> and certain high ILUC-risk biofuels</w:t>
      </w:r>
      <w:r w:rsidRPr="00BD1230">
        <w:rPr>
          <w:color w:val="000000"/>
        </w:rPr>
        <w:t>), t</w:t>
      </w:r>
      <w:r w:rsidR="00EF0ED4" w:rsidRPr="00BD1230">
        <w:rPr>
          <w:color w:val="000000"/>
        </w:rPr>
        <w:t xml:space="preserve">he EU </w:t>
      </w:r>
      <w:r w:rsidR="00400619" w:rsidRPr="00BD1230">
        <w:rPr>
          <w:color w:val="000000"/>
        </w:rPr>
        <w:t>suggests that a finding of “trade restrictiveness” in such circumstances would lead to the “absurd consequence” that “once a Member alters the functioning of the market and restricts trade in certain products it should do that without any limitation for the trade which was artificially created for other products.”</w:t>
      </w:r>
      <w:r w:rsidR="00400619" w:rsidRPr="00BD1230">
        <w:rPr>
          <w:rStyle w:val="FootnoteReference"/>
          <w:color w:val="000000"/>
        </w:rPr>
        <w:footnoteReference w:id="14"/>
      </w:r>
      <w:r w:rsidR="00EF0ED4" w:rsidRPr="00BD1230">
        <w:rPr>
          <w:color w:val="000000"/>
        </w:rPr>
        <w:t xml:space="preserve"> </w:t>
      </w:r>
    </w:p>
    <w:p w14:paraId="485B9731" w14:textId="77777777" w:rsidR="00EF0ED4" w:rsidRPr="00BD1230" w:rsidRDefault="00EF0ED4" w:rsidP="00EF0ED4">
      <w:pPr>
        <w:pStyle w:val="ListParagraph"/>
        <w:rPr>
          <w:color w:val="000000"/>
        </w:rPr>
      </w:pPr>
    </w:p>
    <w:p w14:paraId="6CD7DB8D" w14:textId="6B83FEB0" w:rsidR="00FD4C9A" w:rsidRDefault="00400619" w:rsidP="009531FF">
      <w:pPr>
        <w:numPr>
          <w:ilvl w:val="0"/>
          <w:numId w:val="2"/>
        </w:numPr>
        <w:tabs>
          <w:tab w:val="num" w:pos="0"/>
          <w:tab w:val="left" w:pos="1815"/>
        </w:tabs>
        <w:ind w:left="0" w:hanging="567"/>
        <w:jc w:val="both"/>
        <w:rPr>
          <w:color w:val="000000"/>
        </w:rPr>
      </w:pPr>
      <w:r w:rsidRPr="00BD1230">
        <w:rPr>
          <w:color w:val="000000"/>
        </w:rPr>
        <w:t>Australia disagrees with the EU’s characterisation of trade restrictiveness</w:t>
      </w:r>
      <w:r w:rsidR="003676DA" w:rsidRPr="00BD1230">
        <w:rPr>
          <w:color w:val="000000"/>
        </w:rPr>
        <w:t xml:space="preserve"> in this manner</w:t>
      </w:r>
      <w:r w:rsidRPr="00BD1230">
        <w:rPr>
          <w:color w:val="000000"/>
        </w:rPr>
        <w:t>.</w:t>
      </w:r>
      <w:r w:rsidR="003676DA" w:rsidRPr="00BD1230">
        <w:rPr>
          <w:color w:val="000000"/>
        </w:rPr>
        <w:t xml:space="preserve"> </w:t>
      </w:r>
      <w:r w:rsidR="004065D6" w:rsidRPr="00BD1230">
        <w:rPr>
          <w:color w:val="000000"/>
        </w:rPr>
        <w:t>As a starting point, i</w:t>
      </w:r>
      <w:r w:rsidR="00C22F0A" w:rsidRPr="00BD1230">
        <w:rPr>
          <w:color w:val="000000"/>
        </w:rPr>
        <w:t xml:space="preserve">t is well established that </w:t>
      </w:r>
      <w:r w:rsidR="00252155" w:rsidRPr="00BD1230">
        <w:rPr>
          <w:color w:val="000000"/>
        </w:rPr>
        <w:t xml:space="preserve">Article 2.2 of the TBT Agreement recognises that </w:t>
      </w:r>
      <w:r w:rsidR="0078218A">
        <w:rPr>
          <w:color w:val="000000"/>
        </w:rPr>
        <w:t>“</w:t>
      </w:r>
      <w:r w:rsidR="00252155" w:rsidRPr="00BD1230">
        <w:rPr>
          <w:color w:val="000000"/>
        </w:rPr>
        <w:t>some</w:t>
      </w:r>
      <w:r w:rsidR="0078218A">
        <w:rPr>
          <w:color w:val="000000"/>
        </w:rPr>
        <w:t>”</w:t>
      </w:r>
      <w:r w:rsidR="00252155" w:rsidRPr="00BD1230">
        <w:rPr>
          <w:color w:val="000000"/>
        </w:rPr>
        <w:t xml:space="preserve"> trade restrictiveness is </w:t>
      </w:r>
      <w:r w:rsidR="00C22F0A" w:rsidRPr="00BD1230">
        <w:rPr>
          <w:color w:val="000000"/>
        </w:rPr>
        <w:t>permissible</w:t>
      </w:r>
      <w:r w:rsidR="00252155" w:rsidRPr="00BD1230">
        <w:rPr>
          <w:color w:val="000000"/>
        </w:rPr>
        <w:t xml:space="preserve"> and, further, that what is actually prohibited are those restrictions on international trade that </w:t>
      </w:r>
      <w:r w:rsidR="0078218A">
        <w:rPr>
          <w:color w:val="000000"/>
        </w:rPr>
        <w:t>“</w:t>
      </w:r>
      <w:r w:rsidR="00252155" w:rsidRPr="00BD1230">
        <w:rPr>
          <w:color w:val="000000"/>
        </w:rPr>
        <w:t xml:space="preserve">exceed what is necessary to achieve the degree of contribution that a technical regulation makes to the </w:t>
      </w:r>
      <w:r w:rsidR="00252155" w:rsidRPr="00BD1230">
        <w:rPr>
          <w:color w:val="000000"/>
        </w:rPr>
        <w:lastRenderedPageBreak/>
        <w:t>achievement of a legitimate objective</w:t>
      </w:r>
      <w:r w:rsidR="0078218A">
        <w:rPr>
          <w:color w:val="000000"/>
        </w:rPr>
        <w:t>”</w:t>
      </w:r>
      <w:r w:rsidR="00252155" w:rsidRPr="00BD1230">
        <w:rPr>
          <w:color w:val="000000"/>
        </w:rPr>
        <w:t>.</w:t>
      </w:r>
      <w:r w:rsidR="00252155" w:rsidRPr="00BD1230">
        <w:rPr>
          <w:rStyle w:val="FootnoteReference"/>
          <w:color w:val="000000"/>
        </w:rPr>
        <w:footnoteReference w:id="15"/>
      </w:r>
      <w:r w:rsidR="00497F8E" w:rsidRPr="00BD1230">
        <w:rPr>
          <w:color w:val="000000"/>
        </w:rPr>
        <w:t xml:space="preserve"> </w:t>
      </w:r>
      <w:r w:rsidR="001C1A95">
        <w:rPr>
          <w:color w:val="000000"/>
        </w:rPr>
        <w:t xml:space="preserve">Therefore, there is no requirement </w:t>
      </w:r>
      <w:r w:rsidR="0039754F">
        <w:rPr>
          <w:color w:val="000000"/>
        </w:rPr>
        <w:t>for the EU</w:t>
      </w:r>
      <w:r w:rsidR="0008124F">
        <w:rPr>
          <w:color w:val="000000"/>
        </w:rPr>
        <w:t>,</w:t>
      </w:r>
      <w:r w:rsidR="001C1A95">
        <w:rPr>
          <w:color w:val="000000"/>
        </w:rPr>
        <w:t xml:space="preserve"> </w:t>
      </w:r>
      <w:r w:rsidR="0039754F">
        <w:rPr>
          <w:color w:val="000000"/>
        </w:rPr>
        <w:t>when</w:t>
      </w:r>
      <w:r w:rsidR="001C1A95">
        <w:rPr>
          <w:color w:val="000000"/>
        </w:rPr>
        <w:t xml:space="preserve"> </w:t>
      </w:r>
      <w:r w:rsidR="0039754F">
        <w:rPr>
          <w:color w:val="000000"/>
        </w:rPr>
        <w:t xml:space="preserve">intervening in the market, </w:t>
      </w:r>
      <w:r w:rsidR="00C9319F">
        <w:rPr>
          <w:color w:val="000000"/>
        </w:rPr>
        <w:t xml:space="preserve">to do so in </w:t>
      </w:r>
      <w:r w:rsidR="00FD4C9A">
        <w:rPr>
          <w:color w:val="000000"/>
        </w:rPr>
        <w:t>favour of</w:t>
      </w:r>
      <w:r w:rsidR="0039754F">
        <w:rPr>
          <w:color w:val="000000"/>
        </w:rPr>
        <w:t xml:space="preserve"> </w:t>
      </w:r>
      <w:r w:rsidR="0039754F" w:rsidRPr="0078218A">
        <w:rPr>
          <w:i/>
          <w:iCs/>
          <w:color w:val="000000"/>
          <w:u w:val="single"/>
        </w:rPr>
        <w:t>all</w:t>
      </w:r>
      <w:r w:rsidR="0039754F">
        <w:rPr>
          <w:color w:val="000000"/>
        </w:rPr>
        <w:t xml:space="preserve"> biofuels. </w:t>
      </w:r>
      <w:r w:rsidR="00C9319F">
        <w:rPr>
          <w:color w:val="000000"/>
        </w:rPr>
        <w:t>Article 2.2 permits “some” trade restrictiveness. W</w:t>
      </w:r>
      <w:r w:rsidR="00C9319F" w:rsidRPr="00BD1230">
        <w:rPr>
          <w:color w:val="000000"/>
        </w:rPr>
        <w:t xml:space="preserve">hat is prohibited </w:t>
      </w:r>
      <w:r w:rsidR="00830BE5">
        <w:rPr>
          <w:color w:val="000000"/>
        </w:rPr>
        <w:t>is the imposi</w:t>
      </w:r>
      <w:r w:rsidR="007A62E1">
        <w:rPr>
          <w:color w:val="000000"/>
        </w:rPr>
        <w:t>tion</w:t>
      </w:r>
      <w:r w:rsidR="00C9319F" w:rsidRPr="00BD1230">
        <w:rPr>
          <w:color w:val="000000"/>
        </w:rPr>
        <w:t xml:space="preserve"> </w:t>
      </w:r>
      <w:r w:rsidR="008C09C5">
        <w:rPr>
          <w:color w:val="000000"/>
        </w:rPr>
        <w:t xml:space="preserve">of </w:t>
      </w:r>
      <w:r w:rsidR="00C9319F" w:rsidRPr="00BD1230">
        <w:rPr>
          <w:color w:val="000000"/>
        </w:rPr>
        <w:t xml:space="preserve">restrictions on international trade that exceed what is necessary </w:t>
      </w:r>
      <w:r w:rsidR="008C09C5">
        <w:rPr>
          <w:color w:val="000000"/>
        </w:rPr>
        <w:t xml:space="preserve">to </w:t>
      </w:r>
      <w:r w:rsidR="008C09C5">
        <w:t xml:space="preserve">fulfil a legitimate objective, taking </w:t>
      </w:r>
      <w:r w:rsidR="0078218A">
        <w:t xml:space="preserve">into </w:t>
      </w:r>
      <w:r w:rsidR="008C09C5">
        <w:t>account the risks</w:t>
      </w:r>
      <w:r w:rsidR="00A04655">
        <w:t xml:space="preserve"> that</w:t>
      </w:r>
      <w:r w:rsidR="008C09C5">
        <w:t xml:space="preserve"> non-fulfilment would create.</w:t>
      </w:r>
      <w:r w:rsidR="00EC004F">
        <w:t xml:space="preserve"> The </w:t>
      </w:r>
      <w:r w:rsidR="00EC004F" w:rsidRPr="0078218A">
        <w:rPr>
          <w:i/>
          <w:iCs/>
          <w:u w:val="single"/>
        </w:rPr>
        <w:t>permissibility</w:t>
      </w:r>
      <w:r w:rsidR="00EC004F">
        <w:t xml:space="preserve"> of the trade restrictiveness i</w:t>
      </w:r>
      <w:r w:rsidR="00773A6D">
        <w:t>s</w:t>
      </w:r>
      <w:r w:rsidR="00EC004F">
        <w:t xml:space="preserve"> taken into account in the other elements of the legal analysis under Article 2.2. </w:t>
      </w:r>
    </w:p>
    <w:p w14:paraId="300EA975" w14:textId="77777777" w:rsidR="00FD4C9A" w:rsidRDefault="00FD4C9A" w:rsidP="00FD4C9A">
      <w:pPr>
        <w:pStyle w:val="ListParagraph"/>
        <w:rPr>
          <w:color w:val="000000"/>
        </w:rPr>
      </w:pPr>
    </w:p>
    <w:p w14:paraId="1AC0E84A" w14:textId="6934E7BB" w:rsidR="00713E95" w:rsidRPr="00583F3F" w:rsidRDefault="00EC004F" w:rsidP="00FC23E1">
      <w:pPr>
        <w:numPr>
          <w:ilvl w:val="0"/>
          <w:numId w:val="2"/>
        </w:numPr>
        <w:tabs>
          <w:tab w:val="num" w:pos="0"/>
          <w:tab w:val="left" w:pos="1815"/>
        </w:tabs>
        <w:ind w:left="0" w:hanging="567"/>
        <w:jc w:val="both"/>
        <w:rPr>
          <w:color w:val="000000"/>
        </w:rPr>
      </w:pPr>
      <w:r>
        <w:rPr>
          <w:color w:val="000000"/>
        </w:rPr>
        <w:t xml:space="preserve">Therefore, </w:t>
      </w:r>
      <w:r w:rsidR="00742A55">
        <w:rPr>
          <w:color w:val="000000"/>
        </w:rPr>
        <w:t xml:space="preserve">in </w:t>
      </w:r>
      <w:r>
        <w:rPr>
          <w:color w:val="000000"/>
        </w:rPr>
        <w:t xml:space="preserve">focussing on whether </w:t>
      </w:r>
      <w:r w:rsidR="00773A6D">
        <w:rPr>
          <w:color w:val="000000"/>
        </w:rPr>
        <w:t>measures that</w:t>
      </w:r>
      <w:r>
        <w:rPr>
          <w:color w:val="000000"/>
        </w:rPr>
        <w:t xml:space="preserve"> interve</w:t>
      </w:r>
      <w:r w:rsidR="00773A6D">
        <w:rPr>
          <w:color w:val="000000"/>
        </w:rPr>
        <w:t>ne in the market are</w:t>
      </w:r>
      <w:r>
        <w:rPr>
          <w:color w:val="000000"/>
        </w:rPr>
        <w:t xml:space="preserve"> “</w:t>
      </w:r>
      <w:r w:rsidR="00FC7562">
        <w:rPr>
          <w:color w:val="000000"/>
        </w:rPr>
        <w:t>trade restrictive</w:t>
      </w:r>
      <w:r>
        <w:rPr>
          <w:color w:val="000000"/>
        </w:rPr>
        <w:t xml:space="preserve">”, </w:t>
      </w:r>
      <w:r w:rsidR="00773A6D">
        <w:rPr>
          <w:color w:val="000000"/>
        </w:rPr>
        <w:t>Australia again recalls that</w:t>
      </w:r>
      <w:r>
        <w:rPr>
          <w:color w:val="000000"/>
        </w:rPr>
        <w:t xml:space="preserve"> a finding of</w:t>
      </w:r>
      <w:r w:rsidR="005B2C13" w:rsidRPr="00583F3F">
        <w:rPr>
          <w:color w:val="000000"/>
        </w:rPr>
        <w:t xml:space="preserve"> discriminat</w:t>
      </w:r>
      <w:r>
        <w:rPr>
          <w:color w:val="000000"/>
        </w:rPr>
        <w:t>ion can be relevant to this assessment</w:t>
      </w:r>
      <w:r w:rsidR="005B2C13" w:rsidRPr="00583F3F">
        <w:t>. T</w:t>
      </w:r>
      <w:r w:rsidR="0027001C" w:rsidRPr="00583F3F">
        <w:rPr>
          <w:color w:val="000000"/>
        </w:rPr>
        <w:t>he</w:t>
      </w:r>
      <w:r w:rsidR="00C9319F" w:rsidRPr="00583F3F">
        <w:rPr>
          <w:color w:val="000000"/>
        </w:rPr>
        <w:t xml:space="preserve"> modification of the conditions of competition</w:t>
      </w:r>
      <w:r w:rsidR="0027001C" w:rsidRPr="00583F3F">
        <w:rPr>
          <w:color w:val="000000"/>
        </w:rPr>
        <w:t>, to the detriment of imported goods,</w:t>
      </w:r>
      <w:r w:rsidR="00C9319F" w:rsidRPr="00583F3F">
        <w:rPr>
          <w:color w:val="000000"/>
        </w:rPr>
        <w:t xml:space="preserve"> </w:t>
      </w:r>
      <w:r>
        <w:rPr>
          <w:color w:val="000000"/>
        </w:rPr>
        <w:t xml:space="preserve">may contribute </w:t>
      </w:r>
      <w:r w:rsidR="0027001C" w:rsidRPr="00583F3F">
        <w:rPr>
          <w:color w:val="000000"/>
        </w:rPr>
        <w:t>to the assessment of</w:t>
      </w:r>
      <w:r w:rsidR="00C9319F" w:rsidRPr="00583F3F">
        <w:rPr>
          <w:color w:val="000000"/>
        </w:rPr>
        <w:t xml:space="preserve"> </w:t>
      </w:r>
      <w:r w:rsidR="00022EC9">
        <w:rPr>
          <w:color w:val="000000"/>
        </w:rPr>
        <w:t>‘</w:t>
      </w:r>
      <w:r w:rsidR="00C9319F" w:rsidRPr="00583F3F">
        <w:rPr>
          <w:color w:val="000000"/>
        </w:rPr>
        <w:t>trade restrictiveness</w:t>
      </w:r>
      <w:r w:rsidR="00022EC9">
        <w:rPr>
          <w:color w:val="000000"/>
        </w:rPr>
        <w:t>’</w:t>
      </w:r>
      <w:r w:rsidR="00C9319F" w:rsidRPr="00583F3F">
        <w:rPr>
          <w:color w:val="000000"/>
        </w:rPr>
        <w:t xml:space="preserve"> under Article 2.2</w:t>
      </w:r>
      <w:r w:rsidR="00A04655" w:rsidRPr="00583F3F">
        <w:rPr>
          <w:color w:val="000000"/>
        </w:rPr>
        <w:t xml:space="preserve"> to the extent that it reveals a limiting effect on international trade</w:t>
      </w:r>
      <w:r w:rsidR="00C9319F" w:rsidRPr="00583F3F">
        <w:rPr>
          <w:color w:val="000000"/>
        </w:rPr>
        <w:t>.</w:t>
      </w:r>
      <w:r w:rsidR="00A04655" w:rsidRPr="00583F3F">
        <w:rPr>
          <w:rStyle w:val="FootnoteReference"/>
        </w:rPr>
        <w:footnoteReference w:id="16"/>
      </w:r>
      <w:r w:rsidR="007577ED" w:rsidRPr="00583F3F">
        <w:rPr>
          <w:color w:val="000000"/>
        </w:rPr>
        <w:t xml:space="preserve"> </w:t>
      </w:r>
      <w:r w:rsidR="00713E95" w:rsidRPr="00583F3F">
        <w:rPr>
          <w:color w:val="000000"/>
        </w:rPr>
        <w:t>In</w:t>
      </w:r>
      <w:r w:rsidR="00A04655" w:rsidRPr="00583F3F">
        <w:rPr>
          <w:color w:val="000000"/>
        </w:rPr>
        <w:t xml:space="preserve"> this regard,</w:t>
      </w:r>
      <w:r w:rsidR="00713E95" w:rsidRPr="00583F3F">
        <w:rPr>
          <w:color w:val="000000"/>
        </w:rPr>
        <w:t xml:space="preserve"> Australia</w:t>
      </w:r>
      <w:r w:rsidR="00A04655" w:rsidRPr="00583F3F">
        <w:rPr>
          <w:color w:val="000000"/>
        </w:rPr>
        <w:t xml:space="preserve"> submits</w:t>
      </w:r>
      <w:r w:rsidR="00713E95" w:rsidRPr="00583F3F">
        <w:rPr>
          <w:color w:val="000000"/>
        </w:rPr>
        <w:t xml:space="preserve"> </w:t>
      </w:r>
      <w:r w:rsidR="00583F3F" w:rsidRPr="00583F3F">
        <w:rPr>
          <w:color w:val="000000"/>
        </w:rPr>
        <w:t>that</w:t>
      </w:r>
      <w:r w:rsidR="00713E95" w:rsidRPr="00583F3F">
        <w:rPr>
          <w:color w:val="000000"/>
        </w:rPr>
        <w:t xml:space="preserve"> a finding of less favourable treatment by the Panel in relation to Indonesia’s claims under Article 2.1 of the TBT Agreement, may have probative value in the Panel’s assessment of </w:t>
      </w:r>
      <w:r w:rsidR="00022EC9">
        <w:rPr>
          <w:color w:val="000000"/>
        </w:rPr>
        <w:t>‘</w:t>
      </w:r>
      <w:r w:rsidR="00713E95" w:rsidRPr="00583F3F">
        <w:rPr>
          <w:color w:val="000000"/>
        </w:rPr>
        <w:t>trade restrictiveness</w:t>
      </w:r>
      <w:r w:rsidR="00022EC9">
        <w:rPr>
          <w:color w:val="000000"/>
        </w:rPr>
        <w:t>’</w:t>
      </w:r>
      <w:r w:rsidR="00713E95" w:rsidRPr="00583F3F">
        <w:rPr>
          <w:color w:val="000000"/>
        </w:rPr>
        <w:t xml:space="preserve"> under Article 2.2. </w:t>
      </w:r>
    </w:p>
    <w:p w14:paraId="2C4F59B2" w14:textId="77777777" w:rsidR="00713E95" w:rsidRPr="00713E95" w:rsidRDefault="00713E95" w:rsidP="00713E95">
      <w:pPr>
        <w:tabs>
          <w:tab w:val="left" w:pos="1815"/>
        </w:tabs>
        <w:jc w:val="both"/>
        <w:rPr>
          <w:color w:val="000000"/>
        </w:rPr>
      </w:pPr>
    </w:p>
    <w:p w14:paraId="7B30D0A3" w14:textId="77777777" w:rsidR="00713E95" w:rsidRDefault="00713E95" w:rsidP="00713E95">
      <w:pPr>
        <w:pStyle w:val="ListParagraph"/>
      </w:pPr>
    </w:p>
    <w:p w14:paraId="7DA927CA" w14:textId="673945D0" w:rsidR="00EF0886" w:rsidRPr="007A3E63" w:rsidRDefault="00A01DD5" w:rsidP="00DB6461">
      <w:pPr>
        <w:tabs>
          <w:tab w:val="left" w:pos="1815"/>
        </w:tabs>
        <w:rPr>
          <w:i/>
          <w:iCs/>
          <w:color w:val="000000"/>
          <w:u w:val="single"/>
        </w:rPr>
      </w:pPr>
      <w:r w:rsidRPr="007A3E63">
        <w:rPr>
          <w:i/>
          <w:iCs/>
          <w:color w:val="000000"/>
          <w:u w:val="single"/>
        </w:rPr>
        <w:t xml:space="preserve">Degree of Contribution </w:t>
      </w:r>
      <w:r w:rsidR="007A3E63" w:rsidRPr="007A3E63">
        <w:rPr>
          <w:i/>
          <w:iCs/>
          <w:color w:val="000000"/>
          <w:u w:val="single"/>
        </w:rPr>
        <w:t>t</w:t>
      </w:r>
      <w:r w:rsidR="007A3E63" w:rsidRPr="007A3E63">
        <w:rPr>
          <w:i/>
          <w:iCs/>
          <w:u w:val="single"/>
        </w:rPr>
        <w:t>hat the Technical Regulation makes to the Achievement of a Legitimate Objective</w:t>
      </w:r>
    </w:p>
    <w:p w14:paraId="0A32A223" w14:textId="77777777" w:rsidR="00EF0886" w:rsidRDefault="00EF0886" w:rsidP="007A3E63">
      <w:pPr>
        <w:tabs>
          <w:tab w:val="left" w:pos="1815"/>
        </w:tabs>
        <w:rPr>
          <w:color w:val="000000"/>
        </w:rPr>
      </w:pPr>
    </w:p>
    <w:p w14:paraId="29429C8E" w14:textId="0EFABF88" w:rsidR="00B848BC" w:rsidRDefault="00184564" w:rsidP="00B848BC">
      <w:pPr>
        <w:numPr>
          <w:ilvl w:val="0"/>
          <w:numId w:val="2"/>
        </w:numPr>
        <w:tabs>
          <w:tab w:val="num" w:pos="0"/>
          <w:tab w:val="left" w:pos="1815"/>
        </w:tabs>
        <w:ind w:left="0" w:hanging="567"/>
        <w:jc w:val="both"/>
        <w:rPr>
          <w:color w:val="000000"/>
        </w:rPr>
      </w:pPr>
      <w:r>
        <w:t>With regards to the degree of contribution that a technical regulation makes to the achievement of a legitimate objective, there is no single approach that is suited to conducting this type of analysis in all cases.</w:t>
      </w:r>
      <w:r>
        <w:rPr>
          <w:rStyle w:val="FootnoteReference"/>
        </w:rPr>
        <w:footnoteReference w:id="17"/>
      </w:r>
      <w:r w:rsidRPr="00184564">
        <w:rPr>
          <w:color w:val="000000"/>
        </w:rPr>
        <w:t xml:space="preserve"> </w:t>
      </w:r>
      <w:r w:rsidR="00B777B7">
        <w:rPr>
          <w:color w:val="000000"/>
        </w:rPr>
        <w:t xml:space="preserve">In </w:t>
      </w:r>
      <w:r w:rsidR="00B777B7">
        <w:rPr>
          <w:i/>
          <w:iCs/>
          <w:color w:val="000000"/>
        </w:rPr>
        <w:t xml:space="preserve">Australia – Tobacco Plain </w:t>
      </w:r>
      <w:r w:rsidR="00B777B7" w:rsidRPr="00B777B7">
        <w:rPr>
          <w:i/>
          <w:iCs/>
          <w:color w:val="000000"/>
        </w:rPr>
        <w:t>Packaging</w:t>
      </w:r>
      <w:r w:rsidR="00C545A2">
        <w:rPr>
          <w:i/>
          <w:iCs/>
          <w:color w:val="000000"/>
        </w:rPr>
        <w:t xml:space="preserve"> </w:t>
      </w:r>
      <w:r w:rsidR="00600D04">
        <w:rPr>
          <w:color w:val="000000"/>
        </w:rPr>
        <w:t>the</w:t>
      </w:r>
      <w:r w:rsidR="00233E24">
        <w:rPr>
          <w:color w:val="000000"/>
        </w:rPr>
        <w:t xml:space="preserve"> </w:t>
      </w:r>
      <w:r w:rsidR="00022EC9">
        <w:rPr>
          <w:color w:val="000000"/>
        </w:rPr>
        <w:t>p</w:t>
      </w:r>
      <w:r w:rsidR="00233E24">
        <w:rPr>
          <w:color w:val="000000"/>
        </w:rPr>
        <w:t xml:space="preserve">anel, quoting the Appellate Body in </w:t>
      </w:r>
      <w:r w:rsidR="00233E24">
        <w:rPr>
          <w:i/>
          <w:iCs/>
          <w:color w:val="000000"/>
        </w:rPr>
        <w:t>US – COOL (Article 21.5 – Canada and Mexico)</w:t>
      </w:r>
      <w:r w:rsidR="00233E24">
        <w:rPr>
          <w:color w:val="000000"/>
        </w:rPr>
        <w:t>, observed that</w:t>
      </w:r>
      <w:r w:rsidR="00600D04">
        <w:rPr>
          <w:color w:val="000000"/>
        </w:rPr>
        <w:t xml:space="preserve"> </w:t>
      </w:r>
      <w:r w:rsidR="00C545A2">
        <w:rPr>
          <w:color w:val="000000"/>
        </w:rPr>
        <w:t xml:space="preserve">the </w:t>
      </w:r>
      <w:r w:rsidR="00413BE4">
        <w:t>degree of achievement of a particular objective may be discerned from the design, structure, and operation of the technical regulation, as well as from evidence relating to the application of the measure</w:t>
      </w:r>
      <w:r w:rsidR="00315EEE">
        <w:t>.</w:t>
      </w:r>
      <w:r w:rsidR="00315EEE">
        <w:rPr>
          <w:rStyle w:val="FootnoteReference"/>
        </w:rPr>
        <w:footnoteReference w:id="18"/>
      </w:r>
    </w:p>
    <w:p w14:paraId="7A274B34" w14:textId="77777777" w:rsidR="00B848BC" w:rsidRDefault="00B848BC" w:rsidP="00B848BC">
      <w:pPr>
        <w:tabs>
          <w:tab w:val="left" w:pos="1815"/>
        </w:tabs>
        <w:jc w:val="both"/>
        <w:rPr>
          <w:color w:val="000000"/>
        </w:rPr>
      </w:pPr>
    </w:p>
    <w:p w14:paraId="0B18CF6B" w14:textId="06F1C753" w:rsidR="00FB1520" w:rsidRPr="00FB1520" w:rsidRDefault="00FD7171" w:rsidP="001C1A95">
      <w:pPr>
        <w:numPr>
          <w:ilvl w:val="0"/>
          <w:numId w:val="2"/>
        </w:numPr>
        <w:tabs>
          <w:tab w:val="num" w:pos="0"/>
          <w:tab w:val="left" w:pos="1815"/>
        </w:tabs>
        <w:ind w:left="0" w:hanging="567"/>
        <w:jc w:val="both"/>
        <w:rPr>
          <w:color w:val="000000"/>
        </w:rPr>
      </w:pPr>
      <w:r w:rsidRPr="00FF6E18">
        <w:rPr>
          <w:color w:val="000000"/>
        </w:rPr>
        <w:t>When examining scientific evidence</w:t>
      </w:r>
      <w:r w:rsidR="00FB1520">
        <w:rPr>
          <w:color w:val="000000"/>
        </w:rPr>
        <w:t xml:space="preserve"> relating to </w:t>
      </w:r>
      <w:r w:rsidR="00F27CB1">
        <w:rPr>
          <w:color w:val="000000"/>
        </w:rPr>
        <w:t>the application of the measure</w:t>
      </w:r>
      <w:r w:rsidRPr="00FF6E18">
        <w:rPr>
          <w:color w:val="000000"/>
        </w:rPr>
        <w:t xml:space="preserve">, the EU contends that the Panel </w:t>
      </w:r>
      <w:r w:rsidRPr="00FF6E18">
        <w:rPr>
          <w:lang w:val="en-IE"/>
        </w:rPr>
        <w:t>should limit its examination to whether the</w:t>
      </w:r>
      <w:r w:rsidR="00777B9E">
        <w:rPr>
          <w:lang w:val="en-IE"/>
        </w:rPr>
        <w:t xml:space="preserve"> </w:t>
      </w:r>
      <w:r w:rsidRPr="00FF6E18">
        <w:rPr>
          <w:lang w:val="en-IE"/>
        </w:rPr>
        <w:t xml:space="preserve">measures at issue purport to be based on science and whether there is adequate support </w:t>
      </w:r>
      <w:r w:rsidR="00FB1520">
        <w:rPr>
          <w:lang w:val="en-IE"/>
        </w:rPr>
        <w:t>of</w:t>
      </w:r>
      <w:r w:rsidRPr="00FF6E18">
        <w:rPr>
          <w:lang w:val="en-IE"/>
        </w:rPr>
        <w:t xml:space="preserve"> qualified scientific opinions.</w:t>
      </w:r>
      <w:r>
        <w:rPr>
          <w:rStyle w:val="FootnoteReference"/>
          <w:lang w:val="en-IE"/>
        </w:rPr>
        <w:footnoteReference w:id="19"/>
      </w:r>
      <w:r w:rsidRPr="00FF6E18">
        <w:rPr>
          <w:lang w:val="en-IE"/>
        </w:rPr>
        <w:t xml:space="preserve"> This is irrespective of whether the scientific opinions represent the majority view. </w:t>
      </w:r>
    </w:p>
    <w:p w14:paraId="51D9E59B" w14:textId="77777777" w:rsidR="00FB1520" w:rsidRDefault="00FB1520" w:rsidP="00FB1520">
      <w:pPr>
        <w:pStyle w:val="ListParagraph"/>
        <w:rPr>
          <w:lang w:val="en-IE"/>
        </w:rPr>
      </w:pPr>
    </w:p>
    <w:p w14:paraId="790A86B7" w14:textId="77777777" w:rsidR="0091199C" w:rsidRPr="0091199C" w:rsidRDefault="00FD7171" w:rsidP="00FB1520">
      <w:pPr>
        <w:numPr>
          <w:ilvl w:val="0"/>
          <w:numId w:val="2"/>
        </w:numPr>
        <w:tabs>
          <w:tab w:val="num" w:pos="0"/>
          <w:tab w:val="left" w:pos="1815"/>
        </w:tabs>
        <w:ind w:left="0" w:hanging="567"/>
        <w:jc w:val="both"/>
        <w:rPr>
          <w:color w:val="000000"/>
        </w:rPr>
      </w:pPr>
      <w:r w:rsidRPr="00FF6E18">
        <w:rPr>
          <w:lang w:val="en-IE"/>
        </w:rPr>
        <w:t>Australia disagrees with the EU’s characterisation of the</w:t>
      </w:r>
      <w:r w:rsidR="00F27CB1">
        <w:rPr>
          <w:lang w:val="en-IE"/>
        </w:rPr>
        <w:t xml:space="preserve"> limited </w:t>
      </w:r>
      <w:r w:rsidR="00777B9E">
        <w:rPr>
          <w:lang w:val="en-IE"/>
        </w:rPr>
        <w:t>role for the</w:t>
      </w:r>
      <w:r w:rsidRPr="00FF6E18">
        <w:rPr>
          <w:lang w:val="en-IE"/>
        </w:rPr>
        <w:t xml:space="preserve"> Panel</w:t>
      </w:r>
      <w:r w:rsidR="00EC5F88">
        <w:rPr>
          <w:lang w:val="en-IE"/>
        </w:rPr>
        <w:t xml:space="preserve"> in examining scientific evidence</w:t>
      </w:r>
      <w:r w:rsidRPr="00FF6E18">
        <w:rPr>
          <w:lang w:val="en-IE"/>
        </w:rPr>
        <w:t xml:space="preserve">. Australia recalls that </w:t>
      </w:r>
      <w:r w:rsidR="0091199C">
        <w:rPr>
          <w:lang w:val="en-IE"/>
        </w:rPr>
        <w:t>the function of a panel is to:</w:t>
      </w:r>
    </w:p>
    <w:p w14:paraId="23DF18D0" w14:textId="77777777" w:rsidR="0091199C" w:rsidRDefault="0091199C" w:rsidP="0091199C">
      <w:pPr>
        <w:pStyle w:val="ListParagraph"/>
      </w:pPr>
    </w:p>
    <w:p w14:paraId="361AB3A9" w14:textId="5DBCEB76" w:rsidR="005E4A28" w:rsidRPr="0091199C" w:rsidRDefault="0091199C" w:rsidP="0091199C">
      <w:pPr>
        <w:tabs>
          <w:tab w:val="left" w:pos="1815"/>
        </w:tabs>
        <w:ind w:left="720"/>
        <w:jc w:val="both"/>
        <w:rPr>
          <w:color w:val="000000"/>
          <w:sz w:val="22"/>
          <w:szCs w:val="22"/>
        </w:rPr>
      </w:pPr>
      <w:r w:rsidRPr="0091199C">
        <w:rPr>
          <w:sz w:val="22"/>
          <w:szCs w:val="22"/>
        </w:rPr>
        <w:t>make an objective assessment of the matter before it, including an objective assessment of the facts of the case and the applicability of and conformity with the relevant covered agreements, and make such other findings as will assist the DSB in making the recommendations or in giving the rulings provided for in the covered agreements.</w:t>
      </w:r>
      <w:r>
        <w:rPr>
          <w:rStyle w:val="FootnoteReference"/>
          <w:sz w:val="22"/>
          <w:szCs w:val="22"/>
        </w:rPr>
        <w:footnoteReference w:id="20"/>
      </w:r>
    </w:p>
    <w:p w14:paraId="396B29BF" w14:textId="77777777" w:rsidR="005E4A28" w:rsidRDefault="005E4A28" w:rsidP="005E4A28">
      <w:pPr>
        <w:pStyle w:val="ListParagraph"/>
        <w:rPr>
          <w:lang w:val="en-IE"/>
        </w:rPr>
      </w:pPr>
    </w:p>
    <w:p w14:paraId="0ADF2F6E" w14:textId="0265EB21" w:rsidR="001B0595" w:rsidRPr="001B0595" w:rsidRDefault="001B0595" w:rsidP="00FB1520">
      <w:pPr>
        <w:numPr>
          <w:ilvl w:val="0"/>
          <w:numId w:val="2"/>
        </w:numPr>
        <w:tabs>
          <w:tab w:val="num" w:pos="0"/>
          <w:tab w:val="left" w:pos="1815"/>
        </w:tabs>
        <w:ind w:left="0" w:hanging="567"/>
        <w:jc w:val="both"/>
        <w:rPr>
          <w:color w:val="000000"/>
        </w:rPr>
      </w:pPr>
      <w:r>
        <w:rPr>
          <w:color w:val="000000"/>
        </w:rPr>
        <w:t xml:space="preserve">In fulfilling this obligation, </w:t>
      </w:r>
      <w:r>
        <w:t xml:space="preserve">it is appropriate for </w:t>
      </w:r>
      <w:r w:rsidR="0078218A">
        <w:t>a p</w:t>
      </w:r>
      <w:r>
        <w:t>anel to consider the extent to which the body of evidence before it, as a whole, provides a reasonable basis in support of the proposition for which it is being invoked.</w:t>
      </w:r>
      <w:r>
        <w:rPr>
          <w:rStyle w:val="FootnoteReference"/>
        </w:rPr>
        <w:footnoteReference w:id="21"/>
      </w:r>
      <w:r>
        <w:t xml:space="preserve"> In this assessment, to the extent that scientific evidence is being relied upon, </w:t>
      </w:r>
      <w:r w:rsidR="0078218A">
        <w:t>a</w:t>
      </w:r>
      <w:r>
        <w:t xml:space="preserve"> </w:t>
      </w:r>
      <w:r w:rsidR="0078218A">
        <w:t>p</w:t>
      </w:r>
      <w:r>
        <w:t xml:space="preserve">anel should have regard to whether such evidence </w:t>
      </w:r>
      <w:r w:rsidR="0078218A">
        <w:t>“</w:t>
      </w:r>
      <w:r>
        <w:t>comes from a qualified and respected source</w:t>
      </w:r>
      <w:r w:rsidR="0078218A">
        <w:t>”</w:t>
      </w:r>
      <w:r>
        <w:t xml:space="preserve">, whether it has the </w:t>
      </w:r>
      <w:r w:rsidR="0078218A">
        <w:br/>
      </w:r>
      <w:r w:rsidR="00022EC9">
        <w:t>“</w:t>
      </w:r>
      <w:r>
        <w:t>necessary scientific and methodological rigor to be considered reputable science</w:t>
      </w:r>
      <w:r w:rsidR="0078218A">
        <w:t>”</w:t>
      </w:r>
      <w:r>
        <w:t xml:space="preserve"> or reflects </w:t>
      </w:r>
      <w:r w:rsidR="0078218A">
        <w:t>“</w:t>
      </w:r>
      <w:r>
        <w:t>legitimate science according to the standards of the relevant scientific community</w:t>
      </w:r>
      <w:r w:rsidR="0078218A">
        <w:t>”</w:t>
      </w:r>
      <w:r>
        <w:t xml:space="preserve">, and </w:t>
      </w:r>
      <w:r w:rsidR="0078218A">
        <w:t>“</w:t>
      </w:r>
      <w:r>
        <w:t>whether the reasoning articulated on the basis of the scientific evidence is objective and coherent.</w:t>
      </w:r>
      <w:r w:rsidR="0078218A">
        <w:t>”</w:t>
      </w:r>
      <w:r>
        <w:rPr>
          <w:rStyle w:val="FootnoteReference"/>
        </w:rPr>
        <w:footnoteReference w:id="22"/>
      </w:r>
      <w:r>
        <w:t xml:space="preserve"> Australia submits that these factors are also relevant to the Panel’s role in examining </w:t>
      </w:r>
      <w:r w:rsidR="00022EC9">
        <w:t>‘</w:t>
      </w:r>
      <w:r>
        <w:t>contribution</w:t>
      </w:r>
      <w:r w:rsidR="00022EC9">
        <w:t>’</w:t>
      </w:r>
      <w:r>
        <w:t xml:space="preserve"> in the current case.</w:t>
      </w:r>
    </w:p>
    <w:p w14:paraId="3FF10613" w14:textId="62178029" w:rsidR="001B0595" w:rsidRPr="001B0595" w:rsidRDefault="001B0595" w:rsidP="001B0595">
      <w:pPr>
        <w:tabs>
          <w:tab w:val="left" w:pos="1815"/>
        </w:tabs>
        <w:jc w:val="both"/>
        <w:rPr>
          <w:color w:val="000000"/>
        </w:rPr>
      </w:pPr>
    </w:p>
    <w:p w14:paraId="51B84F12" w14:textId="25734CC3" w:rsidR="00C148F8" w:rsidRPr="00C148F8" w:rsidRDefault="00386676" w:rsidP="00AD73BF">
      <w:pPr>
        <w:numPr>
          <w:ilvl w:val="0"/>
          <w:numId w:val="2"/>
        </w:numPr>
        <w:tabs>
          <w:tab w:val="num" w:pos="0"/>
          <w:tab w:val="left" w:pos="1815"/>
        </w:tabs>
        <w:ind w:left="0" w:hanging="567"/>
        <w:jc w:val="both"/>
        <w:rPr>
          <w:color w:val="000000"/>
        </w:rPr>
      </w:pPr>
      <w:r>
        <w:t xml:space="preserve">Further to this, </w:t>
      </w:r>
      <w:r w:rsidR="003A6E25">
        <w:t>Australia submits that limitations</w:t>
      </w:r>
      <w:r w:rsidR="00EC5F88">
        <w:t xml:space="preserve"> or the lack of available </w:t>
      </w:r>
      <w:r w:rsidR="003A6E25">
        <w:t>evidence</w:t>
      </w:r>
      <w:r w:rsidR="00EC5F88">
        <w:t xml:space="preserve"> in demonstrating </w:t>
      </w:r>
      <w:r w:rsidR="00022EC9">
        <w:t>‘</w:t>
      </w:r>
      <w:r w:rsidR="00EC5F88">
        <w:t>contribution</w:t>
      </w:r>
      <w:r w:rsidR="00022EC9">
        <w:t>’</w:t>
      </w:r>
      <w:r w:rsidR="003A6E25">
        <w:t xml:space="preserve"> </w:t>
      </w:r>
      <w:r w:rsidR="00CA08B7">
        <w:t>has probative value and should</w:t>
      </w:r>
      <w:r w:rsidR="003A6E25">
        <w:t xml:space="preserve"> </w:t>
      </w:r>
      <w:r w:rsidR="00CA08B7">
        <w:t xml:space="preserve">also </w:t>
      </w:r>
      <w:r w:rsidR="003A6E25">
        <w:t>be</w:t>
      </w:r>
      <w:r w:rsidR="00EC5F88">
        <w:t xml:space="preserve"> taken into account </w:t>
      </w:r>
      <w:r w:rsidR="00CA08B7">
        <w:t>by</w:t>
      </w:r>
      <w:r w:rsidR="00EC5F88">
        <w:t xml:space="preserve"> the Panel</w:t>
      </w:r>
      <w:r w:rsidR="00CA08B7">
        <w:t>. Indeed Australia recalls that</w:t>
      </w:r>
      <w:r w:rsidR="003A6E25">
        <w:t xml:space="preserve"> </w:t>
      </w:r>
      <w:r>
        <w:t xml:space="preserve">in </w:t>
      </w:r>
      <w:r w:rsidRPr="00FB1520">
        <w:rPr>
          <w:i/>
          <w:iCs/>
        </w:rPr>
        <w:t xml:space="preserve">Australia – Tobacco Plain Packaging </w:t>
      </w:r>
      <w:r w:rsidR="00CA08B7">
        <w:t xml:space="preserve">the </w:t>
      </w:r>
      <w:r w:rsidR="005C01FE">
        <w:t>p</w:t>
      </w:r>
      <w:r w:rsidR="00CA08B7">
        <w:t>anel explicitly stated</w:t>
      </w:r>
      <w:r>
        <w:t xml:space="preserve"> that the available evidence, </w:t>
      </w:r>
      <w:r w:rsidRPr="004379B4">
        <w:rPr>
          <w:i/>
          <w:iCs/>
          <w:u w:val="single"/>
        </w:rPr>
        <w:t xml:space="preserve">as well as possible limitations in, or unavailability of, certain evidence, </w:t>
      </w:r>
      <w:r w:rsidR="00CA08B7" w:rsidRPr="004379B4">
        <w:rPr>
          <w:i/>
          <w:iCs/>
          <w:u w:val="single"/>
        </w:rPr>
        <w:t>can</w:t>
      </w:r>
      <w:r w:rsidRPr="004379B4">
        <w:rPr>
          <w:i/>
          <w:iCs/>
          <w:u w:val="single"/>
        </w:rPr>
        <w:t xml:space="preserve"> have an impact on the nature and extent of the conclusions that may be drawn</w:t>
      </w:r>
      <w:r>
        <w:t>.</w:t>
      </w:r>
      <w:r>
        <w:rPr>
          <w:rStyle w:val="FootnoteReference"/>
        </w:rPr>
        <w:footnoteReference w:id="23"/>
      </w:r>
    </w:p>
    <w:p w14:paraId="26BE4274" w14:textId="77777777" w:rsidR="00C148F8" w:rsidRDefault="00C148F8" w:rsidP="00C148F8">
      <w:pPr>
        <w:pStyle w:val="ListParagraph"/>
      </w:pPr>
    </w:p>
    <w:p w14:paraId="5E24D2DD" w14:textId="77777777" w:rsidR="00970536" w:rsidRDefault="00970536" w:rsidP="0073416B">
      <w:pPr>
        <w:tabs>
          <w:tab w:val="left" w:pos="1815"/>
        </w:tabs>
        <w:jc w:val="both"/>
        <w:rPr>
          <w:i/>
          <w:iCs/>
          <w:color w:val="000000"/>
          <w:u w:val="single"/>
        </w:rPr>
      </w:pPr>
    </w:p>
    <w:p w14:paraId="35629F68" w14:textId="09CCCEFD" w:rsidR="0073416B" w:rsidRPr="0073416B" w:rsidRDefault="0073416B" w:rsidP="0073416B">
      <w:pPr>
        <w:tabs>
          <w:tab w:val="left" w:pos="1815"/>
        </w:tabs>
        <w:jc w:val="both"/>
        <w:rPr>
          <w:i/>
          <w:iCs/>
          <w:color w:val="000000"/>
          <w:u w:val="single"/>
        </w:rPr>
      </w:pPr>
      <w:r w:rsidRPr="0073416B">
        <w:rPr>
          <w:i/>
          <w:iCs/>
          <w:color w:val="000000"/>
          <w:u w:val="single"/>
        </w:rPr>
        <w:t>Less Trade Restrictive Alternatives</w:t>
      </w:r>
    </w:p>
    <w:p w14:paraId="0A6DE7CF" w14:textId="77777777" w:rsidR="0073416B" w:rsidRDefault="0073416B" w:rsidP="0073416B">
      <w:pPr>
        <w:tabs>
          <w:tab w:val="left" w:pos="1815"/>
        </w:tabs>
        <w:jc w:val="both"/>
        <w:rPr>
          <w:color w:val="000000"/>
        </w:rPr>
      </w:pPr>
    </w:p>
    <w:p w14:paraId="72350BAF" w14:textId="17C520D1" w:rsidR="0073416B" w:rsidRDefault="00327B4B" w:rsidP="0073416B">
      <w:pPr>
        <w:numPr>
          <w:ilvl w:val="0"/>
          <w:numId w:val="2"/>
        </w:numPr>
        <w:tabs>
          <w:tab w:val="num" w:pos="0"/>
          <w:tab w:val="left" w:pos="1815"/>
        </w:tabs>
        <w:ind w:left="0" w:hanging="567"/>
        <w:jc w:val="both"/>
        <w:rPr>
          <w:color w:val="000000"/>
        </w:rPr>
      </w:pPr>
      <w:r>
        <w:t>The Appellate Body has recognised that i</w:t>
      </w:r>
      <w:r w:rsidR="00E870E3">
        <w:t xml:space="preserve">n most cases, </w:t>
      </w:r>
      <w:r>
        <w:t>a comparative analysis should be undertaken to establish whether a technical regulation is “more trade restrictive than necessary”.</w:t>
      </w:r>
      <w:r w:rsidR="0073416B">
        <w:rPr>
          <w:rStyle w:val="FootnoteReference"/>
        </w:rPr>
        <w:footnoteReference w:id="24"/>
      </w:r>
      <w:r w:rsidR="0073416B">
        <w:t xml:space="preserve"> </w:t>
      </w:r>
      <w:r>
        <w:t>A</w:t>
      </w:r>
      <w:r w:rsidR="0073416B">
        <w:t xml:space="preserve"> complainant may identify a possible alternative measure that: (i) is less trade</w:t>
      </w:r>
      <w:r w:rsidR="006C3EB7">
        <w:t xml:space="preserve"> </w:t>
      </w:r>
      <w:r w:rsidR="0073416B">
        <w:t>restrictive than the challenged technical regulation; (ii) makes a contribution to the legitimate objective equivalent to that of the challenged technical regulation; and (iii) is reasonably available to the responding Member.</w:t>
      </w:r>
      <w:r w:rsidR="0073416B">
        <w:rPr>
          <w:rStyle w:val="FootnoteReference"/>
        </w:rPr>
        <w:footnoteReference w:id="25"/>
      </w:r>
    </w:p>
    <w:p w14:paraId="69600DD6" w14:textId="77777777" w:rsidR="0073416B" w:rsidRDefault="0073416B" w:rsidP="0073416B">
      <w:pPr>
        <w:pStyle w:val="ListParagraph"/>
        <w:rPr>
          <w:color w:val="000000"/>
        </w:rPr>
      </w:pPr>
    </w:p>
    <w:p w14:paraId="19FB46A4" w14:textId="1007C543" w:rsidR="00981E23" w:rsidRDefault="00BF1A6D" w:rsidP="0073416B">
      <w:pPr>
        <w:numPr>
          <w:ilvl w:val="0"/>
          <w:numId w:val="2"/>
        </w:numPr>
        <w:tabs>
          <w:tab w:val="num" w:pos="0"/>
          <w:tab w:val="left" w:pos="1815"/>
        </w:tabs>
        <w:ind w:left="0" w:hanging="567"/>
        <w:jc w:val="both"/>
        <w:rPr>
          <w:color w:val="000000"/>
        </w:rPr>
      </w:pPr>
      <w:r>
        <w:rPr>
          <w:color w:val="000000"/>
        </w:rPr>
        <w:t xml:space="preserve">With regard to the burden placed upon a complainant </w:t>
      </w:r>
      <w:r w:rsidR="0008124F">
        <w:rPr>
          <w:color w:val="000000"/>
        </w:rPr>
        <w:t>to identify</w:t>
      </w:r>
      <w:r>
        <w:rPr>
          <w:color w:val="000000"/>
        </w:rPr>
        <w:t xml:space="preserve"> less trade restrictive alternatives, Australia recalls that the Appellate Body has stated that:</w:t>
      </w:r>
    </w:p>
    <w:p w14:paraId="0A148ECA" w14:textId="77777777" w:rsidR="00BF1A6D" w:rsidRDefault="00BF1A6D" w:rsidP="00BF1A6D">
      <w:pPr>
        <w:pStyle w:val="ListParagraph"/>
        <w:rPr>
          <w:color w:val="000000"/>
        </w:rPr>
      </w:pPr>
    </w:p>
    <w:p w14:paraId="517ED740" w14:textId="6BE7C4F3" w:rsidR="00BF1A6D" w:rsidRPr="00BF1A6D" w:rsidRDefault="00BF1A6D" w:rsidP="00BF1A6D">
      <w:pPr>
        <w:tabs>
          <w:tab w:val="left" w:pos="1815"/>
        </w:tabs>
        <w:ind w:left="720"/>
        <w:jc w:val="both"/>
        <w:rPr>
          <w:color w:val="000000"/>
          <w:sz w:val="22"/>
          <w:szCs w:val="22"/>
        </w:rPr>
      </w:pPr>
      <w:r>
        <w:rPr>
          <w:color w:val="000000"/>
          <w:sz w:val="22"/>
          <w:szCs w:val="22"/>
        </w:rPr>
        <w:t>It would appear incongruous to expect a complainant, under Article 2.2 of the TBT Agreement, to provide detailed information on how a proposed alternative would be implemented by the respondent in practice, and precise and comprehensive estimates of the cost that such implementation would entail.</w:t>
      </w:r>
      <w:r>
        <w:rPr>
          <w:rStyle w:val="FootnoteReference"/>
          <w:color w:val="000000"/>
          <w:sz w:val="22"/>
          <w:szCs w:val="22"/>
        </w:rPr>
        <w:footnoteReference w:id="26"/>
      </w:r>
    </w:p>
    <w:p w14:paraId="57D1BD85" w14:textId="77777777" w:rsidR="00981E23" w:rsidRDefault="00981E23" w:rsidP="00981E23">
      <w:pPr>
        <w:pStyle w:val="ListParagraph"/>
        <w:rPr>
          <w:color w:val="000000"/>
        </w:rPr>
      </w:pPr>
    </w:p>
    <w:p w14:paraId="38E2CC13" w14:textId="20CB8618" w:rsidR="00BF1A6D" w:rsidRDefault="00BF1A6D" w:rsidP="0073416B">
      <w:pPr>
        <w:numPr>
          <w:ilvl w:val="0"/>
          <w:numId w:val="2"/>
        </w:numPr>
        <w:tabs>
          <w:tab w:val="num" w:pos="0"/>
          <w:tab w:val="left" w:pos="1815"/>
        </w:tabs>
        <w:ind w:left="0" w:hanging="567"/>
        <w:jc w:val="both"/>
        <w:rPr>
          <w:color w:val="000000"/>
        </w:rPr>
      </w:pPr>
      <w:r>
        <w:rPr>
          <w:color w:val="000000"/>
        </w:rPr>
        <w:t xml:space="preserve">In Australia’s view, this suggests that </w:t>
      </w:r>
      <w:r w:rsidR="006D1393">
        <w:rPr>
          <w:color w:val="000000"/>
        </w:rPr>
        <w:t>the</w:t>
      </w:r>
      <w:r>
        <w:rPr>
          <w:color w:val="000000"/>
        </w:rPr>
        <w:t xml:space="preserve"> complainant</w:t>
      </w:r>
      <w:r w:rsidR="006D1393">
        <w:rPr>
          <w:color w:val="000000"/>
        </w:rPr>
        <w:t xml:space="preserve"> need not provide an extensive or complete evidence-base for</w:t>
      </w:r>
      <w:r>
        <w:rPr>
          <w:color w:val="000000"/>
        </w:rPr>
        <w:t xml:space="preserve"> establishing that a proposed alternative measure is reasonably available. Rather, it would be more appropriate for the respondent, once a complainant has made a </w:t>
      </w:r>
      <w:r>
        <w:rPr>
          <w:i/>
          <w:iCs/>
          <w:color w:val="000000"/>
        </w:rPr>
        <w:t xml:space="preserve">prima facie </w:t>
      </w:r>
      <w:r>
        <w:rPr>
          <w:color w:val="000000"/>
        </w:rPr>
        <w:t>case, to establish that a proposed alternative measure is not reasonably available.</w:t>
      </w:r>
      <w:r>
        <w:rPr>
          <w:rStyle w:val="FootnoteReference"/>
          <w:color w:val="000000"/>
        </w:rPr>
        <w:footnoteReference w:id="27"/>
      </w:r>
    </w:p>
    <w:p w14:paraId="02746460" w14:textId="48E6B28C" w:rsidR="004C097B" w:rsidRDefault="006375D8" w:rsidP="0091382C">
      <w:pPr>
        <w:pStyle w:val="Heading1"/>
        <w:numPr>
          <w:ilvl w:val="0"/>
          <w:numId w:val="3"/>
        </w:numPr>
        <w:rPr>
          <w:sz w:val="24"/>
          <w:szCs w:val="24"/>
        </w:rPr>
      </w:pPr>
      <w:bookmarkStart w:id="13" w:name="_Toc499057959"/>
      <w:r>
        <w:rPr>
          <w:sz w:val="24"/>
          <w:szCs w:val="24"/>
        </w:rPr>
        <w:lastRenderedPageBreak/>
        <w:t>General agreement on tariffs and trade</w:t>
      </w:r>
      <w:bookmarkEnd w:id="13"/>
      <w:r>
        <w:rPr>
          <w:sz w:val="24"/>
          <w:szCs w:val="24"/>
        </w:rPr>
        <w:t xml:space="preserve"> 1994</w:t>
      </w:r>
      <w:r w:rsidR="004C097B">
        <w:rPr>
          <w:sz w:val="24"/>
          <w:szCs w:val="24"/>
        </w:rPr>
        <w:t xml:space="preserve"> </w:t>
      </w:r>
    </w:p>
    <w:p w14:paraId="0C59FFE7" w14:textId="77777777" w:rsidR="00D82D08" w:rsidRPr="007F7581" w:rsidRDefault="00D82D08" w:rsidP="00D82D08">
      <w:pPr>
        <w:tabs>
          <w:tab w:val="left" w:pos="1815"/>
        </w:tabs>
        <w:rPr>
          <w:color w:val="000000"/>
        </w:rPr>
      </w:pPr>
    </w:p>
    <w:p w14:paraId="71A3409A" w14:textId="5BDF542C" w:rsidR="006375D8" w:rsidRPr="006375D8" w:rsidRDefault="00511DAA" w:rsidP="006375D8">
      <w:pPr>
        <w:pStyle w:val="Heading2"/>
      </w:pPr>
      <w:bookmarkStart w:id="14" w:name="_Toc499057960"/>
      <w:r>
        <w:t xml:space="preserve">Article </w:t>
      </w:r>
      <w:r w:rsidR="006375D8">
        <w:t>XX</w:t>
      </w:r>
      <w:r>
        <w:t xml:space="preserve"> of the GATT 1994 </w:t>
      </w:r>
      <w:bookmarkEnd w:id="14"/>
    </w:p>
    <w:p w14:paraId="681B7816" w14:textId="1E63ACF2" w:rsidR="006375D8" w:rsidRDefault="006375D8" w:rsidP="006375D8">
      <w:pPr>
        <w:numPr>
          <w:ilvl w:val="0"/>
          <w:numId w:val="2"/>
        </w:numPr>
        <w:tabs>
          <w:tab w:val="num" w:pos="0"/>
          <w:tab w:val="left" w:pos="1815"/>
        </w:tabs>
        <w:ind w:left="0" w:hanging="567"/>
        <w:jc w:val="both"/>
        <w:rPr>
          <w:color w:val="000000"/>
        </w:rPr>
      </w:pPr>
      <w:r>
        <w:rPr>
          <w:color w:val="000000"/>
        </w:rPr>
        <w:t>Article XX of the GATT 1994 provides, in relevant part:</w:t>
      </w:r>
    </w:p>
    <w:p w14:paraId="283B88B0" w14:textId="77777777" w:rsidR="006375D8" w:rsidRDefault="006375D8" w:rsidP="006375D8">
      <w:pPr>
        <w:tabs>
          <w:tab w:val="left" w:pos="1815"/>
        </w:tabs>
        <w:jc w:val="both"/>
        <w:rPr>
          <w:color w:val="000000"/>
        </w:rPr>
      </w:pPr>
    </w:p>
    <w:bookmarkEnd w:id="12"/>
    <w:p w14:paraId="32FECB6A" w14:textId="77777777" w:rsidR="009D18F1" w:rsidRDefault="009D18F1" w:rsidP="009D18F1">
      <w:pPr>
        <w:tabs>
          <w:tab w:val="left" w:pos="1815"/>
        </w:tabs>
        <w:ind w:left="720"/>
        <w:jc w:val="both"/>
        <w:rPr>
          <w:sz w:val="22"/>
          <w:szCs w:val="22"/>
        </w:rPr>
      </w:pPr>
      <w:r w:rsidRPr="009D18F1">
        <w:rPr>
          <w:sz w:val="22"/>
          <w:szCs w:val="22"/>
        </w:rPr>
        <w:t xml:space="preserve">Subject to the requirement that such measures are not applied in a manner which would constitute a means of arbitrary or unjustifiable discrimination between countries where the same conditions prevail, or a disguised restriction on international trade, nothing in this Agreement shall be construed to prevent the adoption or enforcement by any contracting party of measures: </w:t>
      </w:r>
    </w:p>
    <w:p w14:paraId="53EE9089" w14:textId="77777777" w:rsidR="009D18F1" w:rsidRDefault="009D18F1" w:rsidP="009D18F1">
      <w:pPr>
        <w:tabs>
          <w:tab w:val="left" w:pos="1815"/>
        </w:tabs>
        <w:ind w:left="720"/>
        <w:jc w:val="both"/>
        <w:rPr>
          <w:sz w:val="22"/>
          <w:szCs w:val="22"/>
        </w:rPr>
      </w:pPr>
      <w:r w:rsidRPr="009D18F1">
        <w:rPr>
          <w:sz w:val="22"/>
          <w:szCs w:val="22"/>
        </w:rPr>
        <w:t xml:space="preserve">(a) necessary to protect public morals; </w:t>
      </w:r>
    </w:p>
    <w:p w14:paraId="4990AAB9" w14:textId="77777777" w:rsidR="009D18F1" w:rsidRDefault="009D18F1" w:rsidP="009D18F1">
      <w:pPr>
        <w:tabs>
          <w:tab w:val="left" w:pos="1815"/>
        </w:tabs>
        <w:ind w:left="720"/>
        <w:jc w:val="both"/>
        <w:rPr>
          <w:sz w:val="22"/>
          <w:szCs w:val="22"/>
        </w:rPr>
      </w:pPr>
      <w:r w:rsidRPr="009D18F1">
        <w:rPr>
          <w:sz w:val="22"/>
          <w:szCs w:val="22"/>
        </w:rPr>
        <w:t xml:space="preserve">(b) necessary to protect human, animal or plant life or health; </w:t>
      </w:r>
    </w:p>
    <w:p w14:paraId="66F4652A" w14:textId="54758208" w:rsidR="009D18F1" w:rsidRDefault="009D18F1" w:rsidP="009D18F1">
      <w:pPr>
        <w:tabs>
          <w:tab w:val="left" w:pos="1815"/>
        </w:tabs>
        <w:ind w:left="720"/>
        <w:jc w:val="both"/>
        <w:rPr>
          <w:sz w:val="22"/>
          <w:szCs w:val="22"/>
        </w:rPr>
      </w:pPr>
      <w:r>
        <w:rPr>
          <w:sz w:val="22"/>
          <w:szCs w:val="22"/>
        </w:rPr>
        <w:t>……..</w:t>
      </w:r>
    </w:p>
    <w:p w14:paraId="4F0002D2" w14:textId="48D9E96E" w:rsidR="008105F5" w:rsidRPr="009D18F1" w:rsidRDefault="009D18F1" w:rsidP="009D18F1">
      <w:pPr>
        <w:tabs>
          <w:tab w:val="left" w:pos="1815"/>
        </w:tabs>
        <w:ind w:left="720"/>
        <w:jc w:val="both"/>
        <w:rPr>
          <w:color w:val="000000"/>
          <w:sz w:val="22"/>
          <w:szCs w:val="22"/>
        </w:rPr>
      </w:pPr>
      <w:r w:rsidRPr="009D18F1">
        <w:rPr>
          <w:sz w:val="22"/>
          <w:szCs w:val="22"/>
        </w:rPr>
        <w:t>(g) relating to the conservation of exhaustible natural resources if such measures are made effective in conjunction with restrictions on domestic production or consumption;</w:t>
      </w:r>
    </w:p>
    <w:p w14:paraId="0977475F" w14:textId="6646DC7E" w:rsidR="00C949AA" w:rsidRDefault="00C949AA" w:rsidP="009D18F1">
      <w:pPr>
        <w:tabs>
          <w:tab w:val="left" w:pos="1815"/>
        </w:tabs>
        <w:ind w:left="720"/>
        <w:jc w:val="both"/>
        <w:rPr>
          <w:color w:val="000000"/>
          <w:sz w:val="22"/>
          <w:szCs w:val="22"/>
        </w:rPr>
      </w:pPr>
      <w:r>
        <w:rPr>
          <w:color w:val="000000"/>
          <w:sz w:val="22"/>
          <w:szCs w:val="22"/>
        </w:rPr>
        <w:t>…..</w:t>
      </w:r>
    </w:p>
    <w:p w14:paraId="4785C463" w14:textId="77777777" w:rsidR="00C949AA" w:rsidRPr="009D18F1" w:rsidRDefault="00C949AA" w:rsidP="009D18F1">
      <w:pPr>
        <w:tabs>
          <w:tab w:val="left" w:pos="1815"/>
        </w:tabs>
        <w:ind w:left="720"/>
        <w:jc w:val="both"/>
        <w:rPr>
          <w:color w:val="000000"/>
          <w:sz w:val="22"/>
          <w:szCs w:val="22"/>
        </w:rPr>
      </w:pPr>
    </w:p>
    <w:p w14:paraId="0E5A5C5C" w14:textId="61DA8BF7" w:rsidR="00420EDD" w:rsidRDefault="00446A53" w:rsidP="00446A53">
      <w:pPr>
        <w:numPr>
          <w:ilvl w:val="0"/>
          <w:numId w:val="2"/>
        </w:numPr>
        <w:tabs>
          <w:tab w:val="num" w:pos="0"/>
          <w:tab w:val="left" w:pos="1815"/>
        </w:tabs>
        <w:ind w:left="0" w:hanging="567"/>
        <w:jc w:val="both"/>
        <w:rPr>
          <w:color w:val="000000"/>
        </w:rPr>
      </w:pPr>
      <w:r>
        <w:rPr>
          <w:color w:val="000000"/>
        </w:rPr>
        <w:t>It is well established for a GATT-inconsistent measure to be justified under Article XX it must meet: (1) the requirements of one of the</w:t>
      </w:r>
      <w:r w:rsidR="00420EDD">
        <w:rPr>
          <w:color w:val="000000"/>
        </w:rPr>
        <w:t xml:space="preserve"> specific</w:t>
      </w:r>
      <w:r>
        <w:rPr>
          <w:color w:val="000000"/>
        </w:rPr>
        <w:t xml:space="preserve"> exceptions listed in paragraphs (a) - (j)  of Article XX; and (2) the requirements of the chapeau.</w:t>
      </w:r>
      <w:r>
        <w:rPr>
          <w:rStyle w:val="FootnoteReference"/>
          <w:color w:val="000000"/>
        </w:rPr>
        <w:footnoteReference w:id="28"/>
      </w:r>
      <w:r>
        <w:rPr>
          <w:color w:val="000000"/>
        </w:rPr>
        <w:t xml:space="preserve"> </w:t>
      </w:r>
      <w:r w:rsidR="00420EDD">
        <w:rPr>
          <w:color w:val="000000"/>
        </w:rPr>
        <w:t xml:space="preserve">Australia will confine its comments to </w:t>
      </w:r>
      <w:r w:rsidR="00800327">
        <w:rPr>
          <w:color w:val="000000"/>
        </w:rPr>
        <w:t xml:space="preserve">aspects of </w:t>
      </w:r>
      <w:r w:rsidR="00420EDD">
        <w:rPr>
          <w:color w:val="000000"/>
        </w:rPr>
        <w:t>the first element of this legal analysis.</w:t>
      </w:r>
    </w:p>
    <w:p w14:paraId="5680CC72" w14:textId="1FB90ED9" w:rsidR="00420EDD" w:rsidRDefault="00420EDD" w:rsidP="00420EDD">
      <w:pPr>
        <w:tabs>
          <w:tab w:val="left" w:pos="1815"/>
        </w:tabs>
        <w:jc w:val="both"/>
        <w:rPr>
          <w:color w:val="000000"/>
        </w:rPr>
      </w:pPr>
    </w:p>
    <w:p w14:paraId="197B5282" w14:textId="793DF929" w:rsidR="00420EDD" w:rsidRPr="00420EDD" w:rsidRDefault="00420EDD" w:rsidP="00420EDD">
      <w:pPr>
        <w:tabs>
          <w:tab w:val="left" w:pos="1815"/>
        </w:tabs>
        <w:jc w:val="both"/>
        <w:rPr>
          <w:i/>
          <w:iCs/>
          <w:color w:val="000000"/>
          <w:u w:val="single"/>
        </w:rPr>
      </w:pPr>
      <w:r>
        <w:rPr>
          <w:i/>
          <w:iCs/>
          <w:color w:val="000000"/>
          <w:u w:val="single"/>
        </w:rPr>
        <w:t xml:space="preserve">Specific Exceptions Listed in Paragraphs (a) – (j) of Article XX </w:t>
      </w:r>
    </w:p>
    <w:p w14:paraId="7F6E5772" w14:textId="77777777" w:rsidR="00420EDD" w:rsidRDefault="00420EDD" w:rsidP="00420EDD">
      <w:pPr>
        <w:tabs>
          <w:tab w:val="left" w:pos="1815"/>
        </w:tabs>
        <w:jc w:val="both"/>
        <w:rPr>
          <w:color w:val="000000"/>
        </w:rPr>
      </w:pPr>
    </w:p>
    <w:p w14:paraId="7D343587" w14:textId="26640B22" w:rsidR="00420EDD" w:rsidRPr="00822660" w:rsidRDefault="00420EDD" w:rsidP="00822660">
      <w:pPr>
        <w:numPr>
          <w:ilvl w:val="0"/>
          <w:numId w:val="2"/>
        </w:numPr>
        <w:tabs>
          <w:tab w:val="num" w:pos="0"/>
          <w:tab w:val="left" w:pos="1815"/>
        </w:tabs>
        <w:ind w:left="0" w:hanging="567"/>
        <w:jc w:val="both"/>
        <w:rPr>
          <w:color w:val="000000"/>
        </w:rPr>
      </w:pPr>
      <w:r w:rsidRPr="00822660">
        <w:rPr>
          <w:color w:val="000000"/>
        </w:rPr>
        <w:t xml:space="preserve">At the outset, it is important to note that </w:t>
      </w:r>
      <w:r w:rsidR="006628E6" w:rsidRPr="00822660">
        <w:rPr>
          <w:color w:val="000000"/>
        </w:rPr>
        <w:t xml:space="preserve">the specific exceptions listed in paragraphs (a) – (j) of Article XX </w:t>
      </w:r>
      <w:r w:rsidR="00800327" w:rsidRPr="00822660">
        <w:rPr>
          <w:color w:val="000000"/>
        </w:rPr>
        <w:t>set different standards for establishing the relationship between the measure at issue and the relevant policy objective.</w:t>
      </w:r>
      <w:r w:rsidR="00822660" w:rsidRPr="00822660">
        <w:rPr>
          <w:color w:val="000000"/>
        </w:rPr>
        <w:t xml:space="preserve"> </w:t>
      </w:r>
      <w:r w:rsidR="00800327" w:rsidRPr="00822660">
        <w:rPr>
          <w:color w:val="000000"/>
        </w:rPr>
        <w:t>This</w:t>
      </w:r>
      <w:r w:rsidR="000F1521" w:rsidRPr="00822660">
        <w:rPr>
          <w:color w:val="000000"/>
        </w:rPr>
        <w:t xml:space="preserve"> key distinction</w:t>
      </w:r>
      <w:r w:rsidR="00800327" w:rsidRPr="00822660">
        <w:rPr>
          <w:color w:val="000000"/>
        </w:rPr>
        <w:t xml:space="preserve"> was highlighted by t</w:t>
      </w:r>
      <w:r w:rsidRPr="00822660">
        <w:rPr>
          <w:color w:val="000000"/>
        </w:rPr>
        <w:t xml:space="preserve">he Appellate Body in </w:t>
      </w:r>
      <w:r w:rsidRPr="00822660">
        <w:rPr>
          <w:i/>
          <w:iCs/>
          <w:color w:val="000000"/>
        </w:rPr>
        <w:t xml:space="preserve">US – Gasoline </w:t>
      </w:r>
      <w:r w:rsidR="00800327" w:rsidRPr="00822660">
        <w:rPr>
          <w:color w:val="000000"/>
        </w:rPr>
        <w:t>when i</w:t>
      </w:r>
      <w:r w:rsidR="00356BA4" w:rsidRPr="00822660">
        <w:rPr>
          <w:color w:val="000000"/>
        </w:rPr>
        <w:t>t</w:t>
      </w:r>
      <w:r w:rsidR="00800327" w:rsidRPr="00822660">
        <w:rPr>
          <w:color w:val="000000"/>
        </w:rPr>
        <w:t xml:space="preserve"> noted:</w:t>
      </w:r>
    </w:p>
    <w:p w14:paraId="56F67713" w14:textId="77777777" w:rsidR="00420EDD" w:rsidRDefault="00420EDD" w:rsidP="00420EDD">
      <w:pPr>
        <w:tabs>
          <w:tab w:val="left" w:pos="1815"/>
        </w:tabs>
        <w:ind w:left="720"/>
        <w:jc w:val="both"/>
        <w:rPr>
          <w:color w:val="000000"/>
          <w:sz w:val="22"/>
          <w:szCs w:val="22"/>
        </w:rPr>
      </w:pPr>
    </w:p>
    <w:p w14:paraId="4842F7A2" w14:textId="77777777" w:rsidR="00420EDD" w:rsidRDefault="00420EDD" w:rsidP="00420EDD">
      <w:pPr>
        <w:tabs>
          <w:tab w:val="left" w:pos="1815"/>
        </w:tabs>
        <w:ind w:left="720"/>
        <w:jc w:val="both"/>
        <w:rPr>
          <w:color w:val="000000"/>
          <w:sz w:val="22"/>
          <w:szCs w:val="22"/>
        </w:rPr>
      </w:pPr>
      <w:r>
        <w:rPr>
          <w:color w:val="000000"/>
          <w:sz w:val="22"/>
          <w:szCs w:val="22"/>
        </w:rPr>
        <w:t>Article XX uses different terms in respect of different categories: ‘necessary’ – in paragraphs (a), (b) and (d); ‘essential’ – in paragraph (j); ‘relating to’ – in paragraphs (c), (e) and (g); ‘for the protection of’ – in paragraph (f); ‘in pursuance of’ – in paragraph (h); and ‘involving’ – in paragraph (i).</w:t>
      </w:r>
    </w:p>
    <w:p w14:paraId="4C22D2A0" w14:textId="77777777" w:rsidR="00420EDD" w:rsidRDefault="00420EDD" w:rsidP="00420EDD">
      <w:pPr>
        <w:tabs>
          <w:tab w:val="left" w:pos="1815"/>
        </w:tabs>
        <w:ind w:left="720"/>
        <w:jc w:val="both"/>
        <w:rPr>
          <w:color w:val="000000"/>
          <w:sz w:val="22"/>
          <w:szCs w:val="22"/>
        </w:rPr>
      </w:pPr>
    </w:p>
    <w:p w14:paraId="6EF7169E" w14:textId="77777777" w:rsidR="00420EDD" w:rsidRPr="00C133D6" w:rsidRDefault="00420EDD" w:rsidP="00420EDD">
      <w:pPr>
        <w:tabs>
          <w:tab w:val="left" w:pos="1815"/>
        </w:tabs>
        <w:ind w:left="720"/>
        <w:jc w:val="both"/>
        <w:rPr>
          <w:color w:val="000000"/>
          <w:sz w:val="22"/>
          <w:szCs w:val="22"/>
        </w:rPr>
      </w:pPr>
      <w:r>
        <w:rPr>
          <w:color w:val="000000"/>
          <w:sz w:val="22"/>
          <w:szCs w:val="22"/>
        </w:rPr>
        <w:t>It does not seem reasonable to suppose that the WTO Members intended to require, in respect of each and every category, the same kind or degree of connection or relationship between the measure under appraisal and the state interest or policy sought to be promoted or realized.</w:t>
      </w:r>
      <w:r>
        <w:rPr>
          <w:rStyle w:val="FootnoteReference"/>
          <w:color w:val="000000"/>
          <w:sz w:val="22"/>
          <w:szCs w:val="22"/>
        </w:rPr>
        <w:footnoteReference w:id="29"/>
      </w:r>
    </w:p>
    <w:p w14:paraId="5B0FB18C" w14:textId="77777777" w:rsidR="00822660" w:rsidRDefault="00822660" w:rsidP="00822660">
      <w:pPr>
        <w:tabs>
          <w:tab w:val="left" w:pos="1815"/>
        </w:tabs>
        <w:jc w:val="both"/>
        <w:rPr>
          <w:color w:val="000000"/>
        </w:rPr>
      </w:pPr>
    </w:p>
    <w:p w14:paraId="130D8218" w14:textId="437D9F1D" w:rsidR="00C949AA" w:rsidRPr="009A459B" w:rsidRDefault="00356BA4" w:rsidP="009A459B">
      <w:pPr>
        <w:numPr>
          <w:ilvl w:val="0"/>
          <w:numId w:val="2"/>
        </w:numPr>
        <w:tabs>
          <w:tab w:val="num" w:pos="0"/>
          <w:tab w:val="left" w:pos="1815"/>
        </w:tabs>
        <w:ind w:left="0" w:hanging="567"/>
        <w:jc w:val="both"/>
        <w:rPr>
          <w:color w:val="000000"/>
        </w:rPr>
      </w:pPr>
      <w:r w:rsidRPr="009A459B">
        <w:rPr>
          <w:color w:val="000000"/>
        </w:rPr>
        <w:t>Turning to p</w:t>
      </w:r>
      <w:r w:rsidR="00C949AA" w:rsidRPr="009A459B">
        <w:rPr>
          <w:color w:val="000000"/>
        </w:rPr>
        <w:t>aragraphs (a) and (b) of Article XX</w:t>
      </w:r>
      <w:r w:rsidR="00117D2F" w:rsidRPr="009A459B">
        <w:rPr>
          <w:color w:val="000000"/>
        </w:rPr>
        <w:t>, these ground</w:t>
      </w:r>
      <w:r w:rsidR="000F1521" w:rsidRPr="009A459B">
        <w:rPr>
          <w:color w:val="000000"/>
        </w:rPr>
        <w:t>s</w:t>
      </w:r>
      <w:r w:rsidR="00117D2F" w:rsidRPr="009A459B">
        <w:rPr>
          <w:color w:val="000000"/>
        </w:rPr>
        <w:t xml:space="preserve"> of justification</w:t>
      </w:r>
      <w:r w:rsidR="00C949AA" w:rsidRPr="009A459B">
        <w:rPr>
          <w:color w:val="000000"/>
        </w:rPr>
        <w:t xml:space="preserve"> require </w:t>
      </w:r>
      <w:r w:rsidR="00D74F1F" w:rsidRPr="009A459B">
        <w:rPr>
          <w:color w:val="000000"/>
        </w:rPr>
        <w:t>that the measures at issue are</w:t>
      </w:r>
      <w:r w:rsidR="00C949AA" w:rsidRPr="009A459B">
        <w:rPr>
          <w:color w:val="000000"/>
        </w:rPr>
        <w:t xml:space="preserve"> “</w:t>
      </w:r>
      <w:r w:rsidR="00D74F1F" w:rsidRPr="009A459B">
        <w:rPr>
          <w:color w:val="000000"/>
        </w:rPr>
        <w:t>necessary</w:t>
      </w:r>
      <w:r w:rsidR="00C949AA" w:rsidRPr="009A459B">
        <w:rPr>
          <w:color w:val="000000"/>
        </w:rPr>
        <w:t xml:space="preserve">”. </w:t>
      </w:r>
      <w:r w:rsidR="00D74F1F" w:rsidRPr="009A459B">
        <w:rPr>
          <w:color w:val="000000"/>
        </w:rPr>
        <w:t>The</w:t>
      </w:r>
      <w:r w:rsidR="00C949AA">
        <w:t xml:space="preserve"> Appellate Body </w:t>
      </w:r>
      <w:r w:rsidR="00D74F1F">
        <w:t>has found in numerous cases</w:t>
      </w:r>
      <w:r w:rsidR="00C949AA">
        <w:t xml:space="preserve"> that an analysis of </w:t>
      </w:r>
      <w:r w:rsidR="0008124F">
        <w:t>‘</w:t>
      </w:r>
      <w:r w:rsidR="00C949AA">
        <w:t>necessity</w:t>
      </w:r>
      <w:r w:rsidR="0008124F">
        <w:t>’</w:t>
      </w:r>
      <w:r w:rsidR="00C949AA">
        <w:t xml:space="preserve"> in the context of Article XX involves</w:t>
      </w:r>
      <w:r w:rsidR="0018427C">
        <w:t xml:space="preserve"> a holistic</w:t>
      </w:r>
      <w:r w:rsidR="00C949AA">
        <w:t xml:space="preserve"> weighing and balancing a number of distinct factors</w:t>
      </w:r>
      <w:r w:rsidR="00117D2F">
        <w:t>, such as</w:t>
      </w:r>
      <w:r w:rsidR="00D74F1F">
        <w:t>: the relative importance</w:t>
      </w:r>
      <w:r w:rsidR="0018427C">
        <w:t xml:space="preserve"> </w:t>
      </w:r>
      <w:r w:rsidR="00D74F1F">
        <w:t>of the interests or values furthered by the challenged measure;</w:t>
      </w:r>
      <w:r w:rsidR="0018427C">
        <w:t xml:space="preserve"> the contribution of the measure to the objectives pursued by it; and the trade restrictiveness of the measure at </w:t>
      </w:r>
      <w:r w:rsidR="0018427C">
        <w:lastRenderedPageBreak/>
        <w:t>issue.</w:t>
      </w:r>
      <w:r w:rsidR="0018427C">
        <w:rPr>
          <w:rStyle w:val="FootnoteReference"/>
        </w:rPr>
        <w:footnoteReference w:id="30"/>
      </w:r>
      <w:r w:rsidR="000F1521">
        <w:t xml:space="preserve"> Further, in most cases, a panel must then compare the challenged measure and possible alternative measures that achieve the same level of protection while being less trade restrictive</w:t>
      </w:r>
      <w:r w:rsidR="00117D2F">
        <w:t>.</w:t>
      </w:r>
      <w:r w:rsidR="000F1521">
        <w:rPr>
          <w:rStyle w:val="FootnoteReference"/>
        </w:rPr>
        <w:footnoteReference w:id="31"/>
      </w:r>
    </w:p>
    <w:p w14:paraId="0E67160B" w14:textId="23C557EC" w:rsidR="00C949AA" w:rsidRDefault="00C949AA" w:rsidP="00C949AA">
      <w:pPr>
        <w:tabs>
          <w:tab w:val="left" w:pos="1815"/>
        </w:tabs>
        <w:jc w:val="both"/>
        <w:rPr>
          <w:color w:val="000000"/>
        </w:rPr>
      </w:pPr>
    </w:p>
    <w:p w14:paraId="04285B69" w14:textId="276B4790" w:rsidR="007A3379" w:rsidRPr="007A3379" w:rsidRDefault="00A4200D" w:rsidP="00C949AA">
      <w:pPr>
        <w:numPr>
          <w:ilvl w:val="0"/>
          <w:numId w:val="2"/>
        </w:numPr>
        <w:tabs>
          <w:tab w:val="num" w:pos="0"/>
          <w:tab w:val="left" w:pos="1815"/>
        </w:tabs>
        <w:ind w:left="0" w:hanging="567"/>
        <w:jc w:val="both"/>
        <w:rPr>
          <w:color w:val="000000"/>
        </w:rPr>
      </w:pPr>
      <w:r>
        <w:rPr>
          <w:color w:val="000000"/>
        </w:rPr>
        <w:t xml:space="preserve">By contrast, </w:t>
      </w:r>
      <w:r w:rsidR="00B55BAE">
        <w:rPr>
          <w:color w:val="000000"/>
        </w:rPr>
        <w:t xml:space="preserve">the standard under </w:t>
      </w:r>
      <w:r>
        <w:rPr>
          <w:color w:val="000000"/>
        </w:rPr>
        <w:t>paragraph (g) of Article XX, requires that the measures at issue</w:t>
      </w:r>
      <w:r w:rsidR="00C949AA">
        <w:rPr>
          <w:color w:val="000000"/>
        </w:rPr>
        <w:t xml:space="preserve"> </w:t>
      </w:r>
      <w:r w:rsidR="0008124F">
        <w:rPr>
          <w:color w:val="000000"/>
        </w:rPr>
        <w:t>‘</w:t>
      </w:r>
      <w:r w:rsidR="00B55BAE">
        <w:rPr>
          <w:color w:val="000000"/>
        </w:rPr>
        <w:t>relate to</w:t>
      </w:r>
      <w:r w:rsidR="0008124F">
        <w:rPr>
          <w:color w:val="000000"/>
        </w:rPr>
        <w:t>’</w:t>
      </w:r>
      <w:r w:rsidR="00B55BAE">
        <w:rPr>
          <w:color w:val="000000"/>
        </w:rPr>
        <w:t xml:space="preserve"> the conservation of exhaustible natural resources. </w:t>
      </w:r>
      <w:r w:rsidR="007A3379">
        <w:rPr>
          <w:color w:val="000000"/>
        </w:rPr>
        <w:t xml:space="preserve">In </w:t>
      </w:r>
      <w:r w:rsidR="007A3379">
        <w:rPr>
          <w:i/>
          <w:iCs/>
          <w:color w:val="000000"/>
        </w:rPr>
        <w:t xml:space="preserve">China – Rare Earths </w:t>
      </w:r>
      <w:r w:rsidR="007A3379">
        <w:rPr>
          <w:color w:val="000000"/>
        </w:rPr>
        <w:t>the Appellate Body held that this standard required “</w:t>
      </w:r>
      <w:r w:rsidR="007A3379">
        <w:t>a close and genuine relationship of ends and means” between th</w:t>
      </w:r>
      <w:r w:rsidR="008B2469">
        <w:t>e</w:t>
      </w:r>
      <w:r w:rsidR="007A3379">
        <w:t xml:space="preserve"> measure</w:t>
      </w:r>
      <w:r w:rsidR="008B2469">
        <w:t xml:space="preserve"> at issue</w:t>
      </w:r>
      <w:r w:rsidR="007A3379">
        <w:t xml:space="preserve"> and the conservation objective.</w:t>
      </w:r>
      <w:r w:rsidR="007A3379">
        <w:rPr>
          <w:rStyle w:val="FootnoteReference"/>
        </w:rPr>
        <w:footnoteReference w:id="32"/>
      </w:r>
      <w:r w:rsidR="007A3379">
        <w:t xml:space="preserve">  </w:t>
      </w:r>
      <w:r w:rsidR="008B2469">
        <w:t>In particular, it would not be sufficient for the GATT-inconsistent</w:t>
      </w:r>
      <w:r w:rsidR="007A3379">
        <w:t xml:space="preserve"> measure </w:t>
      </w:r>
      <w:r w:rsidR="008B2469">
        <w:t>to be</w:t>
      </w:r>
      <w:r w:rsidR="007A3379">
        <w:t xml:space="preserve"> </w:t>
      </w:r>
      <w:r w:rsidR="008B2469">
        <w:t>“</w:t>
      </w:r>
      <w:r w:rsidR="007A3379">
        <w:t>merely incidentally or inadvertently aimed at a conservation objective</w:t>
      </w:r>
      <w:r w:rsidR="008B2469">
        <w:t>”</w:t>
      </w:r>
      <w:r w:rsidR="008B2469">
        <w:rPr>
          <w:rStyle w:val="FootnoteReference"/>
        </w:rPr>
        <w:footnoteReference w:id="33"/>
      </w:r>
      <w:r w:rsidR="007A3379">
        <w:t xml:space="preserve">. </w:t>
      </w:r>
      <w:r w:rsidR="008B2469">
        <w:t>The Appellate Body further highlighted that</w:t>
      </w:r>
      <w:r w:rsidR="007A3379">
        <w:t xml:space="preserve"> the absence of a domestic restriction, or the way in which a challenged measure applies to domestic production or consumption, </w:t>
      </w:r>
      <w:r w:rsidR="008B2469">
        <w:t>could</w:t>
      </w:r>
      <w:r w:rsidR="007A3379">
        <w:t xml:space="preserve"> be relevant to </w:t>
      </w:r>
      <w:r w:rsidR="008B2469">
        <w:t>the</w:t>
      </w:r>
      <w:r w:rsidR="007A3379">
        <w:t xml:space="preserve"> assessment of whether the challenged measure </w:t>
      </w:r>
      <w:r w:rsidR="0008124F">
        <w:t>‘</w:t>
      </w:r>
      <w:r w:rsidR="007A3379">
        <w:t>relates to</w:t>
      </w:r>
      <w:r w:rsidR="0008124F">
        <w:t>’</w:t>
      </w:r>
      <w:r w:rsidR="007A3379">
        <w:t xml:space="preserve"> conservation</w:t>
      </w:r>
      <w:r w:rsidR="008B2469">
        <w:t>.</w:t>
      </w:r>
      <w:r w:rsidR="008B2469">
        <w:rPr>
          <w:rStyle w:val="FootnoteReference"/>
        </w:rPr>
        <w:footnoteReference w:id="34"/>
      </w:r>
    </w:p>
    <w:p w14:paraId="223BA6A3" w14:textId="77777777" w:rsidR="007A3379" w:rsidRDefault="007A3379" w:rsidP="00C949AA">
      <w:pPr>
        <w:tabs>
          <w:tab w:val="left" w:pos="1815"/>
        </w:tabs>
        <w:jc w:val="both"/>
        <w:rPr>
          <w:color w:val="000000"/>
        </w:rPr>
      </w:pPr>
    </w:p>
    <w:p w14:paraId="32C92B6E" w14:textId="0CDCA456" w:rsidR="00996175" w:rsidRPr="00DE28FD" w:rsidRDefault="00183BFF" w:rsidP="00DE28FD">
      <w:pPr>
        <w:numPr>
          <w:ilvl w:val="0"/>
          <w:numId w:val="2"/>
        </w:numPr>
        <w:tabs>
          <w:tab w:val="num" w:pos="0"/>
          <w:tab w:val="left" w:pos="1815"/>
        </w:tabs>
        <w:ind w:left="0" w:hanging="567"/>
        <w:jc w:val="both"/>
        <w:rPr>
          <w:color w:val="000000"/>
        </w:rPr>
      </w:pPr>
      <w:r>
        <w:rPr>
          <w:color w:val="000000"/>
        </w:rPr>
        <w:t>Accordingly, t</w:t>
      </w:r>
      <w:r w:rsidR="009A459B" w:rsidRPr="00563787">
        <w:rPr>
          <w:color w:val="000000"/>
        </w:rPr>
        <w:t>he</w:t>
      </w:r>
      <w:r w:rsidR="00472213" w:rsidRPr="00563787">
        <w:rPr>
          <w:color w:val="000000"/>
        </w:rPr>
        <w:t xml:space="preserve"> different text used in Articles XX(a) and (b) (ie. “necessary”) and Article XX(g) (“relating to”) </w:t>
      </w:r>
      <w:r w:rsidR="009A459B" w:rsidRPr="00563787">
        <w:rPr>
          <w:color w:val="000000"/>
        </w:rPr>
        <w:t xml:space="preserve">sets </w:t>
      </w:r>
      <w:r w:rsidR="000A7AEC" w:rsidRPr="00563787">
        <w:rPr>
          <w:color w:val="000000"/>
        </w:rPr>
        <w:t>considerably</w:t>
      </w:r>
      <w:r w:rsidR="009A459B" w:rsidRPr="00563787">
        <w:rPr>
          <w:color w:val="000000"/>
        </w:rPr>
        <w:t xml:space="preserve"> </w:t>
      </w:r>
      <w:r w:rsidR="00472213" w:rsidRPr="00563787">
        <w:rPr>
          <w:color w:val="000000"/>
        </w:rPr>
        <w:t xml:space="preserve">different legal standards. </w:t>
      </w:r>
      <w:r w:rsidR="009A459B" w:rsidRPr="00563787">
        <w:rPr>
          <w:color w:val="000000"/>
        </w:rPr>
        <w:t>Re</w:t>
      </w:r>
      <w:r w:rsidR="00895D2C" w:rsidRPr="00563787">
        <w:rPr>
          <w:color w:val="000000"/>
        </w:rPr>
        <w:t xml:space="preserve">liance upon Articles XX(a) and (b) requires </w:t>
      </w:r>
      <w:r w:rsidR="00895D2C" w:rsidRPr="00DD04CD">
        <w:rPr>
          <w:i/>
          <w:iCs/>
          <w:color w:val="000000"/>
          <w:u w:val="single"/>
        </w:rPr>
        <w:t>more than</w:t>
      </w:r>
      <w:r w:rsidR="00895D2C" w:rsidRPr="00563787">
        <w:rPr>
          <w:color w:val="000000"/>
        </w:rPr>
        <w:t xml:space="preserve"> the mere establishment of </w:t>
      </w:r>
      <w:r w:rsidR="00895D2C">
        <w:t>a “close and genuine relationship of ends and means” between the measure at issue and the</w:t>
      </w:r>
      <w:r w:rsidR="00DB252D">
        <w:t xml:space="preserve"> legitimate policy</w:t>
      </w:r>
      <w:r w:rsidR="00895D2C">
        <w:t xml:space="preserve"> </w:t>
      </w:r>
      <w:r w:rsidR="00895D2C" w:rsidRPr="00563787">
        <w:rPr>
          <w:color w:val="000000"/>
        </w:rPr>
        <w:t>objectives.</w:t>
      </w:r>
      <w:r w:rsidR="00DB252D" w:rsidRPr="00563787">
        <w:rPr>
          <w:color w:val="000000"/>
        </w:rPr>
        <w:t xml:space="preserve"> I</w:t>
      </w:r>
      <w:r w:rsidR="00895D2C" w:rsidRPr="00563787">
        <w:rPr>
          <w:color w:val="000000"/>
        </w:rPr>
        <w:t>t requires</w:t>
      </w:r>
      <w:r w:rsidR="00DB252D" w:rsidRPr="00563787">
        <w:rPr>
          <w:color w:val="000000"/>
        </w:rPr>
        <w:t xml:space="preserve"> the</w:t>
      </w:r>
      <w:r w:rsidR="00895D2C" w:rsidRPr="00563787">
        <w:rPr>
          <w:color w:val="000000"/>
        </w:rPr>
        <w:t xml:space="preserve"> </w:t>
      </w:r>
      <w:r w:rsidR="00DB252D" w:rsidRPr="00563787">
        <w:rPr>
          <w:color w:val="000000"/>
        </w:rPr>
        <w:t xml:space="preserve">weighing and balancing </w:t>
      </w:r>
      <w:r w:rsidR="000D439A" w:rsidRPr="00563787">
        <w:rPr>
          <w:color w:val="000000"/>
        </w:rPr>
        <w:t xml:space="preserve">of </w:t>
      </w:r>
      <w:r w:rsidR="00DB252D" w:rsidRPr="00563787">
        <w:rPr>
          <w:color w:val="000000"/>
        </w:rPr>
        <w:t>a range of factors</w:t>
      </w:r>
      <w:r w:rsidR="000D439A" w:rsidRPr="00563787">
        <w:rPr>
          <w:color w:val="000000"/>
        </w:rPr>
        <w:t xml:space="preserve">, </w:t>
      </w:r>
      <w:r w:rsidR="001C38A9" w:rsidRPr="00563787">
        <w:rPr>
          <w:color w:val="000000"/>
        </w:rPr>
        <w:t>and often</w:t>
      </w:r>
      <w:r w:rsidR="000D439A" w:rsidRPr="00563787">
        <w:rPr>
          <w:color w:val="000000"/>
        </w:rPr>
        <w:t xml:space="preserve"> a comparison with less trade restrictive alternatives,</w:t>
      </w:r>
      <w:r w:rsidR="00DB252D" w:rsidRPr="00563787">
        <w:rPr>
          <w:color w:val="000000"/>
        </w:rPr>
        <w:t xml:space="preserve"> to </w:t>
      </w:r>
      <w:r w:rsidR="00697C3C" w:rsidRPr="00563787">
        <w:rPr>
          <w:color w:val="000000"/>
        </w:rPr>
        <w:t>determine</w:t>
      </w:r>
      <w:r w:rsidR="00DB252D" w:rsidRPr="00563787">
        <w:rPr>
          <w:color w:val="000000"/>
        </w:rPr>
        <w:t xml:space="preserve"> that the measure is</w:t>
      </w:r>
      <w:r w:rsidR="00CF3270">
        <w:rPr>
          <w:color w:val="000000"/>
        </w:rPr>
        <w:t xml:space="preserve"> actually</w:t>
      </w:r>
      <w:r w:rsidR="00DB252D" w:rsidRPr="00563787">
        <w:rPr>
          <w:color w:val="000000"/>
        </w:rPr>
        <w:t xml:space="preserve"> “necessary”</w:t>
      </w:r>
      <w:r w:rsidR="00895D2C" w:rsidRPr="00563787">
        <w:rPr>
          <w:color w:val="000000"/>
        </w:rPr>
        <w:t>.</w:t>
      </w:r>
      <w:r w:rsidR="00996175">
        <w:rPr>
          <w:color w:val="000000"/>
        </w:rPr>
        <w:t xml:space="preserve"> </w:t>
      </w:r>
      <w:r w:rsidRPr="00DE28FD">
        <w:rPr>
          <w:color w:val="000000"/>
        </w:rPr>
        <w:t>In</w:t>
      </w:r>
      <w:r w:rsidR="00996175" w:rsidRPr="00DE28FD">
        <w:rPr>
          <w:color w:val="000000"/>
        </w:rPr>
        <w:t xml:space="preserve"> Australia’s view, </w:t>
      </w:r>
      <w:r w:rsidR="00DD04CD">
        <w:rPr>
          <w:color w:val="000000"/>
        </w:rPr>
        <w:t xml:space="preserve">therefore, </w:t>
      </w:r>
      <w:r w:rsidR="005E369B">
        <w:rPr>
          <w:color w:val="000000"/>
        </w:rPr>
        <w:t>the legal standards for “necessity” and “relates to” should not be conflated.</w:t>
      </w:r>
      <w:r w:rsidR="005E369B">
        <w:rPr>
          <w:rStyle w:val="FootnoteReference"/>
          <w:color w:val="000000"/>
        </w:rPr>
        <w:footnoteReference w:id="35"/>
      </w:r>
      <w:r w:rsidR="00322164" w:rsidRPr="00DE28FD">
        <w:rPr>
          <w:color w:val="000000"/>
        </w:rPr>
        <w:t xml:space="preserve">   </w:t>
      </w:r>
    </w:p>
    <w:p w14:paraId="6A93E536" w14:textId="77777777" w:rsidR="00996175" w:rsidRDefault="00996175" w:rsidP="00996175">
      <w:pPr>
        <w:pStyle w:val="ListParagraph"/>
        <w:rPr>
          <w:color w:val="000000"/>
        </w:rPr>
      </w:pPr>
    </w:p>
    <w:p w14:paraId="3679F9FF" w14:textId="77777777" w:rsidR="009D18F1" w:rsidRPr="00340D72" w:rsidRDefault="009D18F1" w:rsidP="00340D72">
      <w:pPr>
        <w:tabs>
          <w:tab w:val="left" w:pos="1815"/>
        </w:tabs>
        <w:rPr>
          <w:color w:val="000000"/>
        </w:rPr>
      </w:pPr>
    </w:p>
    <w:p w14:paraId="4E7916C5" w14:textId="77777777" w:rsidR="00741142" w:rsidRPr="00323D96" w:rsidRDefault="00D95303" w:rsidP="005E569B">
      <w:pPr>
        <w:pStyle w:val="Heading1"/>
        <w:numPr>
          <w:ilvl w:val="0"/>
          <w:numId w:val="3"/>
        </w:numPr>
        <w:rPr>
          <w:sz w:val="24"/>
          <w:szCs w:val="24"/>
        </w:rPr>
      </w:pPr>
      <w:bookmarkStart w:id="15" w:name="_Toc496200757"/>
      <w:bookmarkStart w:id="16" w:name="_Toc499057963"/>
      <w:r w:rsidRPr="00323D96">
        <w:rPr>
          <w:sz w:val="24"/>
          <w:szCs w:val="24"/>
        </w:rPr>
        <w:t>CONCLUSION</w:t>
      </w:r>
      <w:bookmarkEnd w:id="15"/>
      <w:bookmarkEnd w:id="16"/>
      <w:r w:rsidRPr="00323D96">
        <w:rPr>
          <w:sz w:val="24"/>
          <w:szCs w:val="24"/>
        </w:rPr>
        <w:t xml:space="preserve"> </w:t>
      </w:r>
    </w:p>
    <w:p w14:paraId="18841BAF" w14:textId="77777777" w:rsidR="00852446" w:rsidRDefault="00852446" w:rsidP="00852446">
      <w:pPr>
        <w:pStyle w:val="ListParagraph"/>
        <w:numPr>
          <w:ilvl w:val="0"/>
          <w:numId w:val="2"/>
        </w:numPr>
        <w:tabs>
          <w:tab w:val="clear" w:pos="360"/>
          <w:tab w:val="num" w:pos="0"/>
          <w:tab w:val="left" w:pos="1815"/>
        </w:tabs>
        <w:ind w:left="0" w:hanging="567"/>
        <w:jc w:val="both"/>
        <w:rPr>
          <w:color w:val="000000"/>
        </w:rPr>
      </w:pPr>
      <w:r>
        <w:rPr>
          <w:color w:val="000000"/>
        </w:rPr>
        <w:t>In summary,</w:t>
      </w:r>
      <w:r w:rsidR="00E13F4D" w:rsidRPr="009D18F1">
        <w:rPr>
          <w:color w:val="000000"/>
        </w:rPr>
        <w:t xml:space="preserve"> Australia</w:t>
      </w:r>
      <w:r>
        <w:rPr>
          <w:color w:val="000000"/>
        </w:rPr>
        <w:t xml:space="preserve"> </w:t>
      </w:r>
      <w:r w:rsidR="00E13F4D" w:rsidRPr="009D18F1">
        <w:rPr>
          <w:color w:val="000000"/>
        </w:rPr>
        <w:t>s</w:t>
      </w:r>
      <w:r>
        <w:rPr>
          <w:color w:val="000000"/>
        </w:rPr>
        <w:t>ubmits that this dispute provides an opportunity for the Panel to clarify the proper legal analysis under Article 2.2 of the TBT Agreement and Article XX of the GATT 1994. In particular:</w:t>
      </w:r>
    </w:p>
    <w:p w14:paraId="3B1847BE" w14:textId="18F5DD67" w:rsidR="00852446" w:rsidRPr="00852446" w:rsidRDefault="0008124F" w:rsidP="00852446">
      <w:pPr>
        <w:pStyle w:val="ListParagraph"/>
        <w:numPr>
          <w:ilvl w:val="0"/>
          <w:numId w:val="34"/>
        </w:numPr>
        <w:tabs>
          <w:tab w:val="left" w:pos="1815"/>
        </w:tabs>
        <w:jc w:val="both"/>
        <w:rPr>
          <w:color w:val="000000"/>
        </w:rPr>
      </w:pPr>
      <w:r>
        <w:t>‘</w:t>
      </w:r>
      <w:r w:rsidR="00852446">
        <w:t>trade restrictiveness</w:t>
      </w:r>
      <w:r>
        <w:t>’</w:t>
      </w:r>
      <w:r w:rsidR="00852446">
        <w:t xml:space="preserve"> within the meaning of Article 2.2</w:t>
      </w:r>
      <w:r w:rsidR="00472213">
        <w:t xml:space="preserve"> requires an examination of whether a measure</w:t>
      </w:r>
      <w:r w:rsidR="00852446">
        <w:t xml:space="preserve"> has a limiting effect on international trade</w:t>
      </w:r>
      <w:r w:rsidR="00472213">
        <w:t xml:space="preserve">. </w:t>
      </w:r>
      <w:r w:rsidR="00996175">
        <w:t>Importantly, t</w:t>
      </w:r>
      <w:r w:rsidR="00996175" w:rsidRPr="00583F3F">
        <w:rPr>
          <w:color w:val="000000"/>
        </w:rPr>
        <w:t xml:space="preserve">he modification of the conditions of competition, to the detriment of imported goods, </w:t>
      </w:r>
      <w:r w:rsidR="00996175">
        <w:rPr>
          <w:color w:val="000000"/>
        </w:rPr>
        <w:t xml:space="preserve">may contribute </w:t>
      </w:r>
      <w:r w:rsidR="00996175" w:rsidRPr="00583F3F">
        <w:rPr>
          <w:color w:val="000000"/>
        </w:rPr>
        <w:t>to the assessment</w:t>
      </w:r>
      <w:r>
        <w:rPr>
          <w:color w:val="000000"/>
        </w:rPr>
        <w:t xml:space="preserve"> that a measure is</w:t>
      </w:r>
      <w:r w:rsidR="00996175" w:rsidRPr="00583F3F">
        <w:rPr>
          <w:color w:val="000000"/>
        </w:rPr>
        <w:t xml:space="preserve"> “trade restrictive” under Article 2.2</w:t>
      </w:r>
      <w:r w:rsidR="00693C7C">
        <w:rPr>
          <w:color w:val="000000"/>
        </w:rPr>
        <w:t>;</w:t>
      </w:r>
    </w:p>
    <w:p w14:paraId="057E32EF" w14:textId="0AFE2EB3" w:rsidR="00852446" w:rsidRPr="00852446" w:rsidRDefault="00852446" w:rsidP="00852446">
      <w:pPr>
        <w:pStyle w:val="ListParagraph"/>
        <w:numPr>
          <w:ilvl w:val="0"/>
          <w:numId w:val="34"/>
        </w:numPr>
        <w:tabs>
          <w:tab w:val="left" w:pos="1815"/>
        </w:tabs>
        <w:jc w:val="both"/>
        <w:rPr>
          <w:color w:val="000000"/>
        </w:rPr>
      </w:pPr>
      <w:r>
        <w:t xml:space="preserve">the degree of contribution that </w:t>
      </w:r>
      <w:r w:rsidR="00693C7C">
        <w:t>a</w:t>
      </w:r>
      <w:r>
        <w:t xml:space="preserve"> technical regulation makes to the achievement of a legitimate objective</w:t>
      </w:r>
      <w:r w:rsidR="00996175">
        <w:t xml:space="preserve"> may be discerned from the design, structure, and operation of the technical regulation, as well as from evidence relating to the application of the measure</w:t>
      </w:r>
      <w:r w:rsidR="00183BFF">
        <w:t xml:space="preserve">. </w:t>
      </w:r>
      <w:r w:rsidR="00322164">
        <w:t>Li</w:t>
      </w:r>
      <w:r w:rsidR="00183BFF">
        <w:t xml:space="preserve">mitations or the lack of available evidence in demonstrating “contribution” </w:t>
      </w:r>
      <w:r w:rsidR="00322164">
        <w:t>may have</w:t>
      </w:r>
      <w:r w:rsidR="00183BFF">
        <w:t xml:space="preserve"> probative value and should be taken into account by the Panel</w:t>
      </w:r>
      <w:r>
        <w:t xml:space="preserve">; </w:t>
      </w:r>
    </w:p>
    <w:p w14:paraId="283413DD" w14:textId="186E6FB9" w:rsidR="00897AFE" w:rsidRPr="00852446" w:rsidRDefault="00693C7C" w:rsidP="00852446">
      <w:pPr>
        <w:pStyle w:val="ListParagraph"/>
        <w:numPr>
          <w:ilvl w:val="0"/>
          <w:numId w:val="34"/>
        </w:numPr>
        <w:tabs>
          <w:tab w:val="left" w:pos="1815"/>
        </w:tabs>
        <w:jc w:val="both"/>
        <w:rPr>
          <w:color w:val="000000"/>
        </w:rPr>
      </w:pPr>
      <w:r>
        <w:rPr>
          <w:color w:val="000000"/>
        </w:rPr>
        <w:lastRenderedPageBreak/>
        <w:t xml:space="preserve">where a complainant has established </w:t>
      </w:r>
      <w:r>
        <w:rPr>
          <w:i/>
          <w:iCs/>
          <w:color w:val="000000"/>
        </w:rPr>
        <w:t xml:space="preserve">prima facie </w:t>
      </w:r>
      <w:r>
        <w:rPr>
          <w:color w:val="000000"/>
        </w:rPr>
        <w:t>that</w:t>
      </w:r>
      <w:r w:rsidR="0008124F">
        <w:rPr>
          <w:color w:val="000000"/>
        </w:rPr>
        <w:t xml:space="preserve"> a</w:t>
      </w:r>
      <w:r>
        <w:rPr>
          <w:color w:val="000000"/>
        </w:rPr>
        <w:t xml:space="preserve"> proposed less trade restrictive alternative measure is reasonably available, it is for the respondent to demonstrate that the proposed measure is not a valid alternative</w:t>
      </w:r>
      <w:r w:rsidR="00852446">
        <w:t>; and</w:t>
      </w:r>
    </w:p>
    <w:p w14:paraId="7D834047" w14:textId="23EC8102" w:rsidR="00852446" w:rsidRDefault="00852446" w:rsidP="00852446">
      <w:pPr>
        <w:pStyle w:val="ListParagraph"/>
        <w:numPr>
          <w:ilvl w:val="0"/>
          <w:numId w:val="34"/>
        </w:numPr>
        <w:tabs>
          <w:tab w:val="left" w:pos="1815"/>
        </w:tabs>
        <w:jc w:val="both"/>
        <w:rPr>
          <w:color w:val="000000"/>
        </w:rPr>
      </w:pPr>
      <w:r w:rsidRPr="00697C3C">
        <w:rPr>
          <w:color w:val="000000"/>
        </w:rPr>
        <w:t xml:space="preserve">there are key differences between the </w:t>
      </w:r>
      <w:r w:rsidR="0008124F">
        <w:rPr>
          <w:color w:val="000000"/>
        </w:rPr>
        <w:t>‘</w:t>
      </w:r>
      <w:r w:rsidRPr="00697C3C">
        <w:rPr>
          <w:color w:val="000000"/>
        </w:rPr>
        <w:t>necessity</w:t>
      </w:r>
      <w:r w:rsidR="0008124F">
        <w:rPr>
          <w:color w:val="000000"/>
        </w:rPr>
        <w:t>’</w:t>
      </w:r>
      <w:r w:rsidRPr="00697C3C">
        <w:rPr>
          <w:color w:val="000000"/>
        </w:rPr>
        <w:t xml:space="preserve"> test in Articles XX(a) and (b) and the “relat</w:t>
      </w:r>
      <w:r w:rsidR="0008124F">
        <w:rPr>
          <w:color w:val="000000"/>
        </w:rPr>
        <w:t>ing</w:t>
      </w:r>
      <w:r w:rsidRPr="00697C3C">
        <w:rPr>
          <w:color w:val="000000"/>
        </w:rPr>
        <w:t xml:space="preserve"> to” test under Article XX(g</w:t>
      </w:r>
      <w:r>
        <w:rPr>
          <w:color w:val="000000"/>
        </w:rPr>
        <w:t>) of the GATT 1994</w:t>
      </w:r>
      <w:r w:rsidR="00CF3270">
        <w:rPr>
          <w:color w:val="000000"/>
        </w:rPr>
        <w:t>. These</w:t>
      </w:r>
      <w:r w:rsidR="005E369B">
        <w:rPr>
          <w:color w:val="000000"/>
        </w:rPr>
        <w:t xml:space="preserve"> legal standards should not be conflated.</w:t>
      </w:r>
    </w:p>
    <w:p w14:paraId="68786C10" w14:textId="77777777" w:rsidR="009D18F1" w:rsidRDefault="009D18F1" w:rsidP="009D18F1">
      <w:pPr>
        <w:pStyle w:val="ListParagraph"/>
        <w:tabs>
          <w:tab w:val="left" w:pos="1815"/>
        </w:tabs>
        <w:ind w:left="0"/>
        <w:rPr>
          <w:color w:val="000000"/>
        </w:rPr>
      </w:pPr>
    </w:p>
    <w:p w14:paraId="70EAD83A" w14:textId="41BAE5AA" w:rsidR="00913F38" w:rsidRPr="009D18F1" w:rsidRDefault="007F7581" w:rsidP="009D18F1">
      <w:pPr>
        <w:pStyle w:val="ListParagraph"/>
        <w:numPr>
          <w:ilvl w:val="0"/>
          <w:numId w:val="2"/>
        </w:numPr>
        <w:tabs>
          <w:tab w:val="clear" w:pos="360"/>
          <w:tab w:val="num" w:pos="0"/>
          <w:tab w:val="left" w:pos="1815"/>
        </w:tabs>
        <w:ind w:left="0" w:hanging="567"/>
        <w:rPr>
          <w:color w:val="000000"/>
        </w:rPr>
      </w:pPr>
      <w:r w:rsidRPr="009D18F1">
        <w:rPr>
          <w:color w:val="000000"/>
        </w:rPr>
        <w:t>Australia thanks the Panel for the opportunity to submit these views.</w:t>
      </w:r>
    </w:p>
    <w:p w14:paraId="1A812FA3" w14:textId="77777777" w:rsidR="001C1A95" w:rsidRDefault="001C1A95" w:rsidP="001C1A95">
      <w:pPr>
        <w:pStyle w:val="ListParagraph"/>
        <w:rPr>
          <w:color w:val="000000"/>
        </w:rPr>
      </w:pPr>
    </w:p>
    <w:p w14:paraId="3A0986B2" w14:textId="690D32F0" w:rsidR="001C1A95" w:rsidRDefault="001C1A95" w:rsidP="001C1A95">
      <w:pPr>
        <w:tabs>
          <w:tab w:val="left" w:pos="1815"/>
        </w:tabs>
        <w:rPr>
          <w:color w:val="000000"/>
        </w:rPr>
      </w:pPr>
    </w:p>
    <w:p w14:paraId="3A682044" w14:textId="47AAACF1" w:rsidR="001C1A95" w:rsidRDefault="001C1A95" w:rsidP="001C1A95">
      <w:pPr>
        <w:tabs>
          <w:tab w:val="left" w:pos="1815"/>
        </w:tabs>
        <w:rPr>
          <w:color w:val="000000"/>
        </w:rPr>
      </w:pPr>
    </w:p>
    <w:p w14:paraId="79B96407" w14:textId="583F4F83" w:rsidR="001C1A95" w:rsidRDefault="001C1A95" w:rsidP="001C1A95">
      <w:pPr>
        <w:tabs>
          <w:tab w:val="left" w:pos="1815"/>
        </w:tabs>
        <w:rPr>
          <w:color w:val="000000"/>
        </w:rPr>
      </w:pPr>
    </w:p>
    <w:sectPr w:rsidR="001C1A95" w:rsidSect="00323D96">
      <w:headerReference w:type="default" r:id="rId11"/>
      <w:pgSz w:w="11906" w:h="16838"/>
      <w:pgMar w:top="1134" w:right="1797" w:bottom="1440" w:left="1797" w:header="567" w:footer="284" w:gutter="0"/>
      <w:pgNumType w:fmt="numberInDash"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7AF8" w14:textId="77777777" w:rsidR="004F7E94" w:rsidRDefault="004F7E94" w:rsidP="006023AC">
      <w:r>
        <w:separator/>
      </w:r>
    </w:p>
  </w:endnote>
  <w:endnote w:type="continuationSeparator" w:id="0">
    <w:p w14:paraId="60160A47" w14:textId="77777777" w:rsidR="004F7E94" w:rsidRDefault="004F7E94" w:rsidP="006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7C2F" w14:textId="77777777" w:rsidR="007A3379" w:rsidRPr="00954C96" w:rsidRDefault="007A3379">
    <w:pPr>
      <w:pStyle w:val="Footer"/>
      <w:jc w:val="center"/>
      <w:rPr>
        <w:lang w:val="en-AU"/>
      </w:rPr>
    </w:pPr>
    <w:r>
      <w:rPr>
        <w:lang w:val="en-AU"/>
      </w:rPr>
      <w:t xml:space="preserve"> </w:t>
    </w:r>
    <w:r>
      <w:fldChar w:fldCharType="begin"/>
    </w:r>
    <w:r>
      <w:instrText xml:space="preserve"> PAGE   \* MERGEFORMAT </w:instrText>
    </w:r>
    <w:r>
      <w:fldChar w:fldCharType="separate"/>
    </w:r>
    <w:r>
      <w:rPr>
        <w:noProof/>
      </w:rPr>
      <w:t>- 1 -</w:t>
    </w:r>
    <w:r>
      <w:rPr>
        <w:noProof/>
      </w:rPr>
      <w:fldChar w:fldCharType="end"/>
    </w:r>
    <w:r>
      <w:rPr>
        <w:noProof/>
        <w:lang w:val="en-AU"/>
      </w:rPr>
      <w:t xml:space="preserve"> </w:t>
    </w:r>
  </w:p>
  <w:p w14:paraId="3FB3DCD5" w14:textId="77777777" w:rsidR="007A3379" w:rsidRDefault="007A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DA395" w14:textId="77777777" w:rsidR="004F7E94" w:rsidRDefault="004F7E94" w:rsidP="006023AC">
      <w:r>
        <w:separator/>
      </w:r>
    </w:p>
  </w:footnote>
  <w:footnote w:type="continuationSeparator" w:id="0">
    <w:p w14:paraId="7369200F" w14:textId="77777777" w:rsidR="004F7E94" w:rsidRDefault="004F7E94" w:rsidP="006023AC">
      <w:r>
        <w:continuationSeparator/>
      </w:r>
    </w:p>
  </w:footnote>
  <w:footnote w:id="1">
    <w:p w14:paraId="1428FF10" w14:textId="2EAD0369" w:rsidR="007A3379" w:rsidRDefault="007A3379">
      <w:pPr>
        <w:pStyle w:val="FootnoteText"/>
      </w:pPr>
      <w:r>
        <w:rPr>
          <w:rStyle w:val="FootnoteReference"/>
        </w:rPr>
        <w:footnoteRef/>
      </w:r>
      <w:r>
        <w:t xml:space="preserve"> Annex 1.1 to the TBT Agreement defines a </w:t>
      </w:r>
      <w:r w:rsidR="0007100D">
        <w:t>“</w:t>
      </w:r>
      <w:r>
        <w:t>technical regulation</w:t>
      </w:r>
      <w:r w:rsidR="0007100D">
        <w:t>”</w:t>
      </w:r>
      <w:r>
        <w:t xml:space="preserve"> as follows: Document which lays down product characteristics or their related processes and production methods, including the applicable administrative provisions, with which compliance is mandatory. It may also include or deal exclusively with terminology, symbols, packaging, marking or labelling requirements as they apply to a product, process or production method.</w:t>
      </w:r>
    </w:p>
  </w:footnote>
  <w:footnote w:id="2">
    <w:p w14:paraId="699A8180" w14:textId="7F320704" w:rsidR="007A3379" w:rsidRDefault="007A3379">
      <w:pPr>
        <w:pStyle w:val="FootnoteText"/>
      </w:pPr>
      <w:r>
        <w:rPr>
          <w:rStyle w:val="FootnoteReference"/>
        </w:rPr>
        <w:footnoteRef/>
      </w:r>
      <w:r>
        <w:t xml:space="preserve"> European Union First Written Submission, para 506.</w:t>
      </w:r>
    </w:p>
  </w:footnote>
  <w:footnote w:id="3">
    <w:p w14:paraId="550F3A85" w14:textId="49CB5D12" w:rsidR="007A3379" w:rsidRDefault="007A3379">
      <w:pPr>
        <w:pStyle w:val="FootnoteText"/>
      </w:pPr>
      <w:r>
        <w:rPr>
          <w:rStyle w:val="FootnoteReference"/>
        </w:rPr>
        <w:footnoteRef/>
      </w:r>
      <w:r>
        <w:t xml:space="preserve"> See Panel Reports, </w:t>
      </w:r>
      <w:r w:rsidRPr="00A60FA9">
        <w:rPr>
          <w:i/>
          <w:iCs/>
        </w:rPr>
        <w:t>EC – Seal Products</w:t>
      </w:r>
      <w:r>
        <w:t xml:space="preserve">, paras. 7.85-7.87; </w:t>
      </w:r>
      <w:r w:rsidRPr="00A60FA9">
        <w:rPr>
          <w:i/>
          <w:iCs/>
        </w:rPr>
        <w:t>US – COOL</w:t>
      </w:r>
      <w:r>
        <w:t xml:space="preserve">, paras. 7.147-7.148; </w:t>
      </w:r>
      <w:r w:rsidRPr="00A60FA9">
        <w:rPr>
          <w:i/>
          <w:iCs/>
        </w:rPr>
        <w:t>US – Tuna II (Mexico)</w:t>
      </w:r>
      <w:r>
        <w:t xml:space="preserve">, paras. 7.53-7.55; </w:t>
      </w:r>
      <w:r w:rsidRPr="00A60FA9">
        <w:rPr>
          <w:i/>
          <w:iCs/>
        </w:rPr>
        <w:t>US – Clove Cigarettes</w:t>
      </w:r>
      <w:r>
        <w:t>, paras. 7.24-7.25</w:t>
      </w:r>
      <w:r w:rsidR="007028FA">
        <w:t xml:space="preserve">; and </w:t>
      </w:r>
      <w:r w:rsidR="007028FA" w:rsidRPr="007C51B9">
        <w:rPr>
          <w:i/>
          <w:iCs/>
        </w:rPr>
        <w:t>Australia – Tobacco Plain Packaging</w:t>
      </w:r>
      <w:r w:rsidR="007028FA">
        <w:rPr>
          <w:i/>
          <w:iCs/>
        </w:rPr>
        <w:t xml:space="preserve">, </w:t>
      </w:r>
      <w:r w:rsidR="007028FA">
        <w:t>para. 7.151.</w:t>
      </w:r>
      <w:r>
        <w:t xml:space="preserve"> See also Appellate Body Reports, </w:t>
      </w:r>
      <w:r w:rsidRPr="007028FA">
        <w:rPr>
          <w:i/>
          <w:iCs/>
        </w:rPr>
        <w:t>EC – Seal Products</w:t>
      </w:r>
      <w:r>
        <w:t xml:space="preserve">, paras. 5.21-5.23; and </w:t>
      </w:r>
      <w:r w:rsidRPr="00A60FA9">
        <w:rPr>
          <w:i/>
          <w:iCs/>
        </w:rPr>
        <w:t>US – Tuna II (Mexico)</w:t>
      </w:r>
      <w:r>
        <w:t>, para. 183</w:t>
      </w:r>
      <w:r w:rsidR="007028FA">
        <w:t>.</w:t>
      </w:r>
      <w:r>
        <w:t xml:space="preserve"> </w:t>
      </w:r>
    </w:p>
  </w:footnote>
  <w:footnote w:id="4">
    <w:p w14:paraId="33C3BC33" w14:textId="4F920648" w:rsidR="007A3379" w:rsidRDefault="007A3379">
      <w:pPr>
        <w:pStyle w:val="FootnoteText"/>
      </w:pPr>
      <w:r>
        <w:rPr>
          <w:rStyle w:val="FootnoteReference"/>
        </w:rPr>
        <w:footnoteRef/>
      </w:r>
      <w:r>
        <w:t xml:space="preserve"> Appellate Body Report, </w:t>
      </w:r>
      <w:r>
        <w:rPr>
          <w:i/>
          <w:iCs/>
        </w:rPr>
        <w:t>Australia – Tobacco Plain Packaging</w:t>
      </w:r>
      <w:r>
        <w:t xml:space="preserve">, para 6.3. Appellate Body Report, </w:t>
      </w:r>
      <w:r w:rsidRPr="00EF0886">
        <w:rPr>
          <w:i/>
          <w:iCs/>
        </w:rPr>
        <w:t>US – Tuna II (Mexico)</w:t>
      </w:r>
      <w:r>
        <w:t>, para. 314.</w:t>
      </w:r>
    </w:p>
  </w:footnote>
  <w:footnote w:id="5">
    <w:p w14:paraId="0388525B" w14:textId="1F977545" w:rsidR="007A3379" w:rsidRDefault="007A3379">
      <w:pPr>
        <w:pStyle w:val="FootnoteText"/>
      </w:pPr>
      <w:r>
        <w:rPr>
          <w:rStyle w:val="FootnoteReference"/>
        </w:rPr>
        <w:footnoteRef/>
      </w:r>
      <w:r>
        <w:t xml:space="preserve"> Appellate Body Reports, </w:t>
      </w:r>
      <w:r w:rsidRPr="00EF0886">
        <w:rPr>
          <w:i/>
          <w:iCs/>
        </w:rPr>
        <w:t>US – COOL</w:t>
      </w:r>
      <w:r>
        <w:t xml:space="preserve">, para. 374 (referring to Appellate Body Report, </w:t>
      </w:r>
      <w:r w:rsidRPr="007028FA">
        <w:rPr>
          <w:i/>
          <w:iCs/>
        </w:rPr>
        <w:t>US – Tuna II (Mexico)</w:t>
      </w:r>
      <w:r>
        <w:t xml:space="preserve">, para. 318). Restated in Appellate Body Report, </w:t>
      </w:r>
      <w:r>
        <w:rPr>
          <w:i/>
          <w:iCs/>
        </w:rPr>
        <w:t>Australia – Tobacco Plain Packaging</w:t>
      </w:r>
      <w:r>
        <w:t>, para 6.3.</w:t>
      </w:r>
    </w:p>
  </w:footnote>
  <w:footnote w:id="6">
    <w:p w14:paraId="58FBBCC2" w14:textId="4160F53D" w:rsidR="007A3379" w:rsidRDefault="007A3379">
      <w:pPr>
        <w:pStyle w:val="FootnoteText"/>
      </w:pPr>
      <w:r>
        <w:rPr>
          <w:rStyle w:val="FootnoteReference"/>
        </w:rPr>
        <w:footnoteRef/>
      </w:r>
      <w:r>
        <w:t xml:space="preserve"> Appellate Body Report, </w:t>
      </w:r>
      <w:r w:rsidRPr="005E6C44">
        <w:rPr>
          <w:i/>
          <w:iCs/>
        </w:rPr>
        <w:t>US – Tuna II (Mexico)</w:t>
      </w:r>
      <w:r>
        <w:t xml:space="preserve">, para. 322. See also Appellate Body Reports, </w:t>
      </w:r>
      <w:r w:rsidRPr="005E6C44">
        <w:rPr>
          <w:i/>
          <w:iCs/>
        </w:rPr>
        <w:t>US – COOL</w:t>
      </w:r>
      <w:r>
        <w:t xml:space="preserve">, paras. 374-378; </w:t>
      </w:r>
      <w:r w:rsidRPr="005E6C44">
        <w:rPr>
          <w:i/>
          <w:iCs/>
        </w:rPr>
        <w:t>US – COOL (Article 21.5 – Canada and Mexico</w:t>
      </w:r>
      <w:r>
        <w:t xml:space="preserve">), para. 5.197; and </w:t>
      </w:r>
      <w:r>
        <w:rPr>
          <w:i/>
          <w:iCs/>
        </w:rPr>
        <w:t>Australia – Tobacco Plain Packaging</w:t>
      </w:r>
      <w:r>
        <w:t>, para 6.4.</w:t>
      </w:r>
    </w:p>
  </w:footnote>
  <w:footnote w:id="7">
    <w:p w14:paraId="50A08897" w14:textId="04350C99" w:rsidR="007A3379" w:rsidRDefault="007A3379">
      <w:pPr>
        <w:pStyle w:val="FootnoteText"/>
      </w:pPr>
      <w:r>
        <w:rPr>
          <w:rStyle w:val="FootnoteReference"/>
        </w:rPr>
        <w:footnoteRef/>
      </w:r>
      <w:r>
        <w:t xml:space="preserve"> Appellate Body Report, </w:t>
      </w:r>
      <w:r w:rsidRPr="00D4020A">
        <w:rPr>
          <w:i/>
          <w:iCs/>
        </w:rPr>
        <w:t>US – Tuna II (Mexico)</w:t>
      </w:r>
      <w:r>
        <w:t xml:space="preserve">, para. 319. </w:t>
      </w:r>
    </w:p>
  </w:footnote>
  <w:footnote w:id="8">
    <w:p w14:paraId="42474C13" w14:textId="5A48D285" w:rsidR="007A3379" w:rsidRPr="003A5F63" w:rsidRDefault="007A3379">
      <w:pPr>
        <w:pStyle w:val="FootnoteText"/>
      </w:pPr>
      <w:r>
        <w:rPr>
          <w:rStyle w:val="FootnoteReference"/>
        </w:rPr>
        <w:footnoteRef/>
      </w:r>
      <w:r>
        <w:t xml:space="preserve"> </w:t>
      </w:r>
      <w:r w:rsidR="00A67676">
        <w:t xml:space="preserve">Panel </w:t>
      </w:r>
      <w:r w:rsidR="00B77019">
        <w:t xml:space="preserve">Reports, </w:t>
      </w:r>
      <w:r w:rsidR="00B77019" w:rsidRPr="00B77019">
        <w:rPr>
          <w:i/>
          <w:iCs/>
        </w:rPr>
        <w:t>Australia – Tobacco Plain Packaging</w:t>
      </w:r>
      <w:r w:rsidR="00B77019">
        <w:t>, para</w:t>
      </w:r>
      <w:r w:rsidR="00A67676">
        <w:t>. 7.1076</w:t>
      </w:r>
      <w:r>
        <w:t>.</w:t>
      </w:r>
    </w:p>
  </w:footnote>
  <w:footnote w:id="9">
    <w:p w14:paraId="28175F58" w14:textId="444FC908" w:rsidR="007A3379" w:rsidRDefault="007A3379" w:rsidP="00A31F74">
      <w:pPr>
        <w:pStyle w:val="FootnoteText"/>
      </w:pPr>
      <w:r>
        <w:rPr>
          <w:rStyle w:val="FootnoteReference"/>
        </w:rPr>
        <w:footnoteRef/>
      </w:r>
      <w:r>
        <w:t xml:space="preserve"> See eg, European Union’s First Written Submission, para 826.</w:t>
      </w:r>
    </w:p>
  </w:footnote>
  <w:footnote w:id="10">
    <w:p w14:paraId="3A4C1746" w14:textId="654D75E9" w:rsidR="00F06F85" w:rsidRDefault="00F06F85">
      <w:pPr>
        <w:pStyle w:val="FootnoteText"/>
      </w:pPr>
      <w:r>
        <w:rPr>
          <w:rStyle w:val="FootnoteReference"/>
        </w:rPr>
        <w:footnoteRef/>
      </w:r>
      <w:r>
        <w:t xml:space="preserve"> Appellate Body Reports, </w:t>
      </w:r>
      <w:r w:rsidRPr="00F06F85">
        <w:rPr>
          <w:i/>
          <w:iCs/>
        </w:rPr>
        <w:t>Australia – Tobacco Plain Packaging</w:t>
      </w:r>
      <w:r>
        <w:t>, paras. 6.392-6.393.</w:t>
      </w:r>
    </w:p>
  </w:footnote>
  <w:footnote w:id="11">
    <w:p w14:paraId="13074070" w14:textId="45BFA7B8" w:rsidR="007A3379" w:rsidRDefault="007A3379">
      <w:pPr>
        <w:pStyle w:val="FootnoteText"/>
      </w:pPr>
      <w:r>
        <w:rPr>
          <w:rStyle w:val="FootnoteReference"/>
        </w:rPr>
        <w:footnoteRef/>
      </w:r>
      <w:r>
        <w:t xml:space="preserve"> European Union’s First Written Submission, paras 823 - 826.</w:t>
      </w:r>
    </w:p>
  </w:footnote>
  <w:footnote w:id="12">
    <w:p w14:paraId="4356159E" w14:textId="7AABAF0B" w:rsidR="00970418" w:rsidRDefault="00970418">
      <w:pPr>
        <w:pStyle w:val="FootnoteText"/>
      </w:pPr>
      <w:r>
        <w:rPr>
          <w:rStyle w:val="FootnoteReference"/>
        </w:rPr>
        <w:footnoteRef/>
      </w:r>
      <w:r>
        <w:t xml:space="preserve"> Appellate Body Reports, </w:t>
      </w:r>
      <w:r w:rsidRPr="00F06F85">
        <w:rPr>
          <w:i/>
          <w:iCs/>
        </w:rPr>
        <w:t>Australia – Tobacco Plain Packaging</w:t>
      </w:r>
      <w:r>
        <w:t>, paras. 6.392-6.393.</w:t>
      </w:r>
    </w:p>
  </w:footnote>
  <w:footnote w:id="13">
    <w:p w14:paraId="340ECC0D" w14:textId="7A61D9DE" w:rsidR="007A3379" w:rsidRDefault="007A3379">
      <w:pPr>
        <w:pStyle w:val="FootnoteText"/>
      </w:pPr>
      <w:r>
        <w:rPr>
          <w:rStyle w:val="FootnoteReference"/>
        </w:rPr>
        <w:footnoteRef/>
      </w:r>
      <w:r>
        <w:t xml:space="preserve"> Appellate Body Reports, </w:t>
      </w:r>
      <w:r w:rsidRPr="00D4020A">
        <w:rPr>
          <w:i/>
          <w:iCs/>
        </w:rPr>
        <w:t>Australia – Tobacco Plain Packaging</w:t>
      </w:r>
      <w:r>
        <w:t xml:space="preserve">, paras. 6.384-6.386. See also, Appellate Body Report, </w:t>
      </w:r>
      <w:r w:rsidRPr="00007D42">
        <w:rPr>
          <w:i/>
          <w:iCs/>
        </w:rPr>
        <w:t>US – COOL</w:t>
      </w:r>
      <w:r>
        <w:t xml:space="preserve">, para. 477 (quoting Panel Reports, </w:t>
      </w:r>
      <w:r w:rsidRPr="00C22F0A">
        <w:rPr>
          <w:i/>
          <w:iCs/>
        </w:rPr>
        <w:t>US – COOL</w:t>
      </w:r>
      <w:r>
        <w:t>, para. 7.574).</w:t>
      </w:r>
    </w:p>
  </w:footnote>
  <w:footnote w:id="14">
    <w:p w14:paraId="2C8154E1" w14:textId="09F88DD6" w:rsidR="007A3379" w:rsidRDefault="007A3379">
      <w:pPr>
        <w:pStyle w:val="FootnoteText"/>
      </w:pPr>
      <w:r>
        <w:rPr>
          <w:rStyle w:val="FootnoteReference"/>
        </w:rPr>
        <w:footnoteRef/>
      </w:r>
      <w:r>
        <w:t xml:space="preserve"> European Union’s First Written Submission, paras 827 – 828.</w:t>
      </w:r>
    </w:p>
  </w:footnote>
  <w:footnote w:id="15">
    <w:p w14:paraId="285E9CDD" w14:textId="4571A54E" w:rsidR="007A3379" w:rsidRDefault="007A3379">
      <w:pPr>
        <w:pStyle w:val="FootnoteText"/>
      </w:pPr>
      <w:r>
        <w:rPr>
          <w:rStyle w:val="FootnoteReference"/>
        </w:rPr>
        <w:footnoteRef/>
      </w:r>
      <w:r>
        <w:t xml:space="preserve"> A</w:t>
      </w:r>
      <w:r w:rsidRPr="00C22F0A">
        <w:t>ppellate Body Report,</w:t>
      </w:r>
      <w:r>
        <w:t xml:space="preserve"> </w:t>
      </w:r>
      <w:r w:rsidRPr="007028FA">
        <w:rPr>
          <w:i/>
          <w:iCs/>
        </w:rPr>
        <w:t>US – Tuna II (Mexico)</w:t>
      </w:r>
      <w:r w:rsidRPr="00C22F0A">
        <w:t>, para. 319</w:t>
      </w:r>
      <w:r>
        <w:t xml:space="preserve">; See also Appellate Body Report, </w:t>
      </w:r>
      <w:r w:rsidRPr="00C22F0A">
        <w:rPr>
          <w:i/>
          <w:iCs/>
        </w:rPr>
        <w:t>United States – COOL</w:t>
      </w:r>
      <w:r>
        <w:t xml:space="preserve">, para 375. </w:t>
      </w:r>
    </w:p>
  </w:footnote>
  <w:footnote w:id="16">
    <w:p w14:paraId="4F83127B" w14:textId="77777777" w:rsidR="007A3379" w:rsidRDefault="007A3379" w:rsidP="00A04655">
      <w:pPr>
        <w:pStyle w:val="FootnoteText"/>
      </w:pPr>
      <w:r>
        <w:rPr>
          <w:rStyle w:val="FootnoteReference"/>
        </w:rPr>
        <w:footnoteRef/>
      </w:r>
      <w:r>
        <w:t xml:space="preserve"> Appellate Body Reports, </w:t>
      </w:r>
      <w:r w:rsidRPr="00D4020A">
        <w:rPr>
          <w:i/>
          <w:iCs/>
        </w:rPr>
        <w:t>Australia – Tobacco Plain Packaging</w:t>
      </w:r>
      <w:r>
        <w:t>, paras. 6.386.</w:t>
      </w:r>
    </w:p>
  </w:footnote>
  <w:footnote w:id="17">
    <w:p w14:paraId="6FC3D073" w14:textId="1284EA76" w:rsidR="007A3379" w:rsidRDefault="007A3379">
      <w:pPr>
        <w:pStyle w:val="FootnoteText"/>
      </w:pPr>
      <w:r>
        <w:rPr>
          <w:rStyle w:val="FootnoteReference"/>
        </w:rPr>
        <w:footnoteRef/>
      </w:r>
      <w:r>
        <w:t xml:space="preserve"> Panel Reports, </w:t>
      </w:r>
      <w:r w:rsidRPr="00F2512B">
        <w:rPr>
          <w:i/>
          <w:iCs/>
        </w:rPr>
        <w:t>Australia – Tobacco Plain Packaging</w:t>
      </w:r>
      <w:r>
        <w:t>, para. 7.484.</w:t>
      </w:r>
    </w:p>
  </w:footnote>
  <w:footnote w:id="18">
    <w:p w14:paraId="09F1710C" w14:textId="5DB707A5" w:rsidR="007A3379" w:rsidRDefault="007A3379">
      <w:pPr>
        <w:pStyle w:val="FootnoteText"/>
      </w:pPr>
      <w:r>
        <w:rPr>
          <w:rStyle w:val="FootnoteReference"/>
        </w:rPr>
        <w:footnoteRef/>
      </w:r>
      <w:r>
        <w:t xml:space="preserve"> Panel Reports, </w:t>
      </w:r>
      <w:r w:rsidRPr="00F2512B">
        <w:rPr>
          <w:i/>
          <w:iCs/>
        </w:rPr>
        <w:t>Australia – Tobacco Plain Packaging</w:t>
      </w:r>
      <w:r>
        <w:t xml:space="preserve">, para. 7.484 (quoting Appellate Body Reports, </w:t>
      </w:r>
      <w:r w:rsidRPr="00315EEE">
        <w:rPr>
          <w:i/>
          <w:iCs/>
        </w:rPr>
        <w:t>US – COOL (Article 21.5 – Canada and Mexico)</w:t>
      </w:r>
      <w:r>
        <w:t>, para. 5.210).</w:t>
      </w:r>
    </w:p>
  </w:footnote>
  <w:footnote w:id="19">
    <w:p w14:paraId="307DC0C7" w14:textId="571D059E" w:rsidR="007A3379" w:rsidRDefault="007A3379">
      <w:pPr>
        <w:pStyle w:val="FootnoteText"/>
      </w:pPr>
      <w:r>
        <w:rPr>
          <w:rStyle w:val="FootnoteReference"/>
        </w:rPr>
        <w:footnoteRef/>
      </w:r>
      <w:r>
        <w:t xml:space="preserve"> European Union’s First Written Submission, para 309.</w:t>
      </w:r>
    </w:p>
  </w:footnote>
  <w:footnote w:id="20">
    <w:p w14:paraId="33A1F438" w14:textId="3E1A3FBB" w:rsidR="007A3379" w:rsidRDefault="007A3379" w:rsidP="0091199C">
      <w:pPr>
        <w:pStyle w:val="FootnoteText"/>
      </w:pPr>
      <w:r>
        <w:rPr>
          <w:rStyle w:val="FootnoteReference"/>
        </w:rPr>
        <w:footnoteRef/>
      </w:r>
      <w:r>
        <w:t xml:space="preserve"> Article 11 of the </w:t>
      </w:r>
      <w:r w:rsidRPr="0091199C">
        <w:t xml:space="preserve">Understanding on </w:t>
      </w:r>
      <w:r>
        <w:t>R</w:t>
      </w:r>
      <w:r w:rsidRPr="0091199C">
        <w:t xml:space="preserve">ules and </w:t>
      </w:r>
      <w:r>
        <w:t>P</w:t>
      </w:r>
      <w:r w:rsidRPr="0091199C">
        <w:t xml:space="preserve">rocedures </w:t>
      </w:r>
      <w:r>
        <w:t>G</w:t>
      </w:r>
      <w:r w:rsidRPr="0091199C">
        <w:t xml:space="preserve">overning the </w:t>
      </w:r>
      <w:r>
        <w:t>S</w:t>
      </w:r>
      <w:r w:rsidRPr="0091199C">
        <w:t xml:space="preserve">ettlement of </w:t>
      </w:r>
      <w:r>
        <w:t>D</w:t>
      </w:r>
      <w:r w:rsidRPr="0091199C">
        <w:t>isputes</w:t>
      </w:r>
      <w:r>
        <w:t>.</w:t>
      </w:r>
    </w:p>
  </w:footnote>
  <w:footnote w:id="21">
    <w:p w14:paraId="05CC38E6" w14:textId="578C2E16" w:rsidR="007A3379" w:rsidRDefault="007A3379">
      <w:pPr>
        <w:pStyle w:val="FootnoteText"/>
      </w:pPr>
      <w:r>
        <w:rPr>
          <w:rStyle w:val="FootnoteReference"/>
        </w:rPr>
        <w:footnoteRef/>
      </w:r>
      <w:r>
        <w:t xml:space="preserve"> Panel Reports, </w:t>
      </w:r>
      <w:r w:rsidRPr="001B0595">
        <w:rPr>
          <w:i/>
          <w:iCs/>
        </w:rPr>
        <w:t>Australia – Tobacco Plain Packaging</w:t>
      </w:r>
      <w:r>
        <w:t>, para. 7.627.</w:t>
      </w:r>
    </w:p>
  </w:footnote>
  <w:footnote w:id="22">
    <w:p w14:paraId="0AB1EF97" w14:textId="77777777" w:rsidR="007A3379" w:rsidRDefault="007A3379" w:rsidP="001B0595">
      <w:pPr>
        <w:pStyle w:val="FootnoteText"/>
      </w:pPr>
      <w:r>
        <w:rPr>
          <w:rStyle w:val="FootnoteReference"/>
        </w:rPr>
        <w:footnoteRef/>
      </w:r>
      <w:r>
        <w:t xml:space="preserve"> Panel Reports, </w:t>
      </w:r>
      <w:r w:rsidRPr="00F2512B">
        <w:rPr>
          <w:i/>
          <w:iCs/>
        </w:rPr>
        <w:t>Australia – Tobacco Plain Packaging</w:t>
      </w:r>
      <w:r>
        <w:t>, para. 7.516.</w:t>
      </w:r>
    </w:p>
  </w:footnote>
  <w:footnote w:id="23">
    <w:p w14:paraId="39D2D89E" w14:textId="77777777" w:rsidR="007A3379" w:rsidRDefault="007A3379" w:rsidP="00386676">
      <w:pPr>
        <w:pStyle w:val="FootnoteText"/>
      </w:pPr>
      <w:r>
        <w:rPr>
          <w:rStyle w:val="FootnoteReference"/>
        </w:rPr>
        <w:footnoteRef/>
      </w:r>
      <w:r>
        <w:t xml:space="preserve"> Panel Reports, </w:t>
      </w:r>
      <w:r w:rsidRPr="00013D2C">
        <w:rPr>
          <w:i/>
          <w:iCs/>
        </w:rPr>
        <w:t>Australia – Tobacco Plain Packaging</w:t>
      </w:r>
      <w:r>
        <w:t>, paras 7.938 - 7.943.</w:t>
      </w:r>
    </w:p>
  </w:footnote>
  <w:footnote w:id="24">
    <w:p w14:paraId="546BB6FF" w14:textId="4667EE20" w:rsidR="007A3379" w:rsidRDefault="007A3379">
      <w:pPr>
        <w:pStyle w:val="FootnoteText"/>
      </w:pPr>
      <w:r>
        <w:rPr>
          <w:rStyle w:val="FootnoteReference"/>
        </w:rPr>
        <w:footnoteRef/>
      </w:r>
      <w:r>
        <w:t xml:space="preserve">Appellate Body Reports, </w:t>
      </w:r>
      <w:r>
        <w:rPr>
          <w:i/>
          <w:iCs/>
        </w:rPr>
        <w:t xml:space="preserve">US – COOL, </w:t>
      </w:r>
      <w:r>
        <w:t xml:space="preserve">para 471; </w:t>
      </w:r>
      <w:r>
        <w:rPr>
          <w:i/>
          <w:iCs/>
        </w:rPr>
        <w:t>US – COOL (Article 21.5 – Canada and Mexico)</w:t>
      </w:r>
      <w:r>
        <w:t xml:space="preserve">, para 5.197; </w:t>
      </w:r>
      <w:r w:rsidRPr="0073416B">
        <w:rPr>
          <w:i/>
          <w:iCs/>
        </w:rPr>
        <w:t>US – Tuna II (Mexico)</w:t>
      </w:r>
      <w:r>
        <w:t xml:space="preserve">, para. 320. </w:t>
      </w:r>
    </w:p>
  </w:footnote>
  <w:footnote w:id="25">
    <w:p w14:paraId="566F736E" w14:textId="38411DD6" w:rsidR="007A3379" w:rsidRDefault="007A3379">
      <w:pPr>
        <w:pStyle w:val="FootnoteText"/>
      </w:pPr>
      <w:r>
        <w:rPr>
          <w:rStyle w:val="FootnoteReference"/>
        </w:rPr>
        <w:footnoteRef/>
      </w:r>
      <w:r>
        <w:t xml:space="preserve"> Appellate Body Reports, </w:t>
      </w:r>
      <w:r>
        <w:rPr>
          <w:i/>
          <w:iCs/>
        </w:rPr>
        <w:t xml:space="preserve">Australia – Tobacco Plain Packaging, </w:t>
      </w:r>
      <w:r>
        <w:t>para 6.461;</w:t>
      </w:r>
      <w:r>
        <w:rPr>
          <w:i/>
          <w:iCs/>
        </w:rPr>
        <w:t xml:space="preserve"> </w:t>
      </w:r>
      <w:r w:rsidRPr="0073416B">
        <w:rPr>
          <w:i/>
          <w:iCs/>
        </w:rPr>
        <w:t>US – Tuna II (Mexico)</w:t>
      </w:r>
      <w:r>
        <w:t xml:space="preserve">, para. 323; </w:t>
      </w:r>
      <w:r w:rsidRPr="0073416B">
        <w:rPr>
          <w:i/>
          <w:iCs/>
        </w:rPr>
        <w:t>US – COOL</w:t>
      </w:r>
      <w:r>
        <w:t xml:space="preserve">, para. 379; </w:t>
      </w:r>
      <w:r w:rsidRPr="0073416B">
        <w:rPr>
          <w:i/>
          <w:iCs/>
        </w:rPr>
        <w:t>US – COOL (Article 21.5 – Canada and Mexico)</w:t>
      </w:r>
      <w:r>
        <w:t>, para. 5.213.</w:t>
      </w:r>
    </w:p>
  </w:footnote>
  <w:footnote w:id="26">
    <w:p w14:paraId="357B8CB9" w14:textId="781069B8" w:rsidR="007A3379" w:rsidRPr="00BF1A6D" w:rsidRDefault="007A3379">
      <w:pPr>
        <w:pStyle w:val="FootnoteText"/>
      </w:pPr>
      <w:r>
        <w:rPr>
          <w:rStyle w:val="FootnoteReference"/>
        </w:rPr>
        <w:footnoteRef/>
      </w:r>
      <w:r>
        <w:t xml:space="preserve"> Appellate Body Reports, </w:t>
      </w:r>
      <w:r>
        <w:rPr>
          <w:i/>
          <w:iCs/>
        </w:rPr>
        <w:t>US – COOL (Article 21.5 – Canada and Mexico)</w:t>
      </w:r>
      <w:r>
        <w:t>, para 5.338</w:t>
      </w:r>
    </w:p>
  </w:footnote>
  <w:footnote w:id="27">
    <w:p w14:paraId="521AE32D" w14:textId="76DD75A6" w:rsidR="007A3379" w:rsidRDefault="007A3379">
      <w:pPr>
        <w:pStyle w:val="FootnoteText"/>
      </w:pPr>
      <w:r>
        <w:rPr>
          <w:rStyle w:val="FootnoteReference"/>
        </w:rPr>
        <w:footnoteRef/>
      </w:r>
      <w:r>
        <w:t xml:space="preserve"> Appellate Body Reports, </w:t>
      </w:r>
      <w:r>
        <w:rPr>
          <w:i/>
          <w:iCs/>
        </w:rPr>
        <w:t>US – COOL (Article 21.5 – Canada and Mexico)</w:t>
      </w:r>
      <w:r>
        <w:t>, para 5.338.</w:t>
      </w:r>
    </w:p>
  </w:footnote>
  <w:footnote w:id="28">
    <w:p w14:paraId="2E6AAB6C" w14:textId="0BDD5D25" w:rsidR="007A3379" w:rsidRPr="00446A53" w:rsidRDefault="007A3379">
      <w:pPr>
        <w:pStyle w:val="FootnoteText"/>
      </w:pPr>
      <w:r>
        <w:rPr>
          <w:rStyle w:val="FootnoteReference"/>
        </w:rPr>
        <w:footnoteRef/>
      </w:r>
      <w:r>
        <w:t xml:space="preserve"> Appellate Body Report, </w:t>
      </w:r>
      <w:r>
        <w:rPr>
          <w:i/>
          <w:iCs/>
        </w:rPr>
        <w:t xml:space="preserve">US – Gambling, </w:t>
      </w:r>
      <w:r>
        <w:t xml:space="preserve">para. 22; Appellate Body Report, </w:t>
      </w:r>
      <w:r>
        <w:rPr>
          <w:i/>
          <w:iCs/>
        </w:rPr>
        <w:t xml:space="preserve">Brazil – Retreaded Tyres, </w:t>
      </w:r>
      <w:r>
        <w:t xml:space="preserve">para 139; Appellate Body Reports, </w:t>
      </w:r>
      <w:r>
        <w:rPr>
          <w:i/>
          <w:iCs/>
        </w:rPr>
        <w:t>EC – Seal Products,</w:t>
      </w:r>
      <w:r>
        <w:t xml:space="preserve"> para 5.169; Appellate Body Report, </w:t>
      </w:r>
      <w:r w:rsidRPr="0018427C">
        <w:rPr>
          <w:i/>
          <w:iCs/>
        </w:rPr>
        <w:t>Colombia – Textiles</w:t>
      </w:r>
      <w:r>
        <w:t xml:space="preserve">, para. 6.20. </w:t>
      </w:r>
    </w:p>
  </w:footnote>
  <w:footnote w:id="29">
    <w:p w14:paraId="182BAB14" w14:textId="77777777" w:rsidR="007A3379" w:rsidRPr="00C133D6" w:rsidRDefault="007A3379" w:rsidP="00420EDD">
      <w:pPr>
        <w:pStyle w:val="FootnoteText"/>
      </w:pPr>
      <w:r>
        <w:rPr>
          <w:rStyle w:val="FootnoteReference"/>
        </w:rPr>
        <w:footnoteRef/>
      </w:r>
      <w:r>
        <w:t xml:space="preserve"> Appellate Body Report, </w:t>
      </w:r>
      <w:r>
        <w:rPr>
          <w:i/>
          <w:iCs/>
        </w:rPr>
        <w:t xml:space="preserve">US – Gasoline, </w:t>
      </w:r>
      <w:r>
        <w:t>paras. 17 – 18.</w:t>
      </w:r>
    </w:p>
  </w:footnote>
  <w:footnote w:id="30">
    <w:p w14:paraId="70021F57" w14:textId="16E94A45" w:rsidR="007A3379" w:rsidRDefault="007A3379" w:rsidP="0018427C">
      <w:pPr>
        <w:pStyle w:val="FootnoteText"/>
      </w:pPr>
      <w:r>
        <w:rPr>
          <w:rStyle w:val="FootnoteReference"/>
        </w:rPr>
        <w:footnoteRef/>
      </w:r>
      <w:r>
        <w:t xml:space="preserve"> Appellate Body Report, </w:t>
      </w:r>
      <w:r>
        <w:rPr>
          <w:i/>
          <w:iCs/>
        </w:rPr>
        <w:t xml:space="preserve">Brazil – Retreaded Tyres, </w:t>
      </w:r>
      <w:r>
        <w:t xml:space="preserve">para 178 - 182; Appellate Body Report, </w:t>
      </w:r>
      <w:r>
        <w:rPr>
          <w:i/>
          <w:iCs/>
        </w:rPr>
        <w:t xml:space="preserve">US – Gambling, </w:t>
      </w:r>
      <w:r>
        <w:t xml:space="preserve">para. 307; Appellate Body Report, </w:t>
      </w:r>
      <w:r>
        <w:rPr>
          <w:i/>
          <w:iCs/>
        </w:rPr>
        <w:t xml:space="preserve">Korea – Various Measures on Beef, </w:t>
      </w:r>
      <w:r>
        <w:t xml:space="preserve">para. 164; Appellate Body Report, </w:t>
      </w:r>
      <w:r w:rsidRPr="0018427C">
        <w:rPr>
          <w:i/>
          <w:iCs/>
        </w:rPr>
        <w:t>Colombia – Textiles</w:t>
      </w:r>
      <w:r>
        <w:t>, paras. 5.71-5.74</w:t>
      </w:r>
    </w:p>
  </w:footnote>
  <w:footnote w:id="31">
    <w:p w14:paraId="14D66775" w14:textId="59536AAF" w:rsidR="007A3379" w:rsidRDefault="007A3379">
      <w:pPr>
        <w:pStyle w:val="FootnoteText"/>
      </w:pPr>
      <w:r>
        <w:rPr>
          <w:rStyle w:val="FootnoteReference"/>
        </w:rPr>
        <w:footnoteRef/>
      </w:r>
      <w:r>
        <w:t xml:space="preserve"> Ibid.</w:t>
      </w:r>
    </w:p>
  </w:footnote>
  <w:footnote w:id="32">
    <w:p w14:paraId="5768D57F" w14:textId="12821352" w:rsidR="007A3379" w:rsidRDefault="007A3379">
      <w:pPr>
        <w:pStyle w:val="FootnoteText"/>
      </w:pPr>
      <w:r>
        <w:rPr>
          <w:rStyle w:val="FootnoteReference"/>
        </w:rPr>
        <w:footnoteRef/>
      </w:r>
      <w:r>
        <w:t xml:space="preserve"> Appellate Body Reports, </w:t>
      </w:r>
      <w:r w:rsidRPr="007A3379">
        <w:rPr>
          <w:i/>
          <w:iCs/>
        </w:rPr>
        <w:t>China – Rare Earths</w:t>
      </w:r>
      <w:r>
        <w:t>, para. 5.90.</w:t>
      </w:r>
    </w:p>
  </w:footnote>
  <w:footnote w:id="33">
    <w:p w14:paraId="0AA4FB86" w14:textId="7ED5CBA1" w:rsidR="008B2469" w:rsidRDefault="008B2469">
      <w:pPr>
        <w:pStyle w:val="FootnoteText"/>
      </w:pPr>
      <w:r>
        <w:rPr>
          <w:rStyle w:val="FootnoteReference"/>
        </w:rPr>
        <w:footnoteRef/>
      </w:r>
      <w:r>
        <w:t xml:space="preserve"> Ibid.</w:t>
      </w:r>
    </w:p>
  </w:footnote>
  <w:footnote w:id="34">
    <w:p w14:paraId="778DF870" w14:textId="49DBF1B1" w:rsidR="008B2469" w:rsidRDefault="008B2469">
      <w:pPr>
        <w:pStyle w:val="FootnoteText"/>
      </w:pPr>
      <w:r>
        <w:rPr>
          <w:rStyle w:val="FootnoteReference"/>
        </w:rPr>
        <w:footnoteRef/>
      </w:r>
      <w:r>
        <w:t xml:space="preserve"> Ibid.</w:t>
      </w:r>
    </w:p>
  </w:footnote>
  <w:footnote w:id="35">
    <w:p w14:paraId="69CED12E" w14:textId="5A5BAFDE" w:rsidR="005E369B" w:rsidRDefault="005E369B">
      <w:pPr>
        <w:pStyle w:val="FootnoteText"/>
      </w:pPr>
      <w:r>
        <w:rPr>
          <w:rStyle w:val="FootnoteReference"/>
        </w:rPr>
        <w:footnoteRef/>
      </w:r>
      <w:r>
        <w:t xml:space="preserve"> European Union’s First Written Submission, paras 1249 – 1253.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E591" w14:textId="77777777" w:rsidR="007A3379" w:rsidRDefault="007A3379" w:rsidP="001B5E94">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9AAEA" w14:textId="77777777" w:rsidR="007A3379" w:rsidRDefault="007A3379">
    <w:pPr>
      <w:pStyle w:val="Header"/>
    </w:pPr>
  </w:p>
  <w:p w14:paraId="76BEB889" w14:textId="77777777" w:rsidR="007A3379" w:rsidRDefault="007A33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D5E7" w14:textId="59C87064" w:rsidR="007A3379" w:rsidRPr="00323D96" w:rsidRDefault="007A3379" w:rsidP="00323D96">
    <w:pPr>
      <w:pStyle w:val="Header"/>
      <w:framePr w:wrap="none" w:vAnchor="text" w:hAnchor="page" w:x="6511" w:y="-11"/>
      <w:rPr>
        <w:rStyle w:val="PageNumber"/>
        <w:sz w:val="20"/>
        <w:szCs w:val="2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93"/>
    </w:tblGrid>
    <w:tr w:rsidR="007A3379" w:rsidRPr="00675C86" w14:paraId="2D8490AB" w14:textId="77777777">
      <w:trPr>
        <w:trHeight w:val="90"/>
      </w:trPr>
      <w:tc>
        <w:tcPr>
          <w:tcW w:w="4968" w:type="dxa"/>
          <w:tcBorders>
            <w:top w:val="nil"/>
            <w:left w:val="nil"/>
            <w:bottom w:val="nil"/>
            <w:right w:val="nil"/>
          </w:tcBorders>
        </w:tcPr>
        <w:p w14:paraId="7C42F693" w14:textId="2A9C244A" w:rsidR="007A3379" w:rsidRDefault="007A3379" w:rsidP="00323D96">
          <w:pPr>
            <w:pStyle w:val="Header"/>
            <w:tabs>
              <w:tab w:val="clear" w:pos="4153"/>
              <w:tab w:val="center" w:pos="3420"/>
            </w:tabs>
            <w:ind w:right="59"/>
            <w:rPr>
              <w:rFonts w:eastAsia="SimSun"/>
              <w:i/>
              <w:iCs/>
              <w:sz w:val="20"/>
              <w:szCs w:val="20"/>
              <w:lang w:val="en-AU"/>
            </w:rPr>
          </w:pPr>
          <w:r>
            <w:rPr>
              <w:rFonts w:eastAsia="SimSun"/>
              <w:i/>
              <w:iCs/>
              <w:sz w:val="20"/>
              <w:szCs w:val="20"/>
              <w:lang w:val="en-AU"/>
            </w:rPr>
            <w:t>E</w:t>
          </w:r>
          <w:r w:rsidRPr="00323D96">
            <w:rPr>
              <w:rFonts w:eastAsia="SimSun"/>
              <w:i/>
              <w:iCs/>
              <w:sz w:val="20"/>
              <w:szCs w:val="20"/>
              <w:lang w:val="en-AU"/>
            </w:rPr>
            <w:t>uropean Union –</w:t>
          </w:r>
          <w:r>
            <w:rPr>
              <w:rFonts w:eastAsia="SimSun"/>
              <w:i/>
              <w:iCs/>
              <w:sz w:val="20"/>
              <w:szCs w:val="20"/>
              <w:lang w:val="en-AU"/>
            </w:rPr>
            <w:t xml:space="preserve"> Certain Measures Concerning</w:t>
          </w:r>
          <w:r w:rsidRPr="00323D96">
            <w:rPr>
              <w:rFonts w:eastAsia="SimSun"/>
              <w:i/>
              <w:iCs/>
              <w:sz w:val="20"/>
              <w:szCs w:val="20"/>
              <w:lang w:val="en-AU"/>
            </w:rPr>
            <w:t xml:space="preserve"> </w:t>
          </w:r>
          <w:r>
            <w:rPr>
              <w:rFonts w:eastAsia="SimSun"/>
              <w:i/>
              <w:iCs/>
              <w:sz w:val="20"/>
              <w:szCs w:val="20"/>
              <w:lang w:val="en-AU"/>
            </w:rPr>
            <w:t xml:space="preserve">Palm Oil and Oil Palm Crop-Based Biofuels </w:t>
          </w:r>
          <w:r w:rsidRPr="00323D96">
            <w:rPr>
              <w:rFonts w:eastAsia="SimSun"/>
              <w:i/>
              <w:iCs/>
              <w:sz w:val="20"/>
              <w:szCs w:val="20"/>
              <w:lang w:val="en-AU"/>
            </w:rPr>
            <w:t>(DS5</w:t>
          </w:r>
          <w:r>
            <w:rPr>
              <w:rFonts w:eastAsia="SimSun"/>
              <w:i/>
              <w:iCs/>
              <w:sz w:val="20"/>
              <w:szCs w:val="20"/>
              <w:lang w:val="en-AU"/>
            </w:rPr>
            <w:t>93</w:t>
          </w:r>
          <w:r w:rsidRPr="00323D96">
            <w:rPr>
              <w:rFonts w:eastAsia="SimSun"/>
              <w:i/>
              <w:iCs/>
              <w:sz w:val="20"/>
              <w:szCs w:val="20"/>
              <w:lang w:val="en-AU"/>
            </w:rPr>
            <w:t>)</w:t>
          </w:r>
        </w:p>
        <w:p w14:paraId="2FFA68AE" w14:textId="77777777" w:rsidR="007A3379" w:rsidRPr="00323D96" w:rsidRDefault="007A3379" w:rsidP="00323D96">
          <w:pPr>
            <w:pStyle w:val="Header"/>
            <w:tabs>
              <w:tab w:val="clear" w:pos="4153"/>
              <w:tab w:val="center" w:pos="3420"/>
            </w:tabs>
            <w:ind w:right="59"/>
            <w:rPr>
              <w:rFonts w:eastAsia="SimSun"/>
              <w:i/>
              <w:iCs/>
              <w:sz w:val="20"/>
              <w:szCs w:val="20"/>
              <w:lang w:val="en-AU"/>
            </w:rPr>
          </w:pPr>
        </w:p>
        <w:p w14:paraId="348E97AE" w14:textId="77777777" w:rsidR="007A3379" w:rsidRPr="00323D96" w:rsidRDefault="007A3379" w:rsidP="00323D96">
          <w:pPr>
            <w:pStyle w:val="Header"/>
            <w:tabs>
              <w:tab w:val="clear" w:pos="4153"/>
              <w:tab w:val="center" w:pos="3420"/>
            </w:tabs>
            <w:ind w:right="59"/>
            <w:rPr>
              <w:rFonts w:eastAsia="SimSun"/>
              <w:i/>
              <w:iCs/>
              <w:sz w:val="20"/>
              <w:szCs w:val="20"/>
              <w:lang w:val="en-AU"/>
            </w:rPr>
          </w:pPr>
        </w:p>
      </w:tc>
      <w:tc>
        <w:tcPr>
          <w:tcW w:w="4693" w:type="dxa"/>
          <w:tcBorders>
            <w:top w:val="nil"/>
            <w:left w:val="nil"/>
            <w:bottom w:val="nil"/>
            <w:right w:val="nil"/>
          </w:tcBorders>
        </w:tcPr>
        <w:p w14:paraId="5D5DB817" w14:textId="77777777" w:rsidR="007A3379" w:rsidRPr="00323D96" w:rsidRDefault="007A3379" w:rsidP="00323D96">
          <w:pPr>
            <w:pStyle w:val="Header"/>
            <w:jc w:val="right"/>
            <w:rPr>
              <w:rFonts w:eastAsia="SimSun"/>
              <w:i/>
              <w:iCs/>
              <w:sz w:val="20"/>
              <w:szCs w:val="20"/>
              <w:lang w:val="en-AU"/>
            </w:rPr>
          </w:pPr>
          <w:r>
            <w:rPr>
              <w:rFonts w:eastAsia="SimSun"/>
              <w:i/>
              <w:iCs/>
              <w:sz w:val="20"/>
              <w:szCs w:val="20"/>
              <w:lang w:val="en-AU"/>
            </w:rPr>
            <w:t>Third Party</w:t>
          </w:r>
          <w:r w:rsidRPr="00323D96">
            <w:rPr>
              <w:rFonts w:eastAsia="SimSun"/>
              <w:i/>
              <w:iCs/>
              <w:sz w:val="20"/>
              <w:szCs w:val="20"/>
              <w:lang w:val="en-AU"/>
            </w:rPr>
            <w:t xml:space="preserve"> Written Submission of Australia</w:t>
          </w:r>
        </w:p>
        <w:p w14:paraId="6F6C27F0" w14:textId="2578ED39" w:rsidR="007A3379" w:rsidRPr="00323D96" w:rsidRDefault="007A3379" w:rsidP="00323D96">
          <w:pPr>
            <w:pStyle w:val="Header"/>
            <w:jc w:val="right"/>
            <w:rPr>
              <w:rFonts w:eastAsia="SimSun"/>
              <w:i/>
              <w:iCs/>
              <w:sz w:val="20"/>
              <w:szCs w:val="20"/>
              <w:lang w:val="en-AU"/>
            </w:rPr>
          </w:pPr>
          <w:r>
            <w:rPr>
              <w:rFonts w:eastAsia="SimSun"/>
              <w:i/>
              <w:iCs/>
              <w:sz w:val="20"/>
              <w:szCs w:val="20"/>
              <w:lang w:val="en-AU"/>
            </w:rPr>
            <w:t>19 March 2021</w:t>
          </w:r>
        </w:p>
        <w:p w14:paraId="23451D5F" w14:textId="77777777" w:rsidR="007A3379" w:rsidRPr="00323D96" w:rsidRDefault="007A3379" w:rsidP="00323D96">
          <w:pPr>
            <w:pStyle w:val="Header"/>
            <w:jc w:val="right"/>
            <w:rPr>
              <w:rFonts w:eastAsia="SimSun"/>
              <w:i/>
              <w:iCs/>
              <w:sz w:val="20"/>
              <w:szCs w:val="20"/>
              <w:lang w:val="en-AU"/>
            </w:rPr>
          </w:pPr>
        </w:p>
      </w:tc>
    </w:tr>
  </w:tbl>
  <w:p w14:paraId="51AEAAB7" w14:textId="77777777" w:rsidR="007A3379" w:rsidRPr="00C869C4" w:rsidRDefault="007A3379" w:rsidP="00FC3B12">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603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C52B7"/>
    <w:multiLevelType w:val="hybridMultilevel"/>
    <w:tmpl w:val="81B2078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14911"/>
    <w:multiLevelType w:val="singleLevel"/>
    <w:tmpl w:val="1256C170"/>
    <w:lvl w:ilvl="0">
      <w:start w:val="1"/>
      <w:numFmt w:val="decimal"/>
      <w:pStyle w:val="WTONum"/>
      <w:lvlText w:val="%1."/>
      <w:lvlJc w:val="left"/>
      <w:pPr>
        <w:tabs>
          <w:tab w:val="num" w:pos="878"/>
        </w:tabs>
        <w:ind w:left="87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F210CF8"/>
    <w:multiLevelType w:val="hybridMultilevel"/>
    <w:tmpl w:val="8E72231E"/>
    <w:lvl w:ilvl="0" w:tplc="06AC4EF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166B1"/>
    <w:multiLevelType w:val="hybridMultilevel"/>
    <w:tmpl w:val="E43C5C6E"/>
    <w:lvl w:ilvl="0" w:tplc="080C1670">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67751F"/>
    <w:multiLevelType w:val="hybridMultilevel"/>
    <w:tmpl w:val="061831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4E551EF"/>
    <w:multiLevelType w:val="hybridMultilevel"/>
    <w:tmpl w:val="59AEDB26"/>
    <w:lvl w:ilvl="0" w:tplc="9FD64660">
      <w:numFmt w:val="bullet"/>
      <w:lvlText w:val="-"/>
      <w:lvlJc w:val="left"/>
      <w:pPr>
        <w:ind w:left="1097" w:hanging="360"/>
      </w:pPr>
      <w:rPr>
        <w:rFonts w:ascii="Verdana" w:eastAsia="Times New Roman" w:hAnsi="Verdana" w:cs="Times New Roman" w:hint="default"/>
      </w:rPr>
    </w:lvl>
    <w:lvl w:ilvl="1" w:tplc="080C0003" w:tentative="1">
      <w:start w:val="1"/>
      <w:numFmt w:val="bullet"/>
      <w:lvlText w:val="o"/>
      <w:lvlJc w:val="left"/>
      <w:pPr>
        <w:ind w:left="1817" w:hanging="360"/>
      </w:pPr>
      <w:rPr>
        <w:rFonts w:ascii="Courier New" w:hAnsi="Courier New" w:cs="Courier New" w:hint="default"/>
      </w:rPr>
    </w:lvl>
    <w:lvl w:ilvl="2" w:tplc="080C0005" w:tentative="1">
      <w:start w:val="1"/>
      <w:numFmt w:val="bullet"/>
      <w:lvlText w:val=""/>
      <w:lvlJc w:val="left"/>
      <w:pPr>
        <w:ind w:left="2537" w:hanging="360"/>
      </w:pPr>
      <w:rPr>
        <w:rFonts w:ascii="Wingdings" w:hAnsi="Wingdings" w:hint="default"/>
      </w:rPr>
    </w:lvl>
    <w:lvl w:ilvl="3" w:tplc="080C0001" w:tentative="1">
      <w:start w:val="1"/>
      <w:numFmt w:val="bullet"/>
      <w:lvlText w:val=""/>
      <w:lvlJc w:val="left"/>
      <w:pPr>
        <w:ind w:left="3257" w:hanging="360"/>
      </w:pPr>
      <w:rPr>
        <w:rFonts w:ascii="Symbol" w:hAnsi="Symbol" w:hint="default"/>
      </w:rPr>
    </w:lvl>
    <w:lvl w:ilvl="4" w:tplc="080C0003" w:tentative="1">
      <w:start w:val="1"/>
      <w:numFmt w:val="bullet"/>
      <w:lvlText w:val="o"/>
      <w:lvlJc w:val="left"/>
      <w:pPr>
        <w:ind w:left="3977" w:hanging="360"/>
      </w:pPr>
      <w:rPr>
        <w:rFonts w:ascii="Courier New" w:hAnsi="Courier New" w:cs="Courier New" w:hint="default"/>
      </w:rPr>
    </w:lvl>
    <w:lvl w:ilvl="5" w:tplc="080C0005" w:tentative="1">
      <w:start w:val="1"/>
      <w:numFmt w:val="bullet"/>
      <w:lvlText w:val=""/>
      <w:lvlJc w:val="left"/>
      <w:pPr>
        <w:ind w:left="4697" w:hanging="360"/>
      </w:pPr>
      <w:rPr>
        <w:rFonts w:ascii="Wingdings" w:hAnsi="Wingdings" w:hint="default"/>
      </w:rPr>
    </w:lvl>
    <w:lvl w:ilvl="6" w:tplc="080C0001" w:tentative="1">
      <w:start w:val="1"/>
      <w:numFmt w:val="bullet"/>
      <w:lvlText w:val=""/>
      <w:lvlJc w:val="left"/>
      <w:pPr>
        <w:ind w:left="5417" w:hanging="360"/>
      </w:pPr>
      <w:rPr>
        <w:rFonts w:ascii="Symbol" w:hAnsi="Symbol" w:hint="default"/>
      </w:rPr>
    </w:lvl>
    <w:lvl w:ilvl="7" w:tplc="080C0003" w:tentative="1">
      <w:start w:val="1"/>
      <w:numFmt w:val="bullet"/>
      <w:lvlText w:val="o"/>
      <w:lvlJc w:val="left"/>
      <w:pPr>
        <w:ind w:left="6137" w:hanging="360"/>
      </w:pPr>
      <w:rPr>
        <w:rFonts w:ascii="Courier New" w:hAnsi="Courier New" w:cs="Courier New" w:hint="default"/>
      </w:rPr>
    </w:lvl>
    <w:lvl w:ilvl="8" w:tplc="080C0005" w:tentative="1">
      <w:start w:val="1"/>
      <w:numFmt w:val="bullet"/>
      <w:lvlText w:val=""/>
      <w:lvlJc w:val="left"/>
      <w:pPr>
        <w:ind w:left="6857" w:hanging="360"/>
      </w:pPr>
      <w:rPr>
        <w:rFonts w:ascii="Wingdings" w:hAnsi="Wingdings" w:hint="default"/>
      </w:rPr>
    </w:lvl>
  </w:abstractNum>
  <w:abstractNum w:abstractNumId="7" w15:restartNumberingAfterBreak="0">
    <w:nsid w:val="179E4B90"/>
    <w:multiLevelType w:val="hybridMultilevel"/>
    <w:tmpl w:val="CC14B3BA"/>
    <w:lvl w:ilvl="0" w:tplc="6ECCF82E">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5C4822"/>
    <w:multiLevelType w:val="hybridMultilevel"/>
    <w:tmpl w:val="980CA292"/>
    <w:lvl w:ilvl="0" w:tplc="0688028E">
      <w:start w:val="1"/>
      <w:numFmt w:val="lowerRoman"/>
      <w:lvlText w:val="(%1)"/>
      <w:lvlJc w:val="left"/>
      <w:pPr>
        <w:ind w:left="1080" w:hanging="720"/>
      </w:pPr>
    </w:lvl>
    <w:lvl w:ilvl="1" w:tplc="0688028E">
      <w:start w:val="1"/>
      <w:numFmt w:val="lowerRoman"/>
      <w:lvlText w:val="(%2)"/>
      <w:lvlJc w:val="left"/>
      <w:pPr>
        <w:ind w:left="1440" w:hanging="360"/>
      </w:pPr>
      <w:rPr>
        <w:rFonts w:hint="default"/>
      </w:rPr>
    </w:lvl>
    <w:lvl w:ilvl="2" w:tplc="2C84244C">
      <w:numFmt w:val="bullet"/>
      <w:lvlText w:val=""/>
      <w:lvlJc w:val="left"/>
      <w:pPr>
        <w:ind w:left="2160" w:hanging="180"/>
      </w:pPr>
      <w:rPr>
        <w:rFonts w:ascii="Symbol" w:eastAsia="Calibri" w:hAnsi="Symbol" w:cs="Times New Roman" w:hint="default"/>
        <w:color w:val="1F497D"/>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14F1232"/>
    <w:multiLevelType w:val="hybridMultilevel"/>
    <w:tmpl w:val="7AD008E6"/>
    <w:lvl w:ilvl="0" w:tplc="F140CCD4">
      <w:start w:val="2"/>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5097C1D"/>
    <w:multiLevelType w:val="hybridMultilevel"/>
    <w:tmpl w:val="F45ADE0E"/>
    <w:lvl w:ilvl="0" w:tplc="06AC4EF2">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A25594"/>
    <w:multiLevelType w:val="hybridMultilevel"/>
    <w:tmpl w:val="C36E08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C28348F"/>
    <w:multiLevelType w:val="hybridMultilevel"/>
    <w:tmpl w:val="68E232F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636"/>
        </w:tabs>
        <w:ind w:left="1636" w:hanging="360"/>
      </w:pPr>
      <w:rPr>
        <w:rFonts w:hint="default"/>
      </w:rPr>
    </w:lvl>
    <w:lvl w:ilvl="2" w:tplc="E97032EA">
      <w:start w:val="1"/>
      <w:numFmt w:val="lowerRoman"/>
      <w:lvlText w:val="(%3)"/>
      <w:lvlJc w:val="left"/>
      <w:pPr>
        <w:tabs>
          <w:tab w:val="num" w:pos="2160"/>
        </w:tabs>
        <w:ind w:left="2160" w:hanging="180"/>
      </w:pPr>
      <w:rPr>
        <w:rFonts w:hint="default"/>
      </w:rPr>
    </w:lvl>
    <w:lvl w:ilvl="3" w:tplc="E97032EA">
      <w:start w:val="1"/>
      <w:numFmt w:val="lowerRoman"/>
      <w:lvlText w:val="(%4)"/>
      <w:lvlJc w:val="left"/>
      <w:pPr>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FBA2CE2"/>
    <w:multiLevelType w:val="hybridMultilevel"/>
    <w:tmpl w:val="68E232F2"/>
    <w:lvl w:ilvl="0" w:tplc="6A38635C">
      <w:start w:val="1"/>
      <w:numFmt w:val="decimal"/>
      <w:lvlText w:val="%1."/>
      <w:lvlJc w:val="left"/>
      <w:pPr>
        <w:tabs>
          <w:tab w:val="num" w:pos="360"/>
        </w:tabs>
        <w:ind w:left="360" w:hanging="360"/>
      </w:pPr>
      <w:rPr>
        <w:rFonts w:hint="default"/>
        <w:b w:val="0"/>
        <w:i w:val="0"/>
        <w:strike w:val="0"/>
        <w:dstrike w:val="0"/>
      </w:rPr>
    </w:lvl>
    <w:lvl w:ilvl="1" w:tplc="1F9AA09C">
      <w:start w:val="1"/>
      <w:numFmt w:val="lowerLetter"/>
      <w:lvlText w:val="(%2)"/>
      <w:lvlJc w:val="left"/>
      <w:pPr>
        <w:tabs>
          <w:tab w:val="num" w:pos="1636"/>
        </w:tabs>
        <w:ind w:left="1636" w:hanging="360"/>
      </w:pPr>
      <w:rPr>
        <w:rFonts w:hint="default"/>
      </w:rPr>
    </w:lvl>
    <w:lvl w:ilvl="2" w:tplc="E97032EA">
      <w:start w:val="1"/>
      <w:numFmt w:val="lowerRoman"/>
      <w:lvlText w:val="(%3)"/>
      <w:lvlJc w:val="left"/>
      <w:pPr>
        <w:tabs>
          <w:tab w:val="num" w:pos="2160"/>
        </w:tabs>
        <w:ind w:left="2160" w:hanging="180"/>
      </w:pPr>
      <w:rPr>
        <w:rFonts w:hint="default"/>
      </w:rPr>
    </w:lvl>
    <w:lvl w:ilvl="3" w:tplc="E97032EA">
      <w:start w:val="1"/>
      <w:numFmt w:val="lowerRoman"/>
      <w:lvlText w:val="(%4)"/>
      <w:lvlJc w:val="left"/>
      <w:pPr>
        <w:ind w:left="2880" w:hanging="360"/>
      </w:pPr>
      <w:rPr>
        <w:rFonts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01F53FF"/>
    <w:multiLevelType w:val="hybridMultilevel"/>
    <w:tmpl w:val="492A436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C900D8"/>
    <w:multiLevelType w:val="multilevel"/>
    <w:tmpl w:val="99EC887C"/>
    <w:lvl w:ilvl="0">
      <w:start w:val="1"/>
      <w:numFmt w:val="upperRoman"/>
      <w:pStyle w:val="Heading1"/>
      <w:lvlText w:val="%1."/>
      <w:lvlJc w:val="left"/>
      <w:pPr>
        <w:tabs>
          <w:tab w:val="num" w:pos="720"/>
        </w:tabs>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502"/>
        </w:tabs>
        <w:ind w:left="142" w:firstLine="0"/>
      </w:pPr>
      <w:rPr>
        <w:rFonts w:ascii="Verdana" w:hAnsi="Verdana"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1440"/>
        </w:tabs>
        <w:ind w:left="1440" w:hanging="720"/>
      </w:pPr>
    </w:lvl>
    <w:lvl w:ilvl="8">
      <w:start w:val="1"/>
      <w:numFmt w:val="none"/>
      <w:pStyle w:val="BodyText4"/>
      <w:lvlText w:val="-"/>
      <w:lvlJc w:val="left"/>
      <w:pPr>
        <w:tabs>
          <w:tab w:val="num" w:pos="2104"/>
        </w:tabs>
        <w:ind w:left="2104" w:hanging="664"/>
      </w:pPr>
    </w:lvl>
  </w:abstractNum>
  <w:abstractNum w:abstractNumId="16" w15:restartNumberingAfterBreak="0">
    <w:nsid w:val="34607D7F"/>
    <w:multiLevelType w:val="hybridMultilevel"/>
    <w:tmpl w:val="7F904D62"/>
    <w:lvl w:ilvl="0" w:tplc="6ECCF82E">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FA346B"/>
    <w:multiLevelType w:val="hybridMultilevel"/>
    <w:tmpl w:val="26340B20"/>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F0E09"/>
    <w:multiLevelType w:val="multilevel"/>
    <w:tmpl w:val="493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0533B"/>
    <w:multiLevelType w:val="hybridMultilevel"/>
    <w:tmpl w:val="F6FA89D4"/>
    <w:lvl w:ilvl="0" w:tplc="0C09000F">
      <w:start w:val="1"/>
      <w:numFmt w:val="decimal"/>
      <w:lvlText w:val="%1."/>
      <w:lvlJc w:val="left"/>
      <w:pPr>
        <w:ind w:left="360" w:hanging="360"/>
      </w:pPr>
    </w:lvl>
    <w:lvl w:ilvl="1" w:tplc="E97032E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387626"/>
    <w:multiLevelType w:val="hybridMultilevel"/>
    <w:tmpl w:val="AEF46E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9C84F76"/>
    <w:multiLevelType w:val="hybridMultilevel"/>
    <w:tmpl w:val="75C800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EF26F9B"/>
    <w:multiLevelType w:val="hybridMultilevel"/>
    <w:tmpl w:val="C2085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E4D783B"/>
    <w:multiLevelType w:val="hybridMultilevel"/>
    <w:tmpl w:val="C1381BCC"/>
    <w:lvl w:ilvl="0" w:tplc="88E05CD4">
      <w:numFmt w:val="bullet"/>
      <w:suff w:val="space"/>
      <w:lvlText w:val=""/>
      <w:lvlJc w:val="left"/>
      <w:pPr>
        <w:ind w:left="1361" w:hanging="281"/>
      </w:pPr>
      <w:rPr>
        <w:rFonts w:ascii="Symbol" w:eastAsia="Times New Roman" w:hAnsi="Symbo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1746A3C"/>
    <w:multiLevelType w:val="hybridMultilevel"/>
    <w:tmpl w:val="312CC2FA"/>
    <w:lvl w:ilvl="0" w:tplc="1ACED274">
      <w:numFmt w:val="bullet"/>
      <w:lvlText w:val=""/>
      <w:lvlJc w:val="left"/>
      <w:pPr>
        <w:ind w:left="720" w:hanging="360"/>
      </w:pPr>
      <w:rPr>
        <w:rFonts w:ascii="Symbol" w:eastAsia="Calibri" w:hAnsi="Symbol" w:cs="Times New Roman" w:hint="default"/>
      </w:rPr>
    </w:lvl>
    <w:lvl w:ilvl="1" w:tplc="8DC6697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70247C"/>
    <w:multiLevelType w:val="multilevel"/>
    <w:tmpl w:val="E65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40620"/>
    <w:multiLevelType w:val="hybridMultilevel"/>
    <w:tmpl w:val="4D9022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5B5E63"/>
    <w:multiLevelType w:val="multilevel"/>
    <w:tmpl w:val="9E84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A52A3A"/>
    <w:multiLevelType w:val="hybridMultilevel"/>
    <w:tmpl w:val="C988FB26"/>
    <w:lvl w:ilvl="0" w:tplc="0C090015">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7"/>
  </w:num>
  <w:num w:numId="4">
    <w:abstractNumId w:val="15"/>
  </w:num>
  <w:num w:numId="5">
    <w:abstractNumId w:val="15"/>
  </w:num>
  <w:num w:numId="6">
    <w:abstractNumId w:val="15"/>
  </w:num>
  <w:num w:numId="7">
    <w:abstractNumId w:val="1"/>
  </w:num>
  <w:num w:numId="8">
    <w:abstractNumId w:val="0"/>
  </w:num>
  <w:num w:numId="9">
    <w:abstractNumId w:val="16"/>
  </w:num>
  <w:num w:numId="10">
    <w:abstractNumId w:val="14"/>
  </w:num>
  <w:num w:numId="11">
    <w:abstractNumId w:val="19"/>
  </w:num>
  <w:num w:numId="12">
    <w:abstractNumId w:val="11"/>
  </w:num>
  <w:num w:numId="13">
    <w:abstractNumId w:val="10"/>
  </w:num>
  <w:num w:numId="14">
    <w:abstractNumId w:val="4"/>
  </w:num>
  <w:num w:numId="15">
    <w:abstractNumId w:val="8"/>
  </w:num>
  <w:num w:numId="16">
    <w:abstractNumId w:val="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27"/>
  </w:num>
  <w:num w:numId="25">
    <w:abstractNumId w:val="21"/>
  </w:num>
  <w:num w:numId="26">
    <w:abstractNumId w:val="28"/>
  </w:num>
  <w:num w:numId="27">
    <w:abstractNumId w:val="12"/>
  </w:num>
  <w:num w:numId="28">
    <w:abstractNumId w:val="17"/>
  </w:num>
  <w:num w:numId="29">
    <w:abstractNumId w:val="20"/>
  </w:num>
  <w:num w:numId="30">
    <w:abstractNumId w:val="2"/>
  </w:num>
  <w:num w:numId="31">
    <w:abstractNumId w:val="6"/>
  </w:num>
  <w:num w:numId="32">
    <w:abstractNumId w:val="25"/>
  </w:num>
  <w:num w:numId="33">
    <w:abstractNumId w:val="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AC"/>
    <w:rsid w:val="000014C2"/>
    <w:rsid w:val="00001C52"/>
    <w:rsid w:val="000033EA"/>
    <w:rsid w:val="0000399D"/>
    <w:rsid w:val="00005B8A"/>
    <w:rsid w:val="0000630B"/>
    <w:rsid w:val="00006946"/>
    <w:rsid w:val="00007D42"/>
    <w:rsid w:val="00010EC8"/>
    <w:rsid w:val="00012102"/>
    <w:rsid w:val="00013D2C"/>
    <w:rsid w:val="00014664"/>
    <w:rsid w:val="00014A1C"/>
    <w:rsid w:val="000155AB"/>
    <w:rsid w:val="00022163"/>
    <w:rsid w:val="00022EC9"/>
    <w:rsid w:val="00026FF6"/>
    <w:rsid w:val="00027548"/>
    <w:rsid w:val="000278CE"/>
    <w:rsid w:val="0003241E"/>
    <w:rsid w:val="00036B6E"/>
    <w:rsid w:val="000435E3"/>
    <w:rsid w:val="00044332"/>
    <w:rsid w:val="0004707D"/>
    <w:rsid w:val="00047CEF"/>
    <w:rsid w:val="000515C1"/>
    <w:rsid w:val="00052654"/>
    <w:rsid w:val="000530D2"/>
    <w:rsid w:val="00055BE1"/>
    <w:rsid w:val="00063491"/>
    <w:rsid w:val="000649A4"/>
    <w:rsid w:val="00065EF8"/>
    <w:rsid w:val="0006767D"/>
    <w:rsid w:val="0007100D"/>
    <w:rsid w:val="00071548"/>
    <w:rsid w:val="00072630"/>
    <w:rsid w:val="0007524E"/>
    <w:rsid w:val="00080476"/>
    <w:rsid w:val="0008124F"/>
    <w:rsid w:val="00084542"/>
    <w:rsid w:val="00084D94"/>
    <w:rsid w:val="00084F66"/>
    <w:rsid w:val="00086546"/>
    <w:rsid w:val="000953B9"/>
    <w:rsid w:val="00095540"/>
    <w:rsid w:val="00095989"/>
    <w:rsid w:val="00096C44"/>
    <w:rsid w:val="000A1573"/>
    <w:rsid w:val="000A261F"/>
    <w:rsid w:val="000A5B05"/>
    <w:rsid w:val="000A605C"/>
    <w:rsid w:val="000A6D38"/>
    <w:rsid w:val="000A7AEC"/>
    <w:rsid w:val="000B0765"/>
    <w:rsid w:val="000B0EC2"/>
    <w:rsid w:val="000C1B36"/>
    <w:rsid w:val="000C2B5F"/>
    <w:rsid w:val="000C36C0"/>
    <w:rsid w:val="000C4083"/>
    <w:rsid w:val="000C7F5B"/>
    <w:rsid w:val="000D037F"/>
    <w:rsid w:val="000D3653"/>
    <w:rsid w:val="000D439A"/>
    <w:rsid w:val="000D52AC"/>
    <w:rsid w:val="000D62AD"/>
    <w:rsid w:val="000E052A"/>
    <w:rsid w:val="000E10FA"/>
    <w:rsid w:val="000E18AB"/>
    <w:rsid w:val="000E2241"/>
    <w:rsid w:val="000E23FA"/>
    <w:rsid w:val="000E31C4"/>
    <w:rsid w:val="000E60CA"/>
    <w:rsid w:val="000E7AD0"/>
    <w:rsid w:val="000F1521"/>
    <w:rsid w:val="000F1A0F"/>
    <w:rsid w:val="000F2F49"/>
    <w:rsid w:val="00102EE8"/>
    <w:rsid w:val="001036EB"/>
    <w:rsid w:val="0010438E"/>
    <w:rsid w:val="0010715E"/>
    <w:rsid w:val="001071C2"/>
    <w:rsid w:val="0010797A"/>
    <w:rsid w:val="001106DB"/>
    <w:rsid w:val="00110A00"/>
    <w:rsid w:val="00110BC4"/>
    <w:rsid w:val="0011176F"/>
    <w:rsid w:val="00112AAC"/>
    <w:rsid w:val="00112E4E"/>
    <w:rsid w:val="0011768F"/>
    <w:rsid w:val="001176A6"/>
    <w:rsid w:val="00117D2F"/>
    <w:rsid w:val="00121558"/>
    <w:rsid w:val="00121A71"/>
    <w:rsid w:val="0012315C"/>
    <w:rsid w:val="001237DA"/>
    <w:rsid w:val="00132577"/>
    <w:rsid w:val="00132FA6"/>
    <w:rsid w:val="00136EDC"/>
    <w:rsid w:val="00137289"/>
    <w:rsid w:val="0013756D"/>
    <w:rsid w:val="00140CD4"/>
    <w:rsid w:val="00141DD5"/>
    <w:rsid w:val="00143A3D"/>
    <w:rsid w:val="001469B1"/>
    <w:rsid w:val="00147EE1"/>
    <w:rsid w:val="00151197"/>
    <w:rsid w:val="00151B6F"/>
    <w:rsid w:val="00152C90"/>
    <w:rsid w:val="00154BBD"/>
    <w:rsid w:val="00156461"/>
    <w:rsid w:val="0016251C"/>
    <w:rsid w:val="0016594C"/>
    <w:rsid w:val="0016650A"/>
    <w:rsid w:val="0017378A"/>
    <w:rsid w:val="00173D37"/>
    <w:rsid w:val="00174ADB"/>
    <w:rsid w:val="00176A9D"/>
    <w:rsid w:val="0018185C"/>
    <w:rsid w:val="00181BEE"/>
    <w:rsid w:val="00183BFF"/>
    <w:rsid w:val="0018427C"/>
    <w:rsid w:val="00184564"/>
    <w:rsid w:val="001940F4"/>
    <w:rsid w:val="001A16DF"/>
    <w:rsid w:val="001A4E0D"/>
    <w:rsid w:val="001A61D1"/>
    <w:rsid w:val="001A6363"/>
    <w:rsid w:val="001A7E6E"/>
    <w:rsid w:val="001A7F09"/>
    <w:rsid w:val="001B0595"/>
    <w:rsid w:val="001B1054"/>
    <w:rsid w:val="001B1363"/>
    <w:rsid w:val="001B3D61"/>
    <w:rsid w:val="001B5E94"/>
    <w:rsid w:val="001C1A95"/>
    <w:rsid w:val="001C1AC1"/>
    <w:rsid w:val="001C38A9"/>
    <w:rsid w:val="001C59FA"/>
    <w:rsid w:val="001C7C2B"/>
    <w:rsid w:val="001D1464"/>
    <w:rsid w:val="001D2656"/>
    <w:rsid w:val="001D370E"/>
    <w:rsid w:val="001D67CB"/>
    <w:rsid w:val="001D6B45"/>
    <w:rsid w:val="001E0C1D"/>
    <w:rsid w:val="001E66CE"/>
    <w:rsid w:val="001F2133"/>
    <w:rsid w:val="001F39B0"/>
    <w:rsid w:val="001F4E4A"/>
    <w:rsid w:val="001F5083"/>
    <w:rsid w:val="001F5872"/>
    <w:rsid w:val="00201750"/>
    <w:rsid w:val="002042EE"/>
    <w:rsid w:val="00204B38"/>
    <w:rsid w:val="00210250"/>
    <w:rsid w:val="00211245"/>
    <w:rsid w:val="00211B94"/>
    <w:rsid w:val="00212E81"/>
    <w:rsid w:val="0021385B"/>
    <w:rsid w:val="002148C1"/>
    <w:rsid w:val="002157A9"/>
    <w:rsid w:val="00222EC5"/>
    <w:rsid w:val="0022330C"/>
    <w:rsid w:val="00226D64"/>
    <w:rsid w:val="00233E24"/>
    <w:rsid w:val="0023645B"/>
    <w:rsid w:val="00236BB3"/>
    <w:rsid w:val="00237AD7"/>
    <w:rsid w:val="00244EB3"/>
    <w:rsid w:val="0024775A"/>
    <w:rsid w:val="00251170"/>
    <w:rsid w:val="00252155"/>
    <w:rsid w:val="00252353"/>
    <w:rsid w:val="00252EAC"/>
    <w:rsid w:val="00253A11"/>
    <w:rsid w:val="0025627B"/>
    <w:rsid w:val="00256FFD"/>
    <w:rsid w:val="002621A6"/>
    <w:rsid w:val="0026296B"/>
    <w:rsid w:val="002649CF"/>
    <w:rsid w:val="00267955"/>
    <w:rsid w:val="0027001C"/>
    <w:rsid w:val="0027064A"/>
    <w:rsid w:val="00272CDC"/>
    <w:rsid w:val="00275D19"/>
    <w:rsid w:val="0027616E"/>
    <w:rsid w:val="002774C9"/>
    <w:rsid w:val="002823CC"/>
    <w:rsid w:val="00292213"/>
    <w:rsid w:val="00292DC8"/>
    <w:rsid w:val="002A00C0"/>
    <w:rsid w:val="002A3801"/>
    <w:rsid w:val="002A41E9"/>
    <w:rsid w:val="002A51CB"/>
    <w:rsid w:val="002A5F1E"/>
    <w:rsid w:val="002A751B"/>
    <w:rsid w:val="002B11A8"/>
    <w:rsid w:val="002B14E6"/>
    <w:rsid w:val="002B27A4"/>
    <w:rsid w:val="002B3B88"/>
    <w:rsid w:val="002B6705"/>
    <w:rsid w:val="002D02E2"/>
    <w:rsid w:val="002D0A5F"/>
    <w:rsid w:val="002D18DC"/>
    <w:rsid w:val="002D1F4B"/>
    <w:rsid w:val="002D3417"/>
    <w:rsid w:val="002D3C00"/>
    <w:rsid w:val="002D4466"/>
    <w:rsid w:val="002E279E"/>
    <w:rsid w:val="002E4C34"/>
    <w:rsid w:val="002F0A3F"/>
    <w:rsid w:val="002F1698"/>
    <w:rsid w:val="002F179A"/>
    <w:rsid w:val="002F239F"/>
    <w:rsid w:val="002F4189"/>
    <w:rsid w:val="002F5238"/>
    <w:rsid w:val="003029AC"/>
    <w:rsid w:val="00302B90"/>
    <w:rsid w:val="0030318F"/>
    <w:rsid w:val="00303328"/>
    <w:rsid w:val="00312036"/>
    <w:rsid w:val="00313A0E"/>
    <w:rsid w:val="00313CF5"/>
    <w:rsid w:val="00315EEE"/>
    <w:rsid w:val="00317061"/>
    <w:rsid w:val="00317B4A"/>
    <w:rsid w:val="00317E3F"/>
    <w:rsid w:val="003201DB"/>
    <w:rsid w:val="00320BD6"/>
    <w:rsid w:val="00322164"/>
    <w:rsid w:val="00323D96"/>
    <w:rsid w:val="00324867"/>
    <w:rsid w:val="00326E6F"/>
    <w:rsid w:val="00327B4B"/>
    <w:rsid w:val="003313B4"/>
    <w:rsid w:val="00340D72"/>
    <w:rsid w:val="003410FA"/>
    <w:rsid w:val="00342F08"/>
    <w:rsid w:val="00344A74"/>
    <w:rsid w:val="00347035"/>
    <w:rsid w:val="00347049"/>
    <w:rsid w:val="003503DF"/>
    <w:rsid w:val="00350FFB"/>
    <w:rsid w:val="0035189B"/>
    <w:rsid w:val="00352D6D"/>
    <w:rsid w:val="00356799"/>
    <w:rsid w:val="00356BA4"/>
    <w:rsid w:val="00360486"/>
    <w:rsid w:val="003676DA"/>
    <w:rsid w:val="00372738"/>
    <w:rsid w:val="00373570"/>
    <w:rsid w:val="00374381"/>
    <w:rsid w:val="00375EEB"/>
    <w:rsid w:val="0038280F"/>
    <w:rsid w:val="003828B6"/>
    <w:rsid w:val="00383398"/>
    <w:rsid w:val="00383E6E"/>
    <w:rsid w:val="00384BC6"/>
    <w:rsid w:val="00384DC7"/>
    <w:rsid w:val="0038513A"/>
    <w:rsid w:val="00385AB1"/>
    <w:rsid w:val="0038622F"/>
    <w:rsid w:val="00386676"/>
    <w:rsid w:val="00390F87"/>
    <w:rsid w:val="00392004"/>
    <w:rsid w:val="003958C7"/>
    <w:rsid w:val="0039754F"/>
    <w:rsid w:val="003A117F"/>
    <w:rsid w:val="003A3A60"/>
    <w:rsid w:val="003A5F63"/>
    <w:rsid w:val="003A6186"/>
    <w:rsid w:val="003A6E25"/>
    <w:rsid w:val="003A7631"/>
    <w:rsid w:val="003B00CD"/>
    <w:rsid w:val="003B0B25"/>
    <w:rsid w:val="003B17C3"/>
    <w:rsid w:val="003B4298"/>
    <w:rsid w:val="003B45B9"/>
    <w:rsid w:val="003B4866"/>
    <w:rsid w:val="003B4A92"/>
    <w:rsid w:val="003B51DE"/>
    <w:rsid w:val="003B604D"/>
    <w:rsid w:val="003C2DCA"/>
    <w:rsid w:val="003C33D9"/>
    <w:rsid w:val="003C35C0"/>
    <w:rsid w:val="003D113A"/>
    <w:rsid w:val="003D1AC8"/>
    <w:rsid w:val="003D21A0"/>
    <w:rsid w:val="003D6DC7"/>
    <w:rsid w:val="003D7E3B"/>
    <w:rsid w:val="003E350F"/>
    <w:rsid w:val="003E75DA"/>
    <w:rsid w:val="003F2A3C"/>
    <w:rsid w:val="003F5949"/>
    <w:rsid w:val="003F7E87"/>
    <w:rsid w:val="00400619"/>
    <w:rsid w:val="00400B7A"/>
    <w:rsid w:val="004040D8"/>
    <w:rsid w:val="004058AD"/>
    <w:rsid w:val="004065D6"/>
    <w:rsid w:val="00407071"/>
    <w:rsid w:val="00410D60"/>
    <w:rsid w:val="004114D0"/>
    <w:rsid w:val="00411B1F"/>
    <w:rsid w:val="00411F8B"/>
    <w:rsid w:val="00413BE4"/>
    <w:rsid w:val="00415887"/>
    <w:rsid w:val="00416B26"/>
    <w:rsid w:val="0042062E"/>
    <w:rsid w:val="00420EDD"/>
    <w:rsid w:val="004213AA"/>
    <w:rsid w:val="004213DA"/>
    <w:rsid w:val="00423ECD"/>
    <w:rsid w:val="00424D20"/>
    <w:rsid w:val="00424E3D"/>
    <w:rsid w:val="00432F72"/>
    <w:rsid w:val="00434197"/>
    <w:rsid w:val="00435D55"/>
    <w:rsid w:val="00436C76"/>
    <w:rsid w:val="004379B4"/>
    <w:rsid w:val="00437C73"/>
    <w:rsid w:val="00440827"/>
    <w:rsid w:val="0044398A"/>
    <w:rsid w:val="00446A53"/>
    <w:rsid w:val="00447C76"/>
    <w:rsid w:val="004516A9"/>
    <w:rsid w:val="00457CC8"/>
    <w:rsid w:val="004617AC"/>
    <w:rsid w:val="004626D7"/>
    <w:rsid w:val="004627B6"/>
    <w:rsid w:val="004652A1"/>
    <w:rsid w:val="00472213"/>
    <w:rsid w:val="00475361"/>
    <w:rsid w:val="00475D58"/>
    <w:rsid w:val="00480C52"/>
    <w:rsid w:val="004831C3"/>
    <w:rsid w:val="004833C2"/>
    <w:rsid w:val="00484E94"/>
    <w:rsid w:val="00485A3A"/>
    <w:rsid w:val="00486F7B"/>
    <w:rsid w:val="00494B7B"/>
    <w:rsid w:val="00497F8E"/>
    <w:rsid w:val="004A1353"/>
    <w:rsid w:val="004A58F3"/>
    <w:rsid w:val="004A5D2A"/>
    <w:rsid w:val="004B6395"/>
    <w:rsid w:val="004B69CD"/>
    <w:rsid w:val="004C097B"/>
    <w:rsid w:val="004C0AF8"/>
    <w:rsid w:val="004C5646"/>
    <w:rsid w:val="004D081F"/>
    <w:rsid w:val="004D32C4"/>
    <w:rsid w:val="004D4817"/>
    <w:rsid w:val="004D67D8"/>
    <w:rsid w:val="004E0BF4"/>
    <w:rsid w:val="004E2865"/>
    <w:rsid w:val="004E4CEA"/>
    <w:rsid w:val="004E6281"/>
    <w:rsid w:val="004E6419"/>
    <w:rsid w:val="004E736D"/>
    <w:rsid w:val="004F121D"/>
    <w:rsid w:val="004F2606"/>
    <w:rsid w:val="004F568C"/>
    <w:rsid w:val="004F6AB8"/>
    <w:rsid w:val="004F7838"/>
    <w:rsid w:val="004F7E94"/>
    <w:rsid w:val="005027B3"/>
    <w:rsid w:val="00503BE4"/>
    <w:rsid w:val="005045A0"/>
    <w:rsid w:val="00505E42"/>
    <w:rsid w:val="00506310"/>
    <w:rsid w:val="005066E3"/>
    <w:rsid w:val="00511DAA"/>
    <w:rsid w:val="0051638C"/>
    <w:rsid w:val="005173C7"/>
    <w:rsid w:val="0052104D"/>
    <w:rsid w:val="00521ABD"/>
    <w:rsid w:val="0052530F"/>
    <w:rsid w:val="00526EE6"/>
    <w:rsid w:val="0053082A"/>
    <w:rsid w:val="00530D56"/>
    <w:rsid w:val="00531AF0"/>
    <w:rsid w:val="005351D3"/>
    <w:rsid w:val="00535A89"/>
    <w:rsid w:val="00536998"/>
    <w:rsid w:val="00536E17"/>
    <w:rsid w:val="00540A92"/>
    <w:rsid w:val="005415FB"/>
    <w:rsid w:val="0055425E"/>
    <w:rsid w:val="00560769"/>
    <w:rsid w:val="005636C3"/>
    <w:rsid w:val="00563787"/>
    <w:rsid w:val="00565D69"/>
    <w:rsid w:val="005722B5"/>
    <w:rsid w:val="00572AED"/>
    <w:rsid w:val="005744F7"/>
    <w:rsid w:val="0057532A"/>
    <w:rsid w:val="00575AA6"/>
    <w:rsid w:val="00575B87"/>
    <w:rsid w:val="0058107D"/>
    <w:rsid w:val="005827AD"/>
    <w:rsid w:val="00583590"/>
    <w:rsid w:val="00583F3F"/>
    <w:rsid w:val="00587357"/>
    <w:rsid w:val="00590286"/>
    <w:rsid w:val="005910A0"/>
    <w:rsid w:val="0059413E"/>
    <w:rsid w:val="005A20EF"/>
    <w:rsid w:val="005A3CC0"/>
    <w:rsid w:val="005A63C5"/>
    <w:rsid w:val="005A69E5"/>
    <w:rsid w:val="005A6B13"/>
    <w:rsid w:val="005A6B7F"/>
    <w:rsid w:val="005B07AA"/>
    <w:rsid w:val="005B2C13"/>
    <w:rsid w:val="005B3B94"/>
    <w:rsid w:val="005B4E6F"/>
    <w:rsid w:val="005B5022"/>
    <w:rsid w:val="005B5526"/>
    <w:rsid w:val="005C01FE"/>
    <w:rsid w:val="005C3D38"/>
    <w:rsid w:val="005C3E41"/>
    <w:rsid w:val="005D0E1D"/>
    <w:rsid w:val="005D1123"/>
    <w:rsid w:val="005E369B"/>
    <w:rsid w:val="005E4A28"/>
    <w:rsid w:val="005E569B"/>
    <w:rsid w:val="005E6C44"/>
    <w:rsid w:val="005F4512"/>
    <w:rsid w:val="005F7A9D"/>
    <w:rsid w:val="00600ACE"/>
    <w:rsid w:val="00600D04"/>
    <w:rsid w:val="00600D59"/>
    <w:rsid w:val="006023AC"/>
    <w:rsid w:val="00603279"/>
    <w:rsid w:val="00603D2B"/>
    <w:rsid w:val="0060585A"/>
    <w:rsid w:val="0060627F"/>
    <w:rsid w:val="00607BB2"/>
    <w:rsid w:val="006139B3"/>
    <w:rsid w:val="006140FB"/>
    <w:rsid w:val="00614E2E"/>
    <w:rsid w:val="00617E7E"/>
    <w:rsid w:val="00622136"/>
    <w:rsid w:val="006251F9"/>
    <w:rsid w:val="0063205A"/>
    <w:rsid w:val="006325EF"/>
    <w:rsid w:val="0063519E"/>
    <w:rsid w:val="00636335"/>
    <w:rsid w:val="00637149"/>
    <w:rsid w:val="006375D8"/>
    <w:rsid w:val="00641ECE"/>
    <w:rsid w:val="00642E7E"/>
    <w:rsid w:val="006430E7"/>
    <w:rsid w:val="00652E88"/>
    <w:rsid w:val="00653CBE"/>
    <w:rsid w:val="0065690E"/>
    <w:rsid w:val="00656CA0"/>
    <w:rsid w:val="00657927"/>
    <w:rsid w:val="0066035B"/>
    <w:rsid w:val="006628E6"/>
    <w:rsid w:val="00662B72"/>
    <w:rsid w:val="00665D12"/>
    <w:rsid w:val="0066655B"/>
    <w:rsid w:val="006679DD"/>
    <w:rsid w:val="00674BE7"/>
    <w:rsid w:val="00676FD0"/>
    <w:rsid w:val="0068080D"/>
    <w:rsid w:val="00680955"/>
    <w:rsid w:val="0068217E"/>
    <w:rsid w:val="00684806"/>
    <w:rsid w:val="00685884"/>
    <w:rsid w:val="00685AB4"/>
    <w:rsid w:val="00686162"/>
    <w:rsid w:val="00686C38"/>
    <w:rsid w:val="00687645"/>
    <w:rsid w:val="00692FE5"/>
    <w:rsid w:val="00693352"/>
    <w:rsid w:val="00693737"/>
    <w:rsid w:val="00693C7C"/>
    <w:rsid w:val="006953D8"/>
    <w:rsid w:val="00695710"/>
    <w:rsid w:val="00697C04"/>
    <w:rsid w:val="00697C3C"/>
    <w:rsid w:val="006A02AC"/>
    <w:rsid w:val="006A207D"/>
    <w:rsid w:val="006A38A6"/>
    <w:rsid w:val="006A3FDD"/>
    <w:rsid w:val="006A51EC"/>
    <w:rsid w:val="006B1C52"/>
    <w:rsid w:val="006B29DF"/>
    <w:rsid w:val="006B3C99"/>
    <w:rsid w:val="006B51AA"/>
    <w:rsid w:val="006B579A"/>
    <w:rsid w:val="006B5C81"/>
    <w:rsid w:val="006B66A8"/>
    <w:rsid w:val="006B686D"/>
    <w:rsid w:val="006B77CD"/>
    <w:rsid w:val="006B7ADF"/>
    <w:rsid w:val="006C3EB7"/>
    <w:rsid w:val="006C55AE"/>
    <w:rsid w:val="006D0A15"/>
    <w:rsid w:val="006D1393"/>
    <w:rsid w:val="006D22A7"/>
    <w:rsid w:val="006D312F"/>
    <w:rsid w:val="006D4239"/>
    <w:rsid w:val="006D4A36"/>
    <w:rsid w:val="006D682D"/>
    <w:rsid w:val="006D79C5"/>
    <w:rsid w:val="006E0759"/>
    <w:rsid w:val="006E07D8"/>
    <w:rsid w:val="006E0C34"/>
    <w:rsid w:val="006E2101"/>
    <w:rsid w:val="006E398F"/>
    <w:rsid w:val="006E6DB4"/>
    <w:rsid w:val="006F0855"/>
    <w:rsid w:val="006F32BC"/>
    <w:rsid w:val="006F772B"/>
    <w:rsid w:val="00702679"/>
    <w:rsid w:val="007028FA"/>
    <w:rsid w:val="007076CB"/>
    <w:rsid w:val="00710304"/>
    <w:rsid w:val="00713763"/>
    <w:rsid w:val="00713E95"/>
    <w:rsid w:val="00714B86"/>
    <w:rsid w:val="00715D0E"/>
    <w:rsid w:val="007164BA"/>
    <w:rsid w:val="00721581"/>
    <w:rsid w:val="00723E38"/>
    <w:rsid w:val="0072473E"/>
    <w:rsid w:val="00725EC2"/>
    <w:rsid w:val="00725F7E"/>
    <w:rsid w:val="00730A23"/>
    <w:rsid w:val="0073416B"/>
    <w:rsid w:val="00741142"/>
    <w:rsid w:val="00742A55"/>
    <w:rsid w:val="00744806"/>
    <w:rsid w:val="0074489C"/>
    <w:rsid w:val="00751C21"/>
    <w:rsid w:val="00755233"/>
    <w:rsid w:val="00755D2A"/>
    <w:rsid w:val="00756ED3"/>
    <w:rsid w:val="007577ED"/>
    <w:rsid w:val="00762790"/>
    <w:rsid w:val="00764EE1"/>
    <w:rsid w:val="007655A3"/>
    <w:rsid w:val="007656CF"/>
    <w:rsid w:val="007702EB"/>
    <w:rsid w:val="007716C2"/>
    <w:rsid w:val="00771B2C"/>
    <w:rsid w:val="00773A6D"/>
    <w:rsid w:val="00774CC7"/>
    <w:rsid w:val="00776C3D"/>
    <w:rsid w:val="00777B9E"/>
    <w:rsid w:val="007808F4"/>
    <w:rsid w:val="0078218A"/>
    <w:rsid w:val="007821E8"/>
    <w:rsid w:val="00784156"/>
    <w:rsid w:val="007851AE"/>
    <w:rsid w:val="00785746"/>
    <w:rsid w:val="00785929"/>
    <w:rsid w:val="007878DF"/>
    <w:rsid w:val="0079283D"/>
    <w:rsid w:val="0079486F"/>
    <w:rsid w:val="007960D2"/>
    <w:rsid w:val="00796E08"/>
    <w:rsid w:val="007A3379"/>
    <w:rsid w:val="007A3E63"/>
    <w:rsid w:val="007A5A46"/>
    <w:rsid w:val="007A62E1"/>
    <w:rsid w:val="007B03D4"/>
    <w:rsid w:val="007B1BB5"/>
    <w:rsid w:val="007B41EB"/>
    <w:rsid w:val="007B5E39"/>
    <w:rsid w:val="007C1896"/>
    <w:rsid w:val="007C3103"/>
    <w:rsid w:val="007C35EB"/>
    <w:rsid w:val="007C51B9"/>
    <w:rsid w:val="007C5F50"/>
    <w:rsid w:val="007C62E2"/>
    <w:rsid w:val="007D00BC"/>
    <w:rsid w:val="007D04D9"/>
    <w:rsid w:val="007D06B3"/>
    <w:rsid w:val="007D17D1"/>
    <w:rsid w:val="007D6CC4"/>
    <w:rsid w:val="007E07C5"/>
    <w:rsid w:val="007E3C28"/>
    <w:rsid w:val="007E7C4A"/>
    <w:rsid w:val="007F5ADA"/>
    <w:rsid w:val="007F7581"/>
    <w:rsid w:val="007F7BCC"/>
    <w:rsid w:val="00800327"/>
    <w:rsid w:val="00800C71"/>
    <w:rsid w:val="00802DD6"/>
    <w:rsid w:val="008105F5"/>
    <w:rsid w:val="0081177A"/>
    <w:rsid w:val="00811E2F"/>
    <w:rsid w:val="0081265E"/>
    <w:rsid w:val="0081416A"/>
    <w:rsid w:val="00820A99"/>
    <w:rsid w:val="00820E30"/>
    <w:rsid w:val="00822660"/>
    <w:rsid w:val="00824BFB"/>
    <w:rsid w:val="008252EA"/>
    <w:rsid w:val="00826202"/>
    <w:rsid w:val="00827FB5"/>
    <w:rsid w:val="00830BE5"/>
    <w:rsid w:val="00830C71"/>
    <w:rsid w:val="008318AE"/>
    <w:rsid w:val="008324B9"/>
    <w:rsid w:val="00834E35"/>
    <w:rsid w:val="00835D15"/>
    <w:rsid w:val="0083702E"/>
    <w:rsid w:val="00840D8C"/>
    <w:rsid w:val="00841004"/>
    <w:rsid w:val="008444A0"/>
    <w:rsid w:val="00845BC2"/>
    <w:rsid w:val="008515E0"/>
    <w:rsid w:val="00852446"/>
    <w:rsid w:val="00855925"/>
    <w:rsid w:val="00856EE1"/>
    <w:rsid w:val="00860BF1"/>
    <w:rsid w:val="0086210E"/>
    <w:rsid w:val="00864155"/>
    <w:rsid w:val="00867168"/>
    <w:rsid w:val="008673F3"/>
    <w:rsid w:val="00870A9F"/>
    <w:rsid w:val="00871E6C"/>
    <w:rsid w:val="00872DB0"/>
    <w:rsid w:val="00873C51"/>
    <w:rsid w:val="00874A11"/>
    <w:rsid w:val="00875068"/>
    <w:rsid w:val="00875C0E"/>
    <w:rsid w:val="00880189"/>
    <w:rsid w:val="0088574B"/>
    <w:rsid w:val="00886FD7"/>
    <w:rsid w:val="0089418C"/>
    <w:rsid w:val="00895D2C"/>
    <w:rsid w:val="00897AFE"/>
    <w:rsid w:val="008A0BC6"/>
    <w:rsid w:val="008A1198"/>
    <w:rsid w:val="008A2F6F"/>
    <w:rsid w:val="008A3F8A"/>
    <w:rsid w:val="008B2071"/>
    <w:rsid w:val="008B2469"/>
    <w:rsid w:val="008B409E"/>
    <w:rsid w:val="008B65C9"/>
    <w:rsid w:val="008B745E"/>
    <w:rsid w:val="008C004C"/>
    <w:rsid w:val="008C09C5"/>
    <w:rsid w:val="008C2A20"/>
    <w:rsid w:val="008C3503"/>
    <w:rsid w:val="008C52BD"/>
    <w:rsid w:val="008C7C7A"/>
    <w:rsid w:val="008D30EE"/>
    <w:rsid w:val="008D5808"/>
    <w:rsid w:val="008D5C08"/>
    <w:rsid w:val="008D5FB0"/>
    <w:rsid w:val="008E37C6"/>
    <w:rsid w:val="008E5168"/>
    <w:rsid w:val="008E51DB"/>
    <w:rsid w:val="008E6F84"/>
    <w:rsid w:val="008E70DE"/>
    <w:rsid w:val="008E7B45"/>
    <w:rsid w:val="008F08CC"/>
    <w:rsid w:val="008F413D"/>
    <w:rsid w:val="008F5B7D"/>
    <w:rsid w:val="008F5C0B"/>
    <w:rsid w:val="008F6D9A"/>
    <w:rsid w:val="009037D9"/>
    <w:rsid w:val="00910B33"/>
    <w:rsid w:val="0091199C"/>
    <w:rsid w:val="00911D03"/>
    <w:rsid w:val="0091382C"/>
    <w:rsid w:val="00913AAF"/>
    <w:rsid w:val="00913F38"/>
    <w:rsid w:val="00915E4C"/>
    <w:rsid w:val="0091659F"/>
    <w:rsid w:val="00922E36"/>
    <w:rsid w:val="00924A39"/>
    <w:rsid w:val="009260F0"/>
    <w:rsid w:val="00926F1B"/>
    <w:rsid w:val="009270D6"/>
    <w:rsid w:val="0093027F"/>
    <w:rsid w:val="009422FD"/>
    <w:rsid w:val="00943712"/>
    <w:rsid w:val="00944B38"/>
    <w:rsid w:val="009450A3"/>
    <w:rsid w:val="0094622D"/>
    <w:rsid w:val="0094652E"/>
    <w:rsid w:val="009466BA"/>
    <w:rsid w:val="00950969"/>
    <w:rsid w:val="00951917"/>
    <w:rsid w:val="00952ED4"/>
    <w:rsid w:val="009531FF"/>
    <w:rsid w:val="009547FF"/>
    <w:rsid w:val="00954C96"/>
    <w:rsid w:val="00965DA1"/>
    <w:rsid w:val="0096674E"/>
    <w:rsid w:val="009671ED"/>
    <w:rsid w:val="00970418"/>
    <w:rsid w:val="00970536"/>
    <w:rsid w:val="009709DA"/>
    <w:rsid w:val="0097427B"/>
    <w:rsid w:val="00975732"/>
    <w:rsid w:val="00975777"/>
    <w:rsid w:val="0098107F"/>
    <w:rsid w:val="0098167D"/>
    <w:rsid w:val="00981BA6"/>
    <w:rsid w:val="00981E23"/>
    <w:rsid w:val="00981F95"/>
    <w:rsid w:val="009828DC"/>
    <w:rsid w:val="00982CF6"/>
    <w:rsid w:val="00983E53"/>
    <w:rsid w:val="00985505"/>
    <w:rsid w:val="00987851"/>
    <w:rsid w:val="00987CE3"/>
    <w:rsid w:val="00991044"/>
    <w:rsid w:val="0099367F"/>
    <w:rsid w:val="00994E2D"/>
    <w:rsid w:val="00996175"/>
    <w:rsid w:val="00996E2B"/>
    <w:rsid w:val="009975F5"/>
    <w:rsid w:val="009A1E5F"/>
    <w:rsid w:val="009A42FD"/>
    <w:rsid w:val="009A459B"/>
    <w:rsid w:val="009A7762"/>
    <w:rsid w:val="009B03CD"/>
    <w:rsid w:val="009B0DDA"/>
    <w:rsid w:val="009B247D"/>
    <w:rsid w:val="009B3945"/>
    <w:rsid w:val="009B40A8"/>
    <w:rsid w:val="009B4150"/>
    <w:rsid w:val="009B4199"/>
    <w:rsid w:val="009B4B15"/>
    <w:rsid w:val="009C0AA1"/>
    <w:rsid w:val="009C5DA9"/>
    <w:rsid w:val="009C60BF"/>
    <w:rsid w:val="009C68CB"/>
    <w:rsid w:val="009C7EF1"/>
    <w:rsid w:val="009D18F1"/>
    <w:rsid w:val="009D1F19"/>
    <w:rsid w:val="009D45BC"/>
    <w:rsid w:val="009D4B40"/>
    <w:rsid w:val="009D5D8B"/>
    <w:rsid w:val="009D6A57"/>
    <w:rsid w:val="009D70CA"/>
    <w:rsid w:val="009D789E"/>
    <w:rsid w:val="009E1285"/>
    <w:rsid w:val="009E341F"/>
    <w:rsid w:val="009E59AE"/>
    <w:rsid w:val="009E78EE"/>
    <w:rsid w:val="009F3CB9"/>
    <w:rsid w:val="009F7D0E"/>
    <w:rsid w:val="00A012F1"/>
    <w:rsid w:val="00A01DD5"/>
    <w:rsid w:val="00A04655"/>
    <w:rsid w:val="00A046C8"/>
    <w:rsid w:val="00A04FDD"/>
    <w:rsid w:val="00A05953"/>
    <w:rsid w:val="00A06A34"/>
    <w:rsid w:val="00A11A2B"/>
    <w:rsid w:val="00A1393E"/>
    <w:rsid w:val="00A14008"/>
    <w:rsid w:val="00A14383"/>
    <w:rsid w:val="00A143F0"/>
    <w:rsid w:val="00A1460B"/>
    <w:rsid w:val="00A15851"/>
    <w:rsid w:val="00A2051B"/>
    <w:rsid w:val="00A2249D"/>
    <w:rsid w:val="00A22531"/>
    <w:rsid w:val="00A23100"/>
    <w:rsid w:val="00A24428"/>
    <w:rsid w:val="00A24A94"/>
    <w:rsid w:val="00A25BEC"/>
    <w:rsid w:val="00A25C27"/>
    <w:rsid w:val="00A26191"/>
    <w:rsid w:val="00A26501"/>
    <w:rsid w:val="00A31F74"/>
    <w:rsid w:val="00A32325"/>
    <w:rsid w:val="00A34A0F"/>
    <w:rsid w:val="00A34A2B"/>
    <w:rsid w:val="00A3737C"/>
    <w:rsid w:val="00A40EB1"/>
    <w:rsid w:val="00A4107F"/>
    <w:rsid w:val="00A41BAA"/>
    <w:rsid w:val="00A4200D"/>
    <w:rsid w:val="00A43ADC"/>
    <w:rsid w:val="00A44D39"/>
    <w:rsid w:val="00A52951"/>
    <w:rsid w:val="00A52AB6"/>
    <w:rsid w:val="00A54A18"/>
    <w:rsid w:val="00A60FA9"/>
    <w:rsid w:val="00A6188B"/>
    <w:rsid w:val="00A635D1"/>
    <w:rsid w:val="00A63BFB"/>
    <w:rsid w:val="00A64AB5"/>
    <w:rsid w:val="00A65589"/>
    <w:rsid w:val="00A66185"/>
    <w:rsid w:val="00A6631D"/>
    <w:rsid w:val="00A663E4"/>
    <w:rsid w:val="00A67676"/>
    <w:rsid w:val="00A7104C"/>
    <w:rsid w:val="00A716BB"/>
    <w:rsid w:val="00A74167"/>
    <w:rsid w:val="00A83882"/>
    <w:rsid w:val="00A8545A"/>
    <w:rsid w:val="00A872CF"/>
    <w:rsid w:val="00A87DCF"/>
    <w:rsid w:val="00A97EE1"/>
    <w:rsid w:val="00AA10F9"/>
    <w:rsid w:val="00AA248E"/>
    <w:rsid w:val="00AA45A6"/>
    <w:rsid w:val="00AB14FE"/>
    <w:rsid w:val="00AB1BDF"/>
    <w:rsid w:val="00AB3810"/>
    <w:rsid w:val="00AB5B48"/>
    <w:rsid w:val="00AB5EAB"/>
    <w:rsid w:val="00AC10D9"/>
    <w:rsid w:val="00AC1E3B"/>
    <w:rsid w:val="00AC5869"/>
    <w:rsid w:val="00AD022F"/>
    <w:rsid w:val="00AD067C"/>
    <w:rsid w:val="00AD16B2"/>
    <w:rsid w:val="00AD3211"/>
    <w:rsid w:val="00AD73BF"/>
    <w:rsid w:val="00AE4CD5"/>
    <w:rsid w:val="00AE679E"/>
    <w:rsid w:val="00AF1EC4"/>
    <w:rsid w:val="00AF5034"/>
    <w:rsid w:val="00AF5486"/>
    <w:rsid w:val="00AF5831"/>
    <w:rsid w:val="00AF74CC"/>
    <w:rsid w:val="00B01F93"/>
    <w:rsid w:val="00B029EC"/>
    <w:rsid w:val="00B0485F"/>
    <w:rsid w:val="00B05F4A"/>
    <w:rsid w:val="00B20785"/>
    <w:rsid w:val="00B20E48"/>
    <w:rsid w:val="00B211AB"/>
    <w:rsid w:val="00B21336"/>
    <w:rsid w:val="00B2647C"/>
    <w:rsid w:val="00B2687C"/>
    <w:rsid w:val="00B33071"/>
    <w:rsid w:val="00B33B3E"/>
    <w:rsid w:val="00B350CD"/>
    <w:rsid w:val="00B37A19"/>
    <w:rsid w:val="00B37D55"/>
    <w:rsid w:val="00B41980"/>
    <w:rsid w:val="00B42915"/>
    <w:rsid w:val="00B433BC"/>
    <w:rsid w:val="00B44F06"/>
    <w:rsid w:val="00B51939"/>
    <w:rsid w:val="00B51C8E"/>
    <w:rsid w:val="00B520BD"/>
    <w:rsid w:val="00B52FD2"/>
    <w:rsid w:val="00B557D3"/>
    <w:rsid w:val="00B55BAE"/>
    <w:rsid w:val="00B56050"/>
    <w:rsid w:val="00B60B40"/>
    <w:rsid w:val="00B6170F"/>
    <w:rsid w:val="00B62778"/>
    <w:rsid w:val="00B6430C"/>
    <w:rsid w:val="00B64BB0"/>
    <w:rsid w:val="00B65C84"/>
    <w:rsid w:val="00B679E8"/>
    <w:rsid w:val="00B67BE7"/>
    <w:rsid w:val="00B7152C"/>
    <w:rsid w:val="00B71AEE"/>
    <w:rsid w:val="00B71F64"/>
    <w:rsid w:val="00B731D7"/>
    <w:rsid w:val="00B739D0"/>
    <w:rsid w:val="00B739FD"/>
    <w:rsid w:val="00B7424A"/>
    <w:rsid w:val="00B74AC9"/>
    <w:rsid w:val="00B77019"/>
    <w:rsid w:val="00B77104"/>
    <w:rsid w:val="00B777B7"/>
    <w:rsid w:val="00B8258D"/>
    <w:rsid w:val="00B82808"/>
    <w:rsid w:val="00B848BC"/>
    <w:rsid w:val="00B900A7"/>
    <w:rsid w:val="00B90788"/>
    <w:rsid w:val="00B93529"/>
    <w:rsid w:val="00B945AD"/>
    <w:rsid w:val="00B960BD"/>
    <w:rsid w:val="00B97B1D"/>
    <w:rsid w:val="00BA101C"/>
    <w:rsid w:val="00BA161F"/>
    <w:rsid w:val="00BA19AB"/>
    <w:rsid w:val="00BA22F0"/>
    <w:rsid w:val="00BA3A68"/>
    <w:rsid w:val="00BA3CA9"/>
    <w:rsid w:val="00BA404A"/>
    <w:rsid w:val="00BA6AFC"/>
    <w:rsid w:val="00BB254E"/>
    <w:rsid w:val="00BB687F"/>
    <w:rsid w:val="00BB7233"/>
    <w:rsid w:val="00BC18C1"/>
    <w:rsid w:val="00BC4E3C"/>
    <w:rsid w:val="00BD1230"/>
    <w:rsid w:val="00BD3E0C"/>
    <w:rsid w:val="00BD5C9C"/>
    <w:rsid w:val="00BD6834"/>
    <w:rsid w:val="00BD7179"/>
    <w:rsid w:val="00BD7801"/>
    <w:rsid w:val="00BE21A8"/>
    <w:rsid w:val="00BE5668"/>
    <w:rsid w:val="00BF0771"/>
    <w:rsid w:val="00BF1A6D"/>
    <w:rsid w:val="00BF2B11"/>
    <w:rsid w:val="00BF2E47"/>
    <w:rsid w:val="00BF3548"/>
    <w:rsid w:val="00BF54C3"/>
    <w:rsid w:val="00C02314"/>
    <w:rsid w:val="00C0455B"/>
    <w:rsid w:val="00C04AAD"/>
    <w:rsid w:val="00C053F3"/>
    <w:rsid w:val="00C069B9"/>
    <w:rsid w:val="00C12B2B"/>
    <w:rsid w:val="00C132E0"/>
    <w:rsid w:val="00C133D6"/>
    <w:rsid w:val="00C148F8"/>
    <w:rsid w:val="00C17DEB"/>
    <w:rsid w:val="00C2039E"/>
    <w:rsid w:val="00C209FA"/>
    <w:rsid w:val="00C2107B"/>
    <w:rsid w:val="00C226F9"/>
    <w:rsid w:val="00C22F0A"/>
    <w:rsid w:val="00C2677D"/>
    <w:rsid w:val="00C2756C"/>
    <w:rsid w:val="00C2765F"/>
    <w:rsid w:val="00C2767C"/>
    <w:rsid w:val="00C360BE"/>
    <w:rsid w:val="00C36A0E"/>
    <w:rsid w:val="00C37EDE"/>
    <w:rsid w:val="00C408F7"/>
    <w:rsid w:val="00C4247E"/>
    <w:rsid w:val="00C45A30"/>
    <w:rsid w:val="00C45B4A"/>
    <w:rsid w:val="00C45DD5"/>
    <w:rsid w:val="00C47746"/>
    <w:rsid w:val="00C5283B"/>
    <w:rsid w:val="00C54129"/>
    <w:rsid w:val="00C542C9"/>
    <w:rsid w:val="00C544DD"/>
    <w:rsid w:val="00C545A2"/>
    <w:rsid w:val="00C54A59"/>
    <w:rsid w:val="00C54F45"/>
    <w:rsid w:val="00C54F67"/>
    <w:rsid w:val="00C5592D"/>
    <w:rsid w:val="00C5703B"/>
    <w:rsid w:val="00C571B5"/>
    <w:rsid w:val="00C57CA1"/>
    <w:rsid w:val="00C63478"/>
    <w:rsid w:val="00C63A5F"/>
    <w:rsid w:val="00C648C3"/>
    <w:rsid w:val="00C6734F"/>
    <w:rsid w:val="00C6766C"/>
    <w:rsid w:val="00C718F3"/>
    <w:rsid w:val="00C71B67"/>
    <w:rsid w:val="00C71F8D"/>
    <w:rsid w:val="00C72A5E"/>
    <w:rsid w:val="00C7390A"/>
    <w:rsid w:val="00C7694B"/>
    <w:rsid w:val="00C76E75"/>
    <w:rsid w:val="00C81D6E"/>
    <w:rsid w:val="00C869C4"/>
    <w:rsid w:val="00C90B90"/>
    <w:rsid w:val="00C9319F"/>
    <w:rsid w:val="00C949AA"/>
    <w:rsid w:val="00C956F6"/>
    <w:rsid w:val="00C967BB"/>
    <w:rsid w:val="00CA08B7"/>
    <w:rsid w:val="00CA25B3"/>
    <w:rsid w:val="00CA3902"/>
    <w:rsid w:val="00CB3A5F"/>
    <w:rsid w:val="00CB5205"/>
    <w:rsid w:val="00CB7C12"/>
    <w:rsid w:val="00CC1C68"/>
    <w:rsid w:val="00CC29AC"/>
    <w:rsid w:val="00CC2BB1"/>
    <w:rsid w:val="00CC5B6E"/>
    <w:rsid w:val="00CC6045"/>
    <w:rsid w:val="00CD286A"/>
    <w:rsid w:val="00CE0127"/>
    <w:rsid w:val="00CE0B3F"/>
    <w:rsid w:val="00CE5E68"/>
    <w:rsid w:val="00CE6CAE"/>
    <w:rsid w:val="00CF1EFE"/>
    <w:rsid w:val="00CF3270"/>
    <w:rsid w:val="00D000E9"/>
    <w:rsid w:val="00D022E7"/>
    <w:rsid w:val="00D02C9C"/>
    <w:rsid w:val="00D03DA8"/>
    <w:rsid w:val="00D06426"/>
    <w:rsid w:val="00D1314F"/>
    <w:rsid w:val="00D162E6"/>
    <w:rsid w:val="00D20E57"/>
    <w:rsid w:val="00D22AB7"/>
    <w:rsid w:val="00D25C2D"/>
    <w:rsid w:val="00D27174"/>
    <w:rsid w:val="00D30E4D"/>
    <w:rsid w:val="00D313F4"/>
    <w:rsid w:val="00D33B91"/>
    <w:rsid w:val="00D37B28"/>
    <w:rsid w:val="00D37D57"/>
    <w:rsid w:val="00D37E1F"/>
    <w:rsid w:val="00D4020A"/>
    <w:rsid w:val="00D4151D"/>
    <w:rsid w:val="00D43FAA"/>
    <w:rsid w:val="00D44587"/>
    <w:rsid w:val="00D45E09"/>
    <w:rsid w:val="00D46984"/>
    <w:rsid w:val="00D572ED"/>
    <w:rsid w:val="00D57950"/>
    <w:rsid w:val="00D6322A"/>
    <w:rsid w:val="00D63FAA"/>
    <w:rsid w:val="00D64185"/>
    <w:rsid w:val="00D64226"/>
    <w:rsid w:val="00D670C4"/>
    <w:rsid w:val="00D6798B"/>
    <w:rsid w:val="00D703DF"/>
    <w:rsid w:val="00D705C3"/>
    <w:rsid w:val="00D71F56"/>
    <w:rsid w:val="00D7389F"/>
    <w:rsid w:val="00D74031"/>
    <w:rsid w:val="00D746F2"/>
    <w:rsid w:val="00D74F1F"/>
    <w:rsid w:val="00D82D08"/>
    <w:rsid w:val="00D848C8"/>
    <w:rsid w:val="00D84958"/>
    <w:rsid w:val="00D8540C"/>
    <w:rsid w:val="00D8567C"/>
    <w:rsid w:val="00D85E1E"/>
    <w:rsid w:val="00D9060E"/>
    <w:rsid w:val="00D94F49"/>
    <w:rsid w:val="00D950D3"/>
    <w:rsid w:val="00D95303"/>
    <w:rsid w:val="00DA2DF5"/>
    <w:rsid w:val="00DA516F"/>
    <w:rsid w:val="00DA54F3"/>
    <w:rsid w:val="00DA6B88"/>
    <w:rsid w:val="00DB209D"/>
    <w:rsid w:val="00DB252D"/>
    <w:rsid w:val="00DB4468"/>
    <w:rsid w:val="00DB4CB2"/>
    <w:rsid w:val="00DB6461"/>
    <w:rsid w:val="00DB792B"/>
    <w:rsid w:val="00DC0BC4"/>
    <w:rsid w:val="00DC10FE"/>
    <w:rsid w:val="00DC630F"/>
    <w:rsid w:val="00DC6D5F"/>
    <w:rsid w:val="00DD04CD"/>
    <w:rsid w:val="00DD1E6F"/>
    <w:rsid w:val="00DD5011"/>
    <w:rsid w:val="00DD5E64"/>
    <w:rsid w:val="00DD6840"/>
    <w:rsid w:val="00DD7B2B"/>
    <w:rsid w:val="00DE04E0"/>
    <w:rsid w:val="00DE28FD"/>
    <w:rsid w:val="00DE2D3E"/>
    <w:rsid w:val="00DE2E92"/>
    <w:rsid w:val="00DE54CB"/>
    <w:rsid w:val="00DF026C"/>
    <w:rsid w:val="00DF0B2F"/>
    <w:rsid w:val="00DF1F6E"/>
    <w:rsid w:val="00DF29CD"/>
    <w:rsid w:val="00DF44E3"/>
    <w:rsid w:val="00DF59B1"/>
    <w:rsid w:val="00DF6407"/>
    <w:rsid w:val="00DF7CBD"/>
    <w:rsid w:val="00E00AAC"/>
    <w:rsid w:val="00E02476"/>
    <w:rsid w:val="00E05504"/>
    <w:rsid w:val="00E0777C"/>
    <w:rsid w:val="00E13159"/>
    <w:rsid w:val="00E13522"/>
    <w:rsid w:val="00E13F4D"/>
    <w:rsid w:val="00E16D15"/>
    <w:rsid w:val="00E21839"/>
    <w:rsid w:val="00E267AD"/>
    <w:rsid w:val="00E26837"/>
    <w:rsid w:val="00E329E2"/>
    <w:rsid w:val="00E32F8D"/>
    <w:rsid w:val="00E34D38"/>
    <w:rsid w:val="00E36732"/>
    <w:rsid w:val="00E376D6"/>
    <w:rsid w:val="00E37D30"/>
    <w:rsid w:val="00E42C29"/>
    <w:rsid w:val="00E436E5"/>
    <w:rsid w:val="00E43AE8"/>
    <w:rsid w:val="00E43CFE"/>
    <w:rsid w:val="00E46C8A"/>
    <w:rsid w:val="00E50331"/>
    <w:rsid w:val="00E51E18"/>
    <w:rsid w:val="00E530A2"/>
    <w:rsid w:val="00E54E47"/>
    <w:rsid w:val="00E608AD"/>
    <w:rsid w:val="00E62649"/>
    <w:rsid w:val="00E669E0"/>
    <w:rsid w:val="00E676CD"/>
    <w:rsid w:val="00E704F0"/>
    <w:rsid w:val="00E708C9"/>
    <w:rsid w:val="00E71A98"/>
    <w:rsid w:val="00E71DFA"/>
    <w:rsid w:val="00E73318"/>
    <w:rsid w:val="00E74E26"/>
    <w:rsid w:val="00E778A5"/>
    <w:rsid w:val="00E80205"/>
    <w:rsid w:val="00E815E5"/>
    <w:rsid w:val="00E8202D"/>
    <w:rsid w:val="00E859EE"/>
    <w:rsid w:val="00E86410"/>
    <w:rsid w:val="00E866A5"/>
    <w:rsid w:val="00E870E3"/>
    <w:rsid w:val="00E91FC4"/>
    <w:rsid w:val="00E9279A"/>
    <w:rsid w:val="00E959B0"/>
    <w:rsid w:val="00E97059"/>
    <w:rsid w:val="00EA17B5"/>
    <w:rsid w:val="00EA2461"/>
    <w:rsid w:val="00EA499F"/>
    <w:rsid w:val="00EA6F63"/>
    <w:rsid w:val="00EB26ED"/>
    <w:rsid w:val="00EB484A"/>
    <w:rsid w:val="00EB52BE"/>
    <w:rsid w:val="00EB6F7C"/>
    <w:rsid w:val="00EC004F"/>
    <w:rsid w:val="00EC155A"/>
    <w:rsid w:val="00EC1593"/>
    <w:rsid w:val="00EC195F"/>
    <w:rsid w:val="00EC2FE2"/>
    <w:rsid w:val="00EC4CAB"/>
    <w:rsid w:val="00EC5F88"/>
    <w:rsid w:val="00EC7B79"/>
    <w:rsid w:val="00EC7D67"/>
    <w:rsid w:val="00ED049A"/>
    <w:rsid w:val="00ED2AC7"/>
    <w:rsid w:val="00ED663E"/>
    <w:rsid w:val="00ED676A"/>
    <w:rsid w:val="00EE126B"/>
    <w:rsid w:val="00EE56D5"/>
    <w:rsid w:val="00EE7E6F"/>
    <w:rsid w:val="00EF0886"/>
    <w:rsid w:val="00EF0ED4"/>
    <w:rsid w:val="00EF1896"/>
    <w:rsid w:val="00EF43EA"/>
    <w:rsid w:val="00EF5034"/>
    <w:rsid w:val="00EF5143"/>
    <w:rsid w:val="00EF5CF9"/>
    <w:rsid w:val="00EF77A2"/>
    <w:rsid w:val="00F008A1"/>
    <w:rsid w:val="00F045C8"/>
    <w:rsid w:val="00F04A9A"/>
    <w:rsid w:val="00F057BF"/>
    <w:rsid w:val="00F06F85"/>
    <w:rsid w:val="00F10160"/>
    <w:rsid w:val="00F13161"/>
    <w:rsid w:val="00F1681D"/>
    <w:rsid w:val="00F16F8E"/>
    <w:rsid w:val="00F17AAC"/>
    <w:rsid w:val="00F20C71"/>
    <w:rsid w:val="00F22EB1"/>
    <w:rsid w:val="00F2512B"/>
    <w:rsid w:val="00F26FD5"/>
    <w:rsid w:val="00F27CB1"/>
    <w:rsid w:val="00F34DC5"/>
    <w:rsid w:val="00F43F52"/>
    <w:rsid w:val="00F464C3"/>
    <w:rsid w:val="00F532E0"/>
    <w:rsid w:val="00F53E12"/>
    <w:rsid w:val="00F55E6B"/>
    <w:rsid w:val="00F55F77"/>
    <w:rsid w:val="00F606E6"/>
    <w:rsid w:val="00F60BC1"/>
    <w:rsid w:val="00F613AF"/>
    <w:rsid w:val="00F61D09"/>
    <w:rsid w:val="00F658B5"/>
    <w:rsid w:val="00F70638"/>
    <w:rsid w:val="00F745D4"/>
    <w:rsid w:val="00F74604"/>
    <w:rsid w:val="00F776B1"/>
    <w:rsid w:val="00F83297"/>
    <w:rsid w:val="00F83C85"/>
    <w:rsid w:val="00F922D7"/>
    <w:rsid w:val="00F94173"/>
    <w:rsid w:val="00FA2E70"/>
    <w:rsid w:val="00FA32EE"/>
    <w:rsid w:val="00FA333F"/>
    <w:rsid w:val="00FB1520"/>
    <w:rsid w:val="00FB5128"/>
    <w:rsid w:val="00FB67AB"/>
    <w:rsid w:val="00FB7137"/>
    <w:rsid w:val="00FC1827"/>
    <w:rsid w:val="00FC23E1"/>
    <w:rsid w:val="00FC3B12"/>
    <w:rsid w:val="00FC6B28"/>
    <w:rsid w:val="00FC70FA"/>
    <w:rsid w:val="00FC7562"/>
    <w:rsid w:val="00FD4C9A"/>
    <w:rsid w:val="00FD4F42"/>
    <w:rsid w:val="00FD5B5D"/>
    <w:rsid w:val="00FD5C6F"/>
    <w:rsid w:val="00FD7171"/>
    <w:rsid w:val="00FE060B"/>
    <w:rsid w:val="00FE19EB"/>
    <w:rsid w:val="00FE2674"/>
    <w:rsid w:val="00FE30A9"/>
    <w:rsid w:val="00FE4B31"/>
    <w:rsid w:val="00FE5EA6"/>
    <w:rsid w:val="00FE64DB"/>
    <w:rsid w:val="00FE6788"/>
    <w:rsid w:val="00FF0105"/>
    <w:rsid w:val="00FF0CDE"/>
    <w:rsid w:val="00FF1B5E"/>
    <w:rsid w:val="00FF21E9"/>
    <w:rsid w:val="00FF224F"/>
    <w:rsid w:val="00FF4A28"/>
    <w:rsid w:val="00FF561E"/>
    <w:rsid w:val="00FF68F5"/>
    <w:rsid w:val="00FF6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9D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303"/>
    <w:rPr>
      <w:sz w:val="24"/>
      <w:szCs w:val="24"/>
      <w:lang w:eastAsia="en-US"/>
    </w:rPr>
  </w:style>
  <w:style w:type="paragraph" w:styleId="Heading1">
    <w:name w:val="heading 1"/>
    <w:basedOn w:val="Normal"/>
    <w:next w:val="Heading2"/>
    <w:link w:val="Heading1Char"/>
    <w:qFormat/>
    <w:rsid w:val="006023AC"/>
    <w:pPr>
      <w:keepNext/>
      <w:numPr>
        <w:numId w:val="1"/>
      </w:numPr>
      <w:spacing w:after="240"/>
      <w:jc w:val="both"/>
      <w:outlineLvl w:val="0"/>
    </w:pPr>
    <w:rPr>
      <w:b/>
      <w:caps/>
      <w:sz w:val="22"/>
      <w:szCs w:val="20"/>
      <w:lang w:val="en-GB"/>
    </w:rPr>
  </w:style>
  <w:style w:type="paragraph" w:styleId="Heading2">
    <w:name w:val="heading 2"/>
    <w:basedOn w:val="Normal"/>
    <w:next w:val="Heading3"/>
    <w:link w:val="Heading2Char"/>
    <w:qFormat/>
    <w:rsid w:val="006023AC"/>
    <w:pPr>
      <w:keepNext/>
      <w:numPr>
        <w:ilvl w:val="1"/>
        <w:numId w:val="1"/>
      </w:numPr>
      <w:spacing w:after="240"/>
      <w:jc w:val="both"/>
      <w:outlineLvl w:val="1"/>
    </w:pPr>
    <w:rPr>
      <w:b/>
      <w:smallCaps/>
      <w:sz w:val="22"/>
      <w:szCs w:val="20"/>
      <w:lang w:val="en-GB"/>
    </w:rPr>
  </w:style>
  <w:style w:type="paragraph" w:styleId="Heading3">
    <w:name w:val="heading 3"/>
    <w:basedOn w:val="Normal"/>
    <w:next w:val="Heading4"/>
    <w:link w:val="Heading3Char"/>
    <w:qFormat/>
    <w:rsid w:val="006023AC"/>
    <w:pPr>
      <w:keepNext/>
      <w:numPr>
        <w:ilvl w:val="2"/>
        <w:numId w:val="1"/>
      </w:numPr>
      <w:tabs>
        <w:tab w:val="num" w:pos="720"/>
      </w:tabs>
      <w:spacing w:after="240"/>
      <w:ind w:left="360"/>
      <w:jc w:val="both"/>
      <w:outlineLvl w:val="2"/>
    </w:pPr>
    <w:rPr>
      <w:b/>
      <w:sz w:val="22"/>
      <w:szCs w:val="20"/>
      <w:lang w:val="en-GB"/>
    </w:rPr>
  </w:style>
  <w:style w:type="paragraph" w:styleId="Heading4">
    <w:name w:val="heading 4"/>
    <w:basedOn w:val="Normal"/>
    <w:next w:val="Normal"/>
    <w:link w:val="Heading4Char"/>
    <w:qFormat/>
    <w:rsid w:val="006023AC"/>
    <w:pPr>
      <w:keepNext/>
      <w:keepLines/>
      <w:spacing w:before="200"/>
      <w:outlineLvl w:val="3"/>
    </w:pPr>
    <w:rPr>
      <w:rFonts w:ascii="Cambria" w:hAnsi="Cambria"/>
      <w:b/>
      <w:bCs/>
      <w:i/>
      <w:iCs/>
      <w:color w:val="4F81BD"/>
    </w:rPr>
  </w:style>
  <w:style w:type="paragraph" w:styleId="Heading5">
    <w:name w:val="heading 5"/>
    <w:basedOn w:val="Normal"/>
    <w:next w:val="BodyText"/>
    <w:link w:val="Heading5Char"/>
    <w:qFormat/>
    <w:rsid w:val="006023AC"/>
    <w:pPr>
      <w:numPr>
        <w:ilvl w:val="4"/>
        <w:numId w:val="1"/>
      </w:numPr>
      <w:spacing w:after="240"/>
      <w:jc w:val="both"/>
      <w:outlineLvl w:val="4"/>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23AC"/>
    <w:rPr>
      <w:b/>
      <w:caps/>
      <w:sz w:val="22"/>
      <w:lang w:val="en-GB" w:eastAsia="en-US"/>
    </w:rPr>
  </w:style>
  <w:style w:type="character" w:customStyle="1" w:styleId="Heading2Char">
    <w:name w:val="Heading 2 Char"/>
    <w:link w:val="Heading2"/>
    <w:rsid w:val="006023AC"/>
    <w:rPr>
      <w:b/>
      <w:smallCaps/>
      <w:sz w:val="22"/>
      <w:lang w:val="en-GB" w:eastAsia="en-US"/>
    </w:rPr>
  </w:style>
  <w:style w:type="character" w:customStyle="1" w:styleId="Heading3Char">
    <w:name w:val="Heading 3 Char"/>
    <w:link w:val="Heading3"/>
    <w:rsid w:val="006023AC"/>
    <w:rPr>
      <w:b/>
      <w:sz w:val="22"/>
      <w:lang w:val="en-GB" w:eastAsia="en-US"/>
    </w:rPr>
  </w:style>
  <w:style w:type="character" w:customStyle="1" w:styleId="Heading5Char">
    <w:name w:val="Heading 5 Char"/>
    <w:link w:val="Heading5"/>
    <w:rsid w:val="006023AC"/>
    <w:rPr>
      <w:i/>
      <w:sz w:val="22"/>
      <w:lang w:val="en-GB" w:eastAsia="en-US"/>
    </w:rPr>
  </w:style>
  <w:style w:type="paragraph" w:styleId="Header">
    <w:name w:val="header"/>
    <w:basedOn w:val="Normal"/>
    <w:link w:val="HeaderChar"/>
    <w:uiPriority w:val="99"/>
    <w:rsid w:val="006023AC"/>
    <w:pPr>
      <w:tabs>
        <w:tab w:val="center" w:pos="4153"/>
        <w:tab w:val="right" w:pos="8306"/>
      </w:tabs>
    </w:pPr>
    <w:rPr>
      <w:lang w:val="x-none"/>
    </w:rPr>
  </w:style>
  <w:style w:type="character" w:customStyle="1" w:styleId="HeaderChar">
    <w:name w:val="Header Char"/>
    <w:link w:val="Header"/>
    <w:uiPriority w:val="99"/>
    <w:rsid w:val="006023AC"/>
    <w:rPr>
      <w:sz w:val="24"/>
      <w:szCs w:val="24"/>
      <w:lang w:val="x-none" w:eastAsia="en-US"/>
    </w:rPr>
  </w:style>
  <w:style w:type="paragraph" w:styleId="Footer">
    <w:name w:val="footer"/>
    <w:basedOn w:val="Normal"/>
    <w:link w:val="FooterChar"/>
    <w:uiPriority w:val="99"/>
    <w:rsid w:val="006023AC"/>
    <w:pPr>
      <w:tabs>
        <w:tab w:val="center" w:pos="4153"/>
        <w:tab w:val="right" w:pos="8306"/>
      </w:tabs>
    </w:pPr>
    <w:rPr>
      <w:lang w:val="x-none"/>
    </w:rPr>
  </w:style>
  <w:style w:type="character" w:customStyle="1" w:styleId="FooterChar">
    <w:name w:val="Footer Char"/>
    <w:link w:val="Footer"/>
    <w:uiPriority w:val="99"/>
    <w:rsid w:val="006023AC"/>
    <w:rPr>
      <w:sz w:val="24"/>
      <w:szCs w:val="24"/>
      <w:lang w:val="x-none" w:eastAsia="en-US"/>
    </w:rPr>
  </w:style>
  <w:style w:type="paragraph" w:customStyle="1" w:styleId="MinuteHeading">
    <w:name w:val="Minute Heading"/>
    <w:basedOn w:val="Normal"/>
    <w:next w:val="Normal"/>
    <w:rsid w:val="006023AC"/>
    <w:pPr>
      <w:framePr w:w="7200" w:hSpace="187" w:vSpace="187" w:wrap="auto" w:vAnchor="page" w:hAnchor="page" w:x="2113" w:y="1056"/>
      <w:spacing w:after="240" w:line="360" w:lineRule="atLeast"/>
      <w:jc w:val="center"/>
    </w:pPr>
    <w:rPr>
      <w:b/>
      <w:bCs/>
      <w:sz w:val="36"/>
      <w:szCs w:val="36"/>
      <w:lang w:val="en-GB" w:eastAsia="zh-CN"/>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Footnote Text Char1"/>
    <w:basedOn w:val="Normal"/>
    <w:link w:val="FootnoteTextChar"/>
    <w:rsid w:val="006023AC"/>
    <w:rPr>
      <w:sz w:val="20"/>
      <w:szCs w:val="20"/>
      <w:lang w:eastAsia="en-AU"/>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uiPriority w:val="99"/>
    <w:rsid w:val="006023AC"/>
  </w:style>
  <w:style w:type="character" w:styleId="FootnoteReference">
    <w:name w:val="footnote reference"/>
    <w:aliases w:val="Ref,de nota al pie"/>
    <w:rsid w:val="006023AC"/>
    <w:rPr>
      <w:vertAlign w:val="superscript"/>
    </w:rPr>
  </w:style>
  <w:style w:type="paragraph" w:customStyle="1" w:styleId="ColorfulList-Accent11">
    <w:name w:val="Colorful List - Accent 11"/>
    <w:basedOn w:val="Normal"/>
    <w:uiPriority w:val="34"/>
    <w:qFormat/>
    <w:rsid w:val="006023AC"/>
    <w:pPr>
      <w:spacing w:after="200" w:line="276" w:lineRule="auto"/>
      <w:ind w:left="720"/>
      <w:contextualSpacing/>
    </w:pPr>
    <w:rPr>
      <w:rFonts w:ascii="Calibri" w:eastAsia="Calibri" w:hAnsi="Calibri"/>
      <w:sz w:val="22"/>
      <w:szCs w:val="22"/>
    </w:rPr>
  </w:style>
  <w:style w:type="character" w:styleId="PageNumber">
    <w:name w:val="page number"/>
    <w:basedOn w:val="DefaultParagraphFont"/>
    <w:rsid w:val="006023AC"/>
  </w:style>
  <w:style w:type="paragraph" w:styleId="TOC2">
    <w:name w:val="toc 2"/>
    <w:basedOn w:val="Normal"/>
    <w:next w:val="Normal"/>
    <w:autoRedefine/>
    <w:uiPriority w:val="39"/>
    <w:rsid w:val="006023AC"/>
    <w:pPr>
      <w:tabs>
        <w:tab w:val="left" w:pos="709"/>
        <w:tab w:val="right" w:leader="dot" w:pos="8280"/>
      </w:tabs>
      <w:spacing w:before="240" w:after="240"/>
      <w:ind w:left="709" w:hanging="425"/>
    </w:pPr>
    <w:rPr>
      <w:rFonts w:eastAsia="SimSun"/>
      <w:noProof/>
      <w:lang w:eastAsia="zh-CN"/>
    </w:rPr>
  </w:style>
  <w:style w:type="paragraph" w:styleId="TOC1">
    <w:name w:val="toc 1"/>
    <w:basedOn w:val="Normal"/>
    <w:next w:val="Normal"/>
    <w:autoRedefine/>
    <w:uiPriority w:val="39"/>
    <w:rsid w:val="00656CA0"/>
    <w:pPr>
      <w:tabs>
        <w:tab w:val="left" w:pos="480"/>
        <w:tab w:val="right" w:leader="dot" w:pos="8280"/>
      </w:tabs>
    </w:pPr>
    <w:rPr>
      <w:rFonts w:ascii="Verdana" w:eastAsia="SimSun" w:hAnsi="Verdana"/>
      <w:b/>
      <w:caps/>
      <w:noProof/>
      <w:sz w:val="20"/>
      <w:szCs w:val="20"/>
      <w:lang w:eastAsia="zh-CN"/>
    </w:rPr>
  </w:style>
  <w:style w:type="character" w:styleId="Hyperlink">
    <w:name w:val="Hyperlink"/>
    <w:uiPriority w:val="99"/>
    <w:rsid w:val="006023AC"/>
    <w:rPr>
      <w:color w:val="0000FF"/>
      <w:u w:val="single"/>
    </w:rPr>
  </w:style>
  <w:style w:type="paragraph" w:styleId="BodyText">
    <w:name w:val="Body Text"/>
    <w:basedOn w:val="Normal"/>
    <w:link w:val="BodyTextChar"/>
    <w:rsid w:val="006023AC"/>
    <w:pPr>
      <w:numPr>
        <w:ilvl w:val="5"/>
        <w:numId w:val="1"/>
      </w:numPr>
      <w:spacing w:after="240"/>
      <w:jc w:val="both"/>
    </w:pPr>
    <w:rPr>
      <w:sz w:val="22"/>
      <w:szCs w:val="20"/>
      <w:lang w:val="en-GB"/>
    </w:rPr>
  </w:style>
  <w:style w:type="character" w:customStyle="1" w:styleId="BodyTextChar">
    <w:name w:val="Body Text Char"/>
    <w:link w:val="BodyText"/>
    <w:rsid w:val="006023AC"/>
    <w:rPr>
      <w:sz w:val="22"/>
      <w:lang w:val="en-GB" w:eastAsia="en-US"/>
    </w:rPr>
  </w:style>
  <w:style w:type="paragraph" w:styleId="BodyText2">
    <w:name w:val="Body Text 2"/>
    <w:basedOn w:val="Normal"/>
    <w:link w:val="BodyText2Char"/>
    <w:rsid w:val="006023AC"/>
    <w:pPr>
      <w:numPr>
        <w:ilvl w:val="6"/>
        <w:numId w:val="1"/>
      </w:numPr>
      <w:spacing w:after="240"/>
      <w:jc w:val="both"/>
    </w:pPr>
    <w:rPr>
      <w:sz w:val="22"/>
      <w:szCs w:val="20"/>
      <w:lang w:val="en-GB"/>
    </w:rPr>
  </w:style>
  <w:style w:type="character" w:customStyle="1" w:styleId="BodyText2Char">
    <w:name w:val="Body Text 2 Char"/>
    <w:link w:val="BodyText2"/>
    <w:rsid w:val="006023AC"/>
    <w:rPr>
      <w:sz w:val="22"/>
      <w:lang w:val="en-GB" w:eastAsia="en-US"/>
    </w:rPr>
  </w:style>
  <w:style w:type="paragraph" w:styleId="BodyText3">
    <w:name w:val="Body Text 3"/>
    <w:basedOn w:val="Normal"/>
    <w:link w:val="BodyText3Char"/>
    <w:rsid w:val="006023AC"/>
    <w:pPr>
      <w:numPr>
        <w:ilvl w:val="7"/>
        <w:numId w:val="1"/>
      </w:numPr>
      <w:spacing w:after="240"/>
      <w:jc w:val="both"/>
    </w:pPr>
    <w:rPr>
      <w:sz w:val="22"/>
      <w:szCs w:val="20"/>
      <w:lang w:val="en-GB"/>
    </w:rPr>
  </w:style>
  <w:style w:type="character" w:customStyle="1" w:styleId="BodyText3Char">
    <w:name w:val="Body Text 3 Char"/>
    <w:link w:val="BodyText3"/>
    <w:rsid w:val="006023AC"/>
    <w:rPr>
      <w:sz w:val="22"/>
      <w:lang w:val="en-GB" w:eastAsia="en-US"/>
    </w:rPr>
  </w:style>
  <w:style w:type="paragraph" w:customStyle="1" w:styleId="BodyText4">
    <w:name w:val="Body Text 4"/>
    <w:basedOn w:val="Normal"/>
    <w:rsid w:val="006023AC"/>
    <w:pPr>
      <w:numPr>
        <w:ilvl w:val="8"/>
        <w:numId w:val="1"/>
      </w:numPr>
      <w:tabs>
        <w:tab w:val="left" w:pos="2160"/>
      </w:tabs>
      <w:spacing w:after="240"/>
      <w:jc w:val="both"/>
    </w:pPr>
    <w:rPr>
      <w:sz w:val="22"/>
      <w:szCs w:val="20"/>
      <w:lang w:val="en-GB"/>
    </w:rPr>
  </w:style>
  <w:style w:type="paragraph" w:customStyle="1" w:styleId="TOCHeading1">
    <w:name w:val="TOC Heading1"/>
    <w:basedOn w:val="Heading1"/>
    <w:next w:val="Normal"/>
    <w:uiPriority w:val="39"/>
    <w:semiHidden/>
    <w:unhideWhenUsed/>
    <w:qFormat/>
    <w:rsid w:val="006023AC"/>
    <w:pPr>
      <w:keepLines/>
      <w:numPr>
        <w:numId w:val="0"/>
      </w:numPr>
      <w:spacing w:before="480" w:after="0" w:line="276" w:lineRule="auto"/>
      <w:jc w:val="left"/>
      <w:outlineLvl w:val="9"/>
    </w:pPr>
    <w:rPr>
      <w:rFonts w:ascii="Cambria" w:hAnsi="Cambria"/>
      <w:bCs/>
      <w:caps w:val="0"/>
      <w:color w:val="365F91"/>
      <w:sz w:val="28"/>
      <w:szCs w:val="28"/>
      <w:lang w:val="en-US"/>
    </w:rPr>
  </w:style>
  <w:style w:type="paragraph" w:customStyle="1" w:styleId="NormalCentred">
    <w:name w:val="Normal Centred"/>
    <w:basedOn w:val="Normal"/>
    <w:rsid w:val="006023AC"/>
    <w:pPr>
      <w:spacing w:before="120" w:after="120"/>
      <w:jc w:val="center"/>
    </w:pPr>
    <w:rPr>
      <w:rFonts w:eastAsia="SimSun"/>
      <w:lang w:eastAsia="zh-CN"/>
    </w:rPr>
  </w:style>
  <w:style w:type="paragraph" w:customStyle="1" w:styleId="ColorfulList-Accent12">
    <w:name w:val="Colorful List - Accent 12"/>
    <w:basedOn w:val="Normal"/>
    <w:uiPriority w:val="34"/>
    <w:qFormat/>
    <w:rsid w:val="006023AC"/>
    <w:pPr>
      <w:ind w:left="720"/>
    </w:pPr>
  </w:style>
  <w:style w:type="character" w:customStyle="1" w:styleId="Heading4Char">
    <w:name w:val="Heading 4 Char"/>
    <w:link w:val="Heading4"/>
    <w:semiHidden/>
    <w:rsid w:val="006023AC"/>
    <w:rPr>
      <w:rFonts w:ascii="Cambria" w:eastAsia="Times New Roman" w:hAnsi="Cambria" w:cs="Times New Roman"/>
      <w:b/>
      <w:bCs/>
      <w:i/>
      <w:iCs/>
      <w:color w:val="4F81BD"/>
      <w:sz w:val="24"/>
      <w:szCs w:val="24"/>
      <w:lang w:eastAsia="en-US"/>
    </w:rPr>
  </w:style>
  <w:style w:type="paragraph" w:styleId="BalloonText">
    <w:name w:val="Balloon Text"/>
    <w:basedOn w:val="Normal"/>
    <w:link w:val="BalloonTextChar"/>
    <w:rsid w:val="00036B6E"/>
    <w:rPr>
      <w:rFonts w:ascii="Tahoma" w:hAnsi="Tahoma" w:cs="Tahoma"/>
      <w:sz w:val="16"/>
      <w:szCs w:val="16"/>
    </w:rPr>
  </w:style>
  <w:style w:type="character" w:customStyle="1" w:styleId="BalloonTextChar">
    <w:name w:val="Balloon Text Char"/>
    <w:link w:val="BalloonText"/>
    <w:rsid w:val="00036B6E"/>
    <w:rPr>
      <w:rFonts w:ascii="Tahoma" w:hAnsi="Tahoma" w:cs="Tahoma"/>
      <w:sz w:val="16"/>
      <w:szCs w:val="16"/>
      <w:lang w:eastAsia="en-US"/>
    </w:rPr>
  </w:style>
  <w:style w:type="paragraph" w:customStyle="1" w:styleId="paranormaltext">
    <w:name w:val="paranormaltext"/>
    <w:basedOn w:val="Normal"/>
    <w:rsid w:val="008C7C7A"/>
    <w:pPr>
      <w:spacing w:before="100" w:beforeAutospacing="1" w:after="100" w:afterAutospacing="1"/>
    </w:pPr>
    <w:rPr>
      <w:lang w:eastAsia="en-AU"/>
    </w:rPr>
  </w:style>
  <w:style w:type="paragraph" w:customStyle="1" w:styleId="tocindent4">
    <w:name w:val="tocindent4"/>
    <w:basedOn w:val="Normal"/>
    <w:rsid w:val="008C7C7A"/>
    <w:pPr>
      <w:spacing w:before="100" w:beforeAutospacing="1" w:after="100" w:afterAutospacing="1"/>
    </w:pPr>
    <w:rPr>
      <w:lang w:eastAsia="en-AU"/>
    </w:rPr>
  </w:style>
  <w:style w:type="character" w:styleId="CommentReference">
    <w:name w:val="annotation reference"/>
    <w:rsid w:val="00D95303"/>
    <w:rPr>
      <w:sz w:val="16"/>
      <w:szCs w:val="16"/>
    </w:rPr>
  </w:style>
  <w:style w:type="paragraph" w:styleId="CommentText">
    <w:name w:val="annotation text"/>
    <w:basedOn w:val="Normal"/>
    <w:link w:val="CommentTextChar"/>
    <w:rsid w:val="00D95303"/>
    <w:rPr>
      <w:sz w:val="20"/>
      <w:szCs w:val="20"/>
    </w:rPr>
  </w:style>
  <w:style w:type="character" w:customStyle="1" w:styleId="CommentTextChar">
    <w:name w:val="Comment Text Char"/>
    <w:link w:val="CommentText"/>
    <w:rsid w:val="00D95303"/>
    <w:rPr>
      <w:lang w:eastAsia="en-US"/>
    </w:rPr>
  </w:style>
  <w:style w:type="paragraph" w:styleId="CommentSubject">
    <w:name w:val="annotation subject"/>
    <w:basedOn w:val="CommentText"/>
    <w:next w:val="CommentText"/>
    <w:link w:val="CommentSubjectChar"/>
    <w:rsid w:val="00D95303"/>
    <w:rPr>
      <w:b/>
      <w:bCs/>
    </w:rPr>
  </w:style>
  <w:style w:type="character" w:customStyle="1" w:styleId="CommentSubjectChar">
    <w:name w:val="Comment Subject Char"/>
    <w:link w:val="CommentSubject"/>
    <w:rsid w:val="00D95303"/>
    <w:rPr>
      <w:b/>
      <w:bCs/>
      <w:lang w:eastAsia="en-US"/>
    </w:rPr>
  </w:style>
  <w:style w:type="paragraph" w:styleId="ListBullet">
    <w:name w:val="List Bullet"/>
    <w:basedOn w:val="Normal"/>
    <w:rsid w:val="00975777"/>
    <w:pPr>
      <w:numPr>
        <w:numId w:val="8"/>
      </w:numPr>
      <w:contextualSpacing/>
    </w:pPr>
  </w:style>
  <w:style w:type="character" w:styleId="Emphasis">
    <w:name w:val="Emphasis"/>
    <w:qFormat/>
    <w:rsid w:val="005E569B"/>
    <w:rPr>
      <w:i/>
      <w:iCs/>
    </w:rPr>
  </w:style>
  <w:style w:type="paragraph" w:styleId="TOC3">
    <w:name w:val="toc 3"/>
    <w:basedOn w:val="Normal"/>
    <w:next w:val="Normal"/>
    <w:autoRedefine/>
    <w:uiPriority w:val="39"/>
    <w:unhideWhenUsed/>
    <w:rsid w:val="008D5FB0"/>
    <w:pPr>
      <w:ind w:left="480"/>
    </w:pPr>
  </w:style>
  <w:style w:type="paragraph" w:styleId="NormalWeb">
    <w:name w:val="Normal (Web)"/>
    <w:basedOn w:val="Normal"/>
    <w:uiPriority w:val="99"/>
    <w:semiHidden/>
    <w:unhideWhenUsed/>
    <w:rsid w:val="00E436E5"/>
    <w:pPr>
      <w:spacing w:before="100" w:beforeAutospacing="1" w:after="100" w:afterAutospacing="1"/>
    </w:pPr>
    <w:rPr>
      <w:lang w:val="en-US"/>
    </w:rPr>
  </w:style>
  <w:style w:type="character" w:styleId="FollowedHyperlink">
    <w:name w:val="FollowedHyperlink"/>
    <w:rsid w:val="00DF1F6E"/>
    <w:rPr>
      <w:color w:val="800080"/>
      <w:u w:val="single"/>
    </w:rPr>
  </w:style>
  <w:style w:type="paragraph" w:customStyle="1" w:styleId="MediumGrid1-Accent21">
    <w:name w:val="Medium Grid 1 - Accent 21"/>
    <w:basedOn w:val="Normal"/>
    <w:uiPriority w:val="34"/>
    <w:qFormat/>
    <w:rsid w:val="000A5B05"/>
    <w:pPr>
      <w:ind w:left="720"/>
    </w:pPr>
  </w:style>
  <w:style w:type="character" w:customStyle="1" w:styleId="reference-text">
    <w:name w:val="reference-text"/>
    <w:rsid w:val="00C542C9"/>
  </w:style>
  <w:style w:type="paragraph" w:customStyle="1" w:styleId="ColorfulList-Accent13">
    <w:name w:val="Colorful List - Accent 13"/>
    <w:basedOn w:val="Normal"/>
    <w:uiPriority w:val="63"/>
    <w:qFormat/>
    <w:rsid w:val="003201DB"/>
    <w:pPr>
      <w:ind w:left="720"/>
    </w:pPr>
  </w:style>
  <w:style w:type="paragraph" w:customStyle="1" w:styleId="Default">
    <w:name w:val="Default"/>
    <w:rsid w:val="003201DB"/>
    <w:pPr>
      <w:autoSpaceDE w:val="0"/>
      <w:autoSpaceDN w:val="0"/>
      <w:adjustRightInd w:val="0"/>
    </w:pPr>
    <w:rPr>
      <w:color w:val="000000"/>
      <w:sz w:val="24"/>
      <w:szCs w:val="24"/>
    </w:rPr>
  </w:style>
  <w:style w:type="paragraph" w:styleId="ListParagraph">
    <w:name w:val="List Paragraph"/>
    <w:basedOn w:val="Normal"/>
    <w:qFormat/>
    <w:rsid w:val="001F5083"/>
    <w:pPr>
      <w:ind w:left="720"/>
    </w:pPr>
  </w:style>
  <w:style w:type="character" w:customStyle="1" w:styleId="FootnoteTextChar2">
    <w:name w:val="Footnote Text Char2"/>
    <w:aliases w:val="fn Char2,footnote text Char2,Footnotes Char2,ft Char1,Footnote ak Char2,fn cafc Char1,fn Char Char2,footnote text Char Char1,Footnotes Char Char2,Footnote ak Char Char1,Footnotes Char Char Char1,Footnote Text Char Char Char1"/>
    <w:semiHidden/>
    <w:locked/>
    <w:rsid w:val="00F008A1"/>
    <w:rPr>
      <w:lang w:val="en-GB" w:eastAsia="en-GB"/>
    </w:rPr>
  </w:style>
  <w:style w:type="paragraph" w:customStyle="1" w:styleId="WTONum">
    <w:name w:val="WTO Num"/>
    <w:basedOn w:val="Normal"/>
    <w:link w:val="WTONumChar"/>
    <w:qFormat/>
    <w:rsid w:val="00D162E6"/>
    <w:pPr>
      <w:numPr>
        <w:numId w:val="30"/>
      </w:numPr>
      <w:spacing w:before="120" w:after="120" w:line="360" w:lineRule="auto"/>
      <w:jc w:val="both"/>
    </w:pPr>
    <w:rPr>
      <w:rFonts w:ascii="Verdana" w:hAnsi="Verdana"/>
      <w:sz w:val="20"/>
      <w:szCs w:val="20"/>
      <w:lang w:val="en-GB" w:eastAsia="en-GB"/>
    </w:rPr>
  </w:style>
  <w:style w:type="character" w:customStyle="1" w:styleId="WTONumChar">
    <w:name w:val="WTO Num Char"/>
    <w:link w:val="WTONum"/>
    <w:rsid w:val="00D162E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4472">
      <w:bodyDiv w:val="1"/>
      <w:marLeft w:val="0"/>
      <w:marRight w:val="0"/>
      <w:marTop w:val="0"/>
      <w:marBottom w:val="0"/>
      <w:divBdr>
        <w:top w:val="none" w:sz="0" w:space="0" w:color="auto"/>
        <w:left w:val="none" w:sz="0" w:space="0" w:color="auto"/>
        <w:bottom w:val="none" w:sz="0" w:space="0" w:color="auto"/>
        <w:right w:val="none" w:sz="0" w:space="0" w:color="auto"/>
      </w:divBdr>
    </w:div>
    <w:div w:id="175192544">
      <w:bodyDiv w:val="1"/>
      <w:marLeft w:val="0"/>
      <w:marRight w:val="0"/>
      <w:marTop w:val="0"/>
      <w:marBottom w:val="0"/>
      <w:divBdr>
        <w:top w:val="none" w:sz="0" w:space="0" w:color="auto"/>
        <w:left w:val="none" w:sz="0" w:space="0" w:color="auto"/>
        <w:bottom w:val="none" w:sz="0" w:space="0" w:color="auto"/>
        <w:right w:val="none" w:sz="0" w:space="0" w:color="auto"/>
      </w:divBdr>
    </w:div>
    <w:div w:id="356732387">
      <w:bodyDiv w:val="1"/>
      <w:marLeft w:val="0"/>
      <w:marRight w:val="0"/>
      <w:marTop w:val="0"/>
      <w:marBottom w:val="0"/>
      <w:divBdr>
        <w:top w:val="none" w:sz="0" w:space="0" w:color="auto"/>
        <w:left w:val="none" w:sz="0" w:space="0" w:color="auto"/>
        <w:bottom w:val="none" w:sz="0" w:space="0" w:color="auto"/>
        <w:right w:val="none" w:sz="0" w:space="0" w:color="auto"/>
      </w:divBdr>
    </w:div>
    <w:div w:id="380977804">
      <w:bodyDiv w:val="1"/>
      <w:marLeft w:val="0"/>
      <w:marRight w:val="0"/>
      <w:marTop w:val="0"/>
      <w:marBottom w:val="0"/>
      <w:divBdr>
        <w:top w:val="none" w:sz="0" w:space="0" w:color="auto"/>
        <w:left w:val="none" w:sz="0" w:space="0" w:color="auto"/>
        <w:bottom w:val="none" w:sz="0" w:space="0" w:color="auto"/>
        <w:right w:val="none" w:sz="0" w:space="0" w:color="auto"/>
      </w:divBdr>
    </w:div>
    <w:div w:id="394133610">
      <w:bodyDiv w:val="1"/>
      <w:marLeft w:val="0"/>
      <w:marRight w:val="0"/>
      <w:marTop w:val="0"/>
      <w:marBottom w:val="0"/>
      <w:divBdr>
        <w:top w:val="none" w:sz="0" w:space="0" w:color="auto"/>
        <w:left w:val="none" w:sz="0" w:space="0" w:color="auto"/>
        <w:bottom w:val="none" w:sz="0" w:space="0" w:color="auto"/>
        <w:right w:val="none" w:sz="0" w:space="0" w:color="auto"/>
      </w:divBdr>
    </w:div>
    <w:div w:id="460079263">
      <w:bodyDiv w:val="1"/>
      <w:marLeft w:val="0"/>
      <w:marRight w:val="0"/>
      <w:marTop w:val="0"/>
      <w:marBottom w:val="0"/>
      <w:divBdr>
        <w:top w:val="none" w:sz="0" w:space="0" w:color="auto"/>
        <w:left w:val="none" w:sz="0" w:space="0" w:color="auto"/>
        <w:bottom w:val="none" w:sz="0" w:space="0" w:color="auto"/>
        <w:right w:val="none" w:sz="0" w:space="0" w:color="auto"/>
      </w:divBdr>
      <w:divsChild>
        <w:div w:id="1866097945">
          <w:marLeft w:val="0"/>
          <w:marRight w:val="0"/>
          <w:marTop w:val="0"/>
          <w:marBottom w:val="0"/>
          <w:divBdr>
            <w:top w:val="none" w:sz="0" w:space="0" w:color="auto"/>
            <w:left w:val="none" w:sz="0" w:space="0" w:color="auto"/>
            <w:bottom w:val="none" w:sz="0" w:space="0" w:color="auto"/>
            <w:right w:val="none" w:sz="0" w:space="0" w:color="auto"/>
          </w:divBdr>
          <w:divsChild>
            <w:div w:id="1761096760">
              <w:marLeft w:val="0"/>
              <w:marRight w:val="0"/>
              <w:marTop w:val="0"/>
              <w:marBottom w:val="0"/>
              <w:divBdr>
                <w:top w:val="none" w:sz="0" w:space="0" w:color="auto"/>
                <w:left w:val="none" w:sz="0" w:space="0" w:color="auto"/>
                <w:bottom w:val="none" w:sz="0" w:space="0" w:color="auto"/>
                <w:right w:val="none" w:sz="0" w:space="0" w:color="auto"/>
              </w:divBdr>
              <w:divsChild>
                <w:div w:id="12104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4291">
      <w:bodyDiv w:val="1"/>
      <w:marLeft w:val="0"/>
      <w:marRight w:val="0"/>
      <w:marTop w:val="0"/>
      <w:marBottom w:val="0"/>
      <w:divBdr>
        <w:top w:val="none" w:sz="0" w:space="0" w:color="auto"/>
        <w:left w:val="none" w:sz="0" w:space="0" w:color="auto"/>
        <w:bottom w:val="none" w:sz="0" w:space="0" w:color="auto"/>
        <w:right w:val="none" w:sz="0" w:space="0" w:color="auto"/>
      </w:divBdr>
    </w:div>
    <w:div w:id="792744999">
      <w:bodyDiv w:val="1"/>
      <w:marLeft w:val="0"/>
      <w:marRight w:val="0"/>
      <w:marTop w:val="0"/>
      <w:marBottom w:val="0"/>
      <w:divBdr>
        <w:top w:val="none" w:sz="0" w:space="0" w:color="auto"/>
        <w:left w:val="none" w:sz="0" w:space="0" w:color="auto"/>
        <w:bottom w:val="none" w:sz="0" w:space="0" w:color="auto"/>
        <w:right w:val="none" w:sz="0" w:space="0" w:color="auto"/>
      </w:divBdr>
    </w:div>
    <w:div w:id="1132794447">
      <w:bodyDiv w:val="1"/>
      <w:marLeft w:val="0"/>
      <w:marRight w:val="0"/>
      <w:marTop w:val="0"/>
      <w:marBottom w:val="0"/>
      <w:divBdr>
        <w:top w:val="none" w:sz="0" w:space="0" w:color="auto"/>
        <w:left w:val="none" w:sz="0" w:space="0" w:color="auto"/>
        <w:bottom w:val="none" w:sz="0" w:space="0" w:color="auto"/>
        <w:right w:val="none" w:sz="0" w:space="0" w:color="auto"/>
      </w:divBdr>
    </w:div>
    <w:div w:id="1212382514">
      <w:bodyDiv w:val="1"/>
      <w:marLeft w:val="0"/>
      <w:marRight w:val="0"/>
      <w:marTop w:val="0"/>
      <w:marBottom w:val="0"/>
      <w:divBdr>
        <w:top w:val="none" w:sz="0" w:space="0" w:color="auto"/>
        <w:left w:val="none" w:sz="0" w:space="0" w:color="auto"/>
        <w:bottom w:val="none" w:sz="0" w:space="0" w:color="auto"/>
        <w:right w:val="none" w:sz="0" w:space="0" w:color="auto"/>
      </w:divBdr>
    </w:div>
    <w:div w:id="1246187675">
      <w:bodyDiv w:val="1"/>
      <w:marLeft w:val="0"/>
      <w:marRight w:val="0"/>
      <w:marTop w:val="0"/>
      <w:marBottom w:val="0"/>
      <w:divBdr>
        <w:top w:val="none" w:sz="0" w:space="0" w:color="auto"/>
        <w:left w:val="none" w:sz="0" w:space="0" w:color="auto"/>
        <w:bottom w:val="none" w:sz="0" w:space="0" w:color="auto"/>
        <w:right w:val="none" w:sz="0" w:space="0" w:color="auto"/>
      </w:divBdr>
      <w:divsChild>
        <w:div w:id="1505969221">
          <w:marLeft w:val="0"/>
          <w:marRight w:val="0"/>
          <w:marTop w:val="0"/>
          <w:marBottom w:val="0"/>
          <w:divBdr>
            <w:top w:val="none" w:sz="0" w:space="0" w:color="auto"/>
            <w:left w:val="none" w:sz="0" w:space="0" w:color="auto"/>
            <w:bottom w:val="none" w:sz="0" w:space="0" w:color="auto"/>
            <w:right w:val="none" w:sz="0" w:space="0" w:color="auto"/>
          </w:divBdr>
        </w:div>
        <w:div w:id="865868512">
          <w:marLeft w:val="0"/>
          <w:marRight w:val="0"/>
          <w:marTop w:val="0"/>
          <w:marBottom w:val="0"/>
          <w:divBdr>
            <w:top w:val="none" w:sz="0" w:space="0" w:color="auto"/>
            <w:left w:val="none" w:sz="0" w:space="0" w:color="auto"/>
            <w:bottom w:val="none" w:sz="0" w:space="0" w:color="auto"/>
            <w:right w:val="none" w:sz="0" w:space="0" w:color="auto"/>
          </w:divBdr>
        </w:div>
        <w:div w:id="631709573">
          <w:marLeft w:val="0"/>
          <w:marRight w:val="0"/>
          <w:marTop w:val="0"/>
          <w:marBottom w:val="0"/>
          <w:divBdr>
            <w:top w:val="none" w:sz="0" w:space="0" w:color="auto"/>
            <w:left w:val="none" w:sz="0" w:space="0" w:color="auto"/>
            <w:bottom w:val="none" w:sz="0" w:space="0" w:color="auto"/>
            <w:right w:val="none" w:sz="0" w:space="0" w:color="auto"/>
          </w:divBdr>
        </w:div>
      </w:divsChild>
    </w:div>
    <w:div w:id="1377583483">
      <w:bodyDiv w:val="1"/>
      <w:marLeft w:val="0"/>
      <w:marRight w:val="0"/>
      <w:marTop w:val="0"/>
      <w:marBottom w:val="0"/>
      <w:divBdr>
        <w:top w:val="none" w:sz="0" w:space="0" w:color="auto"/>
        <w:left w:val="none" w:sz="0" w:space="0" w:color="auto"/>
        <w:bottom w:val="none" w:sz="0" w:space="0" w:color="auto"/>
        <w:right w:val="none" w:sz="0" w:space="0" w:color="auto"/>
      </w:divBdr>
      <w:divsChild>
        <w:div w:id="2019455041">
          <w:marLeft w:val="0"/>
          <w:marRight w:val="0"/>
          <w:marTop w:val="0"/>
          <w:marBottom w:val="0"/>
          <w:divBdr>
            <w:top w:val="none" w:sz="0" w:space="0" w:color="auto"/>
            <w:left w:val="none" w:sz="0" w:space="0" w:color="auto"/>
            <w:bottom w:val="none" w:sz="0" w:space="0" w:color="auto"/>
            <w:right w:val="none" w:sz="0" w:space="0" w:color="auto"/>
          </w:divBdr>
        </w:div>
        <w:div w:id="316810691">
          <w:marLeft w:val="0"/>
          <w:marRight w:val="0"/>
          <w:marTop w:val="0"/>
          <w:marBottom w:val="0"/>
          <w:divBdr>
            <w:top w:val="none" w:sz="0" w:space="0" w:color="auto"/>
            <w:left w:val="none" w:sz="0" w:space="0" w:color="auto"/>
            <w:bottom w:val="none" w:sz="0" w:space="0" w:color="auto"/>
            <w:right w:val="none" w:sz="0" w:space="0" w:color="auto"/>
          </w:divBdr>
        </w:div>
      </w:divsChild>
    </w:div>
    <w:div w:id="1382096287">
      <w:bodyDiv w:val="1"/>
      <w:marLeft w:val="0"/>
      <w:marRight w:val="0"/>
      <w:marTop w:val="0"/>
      <w:marBottom w:val="0"/>
      <w:divBdr>
        <w:top w:val="none" w:sz="0" w:space="0" w:color="auto"/>
        <w:left w:val="none" w:sz="0" w:space="0" w:color="auto"/>
        <w:bottom w:val="none" w:sz="0" w:space="0" w:color="auto"/>
        <w:right w:val="none" w:sz="0" w:space="0" w:color="auto"/>
      </w:divBdr>
      <w:divsChild>
        <w:div w:id="105277767">
          <w:marLeft w:val="0"/>
          <w:marRight w:val="0"/>
          <w:marTop w:val="0"/>
          <w:marBottom w:val="0"/>
          <w:divBdr>
            <w:top w:val="none" w:sz="0" w:space="0" w:color="auto"/>
            <w:left w:val="none" w:sz="0" w:space="0" w:color="auto"/>
            <w:bottom w:val="none" w:sz="0" w:space="0" w:color="auto"/>
            <w:right w:val="none" w:sz="0" w:space="0" w:color="auto"/>
          </w:divBdr>
        </w:div>
        <w:div w:id="1856767469">
          <w:marLeft w:val="0"/>
          <w:marRight w:val="0"/>
          <w:marTop w:val="0"/>
          <w:marBottom w:val="0"/>
          <w:divBdr>
            <w:top w:val="none" w:sz="0" w:space="0" w:color="auto"/>
            <w:left w:val="none" w:sz="0" w:space="0" w:color="auto"/>
            <w:bottom w:val="none" w:sz="0" w:space="0" w:color="auto"/>
            <w:right w:val="none" w:sz="0" w:space="0" w:color="auto"/>
          </w:divBdr>
        </w:div>
        <w:div w:id="1843936546">
          <w:marLeft w:val="0"/>
          <w:marRight w:val="0"/>
          <w:marTop w:val="0"/>
          <w:marBottom w:val="0"/>
          <w:divBdr>
            <w:top w:val="none" w:sz="0" w:space="0" w:color="auto"/>
            <w:left w:val="none" w:sz="0" w:space="0" w:color="auto"/>
            <w:bottom w:val="none" w:sz="0" w:space="0" w:color="auto"/>
            <w:right w:val="none" w:sz="0" w:space="0" w:color="auto"/>
          </w:divBdr>
        </w:div>
      </w:divsChild>
    </w:div>
    <w:div w:id="1678385440">
      <w:bodyDiv w:val="1"/>
      <w:marLeft w:val="0"/>
      <w:marRight w:val="0"/>
      <w:marTop w:val="0"/>
      <w:marBottom w:val="0"/>
      <w:divBdr>
        <w:top w:val="none" w:sz="0" w:space="0" w:color="auto"/>
        <w:left w:val="none" w:sz="0" w:space="0" w:color="auto"/>
        <w:bottom w:val="none" w:sz="0" w:space="0" w:color="auto"/>
        <w:right w:val="none" w:sz="0" w:space="0" w:color="auto"/>
      </w:divBdr>
    </w:div>
    <w:div w:id="1709795493">
      <w:bodyDiv w:val="1"/>
      <w:marLeft w:val="0"/>
      <w:marRight w:val="0"/>
      <w:marTop w:val="0"/>
      <w:marBottom w:val="0"/>
      <w:divBdr>
        <w:top w:val="none" w:sz="0" w:space="0" w:color="auto"/>
        <w:left w:val="none" w:sz="0" w:space="0" w:color="auto"/>
        <w:bottom w:val="none" w:sz="0" w:space="0" w:color="auto"/>
        <w:right w:val="none" w:sz="0" w:space="0" w:color="auto"/>
      </w:divBdr>
    </w:div>
    <w:div w:id="1871917166">
      <w:bodyDiv w:val="1"/>
      <w:marLeft w:val="0"/>
      <w:marRight w:val="0"/>
      <w:marTop w:val="0"/>
      <w:marBottom w:val="0"/>
      <w:divBdr>
        <w:top w:val="none" w:sz="0" w:space="0" w:color="auto"/>
        <w:left w:val="none" w:sz="0" w:space="0" w:color="auto"/>
        <w:bottom w:val="none" w:sz="0" w:space="0" w:color="auto"/>
        <w:right w:val="none" w:sz="0" w:space="0" w:color="auto"/>
      </w:divBdr>
    </w:div>
    <w:div w:id="1942561735">
      <w:bodyDiv w:val="1"/>
      <w:marLeft w:val="0"/>
      <w:marRight w:val="0"/>
      <w:marTop w:val="0"/>
      <w:marBottom w:val="0"/>
      <w:divBdr>
        <w:top w:val="none" w:sz="0" w:space="0" w:color="auto"/>
        <w:left w:val="none" w:sz="0" w:space="0" w:color="auto"/>
        <w:bottom w:val="none" w:sz="0" w:space="0" w:color="auto"/>
        <w:right w:val="none" w:sz="0" w:space="0" w:color="auto"/>
      </w:divBdr>
    </w:div>
    <w:div w:id="21215598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AEFD-8188-4343-9E7D-B1C6B4AE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Links>
    <vt:vector size="78" baseType="variant">
      <vt:variant>
        <vt:i4>2424958</vt:i4>
      </vt:variant>
      <vt:variant>
        <vt:i4>60</vt:i4>
      </vt:variant>
      <vt:variant>
        <vt:i4>0</vt:i4>
      </vt:variant>
      <vt:variant>
        <vt:i4>5</vt:i4>
      </vt:variant>
      <vt:variant>
        <vt:lpwstr>https://docs.wto.org/dol2fe/Pages/FE_Search/FE_S_S006.aspx?DataSource=Cat&amp;query=@Symbol=WT/DS322/AB/R&amp;Language=English&amp;Context=ScriptedSearches&amp;languageUIChanged=true</vt:lpwstr>
      </vt:variant>
      <vt:variant>
        <vt:lpwstr/>
      </vt:variant>
      <vt:variant>
        <vt:i4>2162804</vt:i4>
      </vt:variant>
      <vt:variant>
        <vt:i4>57</vt:i4>
      </vt:variant>
      <vt:variant>
        <vt:i4>0</vt:i4>
      </vt:variant>
      <vt:variant>
        <vt:i4>5</vt:i4>
      </vt:variant>
      <vt:variant>
        <vt:lpwstr>https://docs.wto.org/dol2fe/Pages/FE_Search/FE_S_S006.aspx?DataSource=Cat&amp;query=@Symbol=WT/DS184/AB/R&amp;Language=English&amp;Context=ScriptedSearches&amp;languageUIChanged=true</vt:lpwstr>
      </vt:variant>
      <vt:variant>
        <vt:lpwstr/>
      </vt:variant>
      <vt:variant>
        <vt:i4>2490492</vt:i4>
      </vt:variant>
      <vt:variant>
        <vt:i4>54</vt:i4>
      </vt:variant>
      <vt:variant>
        <vt:i4>0</vt:i4>
      </vt:variant>
      <vt:variant>
        <vt:i4>5</vt:i4>
      </vt:variant>
      <vt:variant>
        <vt:lpwstr>https://docs.wto.org/dol2fe/Pages/FE_Search/FE_S_S006.aspx?DataSource=Cat&amp;query=@Symbol=WT/DS406/AB/R&amp;Language=English&amp;Context=ScriptedSearches&amp;languageUIChanged=true</vt:lpwstr>
      </vt:variant>
      <vt:variant>
        <vt:lpwstr/>
      </vt:variant>
      <vt:variant>
        <vt:i4>2031681</vt:i4>
      </vt:variant>
      <vt:variant>
        <vt:i4>51</vt:i4>
      </vt:variant>
      <vt:variant>
        <vt:i4>0</vt:i4>
      </vt:variant>
      <vt:variant>
        <vt:i4>5</vt:i4>
      </vt:variant>
      <vt:variant>
        <vt:lpwstr>https://docs.wto.org/dol2fe/Pages/FE_Search/FE_S_S006.aspx?DataSource=Cat&amp;query=@Symbol=WT/DS473/R*&amp;Language=English&amp;Context=ScriptedSearches&amp;languageUIChanged=true</vt:lpwstr>
      </vt:variant>
      <vt:variant>
        <vt:lpwstr/>
      </vt:variant>
      <vt:variant>
        <vt:i4>6357110</vt:i4>
      </vt:variant>
      <vt:variant>
        <vt:i4>48</vt:i4>
      </vt:variant>
      <vt:variant>
        <vt:i4>0</vt:i4>
      </vt:variant>
      <vt:variant>
        <vt:i4>5</vt:i4>
      </vt:variant>
      <vt:variant>
        <vt:lpwstr>https://docs.wto.org/dol2fe/Pages/FE_Search/FE_S_S006.aspx?DataSource=Cat&amp;query=@Symbol=WT/DS473/AB/R*&amp;Language=English&amp;Context=ScriptedSearches&amp;languageUIChanged=true</vt:lpwstr>
      </vt:variant>
      <vt:variant>
        <vt:lpwstr/>
      </vt:variant>
      <vt:variant>
        <vt:i4>1769540</vt:i4>
      </vt:variant>
      <vt:variant>
        <vt:i4>45</vt:i4>
      </vt:variant>
      <vt:variant>
        <vt:i4>0</vt:i4>
      </vt:variant>
      <vt:variant>
        <vt:i4>5</vt:i4>
      </vt:variant>
      <vt:variant>
        <vt:lpwstr>https://docs.wto.org/dol2fe/Pages/FE_Search/FE_S_S006.aspx?DataSource=Cat&amp;query=@Symbol=WT/DS427/R*&amp;Language=English&amp;Context=ScriptedSearches&amp;languageUIChanged=true</vt:lpwstr>
      </vt:variant>
      <vt:variant>
        <vt:lpwstr/>
      </vt:variant>
      <vt:variant>
        <vt:i4>2031665</vt:i4>
      </vt:variant>
      <vt:variant>
        <vt:i4>38</vt:i4>
      </vt:variant>
      <vt:variant>
        <vt:i4>0</vt:i4>
      </vt:variant>
      <vt:variant>
        <vt:i4>5</vt:i4>
      </vt:variant>
      <vt:variant>
        <vt:lpwstr/>
      </vt:variant>
      <vt:variant>
        <vt:lpwstr>_Toc499057963</vt:lpwstr>
      </vt:variant>
      <vt:variant>
        <vt:i4>2031665</vt:i4>
      </vt:variant>
      <vt:variant>
        <vt:i4>32</vt:i4>
      </vt:variant>
      <vt:variant>
        <vt:i4>0</vt:i4>
      </vt:variant>
      <vt:variant>
        <vt:i4>5</vt:i4>
      </vt:variant>
      <vt:variant>
        <vt:lpwstr/>
      </vt:variant>
      <vt:variant>
        <vt:lpwstr>_Toc499057962</vt:lpwstr>
      </vt:variant>
      <vt:variant>
        <vt:i4>2031665</vt:i4>
      </vt:variant>
      <vt:variant>
        <vt:i4>26</vt:i4>
      </vt:variant>
      <vt:variant>
        <vt:i4>0</vt:i4>
      </vt:variant>
      <vt:variant>
        <vt:i4>5</vt:i4>
      </vt:variant>
      <vt:variant>
        <vt:lpwstr/>
      </vt:variant>
      <vt:variant>
        <vt:lpwstr>_Toc499057961</vt:lpwstr>
      </vt:variant>
      <vt:variant>
        <vt:i4>2031665</vt:i4>
      </vt:variant>
      <vt:variant>
        <vt:i4>20</vt:i4>
      </vt:variant>
      <vt:variant>
        <vt:i4>0</vt:i4>
      </vt:variant>
      <vt:variant>
        <vt:i4>5</vt:i4>
      </vt:variant>
      <vt:variant>
        <vt:lpwstr/>
      </vt:variant>
      <vt:variant>
        <vt:lpwstr>_Toc499057960</vt:lpwstr>
      </vt:variant>
      <vt:variant>
        <vt:i4>1835057</vt:i4>
      </vt:variant>
      <vt:variant>
        <vt:i4>14</vt:i4>
      </vt:variant>
      <vt:variant>
        <vt:i4>0</vt:i4>
      </vt:variant>
      <vt:variant>
        <vt:i4>5</vt:i4>
      </vt:variant>
      <vt:variant>
        <vt:lpwstr/>
      </vt:variant>
      <vt:variant>
        <vt:lpwstr>_Toc499057959</vt:lpwstr>
      </vt:variant>
      <vt:variant>
        <vt:i4>1835057</vt:i4>
      </vt:variant>
      <vt:variant>
        <vt:i4>8</vt:i4>
      </vt:variant>
      <vt:variant>
        <vt:i4>0</vt:i4>
      </vt:variant>
      <vt:variant>
        <vt:i4>5</vt:i4>
      </vt:variant>
      <vt:variant>
        <vt:lpwstr/>
      </vt:variant>
      <vt:variant>
        <vt:lpwstr>_Toc499057958</vt:lpwstr>
      </vt:variant>
      <vt:variant>
        <vt:i4>1835057</vt:i4>
      </vt:variant>
      <vt:variant>
        <vt:i4>2</vt:i4>
      </vt:variant>
      <vt:variant>
        <vt:i4>0</vt:i4>
      </vt:variant>
      <vt:variant>
        <vt:i4>5</vt:i4>
      </vt:variant>
      <vt:variant>
        <vt:lpwstr/>
      </vt:variant>
      <vt:variant>
        <vt:lpwstr>_Toc499057957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2021-03-29T05:26:00Z</dcterms:created>
  <dcterms:modified xsi:type="dcterms:W3CDTF">2021-03-29T05:26:00Z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cc0a53ae-dc72-4013-b587-a6ea4f371c2b</vt:lpwstr>
  </property>
  <property fmtid="{D5CDD505-2E9C-101B-9397-08002B2CF9AE}" pid="3" name="SEC">
    <vt:lpwstr>OFFICIAL</vt:lpwstr>
  </property>
</Properties>
</file>