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5C37" w14:textId="16E2AD21" w:rsidR="00253D66" w:rsidRPr="005A762F" w:rsidRDefault="002565E4" w:rsidP="005A762F">
      <w:pPr>
        <w:pStyle w:val="Heading1"/>
        <w:ind w:left="284" w:hanging="142"/>
      </w:pPr>
      <w:r w:rsidRPr="005A762F">
        <w:t>Agriculture and Food Sector in Brief</w:t>
      </w:r>
    </w:p>
    <w:p w14:paraId="40F22BA4" w14:textId="77777777" w:rsidR="00F73EB2" w:rsidRPr="006F498E" w:rsidRDefault="00F73EB2" w:rsidP="006F498E">
      <w:pPr>
        <w:pStyle w:val="Heading2"/>
      </w:pPr>
      <w:r w:rsidRPr="006F498E">
        <w:t>OVERVIEW</w:t>
      </w:r>
    </w:p>
    <w:p w14:paraId="16D2BC81" w14:textId="77777777" w:rsidR="006F498E" w:rsidRPr="006F498E" w:rsidRDefault="006F498E" w:rsidP="006F498E">
      <w:pPr>
        <w:pStyle w:val="Body"/>
      </w:pPr>
      <w:r w:rsidRPr="006F498E">
        <w:t>By 2050, Indonesia is projected to be the world’s fourth largest economy, with per person consumption of commodities like beef and cereals predicted to be greater than China.</w:t>
      </w:r>
    </w:p>
    <w:p w14:paraId="2D964EDF" w14:textId="77777777" w:rsidR="006F498E" w:rsidRPr="00610457" w:rsidRDefault="006F498E" w:rsidP="006F498E">
      <w:pPr>
        <w:pStyle w:val="ListParagraph"/>
      </w:pPr>
      <w:r w:rsidRPr="00610457">
        <w:t>Indonesia is currently a $2.5 billion export market for Australian farmers, fisheries, and foresters.</w:t>
      </w:r>
    </w:p>
    <w:p w14:paraId="7A5C88B7" w14:textId="77777777" w:rsidR="006F498E" w:rsidRPr="00610457" w:rsidRDefault="006F498E" w:rsidP="006F498E">
      <w:pPr>
        <w:pStyle w:val="ListParagraph"/>
      </w:pPr>
      <w:r w:rsidRPr="00610457">
        <w:t xml:space="preserve">Higher incomes and rising </w:t>
      </w:r>
      <w:proofErr w:type="spellStart"/>
      <w:r w:rsidRPr="00610457">
        <w:t>urbanisation</w:t>
      </w:r>
      <w:proofErr w:type="spellEnd"/>
      <w:r w:rsidRPr="00610457">
        <w:t xml:space="preserve"> have given consumers greater choice, increasing demand for pre-packaged, ready-to-eat and deliverable food products.</w:t>
      </w:r>
    </w:p>
    <w:p w14:paraId="4AF5CE2A" w14:textId="01BD8107" w:rsidR="006F498E" w:rsidRPr="006F498E" w:rsidRDefault="006F498E" w:rsidP="006F498E">
      <w:pPr>
        <w:pStyle w:val="Body"/>
      </w:pPr>
      <w:r w:rsidRPr="006F498E">
        <w:t xml:space="preserve">The COVID-19 pandemic has drawn attention to food security in Indonesia, making Australia’s </w:t>
      </w:r>
      <w:proofErr w:type="gramStart"/>
      <w:r w:rsidRPr="006F498E">
        <w:t>close proximity</w:t>
      </w:r>
      <w:proofErr w:type="gramEnd"/>
      <w:r w:rsidRPr="006F498E">
        <w:t xml:space="preserve"> and clean and green reputation for agricultural products even more attractive to </w:t>
      </w:r>
      <w:r>
        <w:br/>
      </w:r>
      <w:r w:rsidRPr="006F498E">
        <w:t>Indonesian cons</w:t>
      </w:r>
    </w:p>
    <w:p w14:paraId="52F2FA7F" w14:textId="77777777" w:rsidR="006F498E" w:rsidRPr="00610457" w:rsidRDefault="006F498E" w:rsidP="006F498E">
      <w:pPr>
        <w:pStyle w:val="ListParagraph"/>
      </w:pPr>
      <w:r w:rsidRPr="00610457">
        <w:t xml:space="preserve">Food security remains a top priority under the Indonesian Government’s economic development agenda that aims to </w:t>
      </w:r>
      <w:proofErr w:type="spellStart"/>
      <w:r w:rsidRPr="00610457">
        <w:t>stabilise</w:t>
      </w:r>
      <w:proofErr w:type="spellEnd"/>
      <w:r w:rsidRPr="00610457">
        <w:t xml:space="preserve"> prices for consumers and producers.</w:t>
      </w:r>
    </w:p>
    <w:p w14:paraId="4E80C0CA" w14:textId="77777777" w:rsidR="006F498E" w:rsidRPr="00610457" w:rsidRDefault="006F498E" w:rsidP="006F498E">
      <w:pPr>
        <w:pStyle w:val="ListParagraph"/>
      </w:pPr>
      <w:r w:rsidRPr="00610457">
        <w:t>Under IA-CEPA, more than 99% of Australian agriculture products now enter Indonesia duty free or under improved trade rules.</w:t>
      </w:r>
    </w:p>
    <w:p w14:paraId="3C70D961" w14:textId="77777777" w:rsidR="006F498E" w:rsidRPr="00610457" w:rsidRDefault="006F498E" w:rsidP="006F498E">
      <w:pPr>
        <w:pStyle w:val="ListParagraph"/>
      </w:pPr>
      <w:r w:rsidRPr="00610457">
        <w:t xml:space="preserve">Exporters need a long-term plan to help meet the regulatory requirements, some of which can only be done via a local distributor/importer. </w:t>
      </w:r>
    </w:p>
    <w:p w14:paraId="4F6D4A42" w14:textId="77777777" w:rsidR="00F73EB2" w:rsidRPr="00FC7387" w:rsidRDefault="00F73EB2" w:rsidP="00FC7387">
      <w:pPr>
        <w:pStyle w:val="Heading2"/>
      </w:pPr>
      <w:r w:rsidRPr="00FC7387">
        <w:t>OPPORTUNITIES</w:t>
      </w:r>
    </w:p>
    <w:p w14:paraId="3BF29E9A" w14:textId="215B0D0B" w:rsidR="006F498E" w:rsidRPr="00610457" w:rsidRDefault="006F498E" w:rsidP="006F498E">
      <w:pPr>
        <w:pStyle w:val="Body"/>
      </w:pPr>
      <w:r w:rsidRPr="00610457">
        <w:t xml:space="preserve">Indonesia’s long term economic growth will continue to create opportunities for Australian businesses, as demand for premium, competitively priced agri-food products continues. Australia’s well-established reputation for agricultural exports helps secure this trade, </w:t>
      </w:r>
      <w:proofErr w:type="spellStart"/>
      <w:r w:rsidRPr="00610457">
        <w:t>totalling</w:t>
      </w:r>
      <w:proofErr w:type="spellEnd"/>
      <w:r w:rsidRPr="00610457">
        <w:t xml:space="preserve"> more than a quarter of all Australian exports.</w:t>
      </w:r>
    </w:p>
    <w:p w14:paraId="4AC6FEB1" w14:textId="3D10219C" w:rsidR="009800CC" w:rsidRDefault="006F498E" w:rsidP="004172AD">
      <w:pPr>
        <w:pStyle w:val="Body"/>
        <w:sectPr w:rsidR="009800CC" w:rsidSect="00980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>
        <w:br/>
      </w:r>
    </w:p>
    <w:p w14:paraId="1197ECF7" w14:textId="77777777" w:rsidR="00F73EB2" w:rsidRPr="00FC7387" w:rsidRDefault="00F73EB2" w:rsidP="00FC7387">
      <w:pPr>
        <w:pStyle w:val="Heading2"/>
      </w:pPr>
      <w:r w:rsidRPr="00FC7387">
        <w:lastRenderedPageBreak/>
        <w:t xml:space="preserve">WHERE TO FOCUS  </w:t>
      </w:r>
    </w:p>
    <w:p w14:paraId="1244CE82" w14:textId="77777777" w:rsidR="006F498E" w:rsidRPr="006F498E" w:rsidRDefault="006F498E" w:rsidP="006F498E">
      <w:pPr>
        <w:pStyle w:val="ListParagraph"/>
      </w:pPr>
      <w:r w:rsidRPr="006F498E">
        <w:rPr>
          <w:rStyle w:val="IntenseEmphasis"/>
        </w:rPr>
        <w:t>Premium, healthy, and safe food</w:t>
      </w:r>
      <w:r w:rsidRPr="006F498E">
        <w:t xml:space="preserve">: Increasing population, a rising middle class and </w:t>
      </w:r>
      <w:proofErr w:type="spellStart"/>
      <w:r w:rsidRPr="006F498E">
        <w:t>urbanisation</w:t>
      </w:r>
      <w:proofErr w:type="spellEnd"/>
      <w:r w:rsidRPr="006F498E">
        <w:t xml:space="preserve"> have created a growing appetite for premium, healthy, and safe food products, especially in the large cities and major tourist locations.</w:t>
      </w:r>
    </w:p>
    <w:p w14:paraId="74B30872" w14:textId="77777777" w:rsidR="006F498E" w:rsidRPr="006F498E" w:rsidRDefault="006F498E" w:rsidP="006F498E">
      <w:pPr>
        <w:pStyle w:val="ListParagraph"/>
      </w:pPr>
      <w:r w:rsidRPr="006F498E">
        <w:rPr>
          <w:rStyle w:val="IntenseEmphasis"/>
        </w:rPr>
        <w:t>New retail markets:</w:t>
      </w:r>
      <w:r w:rsidRPr="006F498E">
        <w:t xml:space="preserve"> Wet markets and small traditional grocers dominate the mass market, but modern retail channels are growing, driven by perceptions around product quality.</w:t>
      </w:r>
    </w:p>
    <w:p w14:paraId="1357F899" w14:textId="77777777" w:rsidR="006F498E" w:rsidRPr="006F498E" w:rsidRDefault="006F498E" w:rsidP="006F498E">
      <w:pPr>
        <w:pStyle w:val="ListParagraph"/>
      </w:pPr>
      <w:r w:rsidRPr="006F498E">
        <w:rPr>
          <w:rStyle w:val="IntenseEmphasis"/>
        </w:rPr>
        <w:t>New consumer tastes:</w:t>
      </w:r>
      <w:r w:rsidRPr="006F498E">
        <w:t xml:space="preserve"> Consumption preferences are shifting, with young consumers moving towards modern full-service, dining experiences. In response, the food service sector is </w:t>
      </w:r>
      <w:proofErr w:type="spellStart"/>
      <w:r w:rsidRPr="006F498E">
        <w:t>modernising</w:t>
      </w:r>
      <w:proofErr w:type="spellEnd"/>
      <w:r w:rsidRPr="006F498E">
        <w:t xml:space="preserve">, supported by the growth of shopping malls, retail outlets, and hotels. Rapid </w:t>
      </w:r>
      <w:proofErr w:type="spellStart"/>
      <w:r w:rsidRPr="006F498E">
        <w:t>urbanisation</w:t>
      </w:r>
      <w:proofErr w:type="spellEnd"/>
      <w:r w:rsidRPr="006F498E">
        <w:t xml:space="preserve"> and new tourism locations contribute to this trend.</w:t>
      </w:r>
    </w:p>
    <w:p w14:paraId="30E8D0BD" w14:textId="77777777" w:rsidR="006F498E" w:rsidRPr="006F498E" w:rsidRDefault="006F498E" w:rsidP="006F498E">
      <w:pPr>
        <w:pStyle w:val="ListParagraph"/>
      </w:pPr>
      <w:r w:rsidRPr="006F498E">
        <w:rPr>
          <w:rStyle w:val="IntenseEmphasis"/>
        </w:rPr>
        <w:t>Packaged food:</w:t>
      </w:r>
      <w:r w:rsidRPr="006F498E">
        <w:t xml:space="preserve"> Snack foods, ready meals and healthy options are all experiencing increased growth. E-commerce could also be used as an alternate channel for packaged food promotion and sales given the high level of social media use in Indonesia.</w:t>
      </w:r>
    </w:p>
    <w:p w14:paraId="6E9C9D40" w14:textId="77777777" w:rsidR="006F498E" w:rsidRPr="006F498E" w:rsidRDefault="006F498E" w:rsidP="006F498E">
      <w:pPr>
        <w:pStyle w:val="ListParagraph"/>
      </w:pPr>
      <w:r w:rsidRPr="006F498E">
        <w:rPr>
          <w:rStyle w:val="IntenseEmphasis"/>
        </w:rPr>
        <w:t>Halal food:</w:t>
      </w:r>
      <w:r w:rsidRPr="006F498E">
        <w:t xml:space="preserve"> Halal food is also an important market category, influencing retailer brand adoption and distribution.</w:t>
      </w:r>
    </w:p>
    <w:p w14:paraId="29118C5E" w14:textId="77777777" w:rsidR="00F73EB2" w:rsidRPr="00FC7387" w:rsidRDefault="00F73EB2" w:rsidP="00FC7387">
      <w:pPr>
        <w:pStyle w:val="Heading2"/>
      </w:pPr>
      <w:r w:rsidRPr="00FC7387">
        <w:t xml:space="preserve"> WHAT IA-CEPA OFFERS </w:t>
      </w:r>
    </w:p>
    <w:p w14:paraId="641751A0" w14:textId="77777777" w:rsidR="006F498E" w:rsidRPr="00610457" w:rsidRDefault="006F498E" w:rsidP="006F498E">
      <w:pPr>
        <w:pStyle w:val="Body"/>
      </w:pPr>
      <w:r w:rsidRPr="00610457">
        <w:t xml:space="preserve">Under IA-CEPA, more than 99% of Australian agricultural goods now enter Indonesia duty free or under improved preferential arrangements. </w:t>
      </w:r>
    </w:p>
    <w:p w14:paraId="6DA34588" w14:textId="77777777" w:rsidR="006F498E" w:rsidRPr="00610457" w:rsidRDefault="006F498E" w:rsidP="006F498E">
      <w:pPr>
        <w:pStyle w:val="Body"/>
      </w:pPr>
      <w:r w:rsidRPr="00610457">
        <w:t xml:space="preserve">Indonesia has committed to issue import permits automatically and without seasonality for products including live cattle, frozen beef, sheep meat, feed grains, citrus, carrots, and potatoes. </w:t>
      </w:r>
    </w:p>
    <w:p w14:paraId="5BE0EF4E" w14:textId="77777777" w:rsidR="00F73EB2" w:rsidRPr="00FC7387" w:rsidRDefault="00F73EB2" w:rsidP="00FC7387">
      <w:pPr>
        <w:pStyle w:val="Heading2"/>
      </w:pPr>
      <w:r w:rsidRPr="00FC7387">
        <w:t xml:space="preserve">CHALLENGES </w:t>
      </w:r>
    </w:p>
    <w:p w14:paraId="51E25174" w14:textId="77777777" w:rsidR="006F498E" w:rsidRPr="00610457" w:rsidRDefault="006F498E" w:rsidP="006F498E">
      <w:pPr>
        <w:pStyle w:val="Body"/>
      </w:pPr>
      <w:r w:rsidRPr="00610457">
        <w:t xml:space="preserve">During the pandemic, high value products suffered due to the tourist downturn. Exporters should be aware of Indonesia’s focus on self-sufficiency and sensitivity on food </w:t>
      </w:r>
      <w:proofErr w:type="gramStart"/>
      <w:r w:rsidRPr="00610457">
        <w:t>security, and</w:t>
      </w:r>
      <w:proofErr w:type="gramEnd"/>
      <w:r w:rsidRPr="00610457">
        <w:t xml:space="preserve"> monitor the environment for any potential impact on operations.</w:t>
      </w:r>
    </w:p>
    <w:p w14:paraId="725BB929" w14:textId="77777777" w:rsidR="006F498E" w:rsidRPr="00610457" w:rsidRDefault="006F498E" w:rsidP="006F498E">
      <w:pPr>
        <w:pStyle w:val="Body"/>
      </w:pPr>
      <w:r w:rsidRPr="00610457">
        <w:t xml:space="preserve">Indonesia’s complex regulatory and legal systems may present challenges for exporters. </w:t>
      </w:r>
    </w:p>
    <w:p w14:paraId="43DB5AEC" w14:textId="77777777" w:rsidR="006F498E" w:rsidRPr="006F498E" w:rsidRDefault="006F498E" w:rsidP="006F498E">
      <w:pPr>
        <w:pStyle w:val="ListParagraph"/>
      </w:pPr>
      <w:r w:rsidRPr="006F498E">
        <w:t xml:space="preserve">Bureaucratic processes have previously led to delays in obtaining import permits, affecting a range of products and countries. </w:t>
      </w:r>
    </w:p>
    <w:p w14:paraId="513BE17B" w14:textId="77777777" w:rsidR="006F498E" w:rsidRPr="006F498E" w:rsidRDefault="006F498E" w:rsidP="006F498E">
      <w:pPr>
        <w:pStyle w:val="ListParagraph"/>
      </w:pPr>
      <w:r w:rsidRPr="006F498E">
        <w:t xml:space="preserve">Australian businesses should take the time to understand Indonesia’s different political and regulatory environments. </w:t>
      </w:r>
    </w:p>
    <w:p w14:paraId="5E821C46" w14:textId="68621B94" w:rsidR="00FC7387" w:rsidRPr="00FC7387" w:rsidRDefault="006F498E" w:rsidP="00FC7387">
      <w:pPr>
        <w:pStyle w:val="ListParagraph"/>
        <w:sectPr w:rsidR="00FC7387" w:rsidRPr="00FC7387" w:rsidSect="009800CC">
          <w:headerReference w:type="first" r:id="rId14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  <w:r w:rsidRPr="006F498E">
        <w:t>This includes undertaking pre-export planning to meet all regulatory requirements ahead of time and partnering with trusted and experienced importers or distributors.</w:t>
      </w:r>
      <w:r>
        <w:br/>
      </w:r>
    </w:p>
    <w:p w14:paraId="6F055B3E" w14:textId="77777777" w:rsidR="00F73EB2" w:rsidRPr="00FC7387" w:rsidRDefault="00F73EB2" w:rsidP="00FC7387">
      <w:pPr>
        <w:pStyle w:val="Heading2"/>
      </w:pPr>
      <w:r w:rsidRPr="00FC7387">
        <w:lastRenderedPageBreak/>
        <w:t>CASE STUDY</w:t>
      </w:r>
    </w:p>
    <w:p w14:paraId="0F6046F6" w14:textId="34B9E5DB" w:rsidR="00F73EB2" w:rsidRPr="00F73EB2" w:rsidRDefault="006F498E" w:rsidP="005A762F">
      <w:pPr>
        <w:pStyle w:val="Heading3"/>
        <w:spacing w:before="120"/>
        <w:rPr>
          <w:b w:val="0"/>
          <w:i w:val="0"/>
          <w:lang w:val="en-US"/>
        </w:rPr>
      </w:pPr>
      <w:r>
        <w:rPr>
          <w:lang w:val="en-US"/>
        </w:rPr>
        <w:t>Reid Fruits</w:t>
      </w:r>
    </w:p>
    <w:p w14:paraId="1391B009" w14:textId="77777777" w:rsidR="006F498E" w:rsidRPr="00610457" w:rsidRDefault="006F498E" w:rsidP="006F498E">
      <w:pPr>
        <w:pStyle w:val="Body-focussection"/>
      </w:pPr>
      <w:r w:rsidRPr="00610457">
        <w:t>Reid Fruits is a fifth-generation, family-owned Tasmanian company, renowned for its premium cherries that are exported to over 20 countries around the world.</w:t>
      </w:r>
    </w:p>
    <w:p w14:paraId="571AF567" w14:textId="77777777" w:rsidR="006F498E" w:rsidRPr="00610457" w:rsidRDefault="006F498E" w:rsidP="006F498E">
      <w:pPr>
        <w:pStyle w:val="Body-focussection"/>
      </w:pPr>
      <w:r w:rsidRPr="00610457">
        <w:t xml:space="preserve">In 2016, CEO Tim Reid visited Indonesia to assess export potential and noticed the Chinese–Indonesian community celebrating Chinese New Year. These celebrations coincided with Reid’s late picking season (late January- early February), offering potential new market opportunities for their premium cherry product. </w:t>
      </w:r>
    </w:p>
    <w:p w14:paraId="6BC22CBF" w14:textId="68A6386D" w:rsidR="00F73EB2" w:rsidRPr="00F73EB2" w:rsidRDefault="006F498E" w:rsidP="006F498E">
      <w:pPr>
        <w:pStyle w:val="Body-focussection"/>
      </w:pPr>
      <w:r w:rsidRPr="00610457">
        <w:t>In 2019-20, following a period of increased growth, the company exported its 2 kilo and 5 kilo premium presentation cherry boxes to Indonesia. The market reception to these products has been excellent. Reid marketing manager Tony Coad says: “Success is about making the right contacts in-market and being proactive.”</w:t>
      </w:r>
    </w:p>
    <w:sectPr w:rsidR="00F73EB2" w:rsidRPr="00F73EB2" w:rsidSect="00FC7387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3527" w14:textId="77777777" w:rsidR="00CD058E" w:rsidRDefault="00CD058E" w:rsidP="00CD058E">
      <w:pPr>
        <w:spacing w:after="0" w:line="240" w:lineRule="auto"/>
      </w:pPr>
      <w:r>
        <w:separator/>
      </w:r>
    </w:p>
  </w:endnote>
  <w:endnote w:type="continuationSeparator" w:id="0">
    <w:p w14:paraId="43E1152A" w14:textId="77777777" w:rsidR="00CD058E" w:rsidRDefault="00CD058E" w:rsidP="00CD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8965" w14:textId="6D9D3B8E" w:rsidR="00420559" w:rsidRDefault="00420559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02A2B5" wp14:editId="73E096B3">
          <wp:simplePos x="0" y="0"/>
          <wp:positionH relativeFrom="column">
            <wp:posOffset>-1663540</wp:posOffset>
          </wp:positionH>
          <wp:positionV relativeFrom="paragraph">
            <wp:posOffset>143288</wp:posOffset>
          </wp:positionV>
          <wp:extent cx="10344785" cy="737870"/>
          <wp:effectExtent l="0" t="0" r="0" b="0"/>
          <wp:wrapThrough wrapText="bothSides">
            <wp:wrapPolygon edited="0">
              <wp:start x="438" y="5577"/>
              <wp:lineTo x="398" y="15614"/>
              <wp:lineTo x="21161" y="15614"/>
              <wp:lineTo x="21121" y="5577"/>
              <wp:lineTo x="438" y="5577"/>
            </wp:wrapPolygon>
          </wp:wrapThrough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8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EACB" w14:textId="4F534BE7" w:rsidR="00420559" w:rsidRDefault="00253D66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0768" behindDoc="1" locked="1" layoutInCell="1" allowOverlap="1" wp14:anchorId="4993C60B" wp14:editId="6D6B13B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3325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3A34" w14:textId="69EB8DF0" w:rsidR="00027F6F" w:rsidRDefault="00253D66">
    <w:pPr>
      <w:pStyle w:val="Footer"/>
    </w:pPr>
    <w:r>
      <w:rPr>
        <w:noProof/>
      </w:rPr>
      <w:drawing>
        <wp:anchor distT="0" distB="0" distL="114300" distR="114300" simplePos="0" relativeHeight="251679744" behindDoc="1" locked="1" layoutInCell="1" allowOverlap="1" wp14:anchorId="0CB11C8A" wp14:editId="3FE08E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7455" cy="5410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C6C2" w14:textId="77777777" w:rsidR="00AC0747" w:rsidRPr="00AC0747" w:rsidRDefault="00AC0747" w:rsidP="00AC0747">
    <w:pPr>
      <w:pStyle w:val="Footer"/>
      <w:rPr>
        <w:lang w:val="en-US"/>
      </w:rPr>
    </w:pPr>
    <w:r w:rsidRPr="00AC0747">
      <w:rPr>
        <w:lang w:val="en-US"/>
      </w:rPr>
      <w:t xml:space="preserve">More information: A Blueprint for Trade and Investment with Indonesia </w:t>
    </w:r>
  </w:p>
  <w:p w14:paraId="03EBEF4D" w14:textId="77777777" w:rsidR="00AC0747" w:rsidRPr="00AC0747" w:rsidRDefault="00AC0747" w:rsidP="00AC0747">
    <w:pPr>
      <w:pStyle w:val="Footer"/>
      <w:rPr>
        <w:lang w:val="en-US"/>
      </w:rPr>
    </w:pPr>
    <w:r w:rsidRPr="00AC0747">
      <w:rPr>
        <w:lang w:val="en-US"/>
      </w:rPr>
      <w:t xml:space="preserve">www.dfat.gov.au/publications/trade-and-investment/blueprint-trade-and-investment-indonesia </w:t>
    </w:r>
  </w:p>
  <w:p w14:paraId="0B3F9A76" w14:textId="77777777" w:rsidR="00FC7387" w:rsidRDefault="00FC7387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5888" behindDoc="1" locked="1" layoutInCell="1" allowOverlap="1" wp14:anchorId="221546C8" wp14:editId="311CE1AD">
          <wp:simplePos x="0" y="0"/>
          <wp:positionH relativeFrom="margin">
            <wp:posOffset>-638175</wp:posOffset>
          </wp:positionH>
          <wp:positionV relativeFrom="page">
            <wp:posOffset>8896350</wp:posOffset>
          </wp:positionV>
          <wp:extent cx="7052400" cy="15660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400" cy="15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2551" w14:textId="77777777" w:rsidR="00CD058E" w:rsidRDefault="00CD058E" w:rsidP="00CD058E">
      <w:pPr>
        <w:spacing w:after="0" w:line="240" w:lineRule="auto"/>
      </w:pPr>
      <w:r>
        <w:separator/>
      </w:r>
    </w:p>
  </w:footnote>
  <w:footnote w:type="continuationSeparator" w:id="0">
    <w:p w14:paraId="118AD643" w14:textId="77777777" w:rsidR="00CD058E" w:rsidRDefault="00CD058E" w:rsidP="00CD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B6E6" w14:textId="69F22069" w:rsidR="00420559" w:rsidRDefault="0042055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E97650D" wp14:editId="34676110">
              <wp:extent cx="4218940" cy="572770"/>
              <wp:effectExtent l="0" t="0" r="0" b="0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940" cy="572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CE78E" w14:textId="77777777" w:rsidR="00F73EB2" w:rsidRDefault="00F73EB2" w:rsidP="00F73EB2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Education, Skills and Training Sector in Brief</w:t>
                          </w:r>
                        </w:p>
                        <w:p w14:paraId="0656B776" w14:textId="0484B58C" w:rsidR="00420559" w:rsidRDefault="004205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976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32.2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" filled="f" stroked="f">
              <v:textbox>
                <w:txbxContent>
                  <w:p w14:paraId="7E3CE78E" w14:textId="77777777" w:rsidR="00F73EB2" w:rsidRDefault="00F73EB2" w:rsidP="00F73EB2">
                    <w:pPr>
                      <w:jc w:val="right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Education, Skills and Training Sector in Brief</w:t>
                    </w:r>
                  </w:p>
                  <w:p w14:paraId="0656B776" w14:textId="0484B58C" w:rsidR="00420559" w:rsidRDefault="00420559"/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05B87830" wp14:editId="06AFE86D">
          <wp:extent cx="11787505" cy="1403350"/>
          <wp:effectExtent l="0" t="0" r="0" b="0"/>
          <wp:docPr id="24" name="Picture 24" descr="A Blueprint for Trade and Investment with Indones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print for Trade and Investment with Indonesia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7505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AEA3" w14:textId="605F4709" w:rsidR="00027F6F" w:rsidRDefault="00AC0747" w:rsidP="00AC0747">
    <w:pPr>
      <w:pStyle w:val="Header"/>
      <w:tabs>
        <w:tab w:val="clear" w:pos="4513"/>
        <w:tab w:val="clear" w:pos="9026"/>
        <w:tab w:val="left" w:pos="1095"/>
      </w:tabs>
      <w:ind w:right="-188"/>
    </w:pPr>
    <w:r>
      <w:rPr>
        <w:noProof/>
      </w:rPr>
      <w:drawing>
        <wp:anchor distT="0" distB="0" distL="114300" distR="114300" simplePos="0" relativeHeight="251689984" behindDoc="1" locked="0" layoutInCell="1" allowOverlap="1" wp14:anchorId="453EC75E" wp14:editId="1473324C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C43" w:rsidRPr="00911C43">
      <w:rPr>
        <w:noProof/>
      </w:rPr>
      <w:t xml:space="preserve"> </w:t>
    </w:r>
    <w:r w:rsidR="00911C43">
      <w:rPr>
        <w:noProof/>
      </w:rPr>
      <w:t>Agriculture and Food Sector</w:t>
    </w:r>
    <w:r w:rsidR="00911C43">
      <w:t xml:space="preserve"> </w:t>
    </w:r>
    <w:r>
      <w:t>in Brief</w:t>
    </w:r>
    <w:r w:rsidR="00253D66">
      <w:rPr>
        <w:noProof/>
      </w:rPr>
      <w:drawing>
        <wp:anchor distT="0" distB="0" distL="114300" distR="114300" simplePos="0" relativeHeight="251681792" behindDoc="1" locked="1" layoutInCell="1" allowOverlap="1" wp14:anchorId="444C77FD" wp14:editId="4F3F8BA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6495" cy="89598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0B7C" w14:textId="51E9A792" w:rsidR="00027F6F" w:rsidRDefault="00253D66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06D323A4" wp14:editId="0487342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E97F" w14:textId="269D9DC2" w:rsidR="009800CC" w:rsidRDefault="009800CC" w:rsidP="009800CC">
    <w:pPr>
      <w:pStyle w:val="Header"/>
      <w:tabs>
        <w:tab w:val="clear" w:pos="4513"/>
        <w:tab w:val="clear" w:pos="9026"/>
        <w:tab w:val="left" w:pos="1095"/>
      </w:tabs>
      <w:ind w:right="1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A365D78" wp14:editId="42AFCD56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C43">
      <w:rPr>
        <w:noProof/>
      </w:rPr>
      <w:t>Agriculture and Food Sector</w:t>
    </w:r>
    <w:r>
      <w:t xml:space="preserve"> in Brief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25D7" w14:textId="77777777" w:rsidR="00FC7387" w:rsidRDefault="00FC7387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83840" behindDoc="1" locked="0" layoutInCell="1" allowOverlap="1" wp14:anchorId="1A72588A" wp14:editId="2FBB58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4EF"/>
    <w:multiLevelType w:val="hybridMultilevel"/>
    <w:tmpl w:val="E5848C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C645A"/>
    <w:multiLevelType w:val="hybridMultilevel"/>
    <w:tmpl w:val="240C559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55772"/>
    <w:multiLevelType w:val="hybridMultilevel"/>
    <w:tmpl w:val="07941F4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224D58"/>
    <w:multiLevelType w:val="hybridMultilevel"/>
    <w:tmpl w:val="D95C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481"/>
    <w:multiLevelType w:val="hybridMultilevel"/>
    <w:tmpl w:val="76900946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C504E"/>
    <w:multiLevelType w:val="hybridMultilevel"/>
    <w:tmpl w:val="071405DC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57235"/>
    <w:multiLevelType w:val="hybridMultilevel"/>
    <w:tmpl w:val="5FA0075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7CDEC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1AB7"/>
    <w:multiLevelType w:val="hybridMultilevel"/>
    <w:tmpl w:val="398AB5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8B364C"/>
    <w:multiLevelType w:val="hybridMultilevel"/>
    <w:tmpl w:val="93A4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7561"/>
    <w:multiLevelType w:val="hybridMultilevel"/>
    <w:tmpl w:val="926CBFD4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14CE8"/>
    <w:multiLevelType w:val="hybridMultilevel"/>
    <w:tmpl w:val="485E928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A9014A"/>
    <w:multiLevelType w:val="hybridMultilevel"/>
    <w:tmpl w:val="34DC2538"/>
    <w:lvl w:ilvl="0" w:tplc="D28E4E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222BC7"/>
    <w:multiLevelType w:val="hybridMultilevel"/>
    <w:tmpl w:val="84BCBC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6E2DC8"/>
    <w:multiLevelType w:val="hybridMultilevel"/>
    <w:tmpl w:val="88C808A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0272F"/>
    <w:multiLevelType w:val="hybridMultilevel"/>
    <w:tmpl w:val="DF185A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2A419F"/>
    <w:multiLevelType w:val="hybridMultilevel"/>
    <w:tmpl w:val="86F4AD7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E231A0"/>
    <w:multiLevelType w:val="hybridMultilevel"/>
    <w:tmpl w:val="F35803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5B7E89"/>
    <w:multiLevelType w:val="hybridMultilevel"/>
    <w:tmpl w:val="54E0A27E"/>
    <w:lvl w:ilvl="0" w:tplc="0C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71E7D"/>
    <w:multiLevelType w:val="hybridMultilevel"/>
    <w:tmpl w:val="9E3254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6407FE"/>
    <w:multiLevelType w:val="hybridMultilevel"/>
    <w:tmpl w:val="50C2871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584B"/>
    <w:multiLevelType w:val="hybridMultilevel"/>
    <w:tmpl w:val="0E0C1D4E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86E15"/>
    <w:multiLevelType w:val="hybridMultilevel"/>
    <w:tmpl w:val="F732C91A"/>
    <w:lvl w:ilvl="0" w:tplc="7CDECD0E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2" w15:restartNumberingAfterBreak="0">
    <w:nsid w:val="7F732F8A"/>
    <w:multiLevelType w:val="hybridMultilevel"/>
    <w:tmpl w:val="FF2491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5"/>
  </w:num>
  <w:num w:numId="7">
    <w:abstractNumId w:val="21"/>
  </w:num>
  <w:num w:numId="8">
    <w:abstractNumId w:val="9"/>
  </w:num>
  <w:num w:numId="9">
    <w:abstractNumId w:val="16"/>
  </w:num>
  <w:num w:numId="10">
    <w:abstractNumId w:val="14"/>
  </w:num>
  <w:num w:numId="11">
    <w:abstractNumId w:val="18"/>
  </w:num>
  <w:num w:numId="12">
    <w:abstractNumId w:val="10"/>
  </w:num>
  <w:num w:numId="13">
    <w:abstractNumId w:val="4"/>
  </w:num>
  <w:num w:numId="14">
    <w:abstractNumId w:val="19"/>
  </w:num>
  <w:num w:numId="15">
    <w:abstractNumId w:val="6"/>
  </w:num>
  <w:num w:numId="16">
    <w:abstractNumId w:val="12"/>
  </w:num>
  <w:num w:numId="17">
    <w:abstractNumId w:val="20"/>
  </w:num>
  <w:num w:numId="18">
    <w:abstractNumId w:val="1"/>
  </w:num>
  <w:num w:numId="19">
    <w:abstractNumId w:val="3"/>
  </w:num>
  <w:num w:numId="20">
    <w:abstractNumId w:val="8"/>
  </w:num>
  <w:num w:numId="21">
    <w:abstractNumId w:val="13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E"/>
    <w:rsid w:val="00027F6F"/>
    <w:rsid w:val="001F0855"/>
    <w:rsid w:val="00253D66"/>
    <w:rsid w:val="002565E4"/>
    <w:rsid w:val="004172AD"/>
    <w:rsid w:val="00420559"/>
    <w:rsid w:val="0047241D"/>
    <w:rsid w:val="005A762F"/>
    <w:rsid w:val="006F498E"/>
    <w:rsid w:val="00793902"/>
    <w:rsid w:val="008D39F7"/>
    <w:rsid w:val="00911C43"/>
    <w:rsid w:val="009800CC"/>
    <w:rsid w:val="009902BF"/>
    <w:rsid w:val="00A00F2A"/>
    <w:rsid w:val="00A6517A"/>
    <w:rsid w:val="00AC0747"/>
    <w:rsid w:val="00B800BF"/>
    <w:rsid w:val="00C755A9"/>
    <w:rsid w:val="00CD058E"/>
    <w:rsid w:val="00D500F8"/>
    <w:rsid w:val="00F73EB2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CC"/>
  </w:style>
  <w:style w:type="paragraph" w:styleId="Heading1">
    <w:name w:val="heading 1"/>
    <w:basedOn w:val="Normal"/>
    <w:next w:val="Normal"/>
    <w:link w:val="Heading1Char"/>
    <w:uiPriority w:val="9"/>
    <w:qFormat/>
    <w:rsid w:val="00793902"/>
    <w:pPr>
      <w:keepNext/>
      <w:keepLines/>
      <w:suppressAutoHyphens/>
      <w:autoSpaceDE w:val="0"/>
      <w:autoSpaceDN w:val="0"/>
      <w:adjustRightInd w:val="0"/>
      <w:spacing w:after="960" w:line="380" w:lineRule="atLeast"/>
      <w:textAlignment w:val="center"/>
      <w:outlineLvl w:val="0"/>
    </w:pPr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500F8"/>
    <w:pPr>
      <w:keepNext/>
      <w:keepLines/>
      <w:spacing w:before="48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500F8"/>
    <w:pPr>
      <w:shd w:val="clear" w:color="auto" w:fill="FFCCCC"/>
      <w:spacing w:before="720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CC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hAnsiTheme="majorHAnsi"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800CC"/>
    <w:rPr>
      <w:rFonts w:asciiTheme="majorHAnsi" w:hAnsiTheme="majorHAnsi"/>
      <w:color w:val="FFFFFF" w:themeColor="background1"/>
      <w:sz w:val="18"/>
    </w:rPr>
  </w:style>
  <w:style w:type="paragraph" w:styleId="Footer">
    <w:name w:val="footer"/>
    <w:basedOn w:val="Normal"/>
    <w:link w:val="FooterChar"/>
    <w:uiPriority w:val="99"/>
    <w:unhideWhenUsed/>
    <w:rsid w:val="00AC0747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C0747"/>
    <w:rPr>
      <w:b/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0F8"/>
    <w:rPr>
      <w:rFonts w:eastAsiaTheme="majorEastAsia" w:cstheme="majorBidi"/>
      <w:b/>
      <w:color w:val="C00000"/>
      <w:sz w:val="28"/>
      <w:szCs w:val="26"/>
    </w:rPr>
  </w:style>
  <w:style w:type="paragraph" w:customStyle="1" w:styleId="H2">
    <w:name w:val="H2"/>
    <w:basedOn w:val="Normal"/>
    <w:link w:val="H2Char"/>
    <w:uiPriority w:val="99"/>
    <w:rsid w:val="008D39F7"/>
    <w:pPr>
      <w:suppressAutoHyphens/>
      <w:autoSpaceDE w:val="0"/>
      <w:autoSpaceDN w:val="0"/>
      <w:adjustRightInd w:val="0"/>
      <w:spacing w:before="397" w:after="113" w:line="300" w:lineRule="atLeast"/>
      <w:textAlignment w:val="center"/>
    </w:pPr>
    <w:rPr>
      <w:rFonts w:ascii="Ubuntu" w:hAnsi="Ubuntu" w:cs="Ubuntu"/>
      <w:b/>
      <w:bCs/>
      <w:color w:val="C60000"/>
      <w:sz w:val="28"/>
      <w:szCs w:val="28"/>
      <w:lang w:val="en-US"/>
    </w:rPr>
  </w:style>
  <w:style w:type="paragraph" w:customStyle="1" w:styleId="Body">
    <w:name w:val="Body"/>
    <w:basedOn w:val="Normal"/>
    <w:uiPriority w:val="99"/>
    <w:rsid w:val="009800CC"/>
    <w:pPr>
      <w:suppressAutoHyphens/>
      <w:autoSpaceDE w:val="0"/>
      <w:autoSpaceDN w:val="0"/>
      <w:adjustRightInd w:val="0"/>
      <w:spacing w:after="170" w:line="260" w:lineRule="atLeast"/>
      <w:ind w:left="567"/>
      <w:textAlignment w:val="center"/>
    </w:pPr>
    <w:rPr>
      <w:rFonts w:asciiTheme="majorHAnsi" w:hAnsiTheme="majorHAnsi" w:cs="Ubuntu Light"/>
      <w:color w:val="00003F"/>
      <w:lang w:val="en-US"/>
    </w:rPr>
  </w:style>
  <w:style w:type="paragraph" w:customStyle="1" w:styleId="BodyBullet">
    <w:name w:val="Body Bullet"/>
    <w:basedOn w:val="Body"/>
    <w:uiPriority w:val="99"/>
    <w:rsid w:val="008D39F7"/>
    <w:pPr>
      <w:spacing w:after="113"/>
      <w:ind w:left="850" w:hanging="283"/>
    </w:pPr>
  </w:style>
  <w:style w:type="paragraph" w:customStyle="1" w:styleId="BodyBulletLast">
    <w:name w:val="Body Bullet Last"/>
    <w:basedOn w:val="BodyBullet"/>
    <w:uiPriority w:val="99"/>
    <w:rsid w:val="008D39F7"/>
    <w:pPr>
      <w:spacing w:after="227"/>
    </w:pPr>
  </w:style>
  <w:style w:type="paragraph" w:customStyle="1" w:styleId="Body-focussection">
    <w:name w:val="Body - focus section"/>
    <w:basedOn w:val="Body"/>
    <w:uiPriority w:val="99"/>
    <w:rsid w:val="00D500F8"/>
    <w:pPr>
      <w:shd w:val="clear" w:color="auto" w:fill="FFCCCC"/>
      <w:spacing w:after="120"/>
      <w:ind w:left="0"/>
    </w:pPr>
    <w:rPr>
      <w:color w:val="C00000"/>
    </w:rPr>
  </w:style>
  <w:style w:type="paragraph" w:customStyle="1" w:styleId="Insetbody">
    <w:name w:val="Inset body"/>
    <w:basedOn w:val="Body"/>
    <w:uiPriority w:val="99"/>
    <w:rsid w:val="00027F6F"/>
    <w:pPr>
      <w:ind w:left="1134" w:right="1134"/>
    </w:pPr>
    <w:rPr>
      <w:color w:val="C60000"/>
    </w:rPr>
  </w:style>
  <w:style w:type="paragraph" w:customStyle="1" w:styleId="Insetheading">
    <w:name w:val="Inset heading"/>
    <w:basedOn w:val="Insetbody"/>
    <w:uiPriority w:val="99"/>
    <w:rsid w:val="00027F6F"/>
    <w:pPr>
      <w:spacing w:before="170"/>
    </w:pPr>
    <w:rPr>
      <w:rFonts w:ascii="Ubuntu" w:hAnsi="Ubuntu" w:cs="Ubuntu"/>
      <w:b/>
      <w:bCs/>
      <w:i/>
      <w:iCs/>
      <w:sz w:val="24"/>
      <w:szCs w:val="24"/>
    </w:rPr>
  </w:style>
  <w:style w:type="character" w:customStyle="1" w:styleId="Emphasisstrongred">
    <w:name w:val="Emphasis strong red"/>
    <w:uiPriority w:val="99"/>
    <w:rsid w:val="00027F6F"/>
    <w:rPr>
      <w:rFonts w:ascii="Ubuntu" w:hAnsi="Ubuntu" w:cs="Ubuntu"/>
      <w:b/>
      <w:bCs/>
      <w:i/>
      <w:iCs/>
      <w:color w:val="C60000"/>
    </w:rPr>
  </w:style>
  <w:style w:type="paragraph" w:styleId="ListParagraph">
    <w:name w:val="List Paragraph"/>
    <w:basedOn w:val="Body"/>
    <w:uiPriority w:val="34"/>
    <w:qFormat/>
    <w:rsid w:val="009800CC"/>
    <w:pPr>
      <w:numPr>
        <w:numId w:val="23"/>
      </w:numPr>
      <w:spacing w:after="120"/>
      <w:ind w:left="1434" w:hanging="357"/>
    </w:pPr>
    <w:rPr>
      <w:color w:val="002060"/>
    </w:rPr>
  </w:style>
  <w:style w:type="character" w:styleId="IntenseEmphasis">
    <w:name w:val="Intense Emphasis"/>
    <w:basedOn w:val="DefaultParagraphFont"/>
    <w:uiPriority w:val="21"/>
    <w:qFormat/>
    <w:rsid w:val="00D500F8"/>
    <w:rPr>
      <w:b/>
      <w:i/>
      <w:iCs/>
      <w:color w:val="C00000"/>
    </w:rPr>
  </w:style>
  <w:style w:type="character" w:customStyle="1" w:styleId="Heading1Char">
    <w:name w:val="Heading 1 Char"/>
    <w:basedOn w:val="DefaultParagraphFont"/>
    <w:link w:val="Heading1"/>
    <w:uiPriority w:val="9"/>
    <w:rsid w:val="00793902"/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character" w:customStyle="1" w:styleId="H2Char">
    <w:name w:val="H2 Char"/>
    <w:basedOn w:val="DefaultParagraphFont"/>
    <w:link w:val="H2"/>
    <w:uiPriority w:val="99"/>
    <w:rsid w:val="001F0855"/>
    <w:rPr>
      <w:rFonts w:ascii="Ubuntu" w:hAnsi="Ubuntu" w:cs="Ubuntu"/>
      <w:b/>
      <w:bCs/>
      <w:color w:val="C60000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D500F8"/>
    <w:rPr>
      <w:i/>
      <w:iCs/>
      <w:color w:val="002060"/>
    </w:rPr>
  </w:style>
  <w:style w:type="paragraph" w:styleId="Title">
    <w:name w:val="Title"/>
    <w:basedOn w:val="Normal"/>
    <w:next w:val="Normal"/>
    <w:link w:val="TitleChar"/>
    <w:uiPriority w:val="10"/>
    <w:qFormat/>
    <w:rsid w:val="004172AD"/>
    <w:pPr>
      <w:spacing w:after="0" w:line="240" w:lineRule="auto"/>
      <w:contextualSpacing/>
    </w:pPr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2AD"/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styleId="Emphasis">
    <w:name w:val="Emphasis"/>
    <w:basedOn w:val="DefaultParagraphFont"/>
    <w:uiPriority w:val="99"/>
    <w:qFormat/>
    <w:rsid w:val="00F73EB2"/>
    <w:rPr>
      <w:rFonts w:ascii="Ubuntu Light" w:hAnsi="Ubuntu Light" w:cs="Ubuntu Light"/>
      <w:i/>
      <w:iCs/>
    </w:rPr>
  </w:style>
  <w:style w:type="paragraph" w:customStyle="1" w:styleId="Buodybulletlevel2">
    <w:name w:val="Buody bullet level 2"/>
    <w:basedOn w:val="BodyBullet"/>
    <w:uiPriority w:val="99"/>
    <w:rsid w:val="00F73EB2"/>
    <w:p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D500F8"/>
    <w:rPr>
      <w:rFonts w:eastAsiaTheme="majorEastAsia" w:cstheme="majorBidi"/>
      <w:b/>
      <w:i/>
      <w:color w:val="C00000"/>
      <w:sz w:val="24"/>
      <w:szCs w:val="24"/>
      <w:shd w:val="clear" w:color="auto" w:fill="FF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26C9-F33D-4EF9-A3D3-88BE4EE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3858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2022-07-13T04:23:00Z</dcterms:created>
  <dcterms:modified xsi:type="dcterms:W3CDTF">2022-07-13T04:24:00Z</dcterms:modified>
  <cp:category/>
</cp:coreProperties>
</file>