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C5C37" w14:textId="54CD5913" w:rsidR="00253D66" w:rsidRPr="00A23965" w:rsidRDefault="00253D66" w:rsidP="00B52F4E">
      <w:pPr>
        <w:pStyle w:val="Heading1"/>
        <w:ind w:left="142"/>
        <w:rPr>
          <w:color w:val="000000" w:themeColor="text1"/>
        </w:rPr>
      </w:pPr>
      <w:r w:rsidRPr="00A23965">
        <w:rPr>
          <w:color w:val="000000" w:themeColor="text1"/>
        </w:rPr>
        <w:t xml:space="preserve">Education, Skills and Training Sector </w:t>
      </w:r>
      <w:r w:rsidR="00FC7387" w:rsidRPr="00A23965">
        <w:rPr>
          <w:color w:val="000000" w:themeColor="text1"/>
        </w:rPr>
        <w:br/>
      </w:r>
      <w:r w:rsidRPr="00A23965">
        <w:rPr>
          <w:color w:val="000000" w:themeColor="text1"/>
        </w:rPr>
        <w:t>in Brief</w:t>
      </w:r>
    </w:p>
    <w:p w14:paraId="40F22BA4" w14:textId="77777777" w:rsidR="00F73EB2" w:rsidRPr="00FC7387" w:rsidRDefault="00F73EB2" w:rsidP="00FC7387">
      <w:pPr>
        <w:pStyle w:val="Heading2"/>
      </w:pPr>
      <w:r w:rsidRPr="00FC7387">
        <w:t>OVERVIEW</w:t>
      </w:r>
    </w:p>
    <w:p w14:paraId="2581048D" w14:textId="77777777" w:rsidR="00F73EB2" w:rsidRDefault="00F73EB2" w:rsidP="00F73EB2">
      <w:pPr>
        <w:pStyle w:val="Body"/>
      </w:pPr>
      <w:r>
        <w:t>Strong economic growth in Indonesia is driving increased demand for quality education, and the government is committed to making vocational education and training a top priority.</w:t>
      </w:r>
    </w:p>
    <w:p w14:paraId="6198641F" w14:textId="77777777" w:rsidR="00F73EB2" w:rsidRDefault="00F73EB2" w:rsidP="009800CC">
      <w:pPr>
        <w:pStyle w:val="ListParagraph"/>
      </w:pPr>
      <w:r>
        <w:t>Half of Indonesia’s population is aged under 30.</w:t>
      </w:r>
    </w:p>
    <w:p w14:paraId="2E45DD5E" w14:textId="77777777" w:rsidR="00F73EB2" w:rsidRDefault="00F73EB2" w:rsidP="009800CC">
      <w:pPr>
        <w:pStyle w:val="ListParagraph"/>
      </w:pPr>
      <w:r>
        <w:t xml:space="preserve">Indonesia has a shortage of highly skilled workers and qualified professionals, with almost 20% of Indonesian workers underqualified. </w:t>
      </w:r>
    </w:p>
    <w:p w14:paraId="494A2C66" w14:textId="77777777" w:rsidR="00F73EB2" w:rsidRDefault="00F73EB2" w:rsidP="009800CC">
      <w:pPr>
        <w:pStyle w:val="ListParagraph"/>
      </w:pPr>
      <w:r>
        <w:t xml:space="preserve">Indonesia is seeking to add 57 million skilled workers to the economy by 2030. </w:t>
      </w:r>
    </w:p>
    <w:p w14:paraId="3D96294F" w14:textId="77777777" w:rsidR="00F73EB2" w:rsidRDefault="00F73EB2" w:rsidP="009800CC">
      <w:pPr>
        <w:pStyle w:val="ListParagraph"/>
      </w:pPr>
      <w:r>
        <w:t xml:space="preserve">Entering the education market through consortia is likely to provide the greatest benefits for Australia and Indonesia.  </w:t>
      </w:r>
    </w:p>
    <w:p w14:paraId="44BB96E3" w14:textId="77777777" w:rsidR="00F73EB2" w:rsidRDefault="00F73EB2" w:rsidP="00F73EB2">
      <w:pPr>
        <w:pStyle w:val="Body"/>
      </w:pPr>
      <w:r>
        <w:t>In addition, IA-CEPA gives Australian businesses major advantages in the Indonesian education market, including allowing majority (up to 67%) Australian ownership of VET enterprises in Indonesia, and a reciprocal skills exchange for tertiary qualified individuals.</w:t>
      </w:r>
    </w:p>
    <w:p w14:paraId="6B985E79" w14:textId="77777777" w:rsidR="00F73EB2" w:rsidRDefault="00F73EB2" w:rsidP="00F73EB2">
      <w:pPr>
        <w:pStyle w:val="BodyBulletLast"/>
        <w:numPr>
          <w:ilvl w:val="0"/>
          <w:numId w:val="13"/>
        </w:numPr>
      </w:pPr>
      <w:r>
        <w:t xml:space="preserve">Successful engagement in Indonesia’s education sector can be achieved by having long-term commitment, strong local partners, and a willingness to forge deep connections in the country.  </w:t>
      </w:r>
    </w:p>
    <w:p w14:paraId="4F6D4A42" w14:textId="77777777" w:rsidR="00F73EB2" w:rsidRPr="00FC7387" w:rsidRDefault="00F73EB2" w:rsidP="00FC7387">
      <w:pPr>
        <w:pStyle w:val="Heading2"/>
      </w:pPr>
      <w:r w:rsidRPr="00FC7387">
        <w:t>OPPORTUNITIES</w:t>
      </w:r>
    </w:p>
    <w:p w14:paraId="2EC69B06" w14:textId="77777777" w:rsidR="00F73EB2" w:rsidRDefault="00F73EB2" w:rsidP="00F73EB2">
      <w:pPr>
        <w:pStyle w:val="Body"/>
      </w:pPr>
      <w:r>
        <w:t xml:space="preserve">Indonesia’s education and training needs are substantial and growing. International providers have a big role to play in meeting those needs. There are many opportunities for Australian </w:t>
      </w:r>
      <w:proofErr w:type="spellStart"/>
      <w:r>
        <w:t>organisations</w:t>
      </w:r>
      <w:proofErr w:type="spellEnd"/>
      <w:r>
        <w:t xml:space="preserve"> to expand into this fast-growing economy – predicted to become the world’s fourth largest by mid-century, behind China, India, and the United States.  </w:t>
      </w:r>
    </w:p>
    <w:p w14:paraId="1435EEE1" w14:textId="77777777" w:rsidR="00F73EB2" w:rsidRDefault="00F73EB2" w:rsidP="00F73EB2">
      <w:pPr>
        <w:pStyle w:val="BodyBullet"/>
        <w:numPr>
          <w:ilvl w:val="0"/>
          <w:numId w:val="13"/>
        </w:numPr>
      </w:pPr>
      <w:r>
        <w:t xml:space="preserve">Indonesia’s higher education sector is predicted to grow at a compound annual rate of 10.3% between 2016 and 2025, by which time it will be worth US$118 billion. </w:t>
      </w:r>
    </w:p>
    <w:p w14:paraId="7419DBF7" w14:textId="77777777" w:rsidR="00F73EB2" w:rsidRDefault="00F73EB2" w:rsidP="00F73EB2">
      <w:pPr>
        <w:pStyle w:val="BodyBulletLast"/>
        <w:numPr>
          <w:ilvl w:val="0"/>
          <w:numId w:val="13"/>
        </w:numPr>
      </w:pPr>
      <w:r>
        <w:t xml:space="preserve">Indonesia plans to double its number of work-ready graduates (approximately 3.8 million new skilled workers a year).  </w:t>
      </w:r>
    </w:p>
    <w:p w14:paraId="1F1895B5" w14:textId="77777777" w:rsidR="00F73EB2" w:rsidRDefault="00F73EB2" w:rsidP="00F73EB2">
      <w:pPr>
        <w:pStyle w:val="Body"/>
      </w:pPr>
      <w:r>
        <w:t xml:space="preserve">The country has developed a 5-year plan, </w:t>
      </w:r>
      <w:r>
        <w:rPr>
          <w:rStyle w:val="Emphasis"/>
        </w:rPr>
        <w:t>Making Indonesia 4.0</w:t>
      </w:r>
      <w:r>
        <w:t xml:space="preserve">, to respond to challenges including the need for study programs that meet industry needs, industry-oriented curriculums, and improved teaching and facilities. </w:t>
      </w:r>
    </w:p>
    <w:p w14:paraId="4AC6FEB1" w14:textId="77777777" w:rsidR="009800CC" w:rsidRDefault="009800CC" w:rsidP="004172AD">
      <w:pPr>
        <w:pStyle w:val="Body"/>
        <w:sectPr w:rsidR="009800CC" w:rsidSect="009800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701" w:left="1134" w:header="709" w:footer="709" w:gutter="0"/>
          <w:cols w:space="708"/>
          <w:titlePg/>
          <w:docGrid w:linePitch="360"/>
        </w:sectPr>
      </w:pPr>
    </w:p>
    <w:p w14:paraId="1197ECF7" w14:textId="77777777" w:rsidR="00F73EB2" w:rsidRPr="00FC7387" w:rsidRDefault="00F73EB2" w:rsidP="00FC7387">
      <w:pPr>
        <w:pStyle w:val="Heading2"/>
      </w:pPr>
      <w:r w:rsidRPr="00FC7387">
        <w:lastRenderedPageBreak/>
        <w:t xml:space="preserve">WHERE TO FOCUS  </w:t>
      </w:r>
    </w:p>
    <w:p w14:paraId="0C6A69D8" w14:textId="77777777" w:rsidR="00F73EB2" w:rsidRPr="00F73EB2" w:rsidRDefault="00F73EB2" w:rsidP="009800CC">
      <w:pPr>
        <w:pStyle w:val="Body"/>
      </w:pPr>
      <w:r w:rsidRPr="00F73EB2">
        <w:t>Australia has existing education and training networks with Indonesia and proven capability to produce skilled workers across multiple sectors:</w:t>
      </w:r>
    </w:p>
    <w:p w14:paraId="696B3A17" w14:textId="77777777" w:rsidR="00F73EB2" w:rsidRPr="00F73EB2" w:rsidRDefault="00F73EB2" w:rsidP="009800CC">
      <w:pPr>
        <w:pStyle w:val="ListParagraph"/>
      </w:pPr>
      <w:r w:rsidRPr="00D500F8">
        <w:rPr>
          <w:rStyle w:val="IntenseEmphasis"/>
        </w:rPr>
        <w:t>Sectoral focus:</w:t>
      </w:r>
      <w:r w:rsidRPr="00F73EB2">
        <w:t xml:space="preserve"> Many </w:t>
      </w:r>
      <w:r w:rsidRPr="00D500F8">
        <w:rPr>
          <w:rStyle w:val="SubtleEmphasis"/>
        </w:rPr>
        <w:t>Making Indonesia 4.0</w:t>
      </w:r>
      <w:r w:rsidRPr="00F73EB2">
        <w:t xml:space="preserve"> priorities align with Australian expertise in increasing </w:t>
      </w:r>
      <w:proofErr w:type="spellStart"/>
      <w:r w:rsidRPr="00F73EB2">
        <w:t>digitisation</w:t>
      </w:r>
      <w:proofErr w:type="spellEnd"/>
      <w:r w:rsidRPr="00F73EB2">
        <w:t xml:space="preserve"> of SMEs, using artificial intelligence and big data and encouraging enterprise development with technological innovation. </w:t>
      </w:r>
    </w:p>
    <w:p w14:paraId="67C13795" w14:textId="77777777" w:rsidR="00F73EB2" w:rsidRDefault="00F73EB2" w:rsidP="00D500F8">
      <w:pPr>
        <w:pStyle w:val="ListParagraph"/>
      </w:pPr>
      <w:r w:rsidRPr="00D500F8">
        <w:rPr>
          <w:rStyle w:val="IntenseEmphasis"/>
        </w:rPr>
        <w:t>Higher Education and VET:</w:t>
      </w:r>
      <w:r w:rsidRPr="00F73EB2">
        <w:rPr>
          <w:rFonts w:ascii="Ubuntu" w:hAnsi="Ubuntu" w:cs="Ubuntu"/>
          <w:b/>
          <w:bCs/>
          <w:i/>
          <w:iCs/>
          <w:color w:val="C60000"/>
        </w:rPr>
        <w:t xml:space="preserve"> </w:t>
      </w:r>
      <w:r w:rsidRPr="00F73EB2">
        <w:t>Australia’s comparative advantages map well across identified Indonesian priority sectors including:</w:t>
      </w:r>
    </w:p>
    <w:p w14:paraId="12AEBA4B" w14:textId="6052E8FE" w:rsidR="00F73EB2" w:rsidRPr="00D500F8" w:rsidRDefault="00F73EB2" w:rsidP="00D500F8">
      <w:pPr>
        <w:pStyle w:val="ListParagraph"/>
      </w:pPr>
      <w:r w:rsidRPr="00D500F8">
        <w:t xml:space="preserve">food and </w:t>
      </w:r>
      <w:proofErr w:type="gramStart"/>
      <w:r w:rsidRPr="00D500F8">
        <w:t>agribusiness;</w:t>
      </w:r>
      <w:proofErr w:type="gramEnd"/>
    </w:p>
    <w:p w14:paraId="542D86D8" w14:textId="77777777" w:rsidR="00F73EB2" w:rsidRPr="00D500F8" w:rsidRDefault="00F73EB2" w:rsidP="00D500F8">
      <w:pPr>
        <w:pStyle w:val="ListParagraph"/>
      </w:pPr>
      <w:r w:rsidRPr="00D500F8">
        <w:t xml:space="preserve">science and engineering digital </w:t>
      </w:r>
      <w:proofErr w:type="gramStart"/>
      <w:r w:rsidRPr="00D500F8">
        <w:t>transformation;</w:t>
      </w:r>
      <w:proofErr w:type="gramEnd"/>
    </w:p>
    <w:p w14:paraId="719ADDC3" w14:textId="77777777" w:rsidR="00F73EB2" w:rsidRPr="00D500F8" w:rsidRDefault="00F73EB2" w:rsidP="00D500F8">
      <w:pPr>
        <w:pStyle w:val="ListParagraph"/>
      </w:pPr>
      <w:r w:rsidRPr="00D500F8">
        <w:t>education; and</w:t>
      </w:r>
    </w:p>
    <w:p w14:paraId="5D3A851D" w14:textId="77777777" w:rsidR="00F73EB2" w:rsidRPr="00D500F8" w:rsidRDefault="00F73EB2" w:rsidP="00D500F8">
      <w:pPr>
        <w:pStyle w:val="ListParagraph"/>
      </w:pPr>
      <w:r w:rsidRPr="00D500F8">
        <w:t>healthcare.</w:t>
      </w:r>
    </w:p>
    <w:p w14:paraId="29118C5E" w14:textId="77777777" w:rsidR="00F73EB2" w:rsidRPr="00FC7387" w:rsidRDefault="00F73EB2" w:rsidP="00FC7387">
      <w:pPr>
        <w:pStyle w:val="Heading2"/>
      </w:pPr>
      <w:r w:rsidRPr="00FC7387">
        <w:t xml:space="preserve"> WHAT IA-CEPA OFFERS </w:t>
      </w:r>
    </w:p>
    <w:p w14:paraId="2142BC08" w14:textId="77777777" w:rsidR="00F73EB2" w:rsidRPr="00F73EB2" w:rsidRDefault="00F73EB2" w:rsidP="00D500F8">
      <w:pPr>
        <w:pStyle w:val="Body"/>
      </w:pPr>
      <w:r w:rsidRPr="00F73EB2">
        <w:t xml:space="preserve">IA-CEPA seeks to help Indonesia close its skills gap by facilitating training, </w:t>
      </w:r>
      <w:proofErr w:type="spellStart"/>
      <w:r w:rsidRPr="00F73EB2">
        <w:t>catalysing</w:t>
      </w:r>
      <w:proofErr w:type="spellEnd"/>
      <w:r w:rsidRPr="00F73EB2">
        <w:t xml:space="preserve"> TVET reform and strengthening higher education. IA-CEPA also offers Australian providers more certainty through:</w:t>
      </w:r>
    </w:p>
    <w:p w14:paraId="7E2F3E97" w14:textId="77777777" w:rsidR="00F73EB2" w:rsidRDefault="00F73EB2" w:rsidP="00D500F8">
      <w:pPr>
        <w:pStyle w:val="ListParagraph"/>
      </w:pPr>
      <w:r w:rsidRPr="00F73EB2">
        <w:t>Majority (up to 67%) Australian ownership of VET enterprises in Indonesia.</w:t>
      </w:r>
    </w:p>
    <w:p w14:paraId="129A8FB3" w14:textId="27E8A8EB" w:rsidR="00F73EB2" w:rsidRPr="00F73EB2" w:rsidRDefault="00F73EB2" w:rsidP="00D500F8">
      <w:pPr>
        <w:pStyle w:val="ListParagraph"/>
        <w:numPr>
          <w:ilvl w:val="1"/>
          <w:numId w:val="23"/>
        </w:numPr>
      </w:pPr>
      <w:r w:rsidRPr="00F73EB2">
        <w:t xml:space="preserve">Commitment to apply any further relaxation of investment restrictions to Australian providers. </w:t>
      </w:r>
    </w:p>
    <w:p w14:paraId="6AE1245A" w14:textId="641B9E73" w:rsidR="00F73EB2" w:rsidRPr="00F73EB2" w:rsidRDefault="00F73EB2" w:rsidP="00D500F8">
      <w:pPr>
        <w:pStyle w:val="ListParagraph"/>
      </w:pPr>
      <w:r w:rsidRPr="00F73EB2">
        <w:t>Reciprocal Skills Exchange, allowing people with tertiary qualifications from both countries to gain six months’ experience in-market.</w:t>
      </w:r>
    </w:p>
    <w:p w14:paraId="5A3C71A7" w14:textId="77777777" w:rsidR="00F73EB2" w:rsidRPr="00F73EB2" w:rsidRDefault="00F73EB2" w:rsidP="00D500F8">
      <w:pPr>
        <w:pStyle w:val="Body"/>
      </w:pPr>
      <w:r w:rsidRPr="00F73EB2">
        <w:t xml:space="preserve">Separate to IA-CEPA, a 2018 Ministerial regulation allows top 200 foreign tertiary institutions to open stand-alone campuses in Indonesia with some requirements on the subjects/faculties offered and operating as a not-for-profit. Monash University is the first foreign university to establish a campus in Indonesia under these provisions. </w:t>
      </w:r>
    </w:p>
    <w:p w14:paraId="5BE0EF4E" w14:textId="77777777" w:rsidR="00F73EB2" w:rsidRPr="00FC7387" w:rsidRDefault="00F73EB2" w:rsidP="00FC7387">
      <w:pPr>
        <w:pStyle w:val="Heading2"/>
      </w:pPr>
      <w:r w:rsidRPr="00FC7387">
        <w:t xml:space="preserve">CHALLENGES </w:t>
      </w:r>
    </w:p>
    <w:p w14:paraId="5F4962CB" w14:textId="77777777" w:rsidR="00F73EB2" w:rsidRPr="00F73EB2" w:rsidRDefault="00F73EB2" w:rsidP="00D500F8">
      <w:pPr>
        <w:pStyle w:val="Body"/>
      </w:pPr>
      <w:r w:rsidRPr="00F73EB2">
        <w:t xml:space="preserve">Indonesia’s education system is large and complex, with multiple ministries and agencies involved in oversight, policy, and regulatory roles. Fragmented responsibility between different national government departments and sub-national authorities can be challenging to navigate. </w:t>
      </w:r>
    </w:p>
    <w:p w14:paraId="1671534D" w14:textId="77777777" w:rsidR="00F73EB2" w:rsidRDefault="00F73EB2" w:rsidP="00D500F8">
      <w:pPr>
        <w:pStyle w:val="Body"/>
      </w:pPr>
      <w:r>
        <w:t xml:space="preserve">Foreign education providers typically operate through a contractual partnership with a local government or private entity by providing expertise and curriculum content, while local partners provide infrastructure and student clientele. </w:t>
      </w:r>
    </w:p>
    <w:p w14:paraId="14957DA1" w14:textId="77777777" w:rsidR="00F73EB2" w:rsidRDefault="00F73EB2" w:rsidP="00D500F8">
      <w:pPr>
        <w:pStyle w:val="ListParagraph"/>
      </w:pPr>
      <w:r>
        <w:t xml:space="preserve">This may risk exposure to local partner decisions and brand reputation if the curriculum is not delivered to the standard expected. </w:t>
      </w:r>
    </w:p>
    <w:p w14:paraId="460135FF" w14:textId="77777777" w:rsidR="00F73EB2" w:rsidRDefault="00F73EB2" w:rsidP="00D500F8">
      <w:pPr>
        <w:pStyle w:val="ListParagraph"/>
      </w:pPr>
      <w:r>
        <w:t xml:space="preserve">Employment restrictions on foreign workers can be onerous and there needs to be a demonstrated emphasis on skills transfer from foreign employees. </w:t>
      </w:r>
    </w:p>
    <w:p w14:paraId="5E821C46" w14:textId="77777777" w:rsidR="00FC7387" w:rsidRPr="00FC7387" w:rsidRDefault="00FC7387" w:rsidP="00FC7387">
      <w:pPr>
        <w:pStyle w:val="Heading2"/>
        <w:sectPr w:rsidR="00FC7387" w:rsidRPr="00FC7387" w:rsidSect="009800CC">
          <w:headerReference w:type="first" r:id="rId14"/>
          <w:pgSz w:w="11906" w:h="16838"/>
          <w:pgMar w:top="1701" w:right="1134" w:bottom="1701" w:left="1134" w:header="709" w:footer="709" w:gutter="0"/>
          <w:cols w:space="708"/>
          <w:titlePg/>
          <w:docGrid w:linePitch="360"/>
        </w:sectPr>
      </w:pPr>
    </w:p>
    <w:p w14:paraId="37814D6E" w14:textId="41A127D6" w:rsidR="00F73EB2" w:rsidRPr="00FC7387" w:rsidRDefault="00F73EB2" w:rsidP="00FC7387">
      <w:pPr>
        <w:pStyle w:val="Heading2"/>
      </w:pPr>
      <w:r w:rsidRPr="00FC7387">
        <w:lastRenderedPageBreak/>
        <w:t xml:space="preserve">HOW TO ENTER THE SECTOR </w:t>
      </w:r>
    </w:p>
    <w:p w14:paraId="76844DF9" w14:textId="77777777" w:rsidR="00F73EB2" w:rsidRDefault="00F73EB2" w:rsidP="00D500F8">
      <w:pPr>
        <w:pStyle w:val="Body"/>
      </w:pPr>
      <w:r>
        <w:t xml:space="preserve">Consortia-style training models – VET, universities, federal and state governments – can work productively to deliver integrated solutions to Indonesia’s educational needs while lowering any potential risks through sharing financial and resource needs.  </w:t>
      </w:r>
    </w:p>
    <w:p w14:paraId="4CB04191" w14:textId="77777777" w:rsidR="00F73EB2" w:rsidRDefault="00F73EB2" w:rsidP="00D500F8">
      <w:pPr>
        <w:pStyle w:val="ListParagraph"/>
      </w:pPr>
      <w:r>
        <w:t xml:space="preserve">Consortia can also offer an extensive range of activities from micro-credentials and non-award short courses, to certificates, diplomas, and degree programs. </w:t>
      </w:r>
    </w:p>
    <w:p w14:paraId="20D0381C" w14:textId="77777777" w:rsidR="00F73EB2" w:rsidRDefault="00F73EB2" w:rsidP="00D500F8">
      <w:pPr>
        <w:pStyle w:val="ListParagraph"/>
      </w:pPr>
      <w:r>
        <w:t>Other delivery models include strategic partnerships using a licensing model or joint program delivery.</w:t>
      </w:r>
    </w:p>
    <w:p w14:paraId="6F055B3E" w14:textId="77777777" w:rsidR="00F73EB2" w:rsidRPr="00FC7387" w:rsidRDefault="00F73EB2" w:rsidP="00FC7387">
      <w:pPr>
        <w:pStyle w:val="Heading2"/>
      </w:pPr>
      <w:r w:rsidRPr="00FC7387">
        <w:t>CASE STUDY</w:t>
      </w:r>
    </w:p>
    <w:p w14:paraId="0F6046F6" w14:textId="6BCB3A61" w:rsidR="00F73EB2" w:rsidRPr="00F73EB2" w:rsidRDefault="00F73EB2" w:rsidP="00B52F4E">
      <w:pPr>
        <w:pStyle w:val="Heading3"/>
        <w:spacing w:before="120"/>
        <w:rPr>
          <w:b w:val="0"/>
          <w:i w:val="0"/>
          <w:lang w:val="en-US"/>
        </w:rPr>
      </w:pPr>
      <w:r w:rsidRPr="00F73EB2">
        <w:rPr>
          <w:lang w:val="en-US"/>
        </w:rPr>
        <w:t xml:space="preserve">Melbourne Polytechnic and Enter Audio House making music </w:t>
      </w:r>
    </w:p>
    <w:p w14:paraId="7B8F0163" w14:textId="77777777" w:rsidR="00F73EB2" w:rsidRPr="00F73EB2" w:rsidRDefault="00F73EB2" w:rsidP="00D500F8">
      <w:pPr>
        <w:pStyle w:val="Body-focussection"/>
      </w:pPr>
      <w:r w:rsidRPr="00F73EB2">
        <w:t xml:space="preserve">Melbourne Polytechnic is an Australian vocational education and training provider that is delivering services in conjunction with Indonesian partners. </w:t>
      </w:r>
    </w:p>
    <w:p w14:paraId="383531BF" w14:textId="77777777" w:rsidR="00F73EB2" w:rsidRDefault="00F73EB2" w:rsidP="00D500F8">
      <w:pPr>
        <w:pStyle w:val="Body-focussection"/>
      </w:pPr>
      <w:r w:rsidRPr="00F73EB2">
        <w:t xml:space="preserve">In 2018, Melbourne Polytechnic and Enter Audio House (EAH), an engineering training institute in Bandung, West Java, signed an agreement to deliver a certificate and diploma in Advanced Audio Engineering with a pathway to a degree. EAH delivers the Certificate which is marketed as a Melbourne Polytechnic course. </w:t>
      </w:r>
    </w:p>
    <w:p w14:paraId="6BC22CBF" w14:textId="77777777" w:rsidR="00F73EB2" w:rsidRPr="00F73EB2" w:rsidRDefault="00F73EB2" w:rsidP="00D500F8">
      <w:pPr>
        <w:pStyle w:val="Body-focussection"/>
      </w:pPr>
      <w:r>
        <w:t>T</w:t>
      </w:r>
      <w:r w:rsidRPr="00F73EB2">
        <w:t>he Diploma is a blended online learning model delivered by the Polytechnic staff in Australia.</w:t>
      </w:r>
    </w:p>
    <w:sectPr w:rsidR="00F73EB2" w:rsidRPr="00F73EB2" w:rsidSect="00FC7387"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D3527" w14:textId="77777777" w:rsidR="00CD058E" w:rsidRDefault="00CD058E" w:rsidP="00CD058E">
      <w:pPr>
        <w:spacing w:after="0" w:line="240" w:lineRule="auto"/>
      </w:pPr>
      <w:r>
        <w:separator/>
      </w:r>
    </w:p>
  </w:endnote>
  <w:endnote w:type="continuationSeparator" w:id="0">
    <w:p w14:paraId="43E1152A" w14:textId="77777777" w:rsidR="00CD058E" w:rsidRDefault="00CD058E" w:rsidP="00CD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18965" w14:textId="6D9D3B8E" w:rsidR="00420559" w:rsidRDefault="00420559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402A2B5" wp14:editId="73E096B3">
          <wp:simplePos x="0" y="0"/>
          <wp:positionH relativeFrom="column">
            <wp:posOffset>-1663540</wp:posOffset>
          </wp:positionH>
          <wp:positionV relativeFrom="paragraph">
            <wp:posOffset>143288</wp:posOffset>
          </wp:positionV>
          <wp:extent cx="10344785" cy="737870"/>
          <wp:effectExtent l="0" t="0" r="0" b="0"/>
          <wp:wrapThrough wrapText="bothSides">
            <wp:wrapPolygon edited="0">
              <wp:start x="438" y="5577"/>
              <wp:lineTo x="398" y="15614"/>
              <wp:lineTo x="21161" y="15614"/>
              <wp:lineTo x="21121" y="5577"/>
              <wp:lineTo x="438" y="5577"/>
            </wp:wrapPolygon>
          </wp:wrapThrough>
          <wp:docPr id="43" name="Picture 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785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EEACB" w14:textId="4F534BE7" w:rsidR="00420559" w:rsidRDefault="00253D66" w:rsidP="00420559">
    <w:pPr>
      <w:pStyle w:val="Footer"/>
      <w:tabs>
        <w:tab w:val="clear" w:pos="4513"/>
      </w:tabs>
    </w:pPr>
    <w:r>
      <w:rPr>
        <w:noProof/>
      </w:rPr>
      <w:drawing>
        <wp:anchor distT="0" distB="0" distL="114300" distR="114300" simplePos="0" relativeHeight="251680768" behindDoc="1" locked="1" layoutInCell="1" allowOverlap="1" wp14:anchorId="4993C60B" wp14:editId="6D6B13B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3325" cy="537845"/>
          <wp:effectExtent l="0" t="0" r="0" b="0"/>
          <wp:wrapNone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E3A34" w14:textId="69EB8DF0" w:rsidR="00027F6F" w:rsidRDefault="00253D66">
    <w:pPr>
      <w:pStyle w:val="Footer"/>
    </w:pPr>
    <w:r>
      <w:rPr>
        <w:noProof/>
      </w:rPr>
      <w:drawing>
        <wp:anchor distT="0" distB="0" distL="114300" distR="114300" simplePos="0" relativeHeight="251679744" behindDoc="1" locked="1" layoutInCell="1" allowOverlap="1" wp14:anchorId="0CB11C8A" wp14:editId="3FE08EB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7455" cy="541020"/>
          <wp:effectExtent l="0" t="0" r="0" b="0"/>
          <wp:wrapNone/>
          <wp:docPr id="46" name="Picture 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C6C2" w14:textId="77777777" w:rsidR="00AC0747" w:rsidRPr="00A23965" w:rsidRDefault="00AC0747" w:rsidP="00AC0747">
    <w:pPr>
      <w:pStyle w:val="Footer"/>
      <w:rPr>
        <w:color w:val="000000" w:themeColor="text1"/>
        <w:lang w:val="en-US"/>
      </w:rPr>
    </w:pPr>
    <w:r w:rsidRPr="00A23965">
      <w:rPr>
        <w:color w:val="000000" w:themeColor="text1"/>
        <w:lang w:val="en-US"/>
      </w:rPr>
      <w:t xml:space="preserve">More information: A Blueprint for Trade and Investment with Indonesia </w:t>
    </w:r>
  </w:p>
  <w:p w14:paraId="03EBEF4D" w14:textId="77777777" w:rsidR="00AC0747" w:rsidRPr="00A23965" w:rsidRDefault="00AC0747" w:rsidP="00AC0747">
    <w:pPr>
      <w:pStyle w:val="Footer"/>
      <w:rPr>
        <w:color w:val="000000" w:themeColor="text1"/>
        <w:lang w:val="en-US"/>
      </w:rPr>
    </w:pPr>
    <w:r w:rsidRPr="00A23965">
      <w:rPr>
        <w:color w:val="000000" w:themeColor="text1"/>
        <w:lang w:val="en-US"/>
      </w:rPr>
      <w:t xml:space="preserve">www.dfat.gov.au/publications/trade-and-investment/blueprint-trade-and-investment-indonesia </w:t>
    </w:r>
  </w:p>
  <w:p w14:paraId="0B3F9A76" w14:textId="77777777" w:rsidR="00FC7387" w:rsidRDefault="00FC7387" w:rsidP="00420559">
    <w:pPr>
      <w:pStyle w:val="Footer"/>
      <w:tabs>
        <w:tab w:val="clear" w:pos="4513"/>
      </w:tabs>
    </w:pPr>
    <w:r>
      <w:rPr>
        <w:noProof/>
      </w:rPr>
      <w:drawing>
        <wp:anchor distT="0" distB="0" distL="114300" distR="114300" simplePos="0" relativeHeight="251685888" behindDoc="1" locked="1" layoutInCell="1" allowOverlap="1" wp14:anchorId="221546C8" wp14:editId="311CE1AD">
          <wp:simplePos x="0" y="0"/>
          <wp:positionH relativeFrom="margin">
            <wp:posOffset>-638175</wp:posOffset>
          </wp:positionH>
          <wp:positionV relativeFrom="page">
            <wp:posOffset>8896350</wp:posOffset>
          </wp:positionV>
          <wp:extent cx="7052400" cy="15660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400" cy="15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D2551" w14:textId="77777777" w:rsidR="00CD058E" w:rsidRDefault="00CD058E" w:rsidP="00CD058E">
      <w:pPr>
        <w:spacing w:after="0" w:line="240" w:lineRule="auto"/>
      </w:pPr>
      <w:r>
        <w:separator/>
      </w:r>
    </w:p>
  </w:footnote>
  <w:footnote w:type="continuationSeparator" w:id="0">
    <w:p w14:paraId="118AD643" w14:textId="77777777" w:rsidR="00CD058E" w:rsidRDefault="00CD058E" w:rsidP="00CD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6B6E6" w14:textId="69F22069" w:rsidR="00420559" w:rsidRDefault="00420559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E97650D" wp14:editId="45823334">
              <wp:extent cx="4218940" cy="572770"/>
              <wp:effectExtent l="0" t="0" r="0" b="0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8940" cy="572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3CE78E" w14:textId="77777777" w:rsidR="00F73EB2" w:rsidRDefault="00F73EB2" w:rsidP="00F73EB2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Education, Skills and Training Sector in Brief</w:t>
                          </w:r>
                        </w:p>
                        <w:p w14:paraId="0656B776" w14:textId="0484B58C" w:rsidR="00420559" w:rsidRDefault="0042055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9765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32.2pt;height: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" filled="f" stroked="f">
              <v:textbox>
                <w:txbxContent>
                  <w:p w14:paraId="7E3CE78E" w14:textId="77777777" w:rsidR="00F73EB2" w:rsidRDefault="00F73EB2" w:rsidP="00F73EB2">
                    <w:pPr>
                      <w:jc w:val="right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Education, Skills and Training Sector in Brief</w:t>
                    </w:r>
                  </w:p>
                  <w:p w14:paraId="0656B776" w14:textId="0484B58C" w:rsidR="00420559" w:rsidRDefault="00420559"/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05B87830" wp14:editId="42AD8D6C">
          <wp:extent cx="11787505" cy="1403350"/>
          <wp:effectExtent l="0" t="0" r="0" b="0"/>
          <wp:docPr id="40" name="Picture 40" descr="A Blueprint for Trade and Investment with Indones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print for Trade and Investment with Indonesia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7505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3AEA3" w14:textId="16FDBC28" w:rsidR="00027F6F" w:rsidRDefault="00AC0747" w:rsidP="00AC0747">
    <w:pPr>
      <w:pStyle w:val="Header"/>
      <w:tabs>
        <w:tab w:val="clear" w:pos="4513"/>
        <w:tab w:val="clear" w:pos="9026"/>
        <w:tab w:val="left" w:pos="1095"/>
      </w:tabs>
      <w:ind w:right="-188"/>
    </w:pPr>
    <w:r w:rsidRPr="00A23965">
      <w:rPr>
        <w:noProof/>
        <w:color w:val="000000" w:themeColor="text1"/>
      </w:rPr>
      <w:drawing>
        <wp:anchor distT="0" distB="0" distL="114300" distR="114300" simplePos="0" relativeHeight="251689984" behindDoc="1" locked="0" layoutInCell="1" allowOverlap="1" wp14:anchorId="453EC75E" wp14:editId="1473324C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32713" cy="897366"/>
          <wp:effectExtent l="0" t="0" r="0" b="0"/>
          <wp:wrapNone/>
          <wp:docPr id="41" name="Picture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713" cy="89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965">
      <w:rPr>
        <w:color w:val="000000" w:themeColor="text1"/>
      </w:rPr>
      <w:t>Education, Skills and Training Sector in Brief</w:t>
    </w:r>
    <w:r w:rsidR="00253D66">
      <w:rPr>
        <w:noProof/>
      </w:rPr>
      <w:drawing>
        <wp:anchor distT="0" distB="0" distL="114300" distR="114300" simplePos="0" relativeHeight="251681792" behindDoc="1" locked="1" layoutInCell="1" allowOverlap="1" wp14:anchorId="444C77FD" wp14:editId="4F3F8BA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16495" cy="895985"/>
          <wp:effectExtent l="0" t="0" r="0" b="0"/>
          <wp:wrapNone/>
          <wp:docPr id="42" name="Picture 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60B7C" w14:textId="51E9A792" w:rsidR="00027F6F" w:rsidRDefault="00253D66" w:rsidP="00253D66">
    <w:pPr>
      <w:pStyle w:val="Header"/>
      <w:tabs>
        <w:tab w:val="clear" w:pos="4513"/>
        <w:tab w:val="clear" w:pos="9026"/>
        <w:tab w:val="left" w:pos="1095"/>
      </w:tabs>
    </w:pPr>
    <w:r>
      <w:rPr>
        <w:noProof/>
      </w:rPr>
      <w:drawing>
        <wp:anchor distT="0" distB="0" distL="114300" distR="114300" simplePos="0" relativeHeight="251678720" behindDoc="1" locked="0" layoutInCell="1" allowOverlap="1" wp14:anchorId="06D323A4" wp14:editId="0487342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24610" cy="1790700"/>
          <wp:effectExtent l="0" t="0" r="0" b="0"/>
          <wp:wrapNone/>
          <wp:docPr id="45" name="Picture 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713" cy="1792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CE97F" w14:textId="5EEE8204" w:rsidR="009800CC" w:rsidRDefault="009800CC" w:rsidP="009800CC">
    <w:pPr>
      <w:pStyle w:val="Header"/>
      <w:tabs>
        <w:tab w:val="clear" w:pos="4513"/>
        <w:tab w:val="clear" w:pos="9026"/>
        <w:tab w:val="left" w:pos="1095"/>
      </w:tabs>
      <w:ind w:right="1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A365D78" wp14:editId="42AFCD56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32713" cy="897366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713" cy="89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965">
      <w:rPr>
        <w:color w:val="000000" w:themeColor="text1"/>
      </w:rPr>
      <w:t>Education, Skills and Training Sector in Brief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225D7" w14:textId="77777777" w:rsidR="00FC7387" w:rsidRDefault="00FC7387" w:rsidP="00253D66">
    <w:pPr>
      <w:pStyle w:val="Header"/>
      <w:tabs>
        <w:tab w:val="clear" w:pos="4513"/>
        <w:tab w:val="clear" w:pos="9026"/>
        <w:tab w:val="left" w:pos="1095"/>
      </w:tabs>
    </w:pPr>
    <w:r>
      <w:rPr>
        <w:noProof/>
      </w:rPr>
      <w:drawing>
        <wp:anchor distT="0" distB="0" distL="114300" distR="114300" simplePos="0" relativeHeight="251683840" behindDoc="1" locked="0" layoutInCell="1" allowOverlap="1" wp14:anchorId="1A72588A" wp14:editId="2FBB58C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24610" cy="17907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713" cy="1792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4EF"/>
    <w:multiLevelType w:val="hybridMultilevel"/>
    <w:tmpl w:val="E5848C9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3C645A"/>
    <w:multiLevelType w:val="hybridMultilevel"/>
    <w:tmpl w:val="240C559A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55772"/>
    <w:multiLevelType w:val="hybridMultilevel"/>
    <w:tmpl w:val="07941F44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224D58"/>
    <w:multiLevelType w:val="hybridMultilevel"/>
    <w:tmpl w:val="D95C6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4481"/>
    <w:multiLevelType w:val="hybridMultilevel"/>
    <w:tmpl w:val="76900946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0C504E"/>
    <w:multiLevelType w:val="hybridMultilevel"/>
    <w:tmpl w:val="071405DC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757235"/>
    <w:multiLevelType w:val="hybridMultilevel"/>
    <w:tmpl w:val="5FA00750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7CDECD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132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B1AB7"/>
    <w:multiLevelType w:val="hybridMultilevel"/>
    <w:tmpl w:val="398AB5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8B364C"/>
    <w:multiLevelType w:val="hybridMultilevel"/>
    <w:tmpl w:val="93A49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27561"/>
    <w:multiLevelType w:val="hybridMultilevel"/>
    <w:tmpl w:val="926CBFD4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14CE8"/>
    <w:multiLevelType w:val="hybridMultilevel"/>
    <w:tmpl w:val="485E9284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A9014A"/>
    <w:multiLevelType w:val="hybridMultilevel"/>
    <w:tmpl w:val="34DC2538"/>
    <w:lvl w:ilvl="0" w:tplc="D28E4E3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222BC7"/>
    <w:multiLevelType w:val="hybridMultilevel"/>
    <w:tmpl w:val="84BCBC72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6E2DC8"/>
    <w:multiLevelType w:val="hybridMultilevel"/>
    <w:tmpl w:val="88C808A0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0272F"/>
    <w:multiLevelType w:val="hybridMultilevel"/>
    <w:tmpl w:val="DF185A72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2A419F"/>
    <w:multiLevelType w:val="hybridMultilevel"/>
    <w:tmpl w:val="86F4AD7A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E231A0"/>
    <w:multiLevelType w:val="hybridMultilevel"/>
    <w:tmpl w:val="F358039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5B7E89"/>
    <w:multiLevelType w:val="hybridMultilevel"/>
    <w:tmpl w:val="54E0A27E"/>
    <w:lvl w:ilvl="0" w:tplc="0C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171E7D"/>
    <w:multiLevelType w:val="hybridMultilevel"/>
    <w:tmpl w:val="9E32549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6407FE"/>
    <w:multiLevelType w:val="hybridMultilevel"/>
    <w:tmpl w:val="50C28710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0584B"/>
    <w:multiLevelType w:val="hybridMultilevel"/>
    <w:tmpl w:val="0E0C1D4E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86E15"/>
    <w:multiLevelType w:val="hybridMultilevel"/>
    <w:tmpl w:val="F732C91A"/>
    <w:lvl w:ilvl="0" w:tplc="7CDECD0E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22" w15:restartNumberingAfterBreak="0">
    <w:nsid w:val="7F732F8A"/>
    <w:multiLevelType w:val="hybridMultilevel"/>
    <w:tmpl w:val="FF249172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5"/>
  </w:num>
  <w:num w:numId="7">
    <w:abstractNumId w:val="21"/>
  </w:num>
  <w:num w:numId="8">
    <w:abstractNumId w:val="9"/>
  </w:num>
  <w:num w:numId="9">
    <w:abstractNumId w:val="16"/>
  </w:num>
  <w:num w:numId="10">
    <w:abstractNumId w:val="14"/>
  </w:num>
  <w:num w:numId="11">
    <w:abstractNumId w:val="18"/>
  </w:num>
  <w:num w:numId="12">
    <w:abstractNumId w:val="10"/>
  </w:num>
  <w:num w:numId="13">
    <w:abstractNumId w:val="4"/>
  </w:num>
  <w:num w:numId="14">
    <w:abstractNumId w:val="19"/>
  </w:num>
  <w:num w:numId="15">
    <w:abstractNumId w:val="6"/>
  </w:num>
  <w:num w:numId="16">
    <w:abstractNumId w:val="12"/>
  </w:num>
  <w:num w:numId="17">
    <w:abstractNumId w:val="20"/>
  </w:num>
  <w:num w:numId="18">
    <w:abstractNumId w:val="1"/>
  </w:num>
  <w:num w:numId="19">
    <w:abstractNumId w:val="3"/>
  </w:num>
  <w:num w:numId="20">
    <w:abstractNumId w:val="8"/>
  </w:num>
  <w:num w:numId="21">
    <w:abstractNumId w:val="13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8E"/>
    <w:rsid w:val="00027F6F"/>
    <w:rsid w:val="001F0855"/>
    <w:rsid w:val="00253D66"/>
    <w:rsid w:val="004172AD"/>
    <w:rsid w:val="00420559"/>
    <w:rsid w:val="0047241D"/>
    <w:rsid w:val="008D39F7"/>
    <w:rsid w:val="009800CC"/>
    <w:rsid w:val="00A23965"/>
    <w:rsid w:val="00AC0747"/>
    <w:rsid w:val="00AD0D59"/>
    <w:rsid w:val="00B52F4E"/>
    <w:rsid w:val="00B800BF"/>
    <w:rsid w:val="00C755A9"/>
    <w:rsid w:val="00CD058E"/>
    <w:rsid w:val="00D500F8"/>
    <w:rsid w:val="00D80321"/>
    <w:rsid w:val="00F73EB2"/>
    <w:rsid w:val="00F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0CC"/>
  </w:style>
  <w:style w:type="paragraph" w:styleId="Heading1">
    <w:name w:val="heading 1"/>
    <w:basedOn w:val="Normal"/>
    <w:next w:val="Normal"/>
    <w:link w:val="Heading1Char"/>
    <w:uiPriority w:val="9"/>
    <w:qFormat/>
    <w:rsid w:val="00FC7387"/>
    <w:pPr>
      <w:keepNext/>
      <w:keepLines/>
      <w:suppressAutoHyphens/>
      <w:autoSpaceDE w:val="0"/>
      <w:autoSpaceDN w:val="0"/>
      <w:adjustRightInd w:val="0"/>
      <w:spacing w:after="240" w:line="300" w:lineRule="atLeast"/>
      <w:textAlignment w:val="center"/>
      <w:outlineLvl w:val="0"/>
    </w:pPr>
    <w:rPr>
      <w:rFonts w:eastAsiaTheme="majorEastAsia" w:cstheme="majorBidi"/>
      <w:b/>
      <w:bCs/>
      <w:color w:val="FFFFFF" w:themeColor="background1"/>
      <w:sz w:val="5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500F8"/>
    <w:pPr>
      <w:keepNext/>
      <w:keepLines/>
      <w:spacing w:before="480" w:after="0"/>
      <w:outlineLvl w:val="1"/>
    </w:pPr>
    <w:rPr>
      <w:rFonts w:eastAsiaTheme="majorEastAsia" w:cstheme="majorBidi"/>
      <w:b/>
      <w:color w:val="C0000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500F8"/>
    <w:pPr>
      <w:shd w:val="clear" w:color="auto" w:fill="FFCCCC"/>
      <w:spacing w:before="720"/>
      <w:outlineLvl w:val="2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0CC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hAnsiTheme="majorHAnsi"/>
      <w:color w:val="FFFFFF" w:themeColor="background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800CC"/>
    <w:rPr>
      <w:rFonts w:asciiTheme="majorHAnsi" w:hAnsiTheme="majorHAnsi"/>
      <w:color w:val="FFFFFF" w:themeColor="background1"/>
      <w:sz w:val="18"/>
    </w:rPr>
  </w:style>
  <w:style w:type="paragraph" w:styleId="Footer">
    <w:name w:val="footer"/>
    <w:basedOn w:val="Normal"/>
    <w:link w:val="FooterChar"/>
    <w:uiPriority w:val="99"/>
    <w:unhideWhenUsed/>
    <w:rsid w:val="00AC0747"/>
    <w:pPr>
      <w:tabs>
        <w:tab w:val="center" w:pos="4513"/>
        <w:tab w:val="right" w:pos="9026"/>
      </w:tabs>
      <w:spacing w:after="0" w:line="240" w:lineRule="auto"/>
      <w:jc w:val="center"/>
    </w:pPr>
    <w:rPr>
      <w:b/>
      <w:color w:val="FFFFFF" w:themeColor="background1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C0747"/>
    <w:rPr>
      <w:b/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00F8"/>
    <w:rPr>
      <w:rFonts w:eastAsiaTheme="majorEastAsia" w:cstheme="majorBidi"/>
      <w:b/>
      <w:color w:val="C00000"/>
      <w:sz w:val="28"/>
      <w:szCs w:val="26"/>
    </w:rPr>
  </w:style>
  <w:style w:type="paragraph" w:customStyle="1" w:styleId="H2">
    <w:name w:val="H2"/>
    <w:basedOn w:val="Normal"/>
    <w:link w:val="H2Char"/>
    <w:uiPriority w:val="99"/>
    <w:rsid w:val="008D39F7"/>
    <w:pPr>
      <w:suppressAutoHyphens/>
      <w:autoSpaceDE w:val="0"/>
      <w:autoSpaceDN w:val="0"/>
      <w:adjustRightInd w:val="0"/>
      <w:spacing w:before="397" w:after="113" w:line="300" w:lineRule="atLeast"/>
      <w:textAlignment w:val="center"/>
    </w:pPr>
    <w:rPr>
      <w:rFonts w:ascii="Ubuntu" w:hAnsi="Ubuntu" w:cs="Ubuntu"/>
      <w:b/>
      <w:bCs/>
      <w:color w:val="C60000"/>
      <w:sz w:val="28"/>
      <w:szCs w:val="28"/>
      <w:lang w:val="en-US"/>
    </w:rPr>
  </w:style>
  <w:style w:type="paragraph" w:customStyle="1" w:styleId="Body">
    <w:name w:val="Body"/>
    <w:basedOn w:val="Normal"/>
    <w:uiPriority w:val="99"/>
    <w:rsid w:val="009800CC"/>
    <w:pPr>
      <w:suppressAutoHyphens/>
      <w:autoSpaceDE w:val="0"/>
      <w:autoSpaceDN w:val="0"/>
      <w:adjustRightInd w:val="0"/>
      <w:spacing w:after="170" w:line="260" w:lineRule="atLeast"/>
      <w:ind w:left="567"/>
      <w:textAlignment w:val="center"/>
    </w:pPr>
    <w:rPr>
      <w:rFonts w:asciiTheme="majorHAnsi" w:hAnsiTheme="majorHAnsi" w:cs="Ubuntu Light"/>
      <w:color w:val="00003F"/>
      <w:lang w:val="en-US"/>
    </w:rPr>
  </w:style>
  <w:style w:type="paragraph" w:customStyle="1" w:styleId="BodyBullet">
    <w:name w:val="Body Bullet"/>
    <w:basedOn w:val="Body"/>
    <w:uiPriority w:val="99"/>
    <w:rsid w:val="008D39F7"/>
    <w:pPr>
      <w:spacing w:after="113"/>
      <w:ind w:left="850" w:hanging="283"/>
    </w:pPr>
  </w:style>
  <w:style w:type="paragraph" w:customStyle="1" w:styleId="BodyBulletLast">
    <w:name w:val="Body Bullet Last"/>
    <w:basedOn w:val="BodyBullet"/>
    <w:uiPriority w:val="99"/>
    <w:rsid w:val="008D39F7"/>
    <w:pPr>
      <w:spacing w:after="227"/>
    </w:pPr>
  </w:style>
  <w:style w:type="paragraph" w:customStyle="1" w:styleId="Body-focussection">
    <w:name w:val="Body - focus section"/>
    <w:basedOn w:val="Body"/>
    <w:uiPriority w:val="99"/>
    <w:rsid w:val="00D500F8"/>
    <w:pPr>
      <w:shd w:val="clear" w:color="auto" w:fill="FFCCCC"/>
      <w:spacing w:after="120"/>
      <w:ind w:left="0"/>
    </w:pPr>
    <w:rPr>
      <w:color w:val="C00000"/>
    </w:rPr>
  </w:style>
  <w:style w:type="paragraph" w:customStyle="1" w:styleId="Insetbody">
    <w:name w:val="Inset body"/>
    <w:basedOn w:val="Body"/>
    <w:uiPriority w:val="99"/>
    <w:rsid w:val="00027F6F"/>
    <w:pPr>
      <w:ind w:left="1134" w:right="1134"/>
    </w:pPr>
    <w:rPr>
      <w:color w:val="C60000"/>
    </w:rPr>
  </w:style>
  <w:style w:type="paragraph" w:customStyle="1" w:styleId="Insetheading">
    <w:name w:val="Inset heading"/>
    <w:basedOn w:val="Insetbody"/>
    <w:uiPriority w:val="99"/>
    <w:rsid w:val="00027F6F"/>
    <w:pPr>
      <w:spacing w:before="170"/>
    </w:pPr>
    <w:rPr>
      <w:rFonts w:ascii="Ubuntu" w:hAnsi="Ubuntu" w:cs="Ubuntu"/>
      <w:b/>
      <w:bCs/>
      <w:i/>
      <w:iCs/>
      <w:sz w:val="24"/>
      <w:szCs w:val="24"/>
    </w:rPr>
  </w:style>
  <w:style w:type="character" w:customStyle="1" w:styleId="Emphasisstrongred">
    <w:name w:val="Emphasis strong red"/>
    <w:uiPriority w:val="99"/>
    <w:rsid w:val="00027F6F"/>
    <w:rPr>
      <w:rFonts w:ascii="Ubuntu" w:hAnsi="Ubuntu" w:cs="Ubuntu"/>
      <w:b/>
      <w:bCs/>
      <w:i/>
      <w:iCs/>
      <w:color w:val="C60000"/>
    </w:rPr>
  </w:style>
  <w:style w:type="paragraph" w:styleId="ListParagraph">
    <w:name w:val="List Paragraph"/>
    <w:basedOn w:val="Body"/>
    <w:uiPriority w:val="34"/>
    <w:qFormat/>
    <w:rsid w:val="009800CC"/>
    <w:pPr>
      <w:numPr>
        <w:numId w:val="23"/>
      </w:numPr>
      <w:spacing w:after="120"/>
      <w:ind w:left="1434" w:hanging="357"/>
    </w:pPr>
    <w:rPr>
      <w:color w:val="002060"/>
    </w:rPr>
  </w:style>
  <w:style w:type="character" w:styleId="IntenseEmphasis">
    <w:name w:val="Intense Emphasis"/>
    <w:basedOn w:val="DefaultParagraphFont"/>
    <w:uiPriority w:val="21"/>
    <w:qFormat/>
    <w:rsid w:val="00D500F8"/>
    <w:rPr>
      <w:b/>
      <w:i/>
      <w:iCs/>
      <w:color w:val="C00000"/>
    </w:rPr>
  </w:style>
  <w:style w:type="character" w:customStyle="1" w:styleId="Heading1Char">
    <w:name w:val="Heading 1 Char"/>
    <w:basedOn w:val="DefaultParagraphFont"/>
    <w:link w:val="Heading1"/>
    <w:uiPriority w:val="9"/>
    <w:rsid w:val="00FC7387"/>
    <w:rPr>
      <w:rFonts w:eastAsiaTheme="majorEastAsia" w:cstheme="majorBidi"/>
      <w:b/>
      <w:bCs/>
      <w:color w:val="FFFFFF" w:themeColor="background1"/>
      <w:sz w:val="56"/>
      <w:szCs w:val="32"/>
      <w:lang w:val="en-US"/>
    </w:rPr>
  </w:style>
  <w:style w:type="character" w:customStyle="1" w:styleId="H2Char">
    <w:name w:val="H2 Char"/>
    <w:basedOn w:val="DefaultParagraphFont"/>
    <w:link w:val="H2"/>
    <w:uiPriority w:val="99"/>
    <w:rsid w:val="001F0855"/>
    <w:rPr>
      <w:rFonts w:ascii="Ubuntu" w:hAnsi="Ubuntu" w:cs="Ubuntu"/>
      <w:b/>
      <w:bCs/>
      <w:color w:val="C60000"/>
      <w:sz w:val="28"/>
      <w:szCs w:val="28"/>
      <w:lang w:val="en-US"/>
    </w:rPr>
  </w:style>
  <w:style w:type="character" w:styleId="SubtleEmphasis">
    <w:name w:val="Subtle Emphasis"/>
    <w:basedOn w:val="DefaultParagraphFont"/>
    <w:uiPriority w:val="19"/>
    <w:qFormat/>
    <w:rsid w:val="00D500F8"/>
    <w:rPr>
      <w:i/>
      <w:iCs/>
      <w:color w:val="002060"/>
    </w:rPr>
  </w:style>
  <w:style w:type="paragraph" w:styleId="Title">
    <w:name w:val="Title"/>
    <w:basedOn w:val="Normal"/>
    <w:next w:val="Normal"/>
    <w:link w:val="TitleChar"/>
    <w:uiPriority w:val="10"/>
    <w:qFormat/>
    <w:rsid w:val="004172AD"/>
    <w:pPr>
      <w:spacing w:after="0" w:line="240" w:lineRule="auto"/>
      <w:contextualSpacing/>
    </w:pPr>
    <w:rPr>
      <w:rFonts w:ascii="Ubuntu" w:eastAsiaTheme="majorEastAsia" w:hAnsi="Ubuntu" w:cstheme="majorBidi"/>
      <w:b/>
      <w:color w:val="FFFFFF" w:themeColor="background1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2AD"/>
    <w:rPr>
      <w:rFonts w:ascii="Ubuntu" w:eastAsiaTheme="majorEastAsia" w:hAnsi="Ubuntu" w:cstheme="majorBidi"/>
      <w:b/>
      <w:color w:val="FFFFFF" w:themeColor="background1"/>
      <w:spacing w:val="-10"/>
      <w:kern w:val="28"/>
      <w:sz w:val="76"/>
      <w:szCs w:val="56"/>
    </w:rPr>
  </w:style>
  <w:style w:type="character" w:styleId="Emphasis">
    <w:name w:val="Emphasis"/>
    <w:basedOn w:val="DefaultParagraphFont"/>
    <w:uiPriority w:val="99"/>
    <w:qFormat/>
    <w:rsid w:val="00F73EB2"/>
    <w:rPr>
      <w:rFonts w:ascii="Ubuntu Light" w:hAnsi="Ubuntu Light" w:cs="Ubuntu Light"/>
      <w:i/>
      <w:iCs/>
    </w:rPr>
  </w:style>
  <w:style w:type="paragraph" w:customStyle="1" w:styleId="Buodybulletlevel2">
    <w:name w:val="Buody bullet level 2"/>
    <w:basedOn w:val="BodyBullet"/>
    <w:uiPriority w:val="99"/>
    <w:rsid w:val="00F73EB2"/>
    <w:pPr>
      <w:ind w:left="1134"/>
    </w:pPr>
  </w:style>
  <w:style w:type="character" w:customStyle="1" w:styleId="Heading3Char">
    <w:name w:val="Heading 3 Char"/>
    <w:basedOn w:val="DefaultParagraphFont"/>
    <w:link w:val="Heading3"/>
    <w:uiPriority w:val="9"/>
    <w:rsid w:val="00D500F8"/>
    <w:rPr>
      <w:rFonts w:eastAsiaTheme="majorEastAsia" w:cstheme="majorBidi"/>
      <w:b/>
      <w:i/>
      <w:color w:val="C00000"/>
      <w:sz w:val="24"/>
      <w:szCs w:val="24"/>
      <w:shd w:val="clear" w:color="auto" w:fill="FF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26C9-F33D-4EF9-A3D3-88BE4EE8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4675</Characters>
  <Application>Microsoft Office Word</Application>
  <DocSecurity>0</DocSecurity>
  <Lines>83</Lines>
  <Paragraphs>48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2022-07-13T04:25:00Z</dcterms:created>
  <dcterms:modified xsi:type="dcterms:W3CDTF">2022-07-13T04:25:00Z</dcterms:modified>
  <cp:category/>
</cp:coreProperties>
</file>