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5C37" w14:textId="0D4BD206" w:rsidR="00253D66" w:rsidRPr="00356B01" w:rsidRDefault="00CC7B73" w:rsidP="00356B01">
      <w:pPr>
        <w:pStyle w:val="Heading1"/>
        <w:ind w:left="142"/>
      </w:pPr>
      <w:r w:rsidRPr="00356B01">
        <w:t>Health Services and Aged Care</w:t>
      </w:r>
      <w:r w:rsidRPr="00356B01">
        <w:br/>
      </w:r>
      <w:r w:rsidR="002565E4" w:rsidRPr="00356B01">
        <w:t>Sector in Brief</w:t>
      </w:r>
    </w:p>
    <w:p w14:paraId="40F22BA4" w14:textId="77777777" w:rsidR="00F73EB2" w:rsidRPr="006F498E" w:rsidRDefault="00F73EB2" w:rsidP="006F498E">
      <w:pPr>
        <w:pStyle w:val="Heading2"/>
      </w:pPr>
      <w:r w:rsidRPr="006F498E">
        <w:t>OVERVIEW</w:t>
      </w:r>
    </w:p>
    <w:p w14:paraId="5E9CE217" w14:textId="77777777" w:rsidR="00CC7B73" w:rsidRDefault="00CC7B73" w:rsidP="00CC7B73">
      <w:pPr>
        <w:pStyle w:val="Body"/>
      </w:pPr>
      <w:r>
        <w:t xml:space="preserve">Indonesia has a full spectrum of health service needs due to rapid social and demographic changes (e.g., increasing life expectancy and a growing middle class). </w:t>
      </w:r>
    </w:p>
    <w:p w14:paraId="439A673E" w14:textId="77777777" w:rsidR="00CC7B73" w:rsidRDefault="00CC7B73" w:rsidP="00CC7B73">
      <w:pPr>
        <w:pStyle w:val="ListParagraph"/>
      </w:pPr>
      <w:r>
        <w:t>Indonesia is expanding its basic universal healthcare for poorer people, while wealthier people seek premium healthcare services in Indonesia to avoid travelling.</w:t>
      </w:r>
    </w:p>
    <w:p w14:paraId="15779C07" w14:textId="77777777" w:rsidR="00CC7B73" w:rsidRDefault="00CC7B73" w:rsidP="00CC7B73">
      <w:pPr>
        <w:pStyle w:val="ListParagraph"/>
      </w:pPr>
      <w:r>
        <w:t xml:space="preserve">The market for high quality, internationally competitive health services in Indonesia is estimated at around $2 billion and is largely untapped. </w:t>
      </w:r>
    </w:p>
    <w:p w14:paraId="28A97E9A" w14:textId="77777777" w:rsidR="00CC7B73" w:rsidRDefault="00CC7B73" w:rsidP="00CC7B73">
      <w:pPr>
        <w:pStyle w:val="ListParagraph"/>
      </w:pPr>
      <w:r>
        <w:t>Private health insurance is also growing rapidly at 7.7% per year, offering significant potential with only 8% of the population privately insured.</w:t>
      </w:r>
    </w:p>
    <w:p w14:paraId="096AAD6B" w14:textId="77777777" w:rsidR="00CC7B73" w:rsidRPr="00CC7B73" w:rsidRDefault="00CC7B73" w:rsidP="00CC7B73">
      <w:pPr>
        <w:pStyle w:val="Body"/>
      </w:pPr>
      <w:r w:rsidRPr="00CC7B73">
        <w:t>Indonesia is also working to improve health governance and service delivery by exploring trade and market access opportunities to overcome supply constraints.</w:t>
      </w:r>
    </w:p>
    <w:p w14:paraId="5C8BA2AF" w14:textId="77777777" w:rsidR="00CC7B73" w:rsidRDefault="00CC7B73" w:rsidP="00CC7B73">
      <w:pPr>
        <w:pStyle w:val="ListParagraph"/>
      </w:pPr>
      <w:r>
        <w:t xml:space="preserve">IA-CEPA includes a commitment to allow majority Australian owned large hospitals; in-hospital pathology; various medical and dental clinics; and aged-care services. </w:t>
      </w:r>
    </w:p>
    <w:p w14:paraId="73ECF1FB" w14:textId="77777777" w:rsidR="00CC7B73" w:rsidRDefault="00CC7B73" w:rsidP="00CC7B73">
      <w:pPr>
        <w:pStyle w:val="ListParagraph"/>
        <w:numPr>
          <w:ilvl w:val="1"/>
          <w:numId w:val="23"/>
        </w:numPr>
      </w:pPr>
      <w:r>
        <w:t>Indonesia’s ageing population is putting pressure on the healthcare system, with the number of people aged over 65 set to double in the next 25 years.</w:t>
      </w:r>
    </w:p>
    <w:p w14:paraId="640C254A" w14:textId="77777777" w:rsidR="00CC7B73" w:rsidRDefault="00CC7B73" w:rsidP="00CC7B73">
      <w:pPr>
        <w:pStyle w:val="ListParagraph"/>
      </w:pPr>
      <w:r>
        <w:t>Australia is well positioned to address the education and training needs of Indonesia’s health workforce.</w:t>
      </w:r>
    </w:p>
    <w:p w14:paraId="4F6D4A42" w14:textId="77777777" w:rsidR="00F73EB2" w:rsidRPr="00FC7387" w:rsidRDefault="00F73EB2" w:rsidP="00FC7387">
      <w:pPr>
        <w:pStyle w:val="Heading2"/>
      </w:pPr>
      <w:r w:rsidRPr="00FC7387">
        <w:t>OPPORTUNITIES</w:t>
      </w:r>
    </w:p>
    <w:p w14:paraId="2180E6B8" w14:textId="77777777" w:rsidR="00CC7B73" w:rsidRPr="00CC7B73" w:rsidRDefault="00CC7B73" w:rsidP="00CC7B73">
      <w:pPr>
        <w:pStyle w:val="Body"/>
      </w:pPr>
      <w:r w:rsidRPr="00CC7B73">
        <w:t xml:space="preserve">Healthcare in Indonesia is facing diverse service delivery challenges, with rapid social and demographic changes, rising life expectancy and the growth of a middle class seeking premium healthcare. </w:t>
      </w:r>
    </w:p>
    <w:p w14:paraId="691FE16E" w14:textId="77777777" w:rsidR="00CC7B73" w:rsidRPr="00CC7B73" w:rsidRDefault="00CC7B73" w:rsidP="00CC7B73">
      <w:pPr>
        <w:pStyle w:val="Body"/>
      </w:pPr>
      <w:r w:rsidRPr="00CC7B73">
        <w:t>The Indonesian Government’s National Health Strategy priorities include:</w:t>
      </w:r>
    </w:p>
    <w:p w14:paraId="071828D5" w14:textId="77777777" w:rsidR="00CC7B73" w:rsidRPr="00CC7B73" w:rsidRDefault="00CC7B73" w:rsidP="00CC7B73">
      <w:pPr>
        <w:pStyle w:val="ListParagraph"/>
      </w:pPr>
      <w:r w:rsidRPr="00CC7B73">
        <w:t>Improving maternal and child health</w:t>
      </w:r>
    </w:p>
    <w:p w14:paraId="44E32E1F" w14:textId="77777777" w:rsidR="00CC7B73" w:rsidRPr="00CC7B73" w:rsidRDefault="00CC7B73" w:rsidP="00CC7B73">
      <w:pPr>
        <w:pStyle w:val="ListParagraph"/>
      </w:pPr>
      <w:r w:rsidRPr="00CC7B73">
        <w:t>Community nutrition</w:t>
      </w:r>
    </w:p>
    <w:p w14:paraId="5A6D44AF" w14:textId="77777777" w:rsidR="00CC7B73" w:rsidRPr="00CC7B73" w:rsidRDefault="00CC7B73" w:rsidP="00CC7B73">
      <w:pPr>
        <w:pStyle w:val="ListParagraph"/>
      </w:pPr>
      <w:r w:rsidRPr="00CC7B73">
        <w:t>Promoting healthy lifestyles</w:t>
      </w:r>
    </w:p>
    <w:p w14:paraId="2CF0DD38" w14:textId="77777777" w:rsidR="00CC7B73" w:rsidRPr="00CC7B73" w:rsidRDefault="00CC7B73" w:rsidP="00CC7B73">
      <w:pPr>
        <w:pStyle w:val="ListParagraph"/>
      </w:pPr>
      <w:r w:rsidRPr="00CC7B73">
        <w:t>Strengthening the health care system</w:t>
      </w:r>
    </w:p>
    <w:p w14:paraId="2F63798C" w14:textId="77777777" w:rsidR="00CC7B73" w:rsidRPr="00CC7B73" w:rsidRDefault="00CC7B73" w:rsidP="00CC7B73">
      <w:pPr>
        <w:pStyle w:val="ListParagraph"/>
      </w:pPr>
      <w:r w:rsidRPr="00CC7B73">
        <w:t xml:space="preserve">Disease control and management </w:t>
      </w:r>
    </w:p>
    <w:p w14:paraId="4AC6FEB1" w14:textId="163ABF49" w:rsidR="009800CC" w:rsidRDefault="00CC7B73" w:rsidP="00CC7B73">
      <w:pPr>
        <w:pStyle w:val="ListParagraph"/>
        <w:sectPr w:rsidR="009800CC" w:rsidSect="009800C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701" w:left="1134" w:header="709" w:footer="709" w:gutter="0"/>
          <w:cols w:space="708"/>
          <w:titlePg/>
          <w:docGrid w:linePitch="360"/>
        </w:sectPr>
      </w:pPr>
      <w:r w:rsidRPr="00CC7B73">
        <w:t>Control of medicines and food</w:t>
      </w:r>
      <w:r w:rsidR="006F498E">
        <w:br/>
      </w:r>
    </w:p>
    <w:p w14:paraId="1197ECF7" w14:textId="77777777" w:rsidR="00F73EB2" w:rsidRPr="00FC7387" w:rsidRDefault="00F73EB2" w:rsidP="00FC7387">
      <w:pPr>
        <w:pStyle w:val="Heading2"/>
      </w:pPr>
      <w:r w:rsidRPr="00FC7387">
        <w:lastRenderedPageBreak/>
        <w:t xml:space="preserve">WHERE TO FOCUS  </w:t>
      </w:r>
    </w:p>
    <w:p w14:paraId="1F27670C" w14:textId="77777777" w:rsidR="00CC7B73" w:rsidRPr="00786D41" w:rsidRDefault="00CC7B73" w:rsidP="00CC7B73">
      <w:pPr>
        <w:pStyle w:val="Body"/>
      </w:pPr>
      <w:r w:rsidRPr="00786D41">
        <w:t>With an estimated need for increased investment in healthcare of $13.8 - 22.2 billion per year by 2030, provincial governments are exploring more private investment and partnerships to assist them to both build and manage facilities.</w:t>
      </w:r>
    </w:p>
    <w:p w14:paraId="45A8F985" w14:textId="77777777" w:rsidR="00CC7B73" w:rsidRPr="00CC7B73" w:rsidRDefault="00CC7B73" w:rsidP="00CC7B73">
      <w:pPr>
        <w:pStyle w:val="ListParagraph"/>
      </w:pPr>
      <w:r w:rsidRPr="00CC7B73">
        <w:rPr>
          <w:rStyle w:val="IntenseEmphasis"/>
        </w:rPr>
        <w:t>Aged care:</w:t>
      </w:r>
      <w:r w:rsidRPr="00CC7B73">
        <w:t xml:space="preserve"> By 2045, an additional 26 million people aged over 65 will drive Indonesia’s demand for healthcare products for the elderly. As family care for the elderly is common in Indonesia, opportunities may exist in the short term for home-based care services.</w:t>
      </w:r>
    </w:p>
    <w:p w14:paraId="7E794C10" w14:textId="77777777" w:rsidR="00CC7B73" w:rsidRPr="00CC7B73" w:rsidRDefault="00CC7B73" w:rsidP="00CC7B73">
      <w:pPr>
        <w:pStyle w:val="ListParagraph"/>
      </w:pPr>
      <w:r w:rsidRPr="00CC7B73">
        <w:rPr>
          <w:rStyle w:val="IntenseEmphasis"/>
        </w:rPr>
        <w:t>Digital health:</w:t>
      </w:r>
      <w:r w:rsidRPr="00CC7B73">
        <w:t xml:space="preserve"> The COVID-19 pandemic has increased the uptake of digital healthcare services in Indonesia. The growth of digital health technology can assist system efficiency and patient experience while improving access to healthcare for poor and rural populations. </w:t>
      </w:r>
    </w:p>
    <w:p w14:paraId="0E67FF78" w14:textId="77777777" w:rsidR="00CC7B73" w:rsidRPr="00CC7B73" w:rsidRDefault="00CC7B73" w:rsidP="00CC7B73">
      <w:pPr>
        <w:pStyle w:val="ListParagraph"/>
      </w:pPr>
      <w:r w:rsidRPr="00CC7B73">
        <w:rPr>
          <w:rStyle w:val="IntenseEmphasis"/>
        </w:rPr>
        <w:t>Medical equipment:</w:t>
      </w:r>
      <w:r w:rsidRPr="00CC7B73">
        <w:t xml:space="preserve">  With Indonesia importing about 90% of its medical devices, Australia is well placed to meet Indonesia’s demand for surgical equipment, medical imaging, and laboratory equipment for diagnostic tests.</w:t>
      </w:r>
    </w:p>
    <w:p w14:paraId="46C06999" w14:textId="77777777" w:rsidR="00CC7B73" w:rsidRPr="00CC7B73" w:rsidRDefault="00CC7B73" w:rsidP="00CC7B73">
      <w:pPr>
        <w:pStyle w:val="ListParagraph"/>
      </w:pPr>
      <w:r w:rsidRPr="00CC7B73">
        <w:rPr>
          <w:rStyle w:val="IntenseEmphasis"/>
        </w:rPr>
        <w:t>Infrastructure:</w:t>
      </w:r>
      <w:r w:rsidRPr="00CC7B73">
        <w:t xml:space="preserve"> Australia can support Indonesia to expand its hospital and healthcare facilities, including pathology labs and medical clinics. Opportunities in this sector range from design and construction to management services including public-private partnerships.</w:t>
      </w:r>
    </w:p>
    <w:p w14:paraId="29118C5E" w14:textId="77777777" w:rsidR="00F73EB2" w:rsidRPr="00FC7387" w:rsidRDefault="00F73EB2" w:rsidP="00FC7387">
      <w:pPr>
        <w:pStyle w:val="Heading2"/>
      </w:pPr>
      <w:r w:rsidRPr="00FC7387">
        <w:t xml:space="preserve"> WHAT IA-CEPA OFFERS </w:t>
      </w:r>
    </w:p>
    <w:p w14:paraId="70101EB9" w14:textId="77777777" w:rsidR="00CC7B73" w:rsidRPr="00786D41" w:rsidRDefault="00CC7B73" w:rsidP="00CC7B73">
      <w:pPr>
        <w:pStyle w:val="Body"/>
      </w:pPr>
      <w:r w:rsidRPr="00786D41">
        <w:t>Under IA-CEPA, Australian companies can own up to 67% of aged care facilities and large hospitals, and within large hospitals - up to 67% of pathology, paramedic and medical services and dental specialist clinic services. Foreign companies cannot register any form of healthcare business in Indonesia without a local Indonesian office or a local distributor in place. Australian businesses are leveraging partnerships and collaborating with Indonesian counterparts to overcome these challenges.</w:t>
      </w:r>
    </w:p>
    <w:p w14:paraId="5BE0EF4E" w14:textId="77777777" w:rsidR="00F73EB2" w:rsidRPr="00FC7387" w:rsidRDefault="00F73EB2" w:rsidP="00FC7387">
      <w:pPr>
        <w:pStyle w:val="Heading2"/>
      </w:pPr>
      <w:r w:rsidRPr="00FC7387">
        <w:t xml:space="preserve">CHALLENGES </w:t>
      </w:r>
    </w:p>
    <w:p w14:paraId="228DC773" w14:textId="55DFDB6C" w:rsidR="00CE298F" w:rsidRPr="00FC7387" w:rsidRDefault="00CC7B73" w:rsidP="00CE298F">
      <w:pPr>
        <w:pStyle w:val="Body"/>
        <w:sectPr w:rsidR="00CE298F" w:rsidRPr="00FC7387" w:rsidSect="009800CC">
          <w:headerReference w:type="first" r:id="rId14"/>
          <w:pgSz w:w="11906" w:h="16838"/>
          <w:pgMar w:top="1701" w:right="1134" w:bottom="1701" w:left="1134" w:header="709" w:footer="709" w:gutter="0"/>
          <w:cols w:space="708"/>
          <w:titlePg/>
          <w:docGrid w:linePitch="360"/>
        </w:sectPr>
      </w:pPr>
      <w:r>
        <w:t>Despite significant improvements over the past five decades, challenges remain for health services delivery in Indonesia. Indonesia’s health outcomes and quality of facilities are not on par with Australia. A lack of supporting infrastructure or skilled professionals could also pose a challenge to some Australian medical technology and health services.</w:t>
      </w:r>
    </w:p>
    <w:p w14:paraId="24E79924" w14:textId="77777777" w:rsidR="00CE298F" w:rsidRPr="00FC7387" w:rsidRDefault="00CE298F" w:rsidP="00CE298F">
      <w:pPr>
        <w:pStyle w:val="Heading2"/>
      </w:pPr>
      <w:r w:rsidRPr="00FC7387">
        <w:lastRenderedPageBreak/>
        <w:t xml:space="preserve">HOW TO ENTER THE SECTOR </w:t>
      </w:r>
    </w:p>
    <w:p w14:paraId="08B1A40E" w14:textId="77777777" w:rsidR="00CE298F" w:rsidRDefault="00CE298F" w:rsidP="00CE298F">
      <w:pPr>
        <w:pStyle w:val="Body"/>
      </w:pPr>
      <w:r>
        <w:t xml:space="preserve">Australia’s global reputation for delivering good health outcomes has helped drive cooperation with Indonesia’s health sector. This collaborative model focuses on delivering services and mutual benefit for Indonesia while increasing trade and investment outcomes for Australia. Potential areas for engagement include: </w:t>
      </w:r>
    </w:p>
    <w:p w14:paraId="28E27D19" w14:textId="77777777" w:rsidR="00CE298F" w:rsidRDefault="00CE298F" w:rsidP="00CE298F">
      <w:pPr>
        <w:pStyle w:val="ListParagraph"/>
      </w:pPr>
      <w:r>
        <w:t xml:space="preserve">establishing Australian consortia in key healthcare </w:t>
      </w:r>
      <w:proofErr w:type="gramStart"/>
      <w:r>
        <w:t>subsectors;</w:t>
      </w:r>
      <w:proofErr w:type="gramEnd"/>
      <w:r>
        <w:t xml:space="preserve"> </w:t>
      </w:r>
    </w:p>
    <w:p w14:paraId="13E5F7F5" w14:textId="77777777" w:rsidR="00CE298F" w:rsidRDefault="00CE298F" w:rsidP="00CE298F">
      <w:pPr>
        <w:pStyle w:val="ListParagraph"/>
      </w:pPr>
      <w:r>
        <w:t>clearly articulating Australia’s value proposition; and</w:t>
      </w:r>
    </w:p>
    <w:p w14:paraId="6BC22CBF" w14:textId="59690208" w:rsidR="00F73EB2" w:rsidRPr="00F73EB2" w:rsidRDefault="00CE298F" w:rsidP="00356B01">
      <w:pPr>
        <w:pStyle w:val="ListParagraph"/>
      </w:pPr>
      <w:r w:rsidRPr="00786D41">
        <w:rPr>
          <w:color w:val="000000" w:themeColor="text1"/>
        </w:rPr>
        <w:t xml:space="preserve">developing a roadmap for standards </w:t>
      </w:r>
      <w:proofErr w:type="spellStart"/>
      <w:r w:rsidRPr="00786D41">
        <w:rPr>
          <w:color w:val="000000" w:themeColor="text1"/>
        </w:rPr>
        <w:t>harmonisation</w:t>
      </w:r>
      <w:proofErr w:type="spellEnd"/>
      <w:r w:rsidRPr="00786D41">
        <w:rPr>
          <w:color w:val="000000" w:themeColor="text1"/>
        </w:rPr>
        <w:t xml:space="preserve"> across the health sector. </w:t>
      </w:r>
    </w:p>
    <w:sectPr w:rsidR="00F73EB2" w:rsidRPr="00F73EB2" w:rsidSect="00FC7387">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D3527" w14:textId="77777777" w:rsidR="00CD058E" w:rsidRDefault="00CD058E" w:rsidP="00CD058E">
      <w:pPr>
        <w:spacing w:after="0" w:line="240" w:lineRule="auto"/>
      </w:pPr>
      <w:r>
        <w:separator/>
      </w:r>
    </w:p>
  </w:endnote>
  <w:endnote w:type="continuationSeparator" w:id="0">
    <w:p w14:paraId="43E1152A" w14:textId="77777777" w:rsidR="00CD058E" w:rsidRDefault="00CD058E" w:rsidP="00CD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8965" w14:textId="6D9D3B8E" w:rsidR="00420559" w:rsidRDefault="00420559">
    <w:pPr>
      <w:pStyle w:val="Footer"/>
    </w:pPr>
    <w:r>
      <w:rPr>
        <w:noProof/>
      </w:rPr>
      <w:drawing>
        <wp:anchor distT="0" distB="0" distL="114300" distR="114300" simplePos="0" relativeHeight="251674624" behindDoc="0" locked="0" layoutInCell="1" allowOverlap="1" wp14:anchorId="4402A2B5" wp14:editId="73E096B3">
          <wp:simplePos x="0" y="0"/>
          <wp:positionH relativeFrom="column">
            <wp:posOffset>-1663540</wp:posOffset>
          </wp:positionH>
          <wp:positionV relativeFrom="paragraph">
            <wp:posOffset>143288</wp:posOffset>
          </wp:positionV>
          <wp:extent cx="10344785" cy="737870"/>
          <wp:effectExtent l="0" t="0" r="0" b="0"/>
          <wp:wrapThrough wrapText="bothSides">
            <wp:wrapPolygon edited="0">
              <wp:start x="438" y="5577"/>
              <wp:lineTo x="398" y="15614"/>
              <wp:lineTo x="21161" y="15614"/>
              <wp:lineTo x="21121" y="5577"/>
              <wp:lineTo x="438" y="5577"/>
            </wp:wrapPolygon>
          </wp:wrapThrough>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44785" cy="7378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EACB" w14:textId="4F534BE7" w:rsidR="00420559" w:rsidRDefault="00253D66" w:rsidP="00420559">
    <w:pPr>
      <w:pStyle w:val="Footer"/>
      <w:tabs>
        <w:tab w:val="clear" w:pos="4513"/>
      </w:tabs>
    </w:pPr>
    <w:r>
      <w:rPr>
        <w:noProof/>
      </w:rPr>
      <w:drawing>
        <wp:anchor distT="0" distB="0" distL="114300" distR="114300" simplePos="0" relativeHeight="251680768" behindDoc="1" locked="1" layoutInCell="1" allowOverlap="1" wp14:anchorId="4993C60B" wp14:editId="6D6B13B9">
          <wp:simplePos x="0" y="0"/>
          <wp:positionH relativeFrom="page">
            <wp:align>right</wp:align>
          </wp:positionH>
          <wp:positionV relativeFrom="page">
            <wp:align>bottom</wp:align>
          </wp:positionV>
          <wp:extent cx="7553325"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5378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3A34" w14:textId="69EB8DF0" w:rsidR="00027F6F" w:rsidRDefault="00253D66">
    <w:pPr>
      <w:pStyle w:val="Footer"/>
    </w:pPr>
    <w:r>
      <w:rPr>
        <w:noProof/>
      </w:rPr>
      <w:drawing>
        <wp:anchor distT="0" distB="0" distL="114300" distR="114300" simplePos="0" relativeHeight="251679744" behindDoc="1" locked="1" layoutInCell="1" allowOverlap="1" wp14:anchorId="0CB11C8A" wp14:editId="3FE08EBA">
          <wp:simplePos x="0" y="0"/>
          <wp:positionH relativeFrom="page">
            <wp:align>left</wp:align>
          </wp:positionH>
          <wp:positionV relativeFrom="page">
            <wp:align>bottom</wp:align>
          </wp:positionV>
          <wp:extent cx="7577455" cy="5410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455" cy="54102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C6C2" w14:textId="77777777" w:rsidR="00AC0747" w:rsidRPr="00AC0747" w:rsidRDefault="00AC0747" w:rsidP="00AC0747">
    <w:pPr>
      <w:pStyle w:val="Footer"/>
      <w:rPr>
        <w:lang w:val="en-US"/>
      </w:rPr>
    </w:pPr>
    <w:r w:rsidRPr="00AC0747">
      <w:rPr>
        <w:lang w:val="en-US"/>
      </w:rPr>
      <w:t xml:space="preserve">More information: A Blueprint for Trade and Investment with Indonesia </w:t>
    </w:r>
  </w:p>
  <w:p w14:paraId="03EBEF4D" w14:textId="77777777" w:rsidR="00AC0747" w:rsidRPr="00AC0747" w:rsidRDefault="00AC0747" w:rsidP="00AC0747">
    <w:pPr>
      <w:pStyle w:val="Footer"/>
      <w:rPr>
        <w:lang w:val="en-US"/>
      </w:rPr>
    </w:pPr>
    <w:r w:rsidRPr="00AC0747">
      <w:rPr>
        <w:lang w:val="en-US"/>
      </w:rPr>
      <w:t xml:space="preserve">www.dfat.gov.au/publications/trade-and-investment/blueprint-trade-and-investment-indonesia </w:t>
    </w:r>
  </w:p>
  <w:p w14:paraId="0B3F9A76" w14:textId="77777777" w:rsidR="00FC7387" w:rsidRDefault="00FC7387" w:rsidP="00420559">
    <w:pPr>
      <w:pStyle w:val="Footer"/>
      <w:tabs>
        <w:tab w:val="clear" w:pos="4513"/>
      </w:tabs>
    </w:pPr>
    <w:r>
      <w:rPr>
        <w:noProof/>
      </w:rPr>
      <w:drawing>
        <wp:anchor distT="0" distB="0" distL="114300" distR="114300" simplePos="0" relativeHeight="251685888" behindDoc="1" locked="1" layoutInCell="1" allowOverlap="1" wp14:anchorId="221546C8" wp14:editId="311CE1AD">
          <wp:simplePos x="0" y="0"/>
          <wp:positionH relativeFrom="margin">
            <wp:posOffset>-638175</wp:posOffset>
          </wp:positionH>
          <wp:positionV relativeFrom="page">
            <wp:posOffset>8896350</wp:posOffset>
          </wp:positionV>
          <wp:extent cx="7052400" cy="1566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52400" cy="156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D2551" w14:textId="77777777" w:rsidR="00CD058E" w:rsidRDefault="00CD058E" w:rsidP="00CD058E">
      <w:pPr>
        <w:spacing w:after="0" w:line="240" w:lineRule="auto"/>
      </w:pPr>
      <w:r>
        <w:separator/>
      </w:r>
    </w:p>
  </w:footnote>
  <w:footnote w:type="continuationSeparator" w:id="0">
    <w:p w14:paraId="118AD643" w14:textId="77777777" w:rsidR="00CD058E" w:rsidRDefault="00CD058E" w:rsidP="00CD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B6E6" w14:textId="69F22069" w:rsidR="00420559" w:rsidRDefault="00420559">
    <w:pPr>
      <w:pStyle w:val="Header"/>
    </w:pPr>
    <w:r>
      <w:rPr>
        <w:noProof/>
      </w:rPr>
      <mc:AlternateContent>
        <mc:Choice Requires="wps">
          <w:drawing>
            <wp:inline distT="0" distB="0" distL="0" distR="0" wp14:anchorId="4E97650D" wp14:editId="0E58AAE9">
              <wp:extent cx="4218940" cy="572770"/>
              <wp:effectExtent l="0" t="0" r="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572770"/>
                      </a:xfrm>
                      <a:prstGeom prst="rect">
                        <a:avLst/>
                      </a:prstGeom>
                      <a:noFill/>
                      <a:ln w="9525">
                        <a:noFill/>
                        <a:miter lim="800000"/>
                        <a:headEnd/>
                        <a:tailEnd/>
                      </a:ln>
                    </wps:spPr>
                    <wps:txbx>
                      <w:txbxContent>
                        <w:p w14:paraId="7E3CE78E" w14:textId="77777777" w:rsidR="00F73EB2" w:rsidRDefault="00F73EB2" w:rsidP="00F73EB2">
                          <w:pPr>
                            <w:jc w:val="right"/>
                            <w:rPr>
                              <w:sz w:val="26"/>
                              <w:szCs w:val="26"/>
                            </w:rPr>
                          </w:pPr>
                          <w:r>
                            <w:rPr>
                              <w:sz w:val="26"/>
                              <w:szCs w:val="26"/>
                            </w:rPr>
                            <w:t>Education, Skills and Training Sector in Brief</w:t>
                          </w:r>
                        </w:p>
                        <w:p w14:paraId="0656B776" w14:textId="0484B58C" w:rsidR="00420559" w:rsidRDefault="00420559"/>
                      </w:txbxContent>
                    </wps:txbx>
                    <wps:bodyPr rot="0" vert="horz" wrap="square" lIns="91440" tIns="45720" rIns="91440" bIns="45720" anchor="t" anchorCtr="0">
                      <a:noAutofit/>
                    </wps:bodyPr>
                  </wps:wsp>
                </a:graphicData>
              </a:graphic>
            </wp:inline>
          </w:drawing>
        </mc:Choice>
        <mc:Fallback>
          <w:pict>
            <v:shapetype w14:anchorId="4E97650D" id="_x0000_t202" coordsize="21600,21600" o:spt="202" path="m,l,21600r21600,l21600,xe">
              <v:stroke joinstyle="miter"/>
              <v:path gradientshapeok="t" o:connecttype="rect"/>
            </v:shapetype>
            <v:shape id="Text Box 2" o:spid="_x0000_s1026" type="#_x0000_t202" style="width:332.2pt;height: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I8CAIAAPMDAAAOAAAAZHJzL2Uyb0RvYy54bWysU9tu2zAMfR+wfxD0vjgxkqUx4hRduw4D&#10;ugvQ7gMYWY6FSaImKbGzrx8lp2nQvQ3Tg0CJ5BHPIbW+HoxmB+mDQlvz2WTKmbQCG2V3Nf/xdP/u&#10;irMQwTag0cqaH2Xg15u3b9a9q2SJHepGekYgNlS9q3kXo6uKIohOGggTdNKSs0VvINLR74rGQ0/o&#10;RhfldPq+6NE3zqOQIdDt3ejkm4zftlLEb20bZGS65lRbzLvP+zbtxWYN1c6D65Q4lQH/UIUBZenR&#10;M9QdRGB7r/6CMkp4DNjGiUBTYNsqITMHYjObvmLz2IGTmQuJE9xZpvD/YMXXw3fPVFPzcsGZBUM9&#10;epJDZB9wYGWSp3ehoqhHR3FxoGtqc6Ya3AOKn4FZvO3A7uSN99h3Ehoqb5Yyi4vUESckkG3/BRt6&#10;BvYRM9DQepO0IzUYoVObjufWpFIEXc7L2dVqTi5BvsWyXC5z7wqonrOdD/GTRMOSUXNPrc/ocHgI&#10;MVUD1XNIeszivdI6t19b1td8tSAFXnmMijSdWpmaX03TGuclkfxom5wcQenRpge0PbFOREfKcdgO&#10;FJik2GJzJP4exymkX0NGh/43Zz1NYM3Drz14yZn+bEnD1WyeCMd8mBNnOvhLz/bSA1YQVM0jZ6N5&#10;G/OYj4xuSOtWZRleKjnVSpOV1Tn9gjS6l+cc9fJXN38AAAD//wMAUEsDBBQABgAIAAAAIQAIPAap&#10;2gAAAAQBAAAPAAAAZHJzL2Rvd25yZXYueG1sTI9PS8NAEMXvgt9hGcGbnbXEYNNsiiheFesf8LbN&#10;TpPQ7GzIbpv47R296GXg8R7v/abczL5XJxpjF9jA9UKDIq6D67gx8Pb6eHULKibLzvaBycAXRdhU&#10;52elLVyY+IVO29QoKeFYWANtSkOBGOuWvI2LMBCLtw+jt0nk2KAb7STlvsel1jl627EstHag+5bq&#10;w/boDbw/7T8/Mv3cPPibYQqzRvYrNObyYr5bg0o0p78w/OALOlTCtAtHdlH1BuSR9HvFy/MsA7Uz&#10;sNJLwKrE//DVNwAAAP//AwBQSwECLQAUAAYACAAAACEAtoM4kv4AAADhAQAAEwAAAAAAAAAAAAAA&#10;AAAAAAAAW0NvbnRlbnRfVHlwZXNdLnhtbFBLAQItABQABgAIAAAAIQA4/SH/1gAAAJQBAAALAAAA&#10;AAAAAAAAAAAAAC8BAABfcmVscy8ucmVsc1BLAQItABQABgAIAAAAIQDkqUI8CAIAAPMDAAAOAAAA&#10;AAAAAAAAAAAAAC4CAABkcnMvZTJvRG9jLnhtbFBLAQItABQABgAIAAAAIQAIPAap2gAAAAQBAAAP&#10;AAAAAAAAAAAAAAAAAGIEAABkcnMvZG93bnJldi54bWxQSwUGAAAAAAQABADzAAAAaQUAAAAA&#10;" filled="f" stroked="f">
              <v:textbox>
                <w:txbxContent>
                  <w:p w14:paraId="7E3CE78E" w14:textId="77777777" w:rsidR="00F73EB2" w:rsidRDefault="00F73EB2" w:rsidP="00F73EB2">
                    <w:pPr>
                      <w:jc w:val="right"/>
                      <w:rPr>
                        <w:sz w:val="26"/>
                        <w:szCs w:val="26"/>
                      </w:rPr>
                    </w:pPr>
                    <w:r>
                      <w:rPr>
                        <w:sz w:val="26"/>
                        <w:szCs w:val="26"/>
                      </w:rPr>
                      <w:t>Education, Skills and Training Sector in Brief</w:t>
                    </w:r>
                  </w:p>
                  <w:p w14:paraId="0656B776" w14:textId="0484B58C" w:rsidR="00420559" w:rsidRDefault="00420559"/>
                </w:txbxContent>
              </v:textbox>
              <w10:anchorlock/>
            </v:shape>
          </w:pict>
        </mc:Fallback>
      </mc:AlternateContent>
    </w:r>
    <w:r>
      <w:rPr>
        <w:noProof/>
      </w:rPr>
      <w:drawing>
        <wp:inline distT="0" distB="0" distL="0" distR="0" wp14:anchorId="05B87830" wp14:editId="1BDD37D7">
          <wp:extent cx="11787505" cy="1403350"/>
          <wp:effectExtent l="0" t="0" r="0" b="0"/>
          <wp:docPr id="24" name="Picture 24" descr="A Blueprint for Trade and Investment with Indones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print for Trade and Investment with Indonesia&#10;"/>
                  <pic:cNvPicPr/>
                </pic:nvPicPr>
                <pic:blipFill>
                  <a:blip r:embed="rId1">
                    <a:extLst>
                      <a:ext uri="{28A0092B-C50C-407E-A947-70E740481C1C}">
                        <a14:useLocalDpi xmlns:a14="http://schemas.microsoft.com/office/drawing/2010/main" val="0"/>
                      </a:ext>
                    </a:extLst>
                  </a:blip>
                  <a:stretch>
                    <a:fillRect/>
                  </a:stretch>
                </pic:blipFill>
                <pic:spPr>
                  <a:xfrm>
                    <a:off x="0" y="0"/>
                    <a:ext cx="11787505" cy="14033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AEA3" w14:textId="605F4709" w:rsidR="00027F6F" w:rsidRDefault="00AC0747" w:rsidP="00AC0747">
    <w:pPr>
      <w:pStyle w:val="Header"/>
      <w:tabs>
        <w:tab w:val="clear" w:pos="4513"/>
        <w:tab w:val="clear" w:pos="9026"/>
        <w:tab w:val="left" w:pos="1095"/>
      </w:tabs>
      <w:ind w:right="-188"/>
    </w:pPr>
    <w:r>
      <w:rPr>
        <w:noProof/>
      </w:rPr>
      <w:drawing>
        <wp:anchor distT="0" distB="0" distL="114300" distR="114300" simplePos="0" relativeHeight="251689984" behindDoc="1" locked="0" layoutInCell="1" allowOverlap="1" wp14:anchorId="453EC75E" wp14:editId="1473324C">
          <wp:simplePos x="0" y="0"/>
          <wp:positionH relativeFrom="page">
            <wp:align>left</wp:align>
          </wp:positionH>
          <wp:positionV relativeFrom="paragraph">
            <wp:posOffset>-450850</wp:posOffset>
          </wp:positionV>
          <wp:extent cx="7532713" cy="897366"/>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2713" cy="897366"/>
                  </a:xfrm>
                  <a:prstGeom prst="rect">
                    <a:avLst/>
                  </a:prstGeom>
                </pic:spPr>
              </pic:pic>
            </a:graphicData>
          </a:graphic>
          <wp14:sizeRelH relativeFrom="page">
            <wp14:pctWidth>0</wp14:pctWidth>
          </wp14:sizeRelH>
          <wp14:sizeRelV relativeFrom="page">
            <wp14:pctHeight>0</wp14:pctHeight>
          </wp14:sizeRelV>
        </wp:anchor>
      </w:drawing>
    </w:r>
    <w:r w:rsidR="00911C43" w:rsidRPr="00911C43">
      <w:rPr>
        <w:noProof/>
      </w:rPr>
      <w:t xml:space="preserve"> </w:t>
    </w:r>
    <w:r w:rsidR="00911C43">
      <w:rPr>
        <w:noProof/>
      </w:rPr>
      <w:t>Agriculture and Food Sector</w:t>
    </w:r>
    <w:r w:rsidR="00911C43">
      <w:t xml:space="preserve"> </w:t>
    </w:r>
    <w:r>
      <w:t>in Brief</w:t>
    </w:r>
    <w:r w:rsidR="00253D66">
      <w:rPr>
        <w:noProof/>
      </w:rPr>
      <w:drawing>
        <wp:anchor distT="0" distB="0" distL="114300" distR="114300" simplePos="0" relativeHeight="251681792" behindDoc="1" locked="1" layoutInCell="1" allowOverlap="1" wp14:anchorId="444C77FD" wp14:editId="4F3F8BAC">
          <wp:simplePos x="0" y="0"/>
          <wp:positionH relativeFrom="page">
            <wp:align>right</wp:align>
          </wp:positionH>
          <wp:positionV relativeFrom="page">
            <wp:align>top</wp:align>
          </wp:positionV>
          <wp:extent cx="7516495" cy="89598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16495" cy="8959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60B7C" w14:textId="51E9A792" w:rsidR="00027F6F" w:rsidRDefault="00253D66" w:rsidP="00253D66">
    <w:pPr>
      <w:pStyle w:val="Header"/>
      <w:tabs>
        <w:tab w:val="clear" w:pos="4513"/>
        <w:tab w:val="clear" w:pos="9026"/>
        <w:tab w:val="left" w:pos="1095"/>
      </w:tabs>
    </w:pPr>
    <w:r>
      <w:rPr>
        <w:noProof/>
      </w:rPr>
      <w:drawing>
        <wp:anchor distT="0" distB="0" distL="114300" distR="114300" simplePos="0" relativeHeight="251678720" behindDoc="1" locked="0" layoutInCell="1" allowOverlap="1" wp14:anchorId="06D323A4" wp14:editId="0487342F">
          <wp:simplePos x="0" y="0"/>
          <wp:positionH relativeFrom="page">
            <wp:align>left</wp:align>
          </wp:positionH>
          <wp:positionV relativeFrom="paragraph">
            <wp:posOffset>-449580</wp:posOffset>
          </wp:positionV>
          <wp:extent cx="7524610" cy="17907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2713" cy="179262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04E4" w14:textId="77777777" w:rsidR="00CE298F" w:rsidRDefault="00CE298F" w:rsidP="009800CC">
    <w:pPr>
      <w:pStyle w:val="Header"/>
      <w:tabs>
        <w:tab w:val="clear" w:pos="4513"/>
        <w:tab w:val="clear" w:pos="9026"/>
        <w:tab w:val="left" w:pos="1095"/>
      </w:tabs>
      <w:ind w:right="140"/>
    </w:pPr>
    <w:r>
      <w:rPr>
        <w:noProof/>
      </w:rPr>
      <w:drawing>
        <wp:anchor distT="0" distB="0" distL="114300" distR="114300" simplePos="0" relativeHeight="251692032" behindDoc="1" locked="0" layoutInCell="1" allowOverlap="1" wp14:anchorId="24477590" wp14:editId="6475E615">
          <wp:simplePos x="0" y="0"/>
          <wp:positionH relativeFrom="page">
            <wp:align>left</wp:align>
          </wp:positionH>
          <wp:positionV relativeFrom="paragraph">
            <wp:posOffset>-450850</wp:posOffset>
          </wp:positionV>
          <wp:extent cx="7532713" cy="897366"/>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2713" cy="897366"/>
                  </a:xfrm>
                  <a:prstGeom prst="rect">
                    <a:avLst/>
                  </a:prstGeom>
                </pic:spPr>
              </pic:pic>
            </a:graphicData>
          </a:graphic>
          <wp14:sizeRelH relativeFrom="page">
            <wp14:pctWidth>0</wp14:pctWidth>
          </wp14:sizeRelH>
          <wp14:sizeRelV relativeFrom="page">
            <wp14:pctHeight>0</wp14:pctHeight>
          </wp14:sizeRelV>
        </wp:anchor>
      </w:drawing>
    </w:r>
    <w:r>
      <w:rPr>
        <w:noProof/>
      </w:rPr>
      <w:t>Agriculture and Food Sector</w:t>
    </w:r>
    <w:r>
      <w:t xml:space="preserve"> in Brief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25D7" w14:textId="77777777" w:rsidR="00FC7387" w:rsidRDefault="00FC7387" w:rsidP="00253D66">
    <w:pPr>
      <w:pStyle w:val="Header"/>
      <w:tabs>
        <w:tab w:val="clear" w:pos="4513"/>
        <w:tab w:val="clear" w:pos="9026"/>
        <w:tab w:val="left" w:pos="1095"/>
      </w:tabs>
    </w:pPr>
    <w:r>
      <w:rPr>
        <w:noProof/>
      </w:rPr>
      <w:drawing>
        <wp:anchor distT="0" distB="0" distL="114300" distR="114300" simplePos="0" relativeHeight="251683840" behindDoc="1" locked="0" layoutInCell="1" allowOverlap="1" wp14:anchorId="1A72588A" wp14:editId="2FBB58C9">
          <wp:simplePos x="0" y="0"/>
          <wp:positionH relativeFrom="page">
            <wp:align>left</wp:align>
          </wp:positionH>
          <wp:positionV relativeFrom="paragraph">
            <wp:posOffset>-449580</wp:posOffset>
          </wp:positionV>
          <wp:extent cx="7524610" cy="17907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2713" cy="1792628"/>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4EF"/>
    <w:multiLevelType w:val="hybridMultilevel"/>
    <w:tmpl w:val="E5848C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63C645A"/>
    <w:multiLevelType w:val="hybridMultilevel"/>
    <w:tmpl w:val="240C559A"/>
    <w:lvl w:ilvl="0" w:tplc="7CDECD0E">
      <w:start w:val="1"/>
      <w:numFmt w:val="bullet"/>
      <w:lvlText w:val=""/>
      <w:lvlJc w:val="left"/>
      <w:pPr>
        <w:ind w:left="1287" w:hanging="360"/>
      </w:pPr>
      <w:rPr>
        <w:rFonts w:ascii="Symbol" w:hAnsi="Symbol" w:hint="default"/>
        <w:color w:val="C01327"/>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7155772"/>
    <w:multiLevelType w:val="hybridMultilevel"/>
    <w:tmpl w:val="07941F44"/>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F224D58"/>
    <w:multiLevelType w:val="hybridMultilevel"/>
    <w:tmpl w:val="D95C6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4481"/>
    <w:multiLevelType w:val="hybridMultilevel"/>
    <w:tmpl w:val="76900946"/>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70C504E"/>
    <w:multiLevelType w:val="hybridMultilevel"/>
    <w:tmpl w:val="071405DC"/>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425DB7"/>
    <w:multiLevelType w:val="hybridMultilevel"/>
    <w:tmpl w:val="DE2025B0"/>
    <w:lvl w:ilvl="0" w:tplc="7CDECD0E">
      <w:start w:val="1"/>
      <w:numFmt w:val="bullet"/>
      <w:lvlText w:val=""/>
      <w:lvlJc w:val="left"/>
      <w:pPr>
        <w:ind w:left="1080" w:hanging="360"/>
      </w:pPr>
      <w:rPr>
        <w:rFonts w:ascii="Symbol" w:hAnsi="Symbol" w:hint="default"/>
        <w:color w:val="C0132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757235"/>
    <w:multiLevelType w:val="hybridMultilevel"/>
    <w:tmpl w:val="5FA00750"/>
    <w:lvl w:ilvl="0" w:tplc="7CDECD0E">
      <w:start w:val="1"/>
      <w:numFmt w:val="bullet"/>
      <w:lvlText w:val=""/>
      <w:lvlJc w:val="left"/>
      <w:pPr>
        <w:ind w:left="720" w:hanging="360"/>
      </w:pPr>
      <w:rPr>
        <w:rFonts w:ascii="Symbol" w:hAnsi="Symbol" w:hint="default"/>
        <w:color w:val="C01327"/>
      </w:rPr>
    </w:lvl>
    <w:lvl w:ilvl="1" w:tplc="7CDECD0E">
      <w:start w:val="1"/>
      <w:numFmt w:val="bullet"/>
      <w:lvlText w:val=""/>
      <w:lvlJc w:val="left"/>
      <w:pPr>
        <w:ind w:left="1440" w:hanging="360"/>
      </w:pPr>
      <w:rPr>
        <w:rFonts w:ascii="Symbol" w:hAnsi="Symbol" w:hint="default"/>
        <w:color w:val="C0132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B1AB7"/>
    <w:multiLevelType w:val="hybridMultilevel"/>
    <w:tmpl w:val="398AB5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E8B364C"/>
    <w:multiLevelType w:val="hybridMultilevel"/>
    <w:tmpl w:val="93A4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27561"/>
    <w:multiLevelType w:val="hybridMultilevel"/>
    <w:tmpl w:val="926CBFD4"/>
    <w:lvl w:ilvl="0" w:tplc="7CDECD0E">
      <w:start w:val="1"/>
      <w:numFmt w:val="bullet"/>
      <w:lvlText w:val=""/>
      <w:lvlJc w:val="left"/>
      <w:pPr>
        <w:ind w:left="720" w:hanging="360"/>
      </w:pPr>
      <w:rPr>
        <w:rFonts w:ascii="Symbol" w:hAnsi="Symbol" w:hint="default"/>
        <w:color w:val="C013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14CE8"/>
    <w:multiLevelType w:val="hybridMultilevel"/>
    <w:tmpl w:val="485E9284"/>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C4D0604"/>
    <w:multiLevelType w:val="hybridMultilevel"/>
    <w:tmpl w:val="E67814F2"/>
    <w:lvl w:ilvl="0" w:tplc="7CDECD0E">
      <w:start w:val="1"/>
      <w:numFmt w:val="bullet"/>
      <w:lvlText w:val=""/>
      <w:lvlJc w:val="left"/>
      <w:pPr>
        <w:ind w:left="720" w:hanging="360"/>
      </w:pPr>
      <w:rPr>
        <w:rFonts w:ascii="Symbol" w:hAnsi="Symbol" w:hint="default"/>
        <w:color w:val="C013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F4CB7"/>
    <w:multiLevelType w:val="hybridMultilevel"/>
    <w:tmpl w:val="8FE828EC"/>
    <w:lvl w:ilvl="0" w:tplc="7CDECD0E">
      <w:start w:val="1"/>
      <w:numFmt w:val="bullet"/>
      <w:lvlText w:val=""/>
      <w:lvlJc w:val="left"/>
      <w:pPr>
        <w:ind w:left="720" w:hanging="360"/>
      </w:pPr>
      <w:rPr>
        <w:rFonts w:ascii="Symbol" w:hAnsi="Symbol" w:hint="default"/>
        <w:color w:val="C013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9014A"/>
    <w:multiLevelType w:val="hybridMultilevel"/>
    <w:tmpl w:val="34DC2538"/>
    <w:lvl w:ilvl="0" w:tplc="D28E4E34">
      <w:start w:val="1"/>
      <w:numFmt w:val="bullet"/>
      <w:pStyle w:val="ListParagraph"/>
      <w:lvlText w:val=""/>
      <w:lvlJc w:val="left"/>
      <w:pPr>
        <w:ind w:left="1440" w:hanging="360"/>
      </w:pPr>
      <w:rPr>
        <w:rFonts w:ascii="Symbol" w:hAnsi="Symbol" w:hint="default"/>
        <w:color w:val="C0132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B222BC7"/>
    <w:multiLevelType w:val="hybridMultilevel"/>
    <w:tmpl w:val="84BCBC72"/>
    <w:lvl w:ilvl="0" w:tplc="7CDECD0E">
      <w:start w:val="1"/>
      <w:numFmt w:val="bullet"/>
      <w:lvlText w:val=""/>
      <w:lvlJc w:val="left"/>
      <w:pPr>
        <w:ind w:left="1287" w:hanging="360"/>
      </w:pPr>
      <w:rPr>
        <w:rFonts w:ascii="Symbol" w:hAnsi="Symbol" w:hint="default"/>
        <w:color w:val="C01327"/>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56E2DC8"/>
    <w:multiLevelType w:val="hybridMultilevel"/>
    <w:tmpl w:val="88C808A0"/>
    <w:lvl w:ilvl="0" w:tplc="7CDECD0E">
      <w:start w:val="1"/>
      <w:numFmt w:val="bullet"/>
      <w:lvlText w:val=""/>
      <w:lvlJc w:val="left"/>
      <w:pPr>
        <w:ind w:left="720" w:hanging="360"/>
      </w:pPr>
      <w:rPr>
        <w:rFonts w:ascii="Symbol" w:hAnsi="Symbol" w:hint="default"/>
        <w:color w:val="C013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0272F"/>
    <w:multiLevelType w:val="hybridMultilevel"/>
    <w:tmpl w:val="DF185A72"/>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62A419F"/>
    <w:multiLevelType w:val="hybridMultilevel"/>
    <w:tmpl w:val="86F4AD7A"/>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8E231A0"/>
    <w:multiLevelType w:val="hybridMultilevel"/>
    <w:tmpl w:val="F35803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909048A"/>
    <w:multiLevelType w:val="hybridMultilevel"/>
    <w:tmpl w:val="B5229202"/>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F5B7E89"/>
    <w:multiLevelType w:val="hybridMultilevel"/>
    <w:tmpl w:val="54E0A27E"/>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4171E7D"/>
    <w:multiLevelType w:val="hybridMultilevel"/>
    <w:tmpl w:val="9E3254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56407FE"/>
    <w:multiLevelType w:val="hybridMultilevel"/>
    <w:tmpl w:val="50C28710"/>
    <w:lvl w:ilvl="0" w:tplc="7CDECD0E">
      <w:start w:val="1"/>
      <w:numFmt w:val="bullet"/>
      <w:lvlText w:val=""/>
      <w:lvlJc w:val="left"/>
      <w:pPr>
        <w:ind w:left="720" w:hanging="360"/>
      </w:pPr>
      <w:rPr>
        <w:rFonts w:ascii="Symbol" w:hAnsi="Symbol" w:hint="default"/>
        <w:color w:val="C013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F247A"/>
    <w:multiLevelType w:val="hybridMultilevel"/>
    <w:tmpl w:val="4D9A8654"/>
    <w:lvl w:ilvl="0" w:tplc="7CDECD0E">
      <w:start w:val="1"/>
      <w:numFmt w:val="bullet"/>
      <w:lvlText w:val=""/>
      <w:lvlJc w:val="left"/>
      <w:pPr>
        <w:ind w:left="720" w:hanging="360"/>
      </w:pPr>
      <w:rPr>
        <w:rFonts w:ascii="Symbol" w:hAnsi="Symbol" w:hint="default"/>
        <w:color w:val="C013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0584B"/>
    <w:multiLevelType w:val="hybridMultilevel"/>
    <w:tmpl w:val="0E0C1D4E"/>
    <w:lvl w:ilvl="0" w:tplc="7CDECD0E">
      <w:start w:val="1"/>
      <w:numFmt w:val="bullet"/>
      <w:lvlText w:val=""/>
      <w:lvlJc w:val="left"/>
      <w:pPr>
        <w:ind w:left="720" w:hanging="360"/>
      </w:pPr>
      <w:rPr>
        <w:rFonts w:ascii="Symbol" w:hAnsi="Symbol" w:hint="default"/>
        <w:color w:val="C013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F86E15"/>
    <w:multiLevelType w:val="hybridMultilevel"/>
    <w:tmpl w:val="F732C91A"/>
    <w:lvl w:ilvl="0" w:tplc="7CDECD0E">
      <w:start w:val="1"/>
      <w:numFmt w:val="bullet"/>
      <w:lvlText w:val=""/>
      <w:lvlJc w:val="left"/>
      <w:pPr>
        <w:ind w:left="2704" w:hanging="360"/>
      </w:pPr>
      <w:rPr>
        <w:rFonts w:ascii="Symbol" w:hAnsi="Symbol" w:hint="default"/>
        <w:color w:val="C01327"/>
      </w:rPr>
    </w:lvl>
    <w:lvl w:ilvl="1" w:tplc="0C090003" w:tentative="1">
      <w:start w:val="1"/>
      <w:numFmt w:val="bullet"/>
      <w:lvlText w:val="o"/>
      <w:lvlJc w:val="left"/>
      <w:pPr>
        <w:ind w:left="3424" w:hanging="360"/>
      </w:pPr>
      <w:rPr>
        <w:rFonts w:ascii="Courier New" w:hAnsi="Courier New" w:cs="Courier New" w:hint="default"/>
      </w:rPr>
    </w:lvl>
    <w:lvl w:ilvl="2" w:tplc="0C090005" w:tentative="1">
      <w:start w:val="1"/>
      <w:numFmt w:val="bullet"/>
      <w:lvlText w:val=""/>
      <w:lvlJc w:val="left"/>
      <w:pPr>
        <w:ind w:left="4144" w:hanging="360"/>
      </w:pPr>
      <w:rPr>
        <w:rFonts w:ascii="Wingdings" w:hAnsi="Wingdings" w:hint="default"/>
      </w:rPr>
    </w:lvl>
    <w:lvl w:ilvl="3" w:tplc="0C090001" w:tentative="1">
      <w:start w:val="1"/>
      <w:numFmt w:val="bullet"/>
      <w:lvlText w:val=""/>
      <w:lvlJc w:val="left"/>
      <w:pPr>
        <w:ind w:left="4864" w:hanging="360"/>
      </w:pPr>
      <w:rPr>
        <w:rFonts w:ascii="Symbol" w:hAnsi="Symbol" w:hint="default"/>
      </w:rPr>
    </w:lvl>
    <w:lvl w:ilvl="4" w:tplc="0C090003" w:tentative="1">
      <w:start w:val="1"/>
      <w:numFmt w:val="bullet"/>
      <w:lvlText w:val="o"/>
      <w:lvlJc w:val="left"/>
      <w:pPr>
        <w:ind w:left="5584" w:hanging="360"/>
      </w:pPr>
      <w:rPr>
        <w:rFonts w:ascii="Courier New" w:hAnsi="Courier New" w:cs="Courier New" w:hint="default"/>
      </w:rPr>
    </w:lvl>
    <w:lvl w:ilvl="5" w:tplc="0C090005" w:tentative="1">
      <w:start w:val="1"/>
      <w:numFmt w:val="bullet"/>
      <w:lvlText w:val=""/>
      <w:lvlJc w:val="left"/>
      <w:pPr>
        <w:ind w:left="6304" w:hanging="360"/>
      </w:pPr>
      <w:rPr>
        <w:rFonts w:ascii="Wingdings" w:hAnsi="Wingdings" w:hint="default"/>
      </w:rPr>
    </w:lvl>
    <w:lvl w:ilvl="6" w:tplc="0C090001" w:tentative="1">
      <w:start w:val="1"/>
      <w:numFmt w:val="bullet"/>
      <w:lvlText w:val=""/>
      <w:lvlJc w:val="left"/>
      <w:pPr>
        <w:ind w:left="7024" w:hanging="360"/>
      </w:pPr>
      <w:rPr>
        <w:rFonts w:ascii="Symbol" w:hAnsi="Symbol" w:hint="default"/>
      </w:rPr>
    </w:lvl>
    <w:lvl w:ilvl="7" w:tplc="0C090003" w:tentative="1">
      <w:start w:val="1"/>
      <w:numFmt w:val="bullet"/>
      <w:lvlText w:val="o"/>
      <w:lvlJc w:val="left"/>
      <w:pPr>
        <w:ind w:left="7744" w:hanging="360"/>
      </w:pPr>
      <w:rPr>
        <w:rFonts w:ascii="Courier New" w:hAnsi="Courier New" w:cs="Courier New" w:hint="default"/>
      </w:rPr>
    </w:lvl>
    <w:lvl w:ilvl="8" w:tplc="0C090005" w:tentative="1">
      <w:start w:val="1"/>
      <w:numFmt w:val="bullet"/>
      <w:lvlText w:val=""/>
      <w:lvlJc w:val="left"/>
      <w:pPr>
        <w:ind w:left="8464" w:hanging="360"/>
      </w:pPr>
      <w:rPr>
        <w:rFonts w:ascii="Wingdings" w:hAnsi="Wingdings" w:hint="default"/>
      </w:rPr>
    </w:lvl>
  </w:abstractNum>
  <w:abstractNum w:abstractNumId="27" w15:restartNumberingAfterBreak="0">
    <w:nsid w:val="7F732F8A"/>
    <w:multiLevelType w:val="hybridMultilevel"/>
    <w:tmpl w:val="FF249172"/>
    <w:lvl w:ilvl="0" w:tplc="7CDECD0E">
      <w:start w:val="1"/>
      <w:numFmt w:val="bullet"/>
      <w:lvlText w:val=""/>
      <w:lvlJc w:val="left"/>
      <w:pPr>
        <w:ind w:left="1287" w:hanging="360"/>
      </w:pPr>
      <w:rPr>
        <w:rFonts w:ascii="Symbol" w:hAnsi="Symbol" w:hint="default"/>
        <w:color w:val="C01327"/>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2"/>
  </w:num>
  <w:num w:numId="4">
    <w:abstractNumId w:val="21"/>
  </w:num>
  <w:num w:numId="5">
    <w:abstractNumId w:val="18"/>
  </w:num>
  <w:num w:numId="6">
    <w:abstractNumId w:val="5"/>
  </w:num>
  <w:num w:numId="7">
    <w:abstractNumId w:val="26"/>
  </w:num>
  <w:num w:numId="8">
    <w:abstractNumId w:val="10"/>
  </w:num>
  <w:num w:numId="9">
    <w:abstractNumId w:val="19"/>
  </w:num>
  <w:num w:numId="10">
    <w:abstractNumId w:val="17"/>
  </w:num>
  <w:num w:numId="11">
    <w:abstractNumId w:val="22"/>
  </w:num>
  <w:num w:numId="12">
    <w:abstractNumId w:val="11"/>
  </w:num>
  <w:num w:numId="13">
    <w:abstractNumId w:val="4"/>
  </w:num>
  <w:num w:numId="14">
    <w:abstractNumId w:val="23"/>
  </w:num>
  <w:num w:numId="15">
    <w:abstractNumId w:val="7"/>
  </w:num>
  <w:num w:numId="16">
    <w:abstractNumId w:val="15"/>
  </w:num>
  <w:num w:numId="17">
    <w:abstractNumId w:val="25"/>
  </w:num>
  <w:num w:numId="18">
    <w:abstractNumId w:val="1"/>
  </w:num>
  <w:num w:numId="19">
    <w:abstractNumId w:val="3"/>
  </w:num>
  <w:num w:numId="20">
    <w:abstractNumId w:val="9"/>
  </w:num>
  <w:num w:numId="21">
    <w:abstractNumId w:val="16"/>
  </w:num>
  <w:num w:numId="22">
    <w:abstractNumId w:val="27"/>
  </w:num>
  <w:num w:numId="23">
    <w:abstractNumId w:val="14"/>
  </w:num>
  <w:num w:numId="24">
    <w:abstractNumId w:val="20"/>
  </w:num>
  <w:num w:numId="25">
    <w:abstractNumId w:val="24"/>
  </w:num>
  <w:num w:numId="26">
    <w:abstractNumId w:val="13"/>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8E"/>
    <w:rsid w:val="00027F6F"/>
    <w:rsid w:val="000C57AA"/>
    <w:rsid w:val="001F0855"/>
    <w:rsid w:val="00253D66"/>
    <w:rsid w:val="002565E4"/>
    <w:rsid w:val="00356B01"/>
    <w:rsid w:val="004172AD"/>
    <w:rsid w:val="00420559"/>
    <w:rsid w:val="0047241D"/>
    <w:rsid w:val="006F498E"/>
    <w:rsid w:val="00756E7C"/>
    <w:rsid w:val="00793902"/>
    <w:rsid w:val="008D39F7"/>
    <w:rsid w:val="00911C43"/>
    <w:rsid w:val="00963AAF"/>
    <w:rsid w:val="009800CC"/>
    <w:rsid w:val="00AC0747"/>
    <w:rsid w:val="00B800BF"/>
    <w:rsid w:val="00C755A9"/>
    <w:rsid w:val="00CC7B73"/>
    <w:rsid w:val="00CD058E"/>
    <w:rsid w:val="00CE298F"/>
    <w:rsid w:val="00D500F8"/>
    <w:rsid w:val="00F73EB2"/>
    <w:rsid w:val="00FC7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CC"/>
  </w:style>
  <w:style w:type="paragraph" w:styleId="Heading1">
    <w:name w:val="heading 1"/>
    <w:basedOn w:val="Normal"/>
    <w:next w:val="Normal"/>
    <w:link w:val="Heading1Char"/>
    <w:uiPriority w:val="9"/>
    <w:qFormat/>
    <w:rsid w:val="00793902"/>
    <w:pPr>
      <w:keepNext/>
      <w:keepLines/>
      <w:suppressAutoHyphens/>
      <w:autoSpaceDE w:val="0"/>
      <w:autoSpaceDN w:val="0"/>
      <w:adjustRightInd w:val="0"/>
      <w:spacing w:after="960" w:line="380" w:lineRule="atLeast"/>
      <w:textAlignment w:val="center"/>
      <w:outlineLvl w:val="0"/>
    </w:pPr>
    <w:rPr>
      <w:rFonts w:eastAsiaTheme="majorEastAsia" w:cstheme="majorBidi"/>
      <w:b/>
      <w:bCs/>
      <w:color w:val="FFFFFF" w:themeColor="background1"/>
      <w:sz w:val="56"/>
      <w:szCs w:val="32"/>
      <w:lang w:val="en-US"/>
    </w:rPr>
  </w:style>
  <w:style w:type="paragraph" w:styleId="Heading2">
    <w:name w:val="heading 2"/>
    <w:basedOn w:val="Normal"/>
    <w:next w:val="Normal"/>
    <w:link w:val="Heading2Char"/>
    <w:uiPriority w:val="9"/>
    <w:unhideWhenUsed/>
    <w:rsid w:val="00D500F8"/>
    <w:pPr>
      <w:keepNext/>
      <w:keepLines/>
      <w:spacing w:before="480" w:after="0"/>
      <w:outlineLvl w:val="1"/>
    </w:pPr>
    <w:rPr>
      <w:rFonts w:eastAsiaTheme="majorEastAsia" w:cstheme="majorBidi"/>
      <w:b/>
      <w:color w:val="C00000"/>
      <w:sz w:val="28"/>
      <w:szCs w:val="26"/>
    </w:rPr>
  </w:style>
  <w:style w:type="paragraph" w:styleId="Heading3">
    <w:name w:val="heading 3"/>
    <w:basedOn w:val="Heading2"/>
    <w:next w:val="Normal"/>
    <w:link w:val="Heading3Char"/>
    <w:uiPriority w:val="9"/>
    <w:unhideWhenUsed/>
    <w:qFormat/>
    <w:rsid w:val="00D500F8"/>
    <w:pPr>
      <w:shd w:val="clear" w:color="auto" w:fill="FFCCCC"/>
      <w:spacing w:before="720"/>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CC"/>
    <w:pPr>
      <w:tabs>
        <w:tab w:val="center" w:pos="4513"/>
        <w:tab w:val="right" w:pos="9026"/>
      </w:tabs>
      <w:spacing w:after="0" w:line="240" w:lineRule="auto"/>
      <w:jc w:val="right"/>
    </w:pPr>
    <w:rPr>
      <w:rFonts w:asciiTheme="majorHAnsi" w:hAnsiTheme="majorHAnsi"/>
      <w:color w:val="FFFFFF" w:themeColor="background1"/>
      <w:sz w:val="18"/>
    </w:rPr>
  </w:style>
  <w:style w:type="character" w:customStyle="1" w:styleId="HeaderChar">
    <w:name w:val="Header Char"/>
    <w:basedOn w:val="DefaultParagraphFont"/>
    <w:link w:val="Header"/>
    <w:uiPriority w:val="99"/>
    <w:rsid w:val="009800CC"/>
    <w:rPr>
      <w:rFonts w:asciiTheme="majorHAnsi" w:hAnsiTheme="majorHAnsi"/>
      <w:color w:val="FFFFFF" w:themeColor="background1"/>
      <w:sz w:val="18"/>
    </w:rPr>
  </w:style>
  <w:style w:type="paragraph" w:styleId="Footer">
    <w:name w:val="footer"/>
    <w:basedOn w:val="Normal"/>
    <w:link w:val="FooterChar"/>
    <w:uiPriority w:val="99"/>
    <w:unhideWhenUsed/>
    <w:rsid w:val="00AC0747"/>
    <w:pPr>
      <w:tabs>
        <w:tab w:val="center" w:pos="4513"/>
        <w:tab w:val="right" w:pos="9026"/>
      </w:tabs>
      <w:spacing w:after="0" w:line="240" w:lineRule="auto"/>
      <w:jc w:val="center"/>
    </w:pPr>
    <w:rPr>
      <w:b/>
      <w:color w:val="FFFFFF" w:themeColor="background1"/>
      <w:sz w:val="28"/>
    </w:rPr>
  </w:style>
  <w:style w:type="character" w:customStyle="1" w:styleId="FooterChar">
    <w:name w:val="Footer Char"/>
    <w:basedOn w:val="DefaultParagraphFont"/>
    <w:link w:val="Footer"/>
    <w:uiPriority w:val="99"/>
    <w:rsid w:val="00AC0747"/>
    <w:rPr>
      <w:b/>
      <w:color w:val="FFFFFF" w:themeColor="background1"/>
      <w:sz w:val="28"/>
    </w:rPr>
  </w:style>
  <w:style w:type="character" w:customStyle="1" w:styleId="Heading2Char">
    <w:name w:val="Heading 2 Char"/>
    <w:basedOn w:val="DefaultParagraphFont"/>
    <w:link w:val="Heading2"/>
    <w:uiPriority w:val="9"/>
    <w:rsid w:val="00D500F8"/>
    <w:rPr>
      <w:rFonts w:eastAsiaTheme="majorEastAsia" w:cstheme="majorBidi"/>
      <w:b/>
      <w:color w:val="C00000"/>
      <w:sz w:val="28"/>
      <w:szCs w:val="26"/>
    </w:rPr>
  </w:style>
  <w:style w:type="paragraph" w:customStyle="1" w:styleId="H2">
    <w:name w:val="H2"/>
    <w:basedOn w:val="Normal"/>
    <w:link w:val="H2Char"/>
    <w:uiPriority w:val="99"/>
    <w:rsid w:val="008D39F7"/>
    <w:pPr>
      <w:suppressAutoHyphens/>
      <w:autoSpaceDE w:val="0"/>
      <w:autoSpaceDN w:val="0"/>
      <w:adjustRightInd w:val="0"/>
      <w:spacing w:before="397" w:after="113" w:line="300" w:lineRule="atLeast"/>
      <w:textAlignment w:val="center"/>
    </w:pPr>
    <w:rPr>
      <w:rFonts w:ascii="Ubuntu" w:hAnsi="Ubuntu" w:cs="Ubuntu"/>
      <w:b/>
      <w:bCs/>
      <w:color w:val="C60000"/>
      <w:sz w:val="28"/>
      <w:szCs w:val="28"/>
      <w:lang w:val="en-US"/>
    </w:rPr>
  </w:style>
  <w:style w:type="paragraph" w:customStyle="1" w:styleId="Body">
    <w:name w:val="Body"/>
    <w:basedOn w:val="Normal"/>
    <w:uiPriority w:val="99"/>
    <w:rsid w:val="009800CC"/>
    <w:pPr>
      <w:suppressAutoHyphens/>
      <w:autoSpaceDE w:val="0"/>
      <w:autoSpaceDN w:val="0"/>
      <w:adjustRightInd w:val="0"/>
      <w:spacing w:after="170" w:line="260" w:lineRule="atLeast"/>
      <w:ind w:left="567"/>
      <w:textAlignment w:val="center"/>
    </w:pPr>
    <w:rPr>
      <w:rFonts w:asciiTheme="majorHAnsi" w:hAnsiTheme="majorHAnsi" w:cs="Ubuntu Light"/>
      <w:color w:val="00003F"/>
      <w:lang w:val="en-US"/>
    </w:rPr>
  </w:style>
  <w:style w:type="paragraph" w:customStyle="1" w:styleId="BodyBullet">
    <w:name w:val="Body Bullet"/>
    <w:basedOn w:val="Body"/>
    <w:uiPriority w:val="99"/>
    <w:rsid w:val="008D39F7"/>
    <w:pPr>
      <w:spacing w:after="113"/>
      <w:ind w:left="850" w:hanging="283"/>
    </w:pPr>
  </w:style>
  <w:style w:type="paragraph" w:customStyle="1" w:styleId="BodyBulletLast">
    <w:name w:val="Body Bullet Last"/>
    <w:basedOn w:val="BodyBullet"/>
    <w:uiPriority w:val="99"/>
    <w:rsid w:val="008D39F7"/>
    <w:pPr>
      <w:spacing w:after="227"/>
    </w:pPr>
  </w:style>
  <w:style w:type="paragraph" w:customStyle="1" w:styleId="Body-focussection">
    <w:name w:val="Body - focus section"/>
    <w:basedOn w:val="Body"/>
    <w:uiPriority w:val="99"/>
    <w:rsid w:val="00D500F8"/>
    <w:pPr>
      <w:shd w:val="clear" w:color="auto" w:fill="FFCCCC"/>
      <w:spacing w:after="120"/>
      <w:ind w:left="0"/>
    </w:pPr>
    <w:rPr>
      <w:color w:val="C00000"/>
    </w:rPr>
  </w:style>
  <w:style w:type="paragraph" w:customStyle="1" w:styleId="Insetbody">
    <w:name w:val="Inset body"/>
    <w:basedOn w:val="Body"/>
    <w:uiPriority w:val="99"/>
    <w:rsid w:val="00027F6F"/>
    <w:pPr>
      <w:ind w:left="1134" w:right="1134"/>
    </w:pPr>
    <w:rPr>
      <w:color w:val="C60000"/>
    </w:rPr>
  </w:style>
  <w:style w:type="paragraph" w:customStyle="1" w:styleId="Insetheading">
    <w:name w:val="Inset heading"/>
    <w:basedOn w:val="Insetbody"/>
    <w:uiPriority w:val="99"/>
    <w:rsid w:val="00027F6F"/>
    <w:pPr>
      <w:spacing w:before="170"/>
    </w:pPr>
    <w:rPr>
      <w:rFonts w:ascii="Ubuntu" w:hAnsi="Ubuntu" w:cs="Ubuntu"/>
      <w:b/>
      <w:bCs/>
      <w:i/>
      <w:iCs/>
      <w:sz w:val="24"/>
      <w:szCs w:val="24"/>
    </w:rPr>
  </w:style>
  <w:style w:type="character" w:customStyle="1" w:styleId="Emphasisstrongred">
    <w:name w:val="Emphasis strong red"/>
    <w:uiPriority w:val="99"/>
    <w:rsid w:val="00027F6F"/>
    <w:rPr>
      <w:rFonts w:ascii="Ubuntu" w:hAnsi="Ubuntu" w:cs="Ubuntu"/>
      <w:b/>
      <w:bCs/>
      <w:i/>
      <w:iCs/>
      <w:color w:val="C60000"/>
    </w:rPr>
  </w:style>
  <w:style w:type="paragraph" w:styleId="ListParagraph">
    <w:name w:val="List Paragraph"/>
    <w:basedOn w:val="Body"/>
    <w:uiPriority w:val="34"/>
    <w:qFormat/>
    <w:rsid w:val="009800CC"/>
    <w:pPr>
      <w:numPr>
        <w:numId w:val="23"/>
      </w:numPr>
      <w:spacing w:after="120"/>
      <w:ind w:left="1434" w:hanging="357"/>
    </w:pPr>
    <w:rPr>
      <w:color w:val="002060"/>
    </w:rPr>
  </w:style>
  <w:style w:type="character" w:styleId="IntenseEmphasis">
    <w:name w:val="Intense Emphasis"/>
    <w:basedOn w:val="DefaultParagraphFont"/>
    <w:uiPriority w:val="21"/>
    <w:qFormat/>
    <w:rsid w:val="00D500F8"/>
    <w:rPr>
      <w:b/>
      <w:i/>
      <w:iCs/>
      <w:color w:val="C00000"/>
    </w:rPr>
  </w:style>
  <w:style w:type="character" w:customStyle="1" w:styleId="Heading1Char">
    <w:name w:val="Heading 1 Char"/>
    <w:basedOn w:val="DefaultParagraphFont"/>
    <w:link w:val="Heading1"/>
    <w:uiPriority w:val="9"/>
    <w:rsid w:val="00793902"/>
    <w:rPr>
      <w:rFonts w:eastAsiaTheme="majorEastAsia" w:cstheme="majorBidi"/>
      <w:b/>
      <w:bCs/>
      <w:color w:val="FFFFFF" w:themeColor="background1"/>
      <w:sz w:val="56"/>
      <w:szCs w:val="32"/>
      <w:lang w:val="en-US"/>
    </w:rPr>
  </w:style>
  <w:style w:type="character" w:customStyle="1" w:styleId="H2Char">
    <w:name w:val="H2 Char"/>
    <w:basedOn w:val="DefaultParagraphFont"/>
    <w:link w:val="H2"/>
    <w:uiPriority w:val="99"/>
    <w:rsid w:val="001F0855"/>
    <w:rPr>
      <w:rFonts w:ascii="Ubuntu" w:hAnsi="Ubuntu" w:cs="Ubuntu"/>
      <w:b/>
      <w:bCs/>
      <w:color w:val="C60000"/>
      <w:sz w:val="28"/>
      <w:szCs w:val="28"/>
      <w:lang w:val="en-US"/>
    </w:rPr>
  </w:style>
  <w:style w:type="character" w:styleId="SubtleEmphasis">
    <w:name w:val="Subtle Emphasis"/>
    <w:basedOn w:val="DefaultParagraphFont"/>
    <w:uiPriority w:val="19"/>
    <w:qFormat/>
    <w:rsid w:val="00D500F8"/>
    <w:rPr>
      <w:i/>
      <w:iCs/>
      <w:color w:val="002060"/>
    </w:rPr>
  </w:style>
  <w:style w:type="paragraph" w:styleId="Title">
    <w:name w:val="Title"/>
    <w:basedOn w:val="Normal"/>
    <w:next w:val="Normal"/>
    <w:link w:val="TitleChar"/>
    <w:uiPriority w:val="10"/>
    <w:qFormat/>
    <w:rsid w:val="004172AD"/>
    <w:pPr>
      <w:spacing w:after="0" w:line="240" w:lineRule="auto"/>
      <w:contextualSpacing/>
    </w:pPr>
    <w:rPr>
      <w:rFonts w:ascii="Ubuntu" w:eastAsiaTheme="majorEastAsia" w:hAnsi="Ubuntu" w:cstheme="majorBidi"/>
      <w:b/>
      <w:color w:val="FFFFFF" w:themeColor="background1"/>
      <w:spacing w:val="-10"/>
      <w:kern w:val="28"/>
      <w:sz w:val="76"/>
      <w:szCs w:val="56"/>
    </w:rPr>
  </w:style>
  <w:style w:type="character" w:customStyle="1" w:styleId="TitleChar">
    <w:name w:val="Title Char"/>
    <w:basedOn w:val="DefaultParagraphFont"/>
    <w:link w:val="Title"/>
    <w:uiPriority w:val="10"/>
    <w:rsid w:val="004172AD"/>
    <w:rPr>
      <w:rFonts w:ascii="Ubuntu" w:eastAsiaTheme="majorEastAsia" w:hAnsi="Ubuntu" w:cstheme="majorBidi"/>
      <w:b/>
      <w:color w:val="FFFFFF" w:themeColor="background1"/>
      <w:spacing w:val="-10"/>
      <w:kern w:val="28"/>
      <w:sz w:val="76"/>
      <w:szCs w:val="56"/>
    </w:rPr>
  </w:style>
  <w:style w:type="character" w:styleId="Emphasis">
    <w:name w:val="Emphasis"/>
    <w:basedOn w:val="DefaultParagraphFont"/>
    <w:uiPriority w:val="99"/>
    <w:qFormat/>
    <w:rsid w:val="00F73EB2"/>
    <w:rPr>
      <w:rFonts w:ascii="Ubuntu Light" w:hAnsi="Ubuntu Light" w:cs="Ubuntu Light"/>
      <w:i/>
      <w:iCs/>
    </w:rPr>
  </w:style>
  <w:style w:type="paragraph" w:customStyle="1" w:styleId="Buodybulletlevel2">
    <w:name w:val="Buody bullet level 2"/>
    <w:basedOn w:val="BodyBullet"/>
    <w:uiPriority w:val="99"/>
    <w:rsid w:val="00F73EB2"/>
    <w:pPr>
      <w:ind w:left="1134"/>
    </w:pPr>
  </w:style>
  <w:style w:type="character" w:customStyle="1" w:styleId="Heading3Char">
    <w:name w:val="Heading 3 Char"/>
    <w:basedOn w:val="DefaultParagraphFont"/>
    <w:link w:val="Heading3"/>
    <w:uiPriority w:val="9"/>
    <w:rsid w:val="00D500F8"/>
    <w:rPr>
      <w:rFonts w:eastAsiaTheme="majorEastAsia" w:cstheme="majorBidi"/>
      <w:b/>
      <w:i/>
      <w:color w:val="C00000"/>
      <w:sz w:val="24"/>
      <w:szCs w:val="24"/>
      <w:shd w:val="clear" w:color="auto" w:fill="FF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26C9-F33D-4EF9-A3D3-88BE4EE8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3803</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2022-07-13T04:22:00Z</dcterms:created>
  <dcterms:modified xsi:type="dcterms:W3CDTF">2022-07-13T04:23:00Z</dcterms:modified>
  <cp:category/>
</cp:coreProperties>
</file>