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6.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Aid</w:t>
      </w:r>
      <w:r w:rsidR="008D280D">
        <w:rPr>
          <w:noProof/>
          <w:color w:val="FFFFFF"/>
          <w:spacing w:val="0"/>
          <w:sz w:val="50"/>
          <w:szCs w:val="50"/>
          <w:lang w:val="en-US" w:eastAsia="en-US"/>
        </w:rPr>
        <w:t xml:space="preserve"> Program Performance Report 2014-15</w:t>
      </w:r>
      <w:r w:rsidRPr="001227C3">
        <w:rPr>
          <w:noProof/>
          <w:color w:val="FFFFFF"/>
          <w:spacing w:val="0"/>
          <w:sz w:val="50"/>
          <w:szCs w:val="50"/>
          <w:lang w:val="en-US" w:eastAsia="en-US"/>
        </w:rPr>
        <w:t xml:space="preserve"> </w:t>
      </w:r>
      <w:bookmarkStart w:id="0" w:name="_GoBack"/>
      <w:r w:rsidRPr="001227C3">
        <w:rPr>
          <w:noProof/>
          <w:color w:val="FFFFFF"/>
          <w:spacing w:val="0"/>
          <w:sz w:val="50"/>
          <w:szCs w:val="50"/>
        </w:rPr>
        <w:drawing>
          <wp:anchor distT="0" distB="0" distL="114300" distR="114300" simplePos="0" relativeHeight="251662336" behindDoc="1" locked="1" layoutInCell="1" allowOverlap="1" wp14:anchorId="347256A0" wp14:editId="21720813">
            <wp:simplePos x="0" y="0"/>
            <wp:positionH relativeFrom="page">
              <wp:posOffset>-196215</wp:posOffset>
            </wp:positionH>
            <wp:positionV relativeFrom="page">
              <wp:posOffset>-195580</wp:posOffset>
            </wp:positionV>
            <wp:extent cx="7970520" cy="11275695"/>
            <wp:effectExtent l="0" t="0" r="0" b="1905"/>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970520" cy="112756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0D733F" w:rsidRPr="001227C3" w:rsidRDefault="00C918B8"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Cambodia</w:t>
      </w:r>
    </w:p>
    <w:p w:rsidR="000D733F" w:rsidRDefault="00125002"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Pr>
          <w:rFonts w:ascii="Helvetica" w:eastAsia="Times New Roman" w:hAnsi="Helvetica"/>
          <w:noProof/>
          <w:color w:val="FFFFFF"/>
          <w:kern w:val="28"/>
          <w:sz w:val="24"/>
          <w:lang w:val="en-US" w:eastAsia="en-US"/>
        </w:rPr>
        <w:t>November</w:t>
      </w:r>
      <w:r w:rsidR="000D733F" w:rsidRPr="001227C3">
        <w:rPr>
          <w:rFonts w:ascii="Helvetica" w:eastAsia="Times New Roman" w:hAnsi="Helvetica"/>
          <w:noProof/>
          <w:color w:val="FFFFFF"/>
          <w:kern w:val="28"/>
          <w:sz w:val="24"/>
          <w:lang w:val="en-US" w:eastAsia="en-US"/>
        </w:rPr>
        <w:t xml:space="preserve"> 201</w:t>
      </w:r>
      <w:r>
        <w:rPr>
          <w:rFonts w:ascii="Helvetica" w:eastAsia="Times New Roman" w:hAnsi="Helvetica"/>
          <w:noProof/>
          <w:color w:val="FFFFFF"/>
          <w:kern w:val="28"/>
          <w:sz w:val="24"/>
          <w:lang w:val="en-US" w:eastAsia="en-US"/>
        </w:rPr>
        <w:t>5</w:t>
      </w:r>
    </w:p>
    <w:p w:rsidR="001D6059" w:rsidRDefault="001D6059" w:rsidP="00CD061B">
      <w:pPr>
        <w:rPr>
          <w:lang w:val="en-US" w:eastAsia="en-US"/>
        </w:rPr>
      </w:pPr>
    </w:p>
    <w:p w:rsidR="00AC6F49" w:rsidRDefault="00AC6F49">
      <w:pPr>
        <w:spacing w:after="200" w:line="276" w:lineRule="auto"/>
        <w:rPr>
          <w:lang w:val="en-US" w:eastAsia="en-US"/>
        </w:rPr>
      </w:pPr>
      <w:r>
        <w:rPr>
          <w:lang w:val="en-US" w:eastAsia="en-US"/>
        </w:rPr>
        <w:br w:type="page"/>
      </w:r>
    </w:p>
    <w:p w:rsidR="005B42EE" w:rsidRPr="00CD061B" w:rsidRDefault="005B42EE" w:rsidP="00CD061B">
      <w:pPr>
        <w:rPr>
          <w:lang w:val="en-US" w:eastAsia="en-US"/>
        </w:rPr>
        <w:sectPr w:rsidR="005B42EE" w:rsidRPr="00CD061B" w:rsidSect="000D733F">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40" w:code="9"/>
          <w:pgMar w:top="2268" w:right="1871" w:bottom="907" w:left="1871" w:header="851" w:footer="454" w:gutter="0"/>
          <w:cols w:space="720"/>
          <w:docGrid w:linePitch="272"/>
        </w:sectPr>
      </w:pPr>
    </w:p>
    <w:p w:rsidR="000D68FE" w:rsidRPr="00B43B60" w:rsidRDefault="000D68FE" w:rsidP="000D68FE">
      <w:pPr>
        <w:pStyle w:val="Heading2"/>
        <w:rPr>
          <w:rStyle w:val="BodyTextChar"/>
          <w:color w:val="auto"/>
        </w:rPr>
      </w:pPr>
      <w:bookmarkStart w:id="1" w:name="_Toc373853205"/>
      <w:bookmarkStart w:id="2" w:name="_Toc373853206"/>
      <w:r w:rsidRPr="002660AA">
        <w:rPr>
          <w:sz w:val="28"/>
        </w:rPr>
        <w:lastRenderedPageBreak/>
        <w:t>Key Messages</w:t>
      </w:r>
      <w:bookmarkEnd w:id="1"/>
      <w:r w:rsidRPr="002660AA">
        <w:rPr>
          <w:sz w:val="28"/>
        </w:rPr>
        <w:tab/>
      </w:r>
      <w:r w:rsidRPr="009E38C1">
        <w:tab/>
      </w:r>
      <w:r>
        <w:rPr>
          <w:sz w:val="32"/>
          <w:szCs w:val="32"/>
        </w:rPr>
        <w:tab/>
      </w:r>
      <w:r>
        <w:rPr>
          <w:sz w:val="32"/>
          <w:szCs w:val="32"/>
        </w:rPr>
        <w:tab/>
      </w:r>
      <w:r>
        <w:rPr>
          <w:sz w:val="32"/>
          <w:szCs w:val="32"/>
        </w:rPr>
        <w:tab/>
      </w:r>
      <w:r>
        <w:rPr>
          <w:sz w:val="32"/>
          <w:szCs w:val="32"/>
        </w:rPr>
        <w:tab/>
      </w:r>
    </w:p>
    <w:p w:rsidR="000D68FE" w:rsidRDefault="000D68FE" w:rsidP="000D68FE">
      <w:pPr>
        <w:pStyle w:val="BodyText"/>
      </w:pPr>
      <w:r>
        <w:t xml:space="preserve">This report summarises </w:t>
      </w:r>
      <w:r w:rsidRPr="00072514">
        <w:t>the progress of Australia’s aid program in Cambodia from July 2014 to June 2015,</w:t>
      </w:r>
      <w:r w:rsidRPr="007119F0">
        <w:t xml:space="preserve"> the final year of the </w:t>
      </w:r>
      <w:hyperlink r:id="rId16" w:history="1">
        <w:r w:rsidRPr="00186D5B">
          <w:rPr>
            <w:rStyle w:val="Hyperlink"/>
            <w:sz w:val="21"/>
            <w:szCs w:val="24"/>
          </w:rPr>
          <w:t>Australia–Cambodia Joint Aid Program Strategy 2010–2015</w:t>
        </w:r>
      </w:hyperlink>
      <w:r w:rsidRPr="007119F0">
        <w:t xml:space="preserve">.  </w:t>
      </w:r>
      <w:r w:rsidR="001478CD">
        <w:t>During the year under review, t</w:t>
      </w:r>
      <w:r w:rsidRPr="00135C82">
        <w:t>he program</w:t>
      </w:r>
      <w:r w:rsidRPr="0044047A">
        <w:t xml:space="preserve"> performed </w:t>
      </w:r>
      <w:r w:rsidR="00277733">
        <w:t>in line with expectations</w:t>
      </w:r>
      <w:r>
        <w:t xml:space="preserve"> across the priority sectors of </w:t>
      </w:r>
      <w:r w:rsidRPr="007119F0">
        <w:t>health, agriculture and rural development, infrastructure</w:t>
      </w:r>
      <w:r w:rsidRPr="00135C82">
        <w:t xml:space="preserve"> and law and justice</w:t>
      </w:r>
      <w:r w:rsidRPr="005A2FCE">
        <w:t xml:space="preserve">.  </w:t>
      </w:r>
      <w:r w:rsidRPr="000F7A0B">
        <w:t xml:space="preserve">Across </w:t>
      </w:r>
      <w:r>
        <w:t>the</w:t>
      </w:r>
      <w:r w:rsidRPr="000F7A0B">
        <w:t xml:space="preserve"> program</w:t>
      </w:r>
      <w:r>
        <w:t>,</w:t>
      </w:r>
      <w:r w:rsidRPr="000F7A0B">
        <w:t xml:space="preserve"> we focused on empowering women and persons with disability.</w:t>
      </w:r>
      <w:r>
        <w:t xml:space="preserve"> </w:t>
      </w:r>
    </w:p>
    <w:p w:rsidR="000D68FE" w:rsidRDefault="000D68FE" w:rsidP="000D68FE">
      <w:pPr>
        <w:pStyle w:val="BodyText"/>
      </w:pPr>
      <w:r>
        <w:t>Major achievements included:</w:t>
      </w:r>
    </w:p>
    <w:p w:rsidR="000D68FE" w:rsidRDefault="000D68FE" w:rsidP="000D68FE">
      <w:pPr>
        <w:pStyle w:val="ListBullet"/>
        <w:tabs>
          <w:tab w:val="clear" w:pos="284"/>
        </w:tabs>
      </w:pPr>
      <w:r>
        <w:t xml:space="preserve">increasing agricultural production and reducing rural </w:t>
      </w:r>
      <w:r w:rsidRPr="00E211AE">
        <w:t>poverty through our innovative Cambodia Agricultural Value Chain program (</w:t>
      </w:r>
      <w:r>
        <w:t>see objective 1A</w:t>
      </w:r>
      <w:r w:rsidRPr="00E211AE">
        <w:t>)</w:t>
      </w:r>
      <w:r>
        <w:t>, which</w:t>
      </w:r>
      <w:r w:rsidRPr="00E211AE">
        <w:t xml:space="preserve"> rehabilitated or constructed </w:t>
      </w:r>
      <w:r w:rsidRPr="007D4B9F">
        <w:t>seven</w:t>
      </w:r>
      <w:r w:rsidRPr="00E211AE">
        <w:t xml:space="preserve"> irrigation schemes</w:t>
      </w:r>
      <w:r>
        <w:t>.  This</w:t>
      </w:r>
      <w:r w:rsidRPr="00E211AE">
        <w:t xml:space="preserve"> enabled an estimated additional </w:t>
      </w:r>
      <w:r w:rsidRPr="007D4B9F">
        <w:t>3,8</w:t>
      </w:r>
      <w:r>
        <w:t>00</w:t>
      </w:r>
      <w:r w:rsidRPr="00E211AE">
        <w:t xml:space="preserve"> hectares of land to be irrigated and </w:t>
      </w:r>
      <w:r>
        <w:t xml:space="preserve">over </w:t>
      </w:r>
      <w:r w:rsidRPr="007D4B9F">
        <w:t>4</w:t>
      </w:r>
      <w:r w:rsidRPr="00E211AE">
        <w:t>,</w:t>
      </w:r>
      <w:r w:rsidRPr="007D4B9F">
        <w:t>2</w:t>
      </w:r>
      <w:r>
        <w:t>00</w:t>
      </w:r>
      <w:r w:rsidRPr="00E211AE">
        <w:t xml:space="preserve"> families to grow more than one rice crop per year;</w:t>
      </w:r>
    </w:p>
    <w:p w:rsidR="000D68FE" w:rsidRDefault="000D68FE" w:rsidP="00C21D9F">
      <w:pPr>
        <w:pStyle w:val="ListBullet"/>
        <w:tabs>
          <w:tab w:val="clear" w:pos="284"/>
        </w:tabs>
      </w:pPr>
      <w:r w:rsidRPr="00A76C72">
        <w:t>contribut</w:t>
      </w:r>
      <w:r>
        <w:t>ing</w:t>
      </w:r>
      <w:r w:rsidRPr="00A76C72">
        <w:t xml:space="preserve"> to the clearance of landmines and unexploded ordnance </w:t>
      </w:r>
      <w:r>
        <w:t>to release</w:t>
      </w:r>
      <w:r w:rsidRPr="00A76C72">
        <w:t xml:space="preserve"> </w:t>
      </w:r>
      <w:r w:rsidRPr="00FF2274">
        <w:t>26</w:t>
      </w:r>
      <w:r>
        <w:t>.5</w:t>
      </w:r>
      <w:r w:rsidRPr="00FF2274">
        <w:t xml:space="preserve"> square kilometres of land for productive use </w:t>
      </w:r>
      <w:r w:rsidRPr="00A76C72">
        <w:t>in three provinces</w:t>
      </w:r>
      <w:r>
        <w:t xml:space="preserve"> (see objective 1B)</w:t>
      </w:r>
      <w:r w:rsidRPr="00A76C72">
        <w:t xml:space="preserve">. </w:t>
      </w:r>
      <w:r>
        <w:t xml:space="preserve"> This directly benefitted more than </w:t>
      </w:r>
      <w:r w:rsidRPr="00FD3773">
        <w:t>4,5</w:t>
      </w:r>
      <w:r>
        <w:t>00</w:t>
      </w:r>
      <w:r w:rsidRPr="00FD3773">
        <w:t xml:space="preserve"> </w:t>
      </w:r>
      <w:r>
        <w:t xml:space="preserve"> people</w:t>
      </w:r>
      <w:r w:rsidRPr="00FD3773">
        <w:t xml:space="preserve"> </w:t>
      </w:r>
      <w:r>
        <w:t>through</w:t>
      </w:r>
      <w:r w:rsidRPr="00FD3773">
        <w:t xml:space="preserve"> agriculture and housing, and</w:t>
      </w:r>
      <w:r>
        <w:t xml:space="preserve"> more than</w:t>
      </w:r>
      <w:r w:rsidRPr="00FD3773">
        <w:t xml:space="preserve"> 32,8</w:t>
      </w:r>
      <w:r>
        <w:t>00</w:t>
      </w:r>
      <w:r w:rsidRPr="00FD3773">
        <w:t xml:space="preserve"> people </w:t>
      </w:r>
      <w:r>
        <w:t>through</w:t>
      </w:r>
      <w:r w:rsidRPr="00FD3773">
        <w:t xml:space="preserve"> other land uses</w:t>
      </w:r>
      <w:r>
        <w:t xml:space="preserve">; </w:t>
      </w:r>
    </w:p>
    <w:p w:rsidR="000D68FE" w:rsidRDefault="000D68FE" w:rsidP="000D68FE">
      <w:pPr>
        <w:pStyle w:val="ListBullet"/>
        <w:tabs>
          <w:tab w:val="clear" w:pos="284"/>
        </w:tabs>
      </w:pPr>
      <w:r>
        <w:t>strengthening the capacity of Cambodian health centres and hospitals to provide better quality health care through improved financing and human resource development (see objective 2).  Together with the Cambodian Government and other partners, we ensured 2.6 million of the poorest Cambodians have access to free essential health care;</w:t>
      </w:r>
    </w:p>
    <w:p w:rsidR="000D68FE" w:rsidRDefault="000D68FE" w:rsidP="000D68FE">
      <w:pPr>
        <w:pStyle w:val="ListBullet"/>
        <w:tabs>
          <w:tab w:val="clear" w:pos="284"/>
        </w:tabs>
      </w:pPr>
      <w:r>
        <w:t>invest</w:t>
      </w:r>
      <w:r w:rsidR="001956DC">
        <w:t>ing</w:t>
      </w:r>
      <w:r>
        <w:t xml:space="preserve"> in key economic infrastructure, including completing the upgrade and maintenance of rural roads, rebuilding key transport infrastructure damaged by the 2011 floods, and designing an innovative new private sector infrastructure program </w:t>
      </w:r>
      <w:r w:rsidRPr="008C4D80">
        <w:t xml:space="preserve">(see </w:t>
      </w:r>
      <w:r>
        <w:t>o</w:t>
      </w:r>
      <w:r w:rsidRPr="008C4D80">
        <w:t>bjective 3)</w:t>
      </w:r>
      <w:r>
        <w:t xml:space="preserve">; and </w:t>
      </w:r>
    </w:p>
    <w:p w:rsidR="000D68FE" w:rsidRDefault="000D68FE" w:rsidP="00C21D9F">
      <w:pPr>
        <w:pStyle w:val="ListBullet"/>
        <w:tabs>
          <w:tab w:val="clear" w:pos="284"/>
        </w:tabs>
      </w:pPr>
      <w:r>
        <w:t xml:space="preserve">assisting </w:t>
      </w:r>
      <w:r w:rsidRPr="00FD3773">
        <w:t xml:space="preserve">3,200 women and girls </w:t>
      </w:r>
      <w:r>
        <w:t xml:space="preserve">to </w:t>
      </w:r>
      <w:r w:rsidRPr="00FD3773">
        <w:t xml:space="preserve">access counselling, legal, medical and mental health services and 213 victims of gender-based violence </w:t>
      </w:r>
      <w:r>
        <w:t xml:space="preserve">to be </w:t>
      </w:r>
      <w:r w:rsidRPr="00FD3773">
        <w:t>re-integrated with family and communities</w:t>
      </w:r>
      <w:r>
        <w:t xml:space="preserve"> (see objective 4).</w:t>
      </w:r>
    </w:p>
    <w:p w:rsidR="003D0884" w:rsidRDefault="003D0884" w:rsidP="003D0884">
      <w:pPr>
        <w:pStyle w:val="BodyText"/>
      </w:pPr>
      <w:r>
        <w:t xml:space="preserve">In 2015, we reached agreement with the Cambodian Government on our </w:t>
      </w:r>
      <w:hyperlink r:id="rId17" w:history="1">
        <w:r w:rsidRPr="00B94A86">
          <w:rPr>
            <w:rStyle w:val="Hyperlink"/>
            <w:sz w:val="21"/>
            <w:szCs w:val="24"/>
          </w:rPr>
          <w:t xml:space="preserve">Aid Investment Plan </w:t>
        </w:r>
        <w:r w:rsidR="001956DC">
          <w:rPr>
            <w:rStyle w:val="Hyperlink"/>
            <w:sz w:val="21"/>
            <w:szCs w:val="24"/>
          </w:rPr>
          <w:br/>
        </w:r>
        <w:r w:rsidRPr="00B94A86">
          <w:rPr>
            <w:rStyle w:val="Hyperlink"/>
            <w:sz w:val="21"/>
            <w:szCs w:val="24"/>
          </w:rPr>
          <w:t>2015-18</w:t>
        </w:r>
      </w:hyperlink>
      <w:r>
        <w:t xml:space="preserve">.  The plan </w:t>
      </w:r>
      <w:r>
        <w:rPr>
          <w:lang w:val="en-US"/>
        </w:rPr>
        <w:t>builds on the existing aid program, and focuses on improving access to infrastructure, increasing agricultural productivity, and improving health and education.</w:t>
      </w:r>
    </w:p>
    <w:p w:rsidR="003D0884" w:rsidRPr="00B43B60" w:rsidRDefault="003D0884" w:rsidP="003D0884">
      <w:pPr>
        <w:pStyle w:val="Heading2"/>
        <w:rPr>
          <w:rStyle w:val="BodyTextChar"/>
          <w:color w:val="auto"/>
        </w:rPr>
      </w:pPr>
      <w:r w:rsidRPr="009E38C1">
        <w:rPr>
          <w:sz w:val="28"/>
        </w:rPr>
        <w:t xml:space="preserve">Context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rsidR="003D0884" w:rsidRDefault="003D0884" w:rsidP="003D0884">
      <w:pPr>
        <w:pStyle w:val="BodyText"/>
      </w:pPr>
      <w:r>
        <w:t>In 2014-15, the</w:t>
      </w:r>
      <w:r w:rsidRPr="008C4D80">
        <w:t xml:space="preserve"> aid program </w:t>
      </w:r>
      <w:r>
        <w:t xml:space="preserve">remained responsive </w:t>
      </w:r>
      <w:r w:rsidRPr="008C4D80">
        <w:t xml:space="preserve">to Cambodia’s </w:t>
      </w:r>
      <w:r>
        <w:t>challenging</w:t>
      </w:r>
      <w:r w:rsidRPr="008C4D80">
        <w:t xml:space="preserve"> operating environment and </w:t>
      </w:r>
      <w:r>
        <w:t xml:space="preserve">dynamic </w:t>
      </w:r>
      <w:r w:rsidRPr="008C4D80">
        <w:t>economic and political context.</w:t>
      </w:r>
    </w:p>
    <w:p w:rsidR="003D0884" w:rsidRPr="00BB5E3B" w:rsidRDefault="003D0884" w:rsidP="003D0884">
      <w:pPr>
        <w:pStyle w:val="BodyText"/>
        <w:rPr>
          <w:b/>
        </w:rPr>
      </w:pPr>
      <w:r w:rsidRPr="00513F02">
        <w:rPr>
          <w:b/>
        </w:rPr>
        <w:t xml:space="preserve">Economic </w:t>
      </w:r>
      <w:r>
        <w:rPr>
          <w:b/>
        </w:rPr>
        <w:t>and development overview</w:t>
      </w:r>
    </w:p>
    <w:p w:rsidR="003D0884" w:rsidRDefault="003D0884" w:rsidP="003D0884">
      <w:pPr>
        <w:pStyle w:val="BodyText"/>
      </w:pPr>
      <w:r>
        <w:t xml:space="preserve">In 2014, Cambodia continued the run of strong economic growth it has enjoyed over the past two decades (Gross Domestic Product growth was estimated at 7 per cent, down from 7.2 per cent in </w:t>
      </w:r>
      <w:r>
        <w:lastRenderedPageBreak/>
        <w:t>2013).</w:t>
      </w:r>
      <w:r>
        <w:rPr>
          <w:rStyle w:val="FootnoteReference"/>
        </w:rPr>
        <w:footnoteReference w:id="1"/>
      </w:r>
      <w:r>
        <w:t xml:space="preserve">  The outlook is for </w:t>
      </w:r>
      <w:r w:rsidRPr="004D3E48">
        <w:t xml:space="preserve">continued growth, albeit at a slower pace. </w:t>
      </w:r>
      <w:r>
        <w:t xml:space="preserve"> </w:t>
      </w:r>
      <w:r w:rsidRPr="00CF24DC">
        <w:t xml:space="preserve">Cambodia </w:t>
      </w:r>
      <w:r>
        <w:t>remains</w:t>
      </w:r>
      <w:r w:rsidRPr="00CF24DC">
        <w:t xml:space="preserve"> on track to reach lower</w:t>
      </w:r>
      <w:r>
        <w:t xml:space="preserve"> </w:t>
      </w:r>
      <w:r w:rsidRPr="00CF24DC">
        <w:t>middle</w:t>
      </w:r>
      <w:r w:rsidR="001478CD">
        <w:t>-</w:t>
      </w:r>
      <w:r w:rsidRPr="00CF24DC">
        <w:t>income status</w:t>
      </w:r>
      <w:r w:rsidR="00BC5269">
        <w:rPr>
          <w:rStyle w:val="FootnoteReference"/>
        </w:rPr>
        <w:footnoteReference w:id="2"/>
      </w:r>
      <w:r w:rsidRPr="00CF24DC">
        <w:t xml:space="preserve"> </w:t>
      </w:r>
      <w:r>
        <w:t>by 2016</w:t>
      </w:r>
      <w:r w:rsidRPr="006E2B9F">
        <w:t>.</w:t>
      </w:r>
      <w:r>
        <w:t xml:space="preserve">  </w:t>
      </w:r>
    </w:p>
    <w:p w:rsidR="003D0884" w:rsidRDefault="003D0884" w:rsidP="003D0884">
      <w:pPr>
        <w:pStyle w:val="BodyText"/>
      </w:pPr>
      <w:r w:rsidRPr="00423098">
        <w:t>In 2014</w:t>
      </w:r>
      <w:r>
        <w:t>,</w:t>
      </w:r>
      <w:r w:rsidRPr="00423098">
        <w:t xml:space="preserve"> the poverty rate </w:t>
      </w:r>
      <w:r>
        <w:t xml:space="preserve">(estimated at around 19 per cent) </w:t>
      </w:r>
      <w:r w:rsidRPr="00423098">
        <w:t>declined by around 1</w:t>
      </w:r>
      <w:r>
        <w:t xml:space="preserve"> percent</w:t>
      </w:r>
      <w:r w:rsidR="001478CD">
        <w:t>age point</w:t>
      </w:r>
      <w:r w:rsidRPr="00423098">
        <w:t xml:space="preserve"> which</w:t>
      </w:r>
      <w:r>
        <w:t>, while in</w:t>
      </w:r>
      <w:r w:rsidR="00BF650F">
        <w:t xml:space="preserve"> </w:t>
      </w:r>
      <w:r>
        <w:t>line with expectations,</w:t>
      </w:r>
      <w:r w:rsidRPr="00423098">
        <w:t xml:space="preserve"> was significantly slower than the falls of the previous </w:t>
      </w:r>
      <w:r>
        <w:t>six</w:t>
      </w:r>
      <w:r w:rsidRPr="00423098">
        <w:t xml:space="preserve"> years.</w:t>
      </w:r>
      <w:r w:rsidRPr="00423098">
        <w:rPr>
          <w:rStyle w:val="FootnoteReference"/>
        </w:rPr>
        <w:footnoteReference w:id="3"/>
      </w:r>
      <w:r w:rsidRPr="00423098">
        <w:t xml:space="preserve"> </w:t>
      </w:r>
      <w:r>
        <w:t xml:space="preserve">While the </w:t>
      </w:r>
      <w:r w:rsidRPr="00BD4AE3">
        <w:t>World Bank estimates that Cambodia achieved the Millennium Development Goal of halving poverty in 2009</w:t>
      </w:r>
      <w:r>
        <w:t>,</w:t>
      </w:r>
      <w:r w:rsidRPr="00BD4AE3">
        <w:t xml:space="preserve"> </w:t>
      </w:r>
      <w:r>
        <w:t>most</w:t>
      </w:r>
      <w:r w:rsidRPr="00BD4AE3">
        <w:t xml:space="preserve"> who escaped poverty </w:t>
      </w:r>
      <w:r>
        <w:t>only did so</w:t>
      </w:r>
      <w:r w:rsidRPr="00BD4AE3">
        <w:t xml:space="preserve"> by a small margin</w:t>
      </w:r>
      <w:r>
        <w:t xml:space="preserve"> and remain vulnerable to economic shocks. </w:t>
      </w:r>
      <w:r w:rsidRPr="004F4C01">
        <w:t xml:space="preserve"> </w:t>
      </w:r>
    </w:p>
    <w:p w:rsidR="003D0884" w:rsidRDefault="003D0884" w:rsidP="003D0884">
      <w:pPr>
        <w:pStyle w:val="ListBullet"/>
        <w:numPr>
          <w:ilvl w:val="0"/>
          <w:numId w:val="0"/>
        </w:numPr>
      </w:pPr>
      <w:r w:rsidRPr="007C0ECF">
        <w:t xml:space="preserve">There is much to be done if Cambodia is to </w:t>
      </w:r>
      <w:r>
        <w:t>continue</w:t>
      </w:r>
      <w:r w:rsidRPr="007C0ECF">
        <w:t xml:space="preserve"> its impressive</w:t>
      </w:r>
      <w:r>
        <w:t xml:space="preserve"> run of</w:t>
      </w:r>
      <w:r w:rsidRPr="007C0ECF">
        <w:t xml:space="preserve"> </w:t>
      </w:r>
      <w:r>
        <w:t xml:space="preserve">economic </w:t>
      </w:r>
      <w:r w:rsidRPr="007C0ECF">
        <w:t>growth and poverty reduc</w:t>
      </w:r>
      <w:r>
        <w:t>tion.  The constraints to economic growth are significant: a lack of skilled workers; costly and unreliable electricity; limited transport infrastructure; high costs of trade; and corruption.  In 2014-15, the aid program continued to directly respond to these overcoming these barriers</w:t>
      </w:r>
      <w:r w:rsidRPr="007C0ECF">
        <w:t>.</w:t>
      </w:r>
    </w:p>
    <w:p w:rsidR="003D0884" w:rsidRPr="00515205" w:rsidRDefault="003D0884" w:rsidP="003D0884">
      <w:pPr>
        <w:pStyle w:val="BodyText"/>
        <w:rPr>
          <w:b/>
        </w:rPr>
      </w:pPr>
      <w:r>
        <w:rPr>
          <w:b/>
        </w:rPr>
        <w:t>Bilateral relationship and political context</w:t>
      </w:r>
    </w:p>
    <w:p w:rsidR="003D0884" w:rsidRPr="000E07C8" w:rsidRDefault="003D0884" w:rsidP="003D0884">
      <w:pPr>
        <w:pStyle w:val="BodyText"/>
      </w:pPr>
      <w:r>
        <w:t xml:space="preserve">In late 2014, Cambodia hosted the </w:t>
      </w:r>
      <w:r w:rsidR="00BF650F">
        <w:t xml:space="preserve">biennial </w:t>
      </w:r>
      <w:r>
        <w:t>High Level Consultations on the Australia-Cambodia development assistance program.  At th</w:t>
      </w:r>
      <w:r w:rsidR="00BF650F">
        <w:t>at</w:t>
      </w:r>
      <w:r>
        <w:t xml:space="preserve"> meeting</w:t>
      </w:r>
      <w:r w:rsidR="00BF650F">
        <w:t>,</w:t>
      </w:r>
      <w:r>
        <w:t xml:space="preserve"> senior officials from the Cambodian and </w:t>
      </w:r>
      <w:r w:rsidRPr="000E07C8">
        <w:t xml:space="preserve">Australian governments discussed a range of topics including: the overall performance of the Australian aid program; Cambodian government development priorities; the new Australian Aid policy; and the proposed areas of focus for the Aid Investment Plan (2015-18).       </w:t>
      </w:r>
    </w:p>
    <w:p w:rsidR="003D0884" w:rsidRPr="000E07C8" w:rsidRDefault="00897695" w:rsidP="003D0884">
      <w:pPr>
        <w:pStyle w:val="BodyText"/>
      </w:pPr>
      <w:r w:rsidRPr="000E07C8">
        <w:t xml:space="preserve">A </w:t>
      </w:r>
      <w:r w:rsidR="003D0884" w:rsidRPr="000E07C8">
        <w:t xml:space="preserve">bilateral memorandum of understanding on refugee settlement </w:t>
      </w:r>
      <w:r w:rsidRPr="000E07C8">
        <w:t xml:space="preserve">signed </w:t>
      </w:r>
      <w:r w:rsidR="003D0884" w:rsidRPr="000E07C8">
        <w:t>in September 2014</w:t>
      </w:r>
      <w:r w:rsidRPr="000E07C8">
        <w:t xml:space="preserve"> has built on earlier bilateral cooperation on Bali Process activities related to people-smuggling</w:t>
      </w:r>
      <w:r w:rsidR="003D0884" w:rsidRPr="000E07C8">
        <w:t>.  In parallel to the arrangement, Australia will provide an additional $40 million in aid funding to Cambodia over four years, to support existing work in demining, agriculture and electoral reform.</w:t>
      </w:r>
    </w:p>
    <w:p w:rsidR="003D0884" w:rsidRDefault="003D0884" w:rsidP="003D0884">
      <w:pPr>
        <w:pStyle w:val="BodyText"/>
      </w:pPr>
      <w:r w:rsidRPr="000E07C8">
        <w:t>2014-15 saw a number of important structural changes to Cambodia’s domestic political environment. Following the almost year-long political impasse and protests after the July 2013 National Assembly elections, the opposition Cambodia National Rescue Party joined the National Assembly in August 2014</w:t>
      </w:r>
      <w:r w:rsidR="00BF650F" w:rsidRPr="000E07C8">
        <w:t>,</w:t>
      </w:r>
      <w:r w:rsidRPr="000E07C8">
        <w:t xml:space="preserve"> and established a culture of dialogue</w:t>
      </w:r>
      <w:r>
        <w:t xml:space="preserve"> with the ruling Cambodia</w:t>
      </w:r>
      <w:r w:rsidR="00BF650F">
        <w:t>n</w:t>
      </w:r>
      <w:r>
        <w:t xml:space="preserve"> People’s Party.  In 2015, the National Assembly passed a suite of laws on governance and the judiciary – some contested by civil society - including on NGOs, the judiciary and elections. </w:t>
      </w:r>
    </w:p>
    <w:p w:rsidR="003D0884" w:rsidRPr="00515205" w:rsidRDefault="003D0884" w:rsidP="003D0884">
      <w:pPr>
        <w:pStyle w:val="BodyText"/>
        <w:rPr>
          <w:b/>
        </w:rPr>
      </w:pPr>
      <w:r>
        <w:rPr>
          <w:b/>
        </w:rPr>
        <w:t>Cambodia’s d</w:t>
      </w:r>
      <w:r w:rsidRPr="00515205">
        <w:rPr>
          <w:b/>
        </w:rPr>
        <w:t xml:space="preserve">evelopment </w:t>
      </w:r>
      <w:r>
        <w:rPr>
          <w:b/>
        </w:rPr>
        <w:t>a</w:t>
      </w:r>
      <w:r w:rsidRPr="00515205">
        <w:rPr>
          <w:b/>
        </w:rPr>
        <w:t>ssistance</w:t>
      </w:r>
      <w:r>
        <w:rPr>
          <w:b/>
        </w:rPr>
        <w:t xml:space="preserve"> profile</w:t>
      </w:r>
    </w:p>
    <w:p w:rsidR="003D0884" w:rsidRDefault="003D0884" w:rsidP="003D0884">
      <w:pPr>
        <w:pStyle w:val="BodyText"/>
      </w:pPr>
      <w:r>
        <w:t xml:space="preserve">Based on available data, total Official </w:t>
      </w:r>
      <w:r w:rsidRPr="00F86C8D">
        <w:t>Developm</w:t>
      </w:r>
      <w:r>
        <w:t>ent A</w:t>
      </w:r>
      <w:r w:rsidRPr="00F71DA3">
        <w:t>ssistance</w:t>
      </w:r>
      <w:r>
        <w:t xml:space="preserve"> (ODA) from all sources</w:t>
      </w:r>
      <w:r w:rsidRPr="00F71DA3">
        <w:t xml:space="preserve"> </w:t>
      </w:r>
      <w:r w:rsidR="00BF650F">
        <w:t xml:space="preserve">appears to </w:t>
      </w:r>
      <w:r>
        <w:t>have plateaued in 2014 at around $</w:t>
      </w:r>
      <w:r w:rsidR="00E0483B">
        <w:t>1.9</w:t>
      </w:r>
      <w:r>
        <w:t xml:space="preserve"> billion, after many years of growth driven largely by Asian donors such as China and the Republic of Korea.  Continued economic growth and improved revenue collection saw aid </w:t>
      </w:r>
      <w:r w:rsidRPr="00F71DA3">
        <w:t>declin</w:t>
      </w:r>
      <w:r>
        <w:t>e</w:t>
      </w:r>
      <w:r w:rsidRPr="00F71DA3">
        <w:t xml:space="preserve"> as a share of </w:t>
      </w:r>
      <w:r>
        <w:t xml:space="preserve">total </w:t>
      </w:r>
      <w:r w:rsidR="00BF650F">
        <w:t>g</w:t>
      </w:r>
      <w:r>
        <w:t xml:space="preserve">overnment expenditure and as a percentage of </w:t>
      </w:r>
      <w:r w:rsidR="001956DC">
        <w:t>Gross Domestic Product (</w:t>
      </w:r>
      <w:r>
        <w:t>GDP</w:t>
      </w:r>
      <w:r w:rsidR="001956DC">
        <w:t>)</w:t>
      </w:r>
      <w:r>
        <w:t xml:space="preserve">.  There </w:t>
      </w:r>
      <w:r w:rsidR="00BF650F">
        <w:t>has been</w:t>
      </w:r>
      <w:r>
        <w:t xml:space="preserve"> a shift towards loans instead of grants</w:t>
      </w:r>
      <w:r w:rsidR="00BF650F">
        <w:t>,</w:t>
      </w:r>
      <w:r>
        <w:t xml:space="preserve"> </w:t>
      </w:r>
      <w:r w:rsidR="007A0581">
        <w:t xml:space="preserve">which brings Cambodia’s aid profile </w:t>
      </w:r>
      <w:r>
        <w:t>in</w:t>
      </w:r>
      <w:r w:rsidR="00BF650F">
        <w:t xml:space="preserve"> </w:t>
      </w:r>
      <w:r>
        <w:t>line with</w:t>
      </w:r>
      <w:r w:rsidR="007A0581">
        <w:t xml:space="preserve"> that </w:t>
      </w:r>
      <w:r>
        <w:t>of a middle-income country.  Nevertheless, aid</w:t>
      </w:r>
      <w:r w:rsidRPr="00767398">
        <w:t xml:space="preserve"> still play</w:t>
      </w:r>
      <w:r>
        <w:t>s</w:t>
      </w:r>
      <w:r w:rsidRPr="00767398">
        <w:t xml:space="preserve"> a </w:t>
      </w:r>
      <w:r>
        <w:t>critical</w:t>
      </w:r>
      <w:r w:rsidRPr="00767398">
        <w:t xml:space="preserve"> role </w:t>
      </w:r>
      <w:r>
        <w:t xml:space="preserve">in </w:t>
      </w:r>
      <w:r w:rsidRPr="00767398">
        <w:t>fund</w:t>
      </w:r>
      <w:r>
        <w:t>ing</w:t>
      </w:r>
      <w:r w:rsidRPr="00767398">
        <w:t xml:space="preserve"> </w:t>
      </w:r>
      <w:r>
        <w:t xml:space="preserve">a significant proportion of </w:t>
      </w:r>
      <w:r w:rsidR="00BF650F">
        <w:t>g</w:t>
      </w:r>
      <w:r>
        <w:t>overnment spending on public goods.</w:t>
      </w:r>
    </w:p>
    <w:p w:rsidR="003D0884" w:rsidRDefault="003D0884" w:rsidP="0072321E">
      <w:pPr>
        <w:pStyle w:val="BodyText"/>
      </w:pPr>
      <w:r>
        <w:t xml:space="preserve">With </w:t>
      </w:r>
      <w:r w:rsidR="00E0483B">
        <w:t>depreciation of the</w:t>
      </w:r>
      <w:r>
        <w:t xml:space="preserve"> </w:t>
      </w:r>
      <w:r w:rsidR="00E0483B">
        <w:t>Australian dollar, Australia moved back to</w:t>
      </w:r>
      <w:r w:rsidRPr="008B4D00">
        <w:t xml:space="preserve"> </w:t>
      </w:r>
      <w:r>
        <w:t xml:space="preserve">fifth </w:t>
      </w:r>
      <w:r w:rsidRPr="008B4D00">
        <w:t>largest bilateral aid donor to Cambodia</w:t>
      </w:r>
      <w:r>
        <w:t xml:space="preserve"> in 2014-15, providing an </w:t>
      </w:r>
      <w:r w:rsidRPr="00423098">
        <w:t xml:space="preserve">estimated </w:t>
      </w:r>
      <w:r>
        <w:t>$</w:t>
      </w:r>
      <w:r w:rsidRPr="0059732F">
        <w:t>9</w:t>
      </w:r>
      <w:r>
        <w:t>2</w:t>
      </w:r>
      <w:r w:rsidRPr="00423098">
        <w:t xml:space="preserve"> million </w:t>
      </w:r>
      <w:r>
        <w:t xml:space="preserve">in ODA.  </w:t>
      </w:r>
      <w:r w:rsidRPr="008B4D00">
        <w:t>China</w:t>
      </w:r>
      <w:r>
        <w:t xml:space="preserve"> is by far Cambodia’s largest donor, providing an estimated $454 million in 2014, down from $600 </w:t>
      </w:r>
      <w:r w:rsidRPr="008B4D00">
        <w:t>million</w:t>
      </w:r>
      <w:r>
        <w:t xml:space="preserve"> the previous </w:t>
      </w:r>
      <w:r>
        <w:lastRenderedPageBreak/>
        <w:t>year</w:t>
      </w:r>
      <w:r w:rsidR="00F027DC">
        <w:t>, although this figure is subject to revision</w:t>
      </w:r>
      <w:r>
        <w:t xml:space="preserve">.  The next largest donors are </w:t>
      </w:r>
      <w:r w:rsidRPr="008B4D00">
        <w:t>Japan (</w:t>
      </w:r>
      <w:r>
        <w:t>$218</w:t>
      </w:r>
      <w:r w:rsidRPr="008B4D00">
        <w:t xml:space="preserve"> million)</w:t>
      </w:r>
      <w:r>
        <w:t>,</w:t>
      </w:r>
      <w:r w:rsidRPr="008B4D00">
        <w:t xml:space="preserve"> the United States (</w:t>
      </w:r>
      <w:r>
        <w:t>$</w:t>
      </w:r>
      <w:r w:rsidRPr="0056475C">
        <w:t>121</w:t>
      </w:r>
      <w:r w:rsidRPr="008B4D00">
        <w:t xml:space="preserve"> million)</w:t>
      </w:r>
      <w:r>
        <w:t xml:space="preserve"> and </w:t>
      </w:r>
      <w:r w:rsidRPr="001956DC">
        <w:t>the Republic of Korea</w:t>
      </w:r>
      <w:r w:rsidR="001956DC">
        <w:t xml:space="preserve"> </w:t>
      </w:r>
      <w:r w:rsidR="001956DC" w:rsidRPr="001956DC">
        <w:t>(ROK)</w:t>
      </w:r>
      <w:r>
        <w:t xml:space="preserve"> </w:t>
      </w:r>
      <w:r w:rsidRPr="008B4D00">
        <w:t>($</w:t>
      </w:r>
      <w:r>
        <w:t>109 million</w:t>
      </w:r>
      <w:r w:rsidRPr="008B4D00">
        <w:t>).</w:t>
      </w:r>
      <w:r>
        <w:rPr>
          <w:rStyle w:val="FootnoteReference"/>
        </w:rPr>
        <w:footnoteReference w:id="4"/>
      </w:r>
      <w:r w:rsidRPr="008B4D00">
        <w:t xml:space="preserve"> </w:t>
      </w:r>
      <w:r w:rsidRPr="00103296">
        <w:t>China</w:t>
      </w:r>
      <w:r>
        <w:t>,</w:t>
      </w:r>
      <w:r w:rsidRPr="00103296">
        <w:t xml:space="preserve"> Japan and </w:t>
      </w:r>
      <w:r w:rsidR="001956DC" w:rsidRPr="001956DC">
        <w:t xml:space="preserve">the </w:t>
      </w:r>
      <w:r w:rsidRPr="001956DC">
        <w:t>ROK</w:t>
      </w:r>
      <w:r>
        <w:t xml:space="preserve"> </w:t>
      </w:r>
      <w:r w:rsidRPr="00103296">
        <w:t xml:space="preserve">are largely focused on </w:t>
      </w:r>
      <w:r>
        <w:t xml:space="preserve">the </w:t>
      </w:r>
      <w:r w:rsidRPr="00103296">
        <w:t>transport, energy, water and urban infrastructure</w:t>
      </w:r>
      <w:r>
        <w:t xml:space="preserve"> sectors</w:t>
      </w:r>
      <w:r w:rsidRPr="00103296">
        <w:t>.  All of China’s development assistance is in the form of loans</w:t>
      </w:r>
      <w:r>
        <w:t>.  Approximately</w:t>
      </w:r>
      <w:r w:rsidRPr="00103296">
        <w:t xml:space="preserve"> half of Japan</w:t>
      </w:r>
      <w:r>
        <w:t>’s</w:t>
      </w:r>
      <w:r w:rsidRPr="00103296">
        <w:t xml:space="preserve"> and </w:t>
      </w:r>
      <w:r w:rsidR="001956DC">
        <w:t xml:space="preserve">the </w:t>
      </w:r>
      <w:r w:rsidR="003D03E5">
        <w:t xml:space="preserve">Republic of Korea’s </w:t>
      </w:r>
      <w:r w:rsidRPr="00103296">
        <w:t>assistance is provided as concessional loans</w:t>
      </w:r>
      <w:r>
        <w:t xml:space="preserve">, with the </w:t>
      </w:r>
      <w:r w:rsidRPr="00103296">
        <w:t>remain</w:t>
      </w:r>
      <w:r>
        <w:t>der as</w:t>
      </w:r>
      <w:r w:rsidRPr="00103296">
        <w:t xml:space="preserve"> grants.  The US is engaged in a diverse range of sectors with a particular emphasis on health, democr</w:t>
      </w:r>
      <w:r w:rsidR="00F027DC">
        <w:t>acy and governance,</w:t>
      </w:r>
      <w:r w:rsidRPr="00103296">
        <w:t xml:space="preserve"> agriculture</w:t>
      </w:r>
      <w:r w:rsidR="00F027DC">
        <w:t xml:space="preserve"> and private sector development</w:t>
      </w:r>
      <w:r>
        <w:t xml:space="preserve">.  </w:t>
      </w:r>
      <w:r w:rsidRPr="00103296">
        <w:t xml:space="preserve">    </w:t>
      </w:r>
    </w:p>
    <w:p w:rsidR="003D0884" w:rsidRDefault="003D0884" w:rsidP="003D0884">
      <w:pPr>
        <w:pStyle w:val="BodyText"/>
        <w:rPr>
          <w:b/>
        </w:rPr>
      </w:pPr>
      <w:r w:rsidRPr="00515205">
        <w:rPr>
          <w:b/>
        </w:rPr>
        <w:t>Australia’s program</w:t>
      </w:r>
    </w:p>
    <w:p w:rsidR="003D0884" w:rsidRDefault="003D0884" w:rsidP="003D0884">
      <w:pPr>
        <w:pStyle w:val="BodyText"/>
      </w:pPr>
      <w:r>
        <w:t xml:space="preserve">The final year of the </w:t>
      </w:r>
      <w:hyperlink r:id="rId18" w:history="1">
        <w:r w:rsidRPr="00186D5B">
          <w:rPr>
            <w:rStyle w:val="Hyperlink"/>
            <w:sz w:val="21"/>
            <w:szCs w:val="24"/>
          </w:rPr>
          <w:t>Australia–Cambodia Joint Aid Program Strategy 2010–2015</w:t>
        </w:r>
      </w:hyperlink>
      <w:r>
        <w:t xml:space="preserve"> was a time of transition for the aid program.  We continued to consolidate the program to </w:t>
      </w:r>
      <w:r w:rsidRPr="00FD7633">
        <w:t>maximise impact and cost effectiveness by focusing on fewer, larger investments</w:t>
      </w:r>
      <w:r>
        <w:t xml:space="preserve">.  </w:t>
      </w:r>
      <w:r w:rsidRPr="00DD0826">
        <w:t xml:space="preserve">Our </w:t>
      </w:r>
      <w:r>
        <w:t>focus on</w:t>
      </w:r>
      <w:r w:rsidRPr="00DD0826">
        <w:t xml:space="preserve"> innovative approaches to delivering aid</w:t>
      </w:r>
      <w:r w:rsidR="00BF650F">
        <w:t>, including by working</w:t>
      </w:r>
      <w:r w:rsidRPr="00DD0826">
        <w:t xml:space="preserve"> closely with the private sector</w:t>
      </w:r>
      <w:r w:rsidR="00BF650F">
        <w:t>,</w:t>
      </w:r>
      <w:r w:rsidRPr="00DD0826">
        <w:t xml:space="preserve"> </w:t>
      </w:r>
      <w:r>
        <w:t>(in particular, see objective 1A and objective 3)</w:t>
      </w:r>
      <w:r w:rsidRPr="00FD7633">
        <w:t xml:space="preserve"> will contribute to achieving Australia’s overall aid for trade target by 2020.</w:t>
      </w:r>
    </w:p>
    <w:p w:rsidR="003D0884" w:rsidRDefault="003D0884" w:rsidP="003D0884">
      <w:pPr>
        <w:pStyle w:val="BodyText"/>
      </w:pPr>
      <w:r>
        <w:t xml:space="preserve">The program is delivered through bilateral, regional and global programs.  The regional programs support regional approaches to trade reform, people trafficking, HIV/AIDS, child protection and water resource management challenges.  </w:t>
      </w:r>
    </w:p>
    <w:p w:rsidR="00FC6AFC" w:rsidRDefault="00FC6AFC" w:rsidP="00FC6AFC">
      <w:pPr>
        <w:pStyle w:val="Heading2"/>
        <w:rPr>
          <w:sz w:val="28"/>
        </w:rPr>
      </w:pPr>
      <w:r w:rsidRPr="009E38C1">
        <w:rPr>
          <w:sz w:val="28"/>
        </w:rPr>
        <w:t>Expenditure</w:t>
      </w:r>
    </w:p>
    <w:p w:rsidR="008C5AEE" w:rsidRPr="00EC69B6" w:rsidRDefault="008C5AEE" w:rsidP="008C5AEE">
      <w:pPr>
        <w:spacing w:after="200" w:line="276" w:lineRule="auto"/>
        <w:rPr>
          <w:rFonts w:ascii="Franklin Gothic Book" w:eastAsia="Calibri" w:hAnsi="Franklin Gothic Book"/>
          <w:sz w:val="21"/>
          <w:szCs w:val="21"/>
          <w:lang w:eastAsia="en-US"/>
        </w:rPr>
      </w:pPr>
      <w:r>
        <w:rPr>
          <w:rFonts w:ascii="Franklin Gothic Book" w:eastAsia="Calibri" w:hAnsi="Franklin Gothic Book"/>
          <w:sz w:val="21"/>
          <w:szCs w:val="21"/>
          <w:lang w:eastAsia="en-US"/>
        </w:rPr>
        <w:t xml:space="preserve">Australia’s total ODA to Cambodia in 2014-15 amounted to </w:t>
      </w:r>
      <w:r w:rsidR="00FF57BE">
        <w:rPr>
          <w:rFonts w:ascii="Franklin Gothic Book" w:eastAsia="Calibri" w:hAnsi="Franklin Gothic Book"/>
          <w:sz w:val="21"/>
          <w:szCs w:val="21"/>
          <w:lang w:eastAsia="en-US"/>
        </w:rPr>
        <w:t>$</w:t>
      </w:r>
      <w:r w:rsidR="00366F1A">
        <w:rPr>
          <w:rFonts w:ascii="Franklin Gothic Book" w:eastAsia="Calibri" w:hAnsi="Franklin Gothic Book"/>
          <w:sz w:val="21"/>
          <w:szCs w:val="21"/>
          <w:lang w:eastAsia="en-US"/>
        </w:rPr>
        <w:t>9</w:t>
      </w:r>
      <w:r w:rsidR="007D1152">
        <w:rPr>
          <w:rFonts w:ascii="Franklin Gothic Book" w:eastAsia="Calibri" w:hAnsi="Franklin Gothic Book"/>
          <w:sz w:val="21"/>
          <w:szCs w:val="21"/>
          <w:lang w:eastAsia="en-US"/>
        </w:rPr>
        <w:t>2</w:t>
      </w:r>
      <w:r w:rsidRPr="00FA4A27">
        <w:rPr>
          <w:rFonts w:ascii="Franklin Gothic Book" w:eastAsia="Calibri" w:hAnsi="Franklin Gothic Book"/>
          <w:sz w:val="21"/>
          <w:szCs w:val="21"/>
          <w:lang w:eastAsia="en-US"/>
        </w:rPr>
        <w:t xml:space="preserve"> million</w:t>
      </w:r>
      <w:r w:rsidRPr="00EB0D27">
        <w:rPr>
          <w:rFonts w:ascii="Franklin Gothic Book" w:eastAsia="Calibri" w:hAnsi="Franklin Gothic Book"/>
          <w:sz w:val="21"/>
          <w:szCs w:val="21"/>
          <w:lang w:eastAsia="en-US"/>
        </w:rPr>
        <w:t xml:space="preserve">, with </w:t>
      </w:r>
      <w:r w:rsidR="00FF57BE">
        <w:rPr>
          <w:rFonts w:ascii="Franklin Gothic Book" w:eastAsia="Calibri" w:hAnsi="Franklin Gothic Book"/>
          <w:sz w:val="21"/>
          <w:szCs w:val="21"/>
          <w:lang w:eastAsia="en-US"/>
        </w:rPr>
        <w:t>$</w:t>
      </w:r>
      <w:r>
        <w:rPr>
          <w:rFonts w:ascii="Franklin Gothic Book" w:eastAsia="Calibri" w:hAnsi="Franklin Gothic Book"/>
          <w:sz w:val="21"/>
          <w:szCs w:val="21"/>
          <w:lang w:eastAsia="en-US"/>
        </w:rPr>
        <w:t>59.</w:t>
      </w:r>
      <w:r w:rsidR="007D1152">
        <w:rPr>
          <w:rFonts w:ascii="Franklin Gothic Book" w:eastAsia="Calibri" w:hAnsi="Franklin Gothic Book"/>
          <w:sz w:val="21"/>
          <w:szCs w:val="21"/>
          <w:lang w:eastAsia="en-US"/>
        </w:rPr>
        <w:t>2</w:t>
      </w:r>
      <w:r w:rsidRPr="00EB0D27">
        <w:rPr>
          <w:rFonts w:ascii="Franklin Gothic Book" w:eastAsia="Calibri" w:hAnsi="Franklin Gothic Book"/>
          <w:sz w:val="21"/>
          <w:szCs w:val="21"/>
          <w:lang w:eastAsia="en-US"/>
        </w:rPr>
        <w:t xml:space="preserve"> </w:t>
      </w:r>
      <w:r w:rsidRPr="00FA4A27">
        <w:rPr>
          <w:rFonts w:ascii="Franklin Gothic Book" w:eastAsia="Calibri" w:hAnsi="Franklin Gothic Book"/>
          <w:sz w:val="21"/>
          <w:szCs w:val="21"/>
          <w:lang w:eastAsia="en-US"/>
        </w:rPr>
        <w:t>million</w:t>
      </w:r>
      <w:r>
        <w:rPr>
          <w:rFonts w:ascii="Franklin Gothic Book" w:eastAsia="Calibri" w:hAnsi="Franklin Gothic Book"/>
          <w:sz w:val="21"/>
          <w:szCs w:val="21"/>
          <w:lang w:eastAsia="en-US"/>
        </w:rPr>
        <w:t xml:space="preserve"> allocated t</w:t>
      </w:r>
      <w:r w:rsidR="006266A8">
        <w:rPr>
          <w:rFonts w:ascii="Franklin Gothic Book" w:eastAsia="Calibri" w:hAnsi="Franklin Gothic Book"/>
          <w:sz w:val="21"/>
          <w:szCs w:val="21"/>
          <w:lang w:eastAsia="en-US"/>
        </w:rPr>
        <w:t>hrough</w:t>
      </w:r>
      <w:r>
        <w:rPr>
          <w:rFonts w:ascii="Franklin Gothic Book" w:eastAsia="Calibri" w:hAnsi="Franklin Gothic Book"/>
          <w:sz w:val="21"/>
          <w:szCs w:val="21"/>
          <w:lang w:eastAsia="en-US"/>
        </w:rPr>
        <w:t xml:space="preserve"> DFAT’s bilateral aid program. </w:t>
      </w:r>
      <w:r w:rsidR="003B5DBE">
        <w:rPr>
          <w:rFonts w:ascii="Franklin Gothic Book" w:eastAsia="Calibri" w:hAnsi="Franklin Gothic Book"/>
          <w:sz w:val="21"/>
          <w:szCs w:val="21"/>
          <w:lang w:eastAsia="en-US"/>
        </w:rPr>
        <w:t xml:space="preserve"> </w:t>
      </w:r>
      <w:r>
        <w:rPr>
          <w:rFonts w:ascii="Franklin Gothic Book" w:eastAsia="Calibri" w:hAnsi="Franklin Gothic Book"/>
          <w:sz w:val="21"/>
          <w:szCs w:val="21"/>
          <w:lang w:eastAsia="en-US"/>
        </w:rPr>
        <w:t xml:space="preserve">Other ODA flows </w:t>
      </w:r>
      <w:r w:rsidR="005A35AC">
        <w:rPr>
          <w:rFonts w:ascii="Franklin Gothic Book" w:eastAsia="Calibri" w:hAnsi="Franklin Gothic Book"/>
          <w:sz w:val="21"/>
          <w:szCs w:val="21"/>
          <w:lang w:eastAsia="en-US"/>
        </w:rPr>
        <w:t xml:space="preserve">came from </w:t>
      </w:r>
      <w:r w:rsidR="00AA3D41">
        <w:rPr>
          <w:rFonts w:ascii="Franklin Gothic Book" w:eastAsia="Calibri" w:hAnsi="Franklin Gothic Book"/>
          <w:sz w:val="21"/>
          <w:szCs w:val="21"/>
          <w:lang w:eastAsia="en-US"/>
        </w:rPr>
        <w:t>the Department of Foreign Affairs and Trade (</w:t>
      </w:r>
      <w:r w:rsidR="00D625F8" w:rsidRPr="00E33EBB">
        <w:rPr>
          <w:rFonts w:ascii="Franklin Gothic Book" w:eastAsia="Calibri" w:hAnsi="Franklin Gothic Book"/>
          <w:sz w:val="21"/>
          <w:szCs w:val="21"/>
          <w:lang w:eastAsia="en-US"/>
        </w:rPr>
        <w:t>DFAT</w:t>
      </w:r>
      <w:r w:rsidR="00AA3D41">
        <w:rPr>
          <w:rFonts w:ascii="Franklin Gothic Book" w:eastAsia="Calibri" w:hAnsi="Franklin Gothic Book"/>
          <w:sz w:val="21"/>
          <w:szCs w:val="21"/>
          <w:lang w:eastAsia="en-US"/>
        </w:rPr>
        <w:t>)</w:t>
      </w:r>
      <w:r w:rsidR="00D625F8">
        <w:rPr>
          <w:rFonts w:ascii="Franklin Gothic Book" w:eastAsia="Calibri" w:hAnsi="Franklin Gothic Book"/>
          <w:sz w:val="21"/>
          <w:szCs w:val="21"/>
          <w:lang w:eastAsia="en-US"/>
        </w:rPr>
        <w:t xml:space="preserve"> </w:t>
      </w:r>
      <w:r>
        <w:rPr>
          <w:rFonts w:ascii="Franklin Gothic Book" w:eastAsia="Calibri" w:hAnsi="Franklin Gothic Book"/>
          <w:sz w:val="21"/>
          <w:szCs w:val="21"/>
          <w:lang w:eastAsia="en-US"/>
        </w:rPr>
        <w:t>global and regional programs</w:t>
      </w:r>
      <w:r w:rsidR="001D1C60">
        <w:rPr>
          <w:rFonts w:ascii="Franklin Gothic Book" w:eastAsia="Calibri" w:hAnsi="Franklin Gothic Book"/>
          <w:sz w:val="21"/>
          <w:szCs w:val="21"/>
          <w:lang w:eastAsia="en-US"/>
        </w:rPr>
        <w:t xml:space="preserve"> and</w:t>
      </w:r>
      <w:r>
        <w:rPr>
          <w:rFonts w:ascii="Franklin Gothic Book" w:eastAsia="Calibri" w:hAnsi="Franklin Gothic Book"/>
          <w:sz w:val="21"/>
          <w:szCs w:val="21"/>
          <w:lang w:eastAsia="en-US"/>
        </w:rPr>
        <w:t xml:space="preserve"> funding </w:t>
      </w:r>
      <w:r w:rsidR="001428E3">
        <w:rPr>
          <w:rFonts w:ascii="Franklin Gothic Book" w:eastAsia="Calibri" w:hAnsi="Franklin Gothic Book"/>
          <w:sz w:val="21"/>
          <w:szCs w:val="21"/>
          <w:lang w:eastAsia="en-US"/>
        </w:rPr>
        <w:t xml:space="preserve">from </w:t>
      </w:r>
      <w:r w:rsidRPr="007D4B9F">
        <w:rPr>
          <w:rFonts w:ascii="Franklin Gothic Book" w:eastAsia="Calibri" w:hAnsi="Franklin Gothic Book"/>
          <w:sz w:val="21"/>
          <w:szCs w:val="21"/>
          <w:lang w:eastAsia="en-US"/>
        </w:rPr>
        <w:t>other Australian Government Departments</w:t>
      </w:r>
      <w:r w:rsidR="001D1C60">
        <w:rPr>
          <w:rFonts w:ascii="Franklin Gothic Book" w:eastAsia="Calibri" w:hAnsi="Franklin Gothic Book"/>
          <w:sz w:val="21"/>
          <w:szCs w:val="21"/>
          <w:lang w:eastAsia="en-US"/>
        </w:rPr>
        <w:t>,</w:t>
      </w:r>
      <w:r>
        <w:rPr>
          <w:rFonts w:ascii="Franklin Gothic Book" w:eastAsia="Calibri" w:hAnsi="Franklin Gothic Book"/>
          <w:sz w:val="21"/>
          <w:szCs w:val="21"/>
          <w:lang w:eastAsia="en-US"/>
        </w:rPr>
        <w:t xml:space="preserve"> such as the Australian Centre for International Agricultural Research</w:t>
      </w:r>
      <w:r w:rsidR="007A5952">
        <w:rPr>
          <w:rFonts w:ascii="Franklin Gothic Book" w:eastAsia="Calibri" w:hAnsi="Franklin Gothic Book"/>
          <w:sz w:val="21"/>
          <w:szCs w:val="21"/>
          <w:lang w:eastAsia="en-US"/>
        </w:rPr>
        <w:t xml:space="preserve"> and </w:t>
      </w:r>
      <w:r w:rsidR="00141C23">
        <w:rPr>
          <w:rFonts w:ascii="Franklin Gothic Book" w:eastAsia="Calibri" w:hAnsi="Franklin Gothic Book"/>
          <w:sz w:val="21"/>
          <w:szCs w:val="21"/>
          <w:lang w:eastAsia="en-US"/>
        </w:rPr>
        <w:t xml:space="preserve">the </w:t>
      </w:r>
      <w:r w:rsidR="007A5952">
        <w:rPr>
          <w:rFonts w:ascii="Franklin Gothic Book" w:eastAsia="Calibri" w:hAnsi="Franklin Gothic Book"/>
          <w:sz w:val="21"/>
          <w:szCs w:val="21"/>
          <w:lang w:eastAsia="en-US"/>
        </w:rPr>
        <w:t>Australian Federal Police.</w:t>
      </w:r>
      <w:r>
        <w:rPr>
          <w:rFonts w:ascii="Franklin Gothic Book" w:eastAsia="Calibri" w:hAnsi="Franklin Gothic Book"/>
          <w:sz w:val="21"/>
          <w:szCs w:val="21"/>
          <w:lang w:eastAsia="en-US"/>
        </w:rPr>
        <w:t xml:space="preserve">  </w:t>
      </w:r>
    </w:p>
    <w:p w:rsidR="000D733F" w:rsidRDefault="000D733F" w:rsidP="00687B2F">
      <w:pPr>
        <w:pStyle w:val="Caption"/>
        <w:keepLines/>
      </w:pPr>
      <w:r w:rsidRPr="005901D2">
        <w:t xml:space="preserve">Table </w:t>
      </w:r>
      <w:fldSimple w:instr=" SEQ Table \* ARABIC ">
        <w:r w:rsidR="00A43F72">
          <w:rPr>
            <w:noProof/>
          </w:rPr>
          <w:t>1</w:t>
        </w:r>
      </w:fldSimple>
      <w:r w:rsidRPr="005901D2">
        <w:t xml:space="preserve"> </w:t>
      </w:r>
      <w:r w:rsidR="00687B2F">
        <w:t>Total ODA Expenditure in FY 2014-15</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Caption w:val="Table 1 Total ODA Expenditure in FY 2014-15"/>
        <w:tblDescription w:val="Table 1 shows total Australian ODA expenditure in Cambodia in the 2014-15 financial year. It shows expenditure by the bilateral program, regional and global programs and by other government departments. It breaks up bilateral program expenditure into the program's strategic objectives. It reports expenditure in millions of Australian dollars and shows what percentage of total ODA each expenditure item accounts for. For the bilateral program there are four overall objectives, with objective one divided into two parts. &#10;&#10;Bilateral program Objective 1A, increased valued of agricultural production and smallholder income in targeted provinces, $12.57 million, 16 per cent of total ODA. &#10;Objective 1B, increased food and livelihood security for the rural poor through social protection and landmine clearance, $4 million, 5 per cent of total ODA. &#10;Objective 2, increased access to quality health services through improved health management, $13.23 million, 17 per cent of total ODA. &#10;Objective 3, improved transport and energy infrastructure, $8.09 million, 10 per cent of total ODA.&#10;Objective 4, women, youth and children are safer and communities have less crime, a more effective non-custodial sentencing system, strengthened evidence-based performance management, $9.32 million, 12 per cent of total ODA. &#10;Other (cross-cutting themes), $11.98 million, 15 per cent of total ODA. "/>
      </w:tblPr>
      <w:tblGrid>
        <w:gridCol w:w="7054"/>
        <w:gridCol w:w="992"/>
        <w:gridCol w:w="993"/>
      </w:tblGrid>
      <w:tr w:rsidR="00687B2F" w:rsidRPr="00687B2F" w:rsidTr="007A0581">
        <w:tc>
          <w:tcPr>
            <w:tcW w:w="7054" w:type="dxa"/>
          </w:tcPr>
          <w:p w:rsidR="00687B2F" w:rsidRPr="00687B2F" w:rsidRDefault="00687B2F" w:rsidP="00687B2F">
            <w:pPr>
              <w:pStyle w:val="BodyText"/>
              <w:keepNext/>
              <w:rPr>
                <w:b/>
                <w:sz w:val="17"/>
                <w:szCs w:val="17"/>
              </w:rPr>
            </w:pPr>
            <w:r w:rsidRPr="00687B2F">
              <w:rPr>
                <w:b/>
                <w:sz w:val="17"/>
                <w:szCs w:val="17"/>
              </w:rPr>
              <w:t>Objective</w:t>
            </w:r>
          </w:p>
        </w:tc>
        <w:tc>
          <w:tcPr>
            <w:tcW w:w="992" w:type="dxa"/>
          </w:tcPr>
          <w:p w:rsidR="00687B2F" w:rsidRPr="00687B2F" w:rsidRDefault="00687B2F" w:rsidP="00687B2F">
            <w:pPr>
              <w:pStyle w:val="BodyText"/>
              <w:keepNext/>
              <w:rPr>
                <w:sz w:val="17"/>
                <w:szCs w:val="17"/>
              </w:rPr>
            </w:pPr>
            <w:r w:rsidRPr="00687B2F">
              <w:rPr>
                <w:b/>
                <w:sz w:val="17"/>
                <w:szCs w:val="17"/>
              </w:rPr>
              <w:t>A$ million</w:t>
            </w:r>
          </w:p>
        </w:tc>
        <w:tc>
          <w:tcPr>
            <w:tcW w:w="993" w:type="dxa"/>
          </w:tcPr>
          <w:p w:rsidR="006E233B" w:rsidRPr="007A0581" w:rsidRDefault="00687B2F" w:rsidP="007A0581">
            <w:pPr>
              <w:pStyle w:val="TableTextEntries"/>
              <w:rPr>
                <w:rFonts w:eastAsia="Calibri"/>
                <w:b/>
              </w:rPr>
            </w:pPr>
            <w:r w:rsidRPr="006E233B">
              <w:rPr>
                <w:b/>
              </w:rPr>
              <w:t xml:space="preserve">% </w:t>
            </w:r>
            <w:r w:rsidRPr="007A0581">
              <w:rPr>
                <w:rFonts w:eastAsia="Calibri"/>
                <w:b/>
              </w:rPr>
              <w:t xml:space="preserve">of total </w:t>
            </w:r>
          </w:p>
          <w:p w:rsidR="00687B2F" w:rsidRPr="00687B2F" w:rsidRDefault="00687B2F" w:rsidP="007A0581">
            <w:pPr>
              <w:pStyle w:val="TableTextEntries"/>
            </w:pPr>
            <w:r w:rsidRPr="007A0581">
              <w:rPr>
                <w:rFonts w:eastAsia="Calibri"/>
                <w:b/>
              </w:rPr>
              <w:t>ODA</w:t>
            </w:r>
          </w:p>
        </w:tc>
      </w:tr>
      <w:tr w:rsidR="00687B2F" w:rsidRPr="00687B2F" w:rsidTr="007A0581">
        <w:tc>
          <w:tcPr>
            <w:tcW w:w="7054" w:type="dxa"/>
          </w:tcPr>
          <w:p w:rsidR="00687B2F" w:rsidRPr="00687B2F" w:rsidRDefault="00687B2F" w:rsidP="00687B2F">
            <w:pPr>
              <w:pStyle w:val="BodyText"/>
              <w:keepNext/>
              <w:rPr>
                <w:b/>
                <w:i/>
                <w:sz w:val="17"/>
                <w:szCs w:val="17"/>
              </w:rPr>
            </w:pPr>
            <w:r w:rsidRPr="00687B2F">
              <w:rPr>
                <w:b/>
                <w:i/>
                <w:sz w:val="17"/>
                <w:szCs w:val="17"/>
              </w:rPr>
              <w:t xml:space="preserve">Bilateral </w:t>
            </w:r>
          </w:p>
        </w:tc>
        <w:tc>
          <w:tcPr>
            <w:tcW w:w="992" w:type="dxa"/>
          </w:tcPr>
          <w:p w:rsidR="00687B2F" w:rsidRPr="00687B2F" w:rsidRDefault="00687B2F" w:rsidP="00687B2F">
            <w:pPr>
              <w:pStyle w:val="BodyText"/>
              <w:keepNext/>
              <w:rPr>
                <w:b/>
                <w:sz w:val="17"/>
                <w:szCs w:val="17"/>
              </w:rPr>
            </w:pPr>
          </w:p>
        </w:tc>
        <w:tc>
          <w:tcPr>
            <w:tcW w:w="993" w:type="dxa"/>
          </w:tcPr>
          <w:p w:rsidR="00687B2F" w:rsidRPr="00687B2F" w:rsidRDefault="00687B2F" w:rsidP="00687B2F">
            <w:pPr>
              <w:pStyle w:val="BodyText"/>
              <w:keepNext/>
              <w:rPr>
                <w:b/>
                <w:sz w:val="17"/>
                <w:szCs w:val="17"/>
              </w:rPr>
            </w:pPr>
          </w:p>
        </w:tc>
      </w:tr>
      <w:tr w:rsidR="00EE62F4" w:rsidRPr="00687B2F" w:rsidTr="007A0581">
        <w:tc>
          <w:tcPr>
            <w:tcW w:w="7054" w:type="dxa"/>
          </w:tcPr>
          <w:p w:rsidR="00EE62F4" w:rsidRPr="004F2586" w:rsidRDefault="00EE62F4" w:rsidP="00FC6AFC">
            <w:pPr>
              <w:pStyle w:val="TableTextEntries"/>
              <w:spacing w:before="0"/>
            </w:pPr>
            <w:r w:rsidRPr="004F2586">
              <w:t xml:space="preserve">Objective 1A: </w:t>
            </w:r>
            <w:r w:rsidRPr="004F2586">
              <w:rPr>
                <w:rFonts w:eastAsia="Calibri"/>
              </w:rPr>
              <w:t>Increased value of agricultural production and smallholder income in targeted provinces</w:t>
            </w:r>
          </w:p>
        </w:tc>
        <w:tc>
          <w:tcPr>
            <w:tcW w:w="992" w:type="dxa"/>
          </w:tcPr>
          <w:p w:rsidR="00EE62F4" w:rsidRPr="00EE62F4" w:rsidRDefault="00EE62F4" w:rsidP="00EE62F4">
            <w:pPr>
              <w:pStyle w:val="TableTextEntries"/>
              <w:spacing w:before="0"/>
              <w:jc w:val="center"/>
              <w:rPr>
                <w:rFonts w:eastAsia="Calibri"/>
              </w:rPr>
            </w:pPr>
            <w:r w:rsidRPr="00EE62F4">
              <w:rPr>
                <w:rFonts w:eastAsia="Calibri"/>
              </w:rPr>
              <w:t>12.57</w:t>
            </w:r>
          </w:p>
        </w:tc>
        <w:tc>
          <w:tcPr>
            <w:tcW w:w="993" w:type="dxa"/>
          </w:tcPr>
          <w:p w:rsidR="00EE62F4" w:rsidRPr="00EE62F4" w:rsidRDefault="007A5952" w:rsidP="00EE62F4">
            <w:pPr>
              <w:pStyle w:val="TableTextEntries"/>
              <w:spacing w:before="0"/>
              <w:jc w:val="center"/>
              <w:rPr>
                <w:rFonts w:eastAsia="Calibri"/>
              </w:rPr>
            </w:pPr>
            <w:r>
              <w:rPr>
                <w:rFonts w:eastAsia="Calibri"/>
              </w:rPr>
              <w:t>16</w:t>
            </w:r>
          </w:p>
        </w:tc>
      </w:tr>
      <w:tr w:rsidR="00EE62F4" w:rsidRPr="00687B2F" w:rsidTr="007A0581">
        <w:tc>
          <w:tcPr>
            <w:tcW w:w="7054" w:type="dxa"/>
          </w:tcPr>
          <w:p w:rsidR="00EE62F4" w:rsidRPr="004F2586" w:rsidRDefault="00EE62F4" w:rsidP="00FC6AFC">
            <w:pPr>
              <w:pStyle w:val="TableTextEntries"/>
            </w:pPr>
            <w:r w:rsidRPr="004F2586">
              <w:t xml:space="preserve">Objective 1B: </w:t>
            </w:r>
            <w:r w:rsidRPr="004F2586">
              <w:rPr>
                <w:rFonts w:eastAsia="Calibri"/>
              </w:rPr>
              <w:t>Increased food and livelihood security for the rural poor through social protection and landmine clearance</w:t>
            </w:r>
          </w:p>
        </w:tc>
        <w:tc>
          <w:tcPr>
            <w:tcW w:w="992" w:type="dxa"/>
          </w:tcPr>
          <w:p w:rsidR="00EE62F4" w:rsidRPr="00EE62F4" w:rsidRDefault="00EE62F4" w:rsidP="00EE62F4">
            <w:pPr>
              <w:pStyle w:val="TableTextEntries"/>
              <w:spacing w:before="0"/>
              <w:jc w:val="center"/>
              <w:rPr>
                <w:rFonts w:eastAsia="Calibri"/>
              </w:rPr>
            </w:pPr>
            <w:r w:rsidRPr="00EE62F4">
              <w:rPr>
                <w:rFonts w:eastAsia="Calibri"/>
              </w:rPr>
              <w:t>4.00</w:t>
            </w:r>
          </w:p>
        </w:tc>
        <w:tc>
          <w:tcPr>
            <w:tcW w:w="993" w:type="dxa"/>
          </w:tcPr>
          <w:p w:rsidR="00EE62F4" w:rsidRPr="00EE62F4" w:rsidRDefault="007A5952" w:rsidP="00EE62F4">
            <w:pPr>
              <w:pStyle w:val="TableTextEntries"/>
              <w:spacing w:before="0"/>
              <w:jc w:val="center"/>
              <w:rPr>
                <w:rFonts w:eastAsia="Calibri"/>
              </w:rPr>
            </w:pPr>
            <w:r>
              <w:rPr>
                <w:rFonts w:eastAsia="Calibri"/>
              </w:rPr>
              <w:t>5</w:t>
            </w:r>
          </w:p>
        </w:tc>
      </w:tr>
      <w:tr w:rsidR="00EE62F4" w:rsidRPr="00687B2F" w:rsidTr="007A0581">
        <w:tc>
          <w:tcPr>
            <w:tcW w:w="7054" w:type="dxa"/>
          </w:tcPr>
          <w:p w:rsidR="00EE62F4" w:rsidRPr="00B21F27" w:rsidRDefault="00EE62F4" w:rsidP="00FC6AFC">
            <w:pPr>
              <w:pStyle w:val="TableTextEntries"/>
            </w:pPr>
            <w:r w:rsidRPr="00B21F27">
              <w:t>Objective 2:</w:t>
            </w:r>
            <w:r>
              <w:t xml:space="preserve"> </w:t>
            </w:r>
            <w:r w:rsidRPr="00B21F27">
              <w:rPr>
                <w:rFonts w:eastAsia="Calibri"/>
              </w:rPr>
              <w:t>Increased access to quality health services through improved health management</w:t>
            </w:r>
          </w:p>
        </w:tc>
        <w:tc>
          <w:tcPr>
            <w:tcW w:w="992" w:type="dxa"/>
          </w:tcPr>
          <w:p w:rsidR="00EE62F4" w:rsidRPr="00EE62F4" w:rsidRDefault="00EE62F4" w:rsidP="00EE62F4">
            <w:pPr>
              <w:pStyle w:val="TableTextEntries"/>
              <w:spacing w:before="0"/>
              <w:jc w:val="center"/>
              <w:rPr>
                <w:rFonts w:eastAsia="Calibri"/>
              </w:rPr>
            </w:pPr>
            <w:r w:rsidRPr="00EE62F4">
              <w:rPr>
                <w:rFonts w:eastAsia="Calibri"/>
              </w:rPr>
              <w:t>13.23</w:t>
            </w:r>
          </w:p>
        </w:tc>
        <w:tc>
          <w:tcPr>
            <w:tcW w:w="993" w:type="dxa"/>
          </w:tcPr>
          <w:p w:rsidR="00EE62F4" w:rsidRPr="00EE62F4" w:rsidRDefault="007A5952" w:rsidP="00EE62F4">
            <w:pPr>
              <w:pStyle w:val="TableTextEntries"/>
              <w:spacing w:before="0"/>
              <w:jc w:val="center"/>
              <w:rPr>
                <w:rFonts w:eastAsia="Calibri"/>
              </w:rPr>
            </w:pPr>
            <w:r>
              <w:rPr>
                <w:rFonts w:eastAsia="Calibri"/>
              </w:rPr>
              <w:t>17</w:t>
            </w:r>
          </w:p>
        </w:tc>
      </w:tr>
      <w:tr w:rsidR="00EE62F4" w:rsidRPr="00687B2F" w:rsidTr="007A0581">
        <w:tc>
          <w:tcPr>
            <w:tcW w:w="7054" w:type="dxa"/>
          </w:tcPr>
          <w:p w:rsidR="00EE62F4" w:rsidRPr="00B21F27" w:rsidRDefault="00EE62F4" w:rsidP="00FC6AFC">
            <w:pPr>
              <w:pStyle w:val="TableTextEntries"/>
            </w:pPr>
            <w:r w:rsidRPr="00B21F27">
              <w:t>Objective 3:</w:t>
            </w:r>
            <w:r>
              <w:t xml:space="preserve"> </w:t>
            </w:r>
            <w:r w:rsidRPr="00B21F27">
              <w:rPr>
                <w:rFonts w:eastAsia="Calibri"/>
              </w:rPr>
              <w:t>Improved transport and energy infrastructure</w:t>
            </w:r>
          </w:p>
        </w:tc>
        <w:tc>
          <w:tcPr>
            <w:tcW w:w="992" w:type="dxa"/>
          </w:tcPr>
          <w:p w:rsidR="00EE62F4" w:rsidRPr="00EE62F4" w:rsidRDefault="00EE62F4" w:rsidP="00EE62F4">
            <w:pPr>
              <w:pStyle w:val="TableTextEntries"/>
              <w:spacing w:before="0"/>
              <w:jc w:val="center"/>
              <w:rPr>
                <w:rFonts w:eastAsia="Calibri"/>
              </w:rPr>
            </w:pPr>
            <w:r w:rsidRPr="00EE62F4">
              <w:rPr>
                <w:rFonts w:eastAsia="Calibri"/>
              </w:rPr>
              <w:t>8.09</w:t>
            </w:r>
          </w:p>
        </w:tc>
        <w:tc>
          <w:tcPr>
            <w:tcW w:w="993" w:type="dxa"/>
          </w:tcPr>
          <w:p w:rsidR="00EE62F4" w:rsidRPr="00EE62F4" w:rsidRDefault="007A5952" w:rsidP="00EE62F4">
            <w:pPr>
              <w:pStyle w:val="TableTextEntries"/>
              <w:spacing w:before="0"/>
              <w:jc w:val="center"/>
              <w:rPr>
                <w:rFonts w:eastAsia="Calibri"/>
              </w:rPr>
            </w:pPr>
            <w:r>
              <w:rPr>
                <w:rFonts w:eastAsia="Calibri"/>
              </w:rPr>
              <w:t>10</w:t>
            </w:r>
          </w:p>
        </w:tc>
      </w:tr>
      <w:tr w:rsidR="00EE62F4" w:rsidRPr="00687B2F" w:rsidTr="007A0581">
        <w:tc>
          <w:tcPr>
            <w:tcW w:w="7054" w:type="dxa"/>
          </w:tcPr>
          <w:p w:rsidR="00EE62F4" w:rsidRPr="00B21F27" w:rsidRDefault="00EE62F4" w:rsidP="00FC6AFC">
            <w:pPr>
              <w:pStyle w:val="TableTextEntries"/>
            </w:pPr>
            <w:r w:rsidRPr="00B21F27">
              <w:t>Objective 4:</w:t>
            </w:r>
            <w:r>
              <w:t xml:space="preserve"> </w:t>
            </w:r>
            <w:r w:rsidRPr="00B21F27">
              <w:rPr>
                <w:rFonts w:eastAsia="Calibri"/>
              </w:rPr>
              <w:t>Women, youth and children are safer and communities have less crime, a more effective non-custodial sentencing system, strengthened evidence-based performance management</w:t>
            </w:r>
          </w:p>
        </w:tc>
        <w:tc>
          <w:tcPr>
            <w:tcW w:w="992" w:type="dxa"/>
          </w:tcPr>
          <w:p w:rsidR="00EE62F4" w:rsidRPr="00EE62F4" w:rsidRDefault="00EE62F4" w:rsidP="00EE62F4">
            <w:pPr>
              <w:pStyle w:val="TableTextEntries"/>
              <w:spacing w:before="0"/>
              <w:jc w:val="center"/>
              <w:rPr>
                <w:rFonts w:eastAsia="Calibri"/>
              </w:rPr>
            </w:pPr>
            <w:r w:rsidRPr="00EE62F4">
              <w:rPr>
                <w:rFonts w:eastAsia="Calibri"/>
              </w:rPr>
              <w:t>9.32</w:t>
            </w:r>
          </w:p>
        </w:tc>
        <w:tc>
          <w:tcPr>
            <w:tcW w:w="993" w:type="dxa"/>
          </w:tcPr>
          <w:p w:rsidR="00EE62F4" w:rsidRPr="00EE62F4" w:rsidRDefault="007A5952" w:rsidP="00EE62F4">
            <w:pPr>
              <w:pStyle w:val="TableTextEntries"/>
              <w:spacing w:before="0"/>
              <w:jc w:val="center"/>
              <w:rPr>
                <w:rFonts w:eastAsia="Calibri"/>
              </w:rPr>
            </w:pPr>
            <w:r>
              <w:rPr>
                <w:rFonts w:eastAsia="Calibri"/>
              </w:rPr>
              <w:t>12</w:t>
            </w:r>
          </w:p>
        </w:tc>
      </w:tr>
      <w:tr w:rsidR="00EE62F4" w:rsidRPr="00687B2F" w:rsidTr="007A0581">
        <w:tc>
          <w:tcPr>
            <w:tcW w:w="7054" w:type="dxa"/>
          </w:tcPr>
          <w:p w:rsidR="00EE62F4" w:rsidRPr="00B21F27" w:rsidRDefault="00EE62F4" w:rsidP="00FC6AFC">
            <w:pPr>
              <w:pStyle w:val="TableTextEntries"/>
            </w:pPr>
            <w:r w:rsidRPr="00B21F27">
              <w:t>Other (cross-cutting themes)</w:t>
            </w:r>
          </w:p>
        </w:tc>
        <w:tc>
          <w:tcPr>
            <w:tcW w:w="992" w:type="dxa"/>
          </w:tcPr>
          <w:p w:rsidR="00EE62F4" w:rsidRPr="00EE62F4" w:rsidRDefault="00EE62F4" w:rsidP="00EE62F4">
            <w:pPr>
              <w:pStyle w:val="TableTextEntries"/>
              <w:spacing w:before="0"/>
              <w:jc w:val="center"/>
              <w:rPr>
                <w:rFonts w:eastAsia="Calibri"/>
              </w:rPr>
            </w:pPr>
            <w:r w:rsidRPr="00EE62F4">
              <w:rPr>
                <w:rFonts w:eastAsia="Calibri"/>
              </w:rPr>
              <w:t>11.98</w:t>
            </w:r>
          </w:p>
        </w:tc>
        <w:tc>
          <w:tcPr>
            <w:tcW w:w="993" w:type="dxa"/>
          </w:tcPr>
          <w:p w:rsidR="00EE62F4" w:rsidRPr="00EE62F4" w:rsidRDefault="007A5952" w:rsidP="00EE62F4">
            <w:pPr>
              <w:pStyle w:val="TableTextEntries"/>
              <w:spacing w:before="0"/>
              <w:jc w:val="center"/>
              <w:rPr>
                <w:rFonts w:eastAsia="Calibri"/>
              </w:rPr>
            </w:pPr>
            <w:r>
              <w:rPr>
                <w:rFonts w:eastAsia="Calibri"/>
              </w:rPr>
              <w:t>15</w:t>
            </w:r>
          </w:p>
        </w:tc>
      </w:tr>
      <w:tr w:rsidR="00EE62F4" w:rsidRPr="00687B2F" w:rsidTr="007A0581">
        <w:tc>
          <w:tcPr>
            <w:tcW w:w="7054" w:type="dxa"/>
          </w:tcPr>
          <w:p w:rsidR="00EE62F4" w:rsidRPr="00687B2F" w:rsidRDefault="00EE62F4" w:rsidP="00687B2F">
            <w:pPr>
              <w:pStyle w:val="BodyText"/>
              <w:keepNext/>
              <w:rPr>
                <w:b/>
                <w:sz w:val="17"/>
                <w:szCs w:val="17"/>
              </w:rPr>
            </w:pPr>
            <w:r w:rsidRPr="00687B2F">
              <w:rPr>
                <w:b/>
                <w:sz w:val="17"/>
                <w:szCs w:val="17"/>
              </w:rPr>
              <w:t>Sub-Total Bilateral</w:t>
            </w:r>
          </w:p>
        </w:tc>
        <w:tc>
          <w:tcPr>
            <w:tcW w:w="992" w:type="dxa"/>
          </w:tcPr>
          <w:p w:rsidR="00EE62F4" w:rsidRPr="00EE62F4" w:rsidRDefault="00EE62F4" w:rsidP="00601BC6">
            <w:pPr>
              <w:pStyle w:val="TableTextEntries"/>
              <w:spacing w:before="0"/>
              <w:jc w:val="center"/>
              <w:rPr>
                <w:rFonts w:eastAsia="Calibri"/>
                <w:b/>
                <w:bCs/>
              </w:rPr>
            </w:pPr>
            <w:r w:rsidRPr="00EE62F4">
              <w:rPr>
                <w:rFonts w:eastAsia="Calibri"/>
                <w:b/>
                <w:bCs/>
              </w:rPr>
              <w:t>59.</w:t>
            </w:r>
            <w:r w:rsidR="00601BC6">
              <w:rPr>
                <w:rFonts w:eastAsia="Calibri"/>
                <w:b/>
                <w:bCs/>
              </w:rPr>
              <w:t>2</w:t>
            </w:r>
          </w:p>
        </w:tc>
        <w:tc>
          <w:tcPr>
            <w:tcW w:w="993" w:type="dxa"/>
          </w:tcPr>
          <w:p w:rsidR="00EE62F4" w:rsidRPr="00366F1A" w:rsidRDefault="00366F1A" w:rsidP="00366F1A">
            <w:pPr>
              <w:pStyle w:val="TableTextEntries"/>
              <w:spacing w:before="0"/>
              <w:jc w:val="center"/>
              <w:rPr>
                <w:rFonts w:eastAsia="Calibri"/>
                <w:b/>
                <w:bCs/>
              </w:rPr>
            </w:pPr>
            <w:r w:rsidRPr="00366F1A">
              <w:rPr>
                <w:rFonts w:eastAsia="Calibri"/>
                <w:b/>
                <w:bCs/>
              </w:rPr>
              <w:t>75</w:t>
            </w:r>
          </w:p>
        </w:tc>
      </w:tr>
      <w:tr w:rsidR="00687B2F" w:rsidRPr="00067755" w:rsidTr="007A0581">
        <w:tc>
          <w:tcPr>
            <w:tcW w:w="7054" w:type="dxa"/>
          </w:tcPr>
          <w:p w:rsidR="00687B2F" w:rsidRPr="00067755" w:rsidRDefault="00687B2F" w:rsidP="00B95C32">
            <w:pPr>
              <w:pStyle w:val="TableTextEntries"/>
              <w:spacing w:before="0"/>
              <w:rPr>
                <w:rFonts w:eastAsia="Calibri"/>
              </w:rPr>
            </w:pPr>
            <w:r w:rsidRPr="00067755">
              <w:rPr>
                <w:rFonts w:eastAsia="Calibri"/>
              </w:rPr>
              <w:t>Regional and Global</w:t>
            </w:r>
          </w:p>
        </w:tc>
        <w:tc>
          <w:tcPr>
            <w:tcW w:w="992" w:type="dxa"/>
          </w:tcPr>
          <w:p w:rsidR="00687B2F" w:rsidRPr="00067755" w:rsidRDefault="00601BC6" w:rsidP="00601BC6">
            <w:pPr>
              <w:pStyle w:val="TableTextEntries"/>
              <w:spacing w:before="0"/>
              <w:jc w:val="center"/>
              <w:rPr>
                <w:rFonts w:eastAsia="Calibri"/>
              </w:rPr>
            </w:pPr>
            <w:r>
              <w:rPr>
                <w:rFonts w:eastAsia="Calibri"/>
              </w:rPr>
              <w:t>31</w:t>
            </w:r>
            <w:r w:rsidR="007A5952" w:rsidRPr="00067755">
              <w:rPr>
                <w:rFonts w:eastAsia="Calibri"/>
              </w:rPr>
              <w:t>.3</w:t>
            </w:r>
          </w:p>
        </w:tc>
        <w:tc>
          <w:tcPr>
            <w:tcW w:w="993" w:type="dxa"/>
          </w:tcPr>
          <w:p w:rsidR="00687B2F" w:rsidRPr="00067755" w:rsidRDefault="00366F1A" w:rsidP="00067755">
            <w:pPr>
              <w:pStyle w:val="TableTextEntries"/>
              <w:spacing w:before="0"/>
              <w:jc w:val="center"/>
              <w:rPr>
                <w:rFonts w:eastAsia="Calibri"/>
              </w:rPr>
            </w:pPr>
            <w:r w:rsidRPr="00067755">
              <w:rPr>
                <w:rFonts w:eastAsia="Calibri"/>
              </w:rPr>
              <w:t>23</w:t>
            </w:r>
          </w:p>
        </w:tc>
      </w:tr>
      <w:tr w:rsidR="00687B2F" w:rsidRPr="00067755" w:rsidTr="007A0581">
        <w:tc>
          <w:tcPr>
            <w:tcW w:w="7054" w:type="dxa"/>
          </w:tcPr>
          <w:p w:rsidR="00687B2F" w:rsidRPr="00067755" w:rsidRDefault="00687B2F" w:rsidP="00B95C32">
            <w:pPr>
              <w:pStyle w:val="TableTextEntries"/>
              <w:spacing w:before="0"/>
              <w:rPr>
                <w:rFonts w:eastAsia="Calibri"/>
              </w:rPr>
            </w:pPr>
            <w:r w:rsidRPr="00067755">
              <w:rPr>
                <w:rFonts w:eastAsia="Calibri"/>
              </w:rPr>
              <w:t>Other Government Departments</w:t>
            </w:r>
          </w:p>
        </w:tc>
        <w:tc>
          <w:tcPr>
            <w:tcW w:w="992" w:type="dxa"/>
          </w:tcPr>
          <w:p w:rsidR="00687B2F" w:rsidRPr="00067755" w:rsidRDefault="007A5952" w:rsidP="00067755">
            <w:pPr>
              <w:pStyle w:val="TableTextEntries"/>
              <w:spacing w:before="0"/>
              <w:jc w:val="center"/>
              <w:rPr>
                <w:rFonts w:eastAsia="Calibri"/>
              </w:rPr>
            </w:pPr>
            <w:r w:rsidRPr="00067755">
              <w:rPr>
                <w:rFonts w:eastAsia="Calibri"/>
              </w:rPr>
              <w:t>1.50</w:t>
            </w:r>
          </w:p>
        </w:tc>
        <w:tc>
          <w:tcPr>
            <w:tcW w:w="993" w:type="dxa"/>
          </w:tcPr>
          <w:p w:rsidR="00687B2F" w:rsidRPr="00366F1A" w:rsidRDefault="00366F1A" w:rsidP="00366F1A">
            <w:pPr>
              <w:pStyle w:val="TableTextEntries"/>
              <w:spacing w:before="0"/>
              <w:jc w:val="center"/>
              <w:rPr>
                <w:rFonts w:eastAsia="Calibri"/>
              </w:rPr>
            </w:pPr>
            <w:r w:rsidRPr="00366F1A">
              <w:rPr>
                <w:rFonts w:eastAsia="Calibri"/>
              </w:rPr>
              <w:t>2</w:t>
            </w:r>
          </w:p>
        </w:tc>
      </w:tr>
      <w:tr w:rsidR="00687B2F" w:rsidRPr="00067755" w:rsidTr="007A0581">
        <w:tc>
          <w:tcPr>
            <w:tcW w:w="7054" w:type="dxa"/>
          </w:tcPr>
          <w:p w:rsidR="00687B2F" w:rsidRPr="00687B2F" w:rsidRDefault="00687B2F" w:rsidP="00B95C32">
            <w:pPr>
              <w:pStyle w:val="BodyText"/>
              <w:keepNext/>
              <w:rPr>
                <w:b/>
                <w:sz w:val="17"/>
                <w:szCs w:val="17"/>
              </w:rPr>
            </w:pPr>
            <w:r w:rsidRPr="00687B2F">
              <w:rPr>
                <w:b/>
                <w:sz w:val="17"/>
                <w:szCs w:val="17"/>
              </w:rPr>
              <w:t>Total</w:t>
            </w:r>
            <w:r w:rsidR="002C5722">
              <w:rPr>
                <w:b/>
                <w:sz w:val="17"/>
                <w:szCs w:val="17"/>
              </w:rPr>
              <w:t xml:space="preserve"> ODA Expenditure</w:t>
            </w:r>
          </w:p>
        </w:tc>
        <w:tc>
          <w:tcPr>
            <w:tcW w:w="992" w:type="dxa"/>
          </w:tcPr>
          <w:p w:rsidR="00687B2F" w:rsidRPr="00067755" w:rsidRDefault="00601BC6" w:rsidP="00067755">
            <w:pPr>
              <w:pStyle w:val="BodyText"/>
              <w:keepNext/>
              <w:jc w:val="center"/>
              <w:rPr>
                <w:b/>
                <w:sz w:val="17"/>
                <w:szCs w:val="17"/>
              </w:rPr>
            </w:pPr>
            <w:r>
              <w:rPr>
                <w:b/>
                <w:sz w:val="17"/>
                <w:szCs w:val="17"/>
              </w:rPr>
              <w:t>92</w:t>
            </w:r>
            <w:r w:rsidR="001E7517" w:rsidRPr="00067755">
              <w:rPr>
                <w:b/>
                <w:sz w:val="17"/>
                <w:szCs w:val="17"/>
              </w:rPr>
              <w:t>.</w:t>
            </w:r>
            <w:r w:rsidR="007A5952" w:rsidRPr="00067755">
              <w:rPr>
                <w:b/>
                <w:sz w:val="17"/>
                <w:szCs w:val="17"/>
              </w:rPr>
              <w:t>00</w:t>
            </w:r>
          </w:p>
        </w:tc>
        <w:tc>
          <w:tcPr>
            <w:tcW w:w="993" w:type="dxa"/>
          </w:tcPr>
          <w:p w:rsidR="00687B2F" w:rsidRPr="00067755" w:rsidRDefault="00333B27" w:rsidP="00067755">
            <w:pPr>
              <w:pStyle w:val="BodyText"/>
              <w:keepNext/>
              <w:jc w:val="center"/>
              <w:rPr>
                <w:b/>
                <w:sz w:val="17"/>
                <w:szCs w:val="17"/>
              </w:rPr>
            </w:pPr>
            <w:r w:rsidRPr="00067755">
              <w:rPr>
                <w:b/>
                <w:sz w:val="17"/>
                <w:szCs w:val="17"/>
              </w:rPr>
              <w:t>100</w:t>
            </w:r>
          </w:p>
        </w:tc>
      </w:tr>
    </w:tbl>
    <w:p w:rsidR="00FC6AFC" w:rsidRPr="00745FE3" w:rsidRDefault="00FC6AFC" w:rsidP="00FC6AFC">
      <w:pPr>
        <w:pStyle w:val="Note"/>
      </w:pPr>
      <w:r w:rsidRPr="00745FE3">
        <w:t>Source: Aid</w:t>
      </w:r>
      <w:r>
        <w:t>W</w:t>
      </w:r>
      <w:r w:rsidRPr="00745FE3">
        <w:t xml:space="preserve">orks – </w:t>
      </w:r>
      <w:r>
        <w:t>DFAT</w:t>
      </w:r>
      <w:r w:rsidRPr="00745FE3">
        <w:t>’s internal financial monitoring system.</w:t>
      </w:r>
    </w:p>
    <w:p w:rsidR="000D733F" w:rsidRPr="00511A0F" w:rsidRDefault="00511A0F" w:rsidP="00511A0F">
      <w:pPr>
        <w:pStyle w:val="Heading2"/>
        <w:rPr>
          <w:sz w:val="28"/>
        </w:rPr>
      </w:pPr>
      <w:r>
        <w:rPr>
          <w:sz w:val="28"/>
        </w:rPr>
        <w:lastRenderedPageBreak/>
        <w:t xml:space="preserve">Progress </w:t>
      </w:r>
      <w:r w:rsidR="00E15678">
        <w:rPr>
          <w:sz w:val="28"/>
        </w:rPr>
        <w:t>towards</w:t>
      </w:r>
      <w:r>
        <w:rPr>
          <w:sz w:val="28"/>
        </w:rPr>
        <w:t xml:space="preserve"> O</w:t>
      </w:r>
      <w:r w:rsidR="000D733F" w:rsidRPr="00511A0F">
        <w:rPr>
          <w:sz w:val="28"/>
        </w:rPr>
        <w:t>bjectives</w:t>
      </w:r>
      <w:r w:rsidR="000D733F" w:rsidRPr="00511A0F">
        <w:rPr>
          <w:sz w:val="28"/>
        </w:rPr>
        <w:tab/>
      </w:r>
    </w:p>
    <w:p w:rsidR="00D96361" w:rsidRDefault="00855141" w:rsidP="00EE38C2">
      <w:pPr>
        <w:pStyle w:val="ListBullet"/>
        <w:numPr>
          <w:ilvl w:val="0"/>
          <w:numId w:val="0"/>
        </w:numPr>
        <w:rPr>
          <w:szCs w:val="22"/>
        </w:rPr>
      </w:pPr>
      <w:r>
        <w:rPr>
          <w:szCs w:val="22"/>
        </w:rPr>
        <w:t>T</w:t>
      </w:r>
      <w:r w:rsidR="0021491A">
        <w:rPr>
          <w:szCs w:val="22"/>
        </w:rPr>
        <w:t>he agriculture</w:t>
      </w:r>
      <w:r w:rsidR="00AA4467">
        <w:rPr>
          <w:szCs w:val="22"/>
        </w:rPr>
        <w:t>,</w:t>
      </w:r>
      <w:r w:rsidR="003E4C78">
        <w:rPr>
          <w:szCs w:val="22"/>
        </w:rPr>
        <w:t xml:space="preserve"> </w:t>
      </w:r>
      <w:r w:rsidR="0021491A">
        <w:rPr>
          <w:szCs w:val="22"/>
        </w:rPr>
        <w:t>health</w:t>
      </w:r>
      <w:r w:rsidR="00AA4467">
        <w:rPr>
          <w:szCs w:val="22"/>
        </w:rPr>
        <w:t xml:space="preserve"> and infrastructure</w:t>
      </w:r>
      <w:r w:rsidR="0021491A">
        <w:rPr>
          <w:szCs w:val="22"/>
        </w:rPr>
        <w:t xml:space="preserve"> programs </w:t>
      </w:r>
      <w:r w:rsidR="00D93000">
        <w:rPr>
          <w:szCs w:val="22"/>
        </w:rPr>
        <w:t>performed as expected</w:t>
      </w:r>
      <w:r w:rsidR="00732176">
        <w:rPr>
          <w:szCs w:val="22"/>
        </w:rPr>
        <w:t xml:space="preserve"> </w:t>
      </w:r>
      <w:r w:rsidR="004B2FC3">
        <w:rPr>
          <w:szCs w:val="22"/>
        </w:rPr>
        <w:t>(</w:t>
      </w:r>
      <w:r w:rsidR="00732176">
        <w:rPr>
          <w:szCs w:val="22"/>
        </w:rPr>
        <w:t xml:space="preserve">objectives </w:t>
      </w:r>
      <w:r w:rsidR="004B2FC3">
        <w:rPr>
          <w:szCs w:val="22"/>
        </w:rPr>
        <w:t>1</w:t>
      </w:r>
      <w:r w:rsidR="00E97F59">
        <w:rPr>
          <w:szCs w:val="22"/>
        </w:rPr>
        <w:t>A</w:t>
      </w:r>
      <w:r w:rsidR="00732176">
        <w:rPr>
          <w:szCs w:val="22"/>
        </w:rPr>
        <w:t xml:space="preserve"> and 1</w:t>
      </w:r>
      <w:r w:rsidR="00E97F59">
        <w:rPr>
          <w:szCs w:val="22"/>
        </w:rPr>
        <w:t>B</w:t>
      </w:r>
      <w:r w:rsidR="004B2FC3">
        <w:rPr>
          <w:szCs w:val="22"/>
        </w:rPr>
        <w:t>, 2 and 3)</w:t>
      </w:r>
      <w:r w:rsidR="001428E3">
        <w:rPr>
          <w:szCs w:val="22"/>
        </w:rPr>
        <w:t xml:space="preserve"> and have been rated green</w:t>
      </w:r>
      <w:r w:rsidR="0021491A">
        <w:rPr>
          <w:szCs w:val="22"/>
        </w:rPr>
        <w:t>.</w:t>
      </w:r>
    </w:p>
    <w:p w:rsidR="00113785" w:rsidRPr="00BF3079" w:rsidRDefault="005A35AC" w:rsidP="00EE38C2">
      <w:pPr>
        <w:pStyle w:val="ListBullet"/>
        <w:numPr>
          <w:ilvl w:val="0"/>
          <w:numId w:val="0"/>
        </w:numPr>
        <w:rPr>
          <w:szCs w:val="22"/>
        </w:rPr>
      </w:pPr>
      <w:r>
        <w:rPr>
          <w:szCs w:val="22"/>
        </w:rPr>
        <w:t>T</w:t>
      </w:r>
      <w:r w:rsidR="001740F2" w:rsidRPr="0059732F">
        <w:t>he law and justice program</w:t>
      </w:r>
      <w:r>
        <w:t xml:space="preserve"> </w:t>
      </w:r>
      <w:r w:rsidR="00121E5A">
        <w:t>only partially achieved</w:t>
      </w:r>
      <w:r>
        <w:t xml:space="preserve"> it</w:t>
      </w:r>
      <w:r w:rsidR="00A0659A">
        <w:t>s</w:t>
      </w:r>
      <w:r>
        <w:t xml:space="preserve"> objective</w:t>
      </w:r>
      <w:r w:rsidR="00121E5A">
        <w:t xml:space="preserve"> (objective 4)</w:t>
      </w:r>
      <w:r w:rsidR="00732176">
        <w:t>, and</w:t>
      </w:r>
      <w:r w:rsidR="002855AF">
        <w:t xml:space="preserve"> </w:t>
      </w:r>
      <w:r w:rsidR="00732176">
        <w:t xml:space="preserve">is rated amber due to continued challenges in </w:t>
      </w:r>
      <w:r w:rsidR="00BF650F">
        <w:t xml:space="preserve">achieving </w:t>
      </w:r>
      <w:r w:rsidR="00732176">
        <w:t>reform</w:t>
      </w:r>
      <w:r w:rsidR="00DB3D52">
        <w:t>.</w:t>
      </w:r>
      <w:r w:rsidR="003B5DBE">
        <w:t xml:space="preserve"> </w:t>
      </w:r>
      <w:r w:rsidR="00DB3D52">
        <w:t xml:space="preserve"> </w:t>
      </w:r>
      <w:r w:rsidR="003B5DBE">
        <w:t>In particular, t</w:t>
      </w:r>
      <w:r w:rsidR="00DB3D52">
        <w:t xml:space="preserve">here was </w:t>
      </w:r>
      <w:r w:rsidR="002855AF" w:rsidRPr="0059732F">
        <w:t>insufficient progress</w:t>
      </w:r>
      <w:r w:rsidR="002855AF">
        <w:t xml:space="preserve"> </w:t>
      </w:r>
      <w:r w:rsidR="00855141">
        <w:t>in developing</w:t>
      </w:r>
      <w:r w:rsidR="002855AF" w:rsidRPr="001428E3">
        <w:t xml:space="preserve"> more effective sentencing </w:t>
      </w:r>
      <w:r w:rsidR="00855141">
        <w:t>and</w:t>
      </w:r>
      <w:r w:rsidR="00DB3D52">
        <w:t xml:space="preserve"> data </w:t>
      </w:r>
      <w:r w:rsidR="002855AF" w:rsidRPr="001428E3">
        <w:t>management system</w:t>
      </w:r>
      <w:r w:rsidR="00855141">
        <w:t>s</w:t>
      </w:r>
      <w:r w:rsidR="0000270E">
        <w:t xml:space="preserve"> </w:t>
      </w:r>
      <w:r w:rsidR="00E33EBB">
        <w:t xml:space="preserve">under the </w:t>
      </w:r>
      <w:r w:rsidR="00E33EBB" w:rsidRPr="0059732F">
        <w:t xml:space="preserve">Cambodia Community Justice Assistance Partnership </w:t>
      </w:r>
      <w:r w:rsidR="00E33EBB">
        <w:t>(CCJAP)</w:t>
      </w:r>
      <w:r w:rsidR="00D96361" w:rsidRPr="00C7796B">
        <w:t>.</w:t>
      </w:r>
      <w:r w:rsidR="003B5DBE">
        <w:t xml:space="preserve"> </w:t>
      </w:r>
      <w:r>
        <w:t xml:space="preserve"> </w:t>
      </w:r>
      <w:r w:rsidR="00D96361">
        <w:t>As foreshadowed in 2013</w:t>
      </w:r>
      <w:r w:rsidR="00AC4796">
        <w:t>-</w:t>
      </w:r>
      <w:r w:rsidR="00D96361">
        <w:t>14,</w:t>
      </w:r>
      <w:r w:rsidR="00D96361" w:rsidRPr="0059732F" w:rsidDel="005A35AC">
        <w:t xml:space="preserve"> </w:t>
      </w:r>
      <w:r>
        <w:t xml:space="preserve">we </w:t>
      </w:r>
      <w:r w:rsidR="001428E3">
        <w:t>developed an exit strategy</w:t>
      </w:r>
      <w:r>
        <w:t xml:space="preserve"> with</w:t>
      </w:r>
      <w:r w:rsidR="00976181" w:rsidRPr="0059732F">
        <w:t xml:space="preserve"> the </w:t>
      </w:r>
      <w:r>
        <w:t xml:space="preserve">Cambodian </w:t>
      </w:r>
      <w:r w:rsidR="00976181" w:rsidRPr="0059732F">
        <w:t xml:space="preserve">Government </w:t>
      </w:r>
      <w:r w:rsidR="002855AF">
        <w:t>which</w:t>
      </w:r>
      <w:r w:rsidR="00976181" w:rsidRPr="0059732F">
        <w:t xml:space="preserve"> reshape</w:t>
      </w:r>
      <w:r w:rsidR="002855AF">
        <w:t>d</w:t>
      </w:r>
      <w:r w:rsidR="00976181" w:rsidRPr="0059732F">
        <w:t xml:space="preserve"> the final phase of </w:t>
      </w:r>
      <w:r w:rsidR="00732176">
        <w:t>CCJAP</w:t>
      </w:r>
      <w:r w:rsidR="001956DC">
        <w:t>. The final phase</w:t>
      </w:r>
      <w:r w:rsidR="00732176">
        <w:t xml:space="preserve"> </w:t>
      </w:r>
      <w:r w:rsidR="00976181" w:rsidRPr="0059732F">
        <w:t>support</w:t>
      </w:r>
      <w:r w:rsidR="001956DC">
        <w:t>s</w:t>
      </w:r>
      <w:r w:rsidR="00976181" w:rsidRPr="0059732F">
        <w:t xml:space="preserve"> only crime prevention and community safety activities</w:t>
      </w:r>
      <w:r w:rsidR="00446068">
        <w:t>,</w:t>
      </w:r>
      <w:r w:rsidR="00976181" w:rsidRPr="0059732F">
        <w:t xml:space="preserve"> with greater emphasis on ending violence against women</w:t>
      </w:r>
      <w:r w:rsidR="001740F2">
        <w:t>.</w:t>
      </w:r>
    </w:p>
    <w:p w:rsidR="0021491A" w:rsidRDefault="0021491A" w:rsidP="00247AAC">
      <w:pPr>
        <w:pStyle w:val="Caption"/>
        <w:keepLines/>
      </w:pPr>
      <w:r>
        <w:t xml:space="preserve">Table </w:t>
      </w:r>
      <w:fldSimple w:instr=" SEQ Table \* ARABIC ">
        <w:r w:rsidR="00A43F72">
          <w:rPr>
            <w:noProof/>
          </w:rPr>
          <w:t>2</w:t>
        </w:r>
      </w:fldSimple>
      <w:r>
        <w:t xml:space="preserve"> Rating of the Program's Progress towards Australia’s Aid Objectives</w:t>
      </w:r>
    </w:p>
    <w:tbl>
      <w:tblPr>
        <w:tblStyle w:val="APPR"/>
        <w:tblW w:w="4364" w:type="pct"/>
        <w:tblLook w:val="0000" w:firstRow="0" w:lastRow="0" w:firstColumn="0" w:lastColumn="0" w:noHBand="0" w:noVBand="0"/>
        <w:tblCaption w:val="Table 2 Rating of the Program's Progress towards Australia’s Aid Objectives"/>
        <w:tblDescription w:val="Table 2 shows the bilateral aid program’s progress towards achieving its aid objectives. Five bilateral aid program objectives have been rated. A rating is provided for financial year 2013-14, under the column ‘Previous Rating’ and for financial year 2014-15, under the column ‘Current rating’.  The rating system uses a three-point scale. Green indicates progress is as expected at this stage of implementation and it is likely that the objective will be achieved. Standard program management practices are sufficient. Amber indicates that progress is somewhat less than expected at this stage of implementation and restorative action will be necessary if the objective is to be achieved. Close performance monitoring is recommended. Red indicates that progress is significantly less than expected at this stage of implementation and the objective is not likely to be met given available resources and priorities. Recasting the objective may be required.  &#10;&#10;Objectives 1A, 1B and 2 were rated green in 2013-14 and were again rated green in 2014-15. Objective 3, improved transport and energy infrastructure, was rated amber in 2013-14 but was rated green in 2014-15. Objective 4, women, youth and children are safer and communities have less crime, a more effective non-custodial sentencing system, strengthened evidence-based performance management, was rated amber in both 2013-14 and 2014-15. "/>
      </w:tblPr>
      <w:tblGrid>
        <w:gridCol w:w="5747"/>
        <w:gridCol w:w="1235"/>
        <w:gridCol w:w="1050"/>
      </w:tblGrid>
      <w:tr w:rsidR="0021491A" w:rsidRPr="00745FE3" w:rsidTr="0021491A">
        <w:trPr>
          <w:cantSplit/>
          <w:tblHeader w:val="0"/>
        </w:trPr>
        <w:tc>
          <w:tcPr>
            <w:tcW w:w="5438" w:type="dxa"/>
          </w:tcPr>
          <w:p w:rsidR="0021491A" w:rsidRPr="00B21F27" w:rsidRDefault="0021491A" w:rsidP="00395B50">
            <w:pPr>
              <w:pStyle w:val="TableTextColumnHeading"/>
            </w:pPr>
            <w:r w:rsidRPr="00B21F27">
              <w:rPr>
                <w:noProof/>
                <w:lang w:eastAsia="en-AU" w:bidi="ar-SA"/>
              </w:rPr>
              <w:drawing>
                <wp:anchor distT="0" distB="0" distL="114300" distR="114300" simplePos="0" relativeHeight="251669504" behindDoc="0" locked="0" layoutInCell="1" allowOverlap="1" wp14:anchorId="6137C50E" wp14:editId="338F989B">
                  <wp:simplePos x="0" y="0"/>
                  <wp:positionH relativeFrom="column">
                    <wp:posOffset>0</wp:posOffset>
                  </wp:positionH>
                  <wp:positionV relativeFrom="paragraph">
                    <wp:posOffset>0</wp:posOffset>
                  </wp:positionV>
                  <wp:extent cx="1857375" cy="228600"/>
                  <wp:effectExtent l="0" t="0" r="9525" b="0"/>
                  <wp:wrapNone/>
                  <wp:docPr id="9" name="Picture 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F27">
              <w:t>Objective</w:t>
            </w:r>
          </w:p>
        </w:tc>
        <w:tc>
          <w:tcPr>
            <w:tcW w:w="1150" w:type="dxa"/>
          </w:tcPr>
          <w:p w:rsidR="0021491A" w:rsidRPr="00B21F27" w:rsidRDefault="0021491A" w:rsidP="00395B50">
            <w:pPr>
              <w:pStyle w:val="TableTextColumnHeading"/>
            </w:pPr>
            <w:r w:rsidRPr="00B21F27">
              <w:t>Previous rating</w:t>
            </w:r>
          </w:p>
        </w:tc>
        <w:tc>
          <w:tcPr>
            <w:tcW w:w="961" w:type="dxa"/>
          </w:tcPr>
          <w:p w:rsidR="0021491A" w:rsidRPr="00B21F27" w:rsidRDefault="00D93000" w:rsidP="00395B50">
            <w:pPr>
              <w:pStyle w:val="TableTextColumnHeading"/>
            </w:pPr>
            <w:r>
              <w:t>Current</w:t>
            </w:r>
            <w:r w:rsidR="0021491A" w:rsidRPr="00B21F27">
              <w:t xml:space="preserve"> rating</w:t>
            </w:r>
          </w:p>
        </w:tc>
      </w:tr>
      <w:tr w:rsidR="0021491A" w:rsidRPr="00745FE3" w:rsidTr="0021491A">
        <w:trPr>
          <w:cnfStyle w:val="000000010000" w:firstRow="0" w:lastRow="0" w:firstColumn="0" w:lastColumn="0" w:oddVBand="0" w:evenVBand="0" w:oddHBand="0" w:evenHBand="1" w:firstRowFirstColumn="0" w:firstRowLastColumn="0" w:lastRowFirstColumn="0" w:lastRowLastColumn="0"/>
          <w:cantSplit/>
          <w:tblHeader w:val="0"/>
        </w:trPr>
        <w:tc>
          <w:tcPr>
            <w:tcW w:w="5438" w:type="dxa"/>
          </w:tcPr>
          <w:p w:rsidR="0021491A" w:rsidRPr="00B21F27" w:rsidRDefault="0021491A" w:rsidP="0021491A">
            <w:pPr>
              <w:pStyle w:val="TableTextEntries"/>
            </w:pPr>
            <w:r w:rsidRPr="00B21F27">
              <w:t xml:space="preserve">Objective 1A: </w:t>
            </w:r>
            <w:r w:rsidRPr="00B21F27">
              <w:rPr>
                <w:rFonts w:eastAsia="Calibri"/>
              </w:rPr>
              <w:t>Increased value of agricultural production and smallholder income in targeted provinces</w:t>
            </w:r>
          </w:p>
        </w:tc>
        <w:tc>
          <w:tcPr>
            <w:tcW w:w="1150" w:type="dxa"/>
            <w:shd w:val="clear" w:color="auto" w:fill="92D050"/>
            <w:noWrap/>
          </w:tcPr>
          <w:p w:rsidR="0021491A" w:rsidRPr="00B21F27" w:rsidRDefault="0021491A" w:rsidP="0021491A">
            <w:pPr>
              <w:pStyle w:val="TableTextEntries"/>
            </w:pPr>
            <w:r w:rsidRPr="00B21F27">
              <w:t>Green</w:t>
            </w:r>
          </w:p>
        </w:tc>
        <w:tc>
          <w:tcPr>
            <w:tcW w:w="961" w:type="dxa"/>
            <w:shd w:val="clear" w:color="auto" w:fill="92D050"/>
          </w:tcPr>
          <w:p w:rsidR="0021491A" w:rsidRPr="00B21F27" w:rsidRDefault="0021491A" w:rsidP="0021491A">
            <w:pPr>
              <w:pStyle w:val="TableTextEntries"/>
            </w:pPr>
            <w:r>
              <w:t>Green</w:t>
            </w:r>
          </w:p>
        </w:tc>
      </w:tr>
      <w:tr w:rsidR="0021491A" w:rsidRPr="00745FE3" w:rsidTr="0021491A">
        <w:trPr>
          <w:cantSplit/>
          <w:tblHeader w:val="0"/>
        </w:trPr>
        <w:tc>
          <w:tcPr>
            <w:tcW w:w="5438" w:type="dxa"/>
          </w:tcPr>
          <w:p w:rsidR="0021491A" w:rsidRPr="00B21F27" w:rsidRDefault="0021491A" w:rsidP="0021491A">
            <w:pPr>
              <w:pStyle w:val="TableTextEntries"/>
            </w:pPr>
            <w:r w:rsidRPr="00B21F27">
              <w:t xml:space="preserve">Objective 1B: </w:t>
            </w:r>
            <w:r w:rsidRPr="00B21F27">
              <w:rPr>
                <w:rFonts w:eastAsia="Calibri"/>
              </w:rPr>
              <w:t>Increased food and livelihood security for the rural poor through social protection and landmine clearance</w:t>
            </w:r>
          </w:p>
        </w:tc>
        <w:tc>
          <w:tcPr>
            <w:tcW w:w="1150" w:type="dxa"/>
            <w:tcBorders>
              <w:top w:val="nil"/>
              <w:bottom w:val="nil"/>
            </w:tcBorders>
            <w:shd w:val="clear" w:color="auto" w:fill="92D050"/>
            <w:noWrap/>
          </w:tcPr>
          <w:p w:rsidR="0021491A" w:rsidRPr="00B21F27" w:rsidRDefault="0021491A" w:rsidP="0021491A">
            <w:pPr>
              <w:pStyle w:val="TableTextEntries"/>
            </w:pPr>
            <w:r w:rsidRPr="00B21F27">
              <w:t>Green</w:t>
            </w:r>
          </w:p>
        </w:tc>
        <w:tc>
          <w:tcPr>
            <w:tcW w:w="961" w:type="dxa"/>
            <w:tcBorders>
              <w:top w:val="nil"/>
              <w:bottom w:val="nil"/>
            </w:tcBorders>
            <w:shd w:val="clear" w:color="auto" w:fill="92D050"/>
          </w:tcPr>
          <w:p w:rsidR="0021491A" w:rsidRPr="00B21F27" w:rsidRDefault="0021491A" w:rsidP="0021491A">
            <w:pPr>
              <w:pStyle w:val="TableTextEntries"/>
            </w:pPr>
            <w:r>
              <w:t>Green</w:t>
            </w:r>
          </w:p>
        </w:tc>
      </w:tr>
      <w:tr w:rsidR="0021491A" w:rsidRPr="00745FE3" w:rsidTr="0021491A">
        <w:trPr>
          <w:cnfStyle w:val="000000010000" w:firstRow="0" w:lastRow="0" w:firstColumn="0" w:lastColumn="0" w:oddVBand="0" w:evenVBand="0" w:oddHBand="0" w:evenHBand="1" w:firstRowFirstColumn="0" w:firstRowLastColumn="0" w:lastRowFirstColumn="0" w:lastRowLastColumn="0"/>
          <w:cantSplit/>
          <w:tblHeader w:val="0"/>
        </w:trPr>
        <w:tc>
          <w:tcPr>
            <w:tcW w:w="5438" w:type="dxa"/>
          </w:tcPr>
          <w:p w:rsidR="0021491A" w:rsidRPr="00B21F27" w:rsidRDefault="0021491A" w:rsidP="0021491A">
            <w:pPr>
              <w:pStyle w:val="TableTextEntries"/>
            </w:pPr>
            <w:r w:rsidRPr="00B21F27">
              <w:t>Objective 2:</w:t>
            </w:r>
            <w:r>
              <w:t xml:space="preserve"> </w:t>
            </w:r>
            <w:r w:rsidRPr="00B21F27">
              <w:rPr>
                <w:rFonts w:eastAsia="Calibri"/>
              </w:rPr>
              <w:t>Increased access to quality health services through improved health management</w:t>
            </w:r>
          </w:p>
        </w:tc>
        <w:tc>
          <w:tcPr>
            <w:tcW w:w="1150" w:type="dxa"/>
            <w:shd w:val="clear" w:color="auto" w:fill="92D050"/>
            <w:noWrap/>
          </w:tcPr>
          <w:p w:rsidR="0021491A" w:rsidRPr="00B21F27" w:rsidRDefault="0021491A" w:rsidP="0021491A">
            <w:pPr>
              <w:pStyle w:val="TableTextEntries"/>
            </w:pPr>
            <w:r w:rsidRPr="00B21F27">
              <w:t>Green</w:t>
            </w:r>
          </w:p>
        </w:tc>
        <w:tc>
          <w:tcPr>
            <w:tcW w:w="961" w:type="dxa"/>
            <w:shd w:val="clear" w:color="auto" w:fill="92D050"/>
          </w:tcPr>
          <w:p w:rsidR="0021491A" w:rsidRPr="00B21F27" w:rsidRDefault="0021491A" w:rsidP="0021491A">
            <w:pPr>
              <w:pStyle w:val="TableTextEntries"/>
            </w:pPr>
            <w:r>
              <w:t>Green</w:t>
            </w:r>
          </w:p>
        </w:tc>
      </w:tr>
      <w:tr w:rsidR="0021491A" w:rsidRPr="00745FE3" w:rsidTr="0021491A">
        <w:trPr>
          <w:cantSplit/>
          <w:tblHeader w:val="0"/>
        </w:trPr>
        <w:tc>
          <w:tcPr>
            <w:tcW w:w="5438" w:type="dxa"/>
          </w:tcPr>
          <w:p w:rsidR="0021491A" w:rsidRPr="00B21F27" w:rsidRDefault="0021491A" w:rsidP="0021491A">
            <w:pPr>
              <w:pStyle w:val="TableTextEntries"/>
            </w:pPr>
            <w:r w:rsidRPr="00B21F27">
              <w:t>Objective 3:</w:t>
            </w:r>
            <w:r>
              <w:t xml:space="preserve"> </w:t>
            </w:r>
            <w:r w:rsidRPr="00B21F27">
              <w:rPr>
                <w:rFonts w:eastAsia="Calibri"/>
              </w:rPr>
              <w:t>Improved transport and energy infrastructure</w:t>
            </w:r>
          </w:p>
        </w:tc>
        <w:tc>
          <w:tcPr>
            <w:tcW w:w="1150" w:type="dxa"/>
            <w:tcBorders>
              <w:top w:val="nil"/>
              <w:bottom w:val="nil"/>
            </w:tcBorders>
            <w:shd w:val="clear" w:color="auto" w:fill="F79646" w:themeFill="accent6"/>
            <w:noWrap/>
          </w:tcPr>
          <w:p w:rsidR="0021491A" w:rsidRPr="00413B19" w:rsidRDefault="0021491A" w:rsidP="0021491A">
            <w:pPr>
              <w:pStyle w:val="TableTextEntries"/>
              <w:rPr>
                <w:color w:val="FF0000"/>
              </w:rPr>
            </w:pPr>
            <w:r w:rsidRPr="00413B19">
              <w:rPr>
                <w:color w:val="000000" w:themeColor="text1"/>
              </w:rPr>
              <w:t>Amber</w:t>
            </w:r>
          </w:p>
        </w:tc>
        <w:tc>
          <w:tcPr>
            <w:tcW w:w="961" w:type="dxa"/>
            <w:tcBorders>
              <w:top w:val="nil"/>
              <w:bottom w:val="nil"/>
            </w:tcBorders>
            <w:shd w:val="clear" w:color="auto" w:fill="92D050"/>
          </w:tcPr>
          <w:p w:rsidR="0021491A" w:rsidRPr="00413B19" w:rsidRDefault="0021491A" w:rsidP="0021491A">
            <w:pPr>
              <w:pStyle w:val="TableTextEntries"/>
              <w:rPr>
                <w:color w:val="FF0000"/>
              </w:rPr>
            </w:pPr>
            <w:r>
              <w:t>Green</w:t>
            </w:r>
          </w:p>
        </w:tc>
      </w:tr>
      <w:tr w:rsidR="0021491A" w:rsidRPr="00745FE3" w:rsidTr="00366F1A">
        <w:trPr>
          <w:cnfStyle w:val="000000010000" w:firstRow="0" w:lastRow="0" w:firstColumn="0" w:lastColumn="0" w:oddVBand="0" w:evenVBand="0" w:oddHBand="0" w:evenHBand="1" w:firstRowFirstColumn="0" w:firstRowLastColumn="0" w:lastRowFirstColumn="0" w:lastRowLastColumn="0"/>
          <w:cantSplit/>
          <w:tblHeader w:val="0"/>
        </w:trPr>
        <w:tc>
          <w:tcPr>
            <w:tcW w:w="5438" w:type="dxa"/>
          </w:tcPr>
          <w:p w:rsidR="0021491A" w:rsidRPr="00B21F27" w:rsidRDefault="0021491A" w:rsidP="00225D79">
            <w:pPr>
              <w:pStyle w:val="TableTextEntries"/>
            </w:pPr>
            <w:r w:rsidRPr="00B21F27">
              <w:rPr>
                <w:rFonts w:eastAsia="Calibri"/>
              </w:rPr>
              <w:t>Objective 4:</w:t>
            </w:r>
            <w:r>
              <w:rPr>
                <w:rFonts w:eastAsia="Calibri"/>
              </w:rPr>
              <w:t xml:space="preserve"> </w:t>
            </w:r>
            <w:r w:rsidRPr="00B21F27">
              <w:rPr>
                <w:rFonts w:eastAsia="Calibri"/>
              </w:rPr>
              <w:t>Women, youth and children are safer and communities have less crime</w:t>
            </w:r>
          </w:p>
        </w:tc>
        <w:tc>
          <w:tcPr>
            <w:tcW w:w="1150" w:type="dxa"/>
            <w:shd w:val="clear" w:color="auto" w:fill="F79646" w:themeFill="accent6"/>
            <w:noWrap/>
          </w:tcPr>
          <w:p w:rsidR="0021491A" w:rsidRPr="00B21F27" w:rsidRDefault="0021491A" w:rsidP="0021491A">
            <w:pPr>
              <w:pStyle w:val="TableTextEntries"/>
            </w:pPr>
            <w:r>
              <w:t>Amber</w:t>
            </w:r>
          </w:p>
        </w:tc>
        <w:tc>
          <w:tcPr>
            <w:tcW w:w="961" w:type="dxa"/>
            <w:shd w:val="clear" w:color="auto" w:fill="F79646" w:themeFill="accent6"/>
          </w:tcPr>
          <w:p w:rsidR="0021491A" w:rsidRPr="00366F1A" w:rsidRDefault="00366F1A" w:rsidP="0021491A">
            <w:pPr>
              <w:pStyle w:val="TableTextEntries"/>
            </w:pPr>
            <w:r w:rsidRPr="00366F1A">
              <w:t>Amber</w:t>
            </w:r>
          </w:p>
        </w:tc>
      </w:tr>
    </w:tbl>
    <w:p w:rsidR="0021491A" w:rsidRPr="00180B19" w:rsidRDefault="0021491A" w:rsidP="0021491A">
      <w:pPr>
        <w:pStyle w:val="Note"/>
      </w:pPr>
      <w:r w:rsidRPr="00180B19">
        <w:t xml:space="preserve">Note: </w:t>
      </w:r>
    </w:p>
    <w:p w:rsidR="0021491A" w:rsidRPr="00180B19" w:rsidRDefault="0021491A" w:rsidP="0021491A">
      <w:pPr>
        <w:pStyle w:val="Note"/>
      </w:pPr>
      <w:r w:rsidRPr="00E74404">
        <w:rPr>
          <w:color w:val="72AF2F"/>
        </w:rPr>
        <w:sym w:font="Webdings" w:char="F067"/>
      </w:r>
      <w:r w:rsidRPr="00180B19">
        <w:t> </w:t>
      </w:r>
      <w:r w:rsidRPr="00180B19">
        <w:t xml:space="preserve"> </w:t>
      </w:r>
      <w:r>
        <w:t xml:space="preserve">Green. </w:t>
      </w:r>
      <w:r w:rsidRPr="00180B19">
        <w:t xml:space="preserve">Progress is as expected for this point in time and it is likely that the objective will be achieved. </w:t>
      </w:r>
    </w:p>
    <w:p w:rsidR="0021491A" w:rsidRPr="00180B19" w:rsidRDefault="0021491A" w:rsidP="0021491A">
      <w:pPr>
        <w:pStyle w:val="Note"/>
      </w:pPr>
      <w:r w:rsidRPr="00E74404">
        <w:rPr>
          <w:color w:val="E36C0A"/>
        </w:rPr>
        <w:sym w:font="Webdings" w:char="F067"/>
      </w:r>
      <w:r w:rsidRPr="00180B19">
        <w:t> </w:t>
      </w:r>
      <w:r w:rsidRPr="00180B19">
        <w:t xml:space="preserve"> </w:t>
      </w:r>
      <w:r>
        <w:t xml:space="preserve">Amber. </w:t>
      </w:r>
      <w:r w:rsidRPr="00180B19">
        <w:t xml:space="preserve">Progress is somewhat less than expected for this point in time and </w:t>
      </w:r>
      <w:r w:rsidR="001740F2">
        <w:t>the objective will not be fully achieved.</w:t>
      </w:r>
    </w:p>
    <w:p w:rsidR="00BF3079" w:rsidRPr="00BF3079" w:rsidRDefault="00BF3079" w:rsidP="00C86F56">
      <w:pPr>
        <w:spacing w:after="200" w:line="276" w:lineRule="auto"/>
      </w:pPr>
    </w:p>
    <w:tbl>
      <w:tblPr>
        <w:tblStyle w:val="APPR"/>
        <w:tblW w:w="5000" w:type="pct"/>
        <w:tblLook w:val="01E0" w:firstRow="1" w:lastRow="1" w:firstColumn="1" w:lastColumn="1" w:noHBand="0" w:noVBand="0"/>
      </w:tblPr>
      <w:tblGrid>
        <w:gridCol w:w="7373"/>
        <w:gridCol w:w="1829"/>
      </w:tblGrid>
      <w:tr w:rsidR="00CD41D5" w:rsidRPr="00745FE3" w:rsidTr="00976181">
        <w:trPr>
          <w:cnfStyle w:val="100000000000" w:firstRow="1" w:lastRow="0" w:firstColumn="0" w:lastColumn="0" w:oddVBand="0" w:evenVBand="0" w:oddHBand="0" w:evenHBand="0" w:firstRowFirstColumn="0" w:firstRowLastColumn="0" w:lastRowFirstColumn="0" w:lastRowLastColumn="0"/>
        </w:trPr>
        <w:tc>
          <w:tcPr>
            <w:tcW w:w="3981" w:type="pct"/>
          </w:tcPr>
          <w:p w:rsidR="00CD41D5" w:rsidRPr="00C86F56" w:rsidRDefault="009C6AE7" w:rsidP="00976181">
            <w:pPr>
              <w:pStyle w:val="TableTextEntries"/>
              <w:rPr>
                <w:rFonts w:eastAsia="Calibri"/>
                <w:sz w:val="24"/>
                <w:szCs w:val="24"/>
              </w:rPr>
            </w:pPr>
            <w:r w:rsidRPr="00C86F56">
              <w:rPr>
                <w:rFonts w:eastAsia="Calibri"/>
                <w:sz w:val="24"/>
                <w:szCs w:val="24"/>
              </w:rPr>
              <w:t>OBJECTIVE 1A</w:t>
            </w:r>
            <w:r w:rsidR="00CD41D5" w:rsidRPr="00C86F56">
              <w:rPr>
                <w:rFonts w:eastAsia="Calibri"/>
                <w:sz w:val="24"/>
                <w:szCs w:val="24"/>
              </w:rPr>
              <w:t>: Increased value of agricultural production and smallholder income in targeted provinces.</w:t>
            </w:r>
          </w:p>
        </w:tc>
        <w:tc>
          <w:tcPr>
            <w:tcW w:w="971" w:type="pct"/>
            <w:shd w:val="clear" w:color="auto" w:fill="92D050"/>
          </w:tcPr>
          <w:p w:rsidR="00CD41D5" w:rsidRPr="00A51634" w:rsidRDefault="00CD41D5" w:rsidP="00976181">
            <w:pPr>
              <w:pStyle w:val="TableTextEntries"/>
              <w:jc w:val="center"/>
              <w:rPr>
                <w:rFonts w:eastAsia="Calibri"/>
              </w:rPr>
            </w:pPr>
            <w:r w:rsidRPr="00A51634">
              <w:rPr>
                <w:rFonts w:eastAsia="Calibri"/>
              </w:rPr>
              <w:t>Green</w:t>
            </w:r>
          </w:p>
        </w:tc>
      </w:tr>
    </w:tbl>
    <w:p w:rsidR="00855141" w:rsidRDefault="00855141" w:rsidP="008B7793">
      <w:pPr>
        <w:pStyle w:val="ListBullet"/>
        <w:numPr>
          <w:ilvl w:val="0"/>
          <w:numId w:val="0"/>
        </w:numPr>
        <w:rPr>
          <w:szCs w:val="21"/>
        </w:rPr>
      </w:pPr>
    </w:p>
    <w:p w:rsidR="00FD35E7" w:rsidRDefault="00C21670" w:rsidP="008B7793">
      <w:pPr>
        <w:pStyle w:val="ListBullet"/>
        <w:numPr>
          <w:ilvl w:val="0"/>
          <w:numId w:val="0"/>
        </w:numPr>
        <w:rPr>
          <w:rFonts w:eastAsiaTheme="minorHAnsi" w:cs="Franklin Gothic Book"/>
          <w:szCs w:val="21"/>
        </w:rPr>
      </w:pPr>
      <w:r w:rsidRPr="00F030F5">
        <w:rPr>
          <w:szCs w:val="21"/>
        </w:rPr>
        <w:t xml:space="preserve">Progress towards </w:t>
      </w:r>
      <w:r w:rsidR="008065B5" w:rsidRPr="00F030F5">
        <w:rPr>
          <w:szCs w:val="21"/>
        </w:rPr>
        <w:t>o</w:t>
      </w:r>
      <w:r w:rsidRPr="00F030F5">
        <w:rPr>
          <w:szCs w:val="21"/>
        </w:rPr>
        <w:t>bjective 1A remained</w:t>
      </w:r>
      <w:r w:rsidR="00022D77" w:rsidRPr="00F030F5">
        <w:rPr>
          <w:szCs w:val="21"/>
        </w:rPr>
        <w:t xml:space="preserve"> </w:t>
      </w:r>
      <w:r w:rsidRPr="00F030F5">
        <w:rPr>
          <w:szCs w:val="21"/>
        </w:rPr>
        <w:t>on track</w:t>
      </w:r>
      <w:r w:rsidR="00022D77" w:rsidRPr="00F030F5">
        <w:rPr>
          <w:szCs w:val="21"/>
        </w:rPr>
        <w:t xml:space="preserve"> through </w:t>
      </w:r>
      <w:r w:rsidRPr="00F030F5">
        <w:rPr>
          <w:szCs w:val="21"/>
        </w:rPr>
        <w:t xml:space="preserve">the </w:t>
      </w:r>
      <w:r w:rsidR="00022D77" w:rsidRPr="00F030F5">
        <w:rPr>
          <w:szCs w:val="21"/>
        </w:rPr>
        <w:t xml:space="preserve">continued strong performance of </w:t>
      </w:r>
      <w:r w:rsidR="00F81AEE">
        <w:rPr>
          <w:szCs w:val="21"/>
        </w:rPr>
        <w:t xml:space="preserve">the </w:t>
      </w:r>
      <w:r w:rsidR="00F81AEE" w:rsidRPr="00E211AE">
        <w:t>Cambodia Agricultural Value Chain program (CAVAC</w:t>
      </w:r>
      <w:r w:rsidR="00F81AEE">
        <w:t>)</w:t>
      </w:r>
      <w:r w:rsidR="00855141">
        <w:rPr>
          <w:szCs w:val="21"/>
        </w:rPr>
        <w:t xml:space="preserve">, and </w:t>
      </w:r>
      <w:r w:rsidR="00022D77" w:rsidRPr="00F030F5">
        <w:rPr>
          <w:szCs w:val="21"/>
        </w:rPr>
        <w:t>was rated green</w:t>
      </w:r>
      <w:r w:rsidR="00022D77" w:rsidRPr="00735E5B">
        <w:rPr>
          <w:szCs w:val="21"/>
        </w:rPr>
        <w:t>.</w:t>
      </w:r>
      <w:r w:rsidR="00F030F5" w:rsidRPr="00092ACC">
        <w:rPr>
          <w:szCs w:val="21"/>
        </w:rPr>
        <w:t xml:space="preserve">  </w:t>
      </w:r>
      <w:r w:rsidR="00F81AEE">
        <w:rPr>
          <w:szCs w:val="21"/>
        </w:rPr>
        <w:t xml:space="preserve">CAVAC, </w:t>
      </w:r>
      <w:r w:rsidR="00F81AEE">
        <w:rPr>
          <w:rFonts w:eastAsiaTheme="minorHAnsi" w:cs="Franklin Gothic Book"/>
          <w:szCs w:val="21"/>
        </w:rPr>
        <w:t>which began in 2007,</w:t>
      </w:r>
      <w:r w:rsidR="00855141" w:rsidRPr="00247AAC">
        <w:rPr>
          <w:szCs w:val="21"/>
        </w:rPr>
        <w:t xml:space="preserve"> is recognised as a leading example of aid delivered in collaboration with the private sector.  </w:t>
      </w:r>
      <w:r w:rsidR="00B53263">
        <w:rPr>
          <w:szCs w:val="21"/>
        </w:rPr>
        <w:t>It</w:t>
      </w:r>
      <w:r w:rsidR="00B53263" w:rsidRPr="00735E5B">
        <w:rPr>
          <w:rFonts w:eastAsiaTheme="minorHAnsi" w:cs="Franklin Gothic Book"/>
          <w:szCs w:val="21"/>
        </w:rPr>
        <w:t xml:space="preserve"> helps farmers </w:t>
      </w:r>
      <w:r w:rsidR="00DF21E2" w:rsidRPr="00224C57">
        <w:rPr>
          <w:rFonts w:eastAsiaTheme="minorHAnsi" w:cs="Franklin Gothic Book"/>
          <w:szCs w:val="21"/>
        </w:rPr>
        <w:t xml:space="preserve">increase </w:t>
      </w:r>
      <w:r w:rsidR="00DF21E2">
        <w:rPr>
          <w:rFonts w:eastAsiaTheme="minorHAnsi" w:cs="Franklin Gothic Book"/>
          <w:szCs w:val="21"/>
        </w:rPr>
        <w:t xml:space="preserve">their </w:t>
      </w:r>
      <w:r w:rsidR="00DF21E2" w:rsidRPr="00224C57">
        <w:rPr>
          <w:rFonts w:eastAsiaTheme="minorHAnsi" w:cs="Franklin Gothic Book"/>
          <w:szCs w:val="21"/>
        </w:rPr>
        <w:t>crop yield</w:t>
      </w:r>
      <w:r w:rsidR="00DF21E2">
        <w:rPr>
          <w:rFonts w:eastAsiaTheme="minorHAnsi" w:cs="Franklin Gothic Book"/>
          <w:szCs w:val="21"/>
        </w:rPr>
        <w:t>s</w:t>
      </w:r>
      <w:r w:rsidR="00DF21E2" w:rsidRPr="00224C57">
        <w:rPr>
          <w:rFonts w:eastAsiaTheme="minorHAnsi" w:cs="Franklin Gothic Book"/>
          <w:szCs w:val="21"/>
        </w:rPr>
        <w:t xml:space="preserve"> and income</w:t>
      </w:r>
      <w:r w:rsidR="00DF21E2">
        <w:rPr>
          <w:rFonts w:eastAsiaTheme="minorHAnsi" w:cs="Franklin Gothic Book"/>
          <w:szCs w:val="21"/>
        </w:rPr>
        <w:t>s by</w:t>
      </w:r>
      <w:r w:rsidR="00F030F5" w:rsidRPr="00224C57">
        <w:rPr>
          <w:rFonts w:eastAsiaTheme="minorHAnsi" w:cs="Franklin Gothic Book"/>
          <w:szCs w:val="21"/>
        </w:rPr>
        <w:t xml:space="preserve"> providing </w:t>
      </w:r>
      <w:r w:rsidR="00DF21E2">
        <w:rPr>
          <w:rFonts w:eastAsiaTheme="minorHAnsi" w:cs="Franklin Gothic Book"/>
          <w:szCs w:val="21"/>
        </w:rPr>
        <w:t xml:space="preserve">them </w:t>
      </w:r>
      <w:r w:rsidR="00F030F5" w:rsidRPr="00224C57">
        <w:rPr>
          <w:rFonts w:eastAsiaTheme="minorHAnsi" w:cs="Franklin Gothic Book"/>
          <w:szCs w:val="21"/>
        </w:rPr>
        <w:t xml:space="preserve">with better inputs </w:t>
      </w:r>
      <w:r w:rsidR="00855141">
        <w:rPr>
          <w:rFonts w:eastAsiaTheme="minorHAnsi" w:cs="Franklin Gothic Book"/>
          <w:szCs w:val="21"/>
        </w:rPr>
        <w:t xml:space="preserve">– including </w:t>
      </w:r>
      <w:r w:rsidR="00F030F5" w:rsidRPr="00224C57">
        <w:rPr>
          <w:rFonts w:eastAsiaTheme="minorHAnsi" w:cs="Franklin Gothic Book"/>
          <w:szCs w:val="21"/>
        </w:rPr>
        <w:t xml:space="preserve">seeds, </w:t>
      </w:r>
      <w:r w:rsidR="00855141">
        <w:rPr>
          <w:rFonts w:eastAsiaTheme="minorHAnsi" w:cs="Franklin Gothic Book"/>
          <w:szCs w:val="21"/>
        </w:rPr>
        <w:t>fertiliser, pesticide</w:t>
      </w:r>
      <w:r w:rsidR="00B53263">
        <w:rPr>
          <w:rFonts w:eastAsiaTheme="minorHAnsi" w:cs="Franklin Gothic Book"/>
          <w:szCs w:val="21"/>
        </w:rPr>
        <w:t xml:space="preserve"> and</w:t>
      </w:r>
      <w:r w:rsidR="00855141">
        <w:rPr>
          <w:rFonts w:eastAsiaTheme="minorHAnsi" w:cs="Franklin Gothic Book"/>
          <w:szCs w:val="21"/>
        </w:rPr>
        <w:t xml:space="preserve"> water -</w:t>
      </w:r>
      <w:r w:rsidR="00F030F5" w:rsidRPr="00224C57">
        <w:rPr>
          <w:rFonts w:eastAsiaTheme="minorHAnsi" w:cs="Franklin Gothic Book"/>
          <w:szCs w:val="21"/>
        </w:rPr>
        <w:t xml:space="preserve"> and information </w:t>
      </w:r>
      <w:r w:rsidR="00855141">
        <w:rPr>
          <w:rFonts w:eastAsiaTheme="minorHAnsi" w:cs="Franklin Gothic Book"/>
          <w:szCs w:val="21"/>
        </w:rPr>
        <w:t xml:space="preserve">on </w:t>
      </w:r>
      <w:r w:rsidR="00F030F5" w:rsidRPr="00224C57">
        <w:rPr>
          <w:rFonts w:eastAsiaTheme="minorHAnsi" w:cs="Franklin Gothic Book"/>
          <w:szCs w:val="21"/>
        </w:rPr>
        <w:t xml:space="preserve">modern farming techniques.  </w:t>
      </w:r>
      <w:r w:rsidR="00855141">
        <w:rPr>
          <w:rFonts w:eastAsiaTheme="minorHAnsi" w:cs="Franklin Gothic Book"/>
          <w:szCs w:val="21"/>
        </w:rPr>
        <w:t>T</w:t>
      </w:r>
      <w:r w:rsidR="00F030F5" w:rsidRPr="00224C57">
        <w:rPr>
          <w:rFonts w:eastAsiaTheme="minorHAnsi" w:cs="Franklin Gothic Book"/>
          <w:szCs w:val="21"/>
        </w:rPr>
        <w:t>he</w:t>
      </w:r>
      <w:r w:rsidR="00855141">
        <w:rPr>
          <w:rFonts w:eastAsiaTheme="minorHAnsi" w:cs="Franklin Gothic Book"/>
          <w:szCs w:val="21"/>
        </w:rPr>
        <w:t xml:space="preserve"> innovative component of CAVAC is that</w:t>
      </w:r>
      <w:r w:rsidR="00F030F5" w:rsidRPr="00224C57">
        <w:rPr>
          <w:rFonts w:eastAsiaTheme="minorHAnsi" w:cs="Franklin Gothic Book"/>
          <w:szCs w:val="21"/>
        </w:rPr>
        <w:t xml:space="preserve"> instead of working primarily through </w:t>
      </w:r>
      <w:r w:rsidR="00855141">
        <w:rPr>
          <w:rFonts w:eastAsiaTheme="minorHAnsi" w:cs="Franklin Gothic Book"/>
          <w:szCs w:val="21"/>
        </w:rPr>
        <w:t>G</w:t>
      </w:r>
      <w:r w:rsidR="00F030F5" w:rsidRPr="00224C57">
        <w:rPr>
          <w:rFonts w:eastAsiaTheme="minorHAnsi" w:cs="Franklin Gothic Book"/>
          <w:szCs w:val="21"/>
        </w:rPr>
        <w:t>overnment agriculture extension workers or di</w:t>
      </w:r>
      <w:r w:rsidR="00855141">
        <w:rPr>
          <w:rFonts w:eastAsiaTheme="minorHAnsi" w:cs="Franklin Gothic Book"/>
          <w:szCs w:val="21"/>
        </w:rPr>
        <w:t>rectly with farmers, it</w:t>
      </w:r>
      <w:r w:rsidR="00F030F5" w:rsidRPr="00C9233F">
        <w:rPr>
          <w:rFonts w:eastAsiaTheme="minorHAnsi" w:cs="Franklin Gothic Book"/>
          <w:szCs w:val="21"/>
        </w:rPr>
        <w:t xml:space="preserve"> </w:t>
      </w:r>
      <w:r w:rsidR="00FD35E7">
        <w:rPr>
          <w:rFonts w:eastAsiaTheme="minorHAnsi" w:cs="Franklin Gothic Book"/>
          <w:szCs w:val="21"/>
        </w:rPr>
        <w:t>i</w:t>
      </w:r>
      <w:r w:rsidR="00FD35E7" w:rsidRPr="00C9233F">
        <w:rPr>
          <w:rFonts w:eastAsiaTheme="minorHAnsi" w:cs="Franklin Gothic Book"/>
          <w:szCs w:val="21"/>
        </w:rPr>
        <w:t>mprov</w:t>
      </w:r>
      <w:r w:rsidR="00FD35E7">
        <w:rPr>
          <w:rFonts w:eastAsiaTheme="minorHAnsi" w:cs="Franklin Gothic Book"/>
          <w:szCs w:val="21"/>
        </w:rPr>
        <w:t>es market systems</w:t>
      </w:r>
      <w:r w:rsidR="00FD35E7" w:rsidRPr="00C9233F">
        <w:rPr>
          <w:rFonts w:eastAsiaTheme="minorHAnsi" w:cs="Franklin Gothic Book"/>
          <w:szCs w:val="21"/>
        </w:rPr>
        <w:t xml:space="preserve"> </w:t>
      </w:r>
      <w:r w:rsidR="00FD35E7">
        <w:rPr>
          <w:rFonts w:eastAsiaTheme="minorHAnsi" w:cs="Franklin Gothic Book"/>
          <w:szCs w:val="21"/>
        </w:rPr>
        <w:t xml:space="preserve">by </w:t>
      </w:r>
      <w:r w:rsidR="00F030F5" w:rsidRPr="00C9233F">
        <w:rPr>
          <w:rFonts w:eastAsiaTheme="minorHAnsi" w:cs="Franklin Gothic Book"/>
          <w:szCs w:val="21"/>
        </w:rPr>
        <w:t>work</w:t>
      </w:r>
      <w:r w:rsidR="00FD35E7">
        <w:rPr>
          <w:rFonts w:eastAsiaTheme="minorHAnsi" w:cs="Franklin Gothic Book"/>
          <w:szCs w:val="21"/>
        </w:rPr>
        <w:t>ing</w:t>
      </w:r>
      <w:r w:rsidR="00F030F5" w:rsidRPr="00C9233F">
        <w:rPr>
          <w:rFonts w:eastAsiaTheme="minorHAnsi" w:cs="Franklin Gothic Book"/>
          <w:szCs w:val="21"/>
        </w:rPr>
        <w:t xml:space="preserve"> with privately owned companies</w:t>
      </w:r>
      <w:r w:rsidR="00855141">
        <w:rPr>
          <w:rFonts w:eastAsiaTheme="minorHAnsi" w:cs="Franklin Gothic Book"/>
          <w:szCs w:val="21"/>
        </w:rPr>
        <w:t xml:space="preserve">, </w:t>
      </w:r>
      <w:r w:rsidR="00F030F5" w:rsidRPr="00C9233F">
        <w:rPr>
          <w:rFonts w:eastAsiaTheme="minorHAnsi" w:cs="Franklin Gothic Book"/>
          <w:szCs w:val="21"/>
        </w:rPr>
        <w:t>such as fertiliser and pesticide traders</w:t>
      </w:r>
      <w:r w:rsidR="00BF650F">
        <w:rPr>
          <w:rFonts w:eastAsiaTheme="minorHAnsi" w:cs="Franklin Gothic Book"/>
          <w:szCs w:val="21"/>
        </w:rPr>
        <w:t>; and by drawing on behavioural insights to achieve efficient outcomes</w:t>
      </w:r>
      <w:r w:rsidR="00FD35E7">
        <w:rPr>
          <w:rFonts w:eastAsiaTheme="minorHAnsi" w:cs="Franklin Gothic Book"/>
          <w:szCs w:val="21"/>
        </w:rPr>
        <w:t>.</w:t>
      </w:r>
    </w:p>
    <w:p w:rsidR="008B7793" w:rsidRDefault="00CD41D5" w:rsidP="008B7793">
      <w:pPr>
        <w:pStyle w:val="ListBullet"/>
        <w:numPr>
          <w:ilvl w:val="0"/>
          <w:numId w:val="0"/>
        </w:numPr>
      </w:pPr>
      <w:r>
        <w:t xml:space="preserve">With </w:t>
      </w:r>
      <w:r w:rsidR="00CB10A2">
        <w:t xml:space="preserve">phase one of </w:t>
      </w:r>
      <w:r w:rsidR="00855141">
        <w:t>CAVAC</w:t>
      </w:r>
      <w:r>
        <w:t xml:space="preserve"> due for completion in December 2015, a number of critical progr</w:t>
      </w:r>
      <w:r w:rsidR="002A2C53">
        <w:t>am ta</w:t>
      </w:r>
      <w:r w:rsidR="00412884">
        <w:t>rgets were met or exceeded</w:t>
      </w:r>
      <w:r w:rsidR="00C21670">
        <w:t xml:space="preserve"> in 2014-15</w:t>
      </w:r>
      <w:r w:rsidR="00412884">
        <w:t>.</w:t>
      </w:r>
      <w:r w:rsidR="003B5DBE">
        <w:t xml:space="preserve"> </w:t>
      </w:r>
      <w:r w:rsidR="00DB0F7F">
        <w:t xml:space="preserve"> </w:t>
      </w:r>
      <w:r w:rsidR="008B7793">
        <w:t>Due to the success of CAVAC, the Australian and Cambodia</w:t>
      </w:r>
      <w:r w:rsidR="00BF650F">
        <w:t>n</w:t>
      </w:r>
      <w:r w:rsidR="008B7793">
        <w:t xml:space="preserve"> Governments have agreed to implement a second phase of the program</w:t>
      </w:r>
      <w:r w:rsidR="00855141">
        <w:t>,</w:t>
      </w:r>
      <w:r w:rsidR="008B7793">
        <w:t xml:space="preserve"> </w:t>
      </w:r>
      <w:r w:rsidR="00092ACC">
        <w:t>which</w:t>
      </w:r>
      <w:r w:rsidR="008B7793">
        <w:t xml:space="preserve"> is expected to commence in January 2016.</w:t>
      </w:r>
    </w:p>
    <w:p w:rsidR="00B53263" w:rsidRDefault="00B53263" w:rsidP="00B53263">
      <w:pPr>
        <w:pStyle w:val="ListBullet"/>
        <w:numPr>
          <w:ilvl w:val="0"/>
          <w:numId w:val="0"/>
        </w:numPr>
      </w:pPr>
      <w:r>
        <w:lastRenderedPageBreak/>
        <w:t>In 2014-15, it is estimated that over 100,000 additional tons</w:t>
      </w:r>
      <w:r w:rsidDel="00716B4D">
        <w:t xml:space="preserve"> </w:t>
      </w:r>
      <w:r>
        <w:t>of paddy rice were produced as a result of CAVAC.  Applying</w:t>
      </w:r>
      <w:r w:rsidRPr="00FE2A0B">
        <w:t xml:space="preserve"> a conservative pri</w:t>
      </w:r>
      <w:r>
        <w:t>ce estimate of US$200 per tonne of paddy,</w:t>
      </w:r>
      <w:r w:rsidRPr="00FE2A0B">
        <w:t xml:space="preserve"> this </w:t>
      </w:r>
      <w:r>
        <w:t>translates to</w:t>
      </w:r>
      <w:r w:rsidRPr="00FE2A0B">
        <w:t xml:space="preserve"> additional value of production of US</w:t>
      </w:r>
      <w:r>
        <w:t>$</w:t>
      </w:r>
      <w:r w:rsidRPr="00FE2A0B">
        <w:t>50 million.</w:t>
      </w:r>
    </w:p>
    <w:p w:rsidR="00514A5E" w:rsidRDefault="00244F43" w:rsidP="00514A5E">
      <w:pPr>
        <w:pStyle w:val="ListBullet"/>
        <w:numPr>
          <w:ilvl w:val="0"/>
          <w:numId w:val="0"/>
        </w:numPr>
      </w:pPr>
      <w:r w:rsidRPr="00FD0A85">
        <w:t>CAVAC</w:t>
      </w:r>
      <w:r w:rsidR="00DB3D52" w:rsidRPr="00FD0A85">
        <w:t xml:space="preserve"> has now reached 95 per cent of </w:t>
      </w:r>
      <w:r w:rsidR="00102598">
        <w:t>its</w:t>
      </w:r>
      <w:r w:rsidR="00DB3D52" w:rsidRPr="00FD0A85">
        <w:t xml:space="preserve"> target</w:t>
      </w:r>
      <w:r w:rsidR="00102598">
        <w:t xml:space="preserve"> for the construction or rehabilitation of irrigation schemes</w:t>
      </w:r>
      <w:r w:rsidR="00AA3D41">
        <w:t>.</w:t>
      </w:r>
      <w:r w:rsidR="00092ACC">
        <w:rPr>
          <w:rStyle w:val="FootnoteReference"/>
        </w:rPr>
        <w:footnoteReference w:id="5"/>
      </w:r>
      <w:r w:rsidR="00DB3D52">
        <w:t xml:space="preserve"> Through the schemes</w:t>
      </w:r>
      <w:r w:rsidR="00102598">
        <w:t>,</w:t>
      </w:r>
      <w:r w:rsidR="00DB3D52">
        <w:t xml:space="preserve"> farmers can </w:t>
      </w:r>
      <w:r w:rsidR="00735E5B">
        <w:t xml:space="preserve">double their </w:t>
      </w:r>
      <w:r w:rsidR="00DB3D52">
        <w:t xml:space="preserve">crop yields, with some farmers increasing from single crops to three per annum. </w:t>
      </w:r>
      <w:r w:rsidR="003B5DBE">
        <w:t xml:space="preserve"> </w:t>
      </w:r>
      <w:r w:rsidR="00514A5E">
        <w:t xml:space="preserve">In 2014-15, </w:t>
      </w:r>
      <w:r w:rsidR="004E12F5">
        <w:t>s</w:t>
      </w:r>
      <w:r w:rsidR="00CB10A2">
        <w:t>even additional irrigation scheme</w:t>
      </w:r>
      <w:r w:rsidR="00E4490D">
        <w:t>s</w:t>
      </w:r>
      <w:r w:rsidR="00CB10A2">
        <w:t xml:space="preserve"> were completed</w:t>
      </w:r>
      <w:r w:rsidR="00DB3D52">
        <w:t xml:space="preserve"> including a large reservoir.</w:t>
      </w:r>
      <w:r w:rsidR="003B5DBE">
        <w:t xml:space="preserve"> </w:t>
      </w:r>
      <w:r w:rsidR="00DB3D52">
        <w:t xml:space="preserve"> </w:t>
      </w:r>
      <w:r w:rsidR="003B5DBE">
        <w:t>This</w:t>
      </w:r>
      <w:r w:rsidR="00DB3D52">
        <w:t xml:space="preserve"> </w:t>
      </w:r>
      <w:r w:rsidR="00CB10A2">
        <w:t>exceed</w:t>
      </w:r>
      <w:r w:rsidR="00DB3D52">
        <w:t>ed</w:t>
      </w:r>
      <w:r w:rsidR="00CB10A2">
        <w:t xml:space="preserve"> the </w:t>
      </w:r>
      <w:r w:rsidR="002855AF">
        <w:t>benchmark</w:t>
      </w:r>
      <w:r w:rsidR="00CB10A2">
        <w:t xml:space="preserve"> of six</w:t>
      </w:r>
      <w:r w:rsidR="00E4490D">
        <w:t xml:space="preserve"> </w:t>
      </w:r>
      <w:r w:rsidR="00DB3D52">
        <w:t>and allowed</w:t>
      </w:r>
      <w:r w:rsidR="00DB3D52" w:rsidRPr="00366A9B">
        <w:t xml:space="preserve"> </w:t>
      </w:r>
      <w:r w:rsidR="00995887">
        <w:t xml:space="preserve">more than </w:t>
      </w:r>
      <w:r w:rsidR="00DB3D52" w:rsidRPr="00366A9B">
        <w:t>4,22</w:t>
      </w:r>
      <w:r w:rsidR="00995887">
        <w:t>0</w:t>
      </w:r>
      <w:r w:rsidR="00DB3D52">
        <w:t xml:space="preserve"> </w:t>
      </w:r>
      <w:r w:rsidR="00DB3D52" w:rsidRPr="00366A9B">
        <w:t>farmer households to plant additional crops each year</w:t>
      </w:r>
      <w:r w:rsidR="00CB10A2">
        <w:t>.</w:t>
      </w:r>
      <w:r w:rsidR="00022D77">
        <w:t xml:space="preserve"> </w:t>
      </w:r>
      <w:r w:rsidR="00C75BFF">
        <w:t xml:space="preserve"> </w:t>
      </w:r>
      <w:r w:rsidR="00F20F42">
        <w:t>One</w:t>
      </w:r>
      <w:r w:rsidR="00E4490D">
        <w:t xml:space="preserve"> </w:t>
      </w:r>
      <w:r w:rsidR="00F20F42">
        <w:t xml:space="preserve">of these </w:t>
      </w:r>
      <w:r w:rsidR="00E4490D">
        <w:t>irrigation scheme</w:t>
      </w:r>
      <w:r w:rsidR="00F20F42">
        <w:t>s is</w:t>
      </w:r>
      <w:r w:rsidR="00514A5E">
        <w:t xml:space="preserve"> a very large screw pumping scheme, which is low maintenance</w:t>
      </w:r>
      <w:r w:rsidR="00F20F42">
        <w:t>,</w:t>
      </w:r>
      <w:r w:rsidR="00514A5E">
        <w:t xml:space="preserve"> ha</w:t>
      </w:r>
      <w:r w:rsidR="0040768E">
        <w:t>s</w:t>
      </w:r>
      <w:r w:rsidR="00514A5E">
        <w:t xml:space="preserve"> a working life of up to 25 years</w:t>
      </w:r>
      <w:r w:rsidR="003B5DBE">
        <w:t xml:space="preserve"> and </w:t>
      </w:r>
      <w:r w:rsidR="00514A5E">
        <w:t>is the first of its kind in Cambodia.</w:t>
      </w:r>
      <w:r w:rsidR="003B5DBE">
        <w:t xml:space="preserve"> </w:t>
      </w:r>
      <w:r w:rsidR="00514A5E">
        <w:t xml:space="preserve"> Another </w:t>
      </w:r>
      <w:r w:rsidR="00F20F42">
        <w:t>standout</w:t>
      </w:r>
      <w:r w:rsidR="00514A5E">
        <w:t xml:space="preserve"> scheme </w:t>
      </w:r>
      <w:r w:rsidR="00C153E3">
        <w:t xml:space="preserve">targets </w:t>
      </w:r>
      <w:r w:rsidR="00514A5E">
        <w:t xml:space="preserve">contract farmers </w:t>
      </w:r>
      <w:r w:rsidR="00C153E3">
        <w:t xml:space="preserve">producing </w:t>
      </w:r>
      <w:r w:rsidR="00514A5E">
        <w:t xml:space="preserve">for export. </w:t>
      </w:r>
      <w:r w:rsidR="003B5DBE">
        <w:t xml:space="preserve"> </w:t>
      </w:r>
      <w:r w:rsidR="00514A5E">
        <w:t xml:space="preserve">The farmers </w:t>
      </w:r>
      <w:r w:rsidR="00144C2E">
        <w:t xml:space="preserve">who are linked directly to the miller </w:t>
      </w:r>
      <w:r w:rsidR="00C153E3">
        <w:t>have increased their yield</w:t>
      </w:r>
      <w:r w:rsidR="00995887">
        <w:t>s</w:t>
      </w:r>
      <w:r w:rsidR="00C153E3">
        <w:t xml:space="preserve"> and </w:t>
      </w:r>
      <w:r w:rsidR="00514A5E">
        <w:t>receive higher</w:t>
      </w:r>
      <w:r w:rsidR="00995887">
        <w:t xml:space="preserve"> prices</w:t>
      </w:r>
      <w:r w:rsidR="00514A5E">
        <w:t xml:space="preserve"> than </w:t>
      </w:r>
      <w:r w:rsidR="00F20F42">
        <w:t xml:space="preserve">other </w:t>
      </w:r>
      <w:r w:rsidR="00514A5E">
        <w:t>local rice traders.</w:t>
      </w:r>
    </w:p>
    <w:p w:rsidR="002855AF" w:rsidRDefault="002855AF" w:rsidP="00CD41D5">
      <w:pPr>
        <w:pStyle w:val="ListBullet"/>
        <w:numPr>
          <w:ilvl w:val="0"/>
          <w:numId w:val="0"/>
        </w:numPr>
      </w:pPr>
      <w:r>
        <w:t xml:space="preserve">The long-term viability of these irrigation schemes depends on </w:t>
      </w:r>
      <w:r w:rsidR="00811609">
        <w:t>the</w:t>
      </w:r>
      <w:r>
        <w:t xml:space="preserve"> </w:t>
      </w:r>
      <w:r w:rsidRPr="00490EFB">
        <w:t>Farmer</w:t>
      </w:r>
      <w:r>
        <w:t xml:space="preserve"> Water User Communities (FWUCs) that </w:t>
      </w:r>
      <w:r w:rsidR="00811609">
        <w:t>manage</w:t>
      </w:r>
      <w:r w:rsidR="00811609" w:rsidRPr="00490EFB">
        <w:t xml:space="preserve"> </w:t>
      </w:r>
      <w:r w:rsidR="00E4490D">
        <w:t xml:space="preserve">the </w:t>
      </w:r>
      <w:r w:rsidRPr="00490EFB">
        <w:t>sustainable operation and maintenance</w:t>
      </w:r>
      <w:r w:rsidR="004A7B5C">
        <w:t xml:space="preserve"> of the schemes</w:t>
      </w:r>
      <w:r>
        <w:t xml:space="preserve">. </w:t>
      </w:r>
      <w:r w:rsidR="002213B1">
        <w:t xml:space="preserve"> Of the </w:t>
      </w:r>
      <w:r w:rsidR="00092ACC">
        <w:t xml:space="preserve">nineteen </w:t>
      </w:r>
      <w:r>
        <w:t>schemes</w:t>
      </w:r>
      <w:r w:rsidR="00514A5E">
        <w:t xml:space="preserve"> that have been completed over the life of CAVAC</w:t>
      </w:r>
      <w:r>
        <w:t xml:space="preserve">, </w:t>
      </w:r>
      <w:r w:rsidR="00514A5E">
        <w:t>eleven</w:t>
      </w:r>
      <w:r>
        <w:t xml:space="preserve"> have been handed over to the FWUCs, with the remainder due for handover in </w:t>
      </w:r>
      <w:r w:rsidR="003D0884">
        <w:t>the second half of</w:t>
      </w:r>
      <w:r>
        <w:t xml:space="preserve"> 2015.</w:t>
      </w:r>
      <w:r w:rsidR="002213B1">
        <w:t xml:space="preserve"> </w:t>
      </w:r>
      <w:r w:rsidRPr="007E5582">
        <w:t xml:space="preserve"> </w:t>
      </w:r>
      <w:r w:rsidR="00514A5E">
        <w:t xml:space="preserve">In 2014-15, </w:t>
      </w:r>
      <w:r w:rsidRPr="00490EFB">
        <w:t>CAVAC continued efforts to improve female representation within the FWUCs.</w:t>
      </w:r>
      <w:r>
        <w:t xml:space="preserve"> </w:t>
      </w:r>
      <w:r w:rsidR="002213B1">
        <w:t xml:space="preserve"> W</w:t>
      </w:r>
      <w:r>
        <w:t xml:space="preserve">omen have been elected to the highest committee level in </w:t>
      </w:r>
      <w:r w:rsidR="00514A5E">
        <w:t>twelve</w:t>
      </w:r>
      <w:r w:rsidR="002213B1">
        <w:t xml:space="preserve"> of the twenty schemes constructed</w:t>
      </w:r>
      <w:r>
        <w:t>.</w:t>
      </w:r>
      <w:r w:rsidR="00BF650F">
        <w:t xml:space="preserve">  FWUCs have enabled relevant local communities to experience directly participation in decision-making and governance.</w:t>
      </w:r>
    </w:p>
    <w:p w:rsidR="00CB10A2" w:rsidRDefault="008B7793" w:rsidP="00CD41D5">
      <w:pPr>
        <w:pStyle w:val="ListBullet"/>
        <w:numPr>
          <w:ilvl w:val="0"/>
          <w:numId w:val="0"/>
        </w:numPr>
      </w:pPr>
      <w:r w:rsidRPr="006E2B9F">
        <w:t>In 2014-15, CAVAC worked with</w:t>
      </w:r>
      <w:r w:rsidR="00A153FA">
        <w:t xml:space="preserve"> Cambodian</w:t>
      </w:r>
      <w:r w:rsidRPr="006E2B9F">
        <w:t xml:space="preserve"> media companies to</w:t>
      </w:r>
      <w:r w:rsidR="00EC3436">
        <w:t xml:space="preserve"> assist them to raise capital to</w:t>
      </w:r>
      <w:r w:rsidRPr="006E2B9F">
        <w:t xml:space="preserve"> </w:t>
      </w:r>
      <w:r w:rsidR="00EC3436">
        <w:t xml:space="preserve">develop programs on agriculture targeted at the rural population.  </w:t>
      </w:r>
      <w:r w:rsidR="00CB10A2" w:rsidRPr="008B7793">
        <w:t xml:space="preserve">CAVAC supported </w:t>
      </w:r>
      <w:r w:rsidR="00E4490D">
        <w:t xml:space="preserve">a fifth </w:t>
      </w:r>
      <w:r w:rsidR="00CB10A2" w:rsidRPr="008B7793">
        <w:t xml:space="preserve">of the costs of producing an educational drama that </w:t>
      </w:r>
      <w:r w:rsidR="002855AF">
        <w:t>i</w:t>
      </w:r>
      <w:r w:rsidR="00CB10A2" w:rsidRPr="008B7793">
        <w:t>s estimated to have reached 200,000 farming households.</w:t>
      </w:r>
    </w:p>
    <w:p w:rsidR="002A2C53" w:rsidRDefault="008B7793" w:rsidP="002A2C53">
      <w:pPr>
        <w:pStyle w:val="ListBullet"/>
        <w:numPr>
          <w:ilvl w:val="0"/>
          <w:numId w:val="0"/>
        </w:numPr>
      </w:pPr>
      <w:r>
        <w:t>In 2014-15, A</w:t>
      </w:r>
      <w:r w:rsidRPr="0059755B">
        <w:t xml:space="preserve">ustralia </w:t>
      </w:r>
      <w:r w:rsidR="00B53263">
        <w:t xml:space="preserve">also </w:t>
      </w:r>
      <w:r w:rsidRPr="0059755B">
        <w:t>supported Cambodia’s first agriculture census which provide</w:t>
      </w:r>
      <w:r>
        <w:t>d</w:t>
      </w:r>
      <w:r w:rsidRPr="0059755B">
        <w:t xml:space="preserve"> country-wide data on Cambodia’s agriculture sector</w:t>
      </w:r>
      <w:r w:rsidR="003D0884">
        <w:t>, including a focus on the role of women in agricultural households</w:t>
      </w:r>
      <w:r w:rsidRPr="0059755B">
        <w:t xml:space="preserve">. </w:t>
      </w:r>
      <w:r w:rsidR="002202B1">
        <w:t xml:space="preserve"> </w:t>
      </w:r>
      <w:r w:rsidRPr="0059755B">
        <w:t>This data will be used to improve policies and programs to better address the needs of Cambodian farm</w:t>
      </w:r>
      <w:r w:rsidR="00FC5AB0">
        <w:t>ing households</w:t>
      </w:r>
      <w:r w:rsidRPr="0059755B">
        <w:t xml:space="preserve"> and reduce poverty. </w:t>
      </w:r>
    </w:p>
    <w:p w:rsidR="004B39C2" w:rsidRPr="00661ADA" w:rsidRDefault="004B39C2" w:rsidP="002A2C53">
      <w:pPr>
        <w:pStyle w:val="ListBullet"/>
        <w:numPr>
          <w:ilvl w:val="0"/>
          <w:numId w:val="0"/>
        </w:numPr>
      </w:pPr>
    </w:p>
    <w:tbl>
      <w:tblPr>
        <w:tblStyle w:val="APPR"/>
        <w:tblW w:w="5000" w:type="pct"/>
        <w:tblLook w:val="01E0" w:firstRow="1" w:lastRow="1" w:firstColumn="1" w:lastColumn="1" w:noHBand="0" w:noVBand="0"/>
      </w:tblPr>
      <w:tblGrid>
        <w:gridCol w:w="7373"/>
        <w:gridCol w:w="1829"/>
      </w:tblGrid>
      <w:tr w:rsidR="00FB1699" w:rsidRPr="00BF2045" w:rsidTr="00711138">
        <w:trPr>
          <w:cnfStyle w:val="100000000000" w:firstRow="1" w:lastRow="0" w:firstColumn="0" w:lastColumn="0" w:oddVBand="0" w:evenVBand="0" w:oddHBand="0" w:evenHBand="0" w:firstRowFirstColumn="0" w:firstRowLastColumn="0" w:lastRowFirstColumn="0" w:lastRowLastColumn="0"/>
        </w:trPr>
        <w:tc>
          <w:tcPr>
            <w:tcW w:w="3981" w:type="pct"/>
          </w:tcPr>
          <w:p w:rsidR="00FB1699" w:rsidRPr="002A2C53" w:rsidRDefault="009C6AE7" w:rsidP="00711138">
            <w:pPr>
              <w:pStyle w:val="TableTextEntries"/>
              <w:rPr>
                <w:rFonts w:eastAsia="Calibri"/>
                <w:sz w:val="24"/>
                <w:szCs w:val="24"/>
              </w:rPr>
            </w:pPr>
            <w:r>
              <w:rPr>
                <w:rFonts w:eastAsia="Calibri"/>
                <w:sz w:val="24"/>
                <w:szCs w:val="24"/>
              </w:rPr>
              <w:t>OBJECTIVE 1B</w:t>
            </w:r>
            <w:r w:rsidR="00FB1699" w:rsidRPr="002A2C53">
              <w:rPr>
                <w:rFonts w:eastAsia="Calibri"/>
                <w:sz w:val="24"/>
                <w:szCs w:val="24"/>
              </w:rPr>
              <w:t>: Increased food and livelihood security for the rural poor through social protection and landmine clearance</w:t>
            </w:r>
          </w:p>
        </w:tc>
        <w:tc>
          <w:tcPr>
            <w:tcW w:w="971" w:type="pct"/>
            <w:shd w:val="clear" w:color="auto" w:fill="92D050"/>
          </w:tcPr>
          <w:p w:rsidR="00FB1699" w:rsidRPr="00A51634" w:rsidRDefault="00FB1699" w:rsidP="00711138">
            <w:pPr>
              <w:pStyle w:val="TableTextEntries"/>
              <w:jc w:val="center"/>
              <w:rPr>
                <w:rFonts w:eastAsia="Calibri"/>
              </w:rPr>
            </w:pPr>
            <w:r w:rsidRPr="00A51634">
              <w:rPr>
                <w:rFonts w:eastAsia="Calibri"/>
              </w:rPr>
              <w:t>Green</w:t>
            </w:r>
          </w:p>
        </w:tc>
      </w:tr>
    </w:tbl>
    <w:p w:rsidR="00022D77" w:rsidRDefault="00022D77" w:rsidP="00FB1699">
      <w:pPr>
        <w:pStyle w:val="BodyText"/>
        <w:rPr>
          <w:szCs w:val="22"/>
        </w:rPr>
      </w:pPr>
    </w:p>
    <w:p w:rsidR="00022D77" w:rsidRDefault="00022D77" w:rsidP="00FB1699">
      <w:pPr>
        <w:pStyle w:val="BodyText"/>
        <w:rPr>
          <w:szCs w:val="22"/>
        </w:rPr>
      </w:pPr>
      <w:r>
        <w:t xml:space="preserve">Objective 1B was achieved through continued strong results </w:t>
      </w:r>
      <w:r w:rsidR="00811609">
        <w:t>in</w:t>
      </w:r>
      <w:r>
        <w:t xml:space="preserve"> the </w:t>
      </w:r>
      <w:r w:rsidRPr="009F59DB">
        <w:rPr>
          <w:szCs w:val="22"/>
        </w:rPr>
        <w:t>multi-dono</w:t>
      </w:r>
      <w:r w:rsidR="006F0E9D">
        <w:rPr>
          <w:szCs w:val="22"/>
        </w:rPr>
        <w:t>r</w:t>
      </w:r>
      <w:r w:rsidR="00E2055E">
        <w:rPr>
          <w:szCs w:val="22"/>
        </w:rPr>
        <w:t xml:space="preserve"> </w:t>
      </w:r>
      <w:r w:rsidRPr="009F59DB">
        <w:rPr>
          <w:szCs w:val="22"/>
        </w:rPr>
        <w:t>Clearing for Results Phase II project</w:t>
      </w:r>
      <w:r w:rsidR="00F94688">
        <w:rPr>
          <w:szCs w:val="22"/>
        </w:rPr>
        <w:t xml:space="preserve"> (CFR)</w:t>
      </w:r>
      <w:r w:rsidR="00DF2C32">
        <w:rPr>
          <w:szCs w:val="22"/>
        </w:rPr>
        <w:t>, and was rated green</w:t>
      </w:r>
      <w:r>
        <w:t>.</w:t>
      </w:r>
      <w:r w:rsidR="00656616">
        <w:t xml:space="preserve">  </w:t>
      </w:r>
      <w:r w:rsidR="00656616" w:rsidRPr="00656616">
        <w:rPr>
          <w:color w:val="000000"/>
          <w:szCs w:val="21"/>
        </w:rPr>
        <w:t>Since 2006, Australia’s contribution to the mine action sector has been through fund</w:t>
      </w:r>
      <w:r w:rsidR="00DE6862">
        <w:rPr>
          <w:color w:val="000000"/>
          <w:szCs w:val="21"/>
        </w:rPr>
        <w:t xml:space="preserve">ing Phase I and Phase II of </w:t>
      </w:r>
      <w:r w:rsidR="00656616" w:rsidRPr="00656616">
        <w:rPr>
          <w:color w:val="000000"/>
          <w:szCs w:val="21"/>
        </w:rPr>
        <w:t xml:space="preserve">CFR, a multi-donor fund managed by the </w:t>
      </w:r>
      <w:r w:rsidR="005B4E9F" w:rsidRPr="006E2B9F">
        <w:t>U</w:t>
      </w:r>
      <w:r w:rsidR="005B4E9F">
        <w:t xml:space="preserve">nited </w:t>
      </w:r>
      <w:r w:rsidR="005B4E9F" w:rsidRPr="006E2B9F">
        <w:t>N</w:t>
      </w:r>
      <w:r w:rsidR="005B4E9F">
        <w:t xml:space="preserve">ations </w:t>
      </w:r>
      <w:r w:rsidR="005B4E9F" w:rsidRPr="006E2B9F">
        <w:t>D</w:t>
      </w:r>
      <w:r w:rsidR="005B4E9F">
        <w:t xml:space="preserve">evelopment </w:t>
      </w:r>
      <w:r w:rsidR="005B4E9F" w:rsidRPr="006E2B9F">
        <w:t>P</w:t>
      </w:r>
      <w:r w:rsidR="005B4E9F">
        <w:t>rogram</w:t>
      </w:r>
      <w:r w:rsidR="00AA3D41">
        <w:t>me</w:t>
      </w:r>
      <w:r w:rsidR="005B4E9F">
        <w:t xml:space="preserve"> (UNDP)</w:t>
      </w:r>
      <w:r w:rsidR="00656616" w:rsidRPr="00656616">
        <w:rPr>
          <w:color w:val="000000"/>
          <w:szCs w:val="21"/>
        </w:rPr>
        <w:t xml:space="preserve">. Between 2006 and 2015, CFR Phase I and Phase II </w:t>
      </w:r>
      <w:r w:rsidR="00DE6862">
        <w:rPr>
          <w:color w:val="000000"/>
          <w:szCs w:val="21"/>
        </w:rPr>
        <w:t>are</w:t>
      </w:r>
      <w:r w:rsidR="00656616" w:rsidRPr="00656616">
        <w:rPr>
          <w:color w:val="000000"/>
          <w:szCs w:val="21"/>
        </w:rPr>
        <w:t xml:space="preserve"> estimated to </w:t>
      </w:r>
      <w:r w:rsidR="00DE6862">
        <w:rPr>
          <w:color w:val="000000"/>
          <w:szCs w:val="21"/>
        </w:rPr>
        <w:t xml:space="preserve">have </w:t>
      </w:r>
      <w:r w:rsidR="00656616" w:rsidRPr="00656616">
        <w:rPr>
          <w:color w:val="000000"/>
          <w:szCs w:val="21"/>
        </w:rPr>
        <w:t>release</w:t>
      </w:r>
      <w:r w:rsidR="00DE6862">
        <w:rPr>
          <w:color w:val="000000"/>
          <w:szCs w:val="21"/>
        </w:rPr>
        <w:t>d</w:t>
      </w:r>
      <w:r w:rsidR="00656616" w:rsidRPr="00656616">
        <w:rPr>
          <w:color w:val="000000"/>
          <w:szCs w:val="21"/>
        </w:rPr>
        <w:t xml:space="preserve"> a total of 167 </w:t>
      </w:r>
      <w:r w:rsidR="00FF2FEE" w:rsidRPr="009F59DB">
        <w:rPr>
          <w:szCs w:val="22"/>
        </w:rPr>
        <w:t>square kilometres</w:t>
      </w:r>
      <w:r w:rsidR="00656616" w:rsidRPr="00656616">
        <w:rPr>
          <w:color w:val="000000"/>
          <w:szCs w:val="21"/>
        </w:rPr>
        <w:t xml:space="preserve"> of contaminate</w:t>
      </w:r>
      <w:r w:rsidR="00DE6862">
        <w:rPr>
          <w:color w:val="000000"/>
          <w:szCs w:val="21"/>
        </w:rPr>
        <w:t>d</w:t>
      </w:r>
      <w:r w:rsidR="00656616" w:rsidRPr="00656616">
        <w:rPr>
          <w:color w:val="000000"/>
          <w:szCs w:val="21"/>
        </w:rPr>
        <w:t xml:space="preserve"> land in Battambang, Banteay Meanchey and Pailin</w:t>
      </w:r>
      <w:r w:rsidR="00542519">
        <w:rPr>
          <w:color w:val="000000"/>
          <w:szCs w:val="21"/>
        </w:rPr>
        <w:t xml:space="preserve"> provinces</w:t>
      </w:r>
      <w:r w:rsidR="00656616" w:rsidRPr="00656616">
        <w:rPr>
          <w:color w:val="000000"/>
          <w:szCs w:val="21"/>
        </w:rPr>
        <w:t xml:space="preserve">, far exceeding the target of 72 </w:t>
      </w:r>
      <w:r w:rsidR="00FF2FEE" w:rsidRPr="009F59DB">
        <w:rPr>
          <w:szCs w:val="22"/>
        </w:rPr>
        <w:t>square kilometres</w:t>
      </w:r>
      <w:r w:rsidR="00656616" w:rsidRPr="00656616">
        <w:rPr>
          <w:color w:val="000000"/>
          <w:szCs w:val="21"/>
        </w:rPr>
        <w:t xml:space="preserve">. </w:t>
      </w:r>
      <w:r w:rsidR="00D95C37">
        <w:rPr>
          <w:color w:val="000000"/>
          <w:szCs w:val="21"/>
        </w:rPr>
        <w:t xml:space="preserve">Of this total land released, </w:t>
      </w:r>
      <w:r w:rsidR="00656616" w:rsidRPr="00656616">
        <w:rPr>
          <w:color w:val="000000"/>
          <w:szCs w:val="21"/>
        </w:rPr>
        <w:t xml:space="preserve">Australia’s </w:t>
      </w:r>
      <w:r w:rsidR="00D95C37">
        <w:rPr>
          <w:color w:val="000000"/>
          <w:szCs w:val="21"/>
        </w:rPr>
        <w:t xml:space="preserve"> </w:t>
      </w:r>
      <w:r w:rsidR="00656616" w:rsidRPr="00656616">
        <w:rPr>
          <w:color w:val="000000"/>
          <w:szCs w:val="21"/>
        </w:rPr>
        <w:t>contribution of $21.9 million</w:t>
      </w:r>
      <w:r w:rsidR="00DE6862">
        <w:rPr>
          <w:color w:val="000000"/>
          <w:szCs w:val="21"/>
        </w:rPr>
        <w:t xml:space="preserve"> </w:t>
      </w:r>
      <w:r w:rsidR="00D95C37">
        <w:rPr>
          <w:color w:val="000000"/>
          <w:szCs w:val="21"/>
        </w:rPr>
        <w:t xml:space="preserve">from 2006 to 2015 </w:t>
      </w:r>
      <w:r w:rsidR="00DE6862">
        <w:rPr>
          <w:color w:val="000000"/>
          <w:szCs w:val="21"/>
        </w:rPr>
        <w:t>-</w:t>
      </w:r>
      <w:r w:rsidR="00656616" w:rsidRPr="00656616">
        <w:rPr>
          <w:color w:val="000000"/>
          <w:szCs w:val="21"/>
        </w:rPr>
        <w:t xml:space="preserve"> which represented 40 per</w:t>
      </w:r>
      <w:r w:rsidR="009E715A">
        <w:rPr>
          <w:color w:val="000000"/>
          <w:szCs w:val="21"/>
        </w:rPr>
        <w:t xml:space="preserve"> </w:t>
      </w:r>
      <w:r w:rsidR="00D95C37">
        <w:rPr>
          <w:color w:val="000000"/>
          <w:szCs w:val="21"/>
        </w:rPr>
        <w:t>cent of the total</w:t>
      </w:r>
      <w:r w:rsidR="00656616" w:rsidRPr="00656616">
        <w:rPr>
          <w:color w:val="000000"/>
          <w:szCs w:val="21"/>
        </w:rPr>
        <w:t xml:space="preserve"> budget </w:t>
      </w:r>
      <w:r w:rsidR="00DE6862">
        <w:rPr>
          <w:color w:val="000000"/>
          <w:szCs w:val="21"/>
        </w:rPr>
        <w:t>of</w:t>
      </w:r>
      <w:r w:rsidR="00656616" w:rsidRPr="00656616">
        <w:rPr>
          <w:color w:val="000000"/>
          <w:szCs w:val="21"/>
        </w:rPr>
        <w:t xml:space="preserve"> CFR Phase I and Phase II </w:t>
      </w:r>
      <w:r w:rsidR="00D95C37">
        <w:rPr>
          <w:color w:val="000000"/>
          <w:szCs w:val="21"/>
        </w:rPr>
        <w:t>for this period</w:t>
      </w:r>
      <w:r w:rsidR="00DE6862">
        <w:rPr>
          <w:color w:val="000000"/>
          <w:szCs w:val="21"/>
        </w:rPr>
        <w:t xml:space="preserve"> </w:t>
      </w:r>
      <w:r w:rsidR="00D95C37">
        <w:rPr>
          <w:color w:val="000000"/>
          <w:szCs w:val="21"/>
        </w:rPr>
        <w:t>–</w:t>
      </w:r>
      <w:r w:rsidR="00656616" w:rsidRPr="00656616">
        <w:rPr>
          <w:color w:val="000000"/>
          <w:szCs w:val="21"/>
        </w:rPr>
        <w:t xml:space="preserve"> </w:t>
      </w:r>
      <w:r w:rsidR="00D95C37">
        <w:rPr>
          <w:color w:val="000000"/>
          <w:szCs w:val="21"/>
        </w:rPr>
        <w:t>funded</w:t>
      </w:r>
      <w:r w:rsidR="00656616" w:rsidRPr="00656616">
        <w:rPr>
          <w:color w:val="000000"/>
          <w:szCs w:val="21"/>
        </w:rPr>
        <w:t xml:space="preserve"> the release of a</w:t>
      </w:r>
      <w:r w:rsidR="00D95C37">
        <w:rPr>
          <w:color w:val="000000"/>
          <w:szCs w:val="21"/>
        </w:rPr>
        <w:t>bout</w:t>
      </w:r>
      <w:r w:rsidR="00656616" w:rsidRPr="00656616">
        <w:rPr>
          <w:color w:val="000000"/>
          <w:szCs w:val="21"/>
        </w:rPr>
        <w:t xml:space="preserve"> 66.8 </w:t>
      </w:r>
      <w:r w:rsidR="007229B0">
        <w:rPr>
          <w:color w:val="000000"/>
          <w:szCs w:val="21"/>
        </w:rPr>
        <w:t>square kilometres</w:t>
      </w:r>
      <w:r w:rsidR="00656616" w:rsidRPr="00656616">
        <w:rPr>
          <w:color w:val="000000"/>
          <w:szCs w:val="21"/>
        </w:rPr>
        <w:t>. Other</w:t>
      </w:r>
      <w:r w:rsidR="00D95C37">
        <w:rPr>
          <w:color w:val="000000"/>
          <w:szCs w:val="21"/>
        </w:rPr>
        <w:t xml:space="preserve"> major donors to CFR</w:t>
      </w:r>
      <w:r w:rsidR="00656616" w:rsidRPr="00656616">
        <w:rPr>
          <w:color w:val="000000"/>
          <w:szCs w:val="21"/>
        </w:rPr>
        <w:t xml:space="preserve"> include Switzerland and Canada.</w:t>
      </w:r>
    </w:p>
    <w:p w:rsidR="004E2335" w:rsidRPr="00E710A5" w:rsidRDefault="00E710A5" w:rsidP="00FB1699">
      <w:pPr>
        <w:pStyle w:val="BodyText"/>
        <w:rPr>
          <w:color w:val="000000"/>
          <w:szCs w:val="21"/>
        </w:rPr>
      </w:pPr>
      <w:r>
        <w:rPr>
          <w:color w:val="000000"/>
          <w:szCs w:val="21"/>
        </w:rPr>
        <w:lastRenderedPageBreak/>
        <w:t xml:space="preserve">Land is selected for land mine clearance by the </w:t>
      </w:r>
      <w:r w:rsidR="004E2335" w:rsidRPr="00E710A5">
        <w:rPr>
          <w:color w:val="000000"/>
          <w:szCs w:val="21"/>
        </w:rPr>
        <w:t xml:space="preserve">Mine Action Planning Unit </w:t>
      </w:r>
      <w:r w:rsidR="00A27F27">
        <w:rPr>
          <w:color w:val="000000"/>
          <w:szCs w:val="21"/>
        </w:rPr>
        <w:t>through</w:t>
      </w:r>
      <w:r>
        <w:rPr>
          <w:color w:val="000000"/>
          <w:szCs w:val="21"/>
        </w:rPr>
        <w:t xml:space="preserve"> working with local communities</w:t>
      </w:r>
      <w:r w:rsidR="004E2335" w:rsidRPr="00E710A5">
        <w:rPr>
          <w:color w:val="000000"/>
          <w:szCs w:val="21"/>
        </w:rPr>
        <w:t xml:space="preserve"> to identify </w:t>
      </w:r>
      <w:r>
        <w:rPr>
          <w:color w:val="000000"/>
          <w:szCs w:val="21"/>
        </w:rPr>
        <w:t>priority sites,</w:t>
      </w:r>
      <w:r w:rsidR="004E2335" w:rsidRPr="00E710A5">
        <w:rPr>
          <w:color w:val="000000"/>
          <w:szCs w:val="21"/>
        </w:rPr>
        <w:t xml:space="preserve"> based on </w:t>
      </w:r>
      <w:r w:rsidR="00A27F27">
        <w:rPr>
          <w:color w:val="000000"/>
          <w:szCs w:val="21"/>
        </w:rPr>
        <w:t>the level of e</w:t>
      </w:r>
      <w:r w:rsidR="004E2335" w:rsidRPr="00E710A5">
        <w:rPr>
          <w:color w:val="000000"/>
          <w:szCs w:val="21"/>
        </w:rPr>
        <w:t>conomic and farming activities</w:t>
      </w:r>
      <w:r w:rsidR="00A27F27">
        <w:rPr>
          <w:color w:val="000000"/>
          <w:szCs w:val="21"/>
        </w:rPr>
        <w:t xml:space="preserve"> and incidence of casualties and injuries</w:t>
      </w:r>
      <w:r w:rsidR="004E2335" w:rsidRPr="00E710A5">
        <w:rPr>
          <w:color w:val="000000"/>
          <w:szCs w:val="21"/>
        </w:rPr>
        <w:t>.</w:t>
      </w:r>
    </w:p>
    <w:p w:rsidR="00FB1699" w:rsidRPr="009F59DB" w:rsidRDefault="00C769B2" w:rsidP="00FB1699">
      <w:pPr>
        <w:pStyle w:val="BodyText"/>
        <w:rPr>
          <w:szCs w:val="22"/>
        </w:rPr>
      </w:pPr>
      <w:r>
        <w:rPr>
          <w:szCs w:val="22"/>
        </w:rPr>
        <w:t xml:space="preserve">In 2014, </w:t>
      </w:r>
      <w:r w:rsidR="00FF2FEE">
        <w:rPr>
          <w:szCs w:val="22"/>
        </w:rPr>
        <w:t>CFR</w:t>
      </w:r>
      <w:r>
        <w:rPr>
          <w:szCs w:val="22"/>
        </w:rPr>
        <w:t xml:space="preserve"> </w:t>
      </w:r>
      <w:r w:rsidRPr="009F59DB">
        <w:rPr>
          <w:szCs w:val="22"/>
        </w:rPr>
        <w:t>cleared</w:t>
      </w:r>
      <w:r w:rsidR="00A24194">
        <w:rPr>
          <w:szCs w:val="22"/>
        </w:rPr>
        <w:t xml:space="preserve"> and </w:t>
      </w:r>
      <w:r w:rsidRPr="009F59DB">
        <w:rPr>
          <w:szCs w:val="22"/>
        </w:rPr>
        <w:t>released 26.5 square kilometres of land for productive use</w:t>
      </w:r>
      <w:r w:rsidR="00FF2FEE">
        <w:rPr>
          <w:szCs w:val="22"/>
        </w:rPr>
        <w:t>,</w:t>
      </w:r>
      <w:r>
        <w:rPr>
          <w:szCs w:val="22"/>
        </w:rPr>
        <w:t xml:space="preserve"> </w:t>
      </w:r>
      <w:r w:rsidR="00E33EBB">
        <w:rPr>
          <w:szCs w:val="22"/>
        </w:rPr>
        <w:t xml:space="preserve">exceeding </w:t>
      </w:r>
      <w:r>
        <w:rPr>
          <w:szCs w:val="22"/>
        </w:rPr>
        <w:t>the target</w:t>
      </w:r>
      <w:r w:rsidR="006B2384">
        <w:rPr>
          <w:szCs w:val="22"/>
        </w:rPr>
        <w:t xml:space="preserve"> </w:t>
      </w:r>
      <w:r w:rsidR="00811609">
        <w:rPr>
          <w:szCs w:val="22"/>
        </w:rPr>
        <w:t xml:space="preserve">(25.7 </w:t>
      </w:r>
      <w:r w:rsidR="00811609" w:rsidRPr="009F59DB">
        <w:rPr>
          <w:szCs w:val="22"/>
        </w:rPr>
        <w:t>square kilometres</w:t>
      </w:r>
      <w:r w:rsidR="00811609">
        <w:rPr>
          <w:szCs w:val="22"/>
        </w:rPr>
        <w:t>)</w:t>
      </w:r>
      <w:r w:rsidRPr="009F59DB">
        <w:rPr>
          <w:szCs w:val="22"/>
        </w:rPr>
        <w:t>.</w:t>
      </w:r>
      <w:r>
        <w:rPr>
          <w:szCs w:val="22"/>
        </w:rPr>
        <w:t xml:space="preserve"> </w:t>
      </w:r>
      <w:r w:rsidR="00FB1699" w:rsidRPr="009F59DB">
        <w:rPr>
          <w:szCs w:val="22"/>
        </w:rPr>
        <w:t xml:space="preserve"> </w:t>
      </w:r>
      <w:r w:rsidR="004E12F5">
        <w:rPr>
          <w:szCs w:val="22"/>
        </w:rPr>
        <w:t>In 2014</w:t>
      </w:r>
      <w:r w:rsidR="003C49E8">
        <w:rPr>
          <w:szCs w:val="22"/>
        </w:rPr>
        <w:t>,</w:t>
      </w:r>
      <w:r w:rsidR="006F0E9D">
        <w:rPr>
          <w:szCs w:val="22"/>
        </w:rPr>
        <w:t xml:space="preserve"> </w:t>
      </w:r>
      <w:r w:rsidR="004E12F5">
        <w:rPr>
          <w:szCs w:val="22"/>
        </w:rPr>
        <w:t>Cambodian d</w:t>
      </w:r>
      <w:r w:rsidR="00FB1699" w:rsidRPr="009F59DB">
        <w:rPr>
          <w:szCs w:val="22"/>
        </w:rPr>
        <w:t>emining operators released 280 minefields and found and destroyed</w:t>
      </w:r>
      <w:r w:rsidR="003C49E8">
        <w:rPr>
          <w:szCs w:val="22"/>
        </w:rPr>
        <w:t xml:space="preserve"> over 10,000 </w:t>
      </w:r>
      <w:r w:rsidR="005F416B">
        <w:rPr>
          <w:szCs w:val="22"/>
        </w:rPr>
        <w:t>u</w:t>
      </w:r>
      <w:r w:rsidR="003C49E8">
        <w:rPr>
          <w:szCs w:val="22"/>
        </w:rPr>
        <w:t xml:space="preserve">nexploded </w:t>
      </w:r>
      <w:r w:rsidR="005F416B">
        <w:rPr>
          <w:szCs w:val="22"/>
        </w:rPr>
        <w:t>o</w:t>
      </w:r>
      <w:r w:rsidR="003C49E8">
        <w:rPr>
          <w:szCs w:val="22"/>
        </w:rPr>
        <w:t>rdnance (UXO)</w:t>
      </w:r>
      <w:r w:rsidR="005F416B">
        <w:rPr>
          <w:szCs w:val="22"/>
        </w:rPr>
        <w:t>,</w:t>
      </w:r>
      <w:r w:rsidR="003C49E8">
        <w:rPr>
          <w:szCs w:val="22"/>
        </w:rPr>
        <w:t xml:space="preserve"> including</w:t>
      </w:r>
      <w:r w:rsidR="00FB1699" w:rsidRPr="009F59DB">
        <w:rPr>
          <w:szCs w:val="22"/>
        </w:rPr>
        <w:t xml:space="preserve"> 3,80</w:t>
      </w:r>
      <w:r w:rsidR="007F3A3D">
        <w:rPr>
          <w:szCs w:val="22"/>
        </w:rPr>
        <w:t>9</w:t>
      </w:r>
      <w:r w:rsidR="00FB1699" w:rsidRPr="009F59DB">
        <w:rPr>
          <w:szCs w:val="22"/>
        </w:rPr>
        <w:t xml:space="preserve"> anti-personnel mines, 8</w:t>
      </w:r>
      <w:r w:rsidR="007F3A3D">
        <w:rPr>
          <w:szCs w:val="22"/>
        </w:rPr>
        <w:t>4</w:t>
      </w:r>
      <w:r w:rsidR="00FB1699" w:rsidRPr="009F59DB">
        <w:rPr>
          <w:szCs w:val="22"/>
        </w:rPr>
        <w:t xml:space="preserve"> anti-tank mines, 7,020 </w:t>
      </w:r>
      <w:r w:rsidR="003C49E8">
        <w:rPr>
          <w:szCs w:val="22"/>
        </w:rPr>
        <w:t>e</w:t>
      </w:r>
      <w:r w:rsidR="00FB1699" w:rsidRPr="009F59DB">
        <w:rPr>
          <w:szCs w:val="22"/>
        </w:rPr>
        <w:t xml:space="preserve">xplosive </w:t>
      </w:r>
      <w:r w:rsidR="003C49E8">
        <w:rPr>
          <w:szCs w:val="22"/>
        </w:rPr>
        <w:t>re</w:t>
      </w:r>
      <w:r w:rsidR="00FB1699" w:rsidRPr="009F59DB">
        <w:rPr>
          <w:szCs w:val="22"/>
        </w:rPr>
        <w:t xml:space="preserve">mnants of </w:t>
      </w:r>
      <w:r w:rsidR="003C49E8">
        <w:rPr>
          <w:szCs w:val="22"/>
        </w:rPr>
        <w:t>w</w:t>
      </w:r>
      <w:r w:rsidR="00FB1699" w:rsidRPr="009F59DB">
        <w:rPr>
          <w:szCs w:val="22"/>
        </w:rPr>
        <w:t xml:space="preserve">ar and 14 improvised mines.  </w:t>
      </w:r>
      <w:r w:rsidR="00315298">
        <w:rPr>
          <w:szCs w:val="22"/>
        </w:rPr>
        <w:t xml:space="preserve">More than </w:t>
      </w:r>
      <w:r w:rsidR="00FB1699" w:rsidRPr="009F59DB">
        <w:rPr>
          <w:szCs w:val="22"/>
        </w:rPr>
        <w:t>4,57</w:t>
      </w:r>
      <w:r w:rsidR="00315298">
        <w:rPr>
          <w:szCs w:val="22"/>
        </w:rPr>
        <w:t>0</w:t>
      </w:r>
      <w:r w:rsidR="00FB1699" w:rsidRPr="009F59DB">
        <w:rPr>
          <w:szCs w:val="22"/>
        </w:rPr>
        <w:t xml:space="preserve"> individuals (49 per cent female and 12 per cent people with disability) directly benefitted from land release for agriculture and housing, and </w:t>
      </w:r>
      <w:r w:rsidR="007F3A3D">
        <w:rPr>
          <w:szCs w:val="22"/>
        </w:rPr>
        <w:t xml:space="preserve">more than </w:t>
      </w:r>
      <w:r w:rsidR="00FB1699" w:rsidRPr="009F59DB">
        <w:rPr>
          <w:szCs w:val="22"/>
        </w:rPr>
        <w:t>32,85</w:t>
      </w:r>
      <w:r w:rsidR="007F3A3D">
        <w:rPr>
          <w:szCs w:val="22"/>
        </w:rPr>
        <w:t>0</w:t>
      </w:r>
      <w:r w:rsidR="00FB1699" w:rsidRPr="009F59DB">
        <w:rPr>
          <w:szCs w:val="22"/>
        </w:rPr>
        <w:t xml:space="preserve"> people (51 per cent female and 7</w:t>
      </w:r>
      <w:r w:rsidR="001823FE">
        <w:rPr>
          <w:szCs w:val="22"/>
        </w:rPr>
        <w:t> </w:t>
      </w:r>
      <w:r w:rsidR="00FB1699" w:rsidRPr="009F59DB">
        <w:rPr>
          <w:szCs w:val="22"/>
        </w:rPr>
        <w:t>per cent people with disability) benefitted indirectly from other land uses.</w:t>
      </w:r>
    </w:p>
    <w:p w:rsidR="00FB1699" w:rsidRDefault="00FB1699" w:rsidP="00FB1699">
      <w:pPr>
        <w:pStyle w:val="BodyText"/>
        <w:rPr>
          <w:szCs w:val="22"/>
        </w:rPr>
      </w:pPr>
      <w:r w:rsidRPr="009F59DB">
        <w:rPr>
          <w:szCs w:val="22"/>
        </w:rPr>
        <w:t xml:space="preserve">Despite the </w:t>
      </w:r>
      <w:r w:rsidR="00947512">
        <w:rPr>
          <w:szCs w:val="22"/>
        </w:rPr>
        <w:t>strong results</w:t>
      </w:r>
      <w:r w:rsidR="003C49E8">
        <w:rPr>
          <w:szCs w:val="22"/>
        </w:rPr>
        <w:t xml:space="preserve"> in land clearance and release</w:t>
      </w:r>
      <w:r w:rsidRPr="009F59DB">
        <w:rPr>
          <w:szCs w:val="22"/>
        </w:rPr>
        <w:t>, the Cambodian Mine/</w:t>
      </w:r>
      <w:r w:rsidR="003C49E8">
        <w:rPr>
          <w:szCs w:val="22"/>
        </w:rPr>
        <w:t>UXO</w:t>
      </w:r>
      <w:r w:rsidRPr="009F59DB">
        <w:rPr>
          <w:szCs w:val="22"/>
        </w:rPr>
        <w:t xml:space="preserve"> Victim Information System </w:t>
      </w:r>
      <w:r w:rsidR="00144C2E">
        <w:rPr>
          <w:szCs w:val="22"/>
        </w:rPr>
        <w:t>reported</w:t>
      </w:r>
      <w:r w:rsidR="00144C2E" w:rsidRPr="009F59DB">
        <w:rPr>
          <w:szCs w:val="22"/>
        </w:rPr>
        <w:t xml:space="preserve"> </w:t>
      </w:r>
      <w:r w:rsidRPr="009F59DB">
        <w:rPr>
          <w:szCs w:val="22"/>
        </w:rPr>
        <w:t xml:space="preserve">an increase in </w:t>
      </w:r>
      <w:r w:rsidR="00F41E79">
        <w:rPr>
          <w:szCs w:val="22"/>
        </w:rPr>
        <w:t xml:space="preserve">the </w:t>
      </w:r>
      <w:r w:rsidRPr="009F59DB">
        <w:rPr>
          <w:szCs w:val="22"/>
        </w:rPr>
        <w:t xml:space="preserve">number of casualties </w:t>
      </w:r>
      <w:r w:rsidR="00947512">
        <w:rPr>
          <w:szCs w:val="22"/>
        </w:rPr>
        <w:t>in 2014 (</w:t>
      </w:r>
      <w:r w:rsidRPr="009F59DB">
        <w:rPr>
          <w:szCs w:val="22"/>
        </w:rPr>
        <w:t>from 111 in 2013 to 154</w:t>
      </w:r>
      <w:r w:rsidR="00521A9A">
        <w:rPr>
          <w:szCs w:val="22"/>
        </w:rPr>
        <w:t> </w:t>
      </w:r>
      <w:r w:rsidRPr="009F59DB">
        <w:rPr>
          <w:szCs w:val="22"/>
        </w:rPr>
        <w:t>in 2014</w:t>
      </w:r>
      <w:r w:rsidR="00947512">
        <w:rPr>
          <w:szCs w:val="22"/>
        </w:rPr>
        <w:t>)</w:t>
      </w:r>
      <w:r w:rsidRPr="009F59DB">
        <w:rPr>
          <w:szCs w:val="22"/>
        </w:rPr>
        <w:t xml:space="preserve">.  In the three target provinces (Banteay Meanchey, Battambang and Pailin) the number of </w:t>
      </w:r>
      <w:r w:rsidR="003C49E8">
        <w:rPr>
          <w:szCs w:val="22"/>
        </w:rPr>
        <w:t>UXO</w:t>
      </w:r>
      <w:r w:rsidR="00E9222E">
        <w:rPr>
          <w:szCs w:val="22"/>
        </w:rPr>
        <w:t xml:space="preserve"> </w:t>
      </w:r>
      <w:r w:rsidRPr="009F59DB">
        <w:rPr>
          <w:szCs w:val="22"/>
        </w:rPr>
        <w:t xml:space="preserve">casualties </w:t>
      </w:r>
      <w:r w:rsidR="00144C2E">
        <w:rPr>
          <w:szCs w:val="22"/>
        </w:rPr>
        <w:t>increased</w:t>
      </w:r>
      <w:r w:rsidR="00144C2E" w:rsidRPr="009F59DB">
        <w:rPr>
          <w:szCs w:val="22"/>
        </w:rPr>
        <w:t xml:space="preserve"> </w:t>
      </w:r>
      <w:r w:rsidRPr="009F59DB">
        <w:rPr>
          <w:szCs w:val="22"/>
        </w:rPr>
        <w:t>by 207 per cent</w:t>
      </w:r>
      <w:r w:rsidR="00144C2E">
        <w:rPr>
          <w:szCs w:val="22"/>
        </w:rPr>
        <w:t>,</w:t>
      </w:r>
      <w:r w:rsidRPr="009F59DB">
        <w:rPr>
          <w:szCs w:val="22"/>
        </w:rPr>
        <w:t xml:space="preserve"> from 27</w:t>
      </w:r>
      <w:r w:rsidR="00947512">
        <w:rPr>
          <w:szCs w:val="22"/>
        </w:rPr>
        <w:t xml:space="preserve"> per cent</w:t>
      </w:r>
      <w:r w:rsidRPr="009F59DB">
        <w:rPr>
          <w:szCs w:val="22"/>
        </w:rPr>
        <w:t xml:space="preserve"> in 2013 to 83 </w:t>
      </w:r>
      <w:r w:rsidR="00947512">
        <w:rPr>
          <w:szCs w:val="22"/>
        </w:rPr>
        <w:t xml:space="preserve">per cent </w:t>
      </w:r>
      <w:r w:rsidR="00D93000">
        <w:rPr>
          <w:szCs w:val="22"/>
        </w:rPr>
        <w:t>in 2014, at</w:t>
      </w:r>
      <w:r w:rsidR="003C49E8">
        <w:rPr>
          <w:szCs w:val="22"/>
        </w:rPr>
        <w:t>tributed</w:t>
      </w:r>
      <w:r w:rsidRPr="009F59DB">
        <w:rPr>
          <w:szCs w:val="22"/>
        </w:rPr>
        <w:t xml:space="preserve"> to tampering</w:t>
      </w:r>
      <w:r w:rsidR="003C49E8">
        <w:rPr>
          <w:szCs w:val="22"/>
        </w:rPr>
        <w:t xml:space="preserve"> with UXO</w:t>
      </w:r>
      <w:r w:rsidRPr="009F59DB">
        <w:rPr>
          <w:szCs w:val="22"/>
        </w:rPr>
        <w:t>, travel</w:t>
      </w:r>
      <w:r w:rsidR="003C49E8">
        <w:rPr>
          <w:szCs w:val="22"/>
        </w:rPr>
        <w:t>ling</w:t>
      </w:r>
      <w:r w:rsidRPr="009F59DB">
        <w:rPr>
          <w:szCs w:val="22"/>
        </w:rPr>
        <w:t xml:space="preserve"> on old</w:t>
      </w:r>
      <w:r w:rsidR="003C49E8">
        <w:rPr>
          <w:szCs w:val="22"/>
        </w:rPr>
        <w:t xml:space="preserve"> and </w:t>
      </w:r>
      <w:r w:rsidRPr="009F59DB">
        <w:rPr>
          <w:szCs w:val="22"/>
        </w:rPr>
        <w:t xml:space="preserve">abandoned roads where contamination is unknown, </w:t>
      </w:r>
      <w:r w:rsidR="00947512">
        <w:rPr>
          <w:szCs w:val="22"/>
        </w:rPr>
        <w:t xml:space="preserve">and </w:t>
      </w:r>
      <w:r w:rsidR="00144C2E">
        <w:rPr>
          <w:szCs w:val="22"/>
        </w:rPr>
        <w:t xml:space="preserve">the </w:t>
      </w:r>
      <w:r w:rsidRPr="009F59DB">
        <w:rPr>
          <w:szCs w:val="22"/>
        </w:rPr>
        <w:t>increased use of machinery on farmland.</w:t>
      </w:r>
      <w:r w:rsidR="00144C2E">
        <w:rPr>
          <w:szCs w:val="22"/>
        </w:rPr>
        <w:t xml:space="preserve"> </w:t>
      </w:r>
      <w:r w:rsidR="00164076">
        <w:rPr>
          <w:szCs w:val="22"/>
        </w:rPr>
        <w:t xml:space="preserve"> </w:t>
      </w:r>
      <w:r w:rsidR="00D93000">
        <w:rPr>
          <w:szCs w:val="22"/>
        </w:rPr>
        <w:t xml:space="preserve">This </w:t>
      </w:r>
      <w:r w:rsidR="003D0884">
        <w:rPr>
          <w:szCs w:val="22"/>
        </w:rPr>
        <w:t xml:space="preserve">suggests </w:t>
      </w:r>
      <w:r w:rsidR="00D93000">
        <w:rPr>
          <w:szCs w:val="22"/>
        </w:rPr>
        <w:t>that population and economic pressure</w:t>
      </w:r>
      <w:r w:rsidR="00542519">
        <w:rPr>
          <w:szCs w:val="22"/>
        </w:rPr>
        <w:t>s</w:t>
      </w:r>
      <w:r w:rsidR="00D93000">
        <w:rPr>
          <w:szCs w:val="22"/>
        </w:rPr>
        <w:t xml:space="preserve"> </w:t>
      </w:r>
      <w:r w:rsidR="00542519">
        <w:rPr>
          <w:szCs w:val="22"/>
        </w:rPr>
        <w:t>are</w:t>
      </w:r>
      <w:r w:rsidR="00D93000">
        <w:rPr>
          <w:szCs w:val="22"/>
        </w:rPr>
        <w:t xml:space="preserve"> </w:t>
      </w:r>
      <w:r w:rsidR="00BF650F">
        <w:rPr>
          <w:szCs w:val="22"/>
        </w:rPr>
        <w:t xml:space="preserve">creating incentives for </w:t>
      </w:r>
      <w:r w:rsidR="00D93000">
        <w:rPr>
          <w:szCs w:val="22"/>
        </w:rPr>
        <w:t>people to move into contaminated areas, and</w:t>
      </w:r>
      <w:r w:rsidRPr="009F59DB">
        <w:rPr>
          <w:szCs w:val="22"/>
        </w:rPr>
        <w:t xml:space="preserve"> </w:t>
      </w:r>
      <w:r w:rsidR="003D0884">
        <w:rPr>
          <w:szCs w:val="22"/>
        </w:rPr>
        <w:t>highlights</w:t>
      </w:r>
      <w:r w:rsidR="003D0884" w:rsidRPr="009F59DB">
        <w:rPr>
          <w:szCs w:val="22"/>
        </w:rPr>
        <w:t xml:space="preserve"> </w:t>
      </w:r>
      <w:r w:rsidRPr="009F59DB">
        <w:rPr>
          <w:szCs w:val="22"/>
        </w:rPr>
        <w:t xml:space="preserve">the need for more </w:t>
      </w:r>
      <w:r w:rsidR="006B2384">
        <w:rPr>
          <w:szCs w:val="22"/>
        </w:rPr>
        <w:t>e</w:t>
      </w:r>
      <w:r w:rsidRPr="009F59DB">
        <w:rPr>
          <w:szCs w:val="22"/>
        </w:rPr>
        <w:t xml:space="preserve">ducation </w:t>
      </w:r>
      <w:r w:rsidR="00C800FD">
        <w:rPr>
          <w:szCs w:val="22"/>
        </w:rPr>
        <w:t>around the risk of UXO</w:t>
      </w:r>
      <w:r w:rsidR="00C800FD" w:rsidRPr="009F59DB">
        <w:rPr>
          <w:szCs w:val="22"/>
        </w:rPr>
        <w:t xml:space="preserve"> </w:t>
      </w:r>
      <w:r w:rsidRPr="009F59DB">
        <w:rPr>
          <w:szCs w:val="22"/>
        </w:rPr>
        <w:t xml:space="preserve">and the </w:t>
      </w:r>
      <w:r w:rsidR="00C800FD">
        <w:rPr>
          <w:szCs w:val="22"/>
        </w:rPr>
        <w:t xml:space="preserve">further </w:t>
      </w:r>
      <w:r w:rsidRPr="009F59DB">
        <w:rPr>
          <w:szCs w:val="22"/>
        </w:rPr>
        <w:t>release of safe agricultural land.</w:t>
      </w:r>
    </w:p>
    <w:p w:rsidR="00164076" w:rsidRDefault="00164076" w:rsidP="00FB1699">
      <w:pPr>
        <w:pStyle w:val="BodyText"/>
        <w:rPr>
          <w:szCs w:val="22"/>
        </w:rPr>
      </w:pPr>
    </w:p>
    <w:tbl>
      <w:tblPr>
        <w:tblStyle w:val="APPR"/>
        <w:tblW w:w="5000" w:type="pct"/>
        <w:tblLook w:val="01E0" w:firstRow="1" w:lastRow="1" w:firstColumn="1" w:lastColumn="1" w:noHBand="0" w:noVBand="0"/>
      </w:tblPr>
      <w:tblGrid>
        <w:gridCol w:w="7373"/>
        <w:gridCol w:w="1829"/>
      </w:tblGrid>
      <w:tr w:rsidR="00567AD6" w:rsidTr="00567AD6">
        <w:trPr>
          <w:cnfStyle w:val="100000000000" w:firstRow="1" w:lastRow="0" w:firstColumn="0" w:lastColumn="0" w:oddVBand="0" w:evenVBand="0" w:oddHBand="0" w:evenHBand="0" w:firstRowFirstColumn="0" w:firstRowLastColumn="0" w:lastRowFirstColumn="0" w:lastRowLastColumn="0"/>
        </w:trPr>
        <w:tc>
          <w:tcPr>
            <w:tcW w:w="3981" w:type="pct"/>
            <w:tcBorders>
              <w:left w:val="nil"/>
              <w:right w:val="nil"/>
            </w:tcBorders>
            <w:hideMark/>
          </w:tcPr>
          <w:p w:rsidR="00567AD6" w:rsidRDefault="00567AD6">
            <w:pPr>
              <w:pStyle w:val="TableTextEntries"/>
              <w:rPr>
                <w:sz w:val="24"/>
                <w:szCs w:val="24"/>
                <w:lang w:eastAsia="en-AU"/>
              </w:rPr>
            </w:pPr>
            <w:r>
              <w:rPr>
                <w:sz w:val="24"/>
                <w:szCs w:val="24"/>
                <w:lang w:eastAsia="en-AU"/>
              </w:rPr>
              <w:t>OBJECTIVE 2: Increased access to quality health services for the poor, women and children through improved health management</w:t>
            </w:r>
          </w:p>
        </w:tc>
        <w:tc>
          <w:tcPr>
            <w:tcW w:w="971" w:type="pct"/>
            <w:tcBorders>
              <w:left w:val="nil"/>
              <w:right w:val="nil"/>
            </w:tcBorders>
            <w:shd w:val="clear" w:color="auto" w:fill="92D050"/>
            <w:hideMark/>
          </w:tcPr>
          <w:p w:rsidR="00567AD6" w:rsidRDefault="00567AD6">
            <w:pPr>
              <w:pStyle w:val="TableTextEntries"/>
              <w:jc w:val="center"/>
              <w:rPr>
                <w:lang w:eastAsia="en-AU"/>
              </w:rPr>
            </w:pPr>
            <w:r>
              <w:rPr>
                <w:lang w:eastAsia="en-AU"/>
              </w:rPr>
              <w:t>Green</w:t>
            </w:r>
          </w:p>
        </w:tc>
      </w:tr>
    </w:tbl>
    <w:p w:rsidR="00567AD6" w:rsidRDefault="00567AD6" w:rsidP="00567AD6">
      <w:pPr>
        <w:pStyle w:val="BodyText"/>
        <w:spacing w:after="0"/>
        <w:rPr>
          <w:rFonts w:ascii="Helvetica" w:hAnsi="Helvetica" w:cs="Arial"/>
          <w:b/>
          <w:color w:val="124486"/>
          <w:kern w:val="28"/>
          <w:sz w:val="22"/>
          <w:szCs w:val="22"/>
          <w:lang w:eastAsia="zh-CN"/>
        </w:rPr>
      </w:pPr>
    </w:p>
    <w:p w:rsidR="00567AD6" w:rsidRDefault="00C21670" w:rsidP="001E60FC">
      <w:pPr>
        <w:pStyle w:val="ListBullet"/>
        <w:numPr>
          <w:ilvl w:val="0"/>
          <w:numId w:val="0"/>
        </w:numPr>
        <w:jc w:val="both"/>
        <w:rPr>
          <w:szCs w:val="22"/>
        </w:rPr>
      </w:pPr>
      <w:r>
        <w:t xml:space="preserve">Progress towards </w:t>
      </w:r>
      <w:r w:rsidR="008065B5">
        <w:t>o</w:t>
      </w:r>
      <w:r w:rsidR="00C41D7E">
        <w:t xml:space="preserve">bjective 2 was </w:t>
      </w:r>
      <w:r>
        <w:t xml:space="preserve">as expected, meeting or exceeding all targets, </w:t>
      </w:r>
      <w:r w:rsidR="00C41D7E">
        <w:t>and received a green rating.</w:t>
      </w:r>
      <w:r w:rsidR="001E60FC">
        <w:t xml:space="preserve">  </w:t>
      </w:r>
      <w:r w:rsidR="00567AD6" w:rsidRPr="00E25BC8">
        <w:rPr>
          <w:szCs w:val="22"/>
        </w:rPr>
        <w:t>The health sector in Cambodia is showing improvements, achieving the main health outcomes of Cambodia’s Millennium Development Goal targets ahead of schedule.</w:t>
      </w:r>
    </w:p>
    <w:p w:rsidR="001E60FC" w:rsidRDefault="001E60FC" w:rsidP="00E25BC8">
      <w:pPr>
        <w:pStyle w:val="BodyText"/>
        <w:rPr>
          <w:szCs w:val="22"/>
        </w:rPr>
      </w:pPr>
      <w:r w:rsidRPr="00243568">
        <w:rPr>
          <w:szCs w:val="22"/>
        </w:rPr>
        <w:t xml:space="preserve">Australia was the </w:t>
      </w:r>
      <w:r w:rsidR="004C58AD" w:rsidRPr="00243568">
        <w:rPr>
          <w:szCs w:val="22"/>
        </w:rPr>
        <w:t>second</w:t>
      </w:r>
      <w:r w:rsidRPr="00243568">
        <w:rPr>
          <w:szCs w:val="22"/>
        </w:rPr>
        <w:t xml:space="preserve"> largest bilateral donor to the health sector in 2014-15, providing over </w:t>
      </w:r>
      <w:r w:rsidR="0089434B" w:rsidRPr="00243568">
        <w:rPr>
          <w:szCs w:val="22"/>
        </w:rPr>
        <w:br/>
      </w:r>
      <w:r w:rsidRPr="00243568">
        <w:rPr>
          <w:szCs w:val="22"/>
        </w:rPr>
        <w:t>$</w:t>
      </w:r>
      <w:r w:rsidR="004C58AD" w:rsidRPr="00243568">
        <w:rPr>
          <w:szCs w:val="22"/>
        </w:rPr>
        <w:t>13</w:t>
      </w:r>
      <w:r w:rsidRPr="00243568">
        <w:rPr>
          <w:szCs w:val="22"/>
        </w:rPr>
        <w:t xml:space="preserve"> m</w:t>
      </w:r>
      <w:r w:rsidR="004C58AD" w:rsidRPr="00243568">
        <w:rPr>
          <w:szCs w:val="22"/>
        </w:rPr>
        <w:t>illion</w:t>
      </w:r>
      <w:r w:rsidRPr="00243568">
        <w:rPr>
          <w:szCs w:val="22"/>
        </w:rPr>
        <w:t xml:space="preserve">.  Together with the Ministry of Health and other donors, we implemented </w:t>
      </w:r>
      <w:r w:rsidRPr="004C58AD">
        <w:rPr>
          <w:szCs w:val="22"/>
        </w:rPr>
        <w:t>a number of aid investments in line with the Cambodia Health Strategic Plan.</w:t>
      </w:r>
      <w:r w:rsidRPr="00243568">
        <w:rPr>
          <w:szCs w:val="22"/>
        </w:rPr>
        <w:t xml:space="preserve">  Our multipronged approach </w:t>
      </w:r>
      <w:r w:rsidR="008065B5" w:rsidRPr="00243568">
        <w:rPr>
          <w:szCs w:val="22"/>
        </w:rPr>
        <w:t>focused on</w:t>
      </w:r>
      <w:r w:rsidRPr="00243568">
        <w:rPr>
          <w:szCs w:val="22"/>
        </w:rPr>
        <w:t xml:space="preserve"> increasing access to quality health services for the poor, women and children. </w:t>
      </w:r>
      <w:r w:rsidR="00FE7FC1" w:rsidRPr="00243568">
        <w:rPr>
          <w:szCs w:val="22"/>
        </w:rPr>
        <w:t xml:space="preserve"> </w:t>
      </w:r>
      <w:r w:rsidR="0089434B" w:rsidRPr="00E25BC8">
        <w:rPr>
          <w:szCs w:val="22"/>
        </w:rPr>
        <w:t>Australia</w:t>
      </w:r>
      <w:r w:rsidR="0089434B">
        <w:rPr>
          <w:szCs w:val="22"/>
        </w:rPr>
        <w:t>’s</w:t>
      </w:r>
      <w:r w:rsidR="0089434B" w:rsidRPr="00E25BC8">
        <w:rPr>
          <w:szCs w:val="22"/>
        </w:rPr>
        <w:t xml:space="preserve"> investments have</w:t>
      </w:r>
      <w:r w:rsidR="0089434B" w:rsidRPr="004C58AD">
        <w:rPr>
          <w:szCs w:val="22"/>
        </w:rPr>
        <w:t xml:space="preserve"> </w:t>
      </w:r>
      <w:r w:rsidR="0089434B">
        <w:rPr>
          <w:szCs w:val="22"/>
        </w:rPr>
        <w:t xml:space="preserve">contributed to the improvements in the sector highlighted in the </w:t>
      </w:r>
      <w:r w:rsidRPr="004C58AD">
        <w:rPr>
          <w:szCs w:val="22"/>
        </w:rPr>
        <w:t xml:space="preserve">Cambodian Demographic and Health Survey 2014 </w:t>
      </w:r>
      <w:r w:rsidR="0089434B">
        <w:rPr>
          <w:szCs w:val="22"/>
        </w:rPr>
        <w:t>(</w:t>
      </w:r>
      <w:r w:rsidRPr="004C58AD">
        <w:rPr>
          <w:szCs w:val="22"/>
        </w:rPr>
        <w:t>released</w:t>
      </w:r>
      <w:r w:rsidR="0089434B">
        <w:rPr>
          <w:szCs w:val="22"/>
        </w:rPr>
        <w:t xml:space="preserve"> in</w:t>
      </w:r>
      <w:r w:rsidRPr="004C58AD">
        <w:rPr>
          <w:szCs w:val="22"/>
        </w:rPr>
        <w:t xml:space="preserve"> February 2015</w:t>
      </w:r>
      <w:r w:rsidR="0089434B">
        <w:rPr>
          <w:szCs w:val="22"/>
        </w:rPr>
        <w:t>):</w:t>
      </w:r>
      <w:r w:rsidRPr="004C58AD">
        <w:rPr>
          <w:szCs w:val="22"/>
        </w:rPr>
        <w:t xml:space="preserve"> the infant mortality rate has reduced from</w:t>
      </w:r>
      <w:r w:rsidR="00FE7FC1" w:rsidRPr="004C58AD">
        <w:rPr>
          <w:szCs w:val="22"/>
        </w:rPr>
        <w:t xml:space="preserve"> </w:t>
      </w:r>
      <w:r w:rsidRPr="004C58AD">
        <w:rPr>
          <w:szCs w:val="22"/>
        </w:rPr>
        <w:t>66 (2005) to 28 (2014) deaths per 1,000 live births; the under-five mortality rate has decreased from 83 (2005) to 35 (2014) per 1,000 live births; and the maternal death ratio</w:t>
      </w:r>
      <w:r w:rsidRPr="00E25BC8">
        <w:rPr>
          <w:szCs w:val="22"/>
        </w:rPr>
        <w:t xml:space="preserve"> has dropped from </w:t>
      </w:r>
      <w:r>
        <w:rPr>
          <w:szCs w:val="22"/>
        </w:rPr>
        <w:t xml:space="preserve">472 </w:t>
      </w:r>
      <w:r w:rsidRPr="00E25BC8">
        <w:rPr>
          <w:szCs w:val="22"/>
        </w:rPr>
        <w:t>(20</w:t>
      </w:r>
      <w:r>
        <w:rPr>
          <w:szCs w:val="22"/>
        </w:rPr>
        <w:t>05</w:t>
      </w:r>
      <w:r w:rsidRPr="00E25BC8">
        <w:rPr>
          <w:szCs w:val="22"/>
        </w:rPr>
        <w:t>) to 170 (2014) deaths per 100,000 live births.</w:t>
      </w:r>
    </w:p>
    <w:p w:rsidR="0037270C" w:rsidRPr="00E25BC8" w:rsidRDefault="00567AD6" w:rsidP="00E25BC8">
      <w:pPr>
        <w:pStyle w:val="BodyText"/>
        <w:rPr>
          <w:szCs w:val="22"/>
        </w:rPr>
      </w:pPr>
      <w:r w:rsidRPr="00E25BC8">
        <w:rPr>
          <w:szCs w:val="22"/>
        </w:rPr>
        <w:t xml:space="preserve">Australia’s largest investment, the Health Sector Support Program </w:t>
      </w:r>
      <w:r w:rsidR="00A24194" w:rsidRPr="00E25BC8">
        <w:rPr>
          <w:szCs w:val="22"/>
        </w:rPr>
        <w:t xml:space="preserve">phase 2 </w:t>
      </w:r>
      <w:r w:rsidRPr="00E25BC8">
        <w:rPr>
          <w:szCs w:val="22"/>
        </w:rPr>
        <w:t>(HSSP2), expands quality healthcare</w:t>
      </w:r>
      <w:r w:rsidR="00BF650F">
        <w:rPr>
          <w:szCs w:val="22"/>
        </w:rPr>
        <w:t>,</w:t>
      </w:r>
      <w:r w:rsidRPr="00E25BC8">
        <w:rPr>
          <w:szCs w:val="22"/>
        </w:rPr>
        <w:t xml:space="preserve"> by assisting the Cambodian Government to deliver essential health care to approximately 2.6 million of the poorest Cambodians.</w:t>
      </w:r>
      <w:r w:rsidR="00164076">
        <w:rPr>
          <w:szCs w:val="22"/>
        </w:rPr>
        <w:t xml:space="preserve"> </w:t>
      </w:r>
      <w:r w:rsidRPr="00E25BC8">
        <w:rPr>
          <w:szCs w:val="22"/>
        </w:rPr>
        <w:t xml:space="preserve"> In collaboration with the World</w:t>
      </w:r>
      <w:r w:rsidR="00243568">
        <w:rPr>
          <w:szCs w:val="22"/>
        </w:rPr>
        <w:t xml:space="preserve"> </w:t>
      </w:r>
      <w:r w:rsidRPr="00E25BC8">
        <w:rPr>
          <w:szCs w:val="22"/>
        </w:rPr>
        <w:t xml:space="preserve">Bank and other development partners, performance-based funding </w:t>
      </w:r>
      <w:r w:rsidR="00243568">
        <w:rPr>
          <w:szCs w:val="22"/>
        </w:rPr>
        <w:t xml:space="preserve">- </w:t>
      </w:r>
      <w:r w:rsidRPr="00E25BC8">
        <w:rPr>
          <w:szCs w:val="22"/>
        </w:rPr>
        <w:t xml:space="preserve">through </w:t>
      </w:r>
      <w:r w:rsidR="00243568">
        <w:rPr>
          <w:szCs w:val="22"/>
        </w:rPr>
        <w:t>h</w:t>
      </w:r>
      <w:r w:rsidRPr="00E25BC8">
        <w:rPr>
          <w:szCs w:val="22"/>
        </w:rPr>
        <w:t xml:space="preserve">ealth </w:t>
      </w:r>
      <w:r w:rsidR="00243568">
        <w:rPr>
          <w:szCs w:val="22"/>
        </w:rPr>
        <w:t>e</w:t>
      </w:r>
      <w:r w:rsidRPr="00E25BC8">
        <w:rPr>
          <w:szCs w:val="22"/>
        </w:rPr>
        <w:t xml:space="preserve">quity </w:t>
      </w:r>
      <w:r w:rsidR="00243568">
        <w:rPr>
          <w:szCs w:val="22"/>
        </w:rPr>
        <w:t>f</w:t>
      </w:r>
      <w:r w:rsidRPr="00E25BC8">
        <w:rPr>
          <w:szCs w:val="22"/>
        </w:rPr>
        <w:t>unds</w:t>
      </w:r>
      <w:r w:rsidR="00243568">
        <w:rPr>
          <w:szCs w:val="22"/>
        </w:rPr>
        <w:t xml:space="preserve"> -</w:t>
      </w:r>
      <w:r w:rsidRPr="00E25BC8">
        <w:rPr>
          <w:szCs w:val="22"/>
        </w:rPr>
        <w:t xml:space="preserve"> is provided directly to health centres and hospitals to </w:t>
      </w:r>
      <w:r w:rsidR="00BF650F">
        <w:rPr>
          <w:szCs w:val="22"/>
        </w:rPr>
        <w:t>promote</w:t>
      </w:r>
      <w:r w:rsidR="00BF650F" w:rsidRPr="00E25BC8">
        <w:rPr>
          <w:szCs w:val="22"/>
        </w:rPr>
        <w:t xml:space="preserve"> </w:t>
      </w:r>
      <w:r w:rsidRPr="00E25BC8">
        <w:rPr>
          <w:szCs w:val="22"/>
        </w:rPr>
        <w:t>the delivery of better health services.</w:t>
      </w:r>
      <w:r w:rsidR="00164076">
        <w:rPr>
          <w:szCs w:val="22"/>
        </w:rPr>
        <w:t xml:space="preserve"> </w:t>
      </w:r>
      <w:r w:rsidRPr="00E25BC8">
        <w:rPr>
          <w:szCs w:val="22"/>
        </w:rPr>
        <w:t xml:space="preserve"> In 2014</w:t>
      </w:r>
      <w:r w:rsidRPr="00E25BC8">
        <w:rPr>
          <w:szCs w:val="22"/>
        </w:rPr>
        <w:noBreakHyphen/>
        <w:t>15</w:t>
      </w:r>
      <w:r w:rsidR="00C41D7E" w:rsidRPr="00E25BC8">
        <w:rPr>
          <w:szCs w:val="22"/>
        </w:rPr>
        <w:t>,</w:t>
      </w:r>
      <w:r w:rsidRPr="00E25BC8">
        <w:rPr>
          <w:szCs w:val="22"/>
        </w:rPr>
        <w:t xml:space="preserve"> </w:t>
      </w:r>
      <w:r w:rsidR="004803F5" w:rsidRPr="00E25BC8">
        <w:rPr>
          <w:szCs w:val="22"/>
        </w:rPr>
        <w:t xml:space="preserve">the </w:t>
      </w:r>
      <w:r w:rsidR="00356E6A" w:rsidRPr="00E25BC8">
        <w:rPr>
          <w:szCs w:val="22"/>
        </w:rPr>
        <w:t>coverage of the health equity funds increased from 93 per cent to 97</w:t>
      </w:r>
      <w:r w:rsidR="00243568">
        <w:rPr>
          <w:szCs w:val="22"/>
        </w:rPr>
        <w:t xml:space="preserve"> </w:t>
      </w:r>
      <w:r w:rsidR="00356E6A" w:rsidRPr="00E25BC8">
        <w:rPr>
          <w:szCs w:val="22"/>
        </w:rPr>
        <w:t>per cent</w:t>
      </w:r>
      <w:r w:rsidR="004803F5" w:rsidRPr="00E25BC8">
        <w:rPr>
          <w:szCs w:val="22"/>
        </w:rPr>
        <w:t xml:space="preserve"> of poor people.</w:t>
      </w:r>
      <w:r w:rsidR="000F3E86">
        <w:rPr>
          <w:szCs w:val="22"/>
        </w:rPr>
        <w:t xml:space="preserve">  This is directly linked to the objective of increasing access to quality health services for poor people, women and children.</w:t>
      </w:r>
    </w:p>
    <w:p w:rsidR="00567AD6" w:rsidRPr="00E25BC8" w:rsidRDefault="00AC1DD5" w:rsidP="00E25BC8">
      <w:pPr>
        <w:pStyle w:val="BodyText"/>
        <w:rPr>
          <w:szCs w:val="22"/>
        </w:rPr>
      </w:pPr>
      <w:r w:rsidRPr="00E25BC8">
        <w:rPr>
          <w:szCs w:val="22"/>
        </w:rPr>
        <w:t>HSSP2 is due to end in June 2016.</w:t>
      </w:r>
      <w:r w:rsidR="00164076">
        <w:rPr>
          <w:szCs w:val="22"/>
        </w:rPr>
        <w:t xml:space="preserve"> </w:t>
      </w:r>
      <w:r w:rsidRPr="00E25BC8">
        <w:rPr>
          <w:szCs w:val="22"/>
        </w:rPr>
        <w:t xml:space="preserve"> As well as </w:t>
      </w:r>
      <w:r w:rsidR="0037270C" w:rsidRPr="00E25BC8">
        <w:rPr>
          <w:szCs w:val="22"/>
        </w:rPr>
        <w:t xml:space="preserve">leading </w:t>
      </w:r>
      <w:r w:rsidR="00BF650F">
        <w:rPr>
          <w:szCs w:val="22"/>
        </w:rPr>
        <w:t>on</w:t>
      </w:r>
      <w:r w:rsidR="008D2B9A">
        <w:rPr>
          <w:szCs w:val="22"/>
        </w:rPr>
        <w:t xml:space="preserve"> </w:t>
      </w:r>
      <w:r w:rsidRPr="00E25BC8">
        <w:rPr>
          <w:szCs w:val="22"/>
        </w:rPr>
        <w:t>implementation in 2014-15, w</w:t>
      </w:r>
      <w:r w:rsidR="0037270C" w:rsidRPr="00E25BC8">
        <w:rPr>
          <w:szCs w:val="22"/>
        </w:rPr>
        <w:t>e also led policy discussions with the Cambodian Government on the development of a new health program</w:t>
      </w:r>
      <w:r w:rsidRPr="00E25BC8">
        <w:rPr>
          <w:szCs w:val="22"/>
        </w:rPr>
        <w:t xml:space="preserve">. </w:t>
      </w:r>
      <w:r w:rsidR="00164076">
        <w:rPr>
          <w:szCs w:val="22"/>
        </w:rPr>
        <w:t xml:space="preserve"> </w:t>
      </w:r>
      <w:r w:rsidRPr="00E25BC8">
        <w:rPr>
          <w:szCs w:val="22"/>
        </w:rPr>
        <w:t xml:space="preserve">This included </w:t>
      </w:r>
      <w:r w:rsidR="0037270C" w:rsidRPr="00E25BC8">
        <w:rPr>
          <w:szCs w:val="22"/>
        </w:rPr>
        <w:t xml:space="preserve">analysis to support the </w:t>
      </w:r>
      <w:r w:rsidRPr="00E25BC8">
        <w:rPr>
          <w:szCs w:val="22"/>
        </w:rPr>
        <w:t>planning</w:t>
      </w:r>
      <w:r w:rsidR="00C76B32">
        <w:rPr>
          <w:szCs w:val="22"/>
        </w:rPr>
        <w:t>,</w:t>
      </w:r>
      <w:r w:rsidRPr="00E25BC8">
        <w:rPr>
          <w:szCs w:val="22"/>
        </w:rPr>
        <w:t xml:space="preserve"> </w:t>
      </w:r>
      <w:r w:rsidR="0037270C" w:rsidRPr="00E25BC8">
        <w:rPr>
          <w:szCs w:val="22"/>
        </w:rPr>
        <w:t xml:space="preserve">management and financing of performance-based </w:t>
      </w:r>
      <w:r w:rsidR="0037270C" w:rsidRPr="00E25BC8">
        <w:rPr>
          <w:szCs w:val="22"/>
        </w:rPr>
        <w:lastRenderedPageBreak/>
        <w:t>health funding in Cambodia.</w:t>
      </w:r>
      <w:r w:rsidR="00164076">
        <w:rPr>
          <w:szCs w:val="22"/>
        </w:rPr>
        <w:t xml:space="preserve"> </w:t>
      </w:r>
      <w:r w:rsidR="0037270C" w:rsidRPr="00E25BC8">
        <w:rPr>
          <w:szCs w:val="22"/>
        </w:rPr>
        <w:t xml:space="preserve"> These discussions have been hampered by the uncertainty surrounding future World Bank engagement in Cambodia.</w:t>
      </w:r>
    </w:p>
    <w:p w:rsidR="00E23893" w:rsidRPr="00E25BC8" w:rsidRDefault="00E23893" w:rsidP="00E25BC8">
      <w:pPr>
        <w:pStyle w:val="BodyText"/>
        <w:rPr>
          <w:szCs w:val="22"/>
        </w:rPr>
      </w:pPr>
      <w:r w:rsidRPr="00E25BC8">
        <w:rPr>
          <w:szCs w:val="22"/>
        </w:rPr>
        <w:t>The</w:t>
      </w:r>
      <w:r w:rsidR="00BD1BF3">
        <w:rPr>
          <w:szCs w:val="22"/>
        </w:rPr>
        <w:t xml:space="preserve"> Australian Government</w:t>
      </w:r>
      <w:r w:rsidR="007D6167">
        <w:rPr>
          <w:szCs w:val="22"/>
        </w:rPr>
        <w:t>-</w:t>
      </w:r>
      <w:r w:rsidR="00BD1BF3">
        <w:rPr>
          <w:szCs w:val="22"/>
        </w:rPr>
        <w:t>supported</w:t>
      </w:r>
      <w:r w:rsidRPr="00E25BC8">
        <w:rPr>
          <w:szCs w:val="22"/>
        </w:rPr>
        <w:t xml:space="preserve"> Identification of Poor Households Project directly </w:t>
      </w:r>
      <w:r w:rsidR="00BF650F">
        <w:rPr>
          <w:szCs w:val="22"/>
        </w:rPr>
        <w:t>assists</w:t>
      </w:r>
      <w:r w:rsidR="00BF650F" w:rsidRPr="00E25BC8">
        <w:rPr>
          <w:szCs w:val="22"/>
        </w:rPr>
        <w:t xml:space="preserve"> </w:t>
      </w:r>
      <w:r w:rsidRPr="00E25BC8">
        <w:rPr>
          <w:szCs w:val="22"/>
        </w:rPr>
        <w:t xml:space="preserve">HSSP2 by helping the Cambodian Government </w:t>
      </w:r>
      <w:r w:rsidR="00C76B32">
        <w:rPr>
          <w:szCs w:val="22"/>
        </w:rPr>
        <w:t xml:space="preserve">to </w:t>
      </w:r>
      <w:r w:rsidRPr="00E25BC8">
        <w:rPr>
          <w:szCs w:val="22"/>
        </w:rPr>
        <w:t>establish a system to identify households in need.</w:t>
      </w:r>
      <w:r w:rsidR="00164076">
        <w:rPr>
          <w:szCs w:val="22"/>
        </w:rPr>
        <w:t xml:space="preserve">  </w:t>
      </w:r>
      <w:r w:rsidRPr="00E25BC8">
        <w:rPr>
          <w:szCs w:val="22"/>
        </w:rPr>
        <w:t>In 2014-15, 80 per cent of projects and programs that implement poverty</w:t>
      </w:r>
      <w:r w:rsidR="007D6167">
        <w:rPr>
          <w:szCs w:val="22"/>
        </w:rPr>
        <w:t>-</w:t>
      </w:r>
      <w:r w:rsidRPr="00E25BC8">
        <w:rPr>
          <w:szCs w:val="22"/>
        </w:rPr>
        <w:t>alleviating interventions (including Cambodian Government</w:t>
      </w:r>
      <w:r w:rsidR="00C76B32">
        <w:rPr>
          <w:szCs w:val="22"/>
        </w:rPr>
        <w:t xml:space="preserve"> programs</w:t>
      </w:r>
      <w:r w:rsidRPr="00E25BC8">
        <w:rPr>
          <w:szCs w:val="22"/>
        </w:rPr>
        <w:t xml:space="preserve">) use Identification of Poor Households data to target their activities. </w:t>
      </w:r>
      <w:r w:rsidR="00C76B32">
        <w:rPr>
          <w:szCs w:val="22"/>
        </w:rPr>
        <w:t xml:space="preserve"> </w:t>
      </w:r>
      <w:r w:rsidRPr="00E25BC8">
        <w:rPr>
          <w:szCs w:val="22"/>
        </w:rPr>
        <w:t xml:space="preserve">This is an increase from 66 per cent in 2012. </w:t>
      </w:r>
      <w:r w:rsidR="00164076">
        <w:rPr>
          <w:szCs w:val="22"/>
        </w:rPr>
        <w:t xml:space="preserve"> </w:t>
      </w:r>
      <w:r w:rsidRPr="00E25BC8">
        <w:rPr>
          <w:szCs w:val="22"/>
        </w:rPr>
        <w:t xml:space="preserve">The Cambodian Government has increased its budget allocation for the operational costs of the project </w:t>
      </w:r>
      <w:r w:rsidR="00C76B32">
        <w:rPr>
          <w:szCs w:val="22"/>
        </w:rPr>
        <w:t>(</w:t>
      </w:r>
      <w:r w:rsidRPr="00E25BC8">
        <w:rPr>
          <w:szCs w:val="22"/>
        </w:rPr>
        <w:t>to 60 per cent from 25 per cent in 2012</w:t>
      </w:r>
      <w:r w:rsidR="00C76B32">
        <w:rPr>
          <w:szCs w:val="22"/>
        </w:rPr>
        <w:t>)</w:t>
      </w:r>
      <w:r w:rsidRPr="00E25BC8">
        <w:rPr>
          <w:szCs w:val="22"/>
        </w:rPr>
        <w:t>, improving the program’s sustainability.</w:t>
      </w:r>
    </w:p>
    <w:p w:rsidR="00567AD6" w:rsidRPr="00E25BC8" w:rsidRDefault="00BD1BF3" w:rsidP="00E25BC8">
      <w:pPr>
        <w:pStyle w:val="BodyText"/>
        <w:rPr>
          <w:szCs w:val="22"/>
        </w:rPr>
      </w:pPr>
      <w:r w:rsidRPr="00E25BC8">
        <w:rPr>
          <w:szCs w:val="22"/>
        </w:rPr>
        <w:t>The</w:t>
      </w:r>
      <w:r>
        <w:rPr>
          <w:szCs w:val="22"/>
        </w:rPr>
        <w:t xml:space="preserve"> Australian Government</w:t>
      </w:r>
      <w:r w:rsidR="007D6167">
        <w:rPr>
          <w:szCs w:val="22"/>
        </w:rPr>
        <w:t>-</w:t>
      </w:r>
      <w:r>
        <w:rPr>
          <w:szCs w:val="22"/>
        </w:rPr>
        <w:t>supported</w:t>
      </w:r>
      <w:r w:rsidRPr="00E25BC8">
        <w:rPr>
          <w:szCs w:val="22"/>
        </w:rPr>
        <w:t xml:space="preserve"> </w:t>
      </w:r>
      <w:r w:rsidR="00567AD6" w:rsidRPr="00E25BC8">
        <w:rPr>
          <w:szCs w:val="22"/>
        </w:rPr>
        <w:t xml:space="preserve">Partnering to Save Lives </w:t>
      </w:r>
      <w:r>
        <w:rPr>
          <w:szCs w:val="22"/>
        </w:rPr>
        <w:t xml:space="preserve">project </w:t>
      </w:r>
      <w:r w:rsidR="001A6650" w:rsidRPr="00E25BC8">
        <w:rPr>
          <w:szCs w:val="22"/>
        </w:rPr>
        <w:t>is working to</w:t>
      </w:r>
      <w:r w:rsidR="00567AD6" w:rsidRPr="00E25BC8">
        <w:rPr>
          <w:szCs w:val="22"/>
        </w:rPr>
        <w:t xml:space="preserve"> improv</w:t>
      </w:r>
      <w:r w:rsidR="001A6650" w:rsidRPr="00E25BC8">
        <w:rPr>
          <w:szCs w:val="22"/>
        </w:rPr>
        <w:t>e</w:t>
      </w:r>
      <w:r w:rsidR="00567AD6" w:rsidRPr="00E25BC8">
        <w:rPr>
          <w:szCs w:val="22"/>
        </w:rPr>
        <w:t xml:space="preserve"> </w:t>
      </w:r>
      <w:r w:rsidR="001A6650" w:rsidRPr="00E25BC8">
        <w:rPr>
          <w:szCs w:val="22"/>
        </w:rPr>
        <w:t xml:space="preserve">the </w:t>
      </w:r>
      <w:r w:rsidR="00567AD6" w:rsidRPr="00E25BC8">
        <w:rPr>
          <w:szCs w:val="22"/>
        </w:rPr>
        <w:t xml:space="preserve">reproductive, maternal and neonatal health </w:t>
      </w:r>
      <w:r w:rsidR="001A6650" w:rsidRPr="00E25BC8">
        <w:rPr>
          <w:szCs w:val="22"/>
        </w:rPr>
        <w:t xml:space="preserve">of </w:t>
      </w:r>
      <w:r w:rsidR="00567AD6" w:rsidRPr="00E25BC8">
        <w:rPr>
          <w:szCs w:val="22"/>
        </w:rPr>
        <w:t xml:space="preserve">poor and marginalised women and their </w:t>
      </w:r>
      <w:r w:rsidR="00C60D94" w:rsidRPr="00E25BC8">
        <w:rPr>
          <w:szCs w:val="22"/>
        </w:rPr>
        <w:t xml:space="preserve">children. </w:t>
      </w:r>
      <w:r w:rsidR="007F71F4">
        <w:rPr>
          <w:szCs w:val="22"/>
        </w:rPr>
        <w:t xml:space="preserve"> </w:t>
      </w:r>
      <w:r w:rsidR="00C60D94" w:rsidRPr="00E25BC8">
        <w:rPr>
          <w:szCs w:val="22"/>
        </w:rPr>
        <w:t xml:space="preserve">It targets </w:t>
      </w:r>
      <w:r w:rsidR="00567AD6" w:rsidRPr="00E25BC8">
        <w:rPr>
          <w:szCs w:val="22"/>
        </w:rPr>
        <w:t>four remote</w:t>
      </w:r>
      <w:r w:rsidR="00C60D94" w:rsidRPr="00E25BC8">
        <w:rPr>
          <w:szCs w:val="22"/>
        </w:rPr>
        <w:t xml:space="preserve">, </w:t>
      </w:r>
      <w:r w:rsidR="00567AD6" w:rsidRPr="00E25BC8">
        <w:rPr>
          <w:szCs w:val="22"/>
        </w:rPr>
        <w:t>north-eastern provinces</w:t>
      </w:r>
      <w:r w:rsidR="001A6650" w:rsidRPr="00E25BC8">
        <w:rPr>
          <w:szCs w:val="22"/>
        </w:rPr>
        <w:t>,</w:t>
      </w:r>
      <w:r w:rsidR="00567AD6" w:rsidRPr="00E25BC8">
        <w:rPr>
          <w:szCs w:val="22"/>
        </w:rPr>
        <w:t xml:space="preserve"> </w:t>
      </w:r>
      <w:r w:rsidR="00AC1DD5" w:rsidRPr="00E25BC8">
        <w:rPr>
          <w:szCs w:val="22"/>
        </w:rPr>
        <w:t xml:space="preserve">as well as </w:t>
      </w:r>
      <w:r w:rsidR="00567AD6" w:rsidRPr="00E25BC8">
        <w:rPr>
          <w:szCs w:val="22"/>
        </w:rPr>
        <w:t>young female garment factory workers in Phnom Penh.</w:t>
      </w:r>
      <w:r w:rsidR="007F71F4">
        <w:rPr>
          <w:szCs w:val="22"/>
        </w:rPr>
        <w:t xml:space="preserve"> </w:t>
      </w:r>
      <w:r w:rsidR="00567AD6" w:rsidRPr="00E25BC8">
        <w:rPr>
          <w:szCs w:val="22"/>
        </w:rPr>
        <w:t xml:space="preserve"> </w:t>
      </w:r>
      <w:r w:rsidR="00AA3D41">
        <w:rPr>
          <w:szCs w:val="22"/>
        </w:rPr>
        <w:t xml:space="preserve">In 2014-15 – </w:t>
      </w:r>
      <w:r w:rsidR="001A6650" w:rsidRPr="00E25BC8">
        <w:rPr>
          <w:szCs w:val="22"/>
        </w:rPr>
        <w:t xml:space="preserve">the </w:t>
      </w:r>
      <w:r w:rsidR="00567AD6" w:rsidRPr="00E25BC8">
        <w:rPr>
          <w:szCs w:val="22"/>
        </w:rPr>
        <w:t>second year of implementation</w:t>
      </w:r>
      <w:r w:rsidR="001A6650" w:rsidRPr="00E25BC8">
        <w:rPr>
          <w:szCs w:val="22"/>
        </w:rPr>
        <w:t xml:space="preserve"> </w:t>
      </w:r>
      <w:r w:rsidR="00F63742">
        <w:rPr>
          <w:szCs w:val="22"/>
        </w:rPr>
        <w:t>–</w:t>
      </w:r>
      <w:r w:rsidR="00567AD6" w:rsidRPr="00E25BC8">
        <w:rPr>
          <w:szCs w:val="22"/>
        </w:rPr>
        <w:t xml:space="preserve"> </w:t>
      </w:r>
      <w:r w:rsidR="00F63742">
        <w:rPr>
          <w:szCs w:val="22"/>
        </w:rPr>
        <w:t xml:space="preserve">the program </w:t>
      </w:r>
      <w:r w:rsidR="00567AD6" w:rsidRPr="00E25BC8">
        <w:rPr>
          <w:szCs w:val="22"/>
        </w:rPr>
        <w:t>achieved good results</w:t>
      </w:r>
      <w:r w:rsidR="00E33EBB">
        <w:rPr>
          <w:szCs w:val="22"/>
        </w:rPr>
        <w:t xml:space="preserve"> exceeding approximately three quarters of program targets</w:t>
      </w:r>
      <w:r w:rsidR="001A6650" w:rsidRPr="00E25BC8">
        <w:rPr>
          <w:szCs w:val="22"/>
        </w:rPr>
        <w:t>.</w:t>
      </w:r>
      <w:r w:rsidR="007F71F4">
        <w:rPr>
          <w:szCs w:val="22"/>
        </w:rPr>
        <w:t xml:space="preserve"> </w:t>
      </w:r>
      <w:r w:rsidR="001A6650" w:rsidRPr="00E25BC8">
        <w:rPr>
          <w:szCs w:val="22"/>
        </w:rPr>
        <w:t xml:space="preserve"> </w:t>
      </w:r>
      <w:r w:rsidR="00BD4FA7">
        <w:rPr>
          <w:szCs w:val="22"/>
        </w:rPr>
        <w:t xml:space="preserve">For example, </w:t>
      </w:r>
      <w:r w:rsidR="00C2334D" w:rsidRPr="00E25BC8">
        <w:rPr>
          <w:szCs w:val="22"/>
        </w:rPr>
        <w:t>targeted garment factory infirmaries</w:t>
      </w:r>
      <w:r w:rsidR="00BD4FA7">
        <w:rPr>
          <w:szCs w:val="22"/>
        </w:rPr>
        <w:t xml:space="preserve"> </w:t>
      </w:r>
      <w:r w:rsidR="00521A9A" w:rsidRPr="00E25BC8">
        <w:rPr>
          <w:szCs w:val="22"/>
        </w:rPr>
        <w:t>deliver</w:t>
      </w:r>
      <w:r w:rsidR="00521A9A">
        <w:rPr>
          <w:szCs w:val="22"/>
        </w:rPr>
        <w:t>ed</w:t>
      </w:r>
      <w:r w:rsidR="00521A9A" w:rsidRPr="00E25BC8">
        <w:rPr>
          <w:szCs w:val="22"/>
        </w:rPr>
        <w:t xml:space="preserve"> </w:t>
      </w:r>
      <w:r w:rsidR="00567AD6" w:rsidRPr="00E25BC8">
        <w:rPr>
          <w:szCs w:val="22"/>
        </w:rPr>
        <w:t>nearly 4,000 family planning products and more than 5,000 pregnancy test ki</w:t>
      </w:r>
      <w:r w:rsidR="00987E85" w:rsidRPr="00E25BC8">
        <w:rPr>
          <w:szCs w:val="22"/>
        </w:rPr>
        <w:t>t</w:t>
      </w:r>
      <w:r w:rsidR="00BD4FA7">
        <w:rPr>
          <w:szCs w:val="22"/>
        </w:rPr>
        <w:t>s to</w:t>
      </w:r>
      <w:r w:rsidR="00567AD6" w:rsidRPr="00E25BC8">
        <w:rPr>
          <w:szCs w:val="22"/>
        </w:rPr>
        <w:t xml:space="preserve"> female workers</w:t>
      </w:r>
      <w:r w:rsidR="00BD4FA7">
        <w:rPr>
          <w:szCs w:val="22"/>
        </w:rPr>
        <w:t xml:space="preserve">. </w:t>
      </w:r>
      <w:r w:rsidR="00567AD6" w:rsidRPr="00E25BC8">
        <w:rPr>
          <w:szCs w:val="22"/>
        </w:rPr>
        <w:t xml:space="preserve"> </w:t>
      </w:r>
      <w:r w:rsidR="00521A9A">
        <w:rPr>
          <w:szCs w:val="22"/>
        </w:rPr>
        <w:t>M</w:t>
      </w:r>
      <w:r w:rsidR="00567AD6" w:rsidRPr="00E25BC8">
        <w:rPr>
          <w:szCs w:val="22"/>
        </w:rPr>
        <w:t xml:space="preserve">ore than </w:t>
      </w:r>
      <w:r w:rsidR="00E33EBB" w:rsidRPr="00E25BC8">
        <w:rPr>
          <w:szCs w:val="22"/>
        </w:rPr>
        <w:t>1</w:t>
      </w:r>
      <w:r w:rsidR="00E33EBB">
        <w:rPr>
          <w:szCs w:val="22"/>
        </w:rPr>
        <w:t>1</w:t>
      </w:r>
      <w:r w:rsidR="00567AD6" w:rsidRPr="00E25BC8">
        <w:rPr>
          <w:szCs w:val="22"/>
        </w:rPr>
        <w:t xml:space="preserve">,000 people </w:t>
      </w:r>
      <w:r w:rsidR="00591133">
        <w:rPr>
          <w:szCs w:val="22"/>
        </w:rPr>
        <w:t xml:space="preserve">also </w:t>
      </w:r>
      <w:r w:rsidR="00567AD6" w:rsidRPr="00E25BC8">
        <w:rPr>
          <w:szCs w:val="22"/>
        </w:rPr>
        <w:t>receiv</w:t>
      </w:r>
      <w:r w:rsidR="00F75D57">
        <w:rPr>
          <w:szCs w:val="22"/>
        </w:rPr>
        <w:t>ed</w:t>
      </w:r>
      <w:r w:rsidR="00567AD6" w:rsidRPr="00E25BC8">
        <w:rPr>
          <w:szCs w:val="22"/>
        </w:rPr>
        <w:t xml:space="preserve"> assistance from project financing schemes </w:t>
      </w:r>
      <w:r w:rsidR="00987E85" w:rsidRPr="00E25BC8">
        <w:rPr>
          <w:szCs w:val="22"/>
        </w:rPr>
        <w:t xml:space="preserve">to </w:t>
      </w:r>
      <w:r w:rsidR="00B434BF">
        <w:rPr>
          <w:szCs w:val="22"/>
        </w:rPr>
        <w:t xml:space="preserve">provide </w:t>
      </w:r>
      <w:r w:rsidR="00987E85" w:rsidRPr="00E25BC8">
        <w:rPr>
          <w:szCs w:val="22"/>
        </w:rPr>
        <w:t xml:space="preserve">access </w:t>
      </w:r>
      <w:r w:rsidR="00567AD6" w:rsidRPr="00E25BC8">
        <w:rPr>
          <w:szCs w:val="22"/>
        </w:rPr>
        <w:t>reproductive, maternal and neonatal health services.</w:t>
      </w:r>
      <w:r w:rsidR="007F71F4">
        <w:rPr>
          <w:szCs w:val="22"/>
        </w:rPr>
        <w:t xml:space="preserve"> </w:t>
      </w:r>
      <w:r w:rsidR="00567AD6" w:rsidRPr="00E25BC8">
        <w:rPr>
          <w:szCs w:val="22"/>
        </w:rPr>
        <w:t xml:space="preserve"> Partnering to Save Lives has contributed to </w:t>
      </w:r>
      <w:r w:rsidR="001A6650" w:rsidRPr="00E25BC8">
        <w:rPr>
          <w:szCs w:val="22"/>
        </w:rPr>
        <w:t xml:space="preserve">the </w:t>
      </w:r>
      <w:r w:rsidR="00567AD6" w:rsidRPr="00E25BC8">
        <w:rPr>
          <w:szCs w:val="22"/>
        </w:rPr>
        <w:t xml:space="preserve">improved maternal and reproductive indicators </w:t>
      </w:r>
      <w:r w:rsidR="001A6650" w:rsidRPr="00E25BC8">
        <w:rPr>
          <w:szCs w:val="22"/>
        </w:rPr>
        <w:t xml:space="preserve">documented </w:t>
      </w:r>
      <w:r w:rsidR="00567AD6" w:rsidRPr="00E25BC8">
        <w:rPr>
          <w:szCs w:val="22"/>
        </w:rPr>
        <w:t xml:space="preserve">in the 2014 Ministry of Health </w:t>
      </w:r>
      <w:r w:rsidR="00F75D57">
        <w:rPr>
          <w:szCs w:val="22"/>
        </w:rPr>
        <w:t>A</w:t>
      </w:r>
      <w:r w:rsidR="00567AD6" w:rsidRPr="00E25BC8">
        <w:rPr>
          <w:szCs w:val="22"/>
        </w:rPr>
        <w:t xml:space="preserve">nnual </w:t>
      </w:r>
      <w:r w:rsidR="00F75D57">
        <w:rPr>
          <w:szCs w:val="22"/>
        </w:rPr>
        <w:t>P</w:t>
      </w:r>
      <w:r w:rsidR="00567AD6" w:rsidRPr="00E25BC8">
        <w:rPr>
          <w:szCs w:val="22"/>
        </w:rPr>
        <w:t xml:space="preserve">erformance </w:t>
      </w:r>
      <w:r w:rsidR="00F75D57">
        <w:rPr>
          <w:szCs w:val="22"/>
        </w:rPr>
        <w:t>M</w:t>
      </w:r>
      <w:r w:rsidR="00567AD6" w:rsidRPr="00E25BC8">
        <w:rPr>
          <w:szCs w:val="22"/>
        </w:rPr>
        <w:t xml:space="preserve">onitoring </w:t>
      </w:r>
      <w:r w:rsidR="00F75D57">
        <w:rPr>
          <w:szCs w:val="22"/>
        </w:rPr>
        <w:t>R</w:t>
      </w:r>
      <w:r w:rsidR="00567AD6" w:rsidRPr="00E25BC8">
        <w:rPr>
          <w:szCs w:val="22"/>
        </w:rPr>
        <w:t xml:space="preserve">eport. </w:t>
      </w:r>
      <w:r w:rsidR="007F71F4">
        <w:rPr>
          <w:szCs w:val="22"/>
        </w:rPr>
        <w:t xml:space="preserve"> </w:t>
      </w:r>
      <w:r w:rsidR="00567AD6" w:rsidRPr="00E25BC8">
        <w:rPr>
          <w:szCs w:val="22"/>
        </w:rPr>
        <w:t xml:space="preserve">For example, the </w:t>
      </w:r>
      <w:r w:rsidR="007D6167">
        <w:rPr>
          <w:szCs w:val="22"/>
        </w:rPr>
        <w:t>proportion</w:t>
      </w:r>
      <w:r w:rsidR="007D6167" w:rsidRPr="00E25BC8">
        <w:rPr>
          <w:szCs w:val="22"/>
        </w:rPr>
        <w:t xml:space="preserve"> </w:t>
      </w:r>
      <w:r w:rsidR="00567AD6" w:rsidRPr="00E25BC8">
        <w:rPr>
          <w:szCs w:val="22"/>
        </w:rPr>
        <w:t xml:space="preserve">of deliveries at a public health facility increased from 52 per cent (2010) to 80 per cent (2014). </w:t>
      </w:r>
      <w:r w:rsidR="007F71F4">
        <w:rPr>
          <w:szCs w:val="22"/>
        </w:rPr>
        <w:t xml:space="preserve"> </w:t>
      </w:r>
      <w:r w:rsidR="00567AD6" w:rsidRPr="00E25BC8">
        <w:rPr>
          <w:szCs w:val="22"/>
        </w:rPr>
        <w:t xml:space="preserve">Modern contraceptive method use also increased, from 28 per cent </w:t>
      </w:r>
      <w:r w:rsidR="001A6650" w:rsidRPr="00E25BC8">
        <w:rPr>
          <w:szCs w:val="22"/>
        </w:rPr>
        <w:t>(</w:t>
      </w:r>
      <w:r w:rsidR="00567AD6" w:rsidRPr="00E25BC8">
        <w:rPr>
          <w:szCs w:val="22"/>
        </w:rPr>
        <w:t>2010</w:t>
      </w:r>
      <w:r w:rsidR="001A6650" w:rsidRPr="00E25BC8">
        <w:rPr>
          <w:szCs w:val="22"/>
        </w:rPr>
        <w:t>)</w:t>
      </w:r>
      <w:r w:rsidR="00567AD6" w:rsidRPr="00E25BC8">
        <w:rPr>
          <w:szCs w:val="22"/>
        </w:rPr>
        <w:t xml:space="preserve"> to 35 per cent </w:t>
      </w:r>
      <w:r w:rsidR="001A6650" w:rsidRPr="00E25BC8">
        <w:rPr>
          <w:szCs w:val="22"/>
        </w:rPr>
        <w:t>(</w:t>
      </w:r>
      <w:r w:rsidR="00567AD6" w:rsidRPr="00E25BC8">
        <w:rPr>
          <w:szCs w:val="22"/>
        </w:rPr>
        <w:t>2014</w:t>
      </w:r>
      <w:r w:rsidR="001A6650" w:rsidRPr="00E25BC8">
        <w:rPr>
          <w:szCs w:val="22"/>
        </w:rPr>
        <w:t>)</w:t>
      </w:r>
      <w:r w:rsidR="00567AD6" w:rsidRPr="00E25BC8">
        <w:rPr>
          <w:szCs w:val="22"/>
        </w:rPr>
        <w:t>.</w:t>
      </w:r>
      <w:r w:rsidR="007F71F4">
        <w:rPr>
          <w:szCs w:val="22"/>
        </w:rPr>
        <w:t xml:space="preserve"> </w:t>
      </w:r>
      <w:r w:rsidR="00567AD6" w:rsidRPr="00E25BC8">
        <w:rPr>
          <w:szCs w:val="22"/>
        </w:rPr>
        <w:t xml:space="preserve"> A </w:t>
      </w:r>
      <w:r w:rsidR="00E33EBB">
        <w:rPr>
          <w:szCs w:val="22"/>
        </w:rPr>
        <w:t xml:space="preserve">series of </w:t>
      </w:r>
      <w:r w:rsidR="00567AD6" w:rsidRPr="00E25BC8">
        <w:rPr>
          <w:szCs w:val="22"/>
        </w:rPr>
        <w:t>mid-term review</w:t>
      </w:r>
      <w:r w:rsidR="00E33EBB">
        <w:rPr>
          <w:szCs w:val="22"/>
        </w:rPr>
        <w:t>s</w:t>
      </w:r>
      <w:r w:rsidR="00567AD6" w:rsidRPr="00E25BC8">
        <w:rPr>
          <w:szCs w:val="22"/>
        </w:rPr>
        <w:t xml:space="preserve"> </w:t>
      </w:r>
      <w:r w:rsidR="00E33EBB">
        <w:rPr>
          <w:szCs w:val="22"/>
        </w:rPr>
        <w:t>are</w:t>
      </w:r>
      <w:r w:rsidR="00E33EBB" w:rsidRPr="00E25BC8">
        <w:rPr>
          <w:szCs w:val="22"/>
        </w:rPr>
        <w:t xml:space="preserve"> </w:t>
      </w:r>
      <w:r w:rsidR="00567AD6" w:rsidRPr="00E25BC8">
        <w:rPr>
          <w:szCs w:val="22"/>
        </w:rPr>
        <w:t>planned for the second half of 2015 to inform the future direction of the program</w:t>
      </w:r>
      <w:r w:rsidR="00C7796B">
        <w:rPr>
          <w:szCs w:val="22"/>
        </w:rPr>
        <w:t xml:space="preserve"> and outcomes achieved to date</w:t>
      </w:r>
      <w:r w:rsidR="00567AD6" w:rsidRPr="00E25BC8">
        <w:rPr>
          <w:szCs w:val="22"/>
        </w:rPr>
        <w:t xml:space="preserve">. </w:t>
      </w:r>
    </w:p>
    <w:p w:rsidR="00567AD6" w:rsidRDefault="00567AD6" w:rsidP="00E25BC8">
      <w:pPr>
        <w:pStyle w:val="BodyText"/>
        <w:rPr>
          <w:szCs w:val="22"/>
        </w:rPr>
      </w:pPr>
      <w:r w:rsidRPr="00E25BC8">
        <w:rPr>
          <w:szCs w:val="22"/>
        </w:rPr>
        <w:t xml:space="preserve">The HIV/AIDS Asia Regional Program, which ended in December 2014, </w:t>
      </w:r>
      <w:r w:rsidR="00987E85" w:rsidRPr="00E25BC8">
        <w:rPr>
          <w:szCs w:val="22"/>
        </w:rPr>
        <w:t>created</w:t>
      </w:r>
      <w:r w:rsidR="007E16AA" w:rsidRPr="00E25BC8">
        <w:rPr>
          <w:szCs w:val="22"/>
        </w:rPr>
        <w:t xml:space="preserve"> important</w:t>
      </w:r>
      <w:r w:rsidR="00987E85" w:rsidRPr="00E25BC8">
        <w:rPr>
          <w:szCs w:val="22"/>
        </w:rPr>
        <w:t xml:space="preserve"> and </w:t>
      </w:r>
      <w:r w:rsidR="007E16AA" w:rsidRPr="00E25BC8">
        <w:rPr>
          <w:szCs w:val="22"/>
        </w:rPr>
        <w:t xml:space="preserve">sustainable harm reduction legacies </w:t>
      </w:r>
      <w:r w:rsidRPr="00E25BC8">
        <w:rPr>
          <w:szCs w:val="22"/>
        </w:rPr>
        <w:t xml:space="preserve">in Cambodia. </w:t>
      </w:r>
      <w:r w:rsidR="007F71F4">
        <w:rPr>
          <w:szCs w:val="22"/>
        </w:rPr>
        <w:t xml:space="preserve"> </w:t>
      </w:r>
      <w:r w:rsidR="00BD1BF3">
        <w:rPr>
          <w:szCs w:val="22"/>
        </w:rPr>
        <w:t>As a result of the program, t</w:t>
      </w:r>
      <w:r w:rsidR="007E16AA" w:rsidRPr="00E25BC8">
        <w:rPr>
          <w:szCs w:val="22"/>
        </w:rPr>
        <w:t xml:space="preserve">he Ministry of Health </w:t>
      </w:r>
      <w:r w:rsidR="007F71F4">
        <w:rPr>
          <w:szCs w:val="22"/>
        </w:rPr>
        <w:t xml:space="preserve">now </w:t>
      </w:r>
      <w:r w:rsidR="00987E85" w:rsidRPr="00E25BC8">
        <w:rPr>
          <w:szCs w:val="22"/>
        </w:rPr>
        <w:t xml:space="preserve">operates and finances </w:t>
      </w:r>
      <w:r w:rsidRPr="00E25BC8">
        <w:rPr>
          <w:szCs w:val="22"/>
        </w:rPr>
        <w:t xml:space="preserve">a methadone clinic and </w:t>
      </w:r>
      <w:r w:rsidR="00987E85" w:rsidRPr="00E25BC8">
        <w:rPr>
          <w:szCs w:val="22"/>
        </w:rPr>
        <w:t xml:space="preserve">a </w:t>
      </w:r>
      <w:r w:rsidRPr="00E25BC8">
        <w:rPr>
          <w:szCs w:val="22"/>
        </w:rPr>
        <w:t>needle and syringe program for people who inject drugs</w:t>
      </w:r>
      <w:r w:rsidR="00987E85" w:rsidRPr="00E25BC8">
        <w:rPr>
          <w:szCs w:val="22"/>
        </w:rPr>
        <w:t xml:space="preserve">. </w:t>
      </w:r>
      <w:r w:rsidR="007F71F4">
        <w:rPr>
          <w:szCs w:val="22"/>
        </w:rPr>
        <w:t xml:space="preserve"> </w:t>
      </w:r>
      <w:r w:rsidR="00987E85" w:rsidRPr="00E25BC8">
        <w:rPr>
          <w:szCs w:val="22"/>
        </w:rPr>
        <w:t>The</w:t>
      </w:r>
      <w:r w:rsidR="007E16AA" w:rsidRPr="00E25BC8">
        <w:rPr>
          <w:szCs w:val="22"/>
        </w:rPr>
        <w:t xml:space="preserve"> Ministry of Interior </w:t>
      </w:r>
      <w:r w:rsidR="007F71F4">
        <w:rPr>
          <w:szCs w:val="22"/>
        </w:rPr>
        <w:t xml:space="preserve">now </w:t>
      </w:r>
      <w:r w:rsidR="008B54FA">
        <w:rPr>
          <w:szCs w:val="22"/>
        </w:rPr>
        <w:t>includes</w:t>
      </w:r>
      <w:r w:rsidRPr="00E25BC8">
        <w:rPr>
          <w:szCs w:val="22"/>
        </w:rPr>
        <w:t xml:space="preserve"> </w:t>
      </w:r>
      <w:r w:rsidR="00987E85" w:rsidRPr="00E25BC8">
        <w:rPr>
          <w:szCs w:val="22"/>
        </w:rPr>
        <w:t xml:space="preserve">training on </w:t>
      </w:r>
      <w:r w:rsidRPr="00E25BC8">
        <w:rPr>
          <w:szCs w:val="22"/>
        </w:rPr>
        <w:t xml:space="preserve">integrated harm reduction </w:t>
      </w:r>
      <w:r w:rsidR="008B54FA">
        <w:rPr>
          <w:szCs w:val="22"/>
        </w:rPr>
        <w:t>in the curriculum of</w:t>
      </w:r>
      <w:r w:rsidRPr="00E25BC8">
        <w:rPr>
          <w:szCs w:val="22"/>
        </w:rPr>
        <w:t xml:space="preserve"> all police schools throughout the country. </w:t>
      </w:r>
    </w:p>
    <w:p w:rsidR="008065B5" w:rsidRDefault="008065B5" w:rsidP="00E25BC8">
      <w:pPr>
        <w:pStyle w:val="BodyText"/>
      </w:pPr>
    </w:p>
    <w:tbl>
      <w:tblPr>
        <w:tblStyle w:val="APPR"/>
        <w:tblW w:w="5000" w:type="pct"/>
        <w:tblLook w:val="01E0" w:firstRow="1" w:lastRow="1" w:firstColumn="1" w:lastColumn="1" w:noHBand="0" w:noVBand="0"/>
      </w:tblPr>
      <w:tblGrid>
        <w:gridCol w:w="7373"/>
        <w:gridCol w:w="1829"/>
      </w:tblGrid>
      <w:tr w:rsidR="00A6239B" w:rsidTr="00A6239B">
        <w:trPr>
          <w:cnfStyle w:val="100000000000" w:firstRow="1" w:lastRow="0" w:firstColumn="0" w:lastColumn="0" w:oddVBand="0" w:evenVBand="0" w:oddHBand="0" w:evenHBand="0" w:firstRowFirstColumn="0" w:firstRowLastColumn="0" w:lastRowFirstColumn="0" w:lastRowLastColumn="0"/>
        </w:trPr>
        <w:tc>
          <w:tcPr>
            <w:tcW w:w="3981" w:type="pct"/>
            <w:tcBorders>
              <w:left w:val="nil"/>
              <w:right w:val="nil"/>
            </w:tcBorders>
            <w:hideMark/>
          </w:tcPr>
          <w:p w:rsidR="00A6239B" w:rsidRDefault="00A6239B">
            <w:pPr>
              <w:pStyle w:val="TableTextEntries"/>
              <w:rPr>
                <w:sz w:val="24"/>
                <w:szCs w:val="24"/>
                <w:lang w:eastAsia="en-AU"/>
              </w:rPr>
            </w:pPr>
            <w:r>
              <w:rPr>
                <w:sz w:val="24"/>
                <w:szCs w:val="24"/>
                <w:lang w:eastAsia="en-AU"/>
              </w:rPr>
              <w:t>OBJECTIVE 3: Improved transport and energy infrastructure</w:t>
            </w:r>
          </w:p>
        </w:tc>
        <w:tc>
          <w:tcPr>
            <w:tcW w:w="971" w:type="pct"/>
            <w:tcBorders>
              <w:left w:val="nil"/>
              <w:right w:val="nil"/>
            </w:tcBorders>
            <w:shd w:val="clear" w:color="auto" w:fill="92D050"/>
            <w:hideMark/>
          </w:tcPr>
          <w:p w:rsidR="00A6239B" w:rsidRDefault="00A6239B">
            <w:pPr>
              <w:pStyle w:val="TableTextEntries"/>
              <w:rPr>
                <w:sz w:val="24"/>
                <w:szCs w:val="24"/>
                <w:lang w:eastAsia="en-AU"/>
              </w:rPr>
            </w:pPr>
            <w:r>
              <w:rPr>
                <w:sz w:val="24"/>
                <w:szCs w:val="24"/>
                <w:lang w:eastAsia="en-AU"/>
              </w:rPr>
              <w:t>Green</w:t>
            </w:r>
          </w:p>
        </w:tc>
      </w:tr>
    </w:tbl>
    <w:p w:rsidR="00A6239B" w:rsidRDefault="00A6239B" w:rsidP="00A6239B">
      <w:pPr>
        <w:pStyle w:val="BodyText"/>
        <w:spacing w:after="0"/>
        <w:rPr>
          <w:rFonts w:ascii="Helvetica" w:hAnsi="Helvetica" w:cs="Arial"/>
          <w:b/>
          <w:color w:val="124486"/>
          <w:kern w:val="28"/>
          <w:sz w:val="22"/>
          <w:szCs w:val="22"/>
          <w:lang w:eastAsia="zh-CN"/>
        </w:rPr>
      </w:pPr>
    </w:p>
    <w:p w:rsidR="005773DC" w:rsidRPr="004A481C" w:rsidRDefault="005773DC" w:rsidP="00247AAC">
      <w:pPr>
        <w:pStyle w:val="ListBullet"/>
        <w:numPr>
          <w:ilvl w:val="0"/>
          <w:numId w:val="0"/>
        </w:numPr>
      </w:pPr>
      <w:r w:rsidRPr="00407BC6">
        <w:t xml:space="preserve">Progress towards objective 3 was achieved as expected, meeting or exceeding all targets, </w:t>
      </w:r>
      <w:r w:rsidR="00DD139C" w:rsidRPr="000F6BE1">
        <w:t xml:space="preserve">and </w:t>
      </w:r>
      <w:r w:rsidR="00DD139C" w:rsidRPr="004A481C">
        <w:t>excellent progress was made in developing new investments.  A</w:t>
      </w:r>
      <w:r w:rsidRPr="004A481C">
        <w:t xml:space="preserve"> green rating</w:t>
      </w:r>
      <w:r w:rsidR="00DD139C" w:rsidRPr="004A481C">
        <w:t xml:space="preserve"> was awarded.</w:t>
      </w:r>
      <w:r w:rsidRPr="004A481C">
        <w:t xml:space="preserve"> </w:t>
      </w:r>
    </w:p>
    <w:p w:rsidR="000668DF" w:rsidRPr="00407BC6" w:rsidRDefault="000668DF" w:rsidP="00247AAC">
      <w:pPr>
        <w:pStyle w:val="ListBullet"/>
        <w:numPr>
          <w:ilvl w:val="0"/>
          <w:numId w:val="0"/>
        </w:numPr>
      </w:pPr>
      <w:r w:rsidRPr="004A481C">
        <w:t xml:space="preserve">Australia </w:t>
      </w:r>
      <w:r w:rsidR="005773DC" w:rsidRPr="004A481C">
        <w:t>provides</w:t>
      </w:r>
      <w:r w:rsidRPr="004A481C">
        <w:t xml:space="preserve"> support in th</w:t>
      </w:r>
      <w:r w:rsidR="00EC5EC1" w:rsidRPr="004A481C">
        <w:t>e infrastructure and</w:t>
      </w:r>
      <w:r w:rsidRPr="00C01047">
        <w:t xml:space="preserve"> </w:t>
      </w:r>
      <w:r w:rsidR="00EC5EC1" w:rsidRPr="00C01047">
        <w:t xml:space="preserve">energy </w:t>
      </w:r>
      <w:r w:rsidRPr="00C01047">
        <w:t xml:space="preserve">sector through a balanced portfolio of </w:t>
      </w:r>
      <w:r w:rsidR="00AA3D41" w:rsidRPr="00407BC6">
        <w:t>Asian Development Bank (</w:t>
      </w:r>
      <w:r w:rsidRPr="00407BC6">
        <w:t>ADB</w:t>
      </w:r>
      <w:r w:rsidR="00AA3D41" w:rsidRPr="00407BC6">
        <w:t>)</w:t>
      </w:r>
      <w:r w:rsidRPr="00407BC6">
        <w:t xml:space="preserve"> projects</w:t>
      </w:r>
      <w:r w:rsidR="009E17A6" w:rsidRPr="00407BC6">
        <w:t>, including Southern Coastal Corridor Project, Rural Energy Project, Road Asset Management Project and Flood Damage Emergency Reconstruction Project</w:t>
      </w:r>
      <w:r w:rsidRPr="00407BC6">
        <w:t xml:space="preserve">.  </w:t>
      </w:r>
      <w:r w:rsidR="005773DC" w:rsidRPr="00407BC6">
        <w:t>I</w:t>
      </w:r>
      <w:r w:rsidRPr="00407BC6">
        <w:t xml:space="preserve">n 2014-15, </w:t>
      </w:r>
      <w:r w:rsidR="005773DC" w:rsidRPr="00407BC6">
        <w:t xml:space="preserve">we </w:t>
      </w:r>
      <w:r w:rsidR="003D03E5" w:rsidRPr="00407BC6">
        <w:t>continued</w:t>
      </w:r>
      <w:r w:rsidR="00BF650F" w:rsidRPr="00407BC6">
        <w:t xml:space="preserve"> a transition </w:t>
      </w:r>
      <w:r w:rsidRPr="00407BC6">
        <w:t>away from national</w:t>
      </w:r>
      <w:r w:rsidR="00773A4D" w:rsidRPr="00407BC6">
        <w:t>-</w:t>
      </w:r>
      <w:r w:rsidRPr="00407BC6">
        <w:t xml:space="preserve">level infrastructure </w:t>
      </w:r>
      <w:r w:rsidR="00EC5EC1" w:rsidRPr="00407BC6">
        <w:t xml:space="preserve">(as key projects were completed or progressed towards completion) </w:t>
      </w:r>
      <w:r w:rsidRPr="00407BC6">
        <w:t>towards smaller scale rural</w:t>
      </w:r>
      <w:r w:rsidR="00773A4D" w:rsidRPr="00407BC6">
        <w:t xml:space="preserve"> road and energy infrastructure</w:t>
      </w:r>
      <w:r w:rsidRPr="00407BC6">
        <w:t>.  This fits with Australia’s comparative advantage and size relative to larger Asian donors</w:t>
      </w:r>
      <w:r w:rsidR="00773A4D" w:rsidRPr="00407BC6">
        <w:t>,</w:t>
      </w:r>
      <w:r w:rsidRPr="00407BC6">
        <w:t xml:space="preserve"> such as China, Japan and </w:t>
      </w:r>
      <w:r w:rsidR="001956DC" w:rsidRPr="00407BC6">
        <w:t>t</w:t>
      </w:r>
      <w:r w:rsidR="009A4AEB" w:rsidRPr="00407BC6">
        <w:t>he Republic of Korea</w:t>
      </w:r>
      <w:r w:rsidRPr="00407BC6">
        <w:t xml:space="preserve">. </w:t>
      </w:r>
    </w:p>
    <w:p w:rsidR="00EB7737" w:rsidRDefault="00625CD0" w:rsidP="006E2B9F">
      <w:pPr>
        <w:pStyle w:val="ListBullet"/>
        <w:numPr>
          <w:ilvl w:val="0"/>
          <w:numId w:val="0"/>
        </w:numPr>
      </w:pPr>
      <w:r w:rsidRPr="00407BC6">
        <w:t>S</w:t>
      </w:r>
      <w:r w:rsidR="003D03E5" w:rsidRPr="00407BC6">
        <w:t xml:space="preserve">everal key milestones were reached in 2014-15.  </w:t>
      </w:r>
    </w:p>
    <w:p w:rsidR="00A6239B" w:rsidRPr="000F6BE1" w:rsidRDefault="00D41DD6" w:rsidP="006E2B9F">
      <w:pPr>
        <w:pStyle w:val="ListBullet"/>
        <w:numPr>
          <w:ilvl w:val="0"/>
          <w:numId w:val="0"/>
        </w:numPr>
      </w:pPr>
      <w:r w:rsidRPr="00407BC6">
        <w:t>First,</w:t>
      </w:r>
      <w:r w:rsidR="009E17A6" w:rsidRPr="00407BC6">
        <w:t xml:space="preserve"> t</w:t>
      </w:r>
      <w:r w:rsidR="00A6239B" w:rsidRPr="00407BC6">
        <w:t>he Southern Coastal Corridor Project</w:t>
      </w:r>
      <w:r w:rsidR="00515EAF" w:rsidRPr="00407BC6">
        <w:t xml:space="preserve">, </w:t>
      </w:r>
      <w:r w:rsidR="00A6239B" w:rsidRPr="00407BC6">
        <w:t xml:space="preserve">co-financed with the </w:t>
      </w:r>
      <w:r w:rsidR="000C0479" w:rsidRPr="00407BC6">
        <w:t>ADB</w:t>
      </w:r>
      <w:r w:rsidR="00515EAF" w:rsidRPr="00407BC6">
        <w:t xml:space="preserve">, </w:t>
      </w:r>
      <w:r w:rsidR="00A6239B" w:rsidRPr="00407BC6">
        <w:t>was completed</w:t>
      </w:r>
      <w:r w:rsidR="000C0479" w:rsidRPr="00407BC6">
        <w:t>.</w:t>
      </w:r>
      <w:r w:rsidR="007F71F4" w:rsidRPr="00407BC6">
        <w:t xml:space="preserve"> </w:t>
      </w:r>
      <w:r w:rsidR="00A6239B" w:rsidRPr="00407BC6">
        <w:t xml:space="preserve"> </w:t>
      </w:r>
      <w:r w:rsidR="009A4AEB" w:rsidRPr="00407BC6">
        <w:t xml:space="preserve">The final </w:t>
      </w:r>
      <w:r w:rsidRPr="00407BC6">
        <w:t xml:space="preserve">project </w:t>
      </w:r>
      <w:r w:rsidR="009A4AEB" w:rsidRPr="00407BC6">
        <w:t xml:space="preserve">evaluation will be completed by the end of 2015.  </w:t>
      </w:r>
      <w:r w:rsidR="0077221D" w:rsidRPr="00407BC6">
        <w:t>This</w:t>
      </w:r>
      <w:r w:rsidR="003D03E5" w:rsidRPr="00407BC6">
        <w:t xml:space="preserve"> is a significant milestone for the regional trade integration agenda.</w:t>
      </w:r>
      <w:r w:rsidR="00B8573F" w:rsidRPr="00407BC6">
        <w:t xml:space="preserve">  </w:t>
      </w:r>
      <w:r w:rsidR="00093C67" w:rsidRPr="00407BC6">
        <w:t>The project, approved in 2008, was designed</w:t>
      </w:r>
      <w:r w:rsidR="00093C67" w:rsidRPr="004A481C">
        <w:t xml:space="preserve"> to improve a key 269 km section of the Greater Mekong Subregion (GMS) Southern Coastal Corridor, which stretches 924 km along the Gulf of Thailand, from southern Viet Nam’s fertile Mekong Delta, through coastal Cambodia and on to Bangkok.   The Cambodia component of the program </w:t>
      </w:r>
      <w:r w:rsidR="00A6239B" w:rsidRPr="00407BC6">
        <w:t>include</w:t>
      </w:r>
      <w:r w:rsidR="00394E0E" w:rsidRPr="00407BC6">
        <w:t>d</w:t>
      </w:r>
      <w:r w:rsidR="003D03E5" w:rsidRPr="000F6BE1">
        <w:t xml:space="preserve"> </w:t>
      </w:r>
      <w:r w:rsidR="00A6239B" w:rsidRPr="004A481C">
        <w:t>15</w:t>
      </w:r>
      <w:r w:rsidR="00AC1DD5" w:rsidRPr="004A481C">
        <w:t xml:space="preserve"> kilometres</w:t>
      </w:r>
      <w:r w:rsidR="00A6239B" w:rsidRPr="004A481C">
        <w:t xml:space="preserve"> of </w:t>
      </w:r>
      <w:r w:rsidR="009A4AEB" w:rsidRPr="004A481C">
        <w:lastRenderedPageBreak/>
        <w:t xml:space="preserve">significant </w:t>
      </w:r>
      <w:r w:rsidR="00A6239B" w:rsidRPr="004A481C">
        <w:t>road upgrad</w:t>
      </w:r>
      <w:r w:rsidR="00394E0E" w:rsidRPr="004A481C">
        <w:t>es</w:t>
      </w:r>
      <w:r w:rsidR="00A6239B" w:rsidRPr="004A481C">
        <w:t>, 54</w:t>
      </w:r>
      <w:r w:rsidR="00AC1DD5" w:rsidRPr="00C01047">
        <w:t xml:space="preserve"> kilometres </w:t>
      </w:r>
      <w:r w:rsidR="00A6239B" w:rsidRPr="00C01047">
        <w:t>of maintenance of a major national highway</w:t>
      </w:r>
      <w:r w:rsidR="00A6239B" w:rsidRPr="00407BC6">
        <w:t xml:space="preserve">, and </w:t>
      </w:r>
      <w:r w:rsidR="00394E0E" w:rsidRPr="00407BC6">
        <w:t xml:space="preserve">the </w:t>
      </w:r>
      <w:r w:rsidR="00A6239B" w:rsidRPr="00407BC6">
        <w:t>construction of</w:t>
      </w:r>
      <w:r w:rsidR="00394E0E" w:rsidRPr="00407BC6">
        <w:t xml:space="preserve"> a new </w:t>
      </w:r>
      <w:r w:rsidR="00A6239B" w:rsidRPr="00407BC6">
        <w:t xml:space="preserve">cross-border facility at Lork-Ha Tien </w:t>
      </w:r>
      <w:r w:rsidR="00394E0E" w:rsidRPr="00407BC6">
        <w:t xml:space="preserve">on the </w:t>
      </w:r>
      <w:r w:rsidR="00C51057" w:rsidRPr="00407BC6">
        <w:t xml:space="preserve">border with </w:t>
      </w:r>
      <w:r w:rsidR="00A6239B" w:rsidRPr="00407BC6">
        <w:t>Vietnam.</w:t>
      </w:r>
      <w:r w:rsidR="0077221D" w:rsidRPr="00407BC6">
        <w:t xml:space="preserve">  </w:t>
      </w:r>
      <w:r w:rsidR="0077221D" w:rsidRPr="004A481C">
        <w:t>The Southern Coastal Corridor runs through Sihanoukville, which has benefitted greatly from better roads, with a doubling of cargo into and out of the Sihanoukville Autonomous Port since 2007.</w:t>
      </w:r>
      <w:r w:rsidR="009A4AEB" w:rsidRPr="00407BC6">
        <w:t xml:space="preserve">  </w:t>
      </w:r>
    </w:p>
    <w:p w:rsidR="00C51057" w:rsidRPr="000E07C8" w:rsidRDefault="00093C67" w:rsidP="00A6239B">
      <w:pPr>
        <w:pStyle w:val="ListBullet"/>
        <w:numPr>
          <w:ilvl w:val="0"/>
          <w:numId w:val="0"/>
        </w:numPr>
      </w:pPr>
      <w:r w:rsidRPr="000E07C8">
        <w:t>Second, t</w:t>
      </w:r>
      <w:r w:rsidR="00A6239B" w:rsidRPr="000E07C8">
        <w:t>he Road Asset Management Project</w:t>
      </w:r>
      <w:r w:rsidR="00394E0E" w:rsidRPr="000E07C8">
        <w:t xml:space="preserve"> </w:t>
      </w:r>
      <w:r w:rsidR="00A6239B" w:rsidRPr="000E07C8">
        <w:t xml:space="preserve">co-financed with </w:t>
      </w:r>
      <w:r w:rsidR="00AC1DD5" w:rsidRPr="000E07C8">
        <w:t xml:space="preserve">the </w:t>
      </w:r>
      <w:r w:rsidR="00A6239B" w:rsidRPr="000E07C8">
        <w:t>ADB</w:t>
      </w:r>
      <w:r w:rsidR="00394E0E" w:rsidRPr="000E07C8">
        <w:t xml:space="preserve">, </w:t>
      </w:r>
      <w:r w:rsidR="0077221D" w:rsidRPr="000E07C8">
        <w:t>was also completed</w:t>
      </w:r>
      <w:r w:rsidR="00A6239B" w:rsidRPr="000E07C8">
        <w:t>.</w:t>
      </w:r>
      <w:r w:rsidR="007F71F4" w:rsidRPr="000E07C8">
        <w:t xml:space="preserve"> </w:t>
      </w:r>
      <w:r w:rsidR="00A6239B" w:rsidRPr="000E07C8">
        <w:t xml:space="preserve"> </w:t>
      </w:r>
      <w:r w:rsidRPr="000E07C8">
        <w:t xml:space="preserve">This project focused on </w:t>
      </w:r>
      <w:r w:rsidR="0077221D" w:rsidRPr="000E07C8">
        <w:t xml:space="preserve">preventing the deterioration of roads through regular maintenance, </w:t>
      </w:r>
      <w:r w:rsidR="008B731C" w:rsidRPr="000E07C8">
        <w:t>and on</w:t>
      </w:r>
      <w:r w:rsidR="00C208F0" w:rsidRPr="000E07C8">
        <w:t xml:space="preserve"> implementing mechanisms for</w:t>
      </w:r>
      <w:r w:rsidR="0077221D" w:rsidRPr="000E07C8">
        <w:t xml:space="preserve"> </w:t>
      </w:r>
      <w:r w:rsidR="00C208F0" w:rsidRPr="000E07C8">
        <w:t xml:space="preserve">future </w:t>
      </w:r>
      <w:r w:rsidR="0077221D" w:rsidRPr="000E07C8">
        <w:t>maintenance</w:t>
      </w:r>
      <w:r w:rsidR="00C208F0" w:rsidRPr="000E07C8">
        <w:t>, including establishing a maintenance unit in the Ministry of Public Works and Transport (MPWT) and introducing road tolls</w:t>
      </w:r>
      <w:r w:rsidR="0077221D" w:rsidRPr="000E07C8">
        <w:t>.</w:t>
      </w:r>
      <w:r w:rsidR="00C208F0" w:rsidRPr="000E07C8">
        <w:t xml:space="preserve"> </w:t>
      </w:r>
      <w:r w:rsidR="0077221D" w:rsidRPr="000E07C8">
        <w:t xml:space="preserve"> </w:t>
      </w:r>
      <w:r w:rsidR="008B731C" w:rsidRPr="000E07C8">
        <w:t>The final evaluation</w:t>
      </w:r>
      <w:r w:rsidR="00C208F0" w:rsidRPr="000E07C8">
        <w:t xml:space="preserve"> for the project</w:t>
      </w:r>
      <w:r w:rsidR="008B731C" w:rsidRPr="000E07C8">
        <w:t xml:space="preserve"> is currently underway, and more outcome level data will be available on</w:t>
      </w:r>
      <w:r w:rsidR="00EB7737" w:rsidRPr="000E07C8">
        <w:t>c</w:t>
      </w:r>
      <w:r w:rsidR="008B731C" w:rsidRPr="000E07C8">
        <w:t xml:space="preserve">e this is finalised.  Initial analysis indicates that </w:t>
      </w:r>
      <w:r w:rsidR="00A6239B" w:rsidRPr="000E07C8">
        <w:t>784</w:t>
      </w:r>
      <w:r w:rsidR="00AC1DD5" w:rsidRPr="000E07C8">
        <w:t xml:space="preserve"> kilometres </w:t>
      </w:r>
      <w:r w:rsidR="00A6239B" w:rsidRPr="000E07C8">
        <w:t>o</w:t>
      </w:r>
      <w:r w:rsidR="004B39C2" w:rsidRPr="000E07C8">
        <w:t xml:space="preserve">f national and provincial roads </w:t>
      </w:r>
      <w:r w:rsidR="00A6239B" w:rsidRPr="000E07C8">
        <w:t>received periodic maintenance</w:t>
      </w:r>
      <w:r w:rsidR="00394E0E" w:rsidRPr="000E07C8">
        <w:t xml:space="preserve"> </w:t>
      </w:r>
      <w:r w:rsidR="00A6239B" w:rsidRPr="000E07C8">
        <w:t xml:space="preserve">and </w:t>
      </w:r>
      <w:r w:rsidR="000C0479" w:rsidRPr="000E07C8">
        <w:t>were</w:t>
      </w:r>
      <w:r w:rsidR="00A6239B" w:rsidRPr="000E07C8">
        <w:t xml:space="preserve"> </w:t>
      </w:r>
      <w:r w:rsidR="004B39C2" w:rsidRPr="000E07C8">
        <w:t xml:space="preserve">assessed to be </w:t>
      </w:r>
      <w:r w:rsidR="00A6239B" w:rsidRPr="000E07C8">
        <w:t xml:space="preserve">in good condition. </w:t>
      </w:r>
      <w:r w:rsidR="007F71F4" w:rsidRPr="000E07C8">
        <w:t xml:space="preserve"> </w:t>
      </w:r>
      <w:r w:rsidR="004D5BDD" w:rsidRPr="000E07C8">
        <w:t xml:space="preserve">The </w:t>
      </w:r>
      <w:r w:rsidR="00394E0E" w:rsidRPr="000E07C8">
        <w:t xml:space="preserve">project </w:t>
      </w:r>
      <w:r w:rsidR="00EB7737" w:rsidRPr="000E07C8">
        <w:t xml:space="preserve">also </w:t>
      </w:r>
      <w:r w:rsidR="00394E0E" w:rsidRPr="000E07C8">
        <w:t xml:space="preserve">established a </w:t>
      </w:r>
      <w:r w:rsidR="004D5BDD" w:rsidRPr="000E07C8">
        <w:t>r</w:t>
      </w:r>
      <w:r w:rsidR="00A6239B" w:rsidRPr="000E07C8">
        <w:t xml:space="preserve">oad </w:t>
      </w:r>
      <w:r w:rsidR="004D5BDD" w:rsidRPr="000E07C8">
        <w:t>d</w:t>
      </w:r>
      <w:r w:rsidR="00A6239B" w:rsidRPr="000E07C8">
        <w:t xml:space="preserve">ata </w:t>
      </w:r>
      <w:r w:rsidR="004D5BDD" w:rsidRPr="000E07C8">
        <w:t>c</w:t>
      </w:r>
      <w:r w:rsidR="00A6239B" w:rsidRPr="000E07C8">
        <w:t xml:space="preserve">ollection </w:t>
      </w:r>
      <w:r w:rsidR="004D5BDD" w:rsidRPr="000E07C8">
        <w:t>m</w:t>
      </w:r>
      <w:r w:rsidR="00A6239B" w:rsidRPr="000E07C8">
        <w:t xml:space="preserve">anagement </w:t>
      </w:r>
      <w:r w:rsidR="004D5BDD" w:rsidRPr="000E07C8">
        <w:t>u</w:t>
      </w:r>
      <w:r w:rsidR="00A6239B" w:rsidRPr="000E07C8">
        <w:t>nit</w:t>
      </w:r>
      <w:r w:rsidR="00BF650F" w:rsidRPr="000E07C8">
        <w:t>,</w:t>
      </w:r>
      <w:r w:rsidR="004D5BDD" w:rsidRPr="000E07C8">
        <w:t xml:space="preserve"> </w:t>
      </w:r>
      <w:r w:rsidR="00394E0E" w:rsidRPr="000E07C8">
        <w:t xml:space="preserve">which </w:t>
      </w:r>
      <w:r w:rsidR="005F5B77" w:rsidRPr="000E07C8">
        <w:t xml:space="preserve">now </w:t>
      </w:r>
      <w:r w:rsidR="00394E0E" w:rsidRPr="000E07C8">
        <w:t>produce</w:t>
      </w:r>
      <w:r w:rsidR="005F5B77" w:rsidRPr="000E07C8">
        <w:t>s</w:t>
      </w:r>
      <w:r w:rsidR="00E32B0A" w:rsidRPr="000E07C8">
        <w:t xml:space="preserve"> </w:t>
      </w:r>
      <w:r w:rsidR="00394E0E" w:rsidRPr="000E07C8">
        <w:t xml:space="preserve">annual maintenance planning for the </w:t>
      </w:r>
      <w:r w:rsidR="00C208F0" w:rsidRPr="000E07C8">
        <w:t>MPWT</w:t>
      </w:r>
      <w:r w:rsidR="00394E0E" w:rsidRPr="000E07C8">
        <w:t>.</w:t>
      </w:r>
      <w:r w:rsidR="00C51057" w:rsidRPr="000E07C8">
        <w:t xml:space="preserve"> </w:t>
      </w:r>
      <w:r w:rsidR="00E32B0A" w:rsidRPr="000E07C8">
        <w:t xml:space="preserve"> </w:t>
      </w:r>
      <w:r w:rsidR="00A6239B" w:rsidRPr="000E07C8">
        <w:t>Overall</w:t>
      </w:r>
      <w:r w:rsidR="004D5BDD" w:rsidRPr="000E07C8">
        <w:t>,</w:t>
      </w:r>
      <w:r w:rsidR="00A6239B" w:rsidRPr="000E07C8">
        <w:t xml:space="preserve"> the project employed </w:t>
      </w:r>
      <w:r w:rsidR="00702A10" w:rsidRPr="000E07C8">
        <w:t xml:space="preserve">more than </w:t>
      </w:r>
      <w:r w:rsidR="0088756D" w:rsidRPr="000E07C8">
        <w:t>1,08</w:t>
      </w:r>
      <w:r w:rsidR="00702A10" w:rsidRPr="000E07C8">
        <w:t>0</w:t>
      </w:r>
      <w:r w:rsidR="0088756D" w:rsidRPr="000E07C8">
        <w:t xml:space="preserve"> p</w:t>
      </w:r>
      <w:r w:rsidR="00702A10" w:rsidRPr="000E07C8">
        <w:t>eople</w:t>
      </w:r>
      <w:r w:rsidR="00943C9B" w:rsidRPr="000E07C8">
        <w:t xml:space="preserve">, of </w:t>
      </w:r>
      <w:r w:rsidR="007D6167" w:rsidRPr="000E07C8">
        <w:t xml:space="preserve">whom </w:t>
      </w:r>
      <w:r w:rsidR="00943C9B" w:rsidRPr="000E07C8">
        <w:t>11 per cent (122) were female</w:t>
      </w:r>
      <w:r w:rsidR="007D59AE" w:rsidRPr="000E07C8">
        <w:t>.</w:t>
      </w:r>
      <w:r w:rsidR="0088756D" w:rsidRPr="000E07C8">
        <w:t xml:space="preserve"> </w:t>
      </w:r>
      <w:r w:rsidR="00BF650F" w:rsidRPr="000E07C8">
        <w:t xml:space="preserve"> </w:t>
      </w:r>
      <w:r w:rsidR="00C51057" w:rsidRPr="000E07C8">
        <w:t>While t</w:t>
      </w:r>
      <w:r w:rsidR="004D5BDD" w:rsidRPr="000E07C8">
        <w:t>his</w:t>
      </w:r>
      <w:r w:rsidR="00A6239B" w:rsidRPr="000E07C8">
        <w:t xml:space="preserve"> reflects the low numbers of women employed in the sector </w:t>
      </w:r>
      <w:r w:rsidR="00C51057" w:rsidRPr="000E07C8">
        <w:t>generally in Camb</w:t>
      </w:r>
      <w:r w:rsidR="00702A10" w:rsidRPr="000E07C8">
        <w:t xml:space="preserve">odia, </w:t>
      </w:r>
      <w:r w:rsidR="00BF650F" w:rsidRPr="000E07C8">
        <w:t>female participation remains</w:t>
      </w:r>
      <w:r w:rsidR="00702A10" w:rsidRPr="000E07C8">
        <w:t xml:space="preserve"> lower than desir</w:t>
      </w:r>
      <w:r w:rsidR="00BF650F" w:rsidRPr="000E07C8">
        <w:t>able</w:t>
      </w:r>
      <w:r w:rsidR="00702A10" w:rsidRPr="000E07C8">
        <w:t>.</w:t>
      </w:r>
      <w:r w:rsidR="00BF6ECD" w:rsidRPr="000E07C8">
        <w:t xml:space="preserve"> </w:t>
      </w:r>
    </w:p>
    <w:p w:rsidR="00A6239B" w:rsidRPr="000E07C8" w:rsidRDefault="005B2565" w:rsidP="00A6239B">
      <w:pPr>
        <w:pStyle w:val="ListBullet"/>
        <w:numPr>
          <w:ilvl w:val="0"/>
          <w:numId w:val="0"/>
        </w:numPr>
      </w:pPr>
      <w:r w:rsidRPr="000E07C8">
        <w:t>T</w:t>
      </w:r>
      <w:r w:rsidR="00F32B4F" w:rsidRPr="000E07C8">
        <w:t>he</w:t>
      </w:r>
      <w:r w:rsidR="004D5BDD" w:rsidRPr="000E07C8">
        <w:t xml:space="preserve"> </w:t>
      </w:r>
      <w:r w:rsidR="00D43ECD" w:rsidRPr="000E07C8">
        <w:t>Flood Damage Emergency Reconstruction Project</w:t>
      </w:r>
      <w:r w:rsidRPr="000E07C8">
        <w:t xml:space="preserve"> (2012-2015)</w:t>
      </w:r>
      <w:r w:rsidR="00D43ECD" w:rsidRPr="000E07C8">
        <w:t xml:space="preserve"> </w:t>
      </w:r>
      <w:r w:rsidRPr="000E07C8">
        <w:t xml:space="preserve">is co-financed with the ADB to address </w:t>
      </w:r>
      <w:r w:rsidR="00702A10" w:rsidRPr="000E07C8">
        <w:t xml:space="preserve">the </w:t>
      </w:r>
      <w:r w:rsidRPr="000E07C8">
        <w:t xml:space="preserve">damage caused </w:t>
      </w:r>
      <w:r w:rsidR="00702A10" w:rsidRPr="000E07C8">
        <w:t xml:space="preserve">by </w:t>
      </w:r>
      <w:r w:rsidRPr="000E07C8">
        <w:t>floods in 2011.</w:t>
      </w:r>
      <w:r w:rsidR="007F71F4" w:rsidRPr="000E07C8">
        <w:t xml:space="preserve"> </w:t>
      </w:r>
      <w:r w:rsidRPr="000E07C8">
        <w:t xml:space="preserve"> The </w:t>
      </w:r>
      <w:r w:rsidR="00FC4529" w:rsidRPr="000E07C8">
        <w:t>first phase of the p</w:t>
      </w:r>
      <w:r w:rsidRPr="000E07C8">
        <w:t xml:space="preserve">roject exceeded </w:t>
      </w:r>
      <w:r w:rsidR="004B39C2" w:rsidRPr="000E07C8">
        <w:t xml:space="preserve">the </w:t>
      </w:r>
      <w:r w:rsidR="004D5BDD" w:rsidRPr="000E07C8">
        <w:t>benchmark</w:t>
      </w:r>
      <w:r w:rsidR="00A6239B" w:rsidRPr="000E07C8">
        <w:t xml:space="preserve"> of 80</w:t>
      </w:r>
      <w:r w:rsidR="00D43ECD" w:rsidRPr="000E07C8">
        <w:t xml:space="preserve"> per cent</w:t>
      </w:r>
      <w:r w:rsidR="00A6239B" w:rsidRPr="000E07C8">
        <w:t xml:space="preserve"> physical completion of national, provincial and rural roads</w:t>
      </w:r>
      <w:r w:rsidR="00702A10" w:rsidRPr="000E07C8">
        <w:t>,</w:t>
      </w:r>
      <w:r w:rsidRPr="000E07C8">
        <w:t xml:space="preserve"> </w:t>
      </w:r>
      <w:r w:rsidR="00A6239B" w:rsidRPr="000E07C8">
        <w:t>with 100</w:t>
      </w:r>
      <w:r w:rsidR="00D43ECD" w:rsidRPr="000E07C8">
        <w:t xml:space="preserve"> per cent</w:t>
      </w:r>
      <w:r w:rsidR="00A6239B" w:rsidRPr="000E07C8">
        <w:t xml:space="preserve"> of works complete</w:t>
      </w:r>
      <w:r w:rsidRPr="000E07C8">
        <w:t>d</w:t>
      </w:r>
      <w:r w:rsidR="00F278E2" w:rsidRPr="000E07C8">
        <w:t xml:space="preserve">.  </w:t>
      </w:r>
      <w:r w:rsidR="00A6239B" w:rsidRPr="000E07C8">
        <w:t>Under this project, 71</w:t>
      </w:r>
      <w:r w:rsidR="00AC1DD5" w:rsidRPr="000E07C8">
        <w:t xml:space="preserve"> kilometres </w:t>
      </w:r>
      <w:r w:rsidR="00A6239B" w:rsidRPr="000E07C8">
        <w:t>of provincial roads, 559</w:t>
      </w:r>
      <w:r w:rsidR="00AC1DD5" w:rsidRPr="000E07C8">
        <w:t xml:space="preserve"> kilometres </w:t>
      </w:r>
      <w:r w:rsidR="00A6239B" w:rsidRPr="000E07C8">
        <w:t xml:space="preserve">of rural roads </w:t>
      </w:r>
      <w:r w:rsidR="00702A10" w:rsidRPr="000E07C8">
        <w:t xml:space="preserve">- </w:t>
      </w:r>
      <w:r w:rsidR="00A6239B" w:rsidRPr="000E07C8">
        <w:t xml:space="preserve">including drainage structures, 16 bridges and 27 irrigation schemes </w:t>
      </w:r>
      <w:r w:rsidR="00FC4529" w:rsidRPr="000E07C8">
        <w:t>(</w:t>
      </w:r>
      <w:r w:rsidR="005F5B77" w:rsidRPr="000E07C8">
        <w:t>exceeding</w:t>
      </w:r>
      <w:r w:rsidR="00FC4529" w:rsidRPr="000E07C8">
        <w:t xml:space="preserve"> </w:t>
      </w:r>
      <w:r w:rsidR="005F5B77" w:rsidRPr="000E07C8">
        <w:t>the</w:t>
      </w:r>
      <w:r w:rsidR="00FC4529" w:rsidRPr="000E07C8">
        <w:t xml:space="preserve"> target of 20) </w:t>
      </w:r>
      <w:r w:rsidR="00702A10" w:rsidRPr="000E07C8">
        <w:t xml:space="preserve">- </w:t>
      </w:r>
      <w:r w:rsidR="00A6239B" w:rsidRPr="000E07C8">
        <w:t xml:space="preserve">were rehabilitated to better than their pre-flood condition. </w:t>
      </w:r>
      <w:r w:rsidR="00702A10" w:rsidRPr="000E07C8">
        <w:t xml:space="preserve"> </w:t>
      </w:r>
      <w:r w:rsidR="001956DC" w:rsidRPr="000E07C8">
        <w:t>32</w:t>
      </w:r>
      <w:r w:rsidR="00F32B4F" w:rsidRPr="000E07C8">
        <w:t xml:space="preserve"> per cent</w:t>
      </w:r>
      <w:r w:rsidR="00A6239B" w:rsidRPr="000E07C8">
        <w:t xml:space="preserve"> of unskilled labourers were women, </w:t>
      </w:r>
      <w:r w:rsidR="00702A10" w:rsidRPr="000E07C8">
        <w:t xml:space="preserve">narrowly </w:t>
      </w:r>
      <w:r w:rsidR="00A6239B" w:rsidRPr="000E07C8">
        <w:t>exceeding the 30</w:t>
      </w:r>
      <w:r w:rsidR="00F32B4F" w:rsidRPr="000E07C8">
        <w:t xml:space="preserve"> per cent </w:t>
      </w:r>
      <w:r w:rsidR="00A6239B" w:rsidRPr="000E07C8">
        <w:t>target.</w:t>
      </w:r>
      <w:r w:rsidR="007F71F4" w:rsidRPr="000E07C8">
        <w:t xml:space="preserve"> </w:t>
      </w:r>
      <w:r w:rsidR="00FC4529" w:rsidRPr="000E07C8">
        <w:t xml:space="preserve"> A second project (2014-2017)</w:t>
      </w:r>
      <w:r w:rsidR="00702A10" w:rsidRPr="000E07C8">
        <w:t>,</w:t>
      </w:r>
      <w:r w:rsidR="00FC4529" w:rsidRPr="000E07C8">
        <w:t xml:space="preserve"> also co-financed by the ADB</w:t>
      </w:r>
      <w:r w:rsidR="00702A10" w:rsidRPr="000E07C8">
        <w:t>,</w:t>
      </w:r>
      <w:r w:rsidR="00FC4529" w:rsidRPr="000E07C8">
        <w:t xml:space="preserve"> </w:t>
      </w:r>
      <w:r w:rsidR="004B39C2" w:rsidRPr="000E07C8">
        <w:t>has commenced in response to</w:t>
      </w:r>
      <w:r w:rsidR="00FC4529" w:rsidRPr="000E07C8">
        <w:t xml:space="preserve"> the 2013 floods</w:t>
      </w:r>
      <w:r w:rsidR="004B39C2" w:rsidRPr="000E07C8">
        <w:t>.</w:t>
      </w:r>
      <w:r w:rsidR="007F71F4" w:rsidRPr="000E07C8">
        <w:t xml:space="preserve"> </w:t>
      </w:r>
      <w:r w:rsidR="004B39C2" w:rsidRPr="000E07C8">
        <w:t xml:space="preserve"> In 2014-15</w:t>
      </w:r>
      <w:r w:rsidR="00FC4529" w:rsidRPr="000E07C8">
        <w:t>, the steps for mobilising civil works progressed according to plan.</w:t>
      </w:r>
    </w:p>
    <w:p w:rsidR="00A6239B" w:rsidRPr="000E07C8" w:rsidRDefault="00DD139C" w:rsidP="00A6239B">
      <w:pPr>
        <w:pStyle w:val="ListBullet"/>
        <w:numPr>
          <w:ilvl w:val="0"/>
          <w:numId w:val="0"/>
        </w:numPr>
      </w:pPr>
      <w:r w:rsidRPr="000E07C8">
        <w:t xml:space="preserve">The outstanding resettlement component of </w:t>
      </w:r>
      <w:r w:rsidR="00A6239B" w:rsidRPr="000E07C8">
        <w:t xml:space="preserve">Australia’s involvement in the Rehabilitation of the Railway in Cambodia Project </w:t>
      </w:r>
      <w:r w:rsidR="00F278E2" w:rsidRPr="000E07C8">
        <w:t>wa</w:t>
      </w:r>
      <w:r w:rsidR="00A6239B" w:rsidRPr="000E07C8">
        <w:t>s completed</w:t>
      </w:r>
      <w:r w:rsidR="00F278E2" w:rsidRPr="000E07C8">
        <w:t xml:space="preserve"> in early 2015</w:t>
      </w:r>
      <w:r w:rsidR="00A6239B" w:rsidRPr="000E07C8">
        <w:t xml:space="preserve">.  </w:t>
      </w:r>
      <w:r w:rsidR="007470C3" w:rsidRPr="000E07C8">
        <w:t xml:space="preserve">While </w:t>
      </w:r>
      <w:r w:rsidR="00F278E2" w:rsidRPr="000E07C8">
        <w:t>Australia’s s</w:t>
      </w:r>
      <w:r w:rsidR="00A6239B" w:rsidRPr="000E07C8">
        <w:t xml:space="preserve">upport for civil works ceased in December 2013, </w:t>
      </w:r>
      <w:r w:rsidR="00F32B4F" w:rsidRPr="000E07C8">
        <w:t xml:space="preserve">we </w:t>
      </w:r>
      <w:r w:rsidR="00F278E2" w:rsidRPr="000E07C8">
        <w:t>continued to</w:t>
      </w:r>
      <w:r w:rsidR="00A6239B" w:rsidRPr="000E07C8">
        <w:t xml:space="preserve"> support </w:t>
      </w:r>
      <w:r w:rsidR="00F32B4F" w:rsidRPr="000E07C8">
        <w:t xml:space="preserve">resettlement </w:t>
      </w:r>
      <w:r w:rsidR="00A6239B" w:rsidRPr="000E07C8">
        <w:t xml:space="preserve">for </w:t>
      </w:r>
      <w:r w:rsidR="00F278E2" w:rsidRPr="000E07C8">
        <w:t>h</w:t>
      </w:r>
      <w:r w:rsidR="00A6239B" w:rsidRPr="000E07C8">
        <w:t xml:space="preserve">ouseholds </w:t>
      </w:r>
      <w:r w:rsidR="00F278E2" w:rsidRPr="000E07C8">
        <w:t>a</w:t>
      </w:r>
      <w:r w:rsidR="00A6239B" w:rsidRPr="000E07C8">
        <w:t xml:space="preserve">ffected by </w:t>
      </w:r>
      <w:r w:rsidR="00F278E2" w:rsidRPr="000E07C8">
        <w:t>r</w:t>
      </w:r>
      <w:r w:rsidR="00A6239B" w:rsidRPr="000E07C8">
        <w:t xml:space="preserve">ailway </w:t>
      </w:r>
      <w:r w:rsidR="00F278E2" w:rsidRPr="000E07C8">
        <w:t>r</w:t>
      </w:r>
      <w:r w:rsidR="00A6239B" w:rsidRPr="000E07C8">
        <w:t>ehabilitation</w:t>
      </w:r>
      <w:r w:rsidR="00F278E2" w:rsidRPr="000E07C8">
        <w:t xml:space="preserve"> until</w:t>
      </w:r>
      <w:r w:rsidR="00A6239B" w:rsidRPr="000E07C8">
        <w:t xml:space="preserve"> the final activity </w:t>
      </w:r>
      <w:r w:rsidR="00F278E2" w:rsidRPr="000E07C8">
        <w:t>was</w:t>
      </w:r>
      <w:r w:rsidR="00A6239B" w:rsidRPr="000E07C8">
        <w:t xml:space="preserve"> completed </w:t>
      </w:r>
      <w:r w:rsidR="00591133" w:rsidRPr="000E07C8">
        <w:t>in 2015</w:t>
      </w:r>
      <w:r w:rsidR="00A6239B" w:rsidRPr="000E07C8">
        <w:t xml:space="preserve">. </w:t>
      </w:r>
      <w:r w:rsidR="007F71F4" w:rsidRPr="000E07C8">
        <w:t xml:space="preserve"> </w:t>
      </w:r>
      <w:r w:rsidR="00FB7E68" w:rsidRPr="000E07C8">
        <w:t>As part of the support provided for resettled families, t</w:t>
      </w:r>
      <w:r w:rsidR="00F32B4F" w:rsidRPr="000E07C8">
        <w:t>he</w:t>
      </w:r>
      <w:r w:rsidR="00A6239B" w:rsidRPr="000E07C8">
        <w:t xml:space="preserve"> Credit Union Foundation of Australia</w:t>
      </w:r>
      <w:r w:rsidR="00F32B4F" w:rsidRPr="000E07C8">
        <w:t xml:space="preserve"> implemented the</w:t>
      </w:r>
      <w:r w:rsidR="00A6239B" w:rsidRPr="000E07C8">
        <w:t xml:space="preserve"> Reaching an Independent Economic Life project</w:t>
      </w:r>
      <w:r w:rsidR="00F32B4F" w:rsidRPr="000E07C8">
        <w:t xml:space="preserve"> from </w:t>
      </w:r>
      <w:r w:rsidR="002E4F7B" w:rsidRPr="000E07C8">
        <w:t>2012</w:t>
      </w:r>
      <w:r w:rsidR="00F32B4F" w:rsidRPr="000E07C8">
        <w:t xml:space="preserve"> to </w:t>
      </w:r>
      <w:r w:rsidR="00FC4529" w:rsidRPr="000E07C8">
        <w:t>2015</w:t>
      </w:r>
      <w:r w:rsidR="005F5B77" w:rsidRPr="000E07C8">
        <w:t>, under which</w:t>
      </w:r>
      <w:r w:rsidR="00F32B4F" w:rsidRPr="000E07C8">
        <w:t xml:space="preserve"> o</w:t>
      </w:r>
      <w:r w:rsidR="00A6239B" w:rsidRPr="000E07C8">
        <w:t>ver 1</w:t>
      </w:r>
      <w:r w:rsidR="00591133" w:rsidRPr="000E07C8">
        <w:t>,</w:t>
      </w:r>
      <w:r w:rsidR="00A6239B" w:rsidRPr="000E07C8">
        <w:t xml:space="preserve">500 </w:t>
      </w:r>
      <w:r w:rsidR="0039132E" w:rsidRPr="000E07C8">
        <w:t xml:space="preserve">financial </w:t>
      </w:r>
      <w:r w:rsidR="00A6239B" w:rsidRPr="000E07C8">
        <w:t xml:space="preserve">training sessions, and </w:t>
      </w:r>
      <w:r w:rsidR="00FC4529" w:rsidRPr="000E07C8">
        <w:t>almost 3</w:t>
      </w:r>
      <w:r w:rsidR="00BF6ECD" w:rsidRPr="000E07C8">
        <w:t>,</w:t>
      </w:r>
      <w:r w:rsidR="00A6239B" w:rsidRPr="000E07C8">
        <w:t>500 individual financial counselling sessions were provided to 375 households</w:t>
      </w:r>
      <w:r w:rsidR="004B39C2" w:rsidRPr="000E07C8">
        <w:t>.</w:t>
      </w:r>
      <w:r w:rsidR="00FC4529" w:rsidRPr="000E07C8">
        <w:t xml:space="preserve"> </w:t>
      </w:r>
      <w:r w:rsidR="004B39C2" w:rsidRPr="000E07C8">
        <w:t>I</w:t>
      </w:r>
      <w:r w:rsidR="00FC4529" w:rsidRPr="000E07C8">
        <w:t>n 2014-15</w:t>
      </w:r>
      <w:r w:rsidR="004B39C2" w:rsidRPr="000E07C8">
        <w:t>,</w:t>
      </w:r>
      <w:r w:rsidR="00FC4529" w:rsidRPr="000E07C8">
        <w:t xml:space="preserve"> 513 </w:t>
      </w:r>
      <w:r w:rsidR="0039132E" w:rsidRPr="000E07C8">
        <w:t xml:space="preserve">financial </w:t>
      </w:r>
      <w:r w:rsidR="00FC4529" w:rsidRPr="000E07C8">
        <w:t>training sessions</w:t>
      </w:r>
      <w:r w:rsidR="0039132E" w:rsidRPr="000E07C8">
        <w:t xml:space="preserve"> a</w:t>
      </w:r>
      <w:r w:rsidR="00FC4529" w:rsidRPr="000E07C8">
        <w:t xml:space="preserve">nd over 1,300 individual financial counselling sessions </w:t>
      </w:r>
      <w:r w:rsidR="0039132E" w:rsidRPr="000E07C8">
        <w:t>were held</w:t>
      </w:r>
      <w:r w:rsidR="00EF66FF" w:rsidRPr="000E07C8">
        <w:t xml:space="preserve"> </w:t>
      </w:r>
      <w:r w:rsidR="00FC4529" w:rsidRPr="000E07C8">
        <w:t>(including repeat attendance)</w:t>
      </w:r>
      <w:r w:rsidR="00A6239B" w:rsidRPr="000E07C8">
        <w:t>.  While success was not constant across sites, the project evaluation found a 435</w:t>
      </w:r>
      <w:r w:rsidR="002E4F7B" w:rsidRPr="000E07C8">
        <w:t xml:space="preserve"> per cent </w:t>
      </w:r>
      <w:r w:rsidR="00A6239B" w:rsidRPr="000E07C8">
        <w:t>increase in average incomes across the five sites, and a reduction in debts by 26</w:t>
      </w:r>
      <w:r w:rsidR="002E4F7B" w:rsidRPr="000E07C8">
        <w:t xml:space="preserve"> per cent</w:t>
      </w:r>
      <w:r w:rsidR="00A6239B" w:rsidRPr="000E07C8">
        <w:t xml:space="preserve"> since project commencement in 2</w:t>
      </w:r>
      <w:r w:rsidR="002E4F7B" w:rsidRPr="000E07C8">
        <w:t>0</w:t>
      </w:r>
      <w:r w:rsidR="00A6239B" w:rsidRPr="000E07C8">
        <w:t xml:space="preserve">12. </w:t>
      </w:r>
      <w:r w:rsidR="007F71F4" w:rsidRPr="000E07C8">
        <w:t xml:space="preserve"> </w:t>
      </w:r>
      <w:r w:rsidR="00883CA3" w:rsidRPr="000E07C8">
        <w:t>M</w:t>
      </w:r>
      <w:r w:rsidR="00A6239B" w:rsidRPr="000E07C8">
        <w:t xml:space="preserve">ore women than men joined </w:t>
      </w:r>
      <w:r w:rsidR="002E4F7B" w:rsidRPr="000E07C8">
        <w:t xml:space="preserve">the </w:t>
      </w:r>
      <w:r w:rsidR="00A6239B" w:rsidRPr="000E07C8">
        <w:t xml:space="preserve">financial literacy activities </w:t>
      </w:r>
      <w:r w:rsidR="00FC4529" w:rsidRPr="000E07C8">
        <w:t>(almost 70 per cent on average over the project)</w:t>
      </w:r>
      <w:r w:rsidR="0039132E" w:rsidRPr="000E07C8">
        <w:t xml:space="preserve">, </w:t>
      </w:r>
      <w:r w:rsidR="00A6239B" w:rsidRPr="000E07C8">
        <w:t>but</w:t>
      </w:r>
      <w:r w:rsidR="00883CA3" w:rsidRPr="000E07C8">
        <w:t xml:space="preserve"> </w:t>
      </w:r>
      <w:r w:rsidR="007D6167" w:rsidRPr="000E07C8">
        <w:t xml:space="preserve">fewer </w:t>
      </w:r>
      <w:r w:rsidR="00883CA3" w:rsidRPr="000E07C8">
        <w:t xml:space="preserve">women than </w:t>
      </w:r>
      <w:r w:rsidR="00A6239B" w:rsidRPr="000E07C8">
        <w:t>men undertook training in book</w:t>
      </w:r>
      <w:r w:rsidR="00F278E2" w:rsidRPr="000E07C8">
        <w:t>-</w:t>
      </w:r>
      <w:r w:rsidR="00A6239B" w:rsidRPr="000E07C8">
        <w:t>keeping and other aspects related to group leadership (71</w:t>
      </w:r>
      <w:r w:rsidR="00FF57BE" w:rsidRPr="000E07C8">
        <w:t xml:space="preserve"> per cent</w:t>
      </w:r>
      <w:r w:rsidR="00A6239B" w:rsidRPr="000E07C8">
        <w:t xml:space="preserve"> </w:t>
      </w:r>
      <w:r w:rsidR="002E4F7B" w:rsidRPr="000E07C8">
        <w:t>male</w:t>
      </w:r>
      <w:r w:rsidR="00883CA3" w:rsidRPr="000E07C8">
        <w:t xml:space="preserve"> participation</w:t>
      </w:r>
      <w:r w:rsidR="00A6239B" w:rsidRPr="000E07C8">
        <w:t>)</w:t>
      </w:r>
      <w:r w:rsidR="002E4F7B" w:rsidRPr="000E07C8">
        <w:t xml:space="preserve">. </w:t>
      </w:r>
      <w:r w:rsidR="007F71F4" w:rsidRPr="000E07C8">
        <w:t xml:space="preserve"> </w:t>
      </w:r>
      <w:r w:rsidR="002E4F7B" w:rsidRPr="000E07C8">
        <w:t>This is typical for community groups in Cambodia</w:t>
      </w:r>
      <w:r w:rsidR="00A6239B" w:rsidRPr="000E07C8">
        <w:t>.</w:t>
      </w:r>
    </w:p>
    <w:p w:rsidR="008B731C" w:rsidRPr="000E07C8" w:rsidRDefault="00E71247" w:rsidP="003D03E5">
      <w:pPr>
        <w:pStyle w:val="ListBullet"/>
        <w:numPr>
          <w:ilvl w:val="0"/>
          <w:numId w:val="0"/>
        </w:numPr>
      </w:pPr>
      <w:r w:rsidRPr="000E07C8">
        <w:t>In 2014</w:t>
      </w:r>
      <w:r w:rsidR="0039132E" w:rsidRPr="000E07C8">
        <w:t>,</w:t>
      </w:r>
      <w:r w:rsidRPr="000E07C8">
        <w:t xml:space="preserve"> t</w:t>
      </w:r>
      <w:r w:rsidR="00A6239B" w:rsidRPr="000E07C8">
        <w:t xml:space="preserve">he </w:t>
      </w:r>
      <w:r w:rsidR="005F5B77" w:rsidRPr="000E07C8">
        <w:t>Australian Government</w:t>
      </w:r>
      <w:r w:rsidR="00A6239B" w:rsidRPr="000E07C8">
        <w:t xml:space="preserve"> signed a co-financing agreement with </w:t>
      </w:r>
      <w:r w:rsidR="00983B9F" w:rsidRPr="000E07C8">
        <w:t xml:space="preserve">the </w:t>
      </w:r>
      <w:r w:rsidR="00A6239B" w:rsidRPr="000E07C8">
        <w:t>ADB for the Rural Roads Improvement Project</w:t>
      </w:r>
      <w:r w:rsidR="005F5B77" w:rsidRPr="000E07C8">
        <w:t xml:space="preserve">. </w:t>
      </w:r>
      <w:r w:rsidR="0039132E" w:rsidRPr="000E07C8">
        <w:t xml:space="preserve"> </w:t>
      </w:r>
      <w:r w:rsidR="008B731C" w:rsidRPr="000E07C8">
        <w:t xml:space="preserve">The project will rehabilitate about 1,000 </w:t>
      </w:r>
      <w:r w:rsidR="006E233B" w:rsidRPr="000E07C8">
        <w:t>kilometres</w:t>
      </w:r>
      <w:r w:rsidR="008B731C" w:rsidRPr="000E07C8">
        <w:t xml:space="preserve"> (km) of rural roads in nine provinces to paved condition to provide a safer, cost-effective rural road network, with all-year access to markets and other social services. </w:t>
      </w:r>
      <w:r w:rsidR="008D2B9A" w:rsidRPr="000E07C8">
        <w:t xml:space="preserve"> </w:t>
      </w:r>
      <w:r w:rsidR="008B731C" w:rsidRPr="000E07C8">
        <w:t>The project will also support a sustainable road maintenance regime in the Ministry of Rural Development</w:t>
      </w:r>
      <w:r w:rsidR="00C208F0" w:rsidRPr="000E07C8">
        <w:t>;</w:t>
      </w:r>
      <w:r w:rsidR="008B731C" w:rsidRPr="000E07C8">
        <w:t xml:space="preserve"> a community based road safety program</w:t>
      </w:r>
      <w:r w:rsidR="00C208F0" w:rsidRPr="000E07C8">
        <w:t>;</w:t>
      </w:r>
      <w:r w:rsidR="008B731C" w:rsidRPr="000E07C8">
        <w:t xml:space="preserve"> an HIV/AIDS and human trafficking prevention and awareness program</w:t>
      </w:r>
      <w:r w:rsidR="00C208F0" w:rsidRPr="000E07C8">
        <w:t>;</w:t>
      </w:r>
      <w:r w:rsidR="008B731C" w:rsidRPr="000E07C8">
        <w:t xml:space="preserve"> and climate change </w:t>
      </w:r>
      <w:r w:rsidR="00C208F0" w:rsidRPr="000E07C8">
        <w:t>adaptation</w:t>
      </w:r>
      <w:r w:rsidR="008B731C" w:rsidRPr="000E07C8">
        <w:t xml:space="preserve"> measures.  </w:t>
      </w:r>
      <w:r w:rsidR="005F5B77" w:rsidRPr="000E07C8">
        <w:t>The</w:t>
      </w:r>
      <w:r w:rsidR="00A6239B" w:rsidRPr="000E07C8">
        <w:t xml:space="preserve"> first contracts have been awarded</w:t>
      </w:r>
      <w:r w:rsidR="005F5B77" w:rsidRPr="000E07C8">
        <w:t xml:space="preserve"> and c</w:t>
      </w:r>
      <w:r w:rsidR="00A6239B" w:rsidRPr="000E07C8">
        <w:t xml:space="preserve">ivil works will commence at the beginning of the next dry season </w:t>
      </w:r>
      <w:r w:rsidR="002E4F7B" w:rsidRPr="000E07C8">
        <w:t xml:space="preserve">in </w:t>
      </w:r>
      <w:r w:rsidR="00A6239B" w:rsidRPr="000E07C8">
        <w:t xml:space="preserve">late 2015.  A second contribution is being planned as part of </w:t>
      </w:r>
      <w:r w:rsidR="002E4F7B" w:rsidRPr="000E07C8">
        <w:t xml:space="preserve">Australia’s </w:t>
      </w:r>
      <w:r w:rsidR="00A6239B" w:rsidRPr="000E07C8">
        <w:t>new Aid Investment Plan.</w:t>
      </w:r>
      <w:r w:rsidR="003D03E5" w:rsidRPr="000E07C8">
        <w:t xml:space="preserve">  </w:t>
      </w:r>
    </w:p>
    <w:p w:rsidR="003D03E5" w:rsidRPr="000E07C8" w:rsidRDefault="003D03E5" w:rsidP="003D03E5">
      <w:pPr>
        <w:pStyle w:val="ListBullet"/>
        <w:numPr>
          <w:ilvl w:val="0"/>
          <w:numId w:val="0"/>
        </w:numPr>
      </w:pPr>
      <w:r w:rsidRPr="000E07C8">
        <w:t xml:space="preserve">The Rural Energy Project is implemented by the ADB, with 100 per cent Australian financing.  </w:t>
      </w:r>
      <w:r w:rsidR="009B70A7" w:rsidRPr="000E07C8">
        <w:t xml:space="preserve">This project is designed to increase access to economical and reliable energy supply for 8,000 rural Cambodian households. </w:t>
      </w:r>
      <w:r w:rsidRPr="000E07C8">
        <w:t xml:space="preserve">In 2014-15, the procurement of medium-voltage distribution works was </w:t>
      </w:r>
      <w:r w:rsidRPr="000E07C8">
        <w:lastRenderedPageBreak/>
        <w:t xml:space="preserve">completed, although behind schedule.  The works will continue at the start of the next dry season in late 2015. </w:t>
      </w:r>
    </w:p>
    <w:p w:rsidR="007D59AE" w:rsidRPr="000E07C8" w:rsidRDefault="00702A10" w:rsidP="007D59AE">
      <w:pPr>
        <w:pStyle w:val="ListBullet"/>
        <w:numPr>
          <w:ilvl w:val="0"/>
          <w:numId w:val="0"/>
        </w:numPr>
      </w:pPr>
      <w:r w:rsidRPr="000E07C8">
        <w:t xml:space="preserve">To address the low participation of women in the sector, </w:t>
      </w:r>
      <w:r w:rsidR="007D59AE" w:rsidRPr="000E07C8">
        <w:t>Australia continue</w:t>
      </w:r>
      <w:r w:rsidR="00225001" w:rsidRPr="000E07C8">
        <w:t>d</w:t>
      </w:r>
      <w:r w:rsidR="007D59AE" w:rsidRPr="000E07C8">
        <w:t xml:space="preserve"> to work closely with ADB to ensure that</w:t>
      </w:r>
      <w:r w:rsidR="00F42F0E" w:rsidRPr="000E07C8">
        <w:t xml:space="preserve"> policies to promote gender equality are included </w:t>
      </w:r>
      <w:r w:rsidR="007D59AE" w:rsidRPr="000E07C8">
        <w:t xml:space="preserve">in all infrastructure projects. </w:t>
      </w:r>
      <w:r w:rsidR="00225001" w:rsidRPr="000E07C8">
        <w:t xml:space="preserve">Gender and </w:t>
      </w:r>
      <w:r w:rsidR="00F42F0E" w:rsidRPr="000E07C8">
        <w:t>l</w:t>
      </w:r>
      <w:r w:rsidR="00225001" w:rsidRPr="000E07C8">
        <w:t xml:space="preserve">abour </w:t>
      </w:r>
      <w:r w:rsidR="00F42F0E" w:rsidRPr="000E07C8">
        <w:t>a</w:t>
      </w:r>
      <w:r w:rsidR="00225001" w:rsidRPr="000E07C8">
        <w:t xml:space="preserve">ction </w:t>
      </w:r>
      <w:r w:rsidR="00F42F0E" w:rsidRPr="000E07C8">
        <w:t>p</w:t>
      </w:r>
      <w:r w:rsidR="00225001" w:rsidRPr="000E07C8">
        <w:t xml:space="preserve">lans have been mainstreamed in all road projects since 2012. </w:t>
      </w:r>
      <w:r w:rsidR="007D59AE" w:rsidRPr="000E07C8">
        <w:t>In 2014-15,</w:t>
      </w:r>
      <w:r w:rsidR="000767C6" w:rsidRPr="000E07C8">
        <w:t xml:space="preserve"> there were also</w:t>
      </w:r>
      <w:r w:rsidR="007D59AE" w:rsidRPr="000E07C8">
        <w:t xml:space="preserve"> achievements </w:t>
      </w:r>
      <w:r w:rsidR="00C07835" w:rsidRPr="000E07C8">
        <w:t xml:space="preserve">relating to measures to promote </w:t>
      </w:r>
      <w:r w:rsidR="007D59AE" w:rsidRPr="000E07C8">
        <w:t>HIV/AIDS awareness, national road safety</w:t>
      </w:r>
      <w:r w:rsidR="0072321E" w:rsidRPr="000E07C8">
        <w:t xml:space="preserve"> awareness</w:t>
      </w:r>
      <w:r w:rsidR="00225001" w:rsidRPr="000E07C8">
        <w:t>, and</w:t>
      </w:r>
      <w:r w:rsidR="007D59AE" w:rsidRPr="000E07C8">
        <w:t xml:space="preserve"> </w:t>
      </w:r>
      <w:r w:rsidR="00225001" w:rsidRPr="000E07C8">
        <w:t xml:space="preserve">financial literacy training for income generation. </w:t>
      </w:r>
    </w:p>
    <w:p w:rsidR="00A6239B" w:rsidRPr="00407BC6" w:rsidRDefault="00C07835" w:rsidP="00A6239B">
      <w:pPr>
        <w:pStyle w:val="ListBullet"/>
        <w:numPr>
          <w:ilvl w:val="0"/>
          <w:numId w:val="0"/>
        </w:numPr>
      </w:pPr>
      <w:r w:rsidRPr="000E07C8">
        <w:t xml:space="preserve">The final stages of </w:t>
      </w:r>
      <w:r w:rsidR="00BF650F" w:rsidRPr="000E07C8">
        <w:t xml:space="preserve">initial </w:t>
      </w:r>
      <w:r w:rsidRPr="000E07C8">
        <w:t xml:space="preserve">procurement in relation to </w:t>
      </w:r>
      <w:r w:rsidR="005C0CD9" w:rsidRPr="000E07C8">
        <w:t>3i (Investing in Infrastructure Program)</w:t>
      </w:r>
      <w:r w:rsidRPr="000E07C8">
        <w:t>,</w:t>
      </w:r>
      <w:r w:rsidR="005C0CD9" w:rsidRPr="000E07C8">
        <w:t xml:space="preserve"> Australia’s new</w:t>
      </w:r>
      <w:r w:rsidR="00983B9F" w:rsidRPr="000E07C8">
        <w:t>,</w:t>
      </w:r>
      <w:r w:rsidR="005C0CD9" w:rsidRPr="000E07C8">
        <w:t xml:space="preserve"> innovati</w:t>
      </w:r>
      <w:r w:rsidR="00983B9F" w:rsidRPr="000E07C8">
        <w:t>ve</w:t>
      </w:r>
      <w:r w:rsidR="005C0CD9" w:rsidRPr="000E07C8">
        <w:t xml:space="preserve"> infrastructure program in Cambodia</w:t>
      </w:r>
      <w:r w:rsidR="00B61184" w:rsidRPr="000E07C8">
        <w:t>,</w:t>
      </w:r>
      <w:r w:rsidRPr="000E07C8">
        <w:t xml:space="preserve"> were completed in 2014-15</w:t>
      </w:r>
      <w:r w:rsidR="00A6239B" w:rsidRPr="000E07C8">
        <w:t>. 3i will work directly with the private sector to unlock opportunities for economic growth and trade by increasing investment in private sector-led small scale</w:t>
      </w:r>
      <w:r w:rsidR="00A6239B" w:rsidRPr="00407BC6">
        <w:t xml:space="preserve"> infrastructure.</w:t>
      </w:r>
    </w:p>
    <w:p w:rsidR="00983B9F" w:rsidRDefault="00983B9F" w:rsidP="00A6239B">
      <w:pPr>
        <w:pStyle w:val="ListBullet"/>
        <w:numPr>
          <w:ilvl w:val="0"/>
          <w:numId w:val="0"/>
        </w:numPr>
      </w:pPr>
    </w:p>
    <w:tbl>
      <w:tblPr>
        <w:tblStyle w:val="APPR"/>
        <w:tblW w:w="5000" w:type="pct"/>
        <w:tblLook w:val="01E0" w:firstRow="1" w:lastRow="1" w:firstColumn="1" w:lastColumn="1" w:noHBand="0" w:noVBand="0"/>
      </w:tblPr>
      <w:tblGrid>
        <w:gridCol w:w="7373"/>
        <w:gridCol w:w="1829"/>
      </w:tblGrid>
      <w:tr w:rsidR="00341E0C" w:rsidRPr="00BF2045" w:rsidTr="006E2B9F">
        <w:trPr>
          <w:cnfStyle w:val="100000000000" w:firstRow="1" w:lastRow="0" w:firstColumn="0" w:lastColumn="0" w:oddVBand="0" w:evenVBand="0" w:oddHBand="0" w:evenHBand="0" w:firstRowFirstColumn="0" w:firstRowLastColumn="0" w:lastRowFirstColumn="0" w:lastRowLastColumn="0"/>
        </w:trPr>
        <w:tc>
          <w:tcPr>
            <w:tcW w:w="3981" w:type="pct"/>
          </w:tcPr>
          <w:p w:rsidR="00341E0C" w:rsidRPr="00CD2F9A" w:rsidRDefault="009C6AE7" w:rsidP="00520B51">
            <w:pPr>
              <w:pStyle w:val="TableTextEntries"/>
              <w:rPr>
                <w:rFonts w:eastAsia="Calibri"/>
                <w:sz w:val="24"/>
                <w:szCs w:val="24"/>
              </w:rPr>
            </w:pPr>
            <w:r w:rsidRPr="00CD2F9A">
              <w:rPr>
                <w:rFonts w:eastAsia="Calibri"/>
                <w:sz w:val="24"/>
                <w:szCs w:val="24"/>
              </w:rPr>
              <w:t>OBJECTIVE 4</w:t>
            </w:r>
            <w:r w:rsidR="00341E0C" w:rsidRPr="00CD2F9A">
              <w:rPr>
                <w:rFonts w:eastAsia="Calibri"/>
                <w:sz w:val="24"/>
                <w:szCs w:val="24"/>
              </w:rPr>
              <w:t>: Women, youth and children are safer and communities have less crime</w:t>
            </w:r>
          </w:p>
        </w:tc>
        <w:tc>
          <w:tcPr>
            <w:tcW w:w="971" w:type="pct"/>
            <w:shd w:val="clear" w:color="auto" w:fill="E36C0A"/>
          </w:tcPr>
          <w:p w:rsidR="00341E0C" w:rsidRPr="00CD2F9A" w:rsidRDefault="00393A79" w:rsidP="00257A10">
            <w:pPr>
              <w:pStyle w:val="TableTextEntries"/>
              <w:jc w:val="center"/>
              <w:rPr>
                <w:rFonts w:eastAsia="Calibri"/>
                <w:sz w:val="24"/>
                <w:szCs w:val="24"/>
              </w:rPr>
            </w:pPr>
            <w:r>
              <w:rPr>
                <w:rFonts w:eastAsia="Calibri"/>
                <w:sz w:val="24"/>
                <w:szCs w:val="24"/>
              </w:rPr>
              <w:t>Amber</w:t>
            </w:r>
          </w:p>
        </w:tc>
      </w:tr>
    </w:tbl>
    <w:p w:rsidR="009E1BAD" w:rsidRDefault="009E1BAD" w:rsidP="00341E0C">
      <w:pPr>
        <w:pStyle w:val="BodyText"/>
      </w:pPr>
      <w:r>
        <w:t>Significant progress was made against this objective</w:t>
      </w:r>
      <w:r w:rsidR="008A3298">
        <w:t xml:space="preserve"> under the </w:t>
      </w:r>
      <w:r w:rsidR="001956DC">
        <w:t>Ending Violence Against Women (</w:t>
      </w:r>
      <w:r w:rsidR="008A3298">
        <w:t>EVAW</w:t>
      </w:r>
      <w:r w:rsidR="001956DC">
        <w:t>)</w:t>
      </w:r>
      <w:r w:rsidR="008A3298">
        <w:t xml:space="preserve"> program</w:t>
      </w:r>
      <w:r w:rsidR="00BF650F">
        <w:t>.  It</w:t>
      </w:r>
      <w:r>
        <w:t xml:space="preserve"> has been rated amber</w:t>
      </w:r>
      <w:r w:rsidR="00BF650F">
        <w:t>,</w:t>
      </w:r>
      <w:r>
        <w:t xml:space="preserve"> </w:t>
      </w:r>
      <w:r w:rsidR="00BF650F">
        <w:t xml:space="preserve">however, </w:t>
      </w:r>
      <w:r>
        <w:t>due to ongoing challenges in the implementation of the long-running</w:t>
      </w:r>
      <w:r w:rsidR="00BF650F">
        <w:t xml:space="preserve"> </w:t>
      </w:r>
      <w:r>
        <w:t>Cambodia Community Justice Assistance Partnership (CCJAP)</w:t>
      </w:r>
      <w:r w:rsidR="00BF650F">
        <w:t>, which will soon conclude</w:t>
      </w:r>
      <w:r w:rsidR="006E233B">
        <w:t>.</w:t>
      </w:r>
    </w:p>
    <w:p w:rsidR="002833C9" w:rsidRDefault="00BF650F" w:rsidP="00341E0C">
      <w:pPr>
        <w:pStyle w:val="BodyText"/>
      </w:pPr>
      <w:r>
        <w:t>We made</w:t>
      </w:r>
      <w:r w:rsidR="00C7796B">
        <w:t xml:space="preserve"> a diverse range of </w:t>
      </w:r>
      <w:r w:rsidR="009E1BAD">
        <w:t>investments</w:t>
      </w:r>
      <w:r w:rsidR="00C7796B">
        <w:t xml:space="preserve"> </w:t>
      </w:r>
      <w:r w:rsidR="009E1BAD">
        <w:t>aimed at</w:t>
      </w:r>
      <w:r w:rsidR="00C7796B">
        <w:t xml:space="preserve"> making women, youth and children safer in communities wit</w:t>
      </w:r>
      <w:r w:rsidR="009E1BAD">
        <w:t>h less crime.  The main programs</w:t>
      </w:r>
      <w:r w:rsidR="00C7796B">
        <w:t xml:space="preserve"> </w:t>
      </w:r>
      <w:r w:rsidR="009E1BAD">
        <w:t xml:space="preserve">are </w:t>
      </w:r>
      <w:r w:rsidR="00C7796B">
        <w:t>CCJAP and the ongoing EVAW program</w:t>
      </w:r>
      <w:r w:rsidR="0027013F">
        <w:t xml:space="preserve">. </w:t>
      </w:r>
      <w:r w:rsidR="00C7796B">
        <w:t xml:space="preserve"> </w:t>
      </w:r>
      <w:r w:rsidR="002833C9">
        <w:t>S</w:t>
      </w:r>
      <w:r w:rsidR="00C7796B">
        <w:t>maller programs include the provision of legal aid services</w:t>
      </w:r>
      <w:r w:rsidR="009E1BAD">
        <w:t>;</w:t>
      </w:r>
      <w:r w:rsidR="00C7796B">
        <w:t xml:space="preserve"> support to the Extraordinary Chamber in the Court of Cambodia (ECCC - also known as the Khmer Rouge Tribunal)</w:t>
      </w:r>
      <w:r w:rsidR="009E1BAD">
        <w:t>;</w:t>
      </w:r>
      <w:r w:rsidR="00C7796B">
        <w:t xml:space="preserve"> a</w:t>
      </w:r>
      <w:r w:rsidR="009E1BAD">
        <w:t>nd anti-corruption activities.</w:t>
      </w:r>
    </w:p>
    <w:p w:rsidR="00341E0C" w:rsidRPr="00070225" w:rsidRDefault="009E1BAD" w:rsidP="00341E0C">
      <w:pPr>
        <w:pStyle w:val="BodyText"/>
      </w:pPr>
      <w:r>
        <w:t>In 2014-15</w:t>
      </w:r>
      <w:r w:rsidR="00B15471" w:rsidRPr="00070225">
        <w:t xml:space="preserve">, </w:t>
      </w:r>
      <w:r>
        <w:t xml:space="preserve">we reshaped </w:t>
      </w:r>
      <w:r w:rsidR="00B15471" w:rsidRPr="00070225">
        <w:t>investments in the law and justice and governance sectors to have a strong focus on ending violence against women, building on Australia</w:t>
      </w:r>
      <w:r w:rsidR="00937F4E">
        <w:t>’s</w:t>
      </w:r>
      <w:r w:rsidR="00B15471" w:rsidRPr="00070225">
        <w:t xml:space="preserve"> commitment to </w:t>
      </w:r>
      <w:r w:rsidR="00937F4E">
        <w:t>promoting gender equality</w:t>
      </w:r>
      <w:r w:rsidR="00B15471" w:rsidRPr="00070225">
        <w:t xml:space="preserve"> announced in 2013</w:t>
      </w:r>
      <w:r w:rsidR="00B15471">
        <w:t xml:space="preserve">. </w:t>
      </w:r>
      <w:r w:rsidR="007F71F4">
        <w:t xml:space="preserve"> </w:t>
      </w:r>
      <w:r w:rsidR="00341E0C" w:rsidRPr="00070225">
        <w:t>This align</w:t>
      </w:r>
      <w:r w:rsidR="000E4DA1">
        <w:t>s</w:t>
      </w:r>
      <w:r w:rsidR="00341E0C" w:rsidRPr="00070225">
        <w:t xml:space="preserve"> </w:t>
      </w:r>
      <w:r w:rsidR="009C6AE7">
        <w:t xml:space="preserve">with </w:t>
      </w:r>
      <w:r w:rsidR="00341E0C" w:rsidRPr="00070225">
        <w:t xml:space="preserve">the </w:t>
      </w:r>
      <w:r w:rsidR="00FB687A">
        <w:t>recent</w:t>
      </w:r>
      <w:r w:rsidR="00341E0C">
        <w:t>ly released</w:t>
      </w:r>
      <w:r w:rsidR="00341E0C" w:rsidRPr="00070225">
        <w:t xml:space="preserve"> Cambodian National Action Plan </w:t>
      </w:r>
      <w:r w:rsidR="00B12E2D">
        <w:t>to</w:t>
      </w:r>
      <w:r w:rsidR="00341E0C" w:rsidRPr="00070225">
        <w:t xml:space="preserve"> Prevent Violence Against Women.</w:t>
      </w:r>
      <w:r w:rsidR="007F71F4">
        <w:t xml:space="preserve"> </w:t>
      </w:r>
      <w:r w:rsidR="00341E0C" w:rsidRPr="00070225">
        <w:t xml:space="preserve"> In Cambodia, 22 per cent of women ha</w:t>
      </w:r>
      <w:r w:rsidR="00341E0C">
        <w:t>ve</w:t>
      </w:r>
      <w:r w:rsidR="00341E0C" w:rsidRPr="00070225">
        <w:t xml:space="preserve"> experienced physical, sexual or emotional abuse from their spouse or intimate partner</w:t>
      </w:r>
      <w:r w:rsidR="00964D2F">
        <w:t xml:space="preserve"> (Cambodia Gender Assessment 2015)</w:t>
      </w:r>
      <w:r w:rsidR="00341E0C" w:rsidRPr="00070225">
        <w:t xml:space="preserve">. </w:t>
      </w:r>
      <w:r w:rsidR="007F71F4">
        <w:t xml:space="preserve"> </w:t>
      </w:r>
      <w:r w:rsidR="00341E0C" w:rsidRPr="00070225">
        <w:t xml:space="preserve">While laws and policies addressing violence against women have been </w:t>
      </w:r>
      <w:r w:rsidR="000E4DA1">
        <w:t>introduced</w:t>
      </w:r>
      <w:r w:rsidR="00341E0C" w:rsidRPr="00070225">
        <w:t xml:space="preserve">, implementation </w:t>
      </w:r>
      <w:r w:rsidR="000E4DA1">
        <w:t>remain</w:t>
      </w:r>
      <w:r w:rsidR="00341E0C" w:rsidRPr="00070225">
        <w:t xml:space="preserve">s a </w:t>
      </w:r>
      <w:r w:rsidR="000E4DA1">
        <w:t>significant</w:t>
      </w:r>
      <w:r w:rsidR="00341E0C" w:rsidRPr="00070225">
        <w:t xml:space="preserve"> challenge. </w:t>
      </w:r>
      <w:r w:rsidR="007F71F4">
        <w:t xml:space="preserve"> </w:t>
      </w:r>
    </w:p>
    <w:p w:rsidR="00983B9F" w:rsidRDefault="00341E0C" w:rsidP="00341E0C">
      <w:pPr>
        <w:pStyle w:val="BodyText"/>
      </w:pPr>
      <w:r w:rsidRPr="00070225">
        <w:t>I</w:t>
      </w:r>
      <w:r w:rsidR="00964D2F">
        <w:t>n</w:t>
      </w:r>
      <w:r w:rsidR="000E4DA1">
        <w:t xml:space="preserve"> 2014-15</w:t>
      </w:r>
      <w:r w:rsidR="00937F4E">
        <w:t>,</w:t>
      </w:r>
      <w:r w:rsidR="000E4DA1">
        <w:t xml:space="preserve"> all </w:t>
      </w:r>
      <w:r w:rsidR="00B163C0">
        <w:t xml:space="preserve">benchmarks </w:t>
      </w:r>
      <w:r w:rsidR="000E4DA1">
        <w:t>in</w:t>
      </w:r>
      <w:r w:rsidR="00964D2F">
        <w:t xml:space="preserve"> the EVAW program</w:t>
      </w:r>
      <w:r w:rsidRPr="00070225">
        <w:t xml:space="preserve"> were </w:t>
      </w:r>
      <w:r w:rsidR="000E4DA1">
        <w:t>achi</w:t>
      </w:r>
      <w:r w:rsidRPr="00070225">
        <w:t>e</w:t>
      </w:r>
      <w:r w:rsidR="000E4DA1">
        <w:t>ve</w:t>
      </w:r>
      <w:r w:rsidRPr="00070225">
        <w:t>d</w:t>
      </w:r>
      <w:r w:rsidR="00B163C0">
        <w:t xml:space="preserve"> (see Annex B)</w:t>
      </w:r>
      <w:r w:rsidR="000E4DA1">
        <w:t>, providing a solid</w:t>
      </w:r>
      <w:r w:rsidRPr="00070225">
        <w:t xml:space="preserve"> foundation for future investment. </w:t>
      </w:r>
      <w:r w:rsidR="007F71F4">
        <w:t xml:space="preserve"> </w:t>
      </w:r>
      <w:r>
        <w:t xml:space="preserve">One of these investments </w:t>
      </w:r>
      <w:r w:rsidR="009E1BAD">
        <w:t>involved</w:t>
      </w:r>
      <w:r>
        <w:t xml:space="preserve"> assisting with the development of the</w:t>
      </w:r>
      <w:r w:rsidRPr="00070225">
        <w:t xml:space="preserve"> </w:t>
      </w:r>
      <w:r w:rsidR="006E233B" w:rsidRPr="00070225">
        <w:t xml:space="preserve">Cambodian National Action Plan </w:t>
      </w:r>
      <w:r w:rsidR="006E233B">
        <w:t>to</w:t>
      </w:r>
      <w:r w:rsidR="006E233B" w:rsidRPr="00070225">
        <w:t xml:space="preserve"> Prevent Violence Against Women</w:t>
      </w:r>
      <w:r w:rsidR="00FB687A">
        <w:t>,</w:t>
      </w:r>
      <w:r w:rsidRPr="00070225">
        <w:t xml:space="preserve"> </w:t>
      </w:r>
      <w:r>
        <w:t>which was released in February 2015.</w:t>
      </w:r>
      <w:r w:rsidR="00591133">
        <w:t xml:space="preserve"> Australia made </w:t>
      </w:r>
      <w:r w:rsidR="007D6167">
        <w:t xml:space="preserve">a </w:t>
      </w:r>
      <w:r w:rsidR="00591133">
        <w:t>significant contribution to national data collection by supporting the Domestic Violence Chapter of the</w:t>
      </w:r>
      <w:r w:rsidR="00591133" w:rsidRPr="00070225">
        <w:t xml:space="preserve"> </w:t>
      </w:r>
      <w:r w:rsidRPr="00070225">
        <w:t>Cambodia Demographic Health Survey and the National Violence Against Women Prevalence Survey.</w:t>
      </w:r>
      <w:r w:rsidRPr="00A66F68">
        <w:t xml:space="preserve"> </w:t>
      </w:r>
      <w:r w:rsidR="00964D2F">
        <w:t xml:space="preserve"> </w:t>
      </w:r>
    </w:p>
    <w:p w:rsidR="00341E0C" w:rsidRDefault="00937F4E" w:rsidP="00341E0C">
      <w:pPr>
        <w:pStyle w:val="BodyText"/>
      </w:pPr>
      <w:r>
        <w:t xml:space="preserve">In 2014-15, </w:t>
      </w:r>
      <w:r w:rsidR="00341E0C">
        <w:t xml:space="preserve">Australia </w:t>
      </w:r>
      <w:r w:rsidR="006B0769">
        <w:t xml:space="preserve">also </w:t>
      </w:r>
      <w:r w:rsidR="00341E0C">
        <w:t xml:space="preserve">funded </w:t>
      </w:r>
      <w:r w:rsidR="00402AAE">
        <w:t>T</w:t>
      </w:r>
      <w:r w:rsidR="00341E0C">
        <w:t xml:space="preserve">he Asia Foundation to undertake research on </w:t>
      </w:r>
      <w:r w:rsidR="006B0769">
        <w:t>the contributing factors to</w:t>
      </w:r>
      <w:r w:rsidR="006B0769" w:rsidRPr="00A66F68">
        <w:t xml:space="preserve"> intimate par</w:t>
      </w:r>
      <w:r w:rsidR="006B0769">
        <w:t>tner violence</w:t>
      </w:r>
      <w:r w:rsidR="00425316">
        <w:t>,</w:t>
      </w:r>
      <w:r>
        <w:t xml:space="preserve"> </w:t>
      </w:r>
      <w:r w:rsidR="006B0769">
        <w:t xml:space="preserve">including </w:t>
      </w:r>
      <w:r w:rsidR="00AB4358">
        <w:t xml:space="preserve">alcohol, media, </w:t>
      </w:r>
      <w:r w:rsidR="00341E0C" w:rsidRPr="00A66F68">
        <w:t>childhood exposu</w:t>
      </w:r>
      <w:r w:rsidR="00341E0C">
        <w:t>re to violence, family size</w:t>
      </w:r>
      <w:r w:rsidR="002A7E9F">
        <w:t xml:space="preserve"> </w:t>
      </w:r>
      <w:r w:rsidR="00402AAE">
        <w:t xml:space="preserve">and </w:t>
      </w:r>
      <w:r w:rsidR="00341E0C">
        <w:t xml:space="preserve">reproductive health. </w:t>
      </w:r>
      <w:r w:rsidR="007F71F4">
        <w:t xml:space="preserve"> </w:t>
      </w:r>
      <w:r w:rsidR="00341E0C">
        <w:t>This research provided the evidence</w:t>
      </w:r>
      <w:r w:rsidR="00BF650F">
        <w:t xml:space="preserve"> </w:t>
      </w:r>
      <w:r w:rsidR="00341E0C">
        <w:t>base for the design of t</w:t>
      </w:r>
      <w:r w:rsidR="00341E0C" w:rsidRPr="00A66F68">
        <w:t>wo prevention programs</w:t>
      </w:r>
      <w:r w:rsidR="00BF650F">
        <w:t>,</w:t>
      </w:r>
      <w:r w:rsidR="00341E0C" w:rsidRPr="00A66F68">
        <w:t xml:space="preserve"> </w:t>
      </w:r>
      <w:r w:rsidR="00341E0C">
        <w:t>which will be implemented in 2015-16</w:t>
      </w:r>
      <w:r w:rsidR="00BF650F">
        <w:t>,</w:t>
      </w:r>
      <w:r w:rsidR="00C7796B">
        <w:t xml:space="preserve"> and </w:t>
      </w:r>
      <w:r w:rsidR="00BF650F">
        <w:t xml:space="preserve">which </w:t>
      </w:r>
      <w:r w:rsidR="00C7796B">
        <w:t>has been widely shared amongst partners in the sector</w:t>
      </w:r>
      <w:r w:rsidR="00341E0C">
        <w:t xml:space="preserve">. </w:t>
      </w:r>
      <w:r>
        <w:t xml:space="preserve"> </w:t>
      </w:r>
      <w:r w:rsidR="00341E0C" w:rsidRPr="00A66F68">
        <w:t xml:space="preserve">Australia </w:t>
      </w:r>
      <w:r w:rsidR="00341E0C">
        <w:t xml:space="preserve">also provided support to </w:t>
      </w:r>
      <w:r w:rsidR="001956DC">
        <w:t>victims</w:t>
      </w:r>
      <w:r w:rsidR="001956DC" w:rsidRPr="00A66F68">
        <w:t xml:space="preserve"> </w:t>
      </w:r>
      <w:r w:rsidR="001956DC">
        <w:t xml:space="preserve">of </w:t>
      </w:r>
      <w:r w:rsidR="00341E0C">
        <w:t xml:space="preserve">gender-based violence at </w:t>
      </w:r>
      <w:r w:rsidR="00341E0C" w:rsidRPr="00A66F68">
        <w:t xml:space="preserve">the </w:t>
      </w:r>
      <w:r w:rsidR="00341E0C">
        <w:t xml:space="preserve">sub-national and </w:t>
      </w:r>
      <w:r w:rsidR="00341E0C" w:rsidRPr="00A66F68">
        <w:t>community level</w:t>
      </w:r>
      <w:r w:rsidR="00341E0C">
        <w:t>s.</w:t>
      </w:r>
      <w:r w:rsidR="007F71F4">
        <w:t xml:space="preserve"> </w:t>
      </w:r>
      <w:r w:rsidR="00341E0C">
        <w:t xml:space="preserve"> </w:t>
      </w:r>
      <w:r w:rsidR="00FB7E68">
        <w:t>As a result of our support, i</w:t>
      </w:r>
      <w:r w:rsidR="001A5E52">
        <w:t xml:space="preserve">n 2014-15, </w:t>
      </w:r>
      <w:r w:rsidR="00FD3773">
        <w:t>m</w:t>
      </w:r>
      <w:r w:rsidR="00341E0C" w:rsidRPr="00A66F68">
        <w:t xml:space="preserve">ore than </w:t>
      </w:r>
      <w:r w:rsidR="00B70953">
        <w:br/>
      </w:r>
      <w:r w:rsidR="00341E0C" w:rsidRPr="00A66F68">
        <w:t>3,200 women and girls access</w:t>
      </w:r>
      <w:r w:rsidR="00341E0C">
        <w:t>ed</w:t>
      </w:r>
      <w:r w:rsidR="00341E0C" w:rsidRPr="00A66F68">
        <w:t xml:space="preserve"> counsellin</w:t>
      </w:r>
      <w:r w:rsidR="00341E0C">
        <w:t xml:space="preserve">g, legal, medical and </w:t>
      </w:r>
      <w:r w:rsidR="00341E0C" w:rsidRPr="00A66F68">
        <w:t>mental health</w:t>
      </w:r>
      <w:r w:rsidR="00341E0C">
        <w:t xml:space="preserve"> services</w:t>
      </w:r>
      <w:r w:rsidR="00315AB1">
        <w:t>,</w:t>
      </w:r>
      <w:r w:rsidR="00341E0C">
        <w:t xml:space="preserve"> </w:t>
      </w:r>
      <w:r w:rsidR="00341E0C" w:rsidRPr="00871D6A">
        <w:t xml:space="preserve">and </w:t>
      </w:r>
      <w:r w:rsidR="00B70953">
        <w:br/>
      </w:r>
      <w:r w:rsidR="00341E0C" w:rsidRPr="00871D6A">
        <w:t>213 victims of gender-based violence were re-integrated with family and communities.</w:t>
      </w:r>
      <w:r w:rsidR="00967197">
        <w:t xml:space="preserve">  Australian support to service delivery at this time is focussed on expanding access for victims of gender</w:t>
      </w:r>
      <w:r w:rsidR="001956DC">
        <w:t>-</w:t>
      </w:r>
      <w:r w:rsidR="00967197">
        <w:t>based violence</w:t>
      </w:r>
      <w:r w:rsidR="00315AB1">
        <w:t xml:space="preserve">. </w:t>
      </w:r>
      <w:r w:rsidR="00967197">
        <w:t xml:space="preserve"> </w:t>
      </w:r>
      <w:r w:rsidR="00315AB1">
        <w:t>O</w:t>
      </w:r>
      <w:r w:rsidR="00967197">
        <w:t>ver time</w:t>
      </w:r>
      <w:r w:rsidR="00315AB1">
        <w:t>,</w:t>
      </w:r>
      <w:r w:rsidR="00967197">
        <w:t xml:space="preserve"> this focus will need to shift increasingly toward</w:t>
      </w:r>
      <w:r w:rsidR="00315AB1">
        <w:t>s</w:t>
      </w:r>
      <w:r w:rsidR="00967197">
        <w:t xml:space="preserve"> ensuring </w:t>
      </w:r>
      <w:r w:rsidR="00315AB1">
        <w:t xml:space="preserve">that </w:t>
      </w:r>
      <w:r w:rsidR="00967197">
        <w:t>the quality of services is</w:t>
      </w:r>
      <w:r w:rsidR="00315AB1">
        <w:t xml:space="preserve"> monitored and</w:t>
      </w:r>
      <w:r w:rsidR="00967197">
        <w:t xml:space="preserve"> enhanced.</w:t>
      </w:r>
    </w:p>
    <w:p w:rsidR="00341E0C" w:rsidRDefault="001740F2" w:rsidP="00341E0C">
      <w:pPr>
        <w:pStyle w:val="BodyText"/>
      </w:pPr>
      <w:r>
        <w:lastRenderedPageBreak/>
        <w:t>Under CCJAP</w:t>
      </w:r>
      <w:r w:rsidR="001A5E52">
        <w:t>,</w:t>
      </w:r>
      <w:r>
        <w:t xml:space="preserve"> </w:t>
      </w:r>
      <w:r w:rsidR="003B53A4">
        <w:t xml:space="preserve">in 2014-15 </w:t>
      </w:r>
      <w:r>
        <w:t>m</w:t>
      </w:r>
      <w:r w:rsidR="00341E0C" w:rsidRPr="00C6767D">
        <w:t>ore than 74,000 people (50</w:t>
      </w:r>
      <w:r w:rsidR="00341E0C">
        <w:t xml:space="preserve"> per cent</w:t>
      </w:r>
      <w:r w:rsidR="00341E0C" w:rsidRPr="00C6767D">
        <w:t xml:space="preserve"> women) across nine target provinces were reached through over 1,000 awareness raising and education activities addressing crime and safety issues. </w:t>
      </w:r>
      <w:r w:rsidR="007F71F4">
        <w:t xml:space="preserve"> </w:t>
      </w:r>
      <w:r w:rsidR="00341E0C" w:rsidRPr="00C6767D">
        <w:t>A</w:t>
      </w:r>
      <w:r w:rsidR="00341E0C">
        <w:t>pproximately</w:t>
      </w:r>
      <w:r w:rsidR="00341E0C" w:rsidRPr="00C6767D">
        <w:t xml:space="preserve"> 35</w:t>
      </w:r>
      <w:r w:rsidR="00341E0C">
        <w:t xml:space="preserve"> per cent</w:t>
      </w:r>
      <w:r w:rsidR="00341E0C" w:rsidRPr="00C6767D">
        <w:t xml:space="preserve"> of those activities were related to gender-based violence. Police led more than 600 </w:t>
      </w:r>
      <w:r w:rsidR="00341E0C">
        <w:t>community forums</w:t>
      </w:r>
      <w:r w:rsidR="00341E0C" w:rsidRPr="00C6767D">
        <w:t xml:space="preserve"> reaching mo</w:t>
      </w:r>
      <w:r w:rsidR="00341E0C">
        <w:t>re than 44,000 people.</w:t>
      </w:r>
      <w:r w:rsidR="007F71F4">
        <w:t xml:space="preserve"> </w:t>
      </w:r>
      <w:r w:rsidR="00341E0C">
        <w:t xml:space="preserve"> Police</w:t>
      </w:r>
      <w:r w:rsidR="00341E0C" w:rsidRPr="00C6767D">
        <w:t xml:space="preserve"> </w:t>
      </w:r>
      <w:r w:rsidR="00341E0C">
        <w:t xml:space="preserve">also </w:t>
      </w:r>
      <w:r w:rsidR="00341E0C" w:rsidRPr="00C6767D">
        <w:t xml:space="preserve">conducted 23 </w:t>
      </w:r>
      <w:r w:rsidR="00341E0C">
        <w:t xml:space="preserve">training activities </w:t>
      </w:r>
      <w:r w:rsidR="00341E0C" w:rsidRPr="00C6767D">
        <w:t xml:space="preserve">focusing </w:t>
      </w:r>
      <w:r w:rsidR="00341E0C">
        <w:t xml:space="preserve">on </w:t>
      </w:r>
      <w:r w:rsidR="00341E0C" w:rsidRPr="00C6767D">
        <w:t xml:space="preserve">domestic violence and </w:t>
      </w:r>
      <w:r w:rsidR="00341E0C">
        <w:t xml:space="preserve">the trafficking of </w:t>
      </w:r>
      <w:r w:rsidR="00341E0C" w:rsidRPr="00C6767D">
        <w:t xml:space="preserve">women and children. </w:t>
      </w:r>
      <w:r w:rsidR="007F71F4">
        <w:t xml:space="preserve"> </w:t>
      </w:r>
      <w:r w:rsidR="00EF66FF">
        <w:t xml:space="preserve">According to an independent Crime Prevention and Community Safety Survey conducted in June 2015, 51 per cent of community respondents noted there had been a positive change in </w:t>
      </w:r>
      <w:r w:rsidR="002465DA">
        <w:t xml:space="preserve">the </w:t>
      </w:r>
      <w:r w:rsidR="00EF66FF">
        <w:t xml:space="preserve">attitude of police towards people in the community, with police engaging more regularly </w:t>
      </w:r>
      <w:r w:rsidR="007F71F4">
        <w:t xml:space="preserve">and in a more approachable manner </w:t>
      </w:r>
      <w:r w:rsidR="007953BD">
        <w:t xml:space="preserve">after </w:t>
      </w:r>
      <w:r w:rsidR="00EF66FF">
        <w:t xml:space="preserve">training. </w:t>
      </w:r>
    </w:p>
    <w:p w:rsidR="00937F4E" w:rsidRPr="00A66F68" w:rsidRDefault="00937F4E" w:rsidP="00937F4E">
      <w:pPr>
        <w:pStyle w:val="BodyText"/>
      </w:pPr>
      <w:r>
        <w:t xml:space="preserve">In 2014-15, we </w:t>
      </w:r>
      <w:r w:rsidR="007953BD">
        <w:t>reconfirmed the commitment of</w:t>
      </w:r>
      <w:r>
        <w:t xml:space="preserve"> the Cambodian Government to reshape the final phase of CCJAP to support only crime prevention and community safety activities, with greater emphasis on ending violence against women.  This reshaping was necessary due to insufficient progress in</w:t>
      </w:r>
      <w:r w:rsidR="00B8656F">
        <w:t xml:space="preserve"> broader legal and judicial reform efforts in Cambodia</w:t>
      </w:r>
      <w:r>
        <w:t xml:space="preserve">. </w:t>
      </w:r>
    </w:p>
    <w:p w:rsidR="00007B36" w:rsidRDefault="00341E0C" w:rsidP="00341E0C">
      <w:pPr>
        <w:pStyle w:val="BodyText"/>
      </w:pPr>
      <w:r>
        <w:t>Australia</w:t>
      </w:r>
      <w:r w:rsidR="00B46FF2">
        <w:t>’s continued</w:t>
      </w:r>
      <w:r>
        <w:t xml:space="preserve"> s</w:t>
      </w:r>
      <w:r w:rsidRPr="009E6232">
        <w:t>upport to the</w:t>
      </w:r>
      <w:r>
        <w:t xml:space="preserve"> ECCC</w:t>
      </w:r>
      <w:r w:rsidRPr="009E6232">
        <w:t xml:space="preserve"> </w:t>
      </w:r>
      <w:r>
        <w:t>has</w:t>
      </w:r>
      <w:r w:rsidR="00937F4E">
        <w:t xml:space="preserve"> </w:t>
      </w:r>
      <w:r w:rsidR="00B8656F">
        <w:t>helped</w:t>
      </w:r>
      <w:r w:rsidRPr="009E6232">
        <w:t xml:space="preserve"> </w:t>
      </w:r>
      <w:r w:rsidR="00487F2D">
        <w:t xml:space="preserve">to </w:t>
      </w:r>
      <w:r w:rsidRPr="009E6232">
        <w:t>strengthen</w:t>
      </w:r>
      <w:r>
        <w:t xml:space="preserve"> the Cambodian</w:t>
      </w:r>
      <w:r w:rsidRPr="009E6232">
        <w:t xml:space="preserve"> justice system. </w:t>
      </w:r>
      <w:r w:rsidR="007F71F4">
        <w:t xml:space="preserve"> </w:t>
      </w:r>
      <w:r w:rsidRPr="009E6232">
        <w:t xml:space="preserve">A workshop </w:t>
      </w:r>
      <w:r>
        <w:t xml:space="preserve">held in </w:t>
      </w:r>
      <w:r w:rsidRPr="009E6232">
        <w:t xml:space="preserve">October 2014 found that </w:t>
      </w:r>
      <w:r>
        <w:t xml:space="preserve">the </w:t>
      </w:r>
      <w:r w:rsidRPr="009E6232">
        <w:t>ECCC ha</w:t>
      </w:r>
      <w:r w:rsidR="007D6167">
        <w:t>d</w:t>
      </w:r>
      <w:r w:rsidRPr="009E6232">
        <w:t xml:space="preserve"> provided practical knowledge </w:t>
      </w:r>
      <w:r>
        <w:t xml:space="preserve">and best practice examples of </w:t>
      </w:r>
      <w:r w:rsidRPr="009E6232">
        <w:t xml:space="preserve">international </w:t>
      </w:r>
      <w:r>
        <w:t xml:space="preserve">legal systems </w:t>
      </w:r>
      <w:r w:rsidRPr="009E6232">
        <w:t>to Cambodian lawyers and judges.</w:t>
      </w:r>
      <w:r w:rsidR="00007B36">
        <w:t xml:space="preserve"> </w:t>
      </w:r>
    </w:p>
    <w:p w:rsidR="00341E0C" w:rsidRPr="009E6232" w:rsidRDefault="00341E0C" w:rsidP="00341E0C">
      <w:pPr>
        <w:pStyle w:val="BodyText"/>
      </w:pPr>
      <w:r w:rsidRPr="009E6232">
        <w:t>Australia contribut</w:t>
      </w:r>
      <w:r w:rsidR="001956DC">
        <w:t xml:space="preserve">ed </w:t>
      </w:r>
      <w:r w:rsidRPr="009E6232">
        <w:t xml:space="preserve">to </w:t>
      </w:r>
      <w:r>
        <w:t xml:space="preserve">the </w:t>
      </w:r>
      <w:r w:rsidRPr="009E6232">
        <w:t>fight against corruption</w:t>
      </w:r>
      <w:r w:rsidR="00487F2D">
        <w:t xml:space="preserve"> in Cambodia </w:t>
      </w:r>
      <w:r w:rsidRPr="009E6232">
        <w:t xml:space="preserve">through </w:t>
      </w:r>
      <w:r>
        <w:t xml:space="preserve">core support to </w:t>
      </w:r>
      <w:r w:rsidRPr="009E6232">
        <w:t>Transparency International Cambodia</w:t>
      </w:r>
      <w:r>
        <w:t xml:space="preserve"> to produce and disseminate corruption perception assessments for </w:t>
      </w:r>
      <w:r w:rsidRPr="009E6232">
        <w:t>2014</w:t>
      </w:r>
      <w:r w:rsidR="00AD590C">
        <w:t xml:space="preserve"> </w:t>
      </w:r>
      <w:r w:rsidR="00487F2D">
        <w:t>(</w:t>
      </w:r>
      <w:r>
        <w:t xml:space="preserve">including </w:t>
      </w:r>
      <w:r w:rsidR="00AD590C">
        <w:t xml:space="preserve">the </w:t>
      </w:r>
      <w:r w:rsidRPr="009E6232">
        <w:t>National Integrity System Assessment, Youth Integrity Survey, and Business Integrity Perception Survey</w:t>
      </w:r>
      <w:r w:rsidR="00487F2D">
        <w:t>)</w:t>
      </w:r>
      <w:r>
        <w:t xml:space="preserve">. </w:t>
      </w:r>
      <w:r w:rsidR="007F71F4">
        <w:t xml:space="preserve"> </w:t>
      </w:r>
      <w:r>
        <w:t xml:space="preserve">The </w:t>
      </w:r>
      <w:r w:rsidR="00AD590C">
        <w:t xml:space="preserve">results of these </w:t>
      </w:r>
      <w:r>
        <w:t xml:space="preserve">assessments </w:t>
      </w:r>
      <w:r w:rsidR="00AD590C">
        <w:t>highlight key flaws in</w:t>
      </w:r>
      <w:r>
        <w:t xml:space="preserve"> Cambodia</w:t>
      </w:r>
      <w:r w:rsidR="00AD590C">
        <w:t>’s</w:t>
      </w:r>
      <w:r>
        <w:t xml:space="preserve"> weak integrity system</w:t>
      </w:r>
      <w:r w:rsidR="00B8656F">
        <w:t xml:space="preserve">, particularly </w:t>
      </w:r>
      <w:r w:rsidR="00487F2D">
        <w:t xml:space="preserve">in relation to </w:t>
      </w:r>
      <w:r w:rsidR="00B8656F">
        <w:t>the j</w:t>
      </w:r>
      <w:r>
        <w:t xml:space="preserve">udiciary and law enforcement </w:t>
      </w:r>
      <w:r w:rsidR="00B8656F">
        <w:t>agencies.</w:t>
      </w:r>
      <w:r w:rsidR="009E715A">
        <w:t xml:space="preserve"> </w:t>
      </w:r>
      <w:r w:rsidR="00FC42AC" w:rsidRPr="000D5DC5">
        <w:t xml:space="preserve">Australia recognises these weaknesses and has a robust fraud and corruption risk management </w:t>
      </w:r>
      <w:r w:rsidR="00A874A9" w:rsidRPr="000D5DC5">
        <w:t>framework for all our aid investments</w:t>
      </w:r>
      <w:r w:rsidR="00FC42AC" w:rsidRPr="000D5DC5">
        <w:t>.</w:t>
      </w:r>
      <w:r w:rsidR="00FC42AC">
        <w:t xml:space="preserve"> </w:t>
      </w:r>
    </w:p>
    <w:p w:rsidR="00A93C1F" w:rsidRPr="00247AAC" w:rsidRDefault="00A93C1F" w:rsidP="00247AAC">
      <w:pPr>
        <w:pStyle w:val="Heading2"/>
        <w:rPr>
          <w:sz w:val="28"/>
        </w:rPr>
      </w:pPr>
      <w:r w:rsidRPr="00247AAC">
        <w:rPr>
          <w:sz w:val="28"/>
        </w:rPr>
        <w:t>Cross-cutting</w:t>
      </w:r>
      <w:r w:rsidR="002833C9">
        <w:rPr>
          <w:sz w:val="28"/>
        </w:rPr>
        <w:t xml:space="preserve"> program</w:t>
      </w:r>
      <w:r w:rsidRPr="00247AAC">
        <w:rPr>
          <w:sz w:val="28"/>
        </w:rPr>
        <w:t>s</w:t>
      </w:r>
      <w:r w:rsidR="00A507E3">
        <w:rPr>
          <w:sz w:val="28"/>
        </w:rPr>
        <w:t xml:space="preserve"> </w:t>
      </w:r>
    </w:p>
    <w:p w:rsidR="00A93C1F" w:rsidRPr="00247AAC" w:rsidRDefault="00A507E3" w:rsidP="00247AAC">
      <w:pPr>
        <w:pStyle w:val="BodyText"/>
        <w:rPr>
          <w:lang w:eastAsia="zh-CN"/>
        </w:rPr>
      </w:pPr>
      <w:r>
        <w:rPr>
          <w:lang w:eastAsia="zh-CN"/>
        </w:rPr>
        <w:t>T</w:t>
      </w:r>
      <w:r w:rsidR="00487F2D">
        <w:rPr>
          <w:lang w:eastAsia="zh-CN"/>
        </w:rPr>
        <w:t>o</w:t>
      </w:r>
      <w:r>
        <w:rPr>
          <w:lang w:eastAsia="zh-CN"/>
        </w:rPr>
        <w:t xml:space="preserve"> support Australia’s </w:t>
      </w:r>
      <w:r w:rsidR="00A93C1F" w:rsidRPr="00247AAC">
        <w:rPr>
          <w:lang w:eastAsia="zh-CN"/>
        </w:rPr>
        <w:t xml:space="preserve">investments in </w:t>
      </w:r>
      <w:r>
        <w:rPr>
          <w:lang w:eastAsia="zh-CN"/>
        </w:rPr>
        <w:t xml:space="preserve">the </w:t>
      </w:r>
      <w:r w:rsidR="00A93C1F" w:rsidRPr="00247AAC">
        <w:rPr>
          <w:lang w:eastAsia="zh-CN"/>
        </w:rPr>
        <w:t xml:space="preserve">four key strategic objectives, </w:t>
      </w:r>
      <w:r>
        <w:rPr>
          <w:lang w:eastAsia="zh-CN"/>
        </w:rPr>
        <w:t xml:space="preserve">we </w:t>
      </w:r>
      <w:r w:rsidR="00A93C1F" w:rsidRPr="00247AAC">
        <w:rPr>
          <w:lang w:eastAsia="zh-CN"/>
        </w:rPr>
        <w:t xml:space="preserve">have invested in </w:t>
      </w:r>
      <w:r>
        <w:rPr>
          <w:lang w:eastAsia="zh-CN"/>
        </w:rPr>
        <w:t>cross-cutting</w:t>
      </w:r>
      <w:r w:rsidR="00F64C6B" w:rsidRPr="00247AAC">
        <w:rPr>
          <w:lang w:eastAsia="zh-CN"/>
        </w:rPr>
        <w:t xml:space="preserve"> </w:t>
      </w:r>
      <w:r>
        <w:rPr>
          <w:lang w:eastAsia="zh-CN"/>
        </w:rPr>
        <w:t>activities</w:t>
      </w:r>
      <w:r w:rsidR="00487F2D">
        <w:rPr>
          <w:lang w:eastAsia="zh-CN"/>
        </w:rPr>
        <w:t>,</w:t>
      </w:r>
      <w:r w:rsidR="00A93C1F" w:rsidRPr="00247AAC">
        <w:rPr>
          <w:lang w:eastAsia="zh-CN"/>
        </w:rPr>
        <w:t xml:space="preserve"> including </w:t>
      </w:r>
      <w:r w:rsidR="00487F2D">
        <w:rPr>
          <w:lang w:eastAsia="zh-CN"/>
        </w:rPr>
        <w:t xml:space="preserve">the </w:t>
      </w:r>
      <w:r w:rsidR="00A93C1F" w:rsidRPr="00247AAC">
        <w:rPr>
          <w:lang w:eastAsia="zh-CN"/>
        </w:rPr>
        <w:t xml:space="preserve">Australia </w:t>
      </w:r>
      <w:r w:rsidR="00487F2D">
        <w:rPr>
          <w:lang w:eastAsia="zh-CN"/>
        </w:rPr>
        <w:t>A</w:t>
      </w:r>
      <w:r w:rsidR="00A93C1F" w:rsidRPr="00247AAC">
        <w:rPr>
          <w:lang w:eastAsia="zh-CN"/>
        </w:rPr>
        <w:t>wards scholarship</w:t>
      </w:r>
      <w:r>
        <w:rPr>
          <w:lang w:eastAsia="zh-CN"/>
        </w:rPr>
        <w:t>s</w:t>
      </w:r>
      <w:r w:rsidR="00487F2D">
        <w:rPr>
          <w:lang w:eastAsia="zh-CN"/>
        </w:rPr>
        <w:t xml:space="preserve"> program</w:t>
      </w:r>
      <w:r w:rsidR="00A93C1F" w:rsidRPr="00247AAC">
        <w:rPr>
          <w:lang w:eastAsia="zh-CN"/>
        </w:rPr>
        <w:t>, disabilit</w:t>
      </w:r>
      <w:r>
        <w:rPr>
          <w:lang w:eastAsia="zh-CN"/>
        </w:rPr>
        <w:t>y</w:t>
      </w:r>
      <w:r w:rsidR="002C3395">
        <w:rPr>
          <w:lang w:eastAsia="zh-CN"/>
        </w:rPr>
        <w:t>-</w:t>
      </w:r>
      <w:r>
        <w:rPr>
          <w:lang w:eastAsia="zh-CN"/>
        </w:rPr>
        <w:t>inclusive development</w:t>
      </w:r>
      <w:r w:rsidR="005D42B4" w:rsidRPr="00247AAC">
        <w:rPr>
          <w:lang w:eastAsia="zh-CN"/>
        </w:rPr>
        <w:t>, and</w:t>
      </w:r>
      <w:r w:rsidR="00487F2D">
        <w:rPr>
          <w:lang w:eastAsia="zh-CN"/>
        </w:rPr>
        <w:t xml:space="preserve"> Australian Volunteers for</w:t>
      </w:r>
      <w:r w:rsidR="005D42B4" w:rsidRPr="00247AAC">
        <w:rPr>
          <w:lang w:eastAsia="zh-CN"/>
        </w:rPr>
        <w:t xml:space="preserve"> </w:t>
      </w:r>
      <w:r w:rsidR="00487F2D" w:rsidRPr="006E2B9F">
        <w:t>International Development</w:t>
      </w:r>
      <w:r w:rsidR="005D42B4" w:rsidRPr="00F368CA">
        <w:rPr>
          <w:lang w:eastAsia="zh-CN"/>
        </w:rPr>
        <w:t>.</w:t>
      </w:r>
    </w:p>
    <w:p w:rsidR="00BE2513" w:rsidRPr="00745FE3" w:rsidRDefault="00BE2513" w:rsidP="009C6AE7">
      <w:pPr>
        <w:pStyle w:val="Heading3"/>
      </w:pPr>
      <w:r w:rsidRPr="00745FE3">
        <w:t>Australia Awards</w:t>
      </w:r>
    </w:p>
    <w:p w:rsidR="00E1026D" w:rsidRPr="00FB1699" w:rsidRDefault="00FC4A27" w:rsidP="00E1026D">
      <w:pPr>
        <w:pStyle w:val="BodyText"/>
      </w:pPr>
      <w:r>
        <w:t xml:space="preserve">In 2014-15, </w:t>
      </w:r>
      <w:r w:rsidR="00E1026D" w:rsidRPr="00FB1699">
        <w:t>Australia continue</w:t>
      </w:r>
      <w:r>
        <w:t>d</w:t>
      </w:r>
      <w:r w:rsidR="00E1026D" w:rsidRPr="00FB1699">
        <w:t xml:space="preserve"> to </w:t>
      </w:r>
      <w:r w:rsidR="00281664">
        <w:t xml:space="preserve">offer Cambodian people access to international standard higher education qualifications </w:t>
      </w:r>
      <w:r w:rsidR="00E1026D" w:rsidRPr="00FB1699">
        <w:t xml:space="preserve">through </w:t>
      </w:r>
      <w:r w:rsidR="002C3395">
        <w:t>the</w:t>
      </w:r>
      <w:r w:rsidR="00E1026D" w:rsidRPr="00FB1699">
        <w:t xml:space="preserve"> Australia Awards Scholarships</w:t>
      </w:r>
      <w:r w:rsidR="00487F2D">
        <w:t xml:space="preserve"> (AAS)</w:t>
      </w:r>
      <w:r w:rsidR="00E1026D" w:rsidRPr="00FB1699">
        <w:t xml:space="preserve"> program.</w:t>
      </w:r>
      <w:r w:rsidR="007F71F4">
        <w:t xml:space="preserve"> </w:t>
      </w:r>
      <w:r w:rsidR="00E1026D" w:rsidRPr="00FB1699">
        <w:t xml:space="preserve"> </w:t>
      </w:r>
    </w:p>
    <w:p w:rsidR="00E1026D" w:rsidRPr="00FB1699" w:rsidRDefault="00E1026D" w:rsidP="00E1026D">
      <w:pPr>
        <w:pStyle w:val="BodyText"/>
      </w:pPr>
      <w:r>
        <w:t>In 201</w:t>
      </w:r>
      <w:r w:rsidRPr="00FB1699">
        <w:t>4</w:t>
      </w:r>
      <w:r>
        <w:t>-1</w:t>
      </w:r>
      <w:r w:rsidRPr="00FB1699">
        <w:t>5</w:t>
      </w:r>
      <w:r>
        <w:t>, 55 scholarships were awarded for the 2014 intake (</w:t>
      </w:r>
      <w:r w:rsidRPr="00FB1699">
        <w:t>24</w:t>
      </w:r>
      <w:r>
        <w:t xml:space="preserve"> females)</w:t>
      </w:r>
      <w:r w:rsidR="008C3AF0">
        <w:t xml:space="preserve"> -</w:t>
      </w:r>
      <w:r>
        <w:t xml:space="preserve"> 20 for the public sector and 3</w:t>
      </w:r>
      <w:r w:rsidRPr="00FB1699">
        <w:t>5</w:t>
      </w:r>
      <w:r>
        <w:t xml:space="preserve"> for the open category. </w:t>
      </w:r>
      <w:r w:rsidR="007F71F4">
        <w:t xml:space="preserve"> </w:t>
      </w:r>
      <w:r w:rsidRPr="00FB1699">
        <w:t>Australia is continuing to work towards a 50 per</w:t>
      </w:r>
      <w:r w:rsidR="00502DB8">
        <w:t xml:space="preserve"> </w:t>
      </w:r>
      <w:r w:rsidRPr="00FB1699">
        <w:t>cent target for female awardees in Cambodia</w:t>
      </w:r>
      <w:r w:rsidR="005E26AF">
        <w:t>,</w:t>
      </w:r>
      <w:r w:rsidRPr="00FB1699">
        <w:t xml:space="preserve"> and in 2014-15 </w:t>
      </w:r>
      <w:r w:rsidR="008C3AF0">
        <w:t xml:space="preserve">we </w:t>
      </w:r>
      <w:r w:rsidR="00FC42AC" w:rsidRPr="00FB1699">
        <w:t>improved results</w:t>
      </w:r>
      <w:r w:rsidR="00FC42AC" w:rsidRPr="00FB1699" w:rsidDel="005E26AF">
        <w:t xml:space="preserve"> </w:t>
      </w:r>
      <w:r w:rsidR="005E26AF">
        <w:t>t</w:t>
      </w:r>
      <w:r w:rsidRPr="00FB1699">
        <w:t xml:space="preserve">hrough a range of strategies  including targeted English-language training and priority during shortlisting. </w:t>
      </w:r>
      <w:r w:rsidR="007F71F4">
        <w:t xml:space="preserve"> </w:t>
      </w:r>
      <w:r w:rsidRPr="00FB1699">
        <w:t>In the 2014 intake, 44</w:t>
      </w:r>
      <w:r w:rsidR="0033559D">
        <w:t> </w:t>
      </w:r>
      <w:r w:rsidRPr="00FB1699">
        <w:t>per</w:t>
      </w:r>
      <w:r w:rsidR="00502DB8">
        <w:t xml:space="preserve"> </w:t>
      </w:r>
      <w:r w:rsidRPr="00FB1699">
        <w:t>cent of awardees were women, up from only 26 per</w:t>
      </w:r>
      <w:r w:rsidR="00502DB8">
        <w:t xml:space="preserve"> </w:t>
      </w:r>
      <w:r w:rsidRPr="00FB1699">
        <w:t xml:space="preserve">cent in 2012. </w:t>
      </w:r>
      <w:r>
        <w:t xml:space="preserve"> </w:t>
      </w:r>
    </w:p>
    <w:p w:rsidR="00726DAA" w:rsidRDefault="007469C2" w:rsidP="00E1026D">
      <w:pPr>
        <w:pStyle w:val="BodyText"/>
      </w:pPr>
      <w:r>
        <w:t xml:space="preserve">Four </w:t>
      </w:r>
      <w:r w:rsidR="00E1026D">
        <w:t xml:space="preserve">of the priority sectors for </w:t>
      </w:r>
      <w:r w:rsidR="00487F2D">
        <w:t>AAS</w:t>
      </w:r>
      <w:r w:rsidR="00E1026D">
        <w:t xml:space="preserve"> (agriculture, </w:t>
      </w:r>
      <w:r w:rsidR="005E26AF">
        <w:t xml:space="preserve">health, </w:t>
      </w:r>
      <w:r w:rsidR="00E1026D">
        <w:t xml:space="preserve">infrastructure </w:t>
      </w:r>
      <w:r w:rsidR="00281664">
        <w:t>and trade</w:t>
      </w:r>
      <w:r w:rsidR="00E1026D">
        <w:t xml:space="preserve">) are intended </w:t>
      </w:r>
      <w:r w:rsidR="00E1026D" w:rsidRPr="00FB1699">
        <w:t xml:space="preserve">to fill a development gap by targeting disciplines that are vital for development, but are less likely to be studied by privately-funded students. </w:t>
      </w:r>
      <w:r w:rsidR="007F71F4">
        <w:t xml:space="preserve"> </w:t>
      </w:r>
      <w:r w:rsidR="00E1026D" w:rsidRPr="00FB1699">
        <w:t xml:space="preserve">Scholarships provide training for a generation of future leaders and, alongside the New Colombo Plan, </w:t>
      </w:r>
      <w:r>
        <w:t>are</w:t>
      </w:r>
      <w:r w:rsidRPr="00FB1699">
        <w:t xml:space="preserve"> </w:t>
      </w:r>
      <w:r w:rsidR="00E1026D" w:rsidRPr="00FB1699">
        <w:t>build</w:t>
      </w:r>
      <w:r>
        <w:t>ing</w:t>
      </w:r>
      <w:r w:rsidR="00E1026D" w:rsidRPr="00FB1699">
        <w:t xml:space="preserve"> stronger </w:t>
      </w:r>
      <w:r w:rsidR="008202E6">
        <w:t>people-to-people</w:t>
      </w:r>
      <w:r w:rsidR="00E1026D" w:rsidRPr="00FB1699">
        <w:t xml:space="preserve"> links between Australia and Cambodia.  </w:t>
      </w:r>
    </w:p>
    <w:p w:rsidR="00726DAA" w:rsidRDefault="00726DAA" w:rsidP="00726DAA">
      <w:pPr>
        <w:pStyle w:val="BodyText"/>
      </w:pPr>
      <w:r w:rsidRPr="00F64C6B">
        <w:t xml:space="preserve">In December 2014, a tracer study of the AAS program found that </w:t>
      </w:r>
      <w:r w:rsidR="00414F3B">
        <w:t xml:space="preserve">compared to before their award </w:t>
      </w:r>
      <w:r>
        <w:t>of the 220 respondents</w:t>
      </w:r>
      <w:r w:rsidR="00414F3B">
        <w:t xml:space="preserve">: </w:t>
      </w:r>
      <w:r>
        <w:t>91 per cent reported having greater technical</w:t>
      </w:r>
      <w:r w:rsidR="00414F3B">
        <w:t xml:space="preserve"> and </w:t>
      </w:r>
      <w:r>
        <w:t xml:space="preserve">operational responsibilities in their workplace; 80 per cent have a greater role in policy development; and 72 per cent are in a higher ranked position. For example, one female alumni working at a senior level in an influential </w:t>
      </w:r>
      <w:r>
        <w:lastRenderedPageBreak/>
        <w:t xml:space="preserve">Cambodian Government agency reported being able to utilise her skills to influence the direction of national and sectoral policies and plans.  </w:t>
      </w:r>
    </w:p>
    <w:p w:rsidR="00726DAA" w:rsidRDefault="00726DAA" w:rsidP="00726DAA">
      <w:pPr>
        <w:pStyle w:val="BodyText"/>
      </w:pPr>
      <w:r>
        <w:t>Despite these overall positive outcomes, 86 per cent of respondents have also reported difficulties in using their skills and knowledge in their workplace: 61 per cent reported that this was due to a lack of opportunity to further develop skills</w:t>
      </w:r>
      <w:r w:rsidR="00414F3B">
        <w:t xml:space="preserve"> and </w:t>
      </w:r>
      <w:r>
        <w:t xml:space="preserve">knowledge; and 45 per cent reported that this was due to a resistance to new ways of working and thinking. DFAT is considering options to enhance the AAS’ reintegration strategy to address these issues.   </w:t>
      </w:r>
    </w:p>
    <w:p w:rsidR="00BE2513" w:rsidRPr="008509B8" w:rsidRDefault="00BE2513" w:rsidP="009C6AE7">
      <w:pPr>
        <w:pStyle w:val="Heading3"/>
      </w:pPr>
      <w:r w:rsidRPr="00745FE3">
        <w:t>Disability</w:t>
      </w:r>
      <w:r>
        <w:t>-</w:t>
      </w:r>
      <w:r w:rsidRPr="00745FE3">
        <w:t>inclusive development</w:t>
      </w:r>
    </w:p>
    <w:p w:rsidR="00BE2513" w:rsidRPr="006E2B9F" w:rsidRDefault="00D441B1" w:rsidP="00BE2513">
      <w:pPr>
        <w:pStyle w:val="BodyText"/>
      </w:pPr>
      <w:r w:rsidRPr="006E2B9F">
        <w:t>In 2014, we commenced a</w:t>
      </w:r>
      <w:r w:rsidR="00BE2513" w:rsidRPr="006E2B9F">
        <w:t xml:space="preserve"> new five-year disability program, the Disability Rights Initiative Cambodia (DRIC)</w:t>
      </w:r>
      <w:r w:rsidRPr="006E2B9F">
        <w:t xml:space="preserve">. </w:t>
      </w:r>
      <w:r w:rsidR="008C3AF0">
        <w:t xml:space="preserve"> </w:t>
      </w:r>
      <w:r w:rsidRPr="006E2B9F">
        <w:t xml:space="preserve">DRIC is </w:t>
      </w:r>
      <w:r w:rsidR="00BE2513" w:rsidRPr="006E2B9F">
        <w:t>deliver</w:t>
      </w:r>
      <w:r w:rsidRPr="006E2B9F">
        <w:t>ed</w:t>
      </w:r>
      <w:r w:rsidR="00BE2513" w:rsidRPr="006E2B9F">
        <w:t xml:space="preserve"> </w:t>
      </w:r>
      <w:r w:rsidRPr="006E2B9F">
        <w:t>through</w:t>
      </w:r>
      <w:r w:rsidR="00BE2513" w:rsidRPr="006E2B9F">
        <w:t xml:space="preserve"> three UN agencies</w:t>
      </w:r>
      <w:r w:rsidR="008C3AF0">
        <w:t xml:space="preserve"> -</w:t>
      </w:r>
      <w:r w:rsidR="00AA3D41">
        <w:t xml:space="preserve"> </w:t>
      </w:r>
      <w:r w:rsidR="005B4E9F">
        <w:t>UNDP</w:t>
      </w:r>
      <w:r w:rsidR="00BE2513" w:rsidRPr="006E2B9F">
        <w:t>,</w:t>
      </w:r>
      <w:r w:rsidR="00FC42AC">
        <w:t xml:space="preserve"> the</w:t>
      </w:r>
      <w:r w:rsidR="00BE2513" w:rsidRPr="006E2B9F">
        <w:t xml:space="preserve"> W</w:t>
      </w:r>
      <w:r w:rsidR="00FC42AC">
        <w:t xml:space="preserve">orld </w:t>
      </w:r>
      <w:r w:rsidR="00BE2513" w:rsidRPr="006E2B9F">
        <w:t>H</w:t>
      </w:r>
      <w:r w:rsidR="00FC42AC">
        <w:t xml:space="preserve">ealth </w:t>
      </w:r>
      <w:r w:rsidR="00BE2513" w:rsidRPr="006E2B9F">
        <w:t>O</w:t>
      </w:r>
      <w:r w:rsidR="00FC42AC">
        <w:t>rgani</w:t>
      </w:r>
      <w:r w:rsidR="00AA3D41">
        <w:t>z</w:t>
      </w:r>
      <w:r w:rsidR="00FC42AC">
        <w:t>ation</w:t>
      </w:r>
      <w:r w:rsidR="00BE2513" w:rsidRPr="006E2B9F">
        <w:t xml:space="preserve"> </w:t>
      </w:r>
      <w:r w:rsidR="00FC42AC">
        <w:t xml:space="preserve">(WHO) </w:t>
      </w:r>
      <w:r w:rsidR="00BE2513" w:rsidRPr="006E2B9F">
        <w:t xml:space="preserve">and </w:t>
      </w:r>
      <w:r w:rsidR="00FC42AC">
        <w:t>the United Nations Children’s Fund (</w:t>
      </w:r>
      <w:r w:rsidR="00BE2513" w:rsidRPr="006E2B9F">
        <w:t xml:space="preserve">UNICEF). </w:t>
      </w:r>
      <w:r w:rsidR="007F71F4">
        <w:t xml:space="preserve"> </w:t>
      </w:r>
      <w:r w:rsidRPr="006E2B9F">
        <w:t>Key achievements d</w:t>
      </w:r>
      <w:r w:rsidR="00BE2513" w:rsidRPr="006E2B9F">
        <w:t xml:space="preserve">uring </w:t>
      </w:r>
      <w:r w:rsidRPr="006E2B9F">
        <w:t>its</w:t>
      </w:r>
      <w:r w:rsidR="00BE2513" w:rsidRPr="006E2B9F">
        <w:t xml:space="preserve"> first year of implementation</w:t>
      </w:r>
      <w:r w:rsidRPr="006E2B9F">
        <w:t xml:space="preserve"> include</w:t>
      </w:r>
      <w:r w:rsidR="00733FC7">
        <w:t>d</w:t>
      </w:r>
      <w:r w:rsidR="00BE2513" w:rsidRPr="006E2B9F">
        <w:t xml:space="preserve">: </w:t>
      </w:r>
    </w:p>
    <w:p w:rsidR="00BE2513" w:rsidRPr="00584007" w:rsidRDefault="008C3AF0" w:rsidP="004836F0">
      <w:pPr>
        <w:pStyle w:val="ListBullet"/>
        <w:tabs>
          <w:tab w:val="clear" w:pos="284"/>
        </w:tabs>
      </w:pPr>
      <w:r>
        <w:t xml:space="preserve">undertaking </w:t>
      </w:r>
      <w:r w:rsidR="00584007" w:rsidRPr="00584007">
        <w:t xml:space="preserve">four </w:t>
      </w:r>
      <w:r w:rsidR="00BE2513" w:rsidRPr="00584007">
        <w:t xml:space="preserve">analytical </w:t>
      </w:r>
      <w:r w:rsidR="00D441B1" w:rsidRPr="00584007">
        <w:t>studies</w:t>
      </w:r>
      <w:r w:rsidR="00BE2513" w:rsidRPr="00584007">
        <w:t xml:space="preserve"> </w:t>
      </w:r>
      <w:r>
        <w:t>on</w:t>
      </w:r>
      <w:r w:rsidR="00BE2513" w:rsidRPr="00584007">
        <w:t xml:space="preserve"> </w:t>
      </w:r>
      <w:r>
        <w:t>G</w:t>
      </w:r>
      <w:r w:rsidR="00BE2513" w:rsidRPr="00584007">
        <w:t>overnment roles and policie</w:t>
      </w:r>
      <w:r w:rsidR="00FC42AC">
        <w:t>s,</w:t>
      </w:r>
      <w:r w:rsidR="00BE2513" w:rsidRPr="00584007">
        <w:t xml:space="preserve"> disability situational analysis</w:t>
      </w:r>
      <w:r w:rsidR="00FC42AC">
        <w:t>,</w:t>
      </w:r>
      <w:r w:rsidR="00BE2513" w:rsidRPr="00584007">
        <w:t xml:space="preserve"> disability data stocktake and rehabilitation capacity analysis. </w:t>
      </w:r>
      <w:r w:rsidR="007F71F4">
        <w:t xml:space="preserve"> </w:t>
      </w:r>
      <w:r w:rsidR="00BE2513" w:rsidRPr="00584007">
        <w:t xml:space="preserve">The findings from the studies </w:t>
      </w:r>
      <w:r w:rsidR="00584007" w:rsidRPr="00584007">
        <w:t xml:space="preserve">will </w:t>
      </w:r>
      <w:r w:rsidR="00BE2513" w:rsidRPr="00584007">
        <w:t xml:space="preserve">inform future activities of the DRIC </w:t>
      </w:r>
      <w:r>
        <w:t>and programs of</w:t>
      </w:r>
      <w:r w:rsidR="00BE2513" w:rsidRPr="00584007">
        <w:t xml:space="preserve"> stakeholders</w:t>
      </w:r>
      <w:r w:rsidR="00584007" w:rsidRPr="00584007">
        <w:t>; and</w:t>
      </w:r>
    </w:p>
    <w:p w:rsidR="00BE2513" w:rsidRPr="00584007" w:rsidRDefault="00FC42AC" w:rsidP="004836F0">
      <w:pPr>
        <w:pStyle w:val="ListBullet"/>
        <w:tabs>
          <w:tab w:val="clear" w:pos="284"/>
        </w:tabs>
      </w:pPr>
      <w:r>
        <w:t xml:space="preserve">the </w:t>
      </w:r>
      <w:r w:rsidR="008C3AF0">
        <w:t xml:space="preserve">development of the </w:t>
      </w:r>
      <w:r w:rsidR="00BE2513" w:rsidRPr="00584007">
        <w:t>National Disability Strategic Plan 2014-2018</w:t>
      </w:r>
      <w:r>
        <w:t xml:space="preserve"> </w:t>
      </w:r>
      <w:r w:rsidRPr="00584007">
        <w:t>with the Disability Action Council (DAC)</w:t>
      </w:r>
      <w:r w:rsidR="00BE2513" w:rsidRPr="00584007">
        <w:t xml:space="preserve">. DAC also established disability working groups in six line-ministries and commenced the formation of disability action councils in each province. </w:t>
      </w:r>
    </w:p>
    <w:p w:rsidR="00BE2513" w:rsidRPr="00366A9B" w:rsidRDefault="00DA461D" w:rsidP="00BE2513">
      <w:pPr>
        <w:pStyle w:val="BodyText"/>
      </w:pPr>
      <w:r w:rsidRPr="006E2B9F">
        <w:t>Under DRIC</w:t>
      </w:r>
      <w:r w:rsidR="00584007" w:rsidRPr="006E2B9F">
        <w:t>,</w:t>
      </w:r>
      <w:r w:rsidRPr="006E2B9F">
        <w:t xml:space="preserve"> </w:t>
      </w:r>
      <w:r w:rsidR="00BE2513" w:rsidRPr="006E2B9F">
        <w:t xml:space="preserve">UNICEF </w:t>
      </w:r>
      <w:r w:rsidR="00487F2D">
        <w:t>implemented</w:t>
      </w:r>
      <w:r w:rsidR="00BE2513" w:rsidRPr="006E2B9F">
        <w:t xml:space="preserve"> a small grants scheme</w:t>
      </w:r>
      <w:r w:rsidR="00487F2D">
        <w:t>,</w:t>
      </w:r>
      <w:r w:rsidR="00BE2513" w:rsidRPr="006E2B9F">
        <w:t xml:space="preserve"> the Cambodia Disability Inclusive Development Fund.</w:t>
      </w:r>
      <w:r w:rsidR="007F71F4">
        <w:t xml:space="preserve"> </w:t>
      </w:r>
      <w:r w:rsidR="00BE2513" w:rsidRPr="006E2B9F">
        <w:t xml:space="preserve"> In 2014, UNICEF provided sub-grants to nine </w:t>
      </w:r>
      <w:r w:rsidR="00502DB8" w:rsidRPr="006E2B9F">
        <w:t>organisations</w:t>
      </w:r>
      <w:r w:rsidR="00BE2513" w:rsidRPr="006E2B9F">
        <w:t xml:space="preserve"> to provide community based rehabilitation services for people with disability in various identified gap areas. </w:t>
      </w:r>
      <w:r w:rsidR="00FB7E68">
        <w:t xml:space="preserve"> UNICEF estimated that 3</w:t>
      </w:r>
      <w:r w:rsidR="0033559D">
        <w:t>,</w:t>
      </w:r>
      <w:r w:rsidR="00FB7E68">
        <w:t xml:space="preserve">800 people with disability were assisted by the scheme in 2014.  </w:t>
      </w:r>
      <w:r w:rsidR="00BE2513" w:rsidRPr="006E2B9F">
        <w:t xml:space="preserve">WHO provided </w:t>
      </w:r>
      <w:r w:rsidR="008C3AF0">
        <w:t xml:space="preserve">a </w:t>
      </w:r>
      <w:r w:rsidR="00BE2513" w:rsidRPr="006E2B9F">
        <w:t xml:space="preserve">grants scheme </w:t>
      </w:r>
      <w:r w:rsidR="008C3AF0">
        <w:t>(</w:t>
      </w:r>
      <w:r w:rsidR="00BE2513" w:rsidRPr="006E2B9F">
        <w:t>the Priority Rehabilitation Services Scheme</w:t>
      </w:r>
      <w:r w:rsidR="008C3AF0">
        <w:t xml:space="preserve">) </w:t>
      </w:r>
      <w:r w:rsidR="00BE2513" w:rsidRPr="006E2B9F">
        <w:t xml:space="preserve">to three </w:t>
      </w:r>
      <w:r w:rsidR="008C3AF0">
        <w:t>i</w:t>
      </w:r>
      <w:r w:rsidR="00BE2513" w:rsidRPr="006E2B9F">
        <w:t>nternational NGOs and the Cambodian Government’s Persons with Disabilities Foundation to provide physical rehabilitation services for people with disability.</w:t>
      </w:r>
    </w:p>
    <w:p w:rsidR="00341E0C" w:rsidRPr="00FB1699" w:rsidRDefault="00341E0C" w:rsidP="009C6AE7">
      <w:pPr>
        <w:pStyle w:val="Heading3"/>
      </w:pPr>
      <w:r w:rsidRPr="00FB1699">
        <w:t>Volunteers’ support to development priorities</w:t>
      </w:r>
    </w:p>
    <w:p w:rsidR="00341E0C" w:rsidRDefault="00341E0C" w:rsidP="006E2B9F">
      <w:pPr>
        <w:pStyle w:val="ListBullet"/>
        <w:numPr>
          <w:ilvl w:val="0"/>
          <w:numId w:val="0"/>
        </w:numPr>
        <w:tabs>
          <w:tab w:val="clear" w:pos="284"/>
        </w:tabs>
      </w:pPr>
      <w:r w:rsidRPr="006E2B9F">
        <w:t>In 2014-15</w:t>
      </w:r>
      <w:r w:rsidR="00584007">
        <w:t>,</w:t>
      </w:r>
      <w:r w:rsidRPr="006E2B9F">
        <w:t xml:space="preserve"> Australia supported 152 Australian Volunteers for International Development to work with more than 95 institutions in Cambodia (</w:t>
      </w:r>
      <w:r w:rsidR="008C3AF0">
        <w:t>this included</w:t>
      </w:r>
      <w:r w:rsidRPr="006E2B9F">
        <w:t xml:space="preserve"> 72 new placements).</w:t>
      </w:r>
      <w:r w:rsidR="007F71F4">
        <w:t xml:space="preserve"> </w:t>
      </w:r>
      <w:r w:rsidRPr="006E2B9F">
        <w:t xml:space="preserve"> Their assignments helped address the four main objectives of the Australian aid program in Cambodia</w:t>
      </w:r>
      <w:r w:rsidR="008C3AF0">
        <w:t xml:space="preserve"> -</w:t>
      </w:r>
      <w:r w:rsidRPr="006E2B9F">
        <w:t xml:space="preserve"> law and justice/governance (32 per cent); infrastructure (25 per cent); health (20 per cent); </w:t>
      </w:r>
      <w:r w:rsidR="0033559D">
        <w:t xml:space="preserve">and </w:t>
      </w:r>
      <w:r w:rsidR="00221F5F">
        <w:t>a</w:t>
      </w:r>
      <w:r w:rsidRPr="006E2B9F">
        <w:t>griculture, food and livelihood security (13 per cent</w:t>
      </w:r>
      <w:r w:rsidR="00221F5F">
        <w:t xml:space="preserve">); </w:t>
      </w:r>
      <w:r w:rsidRPr="006E2B9F">
        <w:t>other sectors constitute</w:t>
      </w:r>
      <w:r w:rsidR="0033559D">
        <w:t>d</w:t>
      </w:r>
      <w:r w:rsidRPr="006E2B9F">
        <w:t xml:space="preserve"> 10 per cent</w:t>
      </w:r>
      <w:r w:rsidRPr="00FB1699">
        <w:rPr>
          <w:rFonts w:ascii="Arial" w:hAnsi="Arial" w:cs="Arial"/>
          <w:sz w:val="20"/>
          <w:szCs w:val="20"/>
          <w:lang w:val="en"/>
        </w:rPr>
        <w:t>.</w:t>
      </w:r>
      <w:r w:rsidR="007F71F4">
        <w:rPr>
          <w:rFonts w:ascii="Arial" w:hAnsi="Arial" w:cs="Arial"/>
          <w:sz w:val="20"/>
          <w:szCs w:val="20"/>
          <w:lang w:val="en"/>
        </w:rPr>
        <w:t xml:space="preserve"> </w:t>
      </w:r>
      <w:r w:rsidRPr="00FB1699">
        <w:rPr>
          <w:rFonts w:ascii="Arial" w:hAnsi="Arial" w:cs="Arial"/>
          <w:sz w:val="20"/>
          <w:szCs w:val="20"/>
          <w:lang w:val="en"/>
        </w:rPr>
        <w:t xml:space="preserve"> </w:t>
      </w:r>
      <w:r w:rsidR="00B40CF9" w:rsidRPr="006E2B9F">
        <w:t>A</w:t>
      </w:r>
      <w:r w:rsidR="00B40CF9">
        <w:t>pproximately</w:t>
      </w:r>
      <w:r w:rsidR="00B40CF9" w:rsidRPr="00FB1699">
        <w:rPr>
          <w:rFonts w:ascii="Arial" w:hAnsi="Arial" w:cs="Arial"/>
          <w:sz w:val="20"/>
          <w:szCs w:val="20"/>
          <w:lang w:val="en"/>
        </w:rPr>
        <w:t xml:space="preserve"> </w:t>
      </w:r>
      <w:r w:rsidR="001956DC">
        <w:rPr>
          <w:rFonts w:ascii="Arial" w:hAnsi="Arial" w:cs="Arial"/>
          <w:sz w:val="20"/>
          <w:szCs w:val="20"/>
          <w:lang w:val="en"/>
        </w:rPr>
        <w:br/>
      </w:r>
      <w:r w:rsidRPr="006E2B9F">
        <w:t>70 per cent of host organisations were Cambodian national NGOs</w:t>
      </w:r>
      <w:r w:rsidR="00BF650F">
        <w:t>;</w:t>
      </w:r>
      <w:r w:rsidR="00B40CF9">
        <w:t xml:space="preserve"> and</w:t>
      </w:r>
      <w:r w:rsidR="00B40CF9" w:rsidRPr="006E2B9F">
        <w:t xml:space="preserve"> </w:t>
      </w:r>
      <w:r w:rsidRPr="006E2B9F">
        <w:t xml:space="preserve">22 per cent were </w:t>
      </w:r>
      <w:r w:rsidR="008C3AF0">
        <w:t>G</w:t>
      </w:r>
      <w:r w:rsidRPr="006E2B9F">
        <w:t>overnment bodies</w:t>
      </w:r>
      <w:r w:rsidR="008C3AF0">
        <w:t>,</w:t>
      </w:r>
      <w:r w:rsidRPr="006E2B9F">
        <w:t xml:space="preserve"> including education</w:t>
      </w:r>
      <w:r w:rsidR="002C3395">
        <w:t>al</w:t>
      </w:r>
      <w:r w:rsidRPr="006E2B9F">
        <w:t xml:space="preserve"> institutions</w:t>
      </w:r>
      <w:r w:rsidR="00B40CF9">
        <w:t xml:space="preserve">. </w:t>
      </w:r>
      <w:r w:rsidR="007F71F4">
        <w:t xml:space="preserve"> </w:t>
      </w:r>
      <w:r w:rsidR="00B40CF9">
        <w:t>The</w:t>
      </w:r>
      <w:r w:rsidRPr="006E2B9F">
        <w:t xml:space="preserve"> remain</w:t>
      </w:r>
      <w:r w:rsidR="00B40CF9">
        <w:t xml:space="preserve">der were </w:t>
      </w:r>
      <w:r w:rsidRPr="006E2B9F">
        <w:t>International NGOs and small business enterprises.</w:t>
      </w:r>
    </w:p>
    <w:p w:rsidR="002C42AC" w:rsidRDefault="002C42AC" w:rsidP="002C42AC">
      <w:pPr>
        <w:pStyle w:val="BodyText"/>
      </w:pPr>
      <w:r>
        <w:t xml:space="preserve">The assignments of volunteers contributed directly to the development of priority sectors through technical contributions and, more importantly, through the reinforcement of organisational systems and mechanisms to deliver effective results. For example, the management system of the National Blood Transfusion Centre was improved by the contribution of a volunteer. Another volunteer worked in the Extraordinary Chambers in the Courts of Cambodia, </w:t>
      </w:r>
      <w:r w:rsidR="00BF650F">
        <w:t xml:space="preserve">working to </w:t>
      </w:r>
      <w:r>
        <w:t xml:space="preserve">transform some of her clients from victims of violence of the Khmer Rouge Regime to be advocates for human rights. </w:t>
      </w:r>
      <w:r w:rsidR="00794777">
        <w:t xml:space="preserve"> </w:t>
      </w:r>
    </w:p>
    <w:p w:rsidR="00823FCA" w:rsidRDefault="00823FCA" w:rsidP="009C6AE7">
      <w:pPr>
        <w:pStyle w:val="Heading3"/>
        <w:rPr>
          <w:sz w:val="32"/>
          <w:szCs w:val="32"/>
        </w:rPr>
      </w:pPr>
      <w:r w:rsidRPr="004D740B">
        <w:t>Perf</w:t>
      </w:r>
      <w:r>
        <w:t>o</w:t>
      </w:r>
      <w:r w:rsidRPr="004D740B">
        <w:t>rmance Benchmarks</w:t>
      </w:r>
      <w:r w:rsidRPr="009E38C1">
        <w:rPr>
          <w:sz w:val="32"/>
          <w:szCs w:val="32"/>
        </w:rPr>
        <w:tab/>
      </w:r>
    </w:p>
    <w:p w:rsidR="004538C3" w:rsidRDefault="00711138" w:rsidP="004538C3">
      <w:pPr>
        <w:pStyle w:val="ListBullet"/>
        <w:numPr>
          <w:ilvl w:val="0"/>
          <w:numId w:val="0"/>
        </w:numPr>
        <w:tabs>
          <w:tab w:val="clear" w:pos="284"/>
        </w:tabs>
      </w:pPr>
      <w:r>
        <w:t>All p</w:t>
      </w:r>
      <w:r w:rsidR="008C3AF0">
        <w:t>erformance benchmarks for</w:t>
      </w:r>
      <w:r>
        <w:t xml:space="preserve"> 2014-15 were successfully achieved</w:t>
      </w:r>
      <w:r w:rsidR="007F57ED">
        <w:t xml:space="preserve"> (see </w:t>
      </w:r>
      <w:r w:rsidR="00393A79">
        <w:t xml:space="preserve">Progress Towards Objectives </w:t>
      </w:r>
      <w:r w:rsidR="007F57ED">
        <w:t xml:space="preserve">section above and Annex </w:t>
      </w:r>
      <w:r w:rsidR="00873B58">
        <w:t>B</w:t>
      </w:r>
      <w:r w:rsidR="007F57ED">
        <w:t xml:space="preserve"> for details)</w:t>
      </w:r>
      <w:r>
        <w:t xml:space="preserve">. </w:t>
      </w:r>
      <w:r w:rsidR="007F71F4">
        <w:t xml:space="preserve"> </w:t>
      </w:r>
      <w:r w:rsidR="008A3298">
        <w:t xml:space="preserve">Details of additional milestones </w:t>
      </w:r>
      <w:r w:rsidR="0029656E">
        <w:t xml:space="preserve">under each objective </w:t>
      </w:r>
      <w:r w:rsidR="008A3298">
        <w:t xml:space="preserve">are set out in Annex E (Performance Assessment Framework).  </w:t>
      </w:r>
      <w:r w:rsidR="00DB0A11">
        <w:t>T</w:t>
      </w:r>
      <w:r w:rsidR="004538C3">
        <w:t xml:space="preserve">he performance </w:t>
      </w:r>
      <w:r w:rsidR="00393A79">
        <w:t>of the aid program in</w:t>
      </w:r>
      <w:r w:rsidR="004538C3">
        <w:t xml:space="preserve"> </w:t>
      </w:r>
      <w:r w:rsidR="00393A79">
        <w:t xml:space="preserve">2015-16 </w:t>
      </w:r>
      <w:r w:rsidR="00DB0A11">
        <w:t xml:space="preserve">will be assessed </w:t>
      </w:r>
      <w:r w:rsidR="00393A79">
        <w:t>against</w:t>
      </w:r>
      <w:r w:rsidR="004538C3">
        <w:t xml:space="preserve"> </w:t>
      </w:r>
      <w:r w:rsidR="00393A79">
        <w:t xml:space="preserve">the </w:t>
      </w:r>
      <w:r w:rsidR="004538C3">
        <w:t xml:space="preserve">performance benchmarks identified in the </w:t>
      </w:r>
      <w:r w:rsidR="00393A79" w:rsidRPr="00B434BF">
        <w:rPr>
          <w:rStyle w:val="Hyperlink"/>
          <w:sz w:val="21"/>
          <w:szCs w:val="24"/>
        </w:rPr>
        <w:t xml:space="preserve">Cambodia </w:t>
      </w:r>
      <w:hyperlink r:id="rId20" w:history="1">
        <w:r w:rsidR="00444A9D" w:rsidRPr="00B94A86">
          <w:rPr>
            <w:rStyle w:val="Hyperlink"/>
            <w:sz w:val="21"/>
            <w:szCs w:val="24"/>
          </w:rPr>
          <w:t>Aid Investment Plan 2015-18</w:t>
        </w:r>
      </w:hyperlink>
      <w:r w:rsidR="004538C3">
        <w:t>.</w:t>
      </w:r>
    </w:p>
    <w:p w:rsidR="000D733F" w:rsidRPr="001375E3" w:rsidRDefault="000D733F" w:rsidP="009C6AE7">
      <w:pPr>
        <w:pStyle w:val="Heading3"/>
        <w:rPr>
          <w:rStyle w:val="BodyTextChar"/>
          <w:b w:val="0"/>
        </w:rPr>
      </w:pPr>
      <w:r w:rsidRPr="009E38C1">
        <w:lastRenderedPageBreak/>
        <w:t>Mutual Obligations</w:t>
      </w:r>
      <w:r w:rsidRPr="009E38C1">
        <w:rPr>
          <w:sz w:val="32"/>
          <w:szCs w:val="32"/>
        </w:rPr>
        <w:tab/>
      </w:r>
      <w:r>
        <w:tab/>
      </w:r>
      <w:r>
        <w:tab/>
      </w:r>
      <w:r>
        <w:tab/>
      </w:r>
    </w:p>
    <w:p w:rsidR="00766364" w:rsidRDefault="00C07685" w:rsidP="0059732F">
      <w:pPr>
        <w:pStyle w:val="BodyText"/>
      </w:pPr>
      <w:r>
        <w:t>The Cambodian Government’s strategic priorities are set out in the National Strategic Development Plan 2014-18</w:t>
      </w:r>
      <w:r w:rsidR="00766364">
        <w:t xml:space="preserve"> (NSDP)</w:t>
      </w:r>
      <w:r>
        <w:t>.</w:t>
      </w:r>
      <w:r w:rsidR="0061382E">
        <w:t xml:space="preserve"> </w:t>
      </w:r>
      <w:r>
        <w:t xml:space="preserve"> </w:t>
      </w:r>
      <w:r w:rsidR="00766364">
        <w:t>Australia</w:t>
      </w:r>
      <w:r w:rsidR="00441F3A">
        <w:t xml:space="preserve">’s aid program </w:t>
      </w:r>
      <w:r w:rsidR="00766364">
        <w:t xml:space="preserve">is aligned with the NSDP. </w:t>
      </w:r>
      <w:r w:rsidR="007F71F4">
        <w:t xml:space="preserve"> </w:t>
      </w:r>
      <w:r w:rsidR="00766364">
        <w:t xml:space="preserve">At High Level Consultations in September 2014, Australia and Cambodia agreed to use relevant objectives of the NSDP as </w:t>
      </w:r>
      <w:r w:rsidR="00244F43">
        <w:t>mutual</w:t>
      </w:r>
      <w:r w:rsidR="00766364">
        <w:t xml:space="preserve"> obligations.</w:t>
      </w:r>
      <w:r w:rsidR="007F71F4">
        <w:t xml:space="preserve"> </w:t>
      </w:r>
      <w:r w:rsidR="00766364">
        <w:t xml:space="preserve"> These objectives </w:t>
      </w:r>
      <w:r w:rsidR="00F337F0">
        <w:t>and analysis of progress</w:t>
      </w:r>
      <w:r w:rsidR="0061382E">
        <w:t xml:space="preserve"> against them</w:t>
      </w:r>
      <w:r w:rsidR="00F337F0">
        <w:t xml:space="preserve"> are set out below</w:t>
      </w:r>
      <w:r w:rsidR="00B12E2D">
        <w:t>.</w:t>
      </w:r>
    </w:p>
    <w:p w:rsidR="00A71F1A" w:rsidRDefault="00766364" w:rsidP="00A71F1A">
      <w:pPr>
        <w:pStyle w:val="ListBullet"/>
        <w:tabs>
          <w:tab w:val="clear" w:pos="284"/>
        </w:tabs>
      </w:pPr>
      <w:r w:rsidRPr="00834376">
        <w:t>Public Financial Management Reform Program</w:t>
      </w:r>
      <w:r w:rsidR="00102598">
        <w:t xml:space="preserve"> </w:t>
      </w:r>
      <w:r w:rsidR="00102598" w:rsidRPr="00A71F1A">
        <w:t>(PFMRP)</w:t>
      </w:r>
      <w:r w:rsidRPr="00834376">
        <w:t xml:space="preserve">, including </w:t>
      </w:r>
      <w:r>
        <w:t>strengthened</w:t>
      </w:r>
      <w:r w:rsidRPr="00834376">
        <w:t xml:space="preserve"> revenue collection and management</w:t>
      </w:r>
      <w:r>
        <w:t xml:space="preserve"> (see section 4.36 of the NSDP)</w:t>
      </w:r>
    </w:p>
    <w:p w:rsidR="00A71F1A" w:rsidRPr="000D5DC5" w:rsidRDefault="00A71F1A" w:rsidP="00B12E2D">
      <w:pPr>
        <w:pStyle w:val="ListBullet"/>
        <w:numPr>
          <w:ilvl w:val="0"/>
          <w:numId w:val="0"/>
        </w:numPr>
        <w:tabs>
          <w:tab w:val="clear" w:pos="284"/>
        </w:tabs>
        <w:ind w:left="360"/>
      </w:pPr>
      <w:r w:rsidRPr="00A71F1A">
        <w:t>The Cambodian Government has achieved a number of financial administrative reforms under the PFMRP, including finalis</w:t>
      </w:r>
      <w:r w:rsidR="0061382E">
        <w:t>i</w:t>
      </w:r>
      <w:r w:rsidRPr="00A71F1A">
        <w:t>n</w:t>
      </w:r>
      <w:r w:rsidR="0061382E">
        <w:t>g</w:t>
      </w:r>
      <w:r w:rsidRPr="00A71F1A">
        <w:t xml:space="preserve"> a new chart of accounts, budget classification and code structure and install</w:t>
      </w:r>
      <w:r w:rsidR="0061382E">
        <w:t>ing</w:t>
      </w:r>
      <w:r w:rsidRPr="00A71F1A">
        <w:t xml:space="preserve"> a </w:t>
      </w:r>
      <w:r w:rsidR="00102598">
        <w:t>f</w:t>
      </w:r>
      <w:r w:rsidRPr="00A71F1A">
        <w:t xml:space="preserve">inancial </w:t>
      </w:r>
      <w:r w:rsidR="00102598">
        <w:t>m</w:t>
      </w:r>
      <w:r w:rsidRPr="00A71F1A">
        <w:t xml:space="preserve">anagement </w:t>
      </w:r>
      <w:r w:rsidR="00102598">
        <w:t>i</w:t>
      </w:r>
      <w:r w:rsidRPr="00A71F1A">
        <w:t xml:space="preserve">nformation </w:t>
      </w:r>
      <w:r w:rsidR="00102598">
        <w:t>s</w:t>
      </w:r>
      <w:r w:rsidRPr="00A71F1A">
        <w:t>ystem.</w:t>
      </w:r>
      <w:r w:rsidR="007F71F4">
        <w:t xml:space="preserve"> </w:t>
      </w:r>
      <w:r w:rsidRPr="00A71F1A">
        <w:t xml:space="preserve"> </w:t>
      </w:r>
      <w:r w:rsidR="0061382E">
        <w:t>I</w:t>
      </w:r>
      <w:r w:rsidRPr="00A71F1A">
        <w:t>n 2014</w:t>
      </w:r>
      <w:r w:rsidR="00102598">
        <w:t>,</w:t>
      </w:r>
      <w:r w:rsidRPr="00A71F1A">
        <w:t xml:space="preserve"> </w:t>
      </w:r>
      <w:r w:rsidR="0061382E">
        <w:t>i</w:t>
      </w:r>
      <w:r w:rsidR="0061382E" w:rsidRPr="00A71F1A">
        <w:t xml:space="preserve">t is estimated that </w:t>
      </w:r>
      <w:r w:rsidRPr="00A71F1A">
        <w:t>total budget revenues were 15.8</w:t>
      </w:r>
      <w:r w:rsidR="0033559D">
        <w:t xml:space="preserve"> per cent</w:t>
      </w:r>
      <w:r w:rsidR="0033559D" w:rsidRPr="00A71F1A">
        <w:t xml:space="preserve"> </w:t>
      </w:r>
      <w:r w:rsidRPr="00A71F1A">
        <w:t>of GDP, exceeding the NSDP target of 15.1</w:t>
      </w:r>
      <w:r w:rsidR="0033559D" w:rsidRPr="0033559D">
        <w:t xml:space="preserve"> </w:t>
      </w:r>
      <w:r w:rsidR="0033559D">
        <w:t>per cent</w:t>
      </w:r>
      <w:r w:rsidRPr="00A71F1A">
        <w:t xml:space="preserve">. </w:t>
      </w:r>
      <w:r w:rsidR="007F71F4">
        <w:t xml:space="preserve"> </w:t>
      </w:r>
      <w:r w:rsidRPr="00A71F1A">
        <w:t>However challenges remain</w:t>
      </w:r>
      <w:r w:rsidR="00102598">
        <w:t>.</w:t>
      </w:r>
      <w:r w:rsidR="007F71F4">
        <w:t xml:space="preserve"> </w:t>
      </w:r>
      <w:r w:rsidR="00102598">
        <w:t xml:space="preserve"> F</w:t>
      </w:r>
      <w:r w:rsidRPr="00A71F1A">
        <w:t>or example</w:t>
      </w:r>
      <w:r w:rsidR="00102598">
        <w:t>,</w:t>
      </w:r>
      <w:r w:rsidRPr="00A71F1A">
        <w:t xml:space="preserve"> the PFMRP reported that annual implementation of the revenue-expenditure plan was not accurate and demonstrated limited forecast</w:t>
      </w:r>
      <w:r w:rsidR="006E233B">
        <w:t>ing</w:t>
      </w:r>
      <w:r w:rsidRPr="00A71F1A">
        <w:t xml:space="preserve"> capacity.</w:t>
      </w:r>
      <w:r w:rsidR="00B73F0C">
        <w:t xml:space="preserve"> </w:t>
      </w:r>
      <w:r w:rsidR="007F71F4">
        <w:t xml:space="preserve"> </w:t>
      </w:r>
      <w:r w:rsidR="00B73F0C">
        <w:t xml:space="preserve">There is still ongoing concern around the level of corruption in the expenditure of </w:t>
      </w:r>
      <w:r w:rsidR="0061382E">
        <w:t>G</w:t>
      </w:r>
      <w:r w:rsidR="00B73F0C">
        <w:t xml:space="preserve">overnment funds. </w:t>
      </w:r>
      <w:r w:rsidR="0061382E">
        <w:t xml:space="preserve"> </w:t>
      </w:r>
      <w:r w:rsidR="00B73F0C">
        <w:t xml:space="preserve">While good progress </w:t>
      </w:r>
      <w:r w:rsidR="0061382E">
        <w:t xml:space="preserve">was </w:t>
      </w:r>
      <w:r w:rsidR="00B73F0C">
        <w:t xml:space="preserve">made </w:t>
      </w:r>
      <w:r w:rsidR="0061382E">
        <w:t>in 2014-15</w:t>
      </w:r>
      <w:r w:rsidR="00B73F0C">
        <w:t>, future improvements will be challenging.</w:t>
      </w:r>
    </w:p>
    <w:p w:rsidR="00A71F1A" w:rsidRDefault="00B12E2D" w:rsidP="00A71F1A">
      <w:pPr>
        <w:pStyle w:val="ListBullet"/>
        <w:tabs>
          <w:tab w:val="clear" w:pos="284"/>
        </w:tabs>
      </w:pPr>
      <w:r>
        <w:t>I</w:t>
      </w:r>
      <w:r w:rsidRPr="000D5DC5">
        <w:t>nfrastructure</w:t>
      </w:r>
      <w:r w:rsidR="00766364" w:rsidRPr="000D5DC5">
        <w:t>:</w:t>
      </w:r>
      <w:r w:rsidR="00766364">
        <w:t xml:space="preserve"> the development of physical infrastructure, including electrical power development (</w:t>
      </w:r>
      <w:r w:rsidR="0033559D">
        <w:t xml:space="preserve">Section </w:t>
      </w:r>
      <w:r w:rsidR="00766364">
        <w:t>4.122</w:t>
      </w:r>
      <w:r w:rsidR="0033559D">
        <w:t xml:space="preserve"> of the NSDP</w:t>
      </w:r>
      <w:r w:rsidR="00766364">
        <w:t>) and improving water supply (</w:t>
      </w:r>
      <w:r w:rsidR="0033559D">
        <w:t xml:space="preserve">Section </w:t>
      </w:r>
      <w:r w:rsidR="00766364">
        <w:t>4.108</w:t>
      </w:r>
      <w:r w:rsidR="0033559D">
        <w:t xml:space="preserve"> of the NSDP</w:t>
      </w:r>
      <w:r w:rsidR="00766364">
        <w:t>)</w:t>
      </w:r>
    </w:p>
    <w:p w:rsidR="00F337F0" w:rsidRDefault="00A71F1A" w:rsidP="00B12E2D">
      <w:pPr>
        <w:pStyle w:val="BodyText"/>
        <w:ind w:left="360"/>
      </w:pPr>
      <w:r>
        <w:t>In 2014</w:t>
      </w:r>
      <w:r w:rsidR="00102598">
        <w:t>,</w:t>
      </w:r>
      <w:r>
        <w:t xml:space="preserve"> </w:t>
      </w:r>
      <w:r w:rsidR="00F337F0">
        <w:t xml:space="preserve">the </w:t>
      </w:r>
      <w:r>
        <w:t xml:space="preserve">Electricity Authority of Cambodia reported that the number of electricity consumers in Cambodia increased to </w:t>
      </w:r>
      <w:r w:rsidRPr="008D74FA">
        <w:t>1,424,735</w:t>
      </w:r>
      <w:r w:rsidR="0061382E">
        <w:t xml:space="preserve">, </w:t>
      </w:r>
      <w:r>
        <w:t xml:space="preserve">which was above the NSDP target of </w:t>
      </w:r>
      <w:r w:rsidRPr="008D74FA">
        <w:t>1,328,301</w:t>
      </w:r>
      <w:r>
        <w:t>.</w:t>
      </w:r>
      <w:r w:rsidR="007F71F4">
        <w:t xml:space="preserve"> </w:t>
      </w:r>
      <w:r>
        <w:t xml:space="preserve"> Electricity generation in 2014 was </w:t>
      </w:r>
      <w:r w:rsidRPr="00A777BA">
        <w:t>3,058</w:t>
      </w:r>
      <w:r>
        <w:t xml:space="preserve"> million kWh, which was an increase of </w:t>
      </w:r>
      <w:r w:rsidRPr="00A777BA">
        <w:t>72</w:t>
      </w:r>
      <w:r w:rsidR="0033559D">
        <w:t xml:space="preserve"> per cent</w:t>
      </w:r>
      <w:r>
        <w:t xml:space="preserve"> over 2013, but below the NSDP 2014 target of </w:t>
      </w:r>
      <w:r w:rsidRPr="00A777BA">
        <w:t>5,219</w:t>
      </w:r>
      <w:r>
        <w:t xml:space="preserve"> </w:t>
      </w:r>
      <w:r w:rsidR="00C97A4E">
        <w:t xml:space="preserve">million </w:t>
      </w:r>
      <w:r>
        <w:t>kWh</w:t>
      </w:r>
      <w:r w:rsidR="00441F3A">
        <w:t>.</w:t>
      </w:r>
      <w:r>
        <w:t xml:space="preserve"> </w:t>
      </w:r>
      <w:r w:rsidR="007F71F4">
        <w:t xml:space="preserve"> </w:t>
      </w:r>
      <w:r w:rsidR="00441F3A">
        <w:t>This</w:t>
      </w:r>
      <w:r w:rsidR="0061382E">
        <w:t xml:space="preserve"> shortfall</w:t>
      </w:r>
      <w:r>
        <w:t xml:space="preserve"> meant that Cambodia was required to import </w:t>
      </w:r>
      <w:r w:rsidRPr="00AC5A49">
        <w:t>1,803</w:t>
      </w:r>
      <w:r>
        <w:t xml:space="preserve"> </w:t>
      </w:r>
      <w:r w:rsidR="00C97A4E">
        <w:t xml:space="preserve">million </w:t>
      </w:r>
      <w:r>
        <w:t>kWh from Vietnam, Thailand and Laos.</w:t>
      </w:r>
    </w:p>
    <w:p w:rsidR="00F337F0" w:rsidRPr="00834376" w:rsidRDefault="00F337F0" w:rsidP="00B12E2D">
      <w:pPr>
        <w:pStyle w:val="BodyText"/>
        <w:ind w:left="360"/>
      </w:pPr>
      <w:r>
        <w:t>WHO and UNICEF have estimated that 69 per cent of the rural population of Cambodia have access to improved drinking water in 2015</w:t>
      </w:r>
      <w:r w:rsidR="0061382E">
        <w:t xml:space="preserve"> - </w:t>
      </w:r>
      <w:r>
        <w:t>this is significantly above the NDSP 2015 target of 50 per cent.</w:t>
      </w:r>
    </w:p>
    <w:p w:rsidR="00766364" w:rsidRDefault="00B12E2D" w:rsidP="00766364">
      <w:pPr>
        <w:pStyle w:val="ListBullet"/>
        <w:tabs>
          <w:tab w:val="clear" w:pos="284"/>
        </w:tabs>
      </w:pPr>
      <w:r>
        <w:t>A</w:t>
      </w:r>
      <w:r w:rsidRPr="00A42C74">
        <w:t>griculture</w:t>
      </w:r>
      <w:r w:rsidR="00766364" w:rsidRPr="00A42C74">
        <w:t>:</w:t>
      </w:r>
      <w:r w:rsidR="00766364">
        <w:t xml:space="preserve"> improved productivity, diversification and commercialisation of the agriculture sector (</w:t>
      </w:r>
      <w:r w:rsidR="0033559D">
        <w:t xml:space="preserve">Section </w:t>
      </w:r>
      <w:r w:rsidR="00766364">
        <w:t>4.53</w:t>
      </w:r>
      <w:r w:rsidR="0033559D">
        <w:t xml:space="preserve"> of the NSDP</w:t>
      </w:r>
      <w:r w:rsidR="00766364">
        <w:t>)</w:t>
      </w:r>
    </w:p>
    <w:p w:rsidR="002778F0" w:rsidRDefault="002778F0" w:rsidP="00B12E2D">
      <w:pPr>
        <w:pStyle w:val="ListBullet"/>
        <w:numPr>
          <w:ilvl w:val="0"/>
          <w:numId w:val="0"/>
        </w:numPr>
        <w:tabs>
          <w:tab w:val="clear" w:pos="284"/>
        </w:tabs>
        <w:ind w:left="360"/>
      </w:pPr>
      <w:r>
        <w:t xml:space="preserve">The Cambodian Government is unlikely to achieve its </w:t>
      </w:r>
      <w:r w:rsidR="00BF650F">
        <w:t xml:space="preserve">publicly-stated </w:t>
      </w:r>
      <w:r>
        <w:t>target of exporting 1 million tons of milled rice by</w:t>
      </w:r>
      <w:r w:rsidR="009A2A63">
        <w:t xml:space="preserve"> the end of</w:t>
      </w:r>
      <w:r>
        <w:t xml:space="preserve"> 2015</w:t>
      </w:r>
      <w:r w:rsidR="00C97A4E">
        <w:t>,</w:t>
      </w:r>
      <w:r>
        <w:t xml:space="preserve"> due to a combination of drought</w:t>
      </w:r>
      <w:r w:rsidR="00B73F0C">
        <w:t>,</w:t>
      </w:r>
      <w:r>
        <w:t xml:space="preserve"> flood</w:t>
      </w:r>
      <w:r w:rsidR="00B73F0C">
        <w:t xml:space="preserve"> and depressed global prices and demand</w:t>
      </w:r>
      <w:r>
        <w:t xml:space="preserve">.  </w:t>
      </w:r>
      <w:r w:rsidR="00BF650F">
        <w:t>P</w:t>
      </w:r>
      <w:r>
        <w:t>rogress has</w:t>
      </w:r>
      <w:r w:rsidR="008D2B9A">
        <w:t>, however,</w:t>
      </w:r>
      <w:r>
        <w:t xml:space="preserve"> been made</w:t>
      </w:r>
      <w:r w:rsidR="008D2B9A">
        <w:t>:</w:t>
      </w:r>
      <w:r>
        <w:t xml:space="preserve"> the export of rice in the first six months of 2015 increased </w:t>
      </w:r>
      <w:r w:rsidR="00100E4E">
        <w:t>approximately</w:t>
      </w:r>
      <w:r w:rsidRPr="00A42C74">
        <w:t xml:space="preserve"> 60</w:t>
      </w:r>
      <w:r w:rsidR="0033559D">
        <w:t xml:space="preserve"> per cent</w:t>
      </w:r>
      <w:r w:rsidR="0033559D" w:rsidRPr="00A42C74">
        <w:t xml:space="preserve"> </w:t>
      </w:r>
      <w:r w:rsidR="00100E4E">
        <w:t xml:space="preserve">to </w:t>
      </w:r>
      <w:r>
        <w:t xml:space="preserve">283,825 tons </w:t>
      </w:r>
      <w:r w:rsidR="00100E4E">
        <w:t>(</w:t>
      </w:r>
      <w:r>
        <w:t>28</w:t>
      </w:r>
      <w:r w:rsidR="0033559D">
        <w:t xml:space="preserve"> per cent </w:t>
      </w:r>
      <w:r>
        <w:t xml:space="preserve">of the 2015 target) compared to </w:t>
      </w:r>
      <w:r w:rsidRPr="00A42C74">
        <w:t xml:space="preserve">the same period </w:t>
      </w:r>
      <w:r>
        <w:t>last year (</w:t>
      </w:r>
      <w:r w:rsidRPr="00A42C74">
        <w:t>around 177,928 tons</w:t>
      </w:r>
      <w:r>
        <w:t>).</w:t>
      </w:r>
      <w:r w:rsidR="00286DEE">
        <w:t xml:space="preserve"> </w:t>
      </w:r>
      <w:r w:rsidR="007F71F4">
        <w:t xml:space="preserve"> </w:t>
      </w:r>
      <w:r w:rsidR="00286DEE">
        <w:t>With challenging global conditions, Cambodia may struggle to meet targets, but continued efforts to improve productivity could place Cambodia in a competitive position if prices recover.</w:t>
      </w:r>
    </w:p>
    <w:p w:rsidR="008273B9" w:rsidRDefault="00B12E2D" w:rsidP="00441F3A">
      <w:pPr>
        <w:pStyle w:val="ListBullet"/>
        <w:tabs>
          <w:tab w:val="clear" w:pos="284"/>
        </w:tabs>
      </w:pPr>
      <w:r>
        <w:t>H</w:t>
      </w:r>
      <w:r w:rsidRPr="00A42C74">
        <w:t>ealth</w:t>
      </w:r>
      <w:r w:rsidR="00766364" w:rsidRPr="00A42C74">
        <w:t>:</w:t>
      </w:r>
      <w:r w:rsidR="00766364">
        <w:t xml:space="preserve"> s</w:t>
      </w:r>
      <w:r w:rsidR="00766364" w:rsidRPr="00D43236">
        <w:t>ustainable development of the health sector, aimed at improved sanitation, health, nutrition and well-being of the Cambodian people</w:t>
      </w:r>
      <w:r w:rsidR="00766364">
        <w:t xml:space="preserve"> (</w:t>
      </w:r>
      <w:r w:rsidR="0033559D">
        <w:t xml:space="preserve">Section </w:t>
      </w:r>
      <w:r w:rsidR="00766364">
        <w:t>4.167</w:t>
      </w:r>
      <w:r w:rsidR="0033559D">
        <w:t xml:space="preserve"> of the NSDP</w:t>
      </w:r>
      <w:r w:rsidR="00766364">
        <w:t>)</w:t>
      </w:r>
    </w:p>
    <w:p w:rsidR="002778F0" w:rsidRDefault="001B464F" w:rsidP="00B12E2D">
      <w:pPr>
        <w:pStyle w:val="BodyText"/>
        <w:ind w:left="360"/>
      </w:pPr>
      <w:r>
        <w:t>The Cambodian health system has achieved some of the health</w:t>
      </w:r>
      <w:r w:rsidR="0033559D">
        <w:t>-</w:t>
      </w:r>
      <w:r w:rsidR="00286DEE">
        <w:t>related</w:t>
      </w:r>
      <w:r>
        <w:t xml:space="preserve"> Cambodian Millennium Development Goals ahead of schedule (including maternal mortality, infant and child mortality, HIV prevalence, tuberculosis prevalence and malaria death rate).</w:t>
      </w:r>
      <w:r w:rsidR="007F71F4">
        <w:t xml:space="preserve">  </w:t>
      </w:r>
      <w:r w:rsidR="00BF59BC">
        <w:t>D</w:t>
      </w:r>
      <w:r>
        <w:t>espite these achievements</w:t>
      </w:r>
      <w:r w:rsidR="009A2A63">
        <w:t>,</w:t>
      </w:r>
      <w:r>
        <w:t xml:space="preserve"> maternal and childhood mortality remains high compared to other countries in the region.</w:t>
      </w:r>
      <w:r w:rsidR="007F71F4">
        <w:t xml:space="preserve"> </w:t>
      </w:r>
      <w:r>
        <w:t xml:space="preserve"> Acute and chronic malnutrition among women and children also remains high.</w:t>
      </w:r>
      <w:r w:rsidR="00BF59BC">
        <w:t xml:space="preserve"> </w:t>
      </w:r>
      <w:r w:rsidR="007F71F4">
        <w:t xml:space="preserve"> </w:t>
      </w:r>
      <w:r w:rsidR="009A2A63">
        <w:t>The p</w:t>
      </w:r>
      <w:r w:rsidR="00100E4E">
        <w:t xml:space="preserve">rovision of appropriate services for non-communicable diseases, mental health and disability </w:t>
      </w:r>
      <w:r w:rsidR="009A2A63">
        <w:t>also continues to be a</w:t>
      </w:r>
      <w:r w:rsidR="00100E4E">
        <w:t xml:space="preserve"> challenge.</w:t>
      </w:r>
      <w:r w:rsidR="007F71F4">
        <w:t xml:space="preserve"> </w:t>
      </w:r>
      <w:r w:rsidR="00100E4E">
        <w:t xml:space="preserve"> </w:t>
      </w:r>
      <w:r w:rsidR="00BF59BC">
        <w:t>The Ministry of Health is in the process of developing a new Health Strategic Plan for 2016-2020.</w:t>
      </w:r>
    </w:p>
    <w:p w:rsidR="00766364" w:rsidRDefault="00B12E2D" w:rsidP="00441F3A">
      <w:pPr>
        <w:pStyle w:val="ListBullet"/>
        <w:tabs>
          <w:tab w:val="clear" w:pos="284"/>
        </w:tabs>
      </w:pPr>
      <w:r>
        <w:t>E</w:t>
      </w:r>
      <w:r w:rsidRPr="00A42C74">
        <w:t>ducation</w:t>
      </w:r>
      <w:r w:rsidR="00766364" w:rsidRPr="00A42C74">
        <w:t>:</w:t>
      </w:r>
      <w:r w:rsidR="00766364" w:rsidRPr="006A18ED">
        <w:t xml:space="preserve"> </w:t>
      </w:r>
      <w:r w:rsidR="00766364">
        <w:t>i</w:t>
      </w:r>
      <w:r w:rsidR="00766364" w:rsidRPr="006A18ED">
        <w:t>mprove</w:t>
      </w:r>
      <w:r w:rsidR="00766364">
        <w:t>d</w:t>
      </w:r>
      <w:r w:rsidR="00766364" w:rsidRPr="006A18ED">
        <w:t xml:space="preserve"> quality and effectiveness of education services, and further development of the capacity of educational institutions and staff (</w:t>
      </w:r>
      <w:r w:rsidR="0033559D">
        <w:t xml:space="preserve">Section </w:t>
      </w:r>
      <w:r w:rsidR="00766364" w:rsidRPr="006A18ED">
        <w:t>4.160</w:t>
      </w:r>
      <w:r w:rsidR="0033559D">
        <w:t xml:space="preserve"> of the NSDP</w:t>
      </w:r>
      <w:r w:rsidR="00766364" w:rsidRPr="006A18ED">
        <w:t>)</w:t>
      </w:r>
    </w:p>
    <w:p w:rsidR="004A481C" w:rsidRPr="000E07C8" w:rsidRDefault="00CC221B" w:rsidP="004A481C">
      <w:pPr>
        <w:pStyle w:val="BodyText"/>
        <w:ind w:left="360"/>
      </w:pPr>
      <w:r w:rsidRPr="004A481C">
        <w:lastRenderedPageBreak/>
        <w:t>Through implementation of the Education Strategic Plan 2014-18 and the Education For All National Action Plan, Cambodia has made positive progress on its goals related to early childhood care and development, universalization of primary education and gender parity and equality, which are likely to be achieved in 2015.</w:t>
      </w:r>
      <w:r w:rsidR="00067CDA" w:rsidRPr="004A481C">
        <w:t xml:space="preserve"> </w:t>
      </w:r>
      <w:r w:rsidR="007F71F4" w:rsidRPr="004A481C">
        <w:t xml:space="preserve"> </w:t>
      </w:r>
      <w:r w:rsidR="00286DEE" w:rsidRPr="004A481C">
        <w:t xml:space="preserve">However, challenges remain in relation to achieving Cambodian goals on vocational training, adult literacy and improving the quality of education. </w:t>
      </w:r>
      <w:r w:rsidR="007F71F4" w:rsidRPr="004A481C">
        <w:t xml:space="preserve"> </w:t>
      </w:r>
      <w:r w:rsidR="00067CDA" w:rsidRPr="000E07C8">
        <w:t xml:space="preserve">Through the Cambodian Higher Education Vision 2030, the Ministry of </w:t>
      </w:r>
      <w:r w:rsidR="00C50113" w:rsidRPr="000E07C8">
        <w:t xml:space="preserve">Education is working towards creating a more equitable and accessible higher education </w:t>
      </w:r>
      <w:r w:rsidR="00FC1EC5" w:rsidRPr="000E07C8">
        <w:t xml:space="preserve">program. </w:t>
      </w:r>
      <w:r w:rsidR="007F71F4" w:rsidRPr="000E07C8">
        <w:t xml:space="preserve"> </w:t>
      </w:r>
      <w:r w:rsidR="00FC1EC5" w:rsidRPr="000E07C8">
        <w:t>This involves developing better curriculums that meet national and labour market needs, improving the quality of learning and research and establishing a governance system for higher education.</w:t>
      </w:r>
      <w:r w:rsidR="00625CD0" w:rsidRPr="000E07C8">
        <w:t xml:space="preserve">  </w:t>
      </w:r>
      <w:r w:rsidR="00594E31" w:rsidRPr="000E07C8">
        <w:t xml:space="preserve">While there </w:t>
      </w:r>
      <w:r w:rsidR="00625CD0" w:rsidRPr="000E07C8">
        <w:t>are strong reasons f</w:t>
      </w:r>
      <w:r w:rsidR="00594E31" w:rsidRPr="000E07C8">
        <w:t>or us to do more in education,</w:t>
      </w:r>
      <w:r w:rsidR="00625CD0" w:rsidRPr="000E07C8">
        <w:t xml:space="preserve"> we cannot work in every sector, and there are already a large number of development partners supporting basic education</w:t>
      </w:r>
      <w:r w:rsidR="000F6BE1" w:rsidRPr="000E07C8">
        <w:t>.  W</w:t>
      </w:r>
      <w:r w:rsidR="00594E31" w:rsidRPr="000E07C8">
        <w:t xml:space="preserve">e have </w:t>
      </w:r>
      <w:r w:rsidR="000F6BE1" w:rsidRPr="000E07C8">
        <w:t xml:space="preserve">therefore </w:t>
      </w:r>
      <w:r w:rsidR="00594E31" w:rsidRPr="000E07C8">
        <w:t>chosen to target our support through the existing and highly successful scholarships</w:t>
      </w:r>
      <w:r w:rsidR="004A481C" w:rsidRPr="000E07C8">
        <w:t xml:space="preserve"> program.</w:t>
      </w:r>
    </w:p>
    <w:p w:rsidR="00906A81" w:rsidRPr="004A481C" w:rsidRDefault="00511A0F" w:rsidP="004A481C">
      <w:pPr>
        <w:pStyle w:val="Heading2"/>
        <w:rPr>
          <w:szCs w:val="21"/>
        </w:rPr>
      </w:pPr>
      <w:r w:rsidRPr="000E07C8">
        <w:rPr>
          <w:szCs w:val="21"/>
        </w:rPr>
        <w:t>Program Quality</w:t>
      </w:r>
      <w:r w:rsidR="000D733F" w:rsidRPr="000E07C8">
        <w:rPr>
          <w:szCs w:val="21"/>
        </w:rPr>
        <w:t xml:space="preserve"> and Management</w:t>
      </w:r>
      <w:r w:rsidR="000D733F" w:rsidRPr="004A481C">
        <w:rPr>
          <w:szCs w:val="21"/>
        </w:rPr>
        <w:t xml:space="preserve"> </w:t>
      </w:r>
    </w:p>
    <w:p w:rsidR="000D733F" w:rsidRPr="006A5742" w:rsidRDefault="00906A81" w:rsidP="009C6AE7">
      <w:pPr>
        <w:pStyle w:val="Heading3"/>
      </w:pPr>
      <w:r w:rsidRPr="006A5742">
        <w:t>Overview</w:t>
      </w:r>
      <w:r w:rsidR="000D733F" w:rsidRPr="006A5742">
        <w:tab/>
      </w:r>
      <w:r w:rsidR="000D733F">
        <w:tab/>
      </w:r>
    </w:p>
    <w:p w:rsidR="00CB7F80" w:rsidRDefault="00433452" w:rsidP="00545B35">
      <w:pPr>
        <w:pStyle w:val="ListBullet"/>
        <w:numPr>
          <w:ilvl w:val="0"/>
          <w:numId w:val="0"/>
        </w:numPr>
      </w:pPr>
      <w:r>
        <w:t xml:space="preserve">In 2014-15, we made progress in </w:t>
      </w:r>
      <w:r w:rsidR="00CB7F80">
        <w:t>consolidatin</w:t>
      </w:r>
      <w:r>
        <w:t>g</w:t>
      </w:r>
      <w:r w:rsidR="00CB7F80">
        <w:t xml:space="preserve"> </w:t>
      </w:r>
      <w:r w:rsidR="002C42AC">
        <w:t>the aid program</w:t>
      </w:r>
      <w:r>
        <w:t xml:space="preserve">. </w:t>
      </w:r>
      <w:r w:rsidR="00602980">
        <w:t>This will</w:t>
      </w:r>
      <w:r w:rsidR="002C42AC">
        <w:t xml:space="preserve"> have an</w:t>
      </w:r>
      <w:r w:rsidR="00602980">
        <w:t xml:space="preserve"> increased</w:t>
      </w:r>
      <w:r w:rsidR="002C42AC">
        <w:t xml:space="preserve"> impact in 2015-16 with eight projects due for formal closure. </w:t>
      </w:r>
      <w:r w:rsidR="00B434BF">
        <w:t xml:space="preserve"> </w:t>
      </w:r>
      <w:r w:rsidR="005D6F32">
        <w:t xml:space="preserve">This will allow us to focus on, and </w:t>
      </w:r>
      <w:r w:rsidR="0061382E">
        <w:t xml:space="preserve">ensure high performance of, </w:t>
      </w:r>
      <w:r w:rsidR="00F8338B">
        <w:t xml:space="preserve">new investments </w:t>
      </w:r>
      <w:r w:rsidR="007154EF">
        <w:t>(including 3i and</w:t>
      </w:r>
      <w:r w:rsidR="0000270E" w:rsidRPr="00C7796B">
        <w:t xml:space="preserve"> CAVAC</w:t>
      </w:r>
      <w:r w:rsidR="009A2A63">
        <w:t xml:space="preserve"> Phase </w:t>
      </w:r>
      <w:r w:rsidR="006450EE">
        <w:t>II</w:t>
      </w:r>
      <w:r w:rsidR="0000270E" w:rsidRPr="00C7796B">
        <w:t>)</w:t>
      </w:r>
      <w:r w:rsidR="0000270E">
        <w:t xml:space="preserve"> </w:t>
      </w:r>
      <w:r w:rsidR="005D6F32">
        <w:t xml:space="preserve">to </w:t>
      </w:r>
      <w:r w:rsidR="00F8338B">
        <w:t>be activated in the coming year.</w:t>
      </w:r>
    </w:p>
    <w:p w:rsidR="000668DF" w:rsidRDefault="00F435A3" w:rsidP="00545B35">
      <w:pPr>
        <w:pStyle w:val="ListBullet"/>
        <w:numPr>
          <w:ilvl w:val="0"/>
          <w:numId w:val="0"/>
        </w:numPr>
      </w:pPr>
      <w:r w:rsidRPr="00C7796B">
        <w:t>In 2014-15, Post conducted three independent progress evaluation</w:t>
      </w:r>
      <w:r w:rsidR="009A2A63">
        <w:t>s</w:t>
      </w:r>
      <w:r w:rsidRPr="00C7796B">
        <w:t xml:space="preserve"> and review</w:t>
      </w:r>
      <w:r w:rsidR="009A2A63">
        <w:t>s</w:t>
      </w:r>
      <w:r w:rsidRPr="00C7796B">
        <w:t>. The</w:t>
      </w:r>
      <w:r w:rsidRPr="006937D6">
        <w:t xml:space="preserve">se included </w:t>
      </w:r>
      <w:r w:rsidR="000668DF" w:rsidRPr="00247AAC">
        <w:t>t</w:t>
      </w:r>
      <w:r w:rsidRPr="00247AAC">
        <w:t xml:space="preserve">he independent progress review on the </w:t>
      </w:r>
      <w:r w:rsidR="008D4336">
        <w:t>Cambodia Communication Assistance Project</w:t>
      </w:r>
      <w:r w:rsidRPr="00247AAC">
        <w:t xml:space="preserve">, the </w:t>
      </w:r>
      <w:r w:rsidRPr="00F368CA">
        <w:t>tracer</w:t>
      </w:r>
      <w:r w:rsidRPr="004E2335">
        <w:t xml:space="preserve"> study of the Austral</w:t>
      </w:r>
      <w:r w:rsidRPr="00873947">
        <w:t xml:space="preserve">ian Awards Scholarship </w:t>
      </w:r>
      <w:r w:rsidR="006450EE">
        <w:t xml:space="preserve">program </w:t>
      </w:r>
      <w:r w:rsidRPr="00873947">
        <w:t xml:space="preserve">and completion review of the Road Asset </w:t>
      </w:r>
      <w:r w:rsidR="006450EE">
        <w:t>M</w:t>
      </w:r>
      <w:r w:rsidRPr="00873947">
        <w:t xml:space="preserve">anagement Project. </w:t>
      </w:r>
      <w:r w:rsidR="000668DF" w:rsidRPr="00873947">
        <w:t xml:space="preserve">In 2015-16, </w:t>
      </w:r>
      <w:r w:rsidR="006450EE">
        <w:t>we</w:t>
      </w:r>
      <w:r w:rsidR="000668DF" w:rsidRPr="00873947">
        <w:t xml:space="preserve"> plan to conduct </w:t>
      </w:r>
      <w:r w:rsidR="006450EE">
        <w:t>eight</w:t>
      </w:r>
      <w:r w:rsidR="000668DF" w:rsidRPr="00C7796B">
        <w:t xml:space="preserve"> independent evaluations </w:t>
      </w:r>
      <w:r w:rsidR="00A96FBF" w:rsidRPr="00C7796B">
        <w:t>in infrastructure</w:t>
      </w:r>
      <w:r w:rsidR="00A96FBF" w:rsidRPr="006937D6">
        <w:t>, health</w:t>
      </w:r>
      <w:r w:rsidR="00C60FEC" w:rsidRPr="00247AAC">
        <w:t>, agriculture</w:t>
      </w:r>
      <w:r w:rsidR="00A96FBF" w:rsidRPr="00C7796B">
        <w:t xml:space="preserve"> and mine action investments </w:t>
      </w:r>
      <w:r w:rsidR="000668DF" w:rsidRPr="00C7796B">
        <w:t>(</w:t>
      </w:r>
      <w:r w:rsidR="006450EE">
        <w:t xml:space="preserve">see </w:t>
      </w:r>
      <w:r w:rsidR="000668DF" w:rsidRPr="00C7796B">
        <w:t>Annex C).</w:t>
      </w:r>
    </w:p>
    <w:p w:rsidR="006E233B" w:rsidRDefault="006E233B" w:rsidP="006E233B">
      <w:pPr>
        <w:pStyle w:val="ListBullet"/>
        <w:numPr>
          <w:ilvl w:val="0"/>
          <w:numId w:val="0"/>
        </w:numPr>
      </w:pPr>
      <w:r>
        <w:t xml:space="preserve">Annex B sets out information on the program’s achievement of performance benchmarks for     2014-15. Annex C lists details of evaluations and reviews conducted in 2014-15 and evaluations planned for 2015-16. </w:t>
      </w:r>
    </w:p>
    <w:p w:rsidR="000D733F" w:rsidRPr="00180B19" w:rsidRDefault="000D733F" w:rsidP="009C6AE7">
      <w:pPr>
        <w:pStyle w:val="Heading3"/>
      </w:pPr>
      <w:r>
        <w:t xml:space="preserve">Analysis of </w:t>
      </w:r>
      <w:r w:rsidR="000D2CDD">
        <w:t xml:space="preserve">Aid </w:t>
      </w:r>
      <w:r w:rsidRPr="00180B19">
        <w:t xml:space="preserve">Quality </w:t>
      </w:r>
      <w:r w:rsidR="000D2CDD">
        <w:t xml:space="preserve">Checks </w:t>
      </w:r>
      <w:r w:rsidR="0007149C">
        <w:t>(AQCs)</w:t>
      </w:r>
    </w:p>
    <w:p w:rsidR="007050DD" w:rsidRDefault="007050DD" w:rsidP="00F8338B">
      <w:pPr>
        <w:pStyle w:val="ListBullet"/>
        <w:numPr>
          <w:ilvl w:val="0"/>
          <w:numId w:val="0"/>
        </w:numPr>
      </w:pPr>
      <w:r w:rsidRPr="007D4B9F">
        <w:t xml:space="preserve">In 2014-15, </w:t>
      </w:r>
      <w:r w:rsidR="0061382E">
        <w:t xml:space="preserve">15 </w:t>
      </w:r>
      <w:r w:rsidR="00433452" w:rsidRPr="007D4B9F">
        <w:t xml:space="preserve">out of </w:t>
      </w:r>
      <w:r w:rsidR="00644B1F" w:rsidRPr="007D4B9F">
        <w:t>19</w:t>
      </w:r>
      <w:r w:rsidRPr="007D4B9F">
        <w:t xml:space="preserve"> investments</w:t>
      </w:r>
      <w:r w:rsidR="005D6F32" w:rsidRPr="007D4B9F">
        <w:t xml:space="preserve"> </w:t>
      </w:r>
      <w:r w:rsidRPr="007D4B9F">
        <w:t>were assessed through AQC</w:t>
      </w:r>
      <w:r w:rsidR="00433452" w:rsidRPr="007D4B9F">
        <w:t>s. F</w:t>
      </w:r>
      <w:r w:rsidR="00644B1F" w:rsidRPr="007D4B9F">
        <w:t>our</w:t>
      </w:r>
      <w:r w:rsidR="00433452" w:rsidRPr="007D4B9F">
        <w:t xml:space="preserve"> </w:t>
      </w:r>
      <w:r w:rsidRPr="007D4B9F">
        <w:t xml:space="preserve">were exempted from </w:t>
      </w:r>
      <w:r w:rsidR="00433452" w:rsidRPr="007D4B9F">
        <w:t xml:space="preserve">the </w:t>
      </w:r>
      <w:r w:rsidRPr="007D4B9F">
        <w:t>A</w:t>
      </w:r>
      <w:r w:rsidR="00873B58" w:rsidRPr="007D4B9F">
        <w:t>QC</w:t>
      </w:r>
      <w:r w:rsidR="00433452" w:rsidRPr="007D4B9F">
        <w:t xml:space="preserve"> process. </w:t>
      </w:r>
      <w:r w:rsidRPr="007D4B9F">
        <w:t xml:space="preserve"> Annex </w:t>
      </w:r>
      <w:r w:rsidR="00873B58" w:rsidRPr="007D4B9F">
        <w:t>D</w:t>
      </w:r>
      <w:r w:rsidR="00433452" w:rsidRPr="007D4B9F">
        <w:t xml:space="preserve"> sets out AQCs ratings</w:t>
      </w:r>
      <w:r w:rsidR="00BD1108">
        <w:t xml:space="preserve"> and shows </w:t>
      </w:r>
      <w:r w:rsidR="001F3500">
        <w:t xml:space="preserve">that </w:t>
      </w:r>
      <w:r w:rsidR="00BD1108">
        <w:t xml:space="preserve">most indicators improved their rating from 2013 to 2014. </w:t>
      </w:r>
    </w:p>
    <w:p w:rsidR="00583BD7" w:rsidRDefault="007050DD" w:rsidP="00F8338B">
      <w:pPr>
        <w:pStyle w:val="ListBullet"/>
        <w:numPr>
          <w:ilvl w:val="0"/>
          <w:numId w:val="0"/>
        </w:numPr>
      </w:pPr>
      <w:r>
        <w:t>The</w:t>
      </w:r>
      <w:r w:rsidR="00C0470D" w:rsidRPr="00A05C63">
        <w:t xml:space="preserve"> </w:t>
      </w:r>
      <w:r w:rsidR="00001BF9">
        <w:t xml:space="preserve">overall </w:t>
      </w:r>
      <w:r w:rsidR="00C0470D" w:rsidRPr="00A05C63">
        <w:t xml:space="preserve">ratings across </w:t>
      </w:r>
      <w:r w:rsidR="00C0470D">
        <w:t xml:space="preserve">the </w:t>
      </w:r>
      <w:r w:rsidR="00433452">
        <w:t xml:space="preserve">aid </w:t>
      </w:r>
      <w:r w:rsidR="00C0470D">
        <w:t>program</w:t>
      </w:r>
      <w:r w:rsidR="00155A63">
        <w:t xml:space="preserve"> confirm the</w:t>
      </w:r>
      <w:r w:rsidR="00C0470D" w:rsidRPr="00A05C63">
        <w:t xml:space="preserve"> high quality</w:t>
      </w:r>
      <w:r w:rsidR="00155A63">
        <w:t xml:space="preserve"> of our investments</w:t>
      </w:r>
      <w:r w:rsidR="000D5C0C">
        <w:t xml:space="preserve">. </w:t>
      </w:r>
      <w:r w:rsidR="001138A7">
        <w:t>Of the 15</w:t>
      </w:r>
      <w:r w:rsidR="0033559D">
        <w:t> </w:t>
      </w:r>
      <w:r w:rsidR="001138A7">
        <w:t xml:space="preserve">investments assessed </w:t>
      </w:r>
      <w:r w:rsidR="006604C1">
        <w:t>by</w:t>
      </w:r>
      <w:r w:rsidR="001138A7">
        <w:t xml:space="preserve"> AQC</w:t>
      </w:r>
      <w:r w:rsidR="006604C1">
        <w:t xml:space="preserve">, 12 </w:t>
      </w:r>
      <w:r w:rsidR="000D5C0C">
        <w:t xml:space="preserve">were </w:t>
      </w:r>
      <w:r w:rsidR="0061382E">
        <w:t xml:space="preserve">rated </w:t>
      </w:r>
      <w:r w:rsidR="002A6668">
        <w:t xml:space="preserve">satisfactory </w:t>
      </w:r>
      <w:r w:rsidR="00C0470D" w:rsidRPr="00A05C63">
        <w:t xml:space="preserve">for </w:t>
      </w:r>
      <w:r w:rsidR="002A6668">
        <w:t>all criteria</w:t>
      </w:r>
      <w:r w:rsidR="000D5C0C">
        <w:t xml:space="preserve">. </w:t>
      </w:r>
      <w:r w:rsidR="007F71F4">
        <w:t xml:space="preserve"> </w:t>
      </w:r>
      <w:r w:rsidR="00155A63">
        <w:t>All</w:t>
      </w:r>
      <w:r w:rsidR="002A6668" w:rsidRPr="002A6668">
        <w:t xml:space="preserve"> investments,</w:t>
      </w:r>
      <w:r w:rsidR="000D5C0C">
        <w:t xml:space="preserve"> </w:t>
      </w:r>
      <w:r w:rsidR="00583BD7">
        <w:t xml:space="preserve">regardless of their objectives, </w:t>
      </w:r>
      <w:r w:rsidR="002A6668" w:rsidRPr="002A6668">
        <w:t>effectively</w:t>
      </w:r>
      <w:r w:rsidR="00583BD7">
        <w:t xml:space="preserve"> </w:t>
      </w:r>
      <w:r w:rsidR="00583BD7" w:rsidRPr="00583BD7">
        <w:t>address</w:t>
      </w:r>
      <w:r w:rsidR="00583BD7">
        <w:t>ed</w:t>
      </w:r>
      <w:r w:rsidR="00583BD7" w:rsidRPr="00583BD7">
        <w:t xml:space="preserve"> gender issues in their implementation</w:t>
      </w:r>
      <w:r w:rsidR="00583BD7">
        <w:rPr>
          <w:rFonts w:ascii="62miselmgypbxxo" w:eastAsiaTheme="minorHAnsi" w:hAnsi="62miselmgypbxxo" w:cs="62miselmgypbxxo"/>
          <w:sz w:val="18"/>
          <w:szCs w:val="18"/>
          <w:lang w:bidi="km-KH"/>
        </w:rPr>
        <w:t>.</w:t>
      </w:r>
      <w:r w:rsidR="00E22A41">
        <w:t xml:space="preserve"> </w:t>
      </w:r>
      <w:r w:rsidR="007F71F4">
        <w:t xml:space="preserve"> </w:t>
      </w:r>
    </w:p>
    <w:p w:rsidR="00583BD7" w:rsidRDefault="00433452" w:rsidP="00583BD7">
      <w:pPr>
        <w:pStyle w:val="ListBullet"/>
        <w:numPr>
          <w:ilvl w:val="0"/>
          <w:numId w:val="0"/>
        </w:numPr>
      </w:pPr>
      <w:r>
        <w:t xml:space="preserve">In 2014-15, good progress was made in the three areas identified for improvement in the </w:t>
      </w:r>
      <w:r w:rsidR="00583BD7">
        <w:t>2013-14</w:t>
      </w:r>
      <w:r w:rsidR="00155A63">
        <w:t xml:space="preserve"> APPR</w:t>
      </w:r>
      <w:r w:rsidR="00414F3B">
        <w:t xml:space="preserve">, they were: the </w:t>
      </w:r>
      <w:r w:rsidR="00F8338B">
        <w:t>Rehabilitation of the Railway in Cambodia Project</w:t>
      </w:r>
      <w:r w:rsidR="00155A63">
        <w:t>,</w:t>
      </w:r>
      <w:r w:rsidR="00F8338B">
        <w:t xml:space="preserve"> which rated ‘less than adequate’ on effectiveness and efficiency</w:t>
      </w:r>
      <w:r w:rsidR="00155A63">
        <w:t xml:space="preserve">; </w:t>
      </w:r>
      <w:r w:rsidR="0061382E">
        <w:t>CCJAP</w:t>
      </w:r>
      <w:r w:rsidR="00155A63">
        <w:t>,</w:t>
      </w:r>
      <w:r w:rsidR="00F8338B">
        <w:t xml:space="preserve"> which rated ‘less than adequate’ in effectiveness and sustainability; and </w:t>
      </w:r>
      <w:r w:rsidR="00155A63">
        <w:t>EVAW,</w:t>
      </w:r>
      <w:r w:rsidR="008D4336">
        <w:t xml:space="preserve"> </w:t>
      </w:r>
      <w:r w:rsidR="00F8338B">
        <w:t xml:space="preserve">which rated ‘less than adequate’ in </w:t>
      </w:r>
      <w:r w:rsidR="006604C1">
        <w:t xml:space="preserve">effectiveness and </w:t>
      </w:r>
      <w:r w:rsidR="00F8338B">
        <w:t xml:space="preserve">efficiency.  </w:t>
      </w:r>
      <w:r>
        <w:t xml:space="preserve">The solid progress made </w:t>
      </w:r>
      <w:r w:rsidR="00CB616A">
        <w:t>in</w:t>
      </w:r>
      <w:r>
        <w:t xml:space="preserve"> each of these </w:t>
      </w:r>
      <w:r w:rsidR="00CB616A">
        <w:t>programs</w:t>
      </w:r>
      <w:r>
        <w:t xml:space="preserve"> i</w:t>
      </w:r>
      <w:r w:rsidR="00583BD7">
        <w:t>n 2014-15</w:t>
      </w:r>
      <w:r>
        <w:t xml:space="preserve"> is detailed in the “Progress Towards Objectives” section</w:t>
      </w:r>
      <w:r w:rsidR="00583BD7">
        <w:t xml:space="preserve">. </w:t>
      </w:r>
    </w:p>
    <w:p w:rsidR="00CB7F80" w:rsidRDefault="00CB7F80" w:rsidP="009C6AE7">
      <w:pPr>
        <w:pStyle w:val="Heading3"/>
      </w:pPr>
      <w:r>
        <w:t>Performance of key delivery partners</w:t>
      </w:r>
    </w:p>
    <w:p w:rsidR="000526F0" w:rsidRPr="00A05C63" w:rsidRDefault="0020000F" w:rsidP="000526F0">
      <w:pPr>
        <w:tabs>
          <w:tab w:val="left" w:pos="284"/>
        </w:tabs>
        <w:spacing w:after="120" w:line="280" w:lineRule="exact"/>
        <w:rPr>
          <w:rFonts w:ascii="Franklin Gothic Book" w:eastAsia="Times New Roman" w:hAnsi="Franklin Gothic Book"/>
          <w:sz w:val="21"/>
        </w:rPr>
      </w:pPr>
      <w:r>
        <w:rPr>
          <w:rFonts w:ascii="Franklin Gothic Book" w:eastAsia="Times New Roman" w:hAnsi="Franklin Gothic Book"/>
          <w:sz w:val="21"/>
        </w:rPr>
        <w:t>T</w:t>
      </w:r>
      <w:r w:rsidR="000526F0" w:rsidRPr="00A05C63">
        <w:rPr>
          <w:rFonts w:ascii="Franklin Gothic Book" w:eastAsia="Times New Roman" w:hAnsi="Franklin Gothic Book"/>
          <w:sz w:val="21"/>
        </w:rPr>
        <w:t xml:space="preserve">he </w:t>
      </w:r>
      <w:r w:rsidR="002E2EB9">
        <w:rPr>
          <w:rFonts w:ascii="Franklin Gothic Book" w:eastAsia="Times New Roman" w:hAnsi="Franklin Gothic Book"/>
          <w:sz w:val="21"/>
        </w:rPr>
        <w:t>p</w:t>
      </w:r>
      <w:r w:rsidR="000526F0" w:rsidRPr="00A05C63">
        <w:rPr>
          <w:rFonts w:ascii="Franklin Gothic Book" w:eastAsia="Times New Roman" w:hAnsi="Franklin Gothic Book"/>
          <w:sz w:val="21"/>
        </w:rPr>
        <w:t xml:space="preserve">rogram </w:t>
      </w:r>
      <w:r>
        <w:rPr>
          <w:rFonts w:ascii="Franklin Gothic Book" w:eastAsia="Times New Roman" w:hAnsi="Franklin Gothic Book"/>
          <w:sz w:val="21"/>
        </w:rPr>
        <w:t xml:space="preserve">is delivered </w:t>
      </w:r>
      <w:r w:rsidR="000526F0" w:rsidRPr="00A05C63">
        <w:rPr>
          <w:rFonts w:ascii="Franklin Gothic Book" w:eastAsia="Times New Roman" w:hAnsi="Franklin Gothic Book"/>
          <w:sz w:val="21"/>
        </w:rPr>
        <w:t xml:space="preserve">through </w:t>
      </w:r>
      <w:r w:rsidR="000526F0">
        <w:rPr>
          <w:rFonts w:ascii="Franklin Gothic Book" w:eastAsia="Times New Roman" w:hAnsi="Franklin Gothic Book"/>
          <w:sz w:val="21"/>
        </w:rPr>
        <w:t xml:space="preserve">multilateral </w:t>
      </w:r>
      <w:r w:rsidR="00C3795B">
        <w:rPr>
          <w:rFonts w:ascii="Franklin Gothic Book" w:eastAsia="Times New Roman" w:hAnsi="Franklin Gothic Book"/>
          <w:sz w:val="21"/>
        </w:rPr>
        <w:t>organisations</w:t>
      </w:r>
      <w:r w:rsidR="000526F0" w:rsidRPr="00A05C63">
        <w:rPr>
          <w:rFonts w:ascii="Franklin Gothic Book" w:eastAsia="Times New Roman" w:hAnsi="Franklin Gothic Book"/>
          <w:sz w:val="21"/>
        </w:rPr>
        <w:t xml:space="preserve">, managing </w:t>
      </w:r>
      <w:r w:rsidR="00244F43" w:rsidRPr="00A05C63">
        <w:rPr>
          <w:rFonts w:ascii="Franklin Gothic Book" w:eastAsia="Times New Roman" w:hAnsi="Franklin Gothic Book"/>
          <w:sz w:val="21"/>
        </w:rPr>
        <w:t>contractors</w:t>
      </w:r>
      <w:r w:rsidR="002E2EB9">
        <w:rPr>
          <w:rFonts w:ascii="Franklin Gothic Book" w:eastAsia="Times New Roman" w:hAnsi="Franklin Gothic Book"/>
          <w:sz w:val="21"/>
        </w:rPr>
        <w:t>, NGOs</w:t>
      </w:r>
      <w:r w:rsidR="00244F43" w:rsidRPr="00A05C63">
        <w:rPr>
          <w:rFonts w:ascii="Franklin Gothic Book" w:eastAsia="Times New Roman" w:hAnsi="Franklin Gothic Book"/>
          <w:sz w:val="21"/>
        </w:rPr>
        <w:t xml:space="preserve"> and</w:t>
      </w:r>
      <w:r w:rsidR="000526F0" w:rsidRPr="00A05C63">
        <w:rPr>
          <w:rFonts w:ascii="Franklin Gothic Book" w:eastAsia="Times New Roman" w:hAnsi="Franklin Gothic Book"/>
          <w:sz w:val="21"/>
        </w:rPr>
        <w:t xml:space="preserve"> civil society partners.  </w:t>
      </w:r>
      <w:r w:rsidR="001D5CB0" w:rsidRPr="001D5CB0">
        <w:rPr>
          <w:rFonts w:ascii="Franklin Gothic Book" w:eastAsia="Times New Roman" w:hAnsi="Franklin Gothic Book"/>
          <w:sz w:val="21"/>
        </w:rPr>
        <w:t>In 2014-15, 49 per cent of Australia’s bilateral aid program was delivered through agreements with multilateral organisations, 38 per cent was delivered by commercial suppliers and 12 per cent was delivered through NGOs and civil society.</w:t>
      </w:r>
    </w:p>
    <w:p w:rsidR="000526F0" w:rsidRDefault="000526F0" w:rsidP="001D5CB0">
      <w:pPr>
        <w:pStyle w:val="BodyText"/>
      </w:pPr>
      <w:r>
        <w:lastRenderedPageBreak/>
        <w:t>Through UNDP, Australia has supported the Council for Develo</w:t>
      </w:r>
      <w:r w:rsidR="002E2EB9">
        <w:t>pment of Cambodia</w:t>
      </w:r>
      <w:r>
        <w:t xml:space="preserve"> to </w:t>
      </w:r>
      <w:r w:rsidR="0020000F">
        <w:t xml:space="preserve">improve </w:t>
      </w:r>
      <w:r w:rsidR="00B6187A">
        <w:t>aid effectiveness</w:t>
      </w:r>
      <w:r w:rsidR="0020000F">
        <w:t>, including by</w:t>
      </w:r>
      <w:r>
        <w:t xml:space="preserve"> </w:t>
      </w:r>
      <w:r w:rsidR="0020000F">
        <w:t xml:space="preserve">facilitating the Cambodian </w:t>
      </w:r>
      <w:r>
        <w:t xml:space="preserve">Government and stakeholders </w:t>
      </w:r>
      <w:r w:rsidR="0020000F">
        <w:t>in</w:t>
      </w:r>
      <w:r>
        <w:t xml:space="preserve"> committ</w:t>
      </w:r>
      <w:r w:rsidR="0020000F">
        <w:t>ing</w:t>
      </w:r>
      <w:r>
        <w:t xml:space="preserve"> to</w:t>
      </w:r>
      <w:r w:rsidR="001D5CB0">
        <w:t xml:space="preserve"> </w:t>
      </w:r>
      <w:r>
        <w:t>align external assistance with national priorities</w:t>
      </w:r>
      <w:r w:rsidR="001D5CB0">
        <w:t xml:space="preserve">, </w:t>
      </w:r>
      <w:r w:rsidR="0020000F">
        <w:t>harmoni</w:t>
      </w:r>
      <w:r w:rsidR="00103A2E">
        <w:t>s</w:t>
      </w:r>
      <w:r w:rsidR="0020000F">
        <w:t xml:space="preserve">ing </w:t>
      </w:r>
      <w:r>
        <w:t>processes for managing external flows</w:t>
      </w:r>
      <w:r w:rsidR="001D5CB0">
        <w:t>,</w:t>
      </w:r>
      <w:r w:rsidR="0020000F">
        <w:t xml:space="preserve"> and</w:t>
      </w:r>
      <w:r>
        <w:t xml:space="preserve"> </w:t>
      </w:r>
      <w:r w:rsidR="0020000F">
        <w:t xml:space="preserve">building </w:t>
      </w:r>
      <w:r>
        <w:t xml:space="preserve">capacities for improved public sector management. </w:t>
      </w:r>
    </w:p>
    <w:p w:rsidR="00F34AA8" w:rsidRPr="00A874FE" w:rsidRDefault="000526F0" w:rsidP="00F34AA8">
      <w:pPr>
        <w:pStyle w:val="BodyText"/>
        <w:spacing w:before="120"/>
      </w:pPr>
      <w:r>
        <w:t>Multilateral agencies continue to maintain a significant presence in Cambodia</w:t>
      </w:r>
      <w:r w:rsidR="00F34AA8">
        <w:t xml:space="preserve">. </w:t>
      </w:r>
      <w:r w:rsidR="00F34AA8" w:rsidRPr="00B864F5">
        <w:rPr>
          <w:rFonts w:eastAsia="Calibri"/>
          <w:szCs w:val="21"/>
          <w:lang w:eastAsia="en-US"/>
        </w:rPr>
        <w:t xml:space="preserve">In 2014-15, </w:t>
      </w:r>
      <w:r w:rsidR="002E2EB9">
        <w:rPr>
          <w:rFonts w:eastAsia="Calibri"/>
          <w:szCs w:val="21"/>
          <w:lang w:eastAsia="en-US"/>
        </w:rPr>
        <w:br/>
      </w:r>
      <w:r w:rsidR="00B864F5" w:rsidRPr="00B864F5">
        <w:rPr>
          <w:rFonts w:eastAsia="Calibri"/>
          <w:szCs w:val="21"/>
          <w:lang w:eastAsia="en-US"/>
        </w:rPr>
        <w:t>$</w:t>
      </w:r>
      <w:r w:rsidR="00F34AA8" w:rsidRPr="00B864F5">
        <w:rPr>
          <w:rFonts w:eastAsia="Calibri"/>
          <w:szCs w:val="21"/>
          <w:lang w:eastAsia="en-US"/>
        </w:rPr>
        <w:t>8.4 million (14</w:t>
      </w:r>
      <w:r w:rsidR="00FF57BE" w:rsidRPr="00B864F5">
        <w:rPr>
          <w:rFonts w:eastAsia="Calibri"/>
          <w:szCs w:val="21"/>
          <w:lang w:eastAsia="en-US"/>
        </w:rPr>
        <w:t xml:space="preserve"> per cent</w:t>
      </w:r>
      <w:r w:rsidR="00F34AA8" w:rsidRPr="00B864F5">
        <w:rPr>
          <w:rFonts w:eastAsia="Calibri"/>
          <w:szCs w:val="21"/>
          <w:lang w:eastAsia="en-US"/>
        </w:rPr>
        <w:t xml:space="preserve"> of the bilateral budget) was allocated to </w:t>
      </w:r>
      <w:r w:rsidR="0020000F" w:rsidRPr="00B864F5">
        <w:rPr>
          <w:rFonts w:eastAsia="Calibri"/>
          <w:szCs w:val="21"/>
          <w:lang w:eastAsia="en-US"/>
        </w:rPr>
        <w:t xml:space="preserve">the </w:t>
      </w:r>
      <w:r w:rsidR="00F34AA8" w:rsidRPr="00B864F5">
        <w:rPr>
          <w:rFonts w:eastAsia="Calibri"/>
          <w:szCs w:val="21"/>
          <w:lang w:eastAsia="en-US"/>
        </w:rPr>
        <w:t>W</w:t>
      </w:r>
      <w:r w:rsidR="0020000F" w:rsidRPr="00B864F5">
        <w:rPr>
          <w:rFonts w:eastAsia="Calibri"/>
          <w:szCs w:val="21"/>
          <w:lang w:eastAsia="en-US"/>
        </w:rPr>
        <w:t xml:space="preserve">orld </w:t>
      </w:r>
      <w:r w:rsidR="00F34AA8" w:rsidRPr="00B864F5">
        <w:rPr>
          <w:rFonts w:eastAsia="Calibri"/>
          <w:szCs w:val="21"/>
          <w:lang w:eastAsia="en-US"/>
        </w:rPr>
        <w:t>B</w:t>
      </w:r>
      <w:r w:rsidR="0020000F" w:rsidRPr="00B864F5">
        <w:rPr>
          <w:rFonts w:eastAsia="Calibri"/>
          <w:szCs w:val="21"/>
          <w:lang w:eastAsia="en-US"/>
        </w:rPr>
        <w:t>ank</w:t>
      </w:r>
      <w:r w:rsidR="00F34AA8" w:rsidRPr="00B864F5">
        <w:rPr>
          <w:rFonts w:eastAsia="Calibri"/>
          <w:szCs w:val="21"/>
          <w:lang w:eastAsia="en-US"/>
        </w:rPr>
        <w:t xml:space="preserve"> to continue the implementation of the HSSP2</w:t>
      </w:r>
      <w:r w:rsidR="004C3558">
        <w:rPr>
          <w:rFonts w:eastAsia="Calibri"/>
          <w:szCs w:val="21"/>
          <w:lang w:eastAsia="en-US"/>
        </w:rPr>
        <w:t xml:space="preserve"> and</w:t>
      </w:r>
      <w:r w:rsidR="00B864F5" w:rsidRPr="00B864F5">
        <w:rPr>
          <w:rFonts w:eastAsia="Calibri"/>
          <w:szCs w:val="21"/>
          <w:lang w:eastAsia="en-US"/>
        </w:rPr>
        <w:t xml:space="preserve"> </w:t>
      </w:r>
      <w:r w:rsidR="00FF57BE" w:rsidRPr="00B864F5">
        <w:t>US$</w:t>
      </w:r>
      <w:r w:rsidR="00F67D42" w:rsidRPr="00B864F5">
        <w:t>7.9 million (13.5</w:t>
      </w:r>
      <w:r w:rsidR="00FF57BE" w:rsidRPr="00B864F5">
        <w:t xml:space="preserve"> per cent</w:t>
      </w:r>
      <w:r w:rsidR="00F67D42" w:rsidRPr="00B864F5">
        <w:t xml:space="preserve">) was allocated to ADB for the </w:t>
      </w:r>
      <w:r w:rsidR="004C3558">
        <w:t>Rural R</w:t>
      </w:r>
      <w:r w:rsidR="008E3279" w:rsidRPr="00B864F5">
        <w:t xml:space="preserve">oads </w:t>
      </w:r>
      <w:r w:rsidR="004C3558">
        <w:t>Improvement P</w:t>
      </w:r>
      <w:r w:rsidR="00F67D42" w:rsidRPr="00B864F5">
        <w:t>roject.</w:t>
      </w:r>
      <w:r w:rsidR="00F67D42">
        <w:t xml:space="preserve"> </w:t>
      </w:r>
    </w:p>
    <w:p w:rsidR="00F34AA8" w:rsidRDefault="0020000F" w:rsidP="00F34AA8">
      <w:pPr>
        <w:pStyle w:val="BodyText"/>
      </w:pPr>
      <w:r>
        <w:t>In 2014-15, Australia</w:t>
      </w:r>
      <w:r w:rsidRPr="00A874FE">
        <w:t xml:space="preserve"> </w:t>
      </w:r>
      <w:r w:rsidR="00F67D42">
        <w:t>continued to work with</w:t>
      </w:r>
      <w:r w:rsidR="00103A2E">
        <w:t xml:space="preserve"> U</w:t>
      </w:r>
      <w:r w:rsidR="00A21211">
        <w:t xml:space="preserve">nited </w:t>
      </w:r>
      <w:r w:rsidR="00103A2E">
        <w:t>N</w:t>
      </w:r>
      <w:r w:rsidR="00A21211">
        <w:t>ations Population Fund</w:t>
      </w:r>
      <w:r w:rsidR="00103A2E">
        <w:t xml:space="preserve"> on the </w:t>
      </w:r>
      <w:r w:rsidR="00F67D42">
        <w:t>Cambodia Demographic Health Survey</w:t>
      </w:r>
      <w:r w:rsidR="00103A2E">
        <w:t>;</w:t>
      </w:r>
      <w:r w:rsidR="00F34AA8" w:rsidRPr="00A874FE">
        <w:t xml:space="preserve"> </w:t>
      </w:r>
      <w:r w:rsidR="00103A2E">
        <w:t xml:space="preserve">UNDP </w:t>
      </w:r>
      <w:r w:rsidR="004C3558">
        <w:t>o</w:t>
      </w:r>
      <w:r w:rsidR="00F67D42">
        <w:t xml:space="preserve">n </w:t>
      </w:r>
      <w:r w:rsidR="00A21211">
        <w:t>m</w:t>
      </w:r>
      <w:r w:rsidR="00F67D42">
        <w:t xml:space="preserve">ine </w:t>
      </w:r>
      <w:r w:rsidR="00A21211">
        <w:t>a</w:t>
      </w:r>
      <w:r w:rsidR="00F67D42">
        <w:t xml:space="preserve">ction, </w:t>
      </w:r>
      <w:r w:rsidR="00103A2E">
        <w:t>d</w:t>
      </w:r>
      <w:r w:rsidR="00F67D42">
        <w:t>isabilit</w:t>
      </w:r>
      <w:r w:rsidR="00A21211">
        <w:t>y</w:t>
      </w:r>
      <w:r w:rsidR="00F67D42">
        <w:t xml:space="preserve">, and </w:t>
      </w:r>
      <w:r w:rsidR="00103A2E">
        <w:t xml:space="preserve">the </w:t>
      </w:r>
      <w:r w:rsidR="00F67D42">
        <w:t>ECCC</w:t>
      </w:r>
      <w:r w:rsidR="00103A2E">
        <w:t>;</w:t>
      </w:r>
      <w:r w:rsidR="00F34AA8" w:rsidRPr="00A874FE">
        <w:t xml:space="preserve"> </w:t>
      </w:r>
      <w:r w:rsidR="00103A2E">
        <w:t xml:space="preserve">and WHO </w:t>
      </w:r>
      <w:r w:rsidR="004C3558">
        <w:t>o</w:t>
      </w:r>
      <w:r w:rsidR="00F67D42">
        <w:t>n human resource</w:t>
      </w:r>
      <w:r w:rsidR="00A21211">
        <w:t>s</w:t>
      </w:r>
      <w:r w:rsidR="00F67D42">
        <w:t xml:space="preserve"> </w:t>
      </w:r>
      <w:r w:rsidR="00B434BF">
        <w:t>in the health sector</w:t>
      </w:r>
      <w:r w:rsidR="00F67D42">
        <w:t>.</w:t>
      </w:r>
    </w:p>
    <w:p w:rsidR="00A91F4F" w:rsidRDefault="00FC4239" w:rsidP="00FC4239">
      <w:pPr>
        <w:spacing w:after="200" w:line="276" w:lineRule="auto"/>
        <w:rPr>
          <w:rFonts w:ascii="Franklin Gothic Book" w:eastAsia="Calibri" w:hAnsi="Franklin Gothic Book"/>
          <w:spacing w:val="-2"/>
          <w:sz w:val="21"/>
          <w:szCs w:val="21"/>
          <w:lang w:eastAsia="en-US"/>
        </w:rPr>
      </w:pPr>
      <w:r w:rsidRPr="009467D2">
        <w:rPr>
          <w:rFonts w:ascii="Franklin Gothic Book" w:eastAsia="Calibri" w:hAnsi="Franklin Gothic Book"/>
          <w:sz w:val="21"/>
          <w:szCs w:val="21"/>
          <w:lang w:eastAsia="en-US"/>
        </w:rPr>
        <w:t xml:space="preserve">Through our </w:t>
      </w:r>
      <w:r>
        <w:rPr>
          <w:rFonts w:ascii="Franklin Gothic Book" w:eastAsia="Calibri" w:hAnsi="Franklin Gothic Book"/>
          <w:sz w:val="21"/>
          <w:szCs w:val="21"/>
          <w:lang w:eastAsia="en-US"/>
        </w:rPr>
        <w:t>EVAW</w:t>
      </w:r>
      <w:r w:rsidRPr="009467D2">
        <w:rPr>
          <w:rFonts w:ascii="Franklin Gothic Book" w:eastAsia="Calibri" w:hAnsi="Franklin Gothic Book"/>
          <w:sz w:val="21"/>
          <w:szCs w:val="21"/>
          <w:lang w:eastAsia="en-US"/>
        </w:rPr>
        <w:t xml:space="preserve"> program</w:t>
      </w:r>
      <w:r>
        <w:rPr>
          <w:rFonts w:ascii="Franklin Gothic Book" w:eastAsia="Calibri" w:hAnsi="Franklin Gothic Book"/>
          <w:sz w:val="21"/>
          <w:szCs w:val="21"/>
          <w:lang w:eastAsia="en-US"/>
        </w:rPr>
        <w:t>,</w:t>
      </w:r>
      <w:r w:rsidRPr="001B23C8">
        <w:rPr>
          <w:rFonts w:ascii="Franklin Gothic Book" w:eastAsia="Calibri" w:hAnsi="Franklin Gothic Book"/>
          <w:spacing w:val="-2"/>
          <w:sz w:val="21"/>
          <w:szCs w:val="21"/>
          <w:lang w:eastAsia="en-US"/>
        </w:rPr>
        <w:t xml:space="preserve"> </w:t>
      </w:r>
      <w:r w:rsidR="0020000F">
        <w:rPr>
          <w:rFonts w:ascii="Franklin Gothic Book" w:eastAsia="Calibri" w:hAnsi="Franklin Gothic Book"/>
          <w:spacing w:val="-2"/>
          <w:sz w:val="21"/>
          <w:szCs w:val="21"/>
          <w:lang w:eastAsia="en-US"/>
        </w:rPr>
        <w:t xml:space="preserve">Australia’s </w:t>
      </w:r>
      <w:r>
        <w:rPr>
          <w:rFonts w:ascii="Franklin Gothic Book" w:eastAsia="Calibri" w:hAnsi="Franklin Gothic Book"/>
          <w:spacing w:val="-2"/>
          <w:sz w:val="21"/>
          <w:szCs w:val="21"/>
          <w:lang w:eastAsia="en-US"/>
        </w:rPr>
        <w:t>established partnership with</w:t>
      </w:r>
      <w:r w:rsidR="00A91F4F">
        <w:rPr>
          <w:rFonts w:ascii="Franklin Gothic Book" w:eastAsia="Calibri" w:hAnsi="Franklin Gothic Book"/>
          <w:spacing w:val="-2"/>
          <w:sz w:val="21"/>
          <w:szCs w:val="21"/>
          <w:lang w:eastAsia="en-US"/>
        </w:rPr>
        <w:t xml:space="preserve"> UN Women, GIZ, and </w:t>
      </w:r>
      <w:r w:rsidR="00103A2E">
        <w:rPr>
          <w:rFonts w:ascii="Franklin Gothic Book" w:eastAsia="Calibri" w:hAnsi="Franklin Gothic Book"/>
          <w:spacing w:val="-2"/>
          <w:sz w:val="21"/>
          <w:szCs w:val="21"/>
          <w:lang w:eastAsia="en-US"/>
        </w:rPr>
        <w:t>T</w:t>
      </w:r>
      <w:r w:rsidR="00A91F4F">
        <w:rPr>
          <w:rFonts w:ascii="Franklin Gothic Book" w:eastAsia="Calibri" w:hAnsi="Franklin Gothic Book"/>
          <w:spacing w:val="-2"/>
          <w:sz w:val="21"/>
          <w:szCs w:val="21"/>
          <w:lang w:eastAsia="en-US"/>
        </w:rPr>
        <w:t>he</w:t>
      </w:r>
      <w:r>
        <w:rPr>
          <w:rFonts w:ascii="Franklin Gothic Book" w:eastAsia="Calibri" w:hAnsi="Franklin Gothic Book"/>
          <w:spacing w:val="-2"/>
          <w:sz w:val="21"/>
          <w:szCs w:val="21"/>
          <w:lang w:eastAsia="en-US"/>
        </w:rPr>
        <w:t xml:space="preserve"> Asia Foundation allowed </w:t>
      </w:r>
      <w:r w:rsidR="0020000F">
        <w:rPr>
          <w:rFonts w:ascii="Franklin Gothic Book" w:eastAsia="Calibri" w:hAnsi="Franklin Gothic Book"/>
          <w:spacing w:val="-2"/>
          <w:sz w:val="21"/>
          <w:szCs w:val="21"/>
          <w:lang w:eastAsia="en-US"/>
        </w:rPr>
        <w:t xml:space="preserve">us to </w:t>
      </w:r>
      <w:r w:rsidR="00A91F4F">
        <w:rPr>
          <w:rFonts w:ascii="Franklin Gothic Book" w:eastAsia="Calibri" w:hAnsi="Franklin Gothic Book"/>
          <w:spacing w:val="-2"/>
          <w:sz w:val="21"/>
          <w:szCs w:val="21"/>
          <w:lang w:eastAsia="en-US"/>
        </w:rPr>
        <w:t>closely</w:t>
      </w:r>
      <w:r>
        <w:rPr>
          <w:rFonts w:ascii="Franklin Gothic Book" w:eastAsia="Calibri" w:hAnsi="Franklin Gothic Book"/>
          <w:spacing w:val="-2"/>
          <w:sz w:val="21"/>
          <w:szCs w:val="21"/>
          <w:lang w:eastAsia="en-US"/>
        </w:rPr>
        <w:t xml:space="preserve"> engage with </w:t>
      </w:r>
      <w:r w:rsidR="0020000F">
        <w:rPr>
          <w:rFonts w:ascii="Franklin Gothic Book" w:eastAsia="Calibri" w:hAnsi="Franklin Gothic Book"/>
          <w:spacing w:val="-2"/>
          <w:sz w:val="21"/>
          <w:szCs w:val="21"/>
          <w:lang w:eastAsia="en-US"/>
        </w:rPr>
        <w:t>Cambodian G</w:t>
      </w:r>
      <w:r>
        <w:rPr>
          <w:rFonts w:ascii="Franklin Gothic Book" w:eastAsia="Calibri" w:hAnsi="Franklin Gothic Book"/>
          <w:spacing w:val="-2"/>
          <w:sz w:val="21"/>
          <w:szCs w:val="21"/>
          <w:lang w:eastAsia="en-US"/>
        </w:rPr>
        <w:t>overnment</w:t>
      </w:r>
      <w:r w:rsidR="00A91F4F">
        <w:rPr>
          <w:rFonts w:ascii="Franklin Gothic Book" w:eastAsia="Calibri" w:hAnsi="Franklin Gothic Book"/>
          <w:spacing w:val="-2"/>
          <w:sz w:val="21"/>
          <w:szCs w:val="21"/>
          <w:lang w:eastAsia="en-US"/>
        </w:rPr>
        <w:t xml:space="preserve"> agencies</w:t>
      </w:r>
      <w:r w:rsidR="0020000F">
        <w:rPr>
          <w:rFonts w:ascii="Franklin Gothic Book" w:eastAsia="Calibri" w:hAnsi="Franklin Gothic Book"/>
          <w:spacing w:val="-2"/>
          <w:sz w:val="21"/>
          <w:szCs w:val="21"/>
          <w:lang w:eastAsia="en-US"/>
        </w:rPr>
        <w:t xml:space="preserve"> </w:t>
      </w:r>
      <w:r w:rsidR="00103A2E">
        <w:rPr>
          <w:rFonts w:ascii="Franklin Gothic Book" w:eastAsia="Calibri" w:hAnsi="Franklin Gothic Book"/>
          <w:spacing w:val="-2"/>
          <w:sz w:val="21"/>
          <w:szCs w:val="21"/>
          <w:lang w:eastAsia="en-US"/>
        </w:rPr>
        <w:t>–</w:t>
      </w:r>
      <w:r w:rsidR="0020000F">
        <w:rPr>
          <w:rFonts w:ascii="Franklin Gothic Book" w:eastAsia="Calibri" w:hAnsi="Franklin Gothic Book"/>
          <w:spacing w:val="-2"/>
          <w:sz w:val="21"/>
          <w:szCs w:val="21"/>
          <w:lang w:eastAsia="en-US"/>
        </w:rPr>
        <w:t xml:space="preserve"> particular</w:t>
      </w:r>
      <w:r w:rsidR="00A91F4F">
        <w:rPr>
          <w:rFonts w:ascii="Franklin Gothic Book" w:eastAsia="Calibri" w:hAnsi="Franklin Gothic Book"/>
          <w:spacing w:val="-2"/>
          <w:sz w:val="21"/>
          <w:szCs w:val="21"/>
          <w:lang w:eastAsia="en-US"/>
        </w:rPr>
        <w:t>ly</w:t>
      </w:r>
      <w:r w:rsidR="00103A2E">
        <w:rPr>
          <w:rFonts w:ascii="Franklin Gothic Book" w:eastAsia="Calibri" w:hAnsi="Franklin Gothic Book"/>
          <w:spacing w:val="-2"/>
          <w:sz w:val="21"/>
          <w:szCs w:val="21"/>
          <w:lang w:eastAsia="en-US"/>
        </w:rPr>
        <w:t xml:space="preserve"> the </w:t>
      </w:r>
      <w:r w:rsidR="00A91F4F">
        <w:rPr>
          <w:rFonts w:ascii="Franklin Gothic Book" w:eastAsia="Calibri" w:hAnsi="Franklin Gothic Book"/>
          <w:spacing w:val="-2"/>
          <w:sz w:val="21"/>
          <w:szCs w:val="21"/>
          <w:lang w:eastAsia="en-US"/>
        </w:rPr>
        <w:t>Ministry of Women’s Affairs</w:t>
      </w:r>
      <w:r w:rsidR="0020000F">
        <w:rPr>
          <w:rFonts w:ascii="Franklin Gothic Book" w:eastAsia="Calibri" w:hAnsi="Franklin Gothic Book"/>
          <w:spacing w:val="-2"/>
          <w:sz w:val="21"/>
          <w:szCs w:val="21"/>
          <w:lang w:eastAsia="en-US"/>
        </w:rPr>
        <w:t xml:space="preserve"> </w:t>
      </w:r>
      <w:r w:rsidR="00A21211">
        <w:rPr>
          <w:rFonts w:ascii="Franklin Gothic Book" w:eastAsia="Calibri" w:hAnsi="Franklin Gothic Book"/>
          <w:spacing w:val="-2"/>
          <w:sz w:val="21"/>
          <w:szCs w:val="21"/>
          <w:lang w:eastAsia="en-US"/>
        </w:rPr>
        <w:t>-</w:t>
      </w:r>
      <w:r w:rsidR="00244F43">
        <w:rPr>
          <w:rFonts w:ascii="Franklin Gothic Book" w:eastAsia="Calibri" w:hAnsi="Franklin Gothic Book"/>
          <w:spacing w:val="-2"/>
          <w:sz w:val="21"/>
          <w:szCs w:val="21"/>
          <w:lang w:eastAsia="en-US"/>
        </w:rPr>
        <w:t xml:space="preserve"> and</w:t>
      </w:r>
      <w:r w:rsidR="00A91F4F">
        <w:rPr>
          <w:rFonts w:ascii="Franklin Gothic Book" w:eastAsia="Calibri" w:hAnsi="Franklin Gothic Book"/>
          <w:spacing w:val="-2"/>
          <w:sz w:val="21"/>
          <w:szCs w:val="21"/>
          <w:lang w:eastAsia="en-US"/>
        </w:rPr>
        <w:t xml:space="preserve"> with the networks of NGOs for research work and implementation.</w:t>
      </w:r>
    </w:p>
    <w:p w:rsidR="003D0884" w:rsidRDefault="003D0884" w:rsidP="003D0884">
      <w:pPr>
        <w:pStyle w:val="Heading3"/>
      </w:pPr>
      <w:r>
        <w:t>Risks</w:t>
      </w:r>
    </w:p>
    <w:p w:rsidR="003D0884" w:rsidRDefault="003D0884" w:rsidP="003D0884">
      <w:pPr>
        <w:pStyle w:val="ListBullet"/>
        <w:numPr>
          <w:ilvl w:val="0"/>
          <w:numId w:val="0"/>
        </w:numPr>
      </w:pPr>
      <w:r w:rsidRPr="00A05C63">
        <w:t xml:space="preserve">Key risks managed by the </w:t>
      </w:r>
      <w:r>
        <w:t>aid p</w:t>
      </w:r>
      <w:r w:rsidRPr="00A05C63">
        <w:t>ro</w:t>
      </w:r>
      <w:r>
        <w:t xml:space="preserve">gram are set out in Table 3 below. </w:t>
      </w:r>
    </w:p>
    <w:p w:rsidR="003D0884" w:rsidRDefault="003D0884" w:rsidP="003D0884">
      <w:pPr>
        <w:pStyle w:val="Caption"/>
      </w:pPr>
      <w:r>
        <w:t>Table 3 Management of Key Risks to Achieving Objectives</w:t>
      </w:r>
    </w:p>
    <w:tbl>
      <w:tblPr>
        <w:tblStyle w:val="APPR"/>
        <w:tblW w:w="5001" w:type="pct"/>
        <w:tblLook w:val="0600" w:firstRow="0" w:lastRow="0" w:firstColumn="0" w:lastColumn="0" w:noHBand="1" w:noVBand="1"/>
        <w:tblCaption w:val="Table 3 Management of Key Risks to Achieving Objectives"/>
        <w:tblDescription w:val="Table 3 shows how the Australian aid program has managed key risks associated with achieving its strategy objectives.  The table shows key risks, what actions were taken to manage the risks in financial year 2014-15, what further actions will be taken to manage the risks in financial year 2015-16.  "/>
      </w:tblPr>
      <w:tblGrid>
        <w:gridCol w:w="2653"/>
        <w:gridCol w:w="3232"/>
        <w:gridCol w:w="3319"/>
      </w:tblGrid>
      <w:tr w:rsidR="003D0884" w:rsidRPr="00180B19" w:rsidTr="003D0884">
        <w:tc>
          <w:tcPr>
            <w:tcW w:w="2611" w:type="dxa"/>
            <w:hideMark/>
          </w:tcPr>
          <w:p w:rsidR="003D0884" w:rsidRPr="005023D9" w:rsidRDefault="003D0884" w:rsidP="00395B50">
            <w:pPr>
              <w:pStyle w:val="TableTextColumnHeading"/>
            </w:pPr>
            <w:r w:rsidRPr="005023D9">
              <w:t>Key risks</w:t>
            </w:r>
          </w:p>
        </w:tc>
        <w:tc>
          <w:tcPr>
            <w:tcW w:w="3204" w:type="dxa"/>
          </w:tcPr>
          <w:p w:rsidR="003D0884" w:rsidRPr="005023D9" w:rsidRDefault="003D0884" w:rsidP="00395B50">
            <w:pPr>
              <w:pStyle w:val="TableTextColumnHeading"/>
            </w:pPr>
            <w:r w:rsidRPr="005023D9">
              <w:t>What actions were taken to manage the risks over the past year</w:t>
            </w:r>
            <w:r>
              <w:t>?</w:t>
            </w:r>
          </w:p>
        </w:tc>
        <w:tc>
          <w:tcPr>
            <w:tcW w:w="3277" w:type="dxa"/>
          </w:tcPr>
          <w:p w:rsidR="003D0884" w:rsidRPr="005023D9" w:rsidRDefault="003D0884" w:rsidP="00395B50">
            <w:pPr>
              <w:pStyle w:val="TableTextColumnHeading"/>
            </w:pPr>
            <w:r w:rsidRPr="005023D9">
              <w:t>What further actions will be taken to manage the risks in the coming year</w:t>
            </w:r>
            <w:r>
              <w:t>?</w:t>
            </w:r>
          </w:p>
        </w:tc>
      </w:tr>
      <w:tr w:rsidR="003D0884" w:rsidRPr="00180B19" w:rsidTr="003D0884">
        <w:tc>
          <w:tcPr>
            <w:tcW w:w="2611" w:type="dxa"/>
          </w:tcPr>
          <w:p w:rsidR="003D0884" w:rsidRPr="00A21211" w:rsidRDefault="003D0884" w:rsidP="003D0884">
            <w:pPr>
              <w:pStyle w:val="TableTextEntries"/>
            </w:pPr>
            <w:r>
              <w:t xml:space="preserve">Safeguard standards including child protection, fraud, </w:t>
            </w:r>
            <w:r w:rsidR="00980F7B">
              <w:t>Work Health and Safety (</w:t>
            </w:r>
            <w:r>
              <w:t>WHS</w:t>
            </w:r>
            <w:r w:rsidR="00980F7B">
              <w:t>)</w:t>
            </w:r>
            <w:r>
              <w:t xml:space="preserve">, environmental and resettlement safeguards are not met.   </w:t>
            </w:r>
          </w:p>
        </w:tc>
        <w:tc>
          <w:tcPr>
            <w:tcW w:w="3204" w:type="dxa"/>
          </w:tcPr>
          <w:p w:rsidR="003D0884" w:rsidRPr="004C4A3E" w:rsidRDefault="003D0884" w:rsidP="003D0884">
            <w:pPr>
              <w:pStyle w:val="TableTextEntries"/>
            </w:pPr>
            <w:r>
              <w:t>Ongoing training of DFAT officers, delivery partners and Cambodian Government counterpart agencies delivered, and safeguard assessments regularly undertaken as part of all projects.</w:t>
            </w:r>
          </w:p>
        </w:tc>
        <w:tc>
          <w:tcPr>
            <w:tcW w:w="3277" w:type="dxa"/>
          </w:tcPr>
          <w:p w:rsidR="003D0884" w:rsidRPr="004C4A3E" w:rsidRDefault="003D0884" w:rsidP="003D0884">
            <w:pPr>
              <w:pStyle w:val="TableTextEntries"/>
            </w:pPr>
            <w:r>
              <w:t xml:space="preserve">Continue to implement an ongoing program of training, awareness raising, monitoring and compliance checks. </w:t>
            </w:r>
          </w:p>
        </w:tc>
      </w:tr>
      <w:tr w:rsidR="003D0884" w:rsidRPr="00180B19" w:rsidTr="003D0884">
        <w:tc>
          <w:tcPr>
            <w:tcW w:w="2611" w:type="dxa"/>
          </w:tcPr>
          <w:p w:rsidR="003D0884" w:rsidRDefault="003D0884" w:rsidP="003D0884">
            <w:pPr>
              <w:pStyle w:val="TableTextEntries"/>
              <w:rPr>
                <w:lang w:eastAsia="en-AU"/>
              </w:rPr>
            </w:pPr>
            <w:r>
              <w:t>Large pipeline of new programs/ program designs (including: 3i, CAVAC Phase II, Community Policing Initiative, Clearing for Results Phase III, Rural Roads Improvement Project Phase II, new health program) leads to delays, program gaps and fluctuating financial needs.</w:t>
            </w:r>
          </w:p>
        </w:tc>
        <w:tc>
          <w:tcPr>
            <w:tcW w:w="3204" w:type="dxa"/>
          </w:tcPr>
          <w:p w:rsidR="003D0884" w:rsidRPr="00E23893" w:rsidRDefault="003D0884" w:rsidP="003D0884">
            <w:pPr>
              <w:pStyle w:val="TableTextEntries"/>
              <w:rPr>
                <w:lang w:eastAsia="en-AU"/>
              </w:rPr>
            </w:pPr>
            <w:r>
              <w:rPr>
                <w:lang w:eastAsia="en-AU"/>
              </w:rPr>
              <w:t xml:space="preserve">Devoted significant management attention to designs/ policy dialogue/ contracting and program mobilisation throughout 2014-15.  </w:t>
            </w:r>
          </w:p>
        </w:tc>
        <w:tc>
          <w:tcPr>
            <w:tcW w:w="3277" w:type="dxa"/>
          </w:tcPr>
          <w:p w:rsidR="003D0884" w:rsidRDefault="003D0884" w:rsidP="003D0884">
            <w:pPr>
              <w:pStyle w:val="TableTextEntries"/>
              <w:rPr>
                <w:lang w:eastAsia="en-AU"/>
              </w:rPr>
            </w:pPr>
            <w:r>
              <w:rPr>
                <w:lang w:eastAsia="en-AU"/>
              </w:rPr>
              <w:t>Continue to ensure that new/ transitioning programs are closely managed by all staff with aid responsibilities at Embassy.</w:t>
            </w:r>
          </w:p>
        </w:tc>
      </w:tr>
      <w:tr w:rsidR="003D0884" w:rsidRPr="00180B19" w:rsidTr="003D0884">
        <w:tc>
          <w:tcPr>
            <w:tcW w:w="2611" w:type="dxa"/>
          </w:tcPr>
          <w:p w:rsidR="003D0884" w:rsidRDefault="003D0884" w:rsidP="003D0884">
            <w:pPr>
              <w:pStyle w:val="TableTextEntries"/>
            </w:pPr>
            <w:r>
              <w:t>Bilateral relationship issues could impact the aid program, including the sectors we work in.</w:t>
            </w:r>
          </w:p>
        </w:tc>
        <w:tc>
          <w:tcPr>
            <w:tcW w:w="3204" w:type="dxa"/>
          </w:tcPr>
          <w:p w:rsidR="003D0884" w:rsidRPr="00C67F9E" w:rsidRDefault="003D0884" w:rsidP="003D0884">
            <w:pPr>
              <w:rPr>
                <w:rFonts w:ascii="Franklin Gothic Book" w:eastAsia="Times New Roman" w:hAnsi="Franklin Gothic Book"/>
                <w:iCs/>
                <w:sz w:val="17"/>
                <w:szCs w:val="17"/>
                <w:lang w:eastAsia="en-US"/>
              </w:rPr>
            </w:pPr>
            <w:r w:rsidRPr="00C67F9E">
              <w:rPr>
                <w:rFonts w:ascii="Franklin Gothic Book" w:eastAsia="Times New Roman" w:hAnsi="Franklin Gothic Book"/>
                <w:iCs/>
                <w:sz w:val="17"/>
                <w:szCs w:val="17"/>
                <w:lang w:eastAsia="en-US"/>
              </w:rPr>
              <w:t xml:space="preserve">Australia’s aid program is designed to be flexible and we have engaged regularly with implementing partners to manage expectations. </w:t>
            </w:r>
          </w:p>
          <w:p w:rsidR="003D0884" w:rsidRDefault="003D0884" w:rsidP="003D0884">
            <w:pPr>
              <w:pStyle w:val="TableTextEntries"/>
            </w:pPr>
          </w:p>
        </w:tc>
        <w:tc>
          <w:tcPr>
            <w:tcW w:w="3277" w:type="dxa"/>
          </w:tcPr>
          <w:p w:rsidR="003D0884" w:rsidRPr="00C67F9E" w:rsidRDefault="003D0884" w:rsidP="00897695">
            <w:pPr>
              <w:rPr>
                <w:rFonts w:ascii="Franklin Gothic Book" w:eastAsia="Times New Roman" w:hAnsi="Franklin Gothic Book"/>
                <w:iCs/>
                <w:sz w:val="17"/>
                <w:szCs w:val="17"/>
                <w:lang w:eastAsia="en-US"/>
              </w:rPr>
            </w:pPr>
            <w:r w:rsidRPr="00C67F9E">
              <w:rPr>
                <w:rFonts w:ascii="Franklin Gothic Book" w:eastAsia="Times New Roman" w:hAnsi="Franklin Gothic Book"/>
                <w:iCs/>
                <w:sz w:val="17"/>
                <w:szCs w:val="17"/>
                <w:lang w:eastAsia="en-US"/>
              </w:rPr>
              <w:t xml:space="preserve">Australia’s aid program will </w:t>
            </w:r>
            <w:r>
              <w:rPr>
                <w:rFonts w:ascii="Franklin Gothic Book" w:eastAsia="Times New Roman" w:hAnsi="Franklin Gothic Book"/>
                <w:iCs/>
                <w:sz w:val="17"/>
                <w:szCs w:val="17"/>
                <w:lang w:eastAsia="en-US"/>
              </w:rPr>
              <w:t>continue to be flexible</w:t>
            </w:r>
            <w:r w:rsidR="00897695">
              <w:rPr>
                <w:rFonts w:ascii="Franklin Gothic Book" w:eastAsia="Times New Roman" w:hAnsi="Franklin Gothic Book"/>
                <w:iCs/>
                <w:sz w:val="17"/>
                <w:szCs w:val="17"/>
                <w:lang w:eastAsia="en-US"/>
              </w:rPr>
              <w:t>,</w:t>
            </w:r>
            <w:r>
              <w:rPr>
                <w:rFonts w:ascii="Franklin Gothic Book" w:eastAsia="Times New Roman" w:hAnsi="Franklin Gothic Book"/>
                <w:iCs/>
                <w:sz w:val="17"/>
                <w:szCs w:val="17"/>
                <w:lang w:eastAsia="en-US"/>
              </w:rPr>
              <w:t xml:space="preserve"> </w:t>
            </w:r>
            <w:r w:rsidRPr="00C67F9E">
              <w:rPr>
                <w:rFonts w:ascii="Franklin Gothic Book" w:eastAsia="Times New Roman" w:hAnsi="Franklin Gothic Book"/>
                <w:iCs/>
                <w:sz w:val="17"/>
                <w:szCs w:val="17"/>
                <w:lang w:eastAsia="en-US"/>
              </w:rPr>
              <w:t>and the design for any future program or subsequent phases</w:t>
            </w:r>
            <w:r>
              <w:rPr>
                <w:rFonts w:ascii="Franklin Gothic Book" w:eastAsia="Times New Roman" w:hAnsi="Franklin Gothic Book"/>
                <w:iCs/>
                <w:sz w:val="17"/>
                <w:szCs w:val="17"/>
                <w:lang w:eastAsia="en-US"/>
              </w:rPr>
              <w:t xml:space="preserve"> of a program will adapt to the operating environment</w:t>
            </w:r>
            <w:r w:rsidRPr="00C67F9E">
              <w:rPr>
                <w:rFonts w:ascii="Franklin Gothic Book" w:eastAsia="Times New Roman" w:hAnsi="Franklin Gothic Book"/>
                <w:iCs/>
                <w:sz w:val="17"/>
                <w:szCs w:val="17"/>
                <w:lang w:eastAsia="en-US"/>
              </w:rPr>
              <w:t xml:space="preserve">. </w:t>
            </w:r>
          </w:p>
        </w:tc>
      </w:tr>
      <w:tr w:rsidR="003D0884" w:rsidRPr="00180B19" w:rsidTr="003D0884">
        <w:tc>
          <w:tcPr>
            <w:tcW w:w="2611" w:type="dxa"/>
          </w:tcPr>
          <w:p w:rsidR="003D0884" w:rsidRPr="00384B95" w:rsidRDefault="003D0884" w:rsidP="00980F7B">
            <w:pPr>
              <w:pStyle w:val="TableTextEntries"/>
              <w:rPr>
                <w:sz w:val="16"/>
                <w:szCs w:val="16"/>
              </w:rPr>
            </w:pPr>
            <w:r>
              <w:rPr>
                <w:lang w:eastAsia="en-AU"/>
              </w:rPr>
              <w:t>Core component of Australia's contribution to the Cambodian health sector (the Health Equity Funds - HEF) may</w:t>
            </w:r>
            <w:r w:rsidR="00980F7B">
              <w:rPr>
                <w:lang w:eastAsia="en-AU"/>
              </w:rPr>
              <w:t xml:space="preserve"> be jeopardised</w:t>
            </w:r>
            <w:r>
              <w:rPr>
                <w:lang w:eastAsia="en-AU"/>
              </w:rPr>
              <w:t xml:space="preserve"> if a new health sector support program is not established before current program closes</w:t>
            </w:r>
            <w:r w:rsidR="00F5174F">
              <w:rPr>
                <w:lang w:eastAsia="en-AU"/>
              </w:rPr>
              <w:t>.</w:t>
            </w:r>
          </w:p>
        </w:tc>
        <w:tc>
          <w:tcPr>
            <w:tcW w:w="3204" w:type="dxa"/>
          </w:tcPr>
          <w:p w:rsidR="003D0884" w:rsidRPr="004C4A3E" w:rsidRDefault="003D0884" w:rsidP="003D0884">
            <w:pPr>
              <w:pStyle w:val="TableTextEntries"/>
            </w:pPr>
            <w:r w:rsidRPr="00E23893">
              <w:rPr>
                <w:lang w:eastAsia="en-AU"/>
              </w:rPr>
              <w:t xml:space="preserve">Led policy discussions with the Cambodian Government and development partners on the development of a new health program, including the provision of analysis to support the design </w:t>
            </w:r>
            <w:r w:rsidRPr="00E25BC8">
              <w:rPr>
                <w:lang w:eastAsia="en-AU"/>
              </w:rPr>
              <w:t>process.</w:t>
            </w:r>
          </w:p>
        </w:tc>
        <w:tc>
          <w:tcPr>
            <w:tcW w:w="3277" w:type="dxa"/>
          </w:tcPr>
          <w:p w:rsidR="003D0884" w:rsidRPr="004C4A3E" w:rsidRDefault="003D0884" w:rsidP="003D0884">
            <w:pPr>
              <w:pStyle w:val="TableTextEntries"/>
            </w:pPr>
            <w:r>
              <w:rPr>
                <w:lang w:eastAsia="en-AU"/>
              </w:rPr>
              <w:t>Regular dialogue with key stakeholders including the World Bank, MoH and MEF to ensure the HSSP2 extension is in place to support the continuity of HEF implementation on the ground while the new health program design led by the World Bank is in process.</w:t>
            </w:r>
          </w:p>
        </w:tc>
      </w:tr>
      <w:tr w:rsidR="003D0884" w:rsidRPr="00180B19" w:rsidTr="003D0884">
        <w:tc>
          <w:tcPr>
            <w:tcW w:w="2611" w:type="dxa"/>
            <w:hideMark/>
          </w:tcPr>
          <w:p w:rsidR="003D0884" w:rsidRPr="004C4A3E" w:rsidRDefault="003D0884" w:rsidP="003D0884">
            <w:pPr>
              <w:pStyle w:val="TableTextEntries"/>
            </w:pPr>
            <w:r>
              <w:t>Closure of CCJAP and mobilisation of Community Policing Initiative (CPI) does not proceed smoothly</w:t>
            </w:r>
            <w:r w:rsidR="00F5174F">
              <w:t>.</w:t>
            </w:r>
          </w:p>
        </w:tc>
        <w:tc>
          <w:tcPr>
            <w:tcW w:w="3204" w:type="dxa"/>
          </w:tcPr>
          <w:p w:rsidR="003D0884" w:rsidRDefault="003D0884" w:rsidP="003D0884">
            <w:pPr>
              <w:pStyle w:val="TableTextEntries"/>
            </w:pPr>
            <w:r>
              <w:t xml:space="preserve">Regular dialogue with all key stakeholders – including reconfirming Cambodian Government’s commitment to the proposed course of action during HLCs in September 2014. </w:t>
            </w:r>
          </w:p>
          <w:p w:rsidR="003D0884" w:rsidRPr="004C4A3E" w:rsidRDefault="003D0884" w:rsidP="003D0884">
            <w:pPr>
              <w:pStyle w:val="TableTextEntries"/>
            </w:pPr>
          </w:p>
        </w:tc>
        <w:tc>
          <w:tcPr>
            <w:tcW w:w="3277" w:type="dxa"/>
          </w:tcPr>
          <w:p w:rsidR="003D0884" w:rsidRPr="004C4A3E" w:rsidRDefault="003D0884" w:rsidP="003D0884">
            <w:pPr>
              <w:pStyle w:val="TableTextEntries"/>
            </w:pPr>
            <w:r>
              <w:t>Preparation of CCJAP exit strategy. Establishment of mobilisation plan for CPI</w:t>
            </w:r>
            <w:r w:rsidR="00F5174F">
              <w:t>.</w:t>
            </w:r>
          </w:p>
        </w:tc>
      </w:tr>
    </w:tbl>
    <w:p w:rsidR="004A481C" w:rsidRDefault="004A481C" w:rsidP="003D0884">
      <w:pPr>
        <w:pStyle w:val="Heading2"/>
        <w:rPr>
          <w:sz w:val="28"/>
        </w:rPr>
      </w:pPr>
    </w:p>
    <w:p w:rsidR="003D0884" w:rsidRPr="0007149C" w:rsidRDefault="004A481C" w:rsidP="004174C1">
      <w:pPr>
        <w:pStyle w:val="Heading2"/>
      </w:pPr>
      <w:r>
        <w:br w:type="page"/>
      </w:r>
      <w:r w:rsidR="003D0884" w:rsidRPr="0007149C">
        <w:lastRenderedPageBreak/>
        <w:t>Management Responses</w:t>
      </w:r>
      <w:r w:rsidR="003D0884" w:rsidRPr="0007149C">
        <w:tab/>
      </w:r>
      <w:r w:rsidR="003D0884" w:rsidRPr="0007149C">
        <w:tab/>
      </w:r>
    </w:p>
    <w:p w:rsidR="003D0884" w:rsidRDefault="003D0884" w:rsidP="003D0884">
      <w:pPr>
        <w:spacing w:after="200" w:line="276" w:lineRule="auto"/>
        <w:rPr>
          <w:rFonts w:ascii="Franklin Gothic Book" w:eastAsia="Calibri" w:hAnsi="Franklin Gothic Book"/>
          <w:spacing w:val="-2"/>
          <w:sz w:val="21"/>
          <w:szCs w:val="21"/>
          <w:lang w:eastAsia="en-US"/>
        </w:rPr>
      </w:pPr>
      <w:r w:rsidRPr="00183004">
        <w:rPr>
          <w:rFonts w:ascii="Franklin Gothic Book" w:eastAsia="Calibri" w:hAnsi="Franklin Gothic Book"/>
          <w:spacing w:val="-2"/>
          <w:sz w:val="21"/>
          <w:szCs w:val="21"/>
          <w:lang w:eastAsia="en-US"/>
        </w:rPr>
        <w:t xml:space="preserve">The program has effectively managed and responded to the </w:t>
      </w:r>
      <w:r>
        <w:rPr>
          <w:rFonts w:ascii="Franklin Gothic Book" w:eastAsia="Calibri" w:hAnsi="Franklin Gothic Book"/>
          <w:spacing w:val="-2"/>
          <w:sz w:val="21"/>
          <w:szCs w:val="21"/>
          <w:lang w:eastAsia="en-US"/>
        </w:rPr>
        <w:t>m</w:t>
      </w:r>
      <w:r w:rsidRPr="00183004">
        <w:rPr>
          <w:rFonts w:ascii="Franklin Gothic Book" w:eastAsia="Calibri" w:hAnsi="Franklin Gothic Book"/>
          <w:spacing w:val="-2"/>
          <w:sz w:val="21"/>
          <w:szCs w:val="21"/>
          <w:lang w:eastAsia="en-US"/>
        </w:rPr>
        <w:t xml:space="preserve">anagement </w:t>
      </w:r>
      <w:r>
        <w:rPr>
          <w:rFonts w:ascii="Franklin Gothic Book" w:eastAsia="Calibri" w:hAnsi="Franklin Gothic Book"/>
          <w:spacing w:val="-2"/>
          <w:sz w:val="21"/>
          <w:szCs w:val="21"/>
          <w:lang w:eastAsia="en-US"/>
        </w:rPr>
        <w:t>r</w:t>
      </w:r>
      <w:r w:rsidRPr="00183004">
        <w:rPr>
          <w:rFonts w:ascii="Franklin Gothic Book" w:eastAsia="Calibri" w:hAnsi="Franklin Gothic Book"/>
          <w:spacing w:val="-2"/>
          <w:sz w:val="21"/>
          <w:szCs w:val="21"/>
          <w:lang w:eastAsia="en-US"/>
        </w:rPr>
        <w:t xml:space="preserve">esponses identified in 2013-14 APPR. </w:t>
      </w:r>
      <w:r>
        <w:rPr>
          <w:rFonts w:ascii="Franklin Gothic Book" w:eastAsia="Calibri" w:hAnsi="Franklin Gothic Book"/>
          <w:spacing w:val="-2"/>
          <w:sz w:val="21"/>
          <w:szCs w:val="21"/>
          <w:lang w:eastAsia="en-US"/>
        </w:rPr>
        <w:t xml:space="preserve"> Analysis</w:t>
      </w:r>
      <w:r w:rsidRPr="00183004">
        <w:rPr>
          <w:rFonts w:ascii="Franklin Gothic Book" w:eastAsia="Calibri" w:hAnsi="Franklin Gothic Book"/>
          <w:spacing w:val="-2"/>
          <w:sz w:val="21"/>
          <w:szCs w:val="21"/>
          <w:lang w:eastAsia="en-US"/>
        </w:rPr>
        <w:t xml:space="preserve"> of progress is </w:t>
      </w:r>
      <w:r>
        <w:rPr>
          <w:rFonts w:ascii="Franklin Gothic Book" w:eastAsia="Calibri" w:hAnsi="Franklin Gothic Book"/>
          <w:spacing w:val="-2"/>
          <w:sz w:val="21"/>
          <w:szCs w:val="21"/>
          <w:lang w:eastAsia="en-US"/>
        </w:rPr>
        <w:t>set out in</w:t>
      </w:r>
      <w:r w:rsidRPr="00183004">
        <w:rPr>
          <w:rFonts w:ascii="Franklin Gothic Book" w:eastAsia="Calibri" w:hAnsi="Franklin Gothic Book"/>
          <w:spacing w:val="-2"/>
          <w:sz w:val="21"/>
          <w:szCs w:val="21"/>
          <w:lang w:eastAsia="en-US"/>
        </w:rPr>
        <w:t xml:space="preserve"> Annex A. </w:t>
      </w:r>
      <w:r>
        <w:rPr>
          <w:rFonts w:ascii="Franklin Gothic Book" w:eastAsia="Calibri" w:hAnsi="Franklin Gothic Book"/>
          <w:spacing w:val="-2"/>
          <w:sz w:val="21"/>
          <w:szCs w:val="21"/>
          <w:lang w:eastAsia="en-US"/>
        </w:rPr>
        <w:t xml:space="preserve"> </w:t>
      </w:r>
      <w:r w:rsidRPr="00183004">
        <w:rPr>
          <w:rFonts w:ascii="Franklin Gothic Book" w:eastAsia="Calibri" w:hAnsi="Franklin Gothic Book"/>
          <w:spacing w:val="-2"/>
          <w:sz w:val="21"/>
          <w:szCs w:val="21"/>
          <w:lang w:eastAsia="en-US"/>
        </w:rPr>
        <w:t>Strategic priorities for the Cambodia program during 201</w:t>
      </w:r>
      <w:r>
        <w:rPr>
          <w:rFonts w:ascii="Franklin Gothic Book" w:eastAsia="Calibri" w:hAnsi="Franklin Gothic Book"/>
          <w:spacing w:val="-2"/>
          <w:sz w:val="21"/>
          <w:szCs w:val="21"/>
          <w:lang w:eastAsia="en-US"/>
        </w:rPr>
        <w:t>5</w:t>
      </w:r>
      <w:r w:rsidRPr="00183004">
        <w:rPr>
          <w:rFonts w:ascii="Franklin Gothic Book" w:eastAsia="Calibri" w:hAnsi="Franklin Gothic Book"/>
          <w:spacing w:val="-2"/>
          <w:sz w:val="21"/>
          <w:szCs w:val="21"/>
          <w:lang w:eastAsia="en-US"/>
        </w:rPr>
        <w:t>-1</w:t>
      </w:r>
      <w:r>
        <w:rPr>
          <w:rFonts w:ascii="Franklin Gothic Book" w:eastAsia="Calibri" w:hAnsi="Franklin Gothic Book"/>
          <w:spacing w:val="-2"/>
          <w:sz w:val="21"/>
          <w:szCs w:val="21"/>
          <w:lang w:eastAsia="en-US"/>
        </w:rPr>
        <w:t>6</w:t>
      </w:r>
      <w:r w:rsidRPr="00183004">
        <w:rPr>
          <w:rFonts w:ascii="Franklin Gothic Book" w:eastAsia="Calibri" w:hAnsi="Franklin Gothic Book"/>
          <w:spacing w:val="-2"/>
          <w:sz w:val="21"/>
          <w:szCs w:val="21"/>
          <w:lang w:eastAsia="en-US"/>
        </w:rPr>
        <w:t xml:space="preserve"> are</w:t>
      </w:r>
      <w:r>
        <w:rPr>
          <w:rFonts w:ascii="Franklin Gothic Book" w:eastAsia="Calibri" w:hAnsi="Franklin Gothic Book"/>
          <w:spacing w:val="-2"/>
          <w:sz w:val="21"/>
          <w:szCs w:val="21"/>
          <w:lang w:eastAsia="en-US"/>
        </w:rPr>
        <w:t xml:space="preserve"> set out below.</w:t>
      </w:r>
    </w:p>
    <w:p w:rsidR="003D0884" w:rsidRDefault="003D0884" w:rsidP="003D0884">
      <w:pPr>
        <w:spacing w:after="200" w:line="276" w:lineRule="auto"/>
        <w:rPr>
          <w:rFonts w:ascii="Franklin Gothic Book" w:eastAsia="Calibri" w:hAnsi="Franklin Gothic Book"/>
          <w:spacing w:val="-2"/>
          <w:sz w:val="21"/>
          <w:szCs w:val="21"/>
          <w:lang w:eastAsia="en-US"/>
        </w:rPr>
      </w:pPr>
      <w:r>
        <w:rPr>
          <w:rFonts w:ascii="Franklin Gothic Book" w:eastAsia="Calibri" w:hAnsi="Franklin Gothic Book"/>
          <w:spacing w:val="-2"/>
          <w:sz w:val="21"/>
          <w:szCs w:val="21"/>
          <w:lang w:eastAsia="en-US"/>
        </w:rPr>
        <w:t xml:space="preserve">Overarching </w:t>
      </w:r>
    </w:p>
    <w:p w:rsidR="003D0884" w:rsidRDefault="003D0884" w:rsidP="00AA3D41">
      <w:pPr>
        <w:pStyle w:val="ListBullet"/>
        <w:tabs>
          <w:tab w:val="clear" w:pos="284"/>
        </w:tabs>
      </w:pPr>
      <w:r w:rsidRPr="00F73C74">
        <w:t>Ensure</w:t>
      </w:r>
      <w:r>
        <w:t xml:space="preserve"> smooth transition to the new </w:t>
      </w:r>
      <w:hyperlink r:id="rId21" w:history="1">
        <w:r w:rsidRPr="00B94A86">
          <w:rPr>
            <w:rStyle w:val="Hyperlink"/>
            <w:sz w:val="21"/>
            <w:szCs w:val="24"/>
          </w:rPr>
          <w:t>Aid Investment Plan 2015-18</w:t>
        </w:r>
      </w:hyperlink>
      <w:r>
        <w:t>.</w:t>
      </w:r>
    </w:p>
    <w:p w:rsidR="003D0884" w:rsidRDefault="003D0884" w:rsidP="00AA3D41">
      <w:pPr>
        <w:pStyle w:val="ListBullet"/>
        <w:tabs>
          <w:tab w:val="clear" w:pos="284"/>
        </w:tabs>
      </w:pPr>
      <w:r>
        <w:t xml:space="preserve">Continue to consolidate the program to focus on fewer, larger activities to reduce administration and transaction costs for the Australian and Cambodian Governments, with a consistent focus on adhering to agreed mutual priorities as outlined in the </w:t>
      </w:r>
      <w:hyperlink r:id="rId22" w:history="1">
        <w:r w:rsidRPr="00B94A86">
          <w:rPr>
            <w:rStyle w:val="Hyperlink"/>
            <w:sz w:val="21"/>
            <w:szCs w:val="24"/>
          </w:rPr>
          <w:t>Aid Investment Plan 2015-18</w:t>
        </w:r>
      </w:hyperlink>
      <w:r>
        <w:t>.</w:t>
      </w:r>
    </w:p>
    <w:p w:rsidR="003D0884" w:rsidRDefault="003D0884" w:rsidP="00AA3D41">
      <w:pPr>
        <w:pStyle w:val="ListBullet"/>
        <w:tabs>
          <w:tab w:val="clear" w:pos="284"/>
        </w:tabs>
      </w:pPr>
      <w:r>
        <w:t xml:space="preserve">Ensure sufficient management attention is given to new and transitioning programs to avoid delays, program gaps and budget fluctuation.  </w:t>
      </w:r>
    </w:p>
    <w:p w:rsidR="003D0884" w:rsidRPr="00F73C74" w:rsidRDefault="003D0884" w:rsidP="00AA3D41">
      <w:pPr>
        <w:pStyle w:val="ListBullet"/>
        <w:tabs>
          <w:tab w:val="clear" w:pos="284"/>
        </w:tabs>
      </w:pPr>
      <w:r>
        <w:t xml:space="preserve">Maintain a strong focus on key risks such as child protection, fraud, work health and safety (WHS), as well as environmental and resettlement safeguards. </w:t>
      </w:r>
    </w:p>
    <w:p w:rsidR="003D0884" w:rsidRPr="008202E6" w:rsidRDefault="003D0884" w:rsidP="003D0884">
      <w:pPr>
        <w:pStyle w:val="ListBullet"/>
        <w:numPr>
          <w:ilvl w:val="0"/>
          <w:numId w:val="0"/>
        </w:numPr>
        <w:tabs>
          <w:tab w:val="clear" w:pos="284"/>
        </w:tabs>
        <w:ind w:left="360" w:hanging="360"/>
        <w:rPr>
          <w:i/>
          <w:iCs/>
          <w:u w:val="single"/>
        </w:rPr>
      </w:pPr>
      <w:r w:rsidRPr="008202E6">
        <w:rPr>
          <w:i/>
          <w:iCs/>
          <w:u w:val="single"/>
        </w:rPr>
        <w:t>Agriculture and Rural Development:</w:t>
      </w:r>
    </w:p>
    <w:p w:rsidR="003D0884" w:rsidRPr="00F73C74" w:rsidRDefault="003D0884" w:rsidP="00AA3D41">
      <w:pPr>
        <w:pStyle w:val="ListBullet"/>
        <w:tabs>
          <w:tab w:val="clear" w:pos="284"/>
        </w:tabs>
      </w:pPr>
      <w:r w:rsidRPr="00F73C74">
        <w:t>Ensure good preparation and smooth transition to CAVAC Phase II by January 2016</w:t>
      </w:r>
      <w:r>
        <w:t>.</w:t>
      </w:r>
      <w:r w:rsidRPr="00F73C74">
        <w:t xml:space="preserve"> </w:t>
      </w:r>
    </w:p>
    <w:p w:rsidR="003D0884" w:rsidRDefault="003D0884" w:rsidP="00AA3D41">
      <w:pPr>
        <w:pStyle w:val="ListBullet"/>
        <w:tabs>
          <w:tab w:val="clear" w:pos="284"/>
        </w:tabs>
      </w:pPr>
      <w:r w:rsidRPr="00F73C74">
        <w:t>Capture lesson</w:t>
      </w:r>
      <w:r>
        <w:t>s</w:t>
      </w:r>
      <w:r w:rsidRPr="00F73C74">
        <w:t xml:space="preserve"> learned from CAVAC Phase I </w:t>
      </w:r>
      <w:r>
        <w:t xml:space="preserve">in the end of project impact analysis </w:t>
      </w:r>
      <w:r w:rsidRPr="00F73C74">
        <w:t xml:space="preserve">to inform </w:t>
      </w:r>
      <w:r>
        <w:t xml:space="preserve">the implementation of CAVAC </w:t>
      </w:r>
      <w:r w:rsidRPr="00F73C74">
        <w:t>Phase II</w:t>
      </w:r>
      <w:r>
        <w:t>, including a specific focus on sustainability of FWUCs</w:t>
      </w:r>
      <w:r w:rsidRPr="00F73C74">
        <w:t>.</w:t>
      </w:r>
    </w:p>
    <w:p w:rsidR="003D0884" w:rsidRPr="00F73C74" w:rsidRDefault="003D0884" w:rsidP="003D0884">
      <w:pPr>
        <w:pStyle w:val="ListBullet"/>
      </w:pPr>
      <w:r>
        <w:t xml:space="preserve">Progress the design and ensure smooth transition to the next phase of demining support. </w:t>
      </w:r>
      <w:r w:rsidRPr="00F73C74">
        <w:t xml:space="preserve"> </w:t>
      </w:r>
    </w:p>
    <w:p w:rsidR="003D0884" w:rsidRPr="0090518C" w:rsidRDefault="003D0884" w:rsidP="003D0884">
      <w:pPr>
        <w:pStyle w:val="ListBullet"/>
        <w:numPr>
          <w:ilvl w:val="0"/>
          <w:numId w:val="0"/>
        </w:numPr>
        <w:tabs>
          <w:tab w:val="clear" w:pos="284"/>
        </w:tabs>
        <w:rPr>
          <w:i/>
          <w:iCs/>
          <w:u w:val="single"/>
        </w:rPr>
      </w:pPr>
      <w:r w:rsidRPr="0090518C">
        <w:rPr>
          <w:i/>
          <w:iCs/>
          <w:u w:val="single"/>
        </w:rPr>
        <w:t>Health:</w:t>
      </w:r>
    </w:p>
    <w:p w:rsidR="003D0884" w:rsidRDefault="003D0884" w:rsidP="00AA3D41">
      <w:pPr>
        <w:pStyle w:val="ListBullet"/>
        <w:tabs>
          <w:tab w:val="clear" w:pos="284"/>
        </w:tabs>
      </w:pPr>
      <w:r>
        <w:t>Work with the World Bank to ensure the timely delivery of the design for a new health program for 2016–20.</w:t>
      </w:r>
    </w:p>
    <w:p w:rsidR="003D0884" w:rsidRDefault="003D0884" w:rsidP="00AA3D41">
      <w:pPr>
        <w:pStyle w:val="ListBullet"/>
        <w:tabs>
          <w:tab w:val="clear" w:pos="284"/>
        </w:tabs>
      </w:pPr>
      <w:r>
        <w:t>Continue to advocate with the Cambodian Government to agree and implement reforms for a more sustainable and cost effective health financing mechanism.</w:t>
      </w:r>
    </w:p>
    <w:p w:rsidR="003D0884" w:rsidRDefault="003D0884" w:rsidP="00AA3D41">
      <w:pPr>
        <w:pStyle w:val="ListBullet"/>
        <w:tabs>
          <w:tab w:val="clear" w:pos="284"/>
        </w:tabs>
      </w:pPr>
      <w:r>
        <w:t>Independently review progress on Partnering to Save Lives to inform future investments in reproductive, maternal and child health.</w:t>
      </w:r>
    </w:p>
    <w:p w:rsidR="003D0884" w:rsidRPr="0018696E" w:rsidRDefault="003D0884" w:rsidP="003D0884">
      <w:pPr>
        <w:pStyle w:val="ListBullet"/>
        <w:numPr>
          <w:ilvl w:val="0"/>
          <w:numId w:val="0"/>
        </w:numPr>
        <w:tabs>
          <w:tab w:val="clear" w:pos="284"/>
        </w:tabs>
        <w:ind w:left="360" w:hanging="360"/>
        <w:rPr>
          <w:i/>
          <w:iCs/>
          <w:u w:val="single"/>
        </w:rPr>
      </w:pPr>
      <w:r w:rsidRPr="0018696E">
        <w:rPr>
          <w:i/>
          <w:iCs/>
          <w:u w:val="single"/>
        </w:rPr>
        <w:t>I</w:t>
      </w:r>
      <w:r>
        <w:rPr>
          <w:i/>
          <w:iCs/>
          <w:u w:val="single"/>
        </w:rPr>
        <w:t>nfrastruc</w:t>
      </w:r>
      <w:r w:rsidRPr="0018696E">
        <w:rPr>
          <w:i/>
          <w:iCs/>
          <w:u w:val="single"/>
        </w:rPr>
        <w:t>t</w:t>
      </w:r>
      <w:r>
        <w:rPr>
          <w:i/>
          <w:iCs/>
          <w:u w:val="single"/>
        </w:rPr>
        <w:t>u</w:t>
      </w:r>
      <w:r w:rsidRPr="0018696E">
        <w:rPr>
          <w:i/>
          <w:iCs/>
          <w:u w:val="single"/>
        </w:rPr>
        <w:t>re</w:t>
      </w:r>
      <w:r>
        <w:rPr>
          <w:i/>
          <w:iCs/>
          <w:u w:val="single"/>
        </w:rPr>
        <w:t>:</w:t>
      </w:r>
    </w:p>
    <w:p w:rsidR="003D0884" w:rsidRDefault="003D0884" w:rsidP="00AA3D41">
      <w:pPr>
        <w:pStyle w:val="ListBullet"/>
        <w:tabs>
          <w:tab w:val="clear" w:pos="284"/>
        </w:tabs>
      </w:pPr>
      <w:r>
        <w:t xml:space="preserve">Ensure lessons learnt from Flood Damage Emergency Reconstruction Project feed into the additional financing package. </w:t>
      </w:r>
    </w:p>
    <w:p w:rsidR="003D0884" w:rsidRDefault="003D0884" w:rsidP="00AA3D41">
      <w:pPr>
        <w:pStyle w:val="ListBullet"/>
        <w:tabs>
          <w:tab w:val="clear" w:pos="284"/>
        </w:tabs>
      </w:pPr>
      <w:r>
        <w:t xml:space="preserve">Ensure timely implementation of 3i in line with contract documentation. </w:t>
      </w:r>
    </w:p>
    <w:p w:rsidR="003D0884" w:rsidRPr="0018696E" w:rsidRDefault="003D0884" w:rsidP="003D0884">
      <w:pPr>
        <w:pStyle w:val="ListBullet"/>
        <w:numPr>
          <w:ilvl w:val="0"/>
          <w:numId w:val="0"/>
        </w:numPr>
        <w:tabs>
          <w:tab w:val="clear" w:pos="284"/>
        </w:tabs>
        <w:ind w:left="360" w:hanging="360"/>
        <w:rPr>
          <w:i/>
          <w:iCs/>
          <w:u w:val="single"/>
        </w:rPr>
      </w:pPr>
      <w:r>
        <w:rPr>
          <w:i/>
          <w:iCs/>
          <w:u w:val="single"/>
        </w:rPr>
        <w:t>Governance</w:t>
      </w:r>
      <w:r w:rsidRPr="0018696E">
        <w:rPr>
          <w:i/>
          <w:iCs/>
          <w:u w:val="single"/>
        </w:rPr>
        <w:t>:</w:t>
      </w:r>
    </w:p>
    <w:p w:rsidR="003D0884" w:rsidRDefault="003D0884" w:rsidP="00AA3D41">
      <w:pPr>
        <w:pStyle w:val="ListBullet"/>
        <w:tabs>
          <w:tab w:val="clear" w:pos="284"/>
        </w:tabs>
      </w:pPr>
      <w:r>
        <w:t>Accelerate CCJAP exit strategy by transitioning away from outcome areas 1 and 3 (</w:t>
      </w:r>
      <w:r w:rsidRPr="00C559F3">
        <w:t xml:space="preserve">alternative sentencing </w:t>
      </w:r>
      <w:r>
        <w:t xml:space="preserve">and </w:t>
      </w:r>
      <w:r w:rsidRPr="00C559F3">
        <w:t>data for evidence based management decisions</w:t>
      </w:r>
      <w:r>
        <w:t>)</w:t>
      </w:r>
      <w:r w:rsidRPr="00C559F3">
        <w:t xml:space="preserve"> </w:t>
      </w:r>
      <w:r>
        <w:t xml:space="preserve">and reshape program to focus on community policing pilot in its last year of implementation. </w:t>
      </w:r>
    </w:p>
    <w:p w:rsidR="003D0884" w:rsidRDefault="003D0884" w:rsidP="00AA3D41">
      <w:pPr>
        <w:pStyle w:val="ListBullet"/>
        <w:tabs>
          <w:tab w:val="clear" w:pos="284"/>
        </w:tabs>
      </w:pPr>
      <w:r>
        <w:t>Ensure implementation of the Community Policing Initiative (CPI) commences by July 2016.</w:t>
      </w:r>
    </w:p>
    <w:p w:rsidR="003D0884" w:rsidRDefault="003D0884" w:rsidP="00AA3D41">
      <w:pPr>
        <w:pStyle w:val="ListBullet"/>
        <w:tabs>
          <w:tab w:val="clear" w:pos="284"/>
        </w:tabs>
      </w:pPr>
      <w:r>
        <w:t>Consider whether or not to proceed with a new phase of the Cambodia Communication Assistance Project.</w:t>
      </w:r>
    </w:p>
    <w:p w:rsidR="003D0884" w:rsidRPr="0018696E" w:rsidRDefault="003D0884" w:rsidP="003D0884">
      <w:pPr>
        <w:pStyle w:val="ListBullet"/>
        <w:numPr>
          <w:ilvl w:val="0"/>
          <w:numId w:val="0"/>
        </w:numPr>
        <w:tabs>
          <w:tab w:val="clear" w:pos="284"/>
        </w:tabs>
        <w:ind w:left="360" w:hanging="360"/>
        <w:rPr>
          <w:i/>
          <w:iCs/>
          <w:u w:val="single"/>
        </w:rPr>
      </w:pPr>
      <w:r w:rsidRPr="0018696E">
        <w:rPr>
          <w:i/>
          <w:iCs/>
          <w:u w:val="single"/>
        </w:rPr>
        <w:t>Cross-cutting</w:t>
      </w:r>
    </w:p>
    <w:p w:rsidR="003D0884" w:rsidRDefault="003D0884" w:rsidP="003D0884">
      <w:pPr>
        <w:pStyle w:val="ListBullet"/>
        <w:tabs>
          <w:tab w:val="clear" w:pos="284"/>
        </w:tabs>
      </w:pPr>
      <w:r>
        <w:t>Implement the recommendations of the mid-term review of the Australia Awards Program.</w:t>
      </w:r>
    </w:p>
    <w:p w:rsidR="000526F0" w:rsidRPr="00416B02" w:rsidRDefault="003D0884" w:rsidP="00395B50">
      <w:pPr>
        <w:pStyle w:val="ListBullet"/>
        <w:tabs>
          <w:tab w:val="clear" w:pos="284"/>
        </w:tabs>
        <w:sectPr w:rsidR="000526F0" w:rsidRPr="00416B02" w:rsidSect="0059732F">
          <w:headerReference w:type="default" r:id="rId23"/>
          <w:type w:val="continuous"/>
          <w:pgSz w:w="11907" w:h="16840" w:code="9"/>
          <w:pgMar w:top="1276" w:right="1417" w:bottom="709" w:left="1560" w:header="850" w:footer="567" w:gutter="0"/>
          <w:pgNumType w:start="1"/>
          <w:cols w:space="720"/>
          <w:docGrid w:linePitch="326"/>
        </w:sectPr>
      </w:pPr>
      <w:r>
        <w:t xml:space="preserve">Improve DRIC through implementing </w:t>
      </w:r>
      <w:r w:rsidRPr="0018696E">
        <w:t>an early mid-term</w:t>
      </w:r>
      <w:r>
        <w:t xml:space="preserve"> review of the program.</w:t>
      </w:r>
    </w:p>
    <w:p w:rsidR="00873B58" w:rsidRPr="00873B58" w:rsidRDefault="00873B58" w:rsidP="00873B58">
      <w:pPr>
        <w:pStyle w:val="Heading2"/>
        <w:rPr>
          <w:sz w:val="28"/>
        </w:rPr>
      </w:pPr>
      <w:r>
        <w:rPr>
          <w:sz w:val="28"/>
        </w:rPr>
        <w:lastRenderedPageBreak/>
        <w:t>Annex A</w:t>
      </w:r>
      <w:r w:rsidRPr="009E38C1">
        <w:rPr>
          <w:sz w:val="28"/>
        </w:rPr>
        <w:t xml:space="preserve"> </w:t>
      </w:r>
      <w:r>
        <w:rPr>
          <w:sz w:val="28"/>
        </w:rPr>
        <w:t>- Progress in Addressing 2013-14 Management R</w:t>
      </w:r>
      <w:r w:rsidRPr="009E38C1">
        <w:rPr>
          <w:sz w:val="28"/>
        </w:rPr>
        <w:t>esponses</w:t>
      </w:r>
    </w:p>
    <w:tbl>
      <w:tblPr>
        <w:tblStyle w:val="APPR"/>
        <w:tblW w:w="5000" w:type="pct"/>
        <w:tblInd w:w="136" w:type="dxa"/>
        <w:tblLayout w:type="fixed"/>
        <w:tblLook w:val="0000" w:firstRow="0" w:lastRow="0" w:firstColumn="0" w:lastColumn="0" w:noHBand="0" w:noVBand="0"/>
        <w:tblCaption w:val="Annex A - Progress in Addressing 2013-14 Management Responses"/>
        <w:tblDescription w:val="Annex A shows progress in addressing management responses identified in the 2013-14 APPR and progress made in addressing them in financial year 2014-15. It rates financial year 2014-15 progress in undertaking the expected management responses. It includes a narrative covering the progress made. &#10;The progress rating uses a 3 point rating scale:  &#10;Achieved - significant progress has been made in addressing the issue.  &#10;Partly achieved - some progress has been made in addressing the issue, but the issue has not been resolved.  &#10;Not achieved - progress in addressing the issue has been significantly below expectations.  "/>
      </w:tblPr>
      <w:tblGrid>
        <w:gridCol w:w="6368"/>
        <w:gridCol w:w="1163"/>
        <w:gridCol w:w="6914"/>
      </w:tblGrid>
      <w:tr w:rsidR="00873B58" w:rsidRPr="00745FE3" w:rsidTr="006E2B9F">
        <w:trPr>
          <w:cnfStyle w:val="000000010000" w:firstRow="0" w:lastRow="0" w:firstColumn="0" w:lastColumn="0" w:oddVBand="0" w:evenVBand="0" w:oddHBand="0" w:evenHBand="1" w:firstRowFirstColumn="0" w:firstRowLastColumn="0" w:lastRowFirstColumn="0" w:lastRowLastColumn="0"/>
          <w:cantSplit/>
        </w:trPr>
        <w:tc>
          <w:tcPr>
            <w:tcW w:w="5814" w:type="dxa"/>
          </w:tcPr>
          <w:p w:rsidR="00873B58" w:rsidRPr="00745FE3" w:rsidRDefault="00873B58" w:rsidP="00395B50">
            <w:pPr>
              <w:pStyle w:val="TableTextColumnHeading"/>
            </w:pPr>
            <w:r w:rsidRPr="00745FE3">
              <w:t>Management</w:t>
            </w:r>
            <w:r>
              <w:t xml:space="preserve"> consequences identified in 201</w:t>
            </w:r>
            <w:r w:rsidR="003949A3">
              <w:t>3-4</w:t>
            </w:r>
            <w:r w:rsidRPr="00745FE3">
              <w:t xml:space="preserve"> </w:t>
            </w:r>
            <w:r>
              <w:t>annual program performance report</w:t>
            </w:r>
            <w:r w:rsidRPr="00745FE3">
              <w:tab/>
            </w:r>
          </w:p>
        </w:tc>
        <w:tc>
          <w:tcPr>
            <w:tcW w:w="1043" w:type="dxa"/>
          </w:tcPr>
          <w:p w:rsidR="00873B58" w:rsidRPr="00745FE3" w:rsidRDefault="00873B58" w:rsidP="00395B50">
            <w:pPr>
              <w:pStyle w:val="TableTextColumnHeading"/>
            </w:pPr>
            <w:r w:rsidRPr="00745FE3">
              <w:t>Rating</w:t>
            </w:r>
          </w:p>
        </w:tc>
        <w:tc>
          <w:tcPr>
            <w:tcW w:w="6315" w:type="dxa"/>
          </w:tcPr>
          <w:p w:rsidR="00873B58" w:rsidRPr="00745FE3" w:rsidRDefault="00873B58" w:rsidP="00395B50">
            <w:pPr>
              <w:pStyle w:val="TableTextColumnHeading"/>
            </w:pPr>
            <w:r>
              <w:t>Progress made in 2014–15</w:t>
            </w:r>
          </w:p>
        </w:tc>
      </w:tr>
      <w:tr w:rsidR="00873B58" w:rsidRPr="00745FE3" w:rsidTr="006E2B9F">
        <w:trPr>
          <w:cantSplit/>
          <w:tblHeader w:val="0"/>
        </w:trPr>
        <w:tc>
          <w:tcPr>
            <w:tcW w:w="13228" w:type="dxa"/>
            <w:gridSpan w:val="3"/>
          </w:tcPr>
          <w:p w:rsidR="00873B58" w:rsidRPr="00044520" w:rsidRDefault="00873B58" w:rsidP="006E2B9F">
            <w:pPr>
              <w:pStyle w:val="TableHeading1"/>
              <w:rPr>
                <w:b w:val="0"/>
              </w:rPr>
            </w:pPr>
            <w:r w:rsidRPr="00044520">
              <w:t>Overall program</w:t>
            </w:r>
          </w:p>
        </w:tc>
      </w:tr>
      <w:tr w:rsidR="00873B58" w:rsidRPr="00745FE3" w:rsidTr="006E2B9F">
        <w:trPr>
          <w:cnfStyle w:val="000000010000" w:firstRow="0" w:lastRow="0" w:firstColumn="0" w:lastColumn="0" w:oddVBand="0" w:evenVBand="0" w:oddHBand="0" w:evenHBand="1" w:firstRowFirstColumn="0" w:firstRowLastColumn="0" w:lastRowFirstColumn="0" w:lastRowLastColumn="0"/>
          <w:cantSplit/>
        </w:trPr>
        <w:tc>
          <w:tcPr>
            <w:tcW w:w="5814" w:type="dxa"/>
          </w:tcPr>
          <w:p w:rsidR="00873B58" w:rsidRPr="00745FE3" w:rsidRDefault="00873B58" w:rsidP="006E2B9F">
            <w:pPr>
              <w:pStyle w:val="TableTextEntries"/>
            </w:pPr>
            <w:r>
              <w:t xml:space="preserve">Through High-Level Consultations in September 2013, seek agreement from the Cambodian Government on </w:t>
            </w:r>
            <w:r w:rsidRPr="00490EFB">
              <w:t>strategic direction</w:t>
            </w:r>
            <w:r>
              <w:t>, program consolidation, clear mutual obligations and enhanced performance benchmarks</w:t>
            </w:r>
          </w:p>
        </w:tc>
        <w:tc>
          <w:tcPr>
            <w:tcW w:w="1043" w:type="dxa"/>
            <w:shd w:val="clear" w:color="auto" w:fill="92D050"/>
          </w:tcPr>
          <w:p w:rsidR="00873B58" w:rsidRPr="00044520" w:rsidRDefault="00873B58" w:rsidP="006E2B9F">
            <w:pPr>
              <w:pStyle w:val="TableTextEntries"/>
              <w:jc w:val="center"/>
            </w:pPr>
            <w:r>
              <w:t>Green</w:t>
            </w:r>
          </w:p>
        </w:tc>
        <w:tc>
          <w:tcPr>
            <w:tcW w:w="6315" w:type="dxa"/>
          </w:tcPr>
          <w:p w:rsidR="00873B58" w:rsidRPr="00C719B4" w:rsidRDefault="00873B58" w:rsidP="006E2B9F">
            <w:pPr>
              <w:pStyle w:val="TableTextEntries"/>
              <w:rPr>
                <w:lang w:eastAsia="en-AU"/>
              </w:rPr>
            </w:pPr>
            <w:r>
              <w:rPr>
                <w:lang w:eastAsia="en-AU"/>
              </w:rPr>
              <w:t>Achieved. High</w:t>
            </w:r>
            <w:r w:rsidR="00C930FF">
              <w:rPr>
                <w:lang w:eastAsia="en-AU"/>
              </w:rPr>
              <w:t>-L</w:t>
            </w:r>
            <w:r>
              <w:rPr>
                <w:lang w:eastAsia="en-AU"/>
              </w:rPr>
              <w:t xml:space="preserve">evel </w:t>
            </w:r>
            <w:r w:rsidR="00C930FF">
              <w:rPr>
                <w:lang w:eastAsia="en-AU"/>
              </w:rPr>
              <w:t>C</w:t>
            </w:r>
            <w:r>
              <w:rPr>
                <w:lang w:eastAsia="en-AU"/>
              </w:rPr>
              <w:t xml:space="preserve">onsultation meeting between </w:t>
            </w:r>
            <w:r w:rsidR="00C930FF">
              <w:rPr>
                <w:lang w:eastAsia="en-AU"/>
              </w:rPr>
              <w:t xml:space="preserve">Australian and </w:t>
            </w:r>
            <w:r>
              <w:rPr>
                <w:lang w:eastAsia="en-AU"/>
              </w:rPr>
              <w:t>Cambodian government</w:t>
            </w:r>
            <w:r w:rsidR="00C930FF">
              <w:rPr>
                <w:lang w:eastAsia="en-AU"/>
              </w:rPr>
              <w:t>s</w:t>
            </w:r>
            <w:r>
              <w:rPr>
                <w:lang w:eastAsia="en-AU"/>
              </w:rPr>
              <w:t xml:space="preserve"> </w:t>
            </w:r>
            <w:r w:rsidR="00C930FF">
              <w:rPr>
                <w:lang w:eastAsia="en-AU"/>
              </w:rPr>
              <w:t xml:space="preserve">was </w:t>
            </w:r>
            <w:r w:rsidR="003949A3">
              <w:rPr>
                <w:lang w:eastAsia="en-AU"/>
              </w:rPr>
              <w:t xml:space="preserve">held </w:t>
            </w:r>
            <w:r>
              <w:rPr>
                <w:lang w:eastAsia="en-AU"/>
              </w:rPr>
              <w:t xml:space="preserve">in September 2014. </w:t>
            </w:r>
            <w:r w:rsidRPr="00C719B4">
              <w:rPr>
                <w:lang w:eastAsia="en-AU"/>
              </w:rPr>
              <w:t xml:space="preserve">The consultation </w:t>
            </w:r>
            <w:r w:rsidR="00C930FF">
              <w:rPr>
                <w:lang w:eastAsia="en-AU"/>
              </w:rPr>
              <w:t xml:space="preserve">was </w:t>
            </w:r>
            <w:r w:rsidRPr="00C719B4">
              <w:rPr>
                <w:lang w:eastAsia="en-AU"/>
              </w:rPr>
              <w:t xml:space="preserve">the first important step in taking </w:t>
            </w:r>
            <w:r>
              <w:rPr>
                <w:lang w:eastAsia="en-AU"/>
              </w:rPr>
              <w:t xml:space="preserve">the </w:t>
            </w:r>
            <w:r w:rsidRPr="00C719B4">
              <w:rPr>
                <w:lang w:eastAsia="en-AU"/>
              </w:rPr>
              <w:t>A</w:t>
            </w:r>
            <w:r w:rsidR="00C930FF">
              <w:rPr>
                <w:lang w:eastAsia="en-AU"/>
              </w:rPr>
              <w:t xml:space="preserve">id </w:t>
            </w:r>
            <w:r w:rsidRPr="00C719B4">
              <w:rPr>
                <w:lang w:eastAsia="en-AU"/>
              </w:rPr>
              <w:t>I</w:t>
            </w:r>
            <w:r w:rsidR="00C930FF">
              <w:rPr>
                <w:lang w:eastAsia="en-AU"/>
              </w:rPr>
              <w:t xml:space="preserve">nvestment </w:t>
            </w:r>
            <w:r w:rsidRPr="00C719B4">
              <w:rPr>
                <w:lang w:eastAsia="en-AU"/>
              </w:rPr>
              <w:t>P</w:t>
            </w:r>
            <w:r w:rsidR="00C930FF">
              <w:rPr>
                <w:lang w:eastAsia="en-AU"/>
              </w:rPr>
              <w:t>lan</w:t>
            </w:r>
            <w:r w:rsidRPr="00C719B4">
              <w:rPr>
                <w:lang w:eastAsia="en-AU"/>
              </w:rPr>
              <w:t xml:space="preserve"> forward </w:t>
            </w:r>
            <w:r>
              <w:rPr>
                <w:lang w:eastAsia="en-AU"/>
              </w:rPr>
              <w:t xml:space="preserve">and </w:t>
            </w:r>
            <w:r w:rsidR="00C930FF">
              <w:rPr>
                <w:lang w:eastAsia="en-AU"/>
              </w:rPr>
              <w:t xml:space="preserve">the </w:t>
            </w:r>
            <w:r w:rsidRPr="00C719B4">
              <w:rPr>
                <w:lang w:eastAsia="en-AU"/>
              </w:rPr>
              <w:t>Cambodia</w:t>
            </w:r>
            <w:r w:rsidR="00C930FF">
              <w:rPr>
                <w:lang w:eastAsia="en-AU"/>
              </w:rPr>
              <w:t xml:space="preserve">n Government has given broad agreement to the </w:t>
            </w:r>
            <w:r>
              <w:rPr>
                <w:lang w:eastAsia="en-AU"/>
              </w:rPr>
              <w:t>aid program</w:t>
            </w:r>
            <w:r w:rsidRPr="00C719B4">
              <w:rPr>
                <w:lang w:eastAsia="en-AU"/>
              </w:rPr>
              <w:t xml:space="preserve"> direction.</w:t>
            </w:r>
          </w:p>
          <w:p w:rsidR="00873B58" w:rsidRPr="00A27E0B" w:rsidRDefault="00873B58" w:rsidP="006E2B9F">
            <w:pPr>
              <w:pStyle w:val="TableTextEntries"/>
              <w:rPr>
                <w:lang w:eastAsia="en-AU"/>
              </w:rPr>
            </w:pPr>
            <w:r w:rsidRPr="00A27E0B">
              <w:rPr>
                <w:lang w:eastAsia="en-AU"/>
              </w:rPr>
              <w:t>Performance benchmarks will be used as indicators to measure and assess the effectiveness of our portfolio of investments</w:t>
            </w:r>
            <w:r w:rsidR="003949A3">
              <w:rPr>
                <w:lang w:eastAsia="en-AU"/>
              </w:rPr>
              <w:t>.</w:t>
            </w:r>
          </w:p>
          <w:p w:rsidR="00873B58" w:rsidRPr="00745FE3" w:rsidRDefault="00873B58" w:rsidP="006E2B9F">
            <w:pPr>
              <w:pStyle w:val="TableTextEntries"/>
            </w:pPr>
          </w:p>
        </w:tc>
      </w:tr>
      <w:tr w:rsidR="00873B58" w:rsidRPr="00745FE3" w:rsidTr="006E2B9F">
        <w:trPr>
          <w:cantSplit/>
          <w:tblHeader w:val="0"/>
        </w:trPr>
        <w:tc>
          <w:tcPr>
            <w:tcW w:w="13228" w:type="dxa"/>
            <w:gridSpan w:val="3"/>
          </w:tcPr>
          <w:p w:rsidR="00873B58" w:rsidRPr="00044520" w:rsidRDefault="00873B58" w:rsidP="006E2B9F">
            <w:pPr>
              <w:pStyle w:val="TableHeading1"/>
              <w:rPr>
                <w:b w:val="0"/>
              </w:rPr>
            </w:pPr>
            <w:r w:rsidRPr="00044520">
              <w:rPr>
                <w:rFonts w:eastAsiaTheme="minorHAnsi"/>
              </w:rPr>
              <w:t>Objective 1a, 1b: Increased value of agricultural production and smallholder income in targeted provinces</w:t>
            </w:r>
          </w:p>
        </w:tc>
      </w:tr>
      <w:tr w:rsidR="00873B58" w:rsidRPr="00745FE3" w:rsidTr="006E2B9F">
        <w:trPr>
          <w:cnfStyle w:val="000000010000" w:firstRow="0" w:lastRow="0" w:firstColumn="0" w:lastColumn="0" w:oddVBand="0" w:evenVBand="0" w:oddHBand="0" w:evenHBand="1" w:firstRowFirstColumn="0" w:firstRowLastColumn="0" w:lastRowFirstColumn="0" w:lastRowLastColumn="0"/>
          <w:cantSplit/>
          <w:tblHeader w:val="0"/>
        </w:trPr>
        <w:tc>
          <w:tcPr>
            <w:tcW w:w="5814" w:type="dxa"/>
          </w:tcPr>
          <w:p w:rsidR="00873B58" w:rsidRPr="00F46A67" w:rsidRDefault="00873B58" w:rsidP="006E2B9F">
            <w:pPr>
              <w:pStyle w:val="TableTextEntries"/>
            </w:pPr>
            <w:r w:rsidRPr="00490EFB">
              <w:t>Initiate an Investment Design for a second phase of CAVAC.</w:t>
            </w:r>
          </w:p>
        </w:tc>
        <w:tc>
          <w:tcPr>
            <w:tcW w:w="1043" w:type="dxa"/>
            <w:shd w:val="clear" w:color="auto" w:fill="92D050"/>
          </w:tcPr>
          <w:p w:rsidR="00873B58" w:rsidRDefault="00873B58" w:rsidP="006E2B9F">
            <w:pPr>
              <w:pStyle w:val="TableTextEntries"/>
              <w:jc w:val="center"/>
            </w:pPr>
            <w:r w:rsidRPr="00BD143F">
              <w:t>Green</w:t>
            </w:r>
          </w:p>
        </w:tc>
        <w:tc>
          <w:tcPr>
            <w:tcW w:w="6315" w:type="dxa"/>
          </w:tcPr>
          <w:p w:rsidR="00873B58" w:rsidRDefault="00873B58" w:rsidP="00897695">
            <w:pPr>
              <w:pStyle w:val="TableTextEntries"/>
              <w:rPr>
                <w:lang w:eastAsia="en-AU"/>
              </w:rPr>
            </w:pPr>
            <w:r>
              <w:rPr>
                <w:lang w:eastAsia="en-AU"/>
              </w:rPr>
              <w:t>Achieved: Significant process was made</w:t>
            </w:r>
            <w:r w:rsidR="00281664">
              <w:rPr>
                <w:lang w:eastAsia="en-AU"/>
              </w:rPr>
              <w:t xml:space="preserve"> -</w:t>
            </w:r>
            <w:r>
              <w:rPr>
                <w:lang w:eastAsia="en-AU"/>
              </w:rPr>
              <w:t xml:space="preserve"> approval of Investment Design and approval to approach t</w:t>
            </w:r>
            <w:r w:rsidR="00244F43">
              <w:rPr>
                <w:lang w:eastAsia="en-AU"/>
              </w:rPr>
              <w:t>he</w:t>
            </w:r>
            <w:r>
              <w:rPr>
                <w:lang w:eastAsia="en-AU"/>
              </w:rPr>
              <w:t xml:space="preserve"> market were obtained. </w:t>
            </w:r>
            <w:r w:rsidR="00897695">
              <w:rPr>
                <w:lang w:eastAsia="en-AU"/>
              </w:rPr>
              <w:t>Progress is being made on p</w:t>
            </w:r>
            <w:r>
              <w:rPr>
                <w:lang w:eastAsia="en-AU"/>
              </w:rPr>
              <w:t>rocurement and tendering</w:t>
            </w:r>
            <w:r w:rsidR="00897695">
              <w:rPr>
                <w:lang w:eastAsia="en-AU"/>
              </w:rPr>
              <w:t xml:space="preserve">, </w:t>
            </w:r>
            <w:r>
              <w:rPr>
                <w:lang w:eastAsia="en-AU"/>
              </w:rPr>
              <w:t xml:space="preserve"> </w:t>
            </w:r>
            <w:r w:rsidR="00897695">
              <w:rPr>
                <w:lang w:eastAsia="en-AU"/>
              </w:rPr>
              <w:t>and</w:t>
            </w:r>
            <w:r>
              <w:rPr>
                <w:lang w:eastAsia="en-AU"/>
              </w:rPr>
              <w:t xml:space="preserve"> phase II </w:t>
            </w:r>
            <w:r w:rsidR="00897695">
              <w:rPr>
                <w:lang w:eastAsia="en-AU"/>
              </w:rPr>
              <w:t xml:space="preserve">is scheduled to </w:t>
            </w:r>
            <w:r>
              <w:rPr>
                <w:lang w:eastAsia="en-AU"/>
              </w:rPr>
              <w:t>commenc</w:t>
            </w:r>
            <w:r w:rsidR="00897695">
              <w:rPr>
                <w:lang w:eastAsia="en-AU"/>
              </w:rPr>
              <w:t>e</w:t>
            </w:r>
            <w:r>
              <w:rPr>
                <w:lang w:eastAsia="en-AU"/>
              </w:rPr>
              <w:t xml:space="preserve"> in early 2016.</w:t>
            </w:r>
          </w:p>
        </w:tc>
      </w:tr>
      <w:tr w:rsidR="00873B58" w:rsidRPr="00745FE3" w:rsidTr="006E2B9F">
        <w:trPr>
          <w:cantSplit/>
          <w:tblHeader w:val="0"/>
        </w:trPr>
        <w:tc>
          <w:tcPr>
            <w:tcW w:w="5814" w:type="dxa"/>
          </w:tcPr>
          <w:p w:rsidR="00873B58" w:rsidRPr="00F46A67" w:rsidRDefault="00873B58" w:rsidP="006E2B9F">
            <w:pPr>
              <w:pStyle w:val="TableTextEntries"/>
            </w:pPr>
            <w:r w:rsidRPr="00490EFB">
              <w:t xml:space="preserve">Develop improved outcome level reporting in CAVAC </w:t>
            </w:r>
          </w:p>
        </w:tc>
        <w:tc>
          <w:tcPr>
            <w:tcW w:w="1043" w:type="dxa"/>
            <w:tcBorders>
              <w:top w:val="nil"/>
              <w:bottom w:val="nil"/>
            </w:tcBorders>
            <w:shd w:val="clear" w:color="auto" w:fill="92D050"/>
          </w:tcPr>
          <w:p w:rsidR="00873B58" w:rsidRDefault="00873B58" w:rsidP="006E2B9F">
            <w:pPr>
              <w:pStyle w:val="TableTextEntries"/>
              <w:jc w:val="center"/>
            </w:pPr>
            <w:r w:rsidRPr="00BD143F">
              <w:t>Green</w:t>
            </w:r>
          </w:p>
        </w:tc>
        <w:tc>
          <w:tcPr>
            <w:tcW w:w="6315" w:type="dxa"/>
          </w:tcPr>
          <w:p w:rsidR="00873B58" w:rsidRDefault="00873B58" w:rsidP="006E2B9F">
            <w:pPr>
              <w:pStyle w:val="TableTextEntries"/>
              <w:rPr>
                <w:lang w:eastAsia="en-AU"/>
              </w:rPr>
            </w:pPr>
            <w:r>
              <w:rPr>
                <w:lang w:eastAsia="en-AU"/>
              </w:rPr>
              <w:t>Achieved: Since 2015 is the final year of  implementation</w:t>
            </w:r>
            <w:r w:rsidR="00897695">
              <w:rPr>
                <w:lang w:eastAsia="en-AU"/>
              </w:rPr>
              <w:t xml:space="preserve">, which has </w:t>
            </w:r>
            <w:r>
              <w:rPr>
                <w:lang w:eastAsia="en-AU"/>
              </w:rPr>
              <w:t xml:space="preserve"> result</w:t>
            </w:r>
            <w:r w:rsidR="00897695">
              <w:rPr>
                <w:lang w:eastAsia="en-AU"/>
              </w:rPr>
              <w:t>ed</w:t>
            </w:r>
            <w:r>
              <w:rPr>
                <w:lang w:eastAsia="en-AU"/>
              </w:rPr>
              <w:t xml:space="preserve"> in significant and impressive outputs, the program is in the process of collating data of results, outcomes and impacts for reporting and dissemination. Lessons learned during Phase I will be also compiled for future reference and application for next Phase. </w:t>
            </w:r>
          </w:p>
        </w:tc>
      </w:tr>
      <w:tr w:rsidR="00873B58" w:rsidRPr="00745FE3" w:rsidTr="006E2B9F">
        <w:trPr>
          <w:cnfStyle w:val="000000010000" w:firstRow="0" w:lastRow="0" w:firstColumn="0" w:lastColumn="0" w:oddVBand="0" w:evenVBand="0" w:oddHBand="0" w:evenHBand="1" w:firstRowFirstColumn="0" w:firstRowLastColumn="0" w:lastRowFirstColumn="0" w:lastRowLastColumn="0"/>
          <w:cantSplit/>
          <w:tblHeader w:val="0"/>
        </w:trPr>
        <w:tc>
          <w:tcPr>
            <w:tcW w:w="5814" w:type="dxa"/>
          </w:tcPr>
          <w:p w:rsidR="00873B58" w:rsidRPr="00F46A67" w:rsidRDefault="00873B58" w:rsidP="006E2B9F">
            <w:pPr>
              <w:pStyle w:val="TableTextEntries"/>
            </w:pPr>
            <w:r w:rsidRPr="00490EFB">
              <w:t>Link sector reporting to DFAT Aid for Trade and private sector development objectives</w:t>
            </w:r>
          </w:p>
        </w:tc>
        <w:tc>
          <w:tcPr>
            <w:tcW w:w="1043" w:type="dxa"/>
            <w:shd w:val="clear" w:color="auto" w:fill="92D050"/>
          </w:tcPr>
          <w:p w:rsidR="00873B58" w:rsidRDefault="00873B58" w:rsidP="006E2B9F">
            <w:pPr>
              <w:pStyle w:val="TableTextEntries"/>
              <w:jc w:val="center"/>
            </w:pPr>
            <w:r w:rsidRPr="00BD143F">
              <w:t>Green</w:t>
            </w:r>
          </w:p>
        </w:tc>
        <w:tc>
          <w:tcPr>
            <w:tcW w:w="6315" w:type="dxa"/>
          </w:tcPr>
          <w:p w:rsidR="00873B58" w:rsidRDefault="00873B58" w:rsidP="00897695">
            <w:pPr>
              <w:pStyle w:val="TableTextEntries"/>
              <w:rPr>
                <w:lang w:eastAsia="en-AU"/>
              </w:rPr>
            </w:pPr>
            <w:r>
              <w:rPr>
                <w:lang w:eastAsia="en-AU"/>
              </w:rPr>
              <w:t>Achieved:  working with private sector to support and increase trade is a key part of CAVAC’s successes</w:t>
            </w:r>
            <w:r w:rsidR="00897695">
              <w:rPr>
                <w:lang w:eastAsia="en-AU"/>
              </w:rPr>
              <w:t xml:space="preserve">, and </w:t>
            </w:r>
            <w:r>
              <w:rPr>
                <w:lang w:eastAsia="en-AU"/>
              </w:rPr>
              <w:t xml:space="preserve"> all sector reporting is </w:t>
            </w:r>
            <w:r w:rsidR="00897695">
              <w:rPr>
                <w:lang w:eastAsia="en-AU"/>
              </w:rPr>
              <w:t>incorporated</w:t>
            </w:r>
            <w:r>
              <w:rPr>
                <w:lang w:eastAsia="en-AU"/>
              </w:rPr>
              <w:t xml:space="preserve">.     </w:t>
            </w:r>
          </w:p>
        </w:tc>
      </w:tr>
      <w:tr w:rsidR="00873B58" w:rsidRPr="00745FE3" w:rsidTr="006E2B9F">
        <w:trPr>
          <w:cantSplit/>
          <w:tblHeader w:val="0"/>
        </w:trPr>
        <w:tc>
          <w:tcPr>
            <w:tcW w:w="13228" w:type="dxa"/>
            <w:gridSpan w:val="3"/>
          </w:tcPr>
          <w:p w:rsidR="00873B58" w:rsidRPr="00044520" w:rsidRDefault="00873B58" w:rsidP="006E2B9F">
            <w:pPr>
              <w:pStyle w:val="TableHeading1"/>
              <w:rPr>
                <w:b w:val="0"/>
              </w:rPr>
            </w:pPr>
            <w:r w:rsidRPr="00044520">
              <w:t>Objective 2: Increased access to quality health services through improved health management</w:t>
            </w:r>
          </w:p>
        </w:tc>
      </w:tr>
      <w:tr w:rsidR="00873B58" w:rsidRPr="00A86971" w:rsidTr="006E2B9F">
        <w:trPr>
          <w:cnfStyle w:val="000000010000" w:firstRow="0" w:lastRow="0" w:firstColumn="0" w:lastColumn="0" w:oddVBand="0" w:evenVBand="0" w:oddHBand="0" w:evenHBand="1" w:firstRowFirstColumn="0" w:firstRowLastColumn="0" w:lastRowFirstColumn="0" w:lastRowLastColumn="0"/>
          <w:cantSplit/>
          <w:tblHeader w:val="0"/>
        </w:trPr>
        <w:tc>
          <w:tcPr>
            <w:tcW w:w="5814" w:type="dxa"/>
          </w:tcPr>
          <w:p w:rsidR="00873B58" w:rsidRPr="00745FE3" w:rsidRDefault="00873B58" w:rsidP="006E2B9F">
            <w:pPr>
              <w:pStyle w:val="TableTextEntries"/>
            </w:pPr>
            <w:r w:rsidRPr="00DC4E89">
              <w:t xml:space="preserve">Work with key donors and technical agencies to support the Cambodian Government </w:t>
            </w:r>
            <w:r w:rsidRPr="00490EFB">
              <w:t>develop a roadmap for a more sustainable health financing mechanism in line with the next health strategic plan particularly addressing the</w:t>
            </w:r>
            <w:r w:rsidRPr="00DC4E89">
              <w:t xml:space="preserve"> ‘near-poor’ and margin</w:t>
            </w:r>
            <w:r>
              <w:t>alised groups</w:t>
            </w:r>
          </w:p>
        </w:tc>
        <w:tc>
          <w:tcPr>
            <w:tcW w:w="1043" w:type="dxa"/>
            <w:shd w:val="clear" w:color="auto" w:fill="F79646" w:themeFill="accent6"/>
          </w:tcPr>
          <w:p w:rsidR="00873B58" w:rsidRPr="00044520" w:rsidRDefault="00873B58" w:rsidP="006E2B9F">
            <w:pPr>
              <w:pStyle w:val="TableTextEntries"/>
              <w:jc w:val="center"/>
            </w:pPr>
            <w:r>
              <w:t>Amber</w:t>
            </w:r>
          </w:p>
        </w:tc>
        <w:tc>
          <w:tcPr>
            <w:tcW w:w="6315" w:type="dxa"/>
          </w:tcPr>
          <w:p w:rsidR="00873B58" w:rsidRDefault="00873B58" w:rsidP="006E2B9F">
            <w:pPr>
              <w:pStyle w:val="TableTextEntries"/>
            </w:pPr>
            <w:r w:rsidRPr="00482017">
              <w:t>Partly achieved</w:t>
            </w:r>
            <w:r w:rsidR="003E25EF">
              <w:t>.</w:t>
            </w:r>
            <w:r w:rsidR="00330C42">
              <w:t xml:space="preserve"> Work continues on Cambodia’s next Health Strategic Plan, now due for release in 2016.</w:t>
            </w:r>
          </w:p>
        </w:tc>
      </w:tr>
      <w:tr w:rsidR="00873B58" w:rsidRPr="00745FE3" w:rsidTr="006E2B9F">
        <w:trPr>
          <w:cantSplit/>
          <w:tblHeader w:val="0"/>
        </w:trPr>
        <w:tc>
          <w:tcPr>
            <w:tcW w:w="5814" w:type="dxa"/>
          </w:tcPr>
          <w:p w:rsidR="00873B58" w:rsidRPr="00745FE3" w:rsidRDefault="00873B58" w:rsidP="006E2B9F">
            <w:pPr>
              <w:pStyle w:val="TableTextEntries"/>
            </w:pPr>
            <w:r>
              <w:t>Implement the exit strategy for HAARP Cambodia</w:t>
            </w:r>
          </w:p>
        </w:tc>
        <w:tc>
          <w:tcPr>
            <w:tcW w:w="1043" w:type="dxa"/>
            <w:shd w:val="clear" w:color="auto" w:fill="92D050"/>
          </w:tcPr>
          <w:p w:rsidR="00873B58" w:rsidRPr="00044520" w:rsidRDefault="00873B58" w:rsidP="006E2B9F">
            <w:pPr>
              <w:pStyle w:val="TableTextEntries"/>
              <w:jc w:val="center"/>
            </w:pPr>
            <w:r>
              <w:t>Green</w:t>
            </w:r>
          </w:p>
        </w:tc>
        <w:tc>
          <w:tcPr>
            <w:tcW w:w="6315" w:type="dxa"/>
          </w:tcPr>
          <w:p w:rsidR="00873B58" w:rsidRDefault="00873B58" w:rsidP="006E2B9F">
            <w:pPr>
              <w:pStyle w:val="TableTextEntries"/>
            </w:pPr>
            <w:r w:rsidRPr="00482017">
              <w:t>Achieved</w:t>
            </w:r>
            <w:r w:rsidR="003E25EF">
              <w:t>.</w:t>
            </w:r>
          </w:p>
        </w:tc>
      </w:tr>
      <w:tr w:rsidR="00873B58" w:rsidRPr="00745FE3" w:rsidTr="006E2B9F">
        <w:trPr>
          <w:cnfStyle w:val="000000010000" w:firstRow="0" w:lastRow="0" w:firstColumn="0" w:lastColumn="0" w:oddVBand="0" w:evenVBand="0" w:oddHBand="0" w:evenHBand="1" w:firstRowFirstColumn="0" w:firstRowLastColumn="0" w:lastRowFirstColumn="0" w:lastRowLastColumn="0"/>
          <w:cantSplit/>
          <w:tblHeader w:val="0"/>
        </w:trPr>
        <w:tc>
          <w:tcPr>
            <w:tcW w:w="13228" w:type="dxa"/>
            <w:gridSpan w:val="3"/>
          </w:tcPr>
          <w:p w:rsidR="00873B58" w:rsidRPr="00044520" w:rsidRDefault="00873B58" w:rsidP="006E2B9F">
            <w:pPr>
              <w:pStyle w:val="TableHeading1"/>
              <w:rPr>
                <w:b w:val="0"/>
              </w:rPr>
            </w:pPr>
            <w:r w:rsidRPr="00044520">
              <w:rPr>
                <w:rFonts w:eastAsiaTheme="minorHAnsi"/>
              </w:rPr>
              <w:t>Objective 3: Improved infrastructure quality, quantity and access</w:t>
            </w:r>
          </w:p>
        </w:tc>
      </w:tr>
      <w:tr w:rsidR="00873B58" w:rsidRPr="00745FE3" w:rsidTr="006E2B9F">
        <w:trPr>
          <w:cantSplit/>
          <w:tblHeader w:val="0"/>
        </w:trPr>
        <w:tc>
          <w:tcPr>
            <w:tcW w:w="5814" w:type="dxa"/>
          </w:tcPr>
          <w:p w:rsidR="00873B58" w:rsidRPr="00745FE3" w:rsidRDefault="00873B58" w:rsidP="006E2B9F">
            <w:pPr>
              <w:pStyle w:val="TableTextEntries"/>
            </w:pPr>
            <w:r>
              <w:t>Continue realignment towards small</w:t>
            </w:r>
            <w:r w:rsidR="00897695">
              <w:t>-</w:t>
            </w:r>
            <w:r>
              <w:t xml:space="preserve">scale projects and private sector partnerships </w:t>
            </w:r>
          </w:p>
        </w:tc>
        <w:tc>
          <w:tcPr>
            <w:tcW w:w="1043" w:type="dxa"/>
            <w:shd w:val="clear" w:color="auto" w:fill="92D050"/>
          </w:tcPr>
          <w:p w:rsidR="00873B58" w:rsidRPr="00044520" w:rsidRDefault="00873B58" w:rsidP="006E2B9F">
            <w:pPr>
              <w:pStyle w:val="TableTextEntries"/>
              <w:jc w:val="center"/>
            </w:pPr>
            <w:r>
              <w:t>Green</w:t>
            </w:r>
          </w:p>
        </w:tc>
        <w:tc>
          <w:tcPr>
            <w:tcW w:w="6315" w:type="dxa"/>
          </w:tcPr>
          <w:p w:rsidR="00873B58" w:rsidRPr="00745FE3" w:rsidRDefault="00873B58" w:rsidP="00897695">
            <w:pPr>
              <w:pStyle w:val="TableTextEntries"/>
            </w:pPr>
            <w:r>
              <w:t xml:space="preserve">Achieved: DFAT co-financed with ADB for the Rural Roads Improvement, and Investing In Infrastructure (3i) program was approved. 3i will work with </w:t>
            </w:r>
            <w:r w:rsidR="00897695">
              <w:t xml:space="preserve">the </w:t>
            </w:r>
            <w:r>
              <w:t>private sector to deliver small</w:t>
            </w:r>
            <w:r w:rsidR="00897695">
              <w:t>-</w:t>
            </w:r>
            <w:r>
              <w:t xml:space="preserve">scale infrastructure projects, </w:t>
            </w:r>
            <w:r w:rsidR="00897695">
              <w:t xml:space="preserve">initially at least  </w:t>
            </w:r>
            <w:r>
              <w:t xml:space="preserve">in </w:t>
            </w:r>
            <w:r w:rsidR="00897695">
              <w:t xml:space="preserve">the </w:t>
            </w:r>
            <w:r>
              <w:t xml:space="preserve">energy and </w:t>
            </w:r>
            <w:r w:rsidR="00897695">
              <w:t>w</w:t>
            </w:r>
            <w:r>
              <w:t>ater sectors.</w:t>
            </w:r>
          </w:p>
        </w:tc>
      </w:tr>
      <w:tr w:rsidR="00873B58" w:rsidRPr="00745FE3" w:rsidTr="006E2B9F">
        <w:trPr>
          <w:cnfStyle w:val="000000010000" w:firstRow="0" w:lastRow="0" w:firstColumn="0" w:lastColumn="0" w:oddVBand="0" w:evenVBand="0" w:oddHBand="0" w:evenHBand="1" w:firstRowFirstColumn="0" w:firstRowLastColumn="0" w:lastRowFirstColumn="0" w:lastRowLastColumn="0"/>
          <w:cantSplit/>
          <w:trHeight w:val="576"/>
          <w:tblHeader w:val="0"/>
        </w:trPr>
        <w:tc>
          <w:tcPr>
            <w:tcW w:w="5814" w:type="dxa"/>
          </w:tcPr>
          <w:p w:rsidR="00873B58" w:rsidRPr="00745FE3" w:rsidRDefault="00873B58" w:rsidP="006E2B9F">
            <w:pPr>
              <w:pStyle w:val="TableTextEntries"/>
            </w:pPr>
            <w:r w:rsidRPr="00DC4E89">
              <w:t>Ensure documentation of lessons learned from the Rehabilitation</w:t>
            </w:r>
            <w:r>
              <w:t xml:space="preserve"> of the Railway in Cambodia</w:t>
            </w:r>
            <w:r w:rsidRPr="00DC4E89">
              <w:t xml:space="preserve"> Project </w:t>
            </w:r>
          </w:p>
        </w:tc>
        <w:tc>
          <w:tcPr>
            <w:tcW w:w="1043" w:type="dxa"/>
            <w:shd w:val="clear" w:color="auto" w:fill="F79646" w:themeFill="accent6"/>
          </w:tcPr>
          <w:p w:rsidR="00873B58" w:rsidRPr="00044520" w:rsidRDefault="00873B58" w:rsidP="006E2B9F">
            <w:pPr>
              <w:pStyle w:val="TableTextEntries"/>
              <w:jc w:val="center"/>
            </w:pPr>
            <w:r>
              <w:t>Amber</w:t>
            </w:r>
          </w:p>
        </w:tc>
        <w:tc>
          <w:tcPr>
            <w:tcW w:w="6315" w:type="dxa"/>
          </w:tcPr>
          <w:p w:rsidR="00873B58" w:rsidRPr="00745FE3" w:rsidRDefault="00873B58" w:rsidP="006E2B9F">
            <w:pPr>
              <w:pStyle w:val="TableTextEntries"/>
            </w:pPr>
            <w:r>
              <w:t xml:space="preserve">Partly achieved: Resettlement documents and lessons learnt are being documented by DFAT Hanoi office, and the entire project completion report is now scheduled for early 2016 as the ADB loan was extended </w:t>
            </w:r>
            <w:r w:rsidR="00897695">
              <w:t>until the</w:t>
            </w:r>
            <w:r>
              <w:t xml:space="preserve"> end of 2015.</w:t>
            </w:r>
          </w:p>
        </w:tc>
      </w:tr>
      <w:tr w:rsidR="00873B58" w:rsidRPr="00745FE3" w:rsidTr="006E2B9F">
        <w:trPr>
          <w:cantSplit/>
          <w:tblHeader w:val="0"/>
        </w:trPr>
        <w:tc>
          <w:tcPr>
            <w:tcW w:w="5814" w:type="dxa"/>
          </w:tcPr>
          <w:p w:rsidR="00873B58" w:rsidRDefault="00873B58" w:rsidP="006E2B9F">
            <w:pPr>
              <w:pStyle w:val="TableTextEntries"/>
            </w:pPr>
            <w:r w:rsidRPr="00490EFB">
              <w:t xml:space="preserve">Closely manage the completion of any resettlement activities </w:t>
            </w:r>
          </w:p>
        </w:tc>
        <w:tc>
          <w:tcPr>
            <w:tcW w:w="1043" w:type="dxa"/>
            <w:tcBorders>
              <w:top w:val="nil"/>
              <w:bottom w:val="nil"/>
            </w:tcBorders>
            <w:shd w:val="clear" w:color="auto" w:fill="92D050"/>
          </w:tcPr>
          <w:p w:rsidR="00873B58" w:rsidRPr="00044520" w:rsidRDefault="00873B58" w:rsidP="006E2B9F">
            <w:pPr>
              <w:pStyle w:val="TableTextEntries"/>
              <w:jc w:val="center"/>
            </w:pPr>
            <w:r>
              <w:t>Green</w:t>
            </w:r>
          </w:p>
        </w:tc>
        <w:tc>
          <w:tcPr>
            <w:tcW w:w="6315" w:type="dxa"/>
          </w:tcPr>
          <w:p w:rsidR="00873B58" w:rsidRPr="00745FE3" w:rsidRDefault="00873B58" w:rsidP="006E2B9F">
            <w:pPr>
              <w:pStyle w:val="TableTextEntries"/>
            </w:pPr>
            <w:r>
              <w:t>Achieved: CUFA conducted an end project evaluation report. EIRP program completed.</w:t>
            </w:r>
          </w:p>
        </w:tc>
      </w:tr>
      <w:tr w:rsidR="00873B58" w:rsidRPr="00745FE3" w:rsidTr="006E2B9F">
        <w:trPr>
          <w:cnfStyle w:val="000000010000" w:firstRow="0" w:lastRow="0" w:firstColumn="0" w:lastColumn="0" w:oddVBand="0" w:evenVBand="0" w:oddHBand="0" w:evenHBand="1" w:firstRowFirstColumn="0" w:firstRowLastColumn="0" w:lastRowFirstColumn="0" w:lastRowLastColumn="0"/>
          <w:cantSplit/>
          <w:tblHeader w:val="0"/>
        </w:trPr>
        <w:tc>
          <w:tcPr>
            <w:tcW w:w="13228" w:type="dxa"/>
            <w:gridSpan w:val="3"/>
          </w:tcPr>
          <w:p w:rsidR="00873B58" w:rsidRPr="00044520" w:rsidRDefault="00873B58" w:rsidP="006E2B9F">
            <w:pPr>
              <w:pStyle w:val="TableHeading1"/>
              <w:rPr>
                <w:rFonts w:eastAsiaTheme="minorHAnsi"/>
                <w:b w:val="0"/>
              </w:rPr>
            </w:pPr>
            <w:r w:rsidRPr="00EE7AF3">
              <w:rPr>
                <w:rFonts w:eastAsiaTheme="minorHAnsi"/>
              </w:rPr>
              <w:lastRenderedPageBreak/>
              <w:t>Objective 4: Women, youth and children are safer and communities have less crime</w:t>
            </w:r>
          </w:p>
        </w:tc>
      </w:tr>
      <w:tr w:rsidR="00873B58" w:rsidRPr="00745FE3" w:rsidTr="006E2B9F">
        <w:trPr>
          <w:cantSplit/>
          <w:tblHeader w:val="0"/>
        </w:trPr>
        <w:tc>
          <w:tcPr>
            <w:tcW w:w="5814" w:type="dxa"/>
          </w:tcPr>
          <w:p w:rsidR="00873B58" w:rsidRPr="00745FE3" w:rsidRDefault="00873B58" w:rsidP="006E2B9F">
            <w:pPr>
              <w:pStyle w:val="TableTextEntries"/>
            </w:pPr>
            <w:r w:rsidRPr="00490EFB">
              <w:t>Refocus CCJAP on those areas where there is progress and Cambodian Government support based on internal review and agreement with Cambodian Government.</w:t>
            </w:r>
          </w:p>
        </w:tc>
        <w:tc>
          <w:tcPr>
            <w:tcW w:w="1043" w:type="dxa"/>
            <w:shd w:val="clear" w:color="auto" w:fill="92D050"/>
          </w:tcPr>
          <w:p w:rsidR="00873B58" w:rsidRPr="00044520" w:rsidRDefault="00873B58" w:rsidP="006E2B9F">
            <w:pPr>
              <w:pStyle w:val="TableTextEntries"/>
              <w:jc w:val="center"/>
            </w:pPr>
            <w:r>
              <w:t>Green</w:t>
            </w:r>
          </w:p>
        </w:tc>
        <w:tc>
          <w:tcPr>
            <w:tcW w:w="6315" w:type="dxa"/>
          </w:tcPr>
          <w:p w:rsidR="00873B58" w:rsidRDefault="00873B58" w:rsidP="006E2B9F">
            <w:pPr>
              <w:pStyle w:val="TableTextEntries"/>
            </w:pPr>
            <w:r>
              <w:t xml:space="preserve">Achieved: </w:t>
            </w:r>
            <w:r w:rsidRPr="00D65A3B">
              <w:t>CCJAP, with the agreement from the National Management Board (NMB) in January 2015, was reshaped to focus on Crime Prevention and Community Safety (CPCS), and gradually exit from other components which are not progressing well.</w:t>
            </w:r>
          </w:p>
        </w:tc>
      </w:tr>
      <w:tr w:rsidR="00873B58" w:rsidRPr="00745FE3" w:rsidTr="006E2B9F">
        <w:trPr>
          <w:cnfStyle w:val="000000010000" w:firstRow="0" w:lastRow="0" w:firstColumn="0" w:lastColumn="0" w:oddVBand="0" w:evenVBand="0" w:oddHBand="0" w:evenHBand="1" w:firstRowFirstColumn="0" w:firstRowLastColumn="0" w:lastRowFirstColumn="0" w:lastRowLastColumn="0"/>
          <w:cantSplit/>
          <w:tblHeader w:val="0"/>
        </w:trPr>
        <w:tc>
          <w:tcPr>
            <w:tcW w:w="5814" w:type="dxa"/>
          </w:tcPr>
          <w:p w:rsidR="00873B58" w:rsidRPr="00490EFB" w:rsidRDefault="00873B58" w:rsidP="006E2B9F">
            <w:pPr>
              <w:pStyle w:val="TableTextEntries"/>
            </w:pPr>
            <w:r w:rsidRPr="00490EFB">
              <w:t xml:space="preserve">Link CCJAP and EVAW community policing and justice components to maximise program synergies to improve police response and access to justice for women suffering violence. </w:t>
            </w:r>
          </w:p>
        </w:tc>
        <w:tc>
          <w:tcPr>
            <w:tcW w:w="1043" w:type="dxa"/>
            <w:shd w:val="clear" w:color="auto" w:fill="92D050"/>
          </w:tcPr>
          <w:p w:rsidR="00873B58" w:rsidRDefault="00873B58" w:rsidP="006E2B9F">
            <w:pPr>
              <w:pStyle w:val="TableTextEntries"/>
              <w:jc w:val="center"/>
            </w:pPr>
            <w:r>
              <w:t>Green</w:t>
            </w:r>
          </w:p>
        </w:tc>
        <w:tc>
          <w:tcPr>
            <w:tcW w:w="6315" w:type="dxa"/>
          </w:tcPr>
          <w:p w:rsidR="00873B58" w:rsidRDefault="00873B58" w:rsidP="00C930FF">
            <w:pPr>
              <w:pStyle w:val="TableTextEntries"/>
            </w:pPr>
            <w:r>
              <w:t xml:space="preserve">Achieved: </w:t>
            </w:r>
            <w:r w:rsidRPr="00D65A3B">
              <w:t xml:space="preserve">CCJAP’s CPCS was focusing on </w:t>
            </w:r>
            <w:r w:rsidR="00C930FF">
              <w:t>g</w:t>
            </w:r>
            <w:r w:rsidR="003E25EF">
              <w:t xml:space="preserve">ender-based </w:t>
            </w:r>
            <w:r w:rsidR="00C930FF">
              <w:t>v</w:t>
            </w:r>
            <w:r w:rsidR="003E25EF">
              <w:t xml:space="preserve">iolence </w:t>
            </w:r>
            <w:r w:rsidRPr="00D65A3B">
              <w:t xml:space="preserve">from September 2014. The design of the new Community Policing Initiative (CPI) draws lessons from CCJAP and EVAW program partners to assist Cambodian National Police to better focus on </w:t>
            </w:r>
            <w:r w:rsidR="00C930FF">
              <w:t>gender-based</w:t>
            </w:r>
            <w:r w:rsidR="00C930FF" w:rsidRPr="00D65A3B">
              <w:t xml:space="preserve"> </w:t>
            </w:r>
            <w:r w:rsidRPr="00D65A3B">
              <w:t>and domestic violence. The new CPI design started in May 2015</w:t>
            </w:r>
            <w:r w:rsidR="00897695">
              <w:t>,</w:t>
            </w:r>
            <w:r w:rsidRPr="00D65A3B">
              <w:t xml:space="preserve"> and will be concluded in </w:t>
            </w:r>
            <w:r w:rsidR="00C930FF">
              <w:t xml:space="preserve">late </w:t>
            </w:r>
            <w:r w:rsidRPr="00D65A3B">
              <w:t>2015.</w:t>
            </w:r>
          </w:p>
        </w:tc>
      </w:tr>
      <w:tr w:rsidR="00873B58" w:rsidRPr="00745FE3" w:rsidTr="006E2B9F">
        <w:trPr>
          <w:cantSplit/>
          <w:tblHeader w:val="0"/>
        </w:trPr>
        <w:tc>
          <w:tcPr>
            <w:tcW w:w="5814" w:type="dxa"/>
          </w:tcPr>
          <w:p w:rsidR="00873B58" w:rsidRPr="00745FE3" w:rsidRDefault="00873B58" w:rsidP="006E2B9F">
            <w:pPr>
              <w:pStyle w:val="TableTextEntries"/>
            </w:pPr>
            <w:r w:rsidRPr="00490EFB">
              <w:t xml:space="preserve">Develop </w:t>
            </w:r>
            <w:r>
              <w:t>e</w:t>
            </w:r>
            <w:r w:rsidRPr="00490EFB">
              <w:t xml:space="preserve">xit </w:t>
            </w:r>
            <w:r>
              <w:t>s</w:t>
            </w:r>
            <w:r w:rsidRPr="00490EFB">
              <w:t>trategy for CCJAP</w:t>
            </w:r>
          </w:p>
        </w:tc>
        <w:tc>
          <w:tcPr>
            <w:tcW w:w="1043" w:type="dxa"/>
            <w:shd w:val="clear" w:color="auto" w:fill="92D050"/>
          </w:tcPr>
          <w:p w:rsidR="00873B58" w:rsidRPr="00044520" w:rsidRDefault="00873B58" w:rsidP="006E2B9F">
            <w:pPr>
              <w:pStyle w:val="TableTextEntries"/>
              <w:jc w:val="center"/>
            </w:pPr>
            <w:r>
              <w:t>Green</w:t>
            </w:r>
          </w:p>
        </w:tc>
        <w:tc>
          <w:tcPr>
            <w:tcW w:w="6315" w:type="dxa"/>
          </w:tcPr>
          <w:p w:rsidR="00873B58" w:rsidRDefault="00873B58" w:rsidP="00C930FF">
            <w:pPr>
              <w:pStyle w:val="TableTextEntries"/>
            </w:pPr>
            <w:r>
              <w:t xml:space="preserve">Achieved: </w:t>
            </w:r>
            <w:r w:rsidRPr="00D65A3B">
              <w:t xml:space="preserve">Exit strategy was developed and approved by NMB in January 2015. The written exit strategy will be finalised in </w:t>
            </w:r>
            <w:r w:rsidR="00C930FF">
              <w:t xml:space="preserve">late </w:t>
            </w:r>
            <w:r w:rsidR="00C930FF" w:rsidRPr="00D65A3B">
              <w:t xml:space="preserve"> </w:t>
            </w:r>
            <w:r w:rsidRPr="00D65A3B">
              <w:t>2015.</w:t>
            </w:r>
          </w:p>
        </w:tc>
      </w:tr>
      <w:tr w:rsidR="00873B58" w:rsidRPr="00745FE3" w:rsidTr="006E2B9F">
        <w:trPr>
          <w:cnfStyle w:val="000000010000" w:firstRow="0" w:lastRow="0" w:firstColumn="0" w:lastColumn="0" w:oddVBand="0" w:evenVBand="0" w:oddHBand="0" w:evenHBand="1" w:firstRowFirstColumn="0" w:firstRowLastColumn="0" w:lastRowFirstColumn="0" w:lastRowLastColumn="0"/>
          <w:cantSplit/>
          <w:tblHeader w:val="0"/>
        </w:trPr>
        <w:tc>
          <w:tcPr>
            <w:tcW w:w="5814" w:type="dxa"/>
          </w:tcPr>
          <w:p w:rsidR="00873B58" w:rsidRPr="00745FE3" w:rsidRDefault="00873B58" w:rsidP="006E2B9F">
            <w:pPr>
              <w:pStyle w:val="TableTextEntries"/>
            </w:pPr>
            <w:r>
              <w:t xml:space="preserve">Use surveys and research </w:t>
            </w:r>
            <w:r w:rsidRPr="000252D7">
              <w:t>in CCJAP and EVAW</w:t>
            </w:r>
            <w:r>
              <w:t xml:space="preserve"> to guide 2015 EVAW programming</w:t>
            </w:r>
          </w:p>
        </w:tc>
        <w:tc>
          <w:tcPr>
            <w:tcW w:w="1043" w:type="dxa"/>
            <w:shd w:val="clear" w:color="auto" w:fill="92D050"/>
          </w:tcPr>
          <w:p w:rsidR="00873B58" w:rsidRPr="00044520" w:rsidRDefault="00873B58" w:rsidP="006E2B9F">
            <w:pPr>
              <w:pStyle w:val="TableTextEntries"/>
              <w:jc w:val="center"/>
            </w:pPr>
            <w:r>
              <w:t>Green</w:t>
            </w:r>
          </w:p>
        </w:tc>
        <w:tc>
          <w:tcPr>
            <w:tcW w:w="6315" w:type="dxa"/>
          </w:tcPr>
          <w:p w:rsidR="00873B58" w:rsidRPr="00745FE3" w:rsidRDefault="00873B58" w:rsidP="00594E31">
            <w:pPr>
              <w:pStyle w:val="TableTextEntries"/>
            </w:pPr>
            <w:r>
              <w:t>Achieved: From DFAT/T</w:t>
            </w:r>
            <w:r w:rsidR="003E25EF">
              <w:t xml:space="preserve">he </w:t>
            </w:r>
            <w:r>
              <w:t>A</w:t>
            </w:r>
            <w:r w:rsidR="003E25EF">
              <w:t xml:space="preserve">sia </w:t>
            </w:r>
            <w:r>
              <w:t>F</w:t>
            </w:r>
            <w:r w:rsidR="003E25EF">
              <w:t>oundation</w:t>
            </w:r>
            <w:r>
              <w:t xml:space="preserve"> research, four targeting briefs on alcohol, media, education attainment and childhood exposure were published. Two of the targeting briefs</w:t>
            </w:r>
            <w:r w:rsidR="00594E31">
              <w:t xml:space="preserve"> (alcohol and media) have led to ongoing programs to reduce intimate partner violence. </w:t>
            </w:r>
            <w:r>
              <w:t>.</w:t>
            </w:r>
          </w:p>
        </w:tc>
      </w:tr>
    </w:tbl>
    <w:p w:rsidR="00873B58" w:rsidRPr="00FE4491" w:rsidRDefault="00873B58" w:rsidP="00873B58">
      <w:pPr>
        <w:pStyle w:val="Note"/>
      </w:pPr>
      <w:r w:rsidRPr="00FE4491">
        <w:t xml:space="preserve">Note: </w:t>
      </w:r>
    </w:p>
    <w:p w:rsidR="00873B58" w:rsidRPr="00671434" w:rsidRDefault="00873B58" w:rsidP="00873B58">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873B58" w:rsidRPr="00EA3BAD" w:rsidRDefault="00873B58" w:rsidP="00873B58">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873B58" w:rsidRDefault="00873B58" w:rsidP="00873B58">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873B58" w:rsidRDefault="00873B58" w:rsidP="00873B58">
      <w:pPr>
        <w:spacing w:after="200" w:line="276" w:lineRule="auto"/>
        <w:rPr>
          <w:rFonts w:ascii="Franklin Gothic Book" w:hAnsi="Franklin Gothic Book"/>
          <w:sz w:val="21"/>
        </w:rPr>
      </w:pPr>
    </w:p>
    <w:p w:rsidR="00873B58" w:rsidRDefault="00873B58" w:rsidP="00873B58">
      <w:pPr>
        <w:spacing w:after="200" w:line="276" w:lineRule="auto"/>
        <w:rPr>
          <w:rFonts w:ascii="Franklin Gothic Book" w:hAnsi="Franklin Gothic Book"/>
          <w:sz w:val="21"/>
        </w:rPr>
      </w:pPr>
      <w:r>
        <w:rPr>
          <w:rFonts w:ascii="Franklin Gothic Book" w:hAnsi="Franklin Gothic Book"/>
          <w:sz w:val="21"/>
        </w:rPr>
        <w:br w:type="page"/>
      </w:r>
    </w:p>
    <w:p w:rsidR="00873B58" w:rsidRDefault="00873B58" w:rsidP="00873B58">
      <w:pPr>
        <w:spacing w:after="200" w:line="276" w:lineRule="auto"/>
        <w:rPr>
          <w:rFonts w:ascii="Franklin Gothic Book" w:hAnsi="Franklin Gothic Book"/>
          <w:sz w:val="21"/>
        </w:rPr>
      </w:pPr>
    </w:p>
    <w:p w:rsidR="00416B02" w:rsidRPr="009E38C1" w:rsidRDefault="00416B02" w:rsidP="00416B02">
      <w:pPr>
        <w:pStyle w:val="Heading2"/>
        <w:rPr>
          <w:sz w:val="28"/>
        </w:rPr>
      </w:pPr>
      <w:r w:rsidRPr="009E38C1">
        <w:rPr>
          <w:sz w:val="28"/>
        </w:rPr>
        <w:t>Annex</w:t>
      </w:r>
      <w:r>
        <w:rPr>
          <w:sz w:val="28"/>
        </w:rPr>
        <w:t xml:space="preserve"> </w:t>
      </w:r>
      <w:r w:rsidR="00873B58">
        <w:rPr>
          <w:sz w:val="28"/>
        </w:rPr>
        <w:t>B</w:t>
      </w:r>
      <w:r w:rsidR="0057490F">
        <w:rPr>
          <w:sz w:val="28"/>
        </w:rPr>
        <w:t xml:space="preserve"> - </w:t>
      </w:r>
      <w:r>
        <w:rPr>
          <w:sz w:val="28"/>
        </w:rPr>
        <w:t xml:space="preserve">Progress towards </w:t>
      </w:r>
      <w:r w:rsidRPr="009E38C1">
        <w:rPr>
          <w:sz w:val="28"/>
        </w:rPr>
        <w:t xml:space="preserve">Performance Benchmarks </w:t>
      </w:r>
      <w:r>
        <w:rPr>
          <w:sz w:val="28"/>
        </w:rPr>
        <w:t xml:space="preserve">in </w:t>
      </w:r>
      <w:r w:rsidRPr="009E38C1">
        <w:rPr>
          <w:sz w:val="28"/>
        </w:rPr>
        <w:t>2014 -15</w:t>
      </w:r>
    </w:p>
    <w:tbl>
      <w:tblPr>
        <w:tblStyle w:val="DFATTable"/>
        <w:tblW w:w="4858" w:type="pct"/>
        <w:tblInd w:w="108" w:type="dxa"/>
        <w:tblLook w:val="04A0" w:firstRow="1" w:lastRow="0" w:firstColumn="1" w:lastColumn="0" w:noHBand="0" w:noVBand="1"/>
        <w:tblCaption w:val="Annex B - Progress towards Performance Benchmarks in 2014 -15"/>
        <w:tblDescription w:val="Annex B shows progress in financial year 2014-15 towards the performance benchmarks set in the APPR of the previous financial year 2013-14. It shows our aid objectives, the 2014-15 benchmarks we set ourselves, a rating of progress and a narrative on progress. &#10;The progress rating uses a 3 point rating scale. &#10;Achieved - significant progress has been made and the performance benchmark was achieved.  &#10;Partly achieved - some progress has been made towards achieving the performance benchmark, but progress was less than anticipated. &#10;Not achieved - progress towards the performance benchmark has been significantly below expectations."/>
      </w:tblPr>
      <w:tblGrid>
        <w:gridCol w:w="3296"/>
        <w:gridCol w:w="3649"/>
        <w:gridCol w:w="959"/>
        <w:gridCol w:w="6076"/>
      </w:tblGrid>
      <w:tr w:rsidR="002714D7" w:rsidRPr="00395B50" w:rsidTr="002714D7">
        <w:trPr>
          <w:tblHeader/>
        </w:trPr>
        <w:tc>
          <w:tcPr>
            <w:tcW w:w="1179" w:type="pct"/>
            <w:tcBorders>
              <w:bottom w:val="nil"/>
            </w:tcBorders>
            <w:tcMar>
              <w:top w:w="57" w:type="dxa"/>
              <w:bottom w:w="57" w:type="dxa"/>
            </w:tcMar>
          </w:tcPr>
          <w:p w:rsidR="00BA7ABF" w:rsidRPr="00395B50" w:rsidRDefault="00FE7096" w:rsidP="00FE7096">
            <w:pPr>
              <w:pStyle w:val="TableHeading1"/>
            </w:pPr>
            <w:r w:rsidRPr="00395B50">
              <w:t xml:space="preserve"> </w:t>
            </w:r>
            <w:r w:rsidR="00BA7ABF" w:rsidRPr="00395B50">
              <w:t>Aid objective</w:t>
            </w:r>
          </w:p>
        </w:tc>
        <w:tc>
          <w:tcPr>
            <w:tcW w:w="1305" w:type="pct"/>
            <w:tcBorders>
              <w:bottom w:val="nil"/>
            </w:tcBorders>
          </w:tcPr>
          <w:p w:rsidR="00BA7ABF" w:rsidRPr="00395B50" w:rsidRDefault="00BA7ABF" w:rsidP="00FE7096">
            <w:pPr>
              <w:pStyle w:val="TableHeading1"/>
            </w:pPr>
            <w:r w:rsidRPr="00395B50">
              <w:t xml:space="preserve">2014-15 benchmark </w:t>
            </w:r>
          </w:p>
        </w:tc>
        <w:tc>
          <w:tcPr>
            <w:tcW w:w="343" w:type="pct"/>
            <w:tcBorders>
              <w:bottom w:val="nil"/>
            </w:tcBorders>
          </w:tcPr>
          <w:p w:rsidR="00BA7ABF" w:rsidRPr="00395B50" w:rsidRDefault="00BA7ABF" w:rsidP="00FE7096">
            <w:pPr>
              <w:pStyle w:val="TableHeading1"/>
            </w:pPr>
            <w:r w:rsidRPr="00395B50">
              <w:t>Rating</w:t>
            </w:r>
          </w:p>
        </w:tc>
        <w:tc>
          <w:tcPr>
            <w:tcW w:w="2173" w:type="pct"/>
            <w:tcBorders>
              <w:bottom w:val="nil"/>
            </w:tcBorders>
          </w:tcPr>
          <w:p w:rsidR="00BA7ABF" w:rsidRPr="00395B50" w:rsidRDefault="00BA7ABF" w:rsidP="00FE7096">
            <w:pPr>
              <w:pStyle w:val="TableHeading1"/>
            </w:pPr>
            <w:r w:rsidRPr="00395B50">
              <w:t>Progress in 2014-15</w:t>
            </w:r>
          </w:p>
        </w:tc>
      </w:tr>
      <w:tr w:rsidR="00BA7ABF" w:rsidRPr="00395B50" w:rsidTr="002714D7">
        <w:tc>
          <w:tcPr>
            <w:tcW w:w="5000" w:type="pct"/>
            <w:gridSpan w:val="4"/>
            <w:tcBorders>
              <w:top w:val="nil"/>
              <w:bottom w:val="nil"/>
            </w:tcBorders>
            <w:shd w:val="clear" w:color="auto" w:fill="auto"/>
            <w:tcMar>
              <w:top w:w="57" w:type="dxa"/>
              <w:bottom w:w="57" w:type="dxa"/>
            </w:tcMar>
          </w:tcPr>
          <w:p w:rsidR="00BA7ABF" w:rsidRPr="00395B50" w:rsidRDefault="00BA7ABF" w:rsidP="00FE7096">
            <w:pPr>
              <w:pStyle w:val="TableListBullet"/>
              <w:numPr>
                <w:ilvl w:val="0"/>
                <w:numId w:val="0"/>
              </w:numPr>
              <w:rPr>
                <w:rFonts w:ascii="Franklin Gothic Book" w:hAnsi="Franklin Gothic Book"/>
                <w:b/>
                <w:bCs/>
              </w:rPr>
            </w:pPr>
            <w:r w:rsidRPr="00395B50">
              <w:rPr>
                <w:rFonts w:ascii="Franklin Gothic Book" w:hAnsi="Franklin Gothic Book"/>
                <w:b/>
                <w:bCs/>
              </w:rPr>
              <w:t>Objective 1:  Rural poverty reduction through agricultural development</w:t>
            </w:r>
          </w:p>
        </w:tc>
      </w:tr>
      <w:tr w:rsidR="002714D7" w:rsidRPr="00395B50" w:rsidTr="002714D7">
        <w:tc>
          <w:tcPr>
            <w:tcW w:w="1179" w:type="pct"/>
            <w:tcBorders>
              <w:top w:val="nil"/>
            </w:tcBorders>
            <w:tcMar>
              <w:top w:w="57" w:type="dxa"/>
              <w:bottom w:w="57" w:type="dxa"/>
            </w:tcMar>
          </w:tcPr>
          <w:p w:rsidR="00BA7ABF" w:rsidRPr="00395B50" w:rsidRDefault="00BA7ABF" w:rsidP="00FE7096">
            <w:pPr>
              <w:pStyle w:val="TableListBullet"/>
              <w:numPr>
                <w:ilvl w:val="0"/>
                <w:numId w:val="0"/>
              </w:numPr>
              <w:rPr>
                <w:rFonts w:ascii="Franklin Gothic Book" w:hAnsi="Franklin Gothic Book"/>
              </w:rPr>
            </w:pPr>
            <w:r w:rsidRPr="00395B50">
              <w:rPr>
                <w:rFonts w:ascii="Franklin Gothic Book" w:hAnsi="Franklin Gothic Book"/>
              </w:rPr>
              <w:t>Increased value of agricultural production and smallholder income in targeted provinces</w:t>
            </w:r>
          </w:p>
        </w:tc>
        <w:tc>
          <w:tcPr>
            <w:tcW w:w="1305" w:type="pct"/>
            <w:tcBorders>
              <w:top w:val="nil"/>
            </w:tcBorders>
          </w:tcPr>
          <w:p w:rsidR="00BA7ABF" w:rsidRPr="00395B50" w:rsidRDefault="00BA7ABF" w:rsidP="00FE7096">
            <w:pPr>
              <w:pStyle w:val="TableListBullet"/>
              <w:numPr>
                <w:ilvl w:val="0"/>
                <w:numId w:val="0"/>
              </w:numPr>
              <w:rPr>
                <w:rFonts w:ascii="Franklin Gothic Book" w:hAnsi="Franklin Gothic Book"/>
              </w:rPr>
            </w:pPr>
            <w:r w:rsidRPr="00395B50">
              <w:rPr>
                <w:rFonts w:ascii="Franklin Gothic Book" w:hAnsi="Franklin Gothic Book"/>
              </w:rPr>
              <w:t>Rehabilitation or construction of six irrigation infrastructure schemes, allowing irrigation for up to an additional 3,950 ha of land , allowing 3,950 farmer households to plant additional crops each year</w:t>
            </w:r>
            <w:r w:rsidR="00E11F69" w:rsidRPr="00395B50">
              <w:rPr>
                <w:rFonts w:ascii="Franklin Gothic Book" w:hAnsi="Franklin Gothic Book"/>
              </w:rPr>
              <w:t>.</w:t>
            </w:r>
          </w:p>
        </w:tc>
        <w:tc>
          <w:tcPr>
            <w:tcW w:w="343" w:type="pct"/>
            <w:tcBorders>
              <w:top w:val="nil"/>
            </w:tcBorders>
            <w:shd w:val="clear" w:color="auto" w:fill="92D050"/>
          </w:tcPr>
          <w:p w:rsidR="00BA7ABF" w:rsidRPr="00395B50" w:rsidRDefault="00E11F69" w:rsidP="00E11F69">
            <w:pPr>
              <w:pStyle w:val="TableListBullet"/>
              <w:numPr>
                <w:ilvl w:val="0"/>
                <w:numId w:val="0"/>
              </w:numPr>
              <w:jc w:val="center"/>
              <w:rPr>
                <w:rFonts w:ascii="Franklin Gothic Book" w:hAnsi="Franklin Gothic Book"/>
              </w:rPr>
            </w:pPr>
            <w:r w:rsidRPr="00395B50">
              <w:rPr>
                <w:rFonts w:ascii="Franklin Gothic Book" w:hAnsi="Franklin Gothic Book"/>
              </w:rPr>
              <w:t>Achieved</w:t>
            </w:r>
          </w:p>
        </w:tc>
        <w:tc>
          <w:tcPr>
            <w:tcW w:w="2173" w:type="pct"/>
            <w:tcBorders>
              <w:top w:val="nil"/>
            </w:tcBorders>
          </w:tcPr>
          <w:p w:rsidR="00BA7ABF" w:rsidRPr="00395B50" w:rsidRDefault="00E11F69" w:rsidP="007C6A87">
            <w:pPr>
              <w:pStyle w:val="TableListBullet"/>
              <w:numPr>
                <w:ilvl w:val="0"/>
                <w:numId w:val="0"/>
              </w:numPr>
              <w:rPr>
                <w:rFonts w:ascii="Franklin Gothic Book" w:hAnsi="Franklin Gothic Book"/>
              </w:rPr>
            </w:pPr>
            <w:r w:rsidRPr="00395B50">
              <w:rPr>
                <w:rFonts w:ascii="Franklin Gothic Book" w:hAnsi="Franklin Gothic Book"/>
              </w:rPr>
              <w:t xml:space="preserve">Australia completed seven irrigation infrastructure improvements, giving up to </w:t>
            </w:r>
            <w:r w:rsidR="007C6A87" w:rsidRPr="00395B50">
              <w:rPr>
                <w:rFonts w:ascii="Franklin Gothic Book" w:hAnsi="Franklin Gothic Book"/>
              </w:rPr>
              <w:t xml:space="preserve">3,897 </w:t>
            </w:r>
            <w:r w:rsidRPr="00395B50">
              <w:rPr>
                <w:rFonts w:ascii="Franklin Gothic Book" w:hAnsi="Franklin Gothic Book"/>
              </w:rPr>
              <w:t xml:space="preserve">ha of land access to irrigation and allowing </w:t>
            </w:r>
            <w:r w:rsidR="007C6A87" w:rsidRPr="00395B50">
              <w:rPr>
                <w:rFonts w:ascii="Franklin Gothic Book" w:hAnsi="Franklin Gothic Book"/>
              </w:rPr>
              <w:t>4,221</w:t>
            </w:r>
            <w:r w:rsidR="00C930FF">
              <w:rPr>
                <w:rFonts w:ascii="Franklin Gothic Book" w:hAnsi="Franklin Gothic Book"/>
              </w:rPr>
              <w:t xml:space="preserve"> </w:t>
            </w:r>
            <w:r w:rsidRPr="00395B50">
              <w:rPr>
                <w:rFonts w:ascii="Franklin Gothic Book" w:hAnsi="Franklin Gothic Book"/>
              </w:rPr>
              <w:t>farmer households to plant additional crops each year</w:t>
            </w:r>
            <w:r w:rsidR="007C6A87" w:rsidRPr="00395B50">
              <w:rPr>
                <w:rFonts w:ascii="Franklin Gothic Book" w:hAnsi="Franklin Gothic Book"/>
              </w:rPr>
              <w:t>.</w:t>
            </w:r>
          </w:p>
        </w:tc>
      </w:tr>
      <w:tr w:rsidR="002714D7" w:rsidRPr="00395B50" w:rsidTr="002714D7">
        <w:tc>
          <w:tcPr>
            <w:tcW w:w="1179" w:type="pct"/>
            <w:shd w:val="clear" w:color="auto" w:fill="FFFFFF" w:themeFill="background1"/>
            <w:tcMar>
              <w:top w:w="57" w:type="dxa"/>
              <w:bottom w:w="57" w:type="dxa"/>
            </w:tcMar>
          </w:tcPr>
          <w:p w:rsidR="002714D7" w:rsidRPr="00395B50" w:rsidRDefault="002714D7" w:rsidP="00FE7096">
            <w:pPr>
              <w:pStyle w:val="TableListBullet"/>
              <w:numPr>
                <w:ilvl w:val="0"/>
                <w:numId w:val="0"/>
              </w:numPr>
              <w:rPr>
                <w:rFonts w:ascii="Franklin Gothic Book" w:hAnsi="Franklin Gothic Book"/>
              </w:rPr>
            </w:pPr>
          </w:p>
        </w:tc>
        <w:tc>
          <w:tcPr>
            <w:tcW w:w="1305" w:type="pct"/>
            <w:shd w:val="clear" w:color="auto" w:fill="FFFFFF" w:themeFill="background1"/>
          </w:tcPr>
          <w:p w:rsidR="002714D7" w:rsidRPr="00395B50" w:rsidRDefault="002714D7" w:rsidP="00FE7096">
            <w:pPr>
              <w:pStyle w:val="TableListBullet"/>
              <w:numPr>
                <w:ilvl w:val="0"/>
                <w:numId w:val="0"/>
              </w:numPr>
              <w:rPr>
                <w:rFonts w:ascii="Franklin Gothic Book" w:hAnsi="Franklin Gothic Book"/>
              </w:rPr>
            </w:pPr>
          </w:p>
        </w:tc>
        <w:tc>
          <w:tcPr>
            <w:tcW w:w="343" w:type="pct"/>
            <w:shd w:val="clear" w:color="auto" w:fill="FFFFFF" w:themeFill="background1"/>
          </w:tcPr>
          <w:p w:rsidR="002714D7" w:rsidRPr="00395B50" w:rsidRDefault="002714D7" w:rsidP="00E11F69">
            <w:pPr>
              <w:pStyle w:val="TableListBullet"/>
              <w:numPr>
                <w:ilvl w:val="0"/>
                <w:numId w:val="0"/>
              </w:numPr>
              <w:jc w:val="center"/>
              <w:rPr>
                <w:rFonts w:ascii="Franklin Gothic Book" w:hAnsi="Franklin Gothic Book"/>
              </w:rPr>
            </w:pPr>
          </w:p>
        </w:tc>
        <w:tc>
          <w:tcPr>
            <w:tcW w:w="2173" w:type="pct"/>
            <w:shd w:val="clear" w:color="auto" w:fill="FFFFFF" w:themeFill="background1"/>
          </w:tcPr>
          <w:p w:rsidR="002714D7" w:rsidRPr="00395B50" w:rsidRDefault="002714D7" w:rsidP="007C6A87">
            <w:pPr>
              <w:pStyle w:val="TableListBullet"/>
              <w:numPr>
                <w:ilvl w:val="0"/>
                <w:numId w:val="0"/>
              </w:numPr>
              <w:rPr>
                <w:rFonts w:ascii="Franklin Gothic Book" w:hAnsi="Franklin Gothic Book"/>
              </w:rPr>
            </w:pPr>
          </w:p>
        </w:tc>
      </w:tr>
      <w:tr w:rsidR="002714D7" w:rsidRPr="00395B50" w:rsidTr="002714D7">
        <w:tc>
          <w:tcPr>
            <w:tcW w:w="1179" w:type="pct"/>
            <w:tcMar>
              <w:top w:w="57" w:type="dxa"/>
              <w:bottom w:w="57" w:type="dxa"/>
            </w:tcMar>
          </w:tcPr>
          <w:p w:rsidR="00BA7ABF" w:rsidRPr="00395B50" w:rsidRDefault="00BA7ABF" w:rsidP="00FE7096">
            <w:pPr>
              <w:pStyle w:val="TableListBullet"/>
              <w:numPr>
                <w:ilvl w:val="0"/>
                <w:numId w:val="0"/>
              </w:numPr>
              <w:rPr>
                <w:rFonts w:ascii="Franklin Gothic Book" w:hAnsi="Franklin Gothic Book"/>
              </w:rPr>
            </w:pPr>
            <w:r w:rsidRPr="00395B50">
              <w:rPr>
                <w:rFonts w:ascii="Franklin Gothic Book" w:hAnsi="Franklin Gothic Book"/>
              </w:rPr>
              <w:t>Poor and vulnerable Cambodians will be increasingly protected against chronic poverty and hunger, shocks, destitution and social exclusion, and benefit from investments in their human capital</w:t>
            </w:r>
          </w:p>
        </w:tc>
        <w:tc>
          <w:tcPr>
            <w:tcW w:w="1305" w:type="pct"/>
          </w:tcPr>
          <w:p w:rsidR="00BA7ABF" w:rsidRPr="00395B50" w:rsidRDefault="00BA7ABF" w:rsidP="00FE7096">
            <w:pPr>
              <w:pStyle w:val="TableListBullet"/>
              <w:numPr>
                <w:ilvl w:val="0"/>
                <w:numId w:val="0"/>
              </w:numPr>
              <w:rPr>
                <w:rFonts w:ascii="Franklin Gothic Book" w:hAnsi="Franklin Gothic Book"/>
              </w:rPr>
            </w:pPr>
            <w:r w:rsidRPr="00395B50">
              <w:rPr>
                <w:rFonts w:ascii="Franklin Gothic Book" w:hAnsi="Franklin Gothic Book"/>
              </w:rPr>
              <w:t>At least 25.7 square kilometres of land contaminated by landmines and other ERW released for productive use</w:t>
            </w:r>
            <w:r w:rsidR="00E11F69" w:rsidRPr="00395B50">
              <w:rPr>
                <w:rFonts w:ascii="Franklin Gothic Book" w:hAnsi="Franklin Gothic Book"/>
              </w:rPr>
              <w:t>.</w:t>
            </w:r>
          </w:p>
          <w:p w:rsidR="00BA7ABF" w:rsidRPr="00395B50" w:rsidRDefault="00BA7ABF" w:rsidP="00FE7096">
            <w:pPr>
              <w:pStyle w:val="TableListBullet"/>
              <w:numPr>
                <w:ilvl w:val="0"/>
                <w:numId w:val="0"/>
              </w:numPr>
              <w:rPr>
                <w:rFonts w:ascii="Franklin Gothic Book" w:hAnsi="Franklin Gothic Book"/>
              </w:rPr>
            </w:pPr>
          </w:p>
        </w:tc>
        <w:tc>
          <w:tcPr>
            <w:tcW w:w="343" w:type="pct"/>
            <w:shd w:val="clear" w:color="auto" w:fill="92D050"/>
          </w:tcPr>
          <w:p w:rsidR="00BA7ABF" w:rsidRPr="00395B50" w:rsidRDefault="00E11F69" w:rsidP="00E11F69">
            <w:pPr>
              <w:pStyle w:val="TableListBullet"/>
              <w:numPr>
                <w:ilvl w:val="0"/>
                <w:numId w:val="0"/>
              </w:numPr>
              <w:jc w:val="center"/>
              <w:rPr>
                <w:rFonts w:ascii="Franklin Gothic Book" w:hAnsi="Franklin Gothic Book"/>
              </w:rPr>
            </w:pPr>
            <w:r w:rsidRPr="00395B50">
              <w:rPr>
                <w:rFonts w:ascii="Franklin Gothic Book" w:hAnsi="Franklin Gothic Book"/>
              </w:rPr>
              <w:t>Achieved</w:t>
            </w:r>
          </w:p>
        </w:tc>
        <w:tc>
          <w:tcPr>
            <w:tcW w:w="2173" w:type="pct"/>
          </w:tcPr>
          <w:p w:rsidR="00BA7ABF" w:rsidRPr="00395B50" w:rsidRDefault="00470B6C" w:rsidP="007229B0">
            <w:pPr>
              <w:pStyle w:val="TableListBullet"/>
              <w:numPr>
                <w:ilvl w:val="0"/>
                <w:numId w:val="0"/>
              </w:numPr>
              <w:rPr>
                <w:rFonts w:ascii="Franklin Gothic Book" w:hAnsi="Franklin Gothic Book"/>
              </w:rPr>
            </w:pPr>
            <w:r w:rsidRPr="00395B50">
              <w:rPr>
                <w:rFonts w:ascii="Franklin Gothic Book" w:hAnsi="Franklin Gothic Book"/>
              </w:rPr>
              <w:t xml:space="preserve">In 2014-15, </w:t>
            </w:r>
            <w:r w:rsidR="00E11F69" w:rsidRPr="00395B50">
              <w:rPr>
                <w:rFonts w:ascii="Franklin Gothic Book" w:hAnsi="Franklin Gothic Book"/>
              </w:rPr>
              <w:t xml:space="preserve">Australia </w:t>
            </w:r>
            <w:r w:rsidR="007229B0" w:rsidRPr="00395B50">
              <w:rPr>
                <w:rFonts w:ascii="Franklin Gothic Book" w:hAnsi="Franklin Gothic Book"/>
              </w:rPr>
              <w:t>contributed to the clearance of</w:t>
            </w:r>
            <w:r w:rsidR="007C6A87" w:rsidRPr="00395B50">
              <w:rPr>
                <w:rFonts w:ascii="Franklin Gothic Book" w:hAnsi="Franklin Gothic Book"/>
              </w:rPr>
              <w:t xml:space="preserve"> </w:t>
            </w:r>
            <w:r w:rsidR="00E11F69" w:rsidRPr="00395B50">
              <w:rPr>
                <w:rFonts w:ascii="Franklin Gothic Book" w:hAnsi="Franklin Gothic Book"/>
              </w:rPr>
              <w:t xml:space="preserve">26.5 square kilometres </w:t>
            </w:r>
            <w:r w:rsidR="007C6A87" w:rsidRPr="00395B50">
              <w:rPr>
                <w:rFonts w:ascii="Franklin Gothic Book" w:hAnsi="Franklin Gothic Book"/>
              </w:rPr>
              <w:t>of high priority land and released</w:t>
            </w:r>
            <w:r w:rsidR="00552517" w:rsidRPr="00395B50">
              <w:rPr>
                <w:rFonts w:ascii="Franklin Gothic Book" w:hAnsi="Franklin Gothic Book"/>
              </w:rPr>
              <w:t xml:space="preserve"> for productive use.</w:t>
            </w:r>
          </w:p>
        </w:tc>
      </w:tr>
      <w:tr w:rsidR="00BA7ABF" w:rsidRPr="00395B50" w:rsidTr="002714D7">
        <w:tc>
          <w:tcPr>
            <w:tcW w:w="5000" w:type="pct"/>
            <w:gridSpan w:val="4"/>
            <w:tcMar>
              <w:top w:w="57" w:type="dxa"/>
              <w:bottom w:w="57" w:type="dxa"/>
            </w:tcMar>
          </w:tcPr>
          <w:p w:rsidR="00BA7ABF" w:rsidRPr="00395B50" w:rsidRDefault="00BA7ABF" w:rsidP="00FE7096">
            <w:pPr>
              <w:pStyle w:val="TableListBullet"/>
              <w:numPr>
                <w:ilvl w:val="0"/>
                <w:numId w:val="0"/>
              </w:numPr>
              <w:tabs>
                <w:tab w:val="num" w:pos="227"/>
              </w:tabs>
              <w:rPr>
                <w:rFonts w:ascii="Franklin Gothic Book" w:hAnsi="Franklin Gothic Book"/>
                <w:b/>
                <w:bCs/>
              </w:rPr>
            </w:pPr>
            <w:r w:rsidRPr="00395B50">
              <w:rPr>
                <w:rFonts w:ascii="Franklin Gothic Book" w:hAnsi="Franklin Gothic Book"/>
                <w:b/>
                <w:bCs/>
              </w:rPr>
              <w:t>Objective 2:  Increased access to quality health services for the poor, women and children, progressing towards the health MDGs</w:t>
            </w:r>
          </w:p>
        </w:tc>
      </w:tr>
      <w:tr w:rsidR="002714D7" w:rsidRPr="00395B50" w:rsidTr="002714D7">
        <w:tc>
          <w:tcPr>
            <w:tcW w:w="1179" w:type="pct"/>
            <w:tcMar>
              <w:top w:w="57" w:type="dxa"/>
              <w:bottom w:w="57" w:type="dxa"/>
            </w:tcMar>
          </w:tcPr>
          <w:p w:rsidR="00BA7ABF" w:rsidRPr="00395B50" w:rsidRDefault="00BA7ABF" w:rsidP="00BA7ABF">
            <w:pPr>
              <w:pStyle w:val="TableTextEntries"/>
            </w:pPr>
            <w:r w:rsidRPr="00395B50">
              <w:t>Increased access to quality health services through improved health management</w:t>
            </w:r>
          </w:p>
        </w:tc>
        <w:tc>
          <w:tcPr>
            <w:tcW w:w="1305" w:type="pct"/>
          </w:tcPr>
          <w:p w:rsidR="00BA7ABF" w:rsidRPr="00395B50" w:rsidRDefault="00BA7ABF" w:rsidP="003E25EF">
            <w:pPr>
              <w:pStyle w:val="TableListBullet"/>
              <w:numPr>
                <w:ilvl w:val="0"/>
                <w:numId w:val="0"/>
              </w:numPr>
              <w:tabs>
                <w:tab w:val="num" w:pos="227"/>
              </w:tabs>
              <w:rPr>
                <w:rFonts w:ascii="Franklin Gothic Book" w:hAnsi="Franklin Gothic Book"/>
              </w:rPr>
            </w:pPr>
            <w:r w:rsidRPr="00395B50">
              <w:rPr>
                <w:rFonts w:ascii="Franklin Gothic Book" w:hAnsi="Franklin Gothic Book"/>
              </w:rPr>
              <w:t>84</w:t>
            </w:r>
            <w:r w:rsidR="003E25EF" w:rsidRPr="00395B50">
              <w:rPr>
                <w:rFonts w:ascii="Franklin Gothic Book" w:hAnsi="Franklin Gothic Book"/>
              </w:rPr>
              <w:t xml:space="preserve"> per cent </w:t>
            </w:r>
            <w:r w:rsidRPr="00395B50">
              <w:rPr>
                <w:rFonts w:ascii="Franklin Gothic Book" w:hAnsi="Franklin Gothic Book"/>
              </w:rPr>
              <w:t>births attended by trained health staff (Australian contribution: 287,662 x 12/328.048 = 11,118 births).</w:t>
            </w:r>
          </w:p>
        </w:tc>
        <w:tc>
          <w:tcPr>
            <w:tcW w:w="343" w:type="pct"/>
            <w:shd w:val="clear" w:color="auto" w:fill="92D050"/>
          </w:tcPr>
          <w:p w:rsidR="00BA7ABF" w:rsidRPr="00395B50" w:rsidRDefault="00397C5E" w:rsidP="00397C5E">
            <w:pPr>
              <w:pStyle w:val="TableListBullet"/>
              <w:numPr>
                <w:ilvl w:val="0"/>
                <w:numId w:val="0"/>
              </w:numPr>
              <w:tabs>
                <w:tab w:val="num" w:pos="227"/>
              </w:tabs>
              <w:jc w:val="center"/>
              <w:rPr>
                <w:rFonts w:ascii="Franklin Gothic Book" w:hAnsi="Franklin Gothic Book"/>
              </w:rPr>
            </w:pPr>
            <w:r w:rsidRPr="00395B50">
              <w:rPr>
                <w:rFonts w:ascii="Franklin Gothic Book" w:hAnsi="Franklin Gothic Book"/>
              </w:rPr>
              <w:t>Achieved</w:t>
            </w:r>
          </w:p>
        </w:tc>
        <w:tc>
          <w:tcPr>
            <w:tcW w:w="2173" w:type="pct"/>
          </w:tcPr>
          <w:p w:rsidR="00BA7ABF" w:rsidRPr="00395B50" w:rsidRDefault="00774B2E" w:rsidP="003E25EF">
            <w:pPr>
              <w:pStyle w:val="TableListBullet"/>
              <w:numPr>
                <w:ilvl w:val="0"/>
                <w:numId w:val="0"/>
              </w:numPr>
              <w:tabs>
                <w:tab w:val="num" w:pos="227"/>
              </w:tabs>
              <w:rPr>
                <w:rFonts w:ascii="Franklin Gothic Book" w:hAnsi="Franklin Gothic Book"/>
              </w:rPr>
            </w:pPr>
            <w:r w:rsidRPr="00395B50">
              <w:rPr>
                <w:rFonts w:ascii="Franklin Gothic Book" w:hAnsi="Franklin Gothic Book"/>
              </w:rPr>
              <w:t>In 2014</w:t>
            </w:r>
            <w:r w:rsidR="00397C5E" w:rsidRPr="00395B50">
              <w:rPr>
                <w:rFonts w:ascii="Franklin Gothic Book" w:hAnsi="Franklin Gothic Book"/>
              </w:rPr>
              <w:t>-15</w:t>
            </w:r>
            <w:r w:rsidRPr="00395B50">
              <w:rPr>
                <w:rFonts w:ascii="Franklin Gothic Book" w:hAnsi="Franklin Gothic Book"/>
              </w:rPr>
              <w:t>, the total number of births attended by a skilled birth attendant in Cambodia was 306,546</w:t>
            </w:r>
            <w:r w:rsidR="00397C5E" w:rsidRPr="00395B50">
              <w:rPr>
                <w:rFonts w:ascii="Franklin Gothic Book" w:hAnsi="Franklin Gothic Book"/>
              </w:rPr>
              <w:t xml:space="preserve"> T</w:t>
            </w:r>
            <w:r w:rsidRPr="00395B50">
              <w:rPr>
                <w:rFonts w:ascii="Franklin Gothic Book" w:hAnsi="Franklin Gothic Book"/>
              </w:rPr>
              <w:t>he national achievement of 85</w:t>
            </w:r>
            <w:r w:rsidR="003E25EF" w:rsidRPr="00395B50">
              <w:rPr>
                <w:rFonts w:ascii="Franklin Gothic Book" w:hAnsi="Franklin Gothic Book"/>
              </w:rPr>
              <w:t xml:space="preserve"> per cent </w:t>
            </w:r>
            <w:r w:rsidR="007C6A87" w:rsidRPr="00395B50">
              <w:rPr>
                <w:rFonts w:ascii="Franklin Gothic Book" w:hAnsi="Franklin Gothic Book"/>
              </w:rPr>
              <w:t>births attended by a skilled birth attendant</w:t>
            </w:r>
            <w:r w:rsidRPr="00395B50">
              <w:rPr>
                <w:rFonts w:ascii="Franklin Gothic Book" w:hAnsi="Franklin Gothic Book"/>
              </w:rPr>
              <w:t>. Australia’s contribution was 18,375 births by a skilled birth attendant.</w:t>
            </w:r>
          </w:p>
        </w:tc>
      </w:tr>
      <w:tr w:rsidR="002714D7" w:rsidRPr="00395B50" w:rsidTr="002714D7">
        <w:tc>
          <w:tcPr>
            <w:tcW w:w="1179" w:type="pct"/>
            <w:shd w:val="clear" w:color="auto" w:fill="FFFFFF" w:themeFill="background1"/>
            <w:tcMar>
              <w:top w:w="57" w:type="dxa"/>
              <w:bottom w:w="57" w:type="dxa"/>
            </w:tcMar>
          </w:tcPr>
          <w:p w:rsidR="002714D7" w:rsidRPr="00395B50" w:rsidRDefault="002714D7" w:rsidP="00FE7096">
            <w:pPr>
              <w:pStyle w:val="TableTextEntries"/>
            </w:pPr>
          </w:p>
        </w:tc>
        <w:tc>
          <w:tcPr>
            <w:tcW w:w="1305" w:type="pct"/>
            <w:shd w:val="clear" w:color="auto" w:fill="FFFFFF" w:themeFill="background1"/>
          </w:tcPr>
          <w:p w:rsidR="002714D7" w:rsidRPr="00395B50" w:rsidRDefault="002714D7" w:rsidP="00FE7096">
            <w:pPr>
              <w:pStyle w:val="TableListBullet"/>
              <w:numPr>
                <w:ilvl w:val="0"/>
                <w:numId w:val="0"/>
              </w:numPr>
              <w:tabs>
                <w:tab w:val="num" w:pos="227"/>
              </w:tabs>
              <w:rPr>
                <w:rFonts w:ascii="Franklin Gothic Book" w:hAnsi="Franklin Gothic Book"/>
              </w:rPr>
            </w:pPr>
          </w:p>
        </w:tc>
        <w:tc>
          <w:tcPr>
            <w:tcW w:w="343" w:type="pct"/>
            <w:shd w:val="clear" w:color="auto" w:fill="FFFFFF" w:themeFill="background1"/>
          </w:tcPr>
          <w:p w:rsidR="002714D7" w:rsidRPr="00395B50" w:rsidRDefault="002714D7" w:rsidP="00397C5E">
            <w:pPr>
              <w:pStyle w:val="TableListBullet"/>
              <w:numPr>
                <w:ilvl w:val="0"/>
                <w:numId w:val="0"/>
              </w:numPr>
              <w:tabs>
                <w:tab w:val="num" w:pos="227"/>
              </w:tabs>
              <w:jc w:val="center"/>
              <w:rPr>
                <w:rFonts w:ascii="Franklin Gothic Book" w:hAnsi="Franklin Gothic Book"/>
              </w:rPr>
            </w:pPr>
          </w:p>
        </w:tc>
        <w:tc>
          <w:tcPr>
            <w:tcW w:w="2173" w:type="pct"/>
            <w:shd w:val="clear" w:color="auto" w:fill="FFFFFF" w:themeFill="background1"/>
          </w:tcPr>
          <w:p w:rsidR="002714D7" w:rsidRPr="00395B50" w:rsidRDefault="002714D7" w:rsidP="00397C5E">
            <w:pPr>
              <w:pStyle w:val="TableListBullet"/>
              <w:numPr>
                <w:ilvl w:val="0"/>
                <w:numId w:val="0"/>
              </w:numPr>
              <w:tabs>
                <w:tab w:val="num" w:pos="227"/>
              </w:tabs>
              <w:rPr>
                <w:rFonts w:ascii="Franklin Gothic Book" w:hAnsi="Franklin Gothic Book"/>
              </w:rPr>
            </w:pPr>
          </w:p>
        </w:tc>
      </w:tr>
      <w:tr w:rsidR="002714D7" w:rsidRPr="00395B50" w:rsidTr="002714D7">
        <w:tc>
          <w:tcPr>
            <w:tcW w:w="1179" w:type="pct"/>
            <w:tcMar>
              <w:top w:w="57" w:type="dxa"/>
              <w:bottom w:w="57" w:type="dxa"/>
            </w:tcMar>
          </w:tcPr>
          <w:p w:rsidR="00BA7ABF" w:rsidRPr="00395B50" w:rsidRDefault="00BA7ABF" w:rsidP="00FE7096">
            <w:pPr>
              <w:pStyle w:val="TableTextEntries"/>
            </w:pPr>
          </w:p>
        </w:tc>
        <w:tc>
          <w:tcPr>
            <w:tcW w:w="1305" w:type="pct"/>
          </w:tcPr>
          <w:p w:rsidR="00BA7ABF" w:rsidRPr="00395B50" w:rsidRDefault="00BA7ABF" w:rsidP="003E25EF">
            <w:pPr>
              <w:pStyle w:val="TableListBullet"/>
              <w:numPr>
                <w:ilvl w:val="0"/>
                <w:numId w:val="0"/>
              </w:numPr>
              <w:tabs>
                <w:tab w:val="num" w:pos="227"/>
              </w:tabs>
              <w:rPr>
                <w:rFonts w:ascii="Franklin Gothic Book" w:hAnsi="Franklin Gothic Book"/>
              </w:rPr>
            </w:pPr>
            <w:r w:rsidRPr="00395B50">
              <w:rPr>
                <w:rFonts w:ascii="Franklin Gothic Book" w:hAnsi="Franklin Gothic Book"/>
              </w:rPr>
              <w:t>93</w:t>
            </w:r>
            <w:r w:rsidR="003E25EF" w:rsidRPr="00395B50">
              <w:rPr>
                <w:rFonts w:ascii="Franklin Gothic Book" w:hAnsi="Franklin Gothic Book"/>
              </w:rPr>
              <w:t xml:space="preserve"> per cent </w:t>
            </w:r>
            <w:r w:rsidRPr="00395B50">
              <w:rPr>
                <w:rFonts w:ascii="Franklin Gothic Book" w:hAnsi="Franklin Gothic Book"/>
              </w:rPr>
              <w:t>of poor people now able to access health care through the health equity funds.</w:t>
            </w:r>
          </w:p>
        </w:tc>
        <w:tc>
          <w:tcPr>
            <w:tcW w:w="343" w:type="pct"/>
            <w:shd w:val="clear" w:color="auto" w:fill="92D050"/>
          </w:tcPr>
          <w:p w:rsidR="00BA7ABF" w:rsidRPr="00395B50" w:rsidRDefault="00397C5E" w:rsidP="00397C5E">
            <w:pPr>
              <w:pStyle w:val="TableListBullet"/>
              <w:numPr>
                <w:ilvl w:val="0"/>
                <w:numId w:val="0"/>
              </w:numPr>
              <w:tabs>
                <w:tab w:val="num" w:pos="227"/>
              </w:tabs>
              <w:jc w:val="center"/>
              <w:rPr>
                <w:rFonts w:ascii="Franklin Gothic Book" w:hAnsi="Franklin Gothic Book"/>
              </w:rPr>
            </w:pPr>
            <w:r w:rsidRPr="00395B50">
              <w:rPr>
                <w:rFonts w:ascii="Franklin Gothic Book" w:hAnsi="Franklin Gothic Book"/>
              </w:rPr>
              <w:t>Achieved</w:t>
            </w:r>
          </w:p>
        </w:tc>
        <w:tc>
          <w:tcPr>
            <w:tcW w:w="2173" w:type="pct"/>
          </w:tcPr>
          <w:p w:rsidR="00BA7ABF" w:rsidRPr="00395B50" w:rsidRDefault="00397C5E" w:rsidP="00397C5E">
            <w:pPr>
              <w:pStyle w:val="TableListBullet"/>
              <w:numPr>
                <w:ilvl w:val="0"/>
                <w:numId w:val="0"/>
              </w:numPr>
              <w:tabs>
                <w:tab w:val="num" w:pos="227"/>
              </w:tabs>
              <w:rPr>
                <w:rFonts w:ascii="Franklin Gothic Book" w:hAnsi="Franklin Gothic Book"/>
              </w:rPr>
            </w:pPr>
            <w:r w:rsidRPr="00395B50">
              <w:rPr>
                <w:rFonts w:ascii="Franklin Gothic Book" w:hAnsi="Franklin Gothic Book"/>
              </w:rPr>
              <w:t>In 2014</w:t>
            </w:r>
            <w:r w:rsidRPr="00395B50">
              <w:rPr>
                <w:rFonts w:ascii="Franklin Gothic Book" w:hAnsi="Franklin Gothic Book"/>
              </w:rPr>
              <w:noBreakHyphen/>
              <w:t>15, coverage of the health equity funds increased from 93 per cent of the poor to 97 per cent which was equivalent to approximately 2.6 million of the poorest Cambodians assessable to essential health care</w:t>
            </w:r>
            <w:r w:rsidR="002109BB" w:rsidRPr="00395B50">
              <w:rPr>
                <w:rFonts w:ascii="Franklin Gothic Book" w:hAnsi="Franklin Gothic Book"/>
              </w:rPr>
              <w:t xml:space="preserve"> with free of charge</w:t>
            </w:r>
            <w:r w:rsidRPr="00395B50">
              <w:rPr>
                <w:rFonts w:ascii="Franklin Gothic Book" w:hAnsi="Franklin Gothic Book"/>
              </w:rPr>
              <w:t>.</w:t>
            </w:r>
          </w:p>
        </w:tc>
      </w:tr>
      <w:tr w:rsidR="00BA7ABF" w:rsidRPr="00395B50" w:rsidTr="002714D7">
        <w:tc>
          <w:tcPr>
            <w:tcW w:w="5000" w:type="pct"/>
            <w:gridSpan w:val="4"/>
            <w:tcMar>
              <w:top w:w="57" w:type="dxa"/>
              <w:bottom w:w="57" w:type="dxa"/>
            </w:tcMar>
          </w:tcPr>
          <w:p w:rsidR="00BA7ABF" w:rsidRPr="00395B50" w:rsidRDefault="00BA7ABF" w:rsidP="00FE7096">
            <w:pPr>
              <w:pStyle w:val="TableTextEntries"/>
              <w:rPr>
                <w:b/>
                <w:bCs/>
              </w:rPr>
            </w:pPr>
            <w:r w:rsidRPr="00395B50">
              <w:rPr>
                <w:b/>
                <w:bCs/>
              </w:rPr>
              <w:t>Objective 3:  Improved transport and energy infrastructure</w:t>
            </w:r>
          </w:p>
        </w:tc>
      </w:tr>
      <w:tr w:rsidR="002714D7" w:rsidRPr="00395B50" w:rsidTr="002714D7">
        <w:tc>
          <w:tcPr>
            <w:tcW w:w="1179" w:type="pct"/>
            <w:tcMar>
              <w:top w:w="57" w:type="dxa"/>
              <w:bottom w:w="57" w:type="dxa"/>
            </w:tcMar>
          </w:tcPr>
          <w:p w:rsidR="00BA7ABF" w:rsidRPr="00395B50" w:rsidRDefault="00BA7ABF" w:rsidP="00FE7096">
            <w:pPr>
              <w:pStyle w:val="TableTextEntries"/>
            </w:pPr>
            <w:r w:rsidRPr="00395B50">
              <w:t>Improved transport infrastructure to support increased economic activity.</w:t>
            </w:r>
          </w:p>
        </w:tc>
        <w:tc>
          <w:tcPr>
            <w:tcW w:w="1305" w:type="pct"/>
          </w:tcPr>
          <w:p w:rsidR="00BA7ABF" w:rsidRPr="00395B50" w:rsidRDefault="00BA7ABF" w:rsidP="00BA7ABF">
            <w:pPr>
              <w:pStyle w:val="TableListBullet"/>
              <w:numPr>
                <w:ilvl w:val="0"/>
                <w:numId w:val="0"/>
              </w:numPr>
              <w:tabs>
                <w:tab w:val="num" w:pos="227"/>
              </w:tabs>
              <w:rPr>
                <w:rFonts w:ascii="Franklin Gothic Book" w:hAnsi="Franklin Gothic Book"/>
              </w:rPr>
            </w:pPr>
            <w:r w:rsidRPr="00395B50">
              <w:rPr>
                <w:rFonts w:ascii="Franklin Gothic Book" w:hAnsi="Franklin Gothic Book"/>
              </w:rPr>
              <w:t>80</w:t>
            </w:r>
            <w:r w:rsidR="001F3500">
              <w:rPr>
                <w:rFonts w:ascii="Franklin Gothic Book" w:hAnsi="Franklin Gothic Book"/>
              </w:rPr>
              <w:t xml:space="preserve"> per cent</w:t>
            </w:r>
            <w:r w:rsidRPr="00395B50">
              <w:rPr>
                <w:rFonts w:ascii="Franklin Gothic Book" w:hAnsi="Franklin Gothic Book"/>
              </w:rPr>
              <w:t xml:space="preserve"> of physical completion of national, provincial and rural roads under Flood Damage Emergency Reconstruction Project I</w:t>
            </w:r>
          </w:p>
        </w:tc>
        <w:tc>
          <w:tcPr>
            <w:tcW w:w="343" w:type="pct"/>
            <w:shd w:val="clear" w:color="auto" w:fill="92D050"/>
          </w:tcPr>
          <w:p w:rsidR="00BA7ABF" w:rsidRPr="00395B50" w:rsidRDefault="00470B6C" w:rsidP="00470B6C">
            <w:pPr>
              <w:pStyle w:val="TableTextEntries"/>
              <w:jc w:val="center"/>
            </w:pPr>
            <w:r w:rsidRPr="00395B50">
              <w:t>Achieved</w:t>
            </w:r>
          </w:p>
        </w:tc>
        <w:tc>
          <w:tcPr>
            <w:tcW w:w="2173" w:type="pct"/>
          </w:tcPr>
          <w:p w:rsidR="00BA7ABF" w:rsidRPr="00395B50" w:rsidRDefault="007428EE" w:rsidP="00726DAA">
            <w:pPr>
              <w:pStyle w:val="TableListBullet"/>
              <w:numPr>
                <w:ilvl w:val="0"/>
                <w:numId w:val="0"/>
              </w:numPr>
              <w:tabs>
                <w:tab w:val="num" w:pos="227"/>
              </w:tabs>
              <w:rPr>
                <w:rFonts w:ascii="Franklin Gothic Book" w:hAnsi="Franklin Gothic Book"/>
              </w:rPr>
            </w:pPr>
            <w:r w:rsidRPr="00395B50">
              <w:rPr>
                <w:rFonts w:ascii="Franklin Gothic Book" w:hAnsi="Franklin Gothic Book"/>
              </w:rPr>
              <w:t>In 2014-15, 100</w:t>
            </w:r>
            <w:r w:rsidR="003E25EF" w:rsidRPr="00395B50">
              <w:rPr>
                <w:rFonts w:ascii="Franklin Gothic Book" w:hAnsi="Franklin Gothic Book"/>
              </w:rPr>
              <w:t xml:space="preserve"> per cent </w:t>
            </w:r>
            <w:r w:rsidRPr="00395B50">
              <w:rPr>
                <w:rFonts w:ascii="Franklin Gothic Book" w:hAnsi="Franklin Gothic Book"/>
              </w:rPr>
              <w:t xml:space="preserve">of road </w:t>
            </w:r>
            <w:r w:rsidR="00897695">
              <w:rPr>
                <w:rFonts w:ascii="Franklin Gothic Book" w:hAnsi="Franklin Gothic Book"/>
              </w:rPr>
              <w:t>repairs</w:t>
            </w:r>
            <w:r w:rsidR="00897695" w:rsidRPr="00395B50">
              <w:rPr>
                <w:rFonts w:ascii="Franklin Gothic Book" w:hAnsi="Franklin Gothic Book"/>
              </w:rPr>
              <w:t xml:space="preserve"> </w:t>
            </w:r>
            <w:r w:rsidRPr="00395B50">
              <w:rPr>
                <w:rFonts w:ascii="Franklin Gothic Book" w:hAnsi="Franklin Gothic Book"/>
              </w:rPr>
              <w:t>and reconstruction of national, provincial and rural roads under flood damage was completed</w:t>
            </w:r>
            <w:r w:rsidR="00726DAA" w:rsidRPr="00726DAA">
              <w:rPr>
                <w:rFonts w:ascii="Franklin Gothic Book" w:hAnsi="Franklin Gothic Book"/>
              </w:rPr>
              <w:t>.</w:t>
            </w:r>
            <w:r w:rsidR="00726DAA" w:rsidRPr="00635B8D">
              <w:rPr>
                <w:rFonts w:ascii="Franklin Gothic Book" w:hAnsi="Franklin Gothic Book"/>
              </w:rPr>
              <w:t xml:space="preserve"> </w:t>
            </w:r>
            <w:r w:rsidR="00726DAA" w:rsidRPr="001271BA">
              <w:rPr>
                <w:rFonts w:ascii="Franklin Gothic Book" w:hAnsi="Franklin Gothic Book"/>
              </w:rPr>
              <w:t>Aust</w:t>
            </w:r>
            <w:r w:rsidR="00635B8D" w:rsidRPr="001271BA">
              <w:rPr>
                <w:rFonts w:ascii="Franklin Gothic Book" w:hAnsi="Franklin Gothic Book"/>
              </w:rPr>
              <w:t xml:space="preserve">ralia provided approximately </w:t>
            </w:r>
            <w:r w:rsidR="00635B8D">
              <w:rPr>
                <w:rFonts w:ascii="Franklin Gothic Book" w:hAnsi="Franklin Gothic Book"/>
              </w:rPr>
              <w:t xml:space="preserve">eight per cent </w:t>
            </w:r>
            <w:r w:rsidR="00726DAA" w:rsidRPr="001271BA">
              <w:rPr>
                <w:rFonts w:ascii="Franklin Gothic Book" w:hAnsi="Franklin Gothic Book"/>
              </w:rPr>
              <w:t>of total project financing</w:t>
            </w:r>
            <w:r w:rsidR="00635B8D">
              <w:rPr>
                <w:rFonts w:ascii="Franklin Gothic Book" w:hAnsi="Franklin Gothic Book"/>
              </w:rPr>
              <w:t xml:space="preserve">. </w:t>
            </w:r>
          </w:p>
        </w:tc>
      </w:tr>
      <w:tr w:rsidR="00BA7ABF" w:rsidRPr="00395B50" w:rsidTr="002714D7">
        <w:tc>
          <w:tcPr>
            <w:tcW w:w="5000" w:type="pct"/>
            <w:gridSpan w:val="4"/>
            <w:tcMar>
              <w:top w:w="57" w:type="dxa"/>
              <w:bottom w:w="57" w:type="dxa"/>
            </w:tcMar>
          </w:tcPr>
          <w:p w:rsidR="00395B50" w:rsidRDefault="00395B50" w:rsidP="00FE7096">
            <w:pPr>
              <w:pStyle w:val="TableTextEntries"/>
              <w:rPr>
                <w:b/>
                <w:bCs/>
              </w:rPr>
            </w:pPr>
          </w:p>
          <w:p w:rsidR="00395B50" w:rsidRDefault="00395B50" w:rsidP="00FE7096">
            <w:pPr>
              <w:pStyle w:val="TableTextEntries"/>
              <w:rPr>
                <w:b/>
                <w:bCs/>
              </w:rPr>
            </w:pPr>
          </w:p>
          <w:p w:rsidR="00395B50" w:rsidRDefault="00395B50" w:rsidP="00FE7096">
            <w:pPr>
              <w:pStyle w:val="TableTextEntries"/>
              <w:rPr>
                <w:b/>
                <w:bCs/>
              </w:rPr>
            </w:pPr>
          </w:p>
          <w:p w:rsidR="00BA7ABF" w:rsidRPr="00395B50" w:rsidRDefault="00BA7ABF" w:rsidP="00FE7096">
            <w:pPr>
              <w:pStyle w:val="TableTextEntries"/>
              <w:rPr>
                <w:b/>
                <w:bCs/>
              </w:rPr>
            </w:pPr>
            <w:r w:rsidRPr="00395B50">
              <w:rPr>
                <w:b/>
                <w:bCs/>
              </w:rPr>
              <w:lastRenderedPageBreak/>
              <w:t>Objective 4:  Prosperous, safe and secure communities in Cambodia:</w:t>
            </w:r>
          </w:p>
        </w:tc>
      </w:tr>
      <w:tr w:rsidR="002714D7" w:rsidRPr="00395B50" w:rsidTr="002714D7">
        <w:tc>
          <w:tcPr>
            <w:tcW w:w="1179" w:type="pct"/>
            <w:tcMar>
              <w:top w:w="57" w:type="dxa"/>
              <w:bottom w:w="57" w:type="dxa"/>
            </w:tcMar>
          </w:tcPr>
          <w:p w:rsidR="00BA7ABF" w:rsidRPr="00395B50" w:rsidRDefault="00BA7ABF" w:rsidP="00FE7096">
            <w:pPr>
              <w:pStyle w:val="TableTextEntries"/>
            </w:pPr>
            <w:r w:rsidRPr="00395B50">
              <w:lastRenderedPageBreak/>
              <w:t xml:space="preserve">Women, youth and children are safer and communities have less crime. </w:t>
            </w:r>
          </w:p>
          <w:p w:rsidR="00BA7ABF" w:rsidRPr="00395B50" w:rsidRDefault="00BA7ABF" w:rsidP="00FE7096">
            <w:pPr>
              <w:pStyle w:val="TableTextEntries"/>
            </w:pPr>
          </w:p>
        </w:tc>
        <w:tc>
          <w:tcPr>
            <w:tcW w:w="1305" w:type="pct"/>
          </w:tcPr>
          <w:p w:rsidR="00BA7ABF" w:rsidRPr="00395B50" w:rsidRDefault="00BA7ABF" w:rsidP="00FE7096">
            <w:pPr>
              <w:pStyle w:val="TableTextEntries"/>
            </w:pPr>
            <w:r w:rsidRPr="00395B50">
              <w:t xml:space="preserve">Agreement with Ministry of Women’s Affairs on 2015-2017 Australian funded EVAW activities. </w:t>
            </w:r>
          </w:p>
        </w:tc>
        <w:tc>
          <w:tcPr>
            <w:tcW w:w="343" w:type="pct"/>
            <w:shd w:val="clear" w:color="auto" w:fill="92D050"/>
          </w:tcPr>
          <w:p w:rsidR="00BA7ABF" w:rsidRPr="00395B50" w:rsidRDefault="00BA7ABF" w:rsidP="00E11F69">
            <w:pPr>
              <w:pStyle w:val="TableTextEntries"/>
              <w:jc w:val="center"/>
            </w:pPr>
            <w:r w:rsidRPr="00395B50">
              <w:t>Achieved</w:t>
            </w:r>
          </w:p>
        </w:tc>
        <w:tc>
          <w:tcPr>
            <w:tcW w:w="2173" w:type="pct"/>
          </w:tcPr>
          <w:p w:rsidR="00BA7ABF" w:rsidRPr="00395B50" w:rsidRDefault="00F266EB" w:rsidP="002109BB">
            <w:pPr>
              <w:pStyle w:val="TableTextEntries"/>
            </w:pPr>
            <w:r w:rsidRPr="00395B50">
              <w:t>Australia signed an agreement with the Cambodian Ministry of Women’s Affairs in August 2014 to manage and coordinate implementation of Australian-funded activities to end violence against women. One of these investments was assisting with the development of the Cambodian National Action Plan for Prevent Violence Against Women which was released in February 2015.</w:t>
            </w:r>
          </w:p>
        </w:tc>
      </w:tr>
    </w:tbl>
    <w:p w:rsidR="00BA7ABF" w:rsidRPr="00FE4491" w:rsidRDefault="00BA7ABF" w:rsidP="00BA7ABF">
      <w:pPr>
        <w:pStyle w:val="Note"/>
      </w:pPr>
      <w:r w:rsidRPr="00FE4491">
        <w:t xml:space="preserve">Note: </w:t>
      </w:r>
    </w:p>
    <w:p w:rsidR="00BA7ABF" w:rsidRPr="00671434" w:rsidRDefault="00BA7ABF" w:rsidP="00BA7ABF">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w:t>
      </w:r>
      <w:r>
        <w:t xml:space="preserve">and the performance benchmark was achieved </w:t>
      </w:r>
    </w:p>
    <w:p w:rsidR="00BA7ABF" w:rsidRPr="00EA3BAD" w:rsidRDefault="00BA7ABF" w:rsidP="00BA7ABF">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towards achieving the performance benchmark, but progress was less than anticipated. </w:t>
      </w:r>
    </w:p>
    <w:p w:rsidR="00BA7ABF" w:rsidRDefault="00BA7ABF" w:rsidP="00BA7ABF">
      <w:pPr>
        <w:pStyle w:val="Note"/>
      </w:pPr>
      <w:r w:rsidRPr="00EA3BAD">
        <w:rPr>
          <w:color w:val="FF0000"/>
        </w:rPr>
        <w:sym w:font="Webdings" w:char="F067"/>
      </w:r>
      <w:r w:rsidRPr="00EA3BAD">
        <w:t> </w:t>
      </w:r>
      <w:r w:rsidRPr="00EA3BAD">
        <w:t xml:space="preserve"> Not achieved. Progress </w:t>
      </w:r>
      <w:r>
        <w:t xml:space="preserve">towards the performance benchmark </w:t>
      </w:r>
      <w:r w:rsidRPr="00EA3BAD">
        <w:t>has been significantly below expectations</w:t>
      </w:r>
    </w:p>
    <w:p w:rsidR="00416B02" w:rsidRDefault="00416B02" w:rsidP="00416B02">
      <w:pPr>
        <w:spacing w:after="200" w:line="276" w:lineRule="auto"/>
      </w:pPr>
      <w:r>
        <w:br w:type="page"/>
      </w:r>
    </w:p>
    <w:p w:rsidR="00416B02" w:rsidRPr="00416B02" w:rsidRDefault="00416B02" w:rsidP="00416B02">
      <w:pPr>
        <w:pStyle w:val="BodyText"/>
        <w:sectPr w:rsidR="00416B02" w:rsidRPr="00416B02" w:rsidSect="0059732F">
          <w:headerReference w:type="even" r:id="rId24"/>
          <w:footerReference w:type="first" r:id="rId25"/>
          <w:footnotePr>
            <w:pos w:val="beneathText"/>
          </w:footnotePr>
          <w:type w:val="continuous"/>
          <w:pgSz w:w="16838" w:h="11906" w:orient="landscape" w:code="9"/>
          <w:pgMar w:top="1418" w:right="1814" w:bottom="851" w:left="851" w:header="709" w:footer="425" w:gutter="0"/>
          <w:cols w:space="708"/>
          <w:titlePg/>
          <w:docGrid w:linePitch="360"/>
        </w:sectPr>
      </w:pPr>
    </w:p>
    <w:bookmarkEnd w:id="2"/>
    <w:p w:rsidR="00416B02" w:rsidRPr="009E38C1" w:rsidRDefault="00845E3F" w:rsidP="00416B02">
      <w:pPr>
        <w:pStyle w:val="Heading2"/>
        <w:rPr>
          <w:sz w:val="28"/>
        </w:rPr>
      </w:pPr>
      <w:r>
        <w:rPr>
          <w:sz w:val="28"/>
        </w:rPr>
        <w:lastRenderedPageBreak/>
        <w:t xml:space="preserve">Annex </w:t>
      </w:r>
      <w:r w:rsidR="00873B58">
        <w:rPr>
          <w:sz w:val="28"/>
        </w:rPr>
        <w:t>C</w:t>
      </w:r>
      <w:r w:rsidR="0057490F">
        <w:rPr>
          <w:sz w:val="28"/>
        </w:rPr>
        <w:t xml:space="preserve"> - </w:t>
      </w:r>
      <w:r w:rsidR="00416B02" w:rsidRPr="009E38C1">
        <w:rPr>
          <w:sz w:val="28"/>
        </w:rPr>
        <w:t>Evaluation and Review Pipeline Planning</w:t>
      </w:r>
    </w:p>
    <w:p w:rsidR="00416B02" w:rsidRPr="00071B95" w:rsidRDefault="00416B02" w:rsidP="009C6AE7">
      <w:pPr>
        <w:pStyle w:val="Heading3"/>
      </w:pPr>
      <w:r w:rsidRPr="00071B95">
        <w:t xml:space="preserve">List of </w:t>
      </w:r>
      <w:r>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Caption w:val="Annex C - List of evaluations completed in the reporting period"/>
        <w:tblDescription w:val="Annex C is broken up into two sections. The first section lists the investment evaluations completed during the financial year 2014-15. This section shows the name of the investment, the AidWorks number, the name of the evaluation, the date the review was finalised, the date the evaluation report would be uploaded into AidWorks, the date the response from management was uploaded into AidWorks, and whether or not the review will be published on the DFAT website. "/>
      </w:tblPr>
      <w:tblGrid>
        <w:gridCol w:w="3255"/>
        <w:gridCol w:w="2126"/>
        <w:gridCol w:w="1418"/>
        <w:gridCol w:w="1344"/>
        <w:gridCol w:w="1892"/>
        <w:gridCol w:w="1738"/>
        <w:gridCol w:w="1511"/>
      </w:tblGrid>
      <w:tr w:rsidR="001271BA" w:rsidRPr="00071B95" w:rsidTr="00A43F72">
        <w:trPr>
          <w:cnfStyle w:val="100000000000" w:firstRow="1" w:lastRow="0" w:firstColumn="0" w:lastColumn="0" w:oddVBand="0" w:evenVBand="0" w:oddHBand="0" w:evenHBand="0" w:firstRowFirstColumn="0" w:firstRowLastColumn="0" w:lastRowFirstColumn="0" w:lastRowLastColumn="0"/>
        </w:trPr>
        <w:tc>
          <w:tcPr>
            <w:tcW w:w="3213" w:type="dxa"/>
          </w:tcPr>
          <w:p w:rsidR="00416B02" w:rsidRPr="00071B95" w:rsidRDefault="00416B02" w:rsidP="00395B50">
            <w:pPr>
              <w:pStyle w:val="TableTextColumnHeading"/>
            </w:pPr>
            <w:r w:rsidRPr="00071B95">
              <w:t xml:space="preserve">Name of </w:t>
            </w:r>
            <w:r>
              <w:t>Investment</w:t>
            </w:r>
          </w:p>
        </w:tc>
        <w:tc>
          <w:tcPr>
            <w:tcW w:w="2098" w:type="dxa"/>
          </w:tcPr>
          <w:p w:rsidR="00416B02" w:rsidRPr="00071B95" w:rsidRDefault="00136CC1" w:rsidP="00395B50">
            <w:pPr>
              <w:pStyle w:val="TableTextColumnHeading"/>
            </w:pPr>
            <w:r>
              <w:t>AidW</w:t>
            </w:r>
            <w:r w:rsidRPr="00071B95">
              <w:t>orks</w:t>
            </w:r>
            <w:r w:rsidR="00416B02" w:rsidRPr="00071B95">
              <w:t xml:space="preserve"> number</w:t>
            </w:r>
          </w:p>
        </w:tc>
        <w:tc>
          <w:tcPr>
            <w:tcW w:w="1390" w:type="dxa"/>
          </w:tcPr>
          <w:p w:rsidR="00416B02" w:rsidRPr="00071B95" w:rsidRDefault="00416B02" w:rsidP="00395B50">
            <w:pPr>
              <w:pStyle w:val="TableTextColumnHeading"/>
            </w:pPr>
            <w:r>
              <w:t>Name of evaluation</w:t>
            </w:r>
          </w:p>
        </w:tc>
        <w:tc>
          <w:tcPr>
            <w:tcW w:w="1316" w:type="dxa"/>
          </w:tcPr>
          <w:p w:rsidR="00416B02" w:rsidRPr="00071B95" w:rsidRDefault="00416B02" w:rsidP="00395B50">
            <w:pPr>
              <w:pStyle w:val="TableTextColumnHeading"/>
            </w:pPr>
            <w:r w:rsidRPr="00071B95">
              <w:t xml:space="preserve">Date </w:t>
            </w:r>
            <w:r>
              <w:t>finalised</w:t>
            </w:r>
          </w:p>
        </w:tc>
        <w:tc>
          <w:tcPr>
            <w:tcW w:w="1864" w:type="dxa"/>
          </w:tcPr>
          <w:p w:rsidR="00416B02" w:rsidRPr="00071B95" w:rsidRDefault="00416B02" w:rsidP="00395B50">
            <w:pPr>
              <w:pStyle w:val="TableTextColumnHeading"/>
            </w:pPr>
            <w:r w:rsidRPr="00071B95">
              <w:t xml:space="preserve">Date Evaluation report Uploaded into </w:t>
            </w:r>
            <w:r w:rsidR="00136CC1">
              <w:t>AidW</w:t>
            </w:r>
            <w:r w:rsidR="00136CC1" w:rsidRPr="00071B95">
              <w:t>orks</w:t>
            </w:r>
          </w:p>
        </w:tc>
        <w:tc>
          <w:tcPr>
            <w:tcW w:w="1710" w:type="dxa"/>
          </w:tcPr>
          <w:p w:rsidR="00416B02" w:rsidRPr="00071B95" w:rsidRDefault="00416B02" w:rsidP="00395B50">
            <w:pPr>
              <w:pStyle w:val="TableTextColumnHeading"/>
            </w:pPr>
            <w:r w:rsidRPr="00071B95">
              <w:t xml:space="preserve">Date Management response uploaded into </w:t>
            </w:r>
            <w:r w:rsidR="00136CC1">
              <w:t>AidW</w:t>
            </w:r>
            <w:r w:rsidR="00136CC1" w:rsidRPr="00071B95">
              <w:t>orks</w:t>
            </w:r>
          </w:p>
        </w:tc>
        <w:tc>
          <w:tcPr>
            <w:tcW w:w="1469" w:type="dxa"/>
          </w:tcPr>
          <w:p w:rsidR="00416B02" w:rsidRPr="00071B95" w:rsidRDefault="00416B02" w:rsidP="00395B50">
            <w:pPr>
              <w:pStyle w:val="TableTextColumnHeading"/>
            </w:pPr>
            <w:r w:rsidRPr="00071B95">
              <w:t>Published on website</w:t>
            </w:r>
          </w:p>
        </w:tc>
      </w:tr>
      <w:tr w:rsidR="001271BA" w:rsidRPr="00E6589F" w:rsidTr="00A43F72">
        <w:trPr>
          <w:cnfStyle w:val="100000000000" w:firstRow="1" w:lastRow="0" w:firstColumn="0" w:lastColumn="0" w:oddVBand="0" w:evenVBand="0" w:oddHBand="0" w:evenHBand="0" w:firstRowFirstColumn="0" w:firstRowLastColumn="0" w:lastRowFirstColumn="0" w:lastRowLastColumn="0"/>
        </w:trPr>
        <w:tc>
          <w:tcPr>
            <w:tcW w:w="3213" w:type="dxa"/>
          </w:tcPr>
          <w:p w:rsidR="00222655" w:rsidRPr="00E6589F" w:rsidRDefault="00222655" w:rsidP="00711138">
            <w:pPr>
              <w:pStyle w:val="TableListBullet"/>
              <w:numPr>
                <w:ilvl w:val="0"/>
                <w:numId w:val="0"/>
              </w:numPr>
              <w:tabs>
                <w:tab w:val="num" w:pos="227"/>
              </w:tabs>
              <w:rPr>
                <w:rFonts w:ascii="Franklin Gothic Book" w:hAnsi="Franklin Gothic Book"/>
                <w:b w:val="0"/>
                <w:bCs/>
              </w:rPr>
            </w:pPr>
            <w:r w:rsidRPr="00E6589F">
              <w:rPr>
                <w:rFonts w:ascii="Franklin Gothic Book" w:hAnsi="Franklin Gothic Book"/>
                <w:b w:val="0"/>
                <w:bCs/>
              </w:rPr>
              <w:t>Cambodia Communications Assistance Project</w:t>
            </w:r>
          </w:p>
        </w:tc>
        <w:tc>
          <w:tcPr>
            <w:tcW w:w="2098" w:type="dxa"/>
          </w:tcPr>
          <w:p w:rsidR="00222655" w:rsidRPr="00E6589F" w:rsidRDefault="00222655" w:rsidP="00711138">
            <w:pPr>
              <w:pStyle w:val="TableListBullet"/>
              <w:numPr>
                <w:ilvl w:val="0"/>
                <w:numId w:val="0"/>
              </w:numPr>
              <w:tabs>
                <w:tab w:val="num" w:pos="227"/>
              </w:tabs>
              <w:rPr>
                <w:rFonts w:ascii="Franklin Gothic Book" w:hAnsi="Franklin Gothic Book"/>
                <w:b w:val="0"/>
                <w:bCs/>
              </w:rPr>
            </w:pPr>
            <w:r w:rsidRPr="00E6589F">
              <w:rPr>
                <w:rFonts w:ascii="Franklin Gothic Book" w:hAnsi="Franklin Gothic Book"/>
                <w:b w:val="0"/>
                <w:bCs/>
              </w:rPr>
              <w:t>INK481</w:t>
            </w:r>
          </w:p>
        </w:tc>
        <w:tc>
          <w:tcPr>
            <w:tcW w:w="1390" w:type="dxa"/>
          </w:tcPr>
          <w:p w:rsidR="00222655" w:rsidRPr="00E6589F" w:rsidRDefault="00222655" w:rsidP="00711138">
            <w:pPr>
              <w:pStyle w:val="TableListBullet"/>
              <w:numPr>
                <w:ilvl w:val="0"/>
                <w:numId w:val="0"/>
              </w:numPr>
              <w:tabs>
                <w:tab w:val="num" w:pos="227"/>
              </w:tabs>
              <w:rPr>
                <w:rFonts w:ascii="Franklin Gothic Book" w:hAnsi="Franklin Gothic Book"/>
                <w:b w:val="0"/>
                <w:bCs/>
              </w:rPr>
            </w:pPr>
            <w:r w:rsidRPr="00E6589F">
              <w:rPr>
                <w:rFonts w:ascii="Franklin Gothic Book" w:hAnsi="Franklin Gothic Book"/>
                <w:b w:val="0"/>
                <w:bCs/>
              </w:rPr>
              <w:t>Progress Review</w:t>
            </w:r>
          </w:p>
        </w:tc>
        <w:tc>
          <w:tcPr>
            <w:tcW w:w="1316" w:type="dxa"/>
          </w:tcPr>
          <w:p w:rsidR="00222655" w:rsidRPr="00E6589F" w:rsidRDefault="00B7229F" w:rsidP="00711138">
            <w:pPr>
              <w:pStyle w:val="TableListBullet"/>
              <w:numPr>
                <w:ilvl w:val="0"/>
                <w:numId w:val="0"/>
              </w:numPr>
              <w:tabs>
                <w:tab w:val="num" w:pos="227"/>
              </w:tabs>
              <w:rPr>
                <w:rFonts w:ascii="Franklin Gothic Book" w:hAnsi="Franklin Gothic Book"/>
                <w:b w:val="0"/>
                <w:bCs/>
              </w:rPr>
            </w:pPr>
            <w:r>
              <w:rPr>
                <w:rFonts w:ascii="Franklin Gothic Book" w:hAnsi="Franklin Gothic Book"/>
                <w:b w:val="0"/>
                <w:bCs/>
              </w:rPr>
              <w:t>Nov</w:t>
            </w:r>
            <w:r w:rsidR="00222655">
              <w:rPr>
                <w:rFonts w:ascii="Franklin Gothic Book" w:hAnsi="Franklin Gothic Book"/>
                <w:b w:val="0"/>
                <w:bCs/>
              </w:rPr>
              <w:t xml:space="preserve"> </w:t>
            </w:r>
            <w:r w:rsidR="00222655" w:rsidRPr="00E6589F">
              <w:rPr>
                <w:rFonts w:ascii="Franklin Gothic Book" w:hAnsi="Franklin Gothic Book"/>
                <w:b w:val="0"/>
                <w:bCs/>
              </w:rPr>
              <w:t>2014</w:t>
            </w:r>
          </w:p>
        </w:tc>
        <w:tc>
          <w:tcPr>
            <w:tcW w:w="1864" w:type="dxa"/>
          </w:tcPr>
          <w:p w:rsidR="00222655" w:rsidRPr="00E6589F" w:rsidRDefault="00BB154D" w:rsidP="00711138">
            <w:pPr>
              <w:pStyle w:val="TableListBullet"/>
              <w:numPr>
                <w:ilvl w:val="0"/>
                <w:numId w:val="0"/>
              </w:numPr>
              <w:tabs>
                <w:tab w:val="num" w:pos="227"/>
              </w:tabs>
              <w:rPr>
                <w:rFonts w:ascii="Franklin Gothic Book" w:hAnsi="Franklin Gothic Book"/>
                <w:b w:val="0"/>
                <w:bCs/>
              </w:rPr>
            </w:pPr>
            <w:r>
              <w:rPr>
                <w:rFonts w:ascii="Franklin Gothic Book" w:hAnsi="Franklin Gothic Book"/>
                <w:b w:val="0"/>
                <w:bCs/>
              </w:rPr>
              <w:t>06 Aug 2015</w:t>
            </w:r>
          </w:p>
        </w:tc>
        <w:tc>
          <w:tcPr>
            <w:tcW w:w="1710" w:type="dxa"/>
          </w:tcPr>
          <w:p w:rsidR="00222655" w:rsidRPr="00E6589F" w:rsidRDefault="00B7229F" w:rsidP="00711138">
            <w:pPr>
              <w:pStyle w:val="TableListBullet"/>
              <w:numPr>
                <w:ilvl w:val="0"/>
                <w:numId w:val="0"/>
              </w:numPr>
              <w:tabs>
                <w:tab w:val="num" w:pos="227"/>
              </w:tabs>
              <w:rPr>
                <w:rFonts w:ascii="Franklin Gothic Book" w:hAnsi="Franklin Gothic Book"/>
                <w:b w:val="0"/>
                <w:bCs/>
              </w:rPr>
            </w:pPr>
            <w:r>
              <w:rPr>
                <w:rFonts w:ascii="Franklin Gothic Book" w:hAnsi="Franklin Gothic Book"/>
                <w:b w:val="0"/>
                <w:bCs/>
              </w:rPr>
              <w:t>n/a</w:t>
            </w:r>
          </w:p>
        </w:tc>
        <w:tc>
          <w:tcPr>
            <w:tcW w:w="1469" w:type="dxa"/>
          </w:tcPr>
          <w:p w:rsidR="00222655" w:rsidRPr="00E6589F" w:rsidRDefault="00B7229F" w:rsidP="00711138">
            <w:pPr>
              <w:pStyle w:val="TableListBullet"/>
              <w:numPr>
                <w:ilvl w:val="0"/>
                <w:numId w:val="0"/>
              </w:numPr>
              <w:tabs>
                <w:tab w:val="num" w:pos="227"/>
              </w:tabs>
              <w:rPr>
                <w:rFonts w:ascii="Franklin Gothic Book" w:hAnsi="Franklin Gothic Book"/>
                <w:b w:val="0"/>
                <w:bCs/>
              </w:rPr>
            </w:pPr>
            <w:r>
              <w:rPr>
                <w:rFonts w:ascii="Franklin Gothic Book" w:hAnsi="Franklin Gothic Book"/>
                <w:b w:val="0"/>
                <w:bCs/>
              </w:rPr>
              <w:t>Not planned</w:t>
            </w:r>
          </w:p>
        </w:tc>
      </w:tr>
      <w:tr w:rsidR="001271BA" w:rsidRPr="00E6589F" w:rsidTr="00A43F72">
        <w:trPr>
          <w:cnfStyle w:val="100000000000" w:firstRow="1" w:lastRow="0" w:firstColumn="0" w:lastColumn="0" w:oddVBand="0" w:evenVBand="0" w:oddHBand="0" w:evenHBand="0" w:firstRowFirstColumn="0" w:firstRowLastColumn="0" w:lastRowFirstColumn="0" w:lastRowLastColumn="0"/>
        </w:trPr>
        <w:tc>
          <w:tcPr>
            <w:tcW w:w="3213" w:type="dxa"/>
          </w:tcPr>
          <w:p w:rsidR="00C05CF0" w:rsidRPr="00C05CF0" w:rsidRDefault="00C05CF0" w:rsidP="00E6589F">
            <w:pPr>
              <w:pStyle w:val="TableListBullet"/>
              <w:numPr>
                <w:ilvl w:val="0"/>
                <w:numId w:val="0"/>
              </w:numPr>
              <w:tabs>
                <w:tab w:val="num" w:pos="227"/>
              </w:tabs>
              <w:rPr>
                <w:rFonts w:ascii="Franklin Gothic Book" w:hAnsi="Franklin Gothic Book"/>
                <w:b w:val="0"/>
                <w:bCs/>
              </w:rPr>
            </w:pPr>
            <w:r w:rsidRPr="00C05CF0">
              <w:rPr>
                <w:rFonts w:ascii="Franklin Gothic Book" w:hAnsi="Franklin Gothic Book"/>
                <w:b w:val="0"/>
                <w:bCs/>
              </w:rPr>
              <w:t xml:space="preserve">Australian Development Scholarships </w:t>
            </w:r>
          </w:p>
        </w:tc>
        <w:tc>
          <w:tcPr>
            <w:tcW w:w="2098" w:type="dxa"/>
          </w:tcPr>
          <w:p w:rsidR="00C05CF0" w:rsidRPr="00C05CF0" w:rsidRDefault="00C05CF0" w:rsidP="00E6589F">
            <w:pPr>
              <w:pStyle w:val="TableListBullet"/>
              <w:numPr>
                <w:ilvl w:val="0"/>
                <w:numId w:val="0"/>
              </w:numPr>
              <w:tabs>
                <w:tab w:val="num" w:pos="227"/>
              </w:tabs>
              <w:rPr>
                <w:rFonts w:ascii="Franklin Gothic Book" w:hAnsi="Franklin Gothic Book"/>
                <w:b w:val="0"/>
                <w:bCs/>
              </w:rPr>
            </w:pPr>
            <w:r w:rsidRPr="00C05CF0">
              <w:rPr>
                <w:rFonts w:ascii="Franklin Gothic Book" w:hAnsi="Franklin Gothic Book"/>
                <w:b w:val="0"/>
                <w:bCs/>
              </w:rPr>
              <w:t>INJ293, INJ676, INK662</w:t>
            </w:r>
          </w:p>
        </w:tc>
        <w:tc>
          <w:tcPr>
            <w:tcW w:w="1390" w:type="dxa"/>
          </w:tcPr>
          <w:p w:rsidR="00C05CF0" w:rsidRPr="00C05CF0" w:rsidRDefault="00C05CF0" w:rsidP="00E6589F">
            <w:pPr>
              <w:pStyle w:val="TableListBullet"/>
              <w:numPr>
                <w:ilvl w:val="0"/>
                <w:numId w:val="0"/>
              </w:numPr>
              <w:tabs>
                <w:tab w:val="num" w:pos="227"/>
              </w:tabs>
              <w:rPr>
                <w:rFonts w:ascii="Franklin Gothic Book" w:hAnsi="Franklin Gothic Book"/>
                <w:b w:val="0"/>
                <w:bCs/>
              </w:rPr>
            </w:pPr>
            <w:r w:rsidRPr="00C05CF0">
              <w:rPr>
                <w:rFonts w:ascii="Franklin Gothic Book" w:hAnsi="Franklin Gothic Book"/>
                <w:b w:val="0"/>
                <w:bCs/>
              </w:rPr>
              <w:t>Tracer Study</w:t>
            </w:r>
          </w:p>
        </w:tc>
        <w:tc>
          <w:tcPr>
            <w:tcW w:w="1316" w:type="dxa"/>
          </w:tcPr>
          <w:p w:rsidR="00C05CF0" w:rsidRPr="00C05CF0" w:rsidRDefault="00C05CF0">
            <w:pPr>
              <w:pStyle w:val="TableListBullet"/>
              <w:numPr>
                <w:ilvl w:val="0"/>
                <w:numId w:val="0"/>
              </w:numPr>
              <w:tabs>
                <w:tab w:val="num" w:pos="227"/>
              </w:tabs>
              <w:rPr>
                <w:rFonts w:ascii="Franklin Gothic Book" w:hAnsi="Franklin Gothic Book"/>
                <w:b w:val="0"/>
                <w:bCs/>
              </w:rPr>
            </w:pPr>
            <w:r w:rsidRPr="00C05CF0">
              <w:rPr>
                <w:rFonts w:ascii="Franklin Gothic Book" w:hAnsi="Franklin Gothic Book"/>
                <w:b w:val="0"/>
                <w:bCs/>
              </w:rPr>
              <w:t>31 Dec 2014</w:t>
            </w:r>
          </w:p>
        </w:tc>
        <w:tc>
          <w:tcPr>
            <w:tcW w:w="1864" w:type="dxa"/>
          </w:tcPr>
          <w:p w:rsidR="00C05CF0" w:rsidRPr="00C05CF0" w:rsidRDefault="00C05CF0">
            <w:pPr>
              <w:pStyle w:val="TableListBullet"/>
              <w:numPr>
                <w:ilvl w:val="0"/>
                <w:numId w:val="0"/>
              </w:numPr>
              <w:tabs>
                <w:tab w:val="num" w:pos="227"/>
              </w:tabs>
              <w:rPr>
                <w:rFonts w:ascii="Franklin Gothic Book" w:hAnsi="Franklin Gothic Book"/>
                <w:b w:val="0"/>
                <w:bCs/>
              </w:rPr>
            </w:pPr>
            <w:r w:rsidRPr="00C05CF0">
              <w:rPr>
                <w:rFonts w:ascii="Franklin Gothic Book" w:hAnsi="Franklin Gothic Book"/>
                <w:b w:val="0"/>
                <w:bCs/>
              </w:rPr>
              <w:t>7 Aug 2015</w:t>
            </w:r>
          </w:p>
        </w:tc>
        <w:tc>
          <w:tcPr>
            <w:tcW w:w="1710" w:type="dxa"/>
          </w:tcPr>
          <w:p w:rsidR="00C05CF0" w:rsidRPr="00C05CF0" w:rsidRDefault="00C05CF0">
            <w:pPr>
              <w:pStyle w:val="TableListBullet"/>
              <w:numPr>
                <w:ilvl w:val="0"/>
                <w:numId w:val="0"/>
              </w:numPr>
              <w:tabs>
                <w:tab w:val="num" w:pos="227"/>
              </w:tabs>
              <w:rPr>
                <w:rFonts w:ascii="Franklin Gothic Book" w:hAnsi="Franklin Gothic Book"/>
                <w:b w:val="0"/>
                <w:bCs/>
              </w:rPr>
            </w:pPr>
            <w:r w:rsidRPr="00C05CF0">
              <w:rPr>
                <w:rFonts w:ascii="Franklin Gothic Book" w:hAnsi="Franklin Gothic Book"/>
                <w:b w:val="0"/>
                <w:bCs/>
              </w:rPr>
              <w:t>n/a</w:t>
            </w:r>
          </w:p>
        </w:tc>
        <w:tc>
          <w:tcPr>
            <w:tcW w:w="1469" w:type="dxa"/>
          </w:tcPr>
          <w:p w:rsidR="00C05CF0" w:rsidRPr="00C05CF0" w:rsidRDefault="00C05CF0">
            <w:pPr>
              <w:pStyle w:val="TableListBullet"/>
              <w:numPr>
                <w:ilvl w:val="0"/>
                <w:numId w:val="0"/>
              </w:numPr>
              <w:tabs>
                <w:tab w:val="num" w:pos="227"/>
              </w:tabs>
              <w:rPr>
                <w:rFonts w:ascii="Franklin Gothic Book" w:hAnsi="Franklin Gothic Book"/>
                <w:b w:val="0"/>
                <w:bCs/>
              </w:rPr>
            </w:pPr>
            <w:r w:rsidRPr="00C05CF0">
              <w:rPr>
                <w:rFonts w:ascii="Franklin Gothic Book" w:hAnsi="Franklin Gothic Book"/>
                <w:b w:val="0"/>
                <w:bCs/>
              </w:rPr>
              <w:t>Not planned</w:t>
            </w:r>
          </w:p>
        </w:tc>
      </w:tr>
      <w:tr w:rsidR="001271BA" w:rsidRPr="00E6589F" w:rsidTr="00A43F72">
        <w:trPr>
          <w:cnfStyle w:val="100000000000" w:firstRow="1" w:lastRow="0" w:firstColumn="0" w:lastColumn="0" w:oddVBand="0" w:evenVBand="0" w:oddHBand="0" w:evenHBand="0" w:firstRowFirstColumn="0" w:firstRowLastColumn="0" w:lastRowFirstColumn="0" w:lastRowLastColumn="0"/>
        </w:trPr>
        <w:tc>
          <w:tcPr>
            <w:tcW w:w="3213" w:type="dxa"/>
          </w:tcPr>
          <w:p w:rsidR="00222655" w:rsidRPr="00E6589F" w:rsidRDefault="0039245F" w:rsidP="0039245F">
            <w:pPr>
              <w:pStyle w:val="TableListBullet"/>
              <w:numPr>
                <w:ilvl w:val="0"/>
                <w:numId w:val="0"/>
              </w:numPr>
              <w:tabs>
                <w:tab w:val="num" w:pos="227"/>
              </w:tabs>
              <w:rPr>
                <w:rFonts w:ascii="Franklin Gothic Book" w:hAnsi="Franklin Gothic Book"/>
                <w:b w:val="0"/>
                <w:bCs/>
              </w:rPr>
            </w:pPr>
            <w:r>
              <w:rPr>
                <w:rFonts w:ascii="Franklin Gothic Book" w:hAnsi="Franklin Gothic Book"/>
                <w:b w:val="0"/>
                <w:bCs/>
              </w:rPr>
              <w:t xml:space="preserve">Cambodia: Road Asset </w:t>
            </w:r>
            <w:r w:rsidRPr="0039245F">
              <w:rPr>
                <w:rFonts w:ascii="Franklin Gothic Book" w:hAnsi="Franklin Gothic Book"/>
                <w:b w:val="0"/>
                <w:bCs/>
              </w:rPr>
              <w:t>Management Project</w:t>
            </w:r>
          </w:p>
        </w:tc>
        <w:tc>
          <w:tcPr>
            <w:tcW w:w="2098" w:type="dxa"/>
          </w:tcPr>
          <w:p w:rsidR="00222655" w:rsidRPr="00E6589F" w:rsidRDefault="0039245F" w:rsidP="0039245F">
            <w:pPr>
              <w:pStyle w:val="TableListBullet"/>
              <w:numPr>
                <w:ilvl w:val="0"/>
                <w:numId w:val="0"/>
              </w:numPr>
              <w:tabs>
                <w:tab w:val="num" w:pos="227"/>
              </w:tabs>
              <w:rPr>
                <w:rFonts w:ascii="Franklin Gothic Book" w:hAnsi="Franklin Gothic Book"/>
                <w:b w:val="0"/>
                <w:bCs/>
              </w:rPr>
            </w:pPr>
            <w:r>
              <w:rPr>
                <w:rFonts w:ascii="Franklin Gothic Book" w:hAnsi="Franklin Gothic Book"/>
                <w:b w:val="0"/>
                <w:bCs/>
              </w:rPr>
              <w:t>INH709</w:t>
            </w:r>
          </w:p>
        </w:tc>
        <w:tc>
          <w:tcPr>
            <w:tcW w:w="1390" w:type="dxa"/>
          </w:tcPr>
          <w:p w:rsidR="00222655" w:rsidRPr="00E6589F" w:rsidRDefault="0039245F" w:rsidP="00E6589F">
            <w:pPr>
              <w:pStyle w:val="TableListBullet"/>
              <w:numPr>
                <w:ilvl w:val="0"/>
                <w:numId w:val="0"/>
              </w:numPr>
              <w:tabs>
                <w:tab w:val="num" w:pos="227"/>
              </w:tabs>
              <w:rPr>
                <w:rFonts w:ascii="Franklin Gothic Book" w:hAnsi="Franklin Gothic Book"/>
                <w:b w:val="0"/>
                <w:bCs/>
              </w:rPr>
            </w:pPr>
            <w:r>
              <w:rPr>
                <w:rFonts w:ascii="Franklin Gothic Book" w:hAnsi="Franklin Gothic Book"/>
                <w:b w:val="0"/>
                <w:bCs/>
              </w:rPr>
              <w:t>Joint evaluation</w:t>
            </w:r>
          </w:p>
        </w:tc>
        <w:tc>
          <w:tcPr>
            <w:tcW w:w="1316" w:type="dxa"/>
          </w:tcPr>
          <w:p w:rsidR="00222655" w:rsidRPr="00E6589F" w:rsidRDefault="0039245F" w:rsidP="00E6589F">
            <w:pPr>
              <w:pStyle w:val="TableListBullet"/>
              <w:numPr>
                <w:ilvl w:val="0"/>
                <w:numId w:val="0"/>
              </w:numPr>
              <w:tabs>
                <w:tab w:val="num" w:pos="227"/>
              </w:tabs>
              <w:rPr>
                <w:rFonts w:ascii="Franklin Gothic Book" w:hAnsi="Franklin Gothic Book"/>
                <w:b w:val="0"/>
                <w:bCs/>
              </w:rPr>
            </w:pPr>
            <w:r>
              <w:rPr>
                <w:rFonts w:ascii="Franklin Gothic Book" w:hAnsi="Franklin Gothic Book"/>
                <w:b w:val="0"/>
                <w:bCs/>
              </w:rPr>
              <w:t xml:space="preserve">May </w:t>
            </w:r>
            <w:r w:rsidRPr="0039245F">
              <w:rPr>
                <w:rFonts w:ascii="Franklin Gothic Book" w:hAnsi="Franklin Gothic Book"/>
                <w:b w:val="0"/>
                <w:bCs/>
              </w:rPr>
              <w:t>2015</w:t>
            </w:r>
          </w:p>
        </w:tc>
        <w:tc>
          <w:tcPr>
            <w:tcW w:w="1864" w:type="dxa"/>
          </w:tcPr>
          <w:p w:rsidR="00222655" w:rsidRPr="00E6589F" w:rsidRDefault="0039245F" w:rsidP="00E6589F">
            <w:pPr>
              <w:pStyle w:val="TableListBullet"/>
              <w:numPr>
                <w:ilvl w:val="0"/>
                <w:numId w:val="0"/>
              </w:numPr>
              <w:tabs>
                <w:tab w:val="num" w:pos="227"/>
              </w:tabs>
              <w:rPr>
                <w:rFonts w:ascii="Franklin Gothic Book" w:hAnsi="Franklin Gothic Book"/>
                <w:b w:val="0"/>
                <w:bCs/>
              </w:rPr>
            </w:pPr>
            <w:r>
              <w:rPr>
                <w:rFonts w:ascii="Franklin Gothic Book" w:hAnsi="Franklin Gothic Book"/>
                <w:b w:val="0"/>
                <w:bCs/>
              </w:rPr>
              <w:t>06 Aug 2015</w:t>
            </w:r>
          </w:p>
        </w:tc>
        <w:tc>
          <w:tcPr>
            <w:tcW w:w="1710" w:type="dxa"/>
          </w:tcPr>
          <w:p w:rsidR="00222655" w:rsidRPr="00E6589F" w:rsidRDefault="00C05CF0" w:rsidP="00E6589F">
            <w:pPr>
              <w:pStyle w:val="TableListBullet"/>
              <w:numPr>
                <w:ilvl w:val="0"/>
                <w:numId w:val="0"/>
              </w:numPr>
              <w:tabs>
                <w:tab w:val="num" w:pos="227"/>
              </w:tabs>
              <w:rPr>
                <w:rFonts w:ascii="Franklin Gothic Book" w:hAnsi="Franklin Gothic Book"/>
                <w:b w:val="0"/>
                <w:bCs/>
              </w:rPr>
            </w:pPr>
            <w:r>
              <w:rPr>
                <w:rFonts w:ascii="Franklin Gothic Book" w:hAnsi="Franklin Gothic Book"/>
                <w:b w:val="0"/>
                <w:bCs/>
              </w:rPr>
              <w:t>n/a</w:t>
            </w:r>
          </w:p>
        </w:tc>
        <w:tc>
          <w:tcPr>
            <w:tcW w:w="1469" w:type="dxa"/>
          </w:tcPr>
          <w:p w:rsidR="00222655" w:rsidRPr="00E6589F" w:rsidRDefault="00B7229F" w:rsidP="00E6589F">
            <w:pPr>
              <w:pStyle w:val="TableListBullet"/>
              <w:numPr>
                <w:ilvl w:val="0"/>
                <w:numId w:val="0"/>
              </w:numPr>
              <w:tabs>
                <w:tab w:val="num" w:pos="227"/>
              </w:tabs>
              <w:rPr>
                <w:rFonts w:ascii="Franklin Gothic Book" w:hAnsi="Franklin Gothic Book"/>
                <w:b w:val="0"/>
                <w:bCs/>
              </w:rPr>
            </w:pPr>
            <w:r>
              <w:rPr>
                <w:rFonts w:ascii="Franklin Gothic Book" w:hAnsi="Franklin Gothic Book"/>
                <w:b w:val="0"/>
                <w:bCs/>
              </w:rPr>
              <w:t>30 Jun</w:t>
            </w:r>
            <w:r w:rsidR="0039245F" w:rsidRPr="0039245F">
              <w:rPr>
                <w:rFonts w:ascii="Franklin Gothic Book" w:hAnsi="Franklin Gothic Book"/>
                <w:b w:val="0"/>
                <w:bCs/>
              </w:rPr>
              <w:t xml:space="preserve"> 2015</w:t>
            </w:r>
            <w:r w:rsidR="0039245F">
              <w:rPr>
                <w:rFonts w:ascii="Franklin Gothic Book" w:hAnsi="Franklin Gothic Book"/>
                <w:b w:val="0"/>
                <w:bCs/>
              </w:rPr>
              <w:t xml:space="preserve"> (ADB Website)</w:t>
            </w:r>
          </w:p>
        </w:tc>
      </w:tr>
    </w:tbl>
    <w:p w:rsidR="00416B02" w:rsidRPr="00071B95" w:rsidRDefault="00416B02" w:rsidP="009C6AE7">
      <w:pPr>
        <w:pStyle w:val="Heading3"/>
      </w:pPr>
      <w:r w:rsidRPr="00071B95">
        <w:t xml:space="preserve">List of evaluations planned in the next 12 months </w:t>
      </w:r>
    </w:p>
    <w:tbl>
      <w:tblPr>
        <w:tblStyle w:val="APPR"/>
        <w:tblW w:w="0" w:type="auto"/>
        <w:tblLook w:val="0600" w:firstRow="0" w:lastRow="0" w:firstColumn="0" w:lastColumn="0" w:noHBand="1" w:noVBand="1"/>
        <w:tblCaption w:val="Annex C - List of evaluations planned in the next 12 months"/>
        <w:tblDescription w:val="The second section of Annex C details the list of evaluations planned in the next 12 months. This section shows the name of the investment, the AidWorks number, the type of evaluation to be conducted, the purpose of the evaluation, and the expected completion date for the evaluation. "/>
      </w:tblPr>
      <w:tblGrid>
        <w:gridCol w:w="4247"/>
        <w:gridCol w:w="2126"/>
        <w:gridCol w:w="2410"/>
        <w:gridCol w:w="2693"/>
        <w:gridCol w:w="1808"/>
      </w:tblGrid>
      <w:tr w:rsidR="001271BA" w:rsidRPr="00071B95" w:rsidTr="00A43F72">
        <w:tc>
          <w:tcPr>
            <w:tcW w:w="4205" w:type="dxa"/>
          </w:tcPr>
          <w:p w:rsidR="00416B02" w:rsidRPr="00071B95" w:rsidRDefault="00416B02" w:rsidP="00395B50">
            <w:pPr>
              <w:pStyle w:val="TableTextColumnHeading"/>
            </w:pPr>
            <w:r w:rsidRPr="00071B95">
              <w:t xml:space="preserve">Name of </w:t>
            </w:r>
            <w:r>
              <w:t>Investment</w:t>
            </w:r>
          </w:p>
        </w:tc>
        <w:tc>
          <w:tcPr>
            <w:tcW w:w="2098" w:type="dxa"/>
          </w:tcPr>
          <w:p w:rsidR="00416B02" w:rsidRPr="00071B95" w:rsidRDefault="00136CC1" w:rsidP="00395B50">
            <w:pPr>
              <w:pStyle w:val="TableTextColumnHeading"/>
            </w:pPr>
            <w:r>
              <w:t>AidW</w:t>
            </w:r>
            <w:r w:rsidRPr="00071B95">
              <w:t>orks</w:t>
            </w:r>
            <w:r w:rsidR="00416B02" w:rsidRPr="00071B95">
              <w:t xml:space="preserve"> number</w:t>
            </w:r>
          </w:p>
        </w:tc>
        <w:tc>
          <w:tcPr>
            <w:tcW w:w="2382" w:type="dxa"/>
          </w:tcPr>
          <w:p w:rsidR="00416B02" w:rsidRPr="00071B95" w:rsidRDefault="00416B02" w:rsidP="00395B50">
            <w:pPr>
              <w:pStyle w:val="TableTextColumnHeading"/>
            </w:pPr>
            <w:r w:rsidRPr="00071B95">
              <w:t>Type of evaluation</w:t>
            </w:r>
          </w:p>
        </w:tc>
        <w:tc>
          <w:tcPr>
            <w:tcW w:w="2665" w:type="dxa"/>
          </w:tcPr>
          <w:p w:rsidR="00416B02" w:rsidRPr="00071B95" w:rsidRDefault="00416B02" w:rsidP="00395B50">
            <w:pPr>
              <w:pStyle w:val="TableTextColumnHeading"/>
            </w:pPr>
            <w:r w:rsidRPr="00071B95">
              <w:t>Purpose of evaluation</w:t>
            </w:r>
          </w:p>
        </w:tc>
        <w:tc>
          <w:tcPr>
            <w:tcW w:w="1766" w:type="dxa"/>
          </w:tcPr>
          <w:p w:rsidR="00416B02" w:rsidRPr="00071B95" w:rsidRDefault="00416B02" w:rsidP="00395B50">
            <w:pPr>
              <w:pStyle w:val="TableTextColumnHeading"/>
            </w:pPr>
            <w:r w:rsidRPr="00071B95">
              <w:t>Expected completion date</w:t>
            </w:r>
          </w:p>
        </w:tc>
      </w:tr>
      <w:tr w:rsidR="001271BA" w:rsidRPr="00071B95" w:rsidTr="00A43F72">
        <w:tc>
          <w:tcPr>
            <w:tcW w:w="4205" w:type="dxa"/>
          </w:tcPr>
          <w:p w:rsidR="00B7229F" w:rsidRPr="00C05CF0" w:rsidRDefault="00B7229F" w:rsidP="00C05CF0">
            <w:pPr>
              <w:pStyle w:val="TableTextEntries"/>
            </w:pPr>
            <w:r w:rsidRPr="00C05CF0">
              <w:t>Australian Development Scholarships</w:t>
            </w:r>
          </w:p>
        </w:tc>
        <w:tc>
          <w:tcPr>
            <w:tcW w:w="2098" w:type="dxa"/>
          </w:tcPr>
          <w:p w:rsidR="00B7229F" w:rsidRPr="00C05CF0" w:rsidRDefault="00B7229F" w:rsidP="00A43F72">
            <w:pPr>
              <w:pStyle w:val="TableTextEntries"/>
              <w:jc w:val="center"/>
            </w:pPr>
            <w:r w:rsidRPr="00C05CF0">
              <w:t>INJ293, INJ676, INK662</w:t>
            </w:r>
          </w:p>
        </w:tc>
        <w:tc>
          <w:tcPr>
            <w:tcW w:w="2382" w:type="dxa"/>
          </w:tcPr>
          <w:p w:rsidR="00B7229F" w:rsidRPr="00C05CF0" w:rsidRDefault="00232C01" w:rsidP="00C05CF0">
            <w:pPr>
              <w:pStyle w:val="TableTextEntries"/>
            </w:pPr>
            <w:r w:rsidRPr="00C05CF0">
              <w:t>Mid-term</w:t>
            </w:r>
            <w:r w:rsidR="00B7229F" w:rsidRPr="00C05CF0">
              <w:t xml:space="preserve"> Review</w:t>
            </w:r>
          </w:p>
        </w:tc>
        <w:tc>
          <w:tcPr>
            <w:tcW w:w="2665" w:type="dxa"/>
          </w:tcPr>
          <w:p w:rsidR="00B7229F" w:rsidRPr="00C05CF0" w:rsidRDefault="00B7229F" w:rsidP="00E15678">
            <w:pPr>
              <w:pStyle w:val="TableTextEntries"/>
            </w:pPr>
            <w:r w:rsidRPr="00C05CF0">
              <w:t>Check progress</w:t>
            </w:r>
          </w:p>
        </w:tc>
        <w:tc>
          <w:tcPr>
            <w:tcW w:w="1766" w:type="dxa"/>
          </w:tcPr>
          <w:p w:rsidR="00B7229F" w:rsidRPr="00C05CF0" w:rsidRDefault="00B7229F" w:rsidP="003E25EF">
            <w:pPr>
              <w:pStyle w:val="TableTextEntries"/>
              <w:jc w:val="center"/>
            </w:pPr>
            <w:r w:rsidRPr="00C05CF0">
              <w:t>Oct 2015</w:t>
            </w:r>
          </w:p>
        </w:tc>
      </w:tr>
      <w:tr w:rsidR="001271BA" w:rsidRPr="00071B95" w:rsidTr="00A43F72">
        <w:tc>
          <w:tcPr>
            <w:tcW w:w="4205" w:type="dxa"/>
          </w:tcPr>
          <w:p w:rsidR="00222655" w:rsidRPr="00E6589F" w:rsidRDefault="00222655" w:rsidP="00711138">
            <w:pPr>
              <w:pStyle w:val="TableListBullet"/>
              <w:numPr>
                <w:ilvl w:val="0"/>
                <w:numId w:val="0"/>
              </w:numPr>
              <w:tabs>
                <w:tab w:val="num" w:pos="227"/>
              </w:tabs>
              <w:rPr>
                <w:rFonts w:ascii="Franklin Gothic Book" w:hAnsi="Franklin Gothic Book"/>
                <w:bCs/>
              </w:rPr>
            </w:pPr>
            <w:r w:rsidRPr="00E6589F">
              <w:rPr>
                <w:rFonts w:ascii="Franklin Gothic Book" w:hAnsi="Franklin Gothic Book"/>
                <w:bCs/>
              </w:rPr>
              <w:t>Rehabilitation of Railway in Cambodia Project</w:t>
            </w:r>
          </w:p>
        </w:tc>
        <w:tc>
          <w:tcPr>
            <w:tcW w:w="2098" w:type="dxa"/>
          </w:tcPr>
          <w:p w:rsidR="00222655" w:rsidRPr="00E6589F" w:rsidRDefault="00222655" w:rsidP="0039245F">
            <w:pPr>
              <w:pStyle w:val="TableListBullet"/>
              <w:numPr>
                <w:ilvl w:val="0"/>
                <w:numId w:val="0"/>
              </w:numPr>
              <w:tabs>
                <w:tab w:val="num" w:pos="227"/>
              </w:tabs>
              <w:jc w:val="center"/>
              <w:rPr>
                <w:rFonts w:ascii="Franklin Gothic Book" w:hAnsi="Franklin Gothic Book"/>
                <w:bCs/>
              </w:rPr>
            </w:pPr>
            <w:r w:rsidRPr="00E6589F">
              <w:rPr>
                <w:rFonts w:ascii="Franklin Gothic Book" w:hAnsi="Franklin Gothic Book"/>
                <w:bCs/>
              </w:rPr>
              <w:t>INI552</w:t>
            </w:r>
          </w:p>
        </w:tc>
        <w:tc>
          <w:tcPr>
            <w:tcW w:w="2382" w:type="dxa"/>
          </w:tcPr>
          <w:p w:rsidR="00222655" w:rsidRPr="00880C01" w:rsidRDefault="00222655" w:rsidP="00E15678">
            <w:pPr>
              <w:pStyle w:val="TableTextEntries"/>
            </w:pPr>
            <w:r>
              <w:t>Independent evaluation</w:t>
            </w:r>
          </w:p>
        </w:tc>
        <w:tc>
          <w:tcPr>
            <w:tcW w:w="2665" w:type="dxa"/>
          </w:tcPr>
          <w:p w:rsidR="00222655" w:rsidRPr="00880C01" w:rsidRDefault="00222655" w:rsidP="00E15678">
            <w:pPr>
              <w:pStyle w:val="TableTextEntries"/>
            </w:pPr>
            <w:r w:rsidRPr="000C32DF">
              <w:t>Evaluate program and impacts</w:t>
            </w:r>
          </w:p>
        </w:tc>
        <w:tc>
          <w:tcPr>
            <w:tcW w:w="1766" w:type="dxa"/>
          </w:tcPr>
          <w:p w:rsidR="00222655" w:rsidRPr="001D648D" w:rsidRDefault="005E1F8E" w:rsidP="00222655">
            <w:pPr>
              <w:pStyle w:val="TableTextEntries"/>
              <w:jc w:val="center"/>
              <w:rPr>
                <w:highlight w:val="yellow"/>
              </w:rPr>
            </w:pPr>
            <w:r>
              <w:t xml:space="preserve">Dec </w:t>
            </w:r>
            <w:r w:rsidR="00222655" w:rsidRPr="000C32DF">
              <w:t>2015</w:t>
            </w:r>
          </w:p>
        </w:tc>
      </w:tr>
      <w:tr w:rsidR="001271BA" w:rsidRPr="00071B95" w:rsidTr="00A43F72">
        <w:tc>
          <w:tcPr>
            <w:tcW w:w="4205" w:type="dxa"/>
          </w:tcPr>
          <w:p w:rsidR="00222655" w:rsidRPr="00E6589F" w:rsidRDefault="00222655" w:rsidP="00711138">
            <w:pPr>
              <w:pStyle w:val="TableListBullet"/>
              <w:numPr>
                <w:ilvl w:val="0"/>
                <w:numId w:val="0"/>
              </w:numPr>
              <w:tabs>
                <w:tab w:val="num" w:pos="227"/>
              </w:tabs>
              <w:rPr>
                <w:rFonts w:ascii="Franklin Gothic Book" w:hAnsi="Franklin Gothic Book"/>
                <w:bCs/>
              </w:rPr>
            </w:pPr>
            <w:r w:rsidRPr="00E6589F">
              <w:rPr>
                <w:rFonts w:ascii="Franklin Gothic Book" w:hAnsi="Franklin Gothic Book"/>
                <w:bCs/>
              </w:rPr>
              <w:t>Cambodia Emergency Flood Rehabilitation Project</w:t>
            </w:r>
          </w:p>
        </w:tc>
        <w:tc>
          <w:tcPr>
            <w:tcW w:w="2098" w:type="dxa"/>
          </w:tcPr>
          <w:p w:rsidR="00222655" w:rsidRPr="00E6589F" w:rsidRDefault="00222655" w:rsidP="0039245F">
            <w:pPr>
              <w:pStyle w:val="TableListBullet"/>
              <w:numPr>
                <w:ilvl w:val="0"/>
                <w:numId w:val="0"/>
              </w:numPr>
              <w:tabs>
                <w:tab w:val="num" w:pos="227"/>
              </w:tabs>
              <w:jc w:val="center"/>
              <w:rPr>
                <w:rFonts w:ascii="Franklin Gothic Book" w:hAnsi="Franklin Gothic Book"/>
                <w:bCs/>
              </w:rPr>
            </w:pPr>
            <w:r w:rsidRPr="00E6589F">
              <w:rPr>
                <w:rFonts w:ascii="Franklin Gothic Book" w:hAnsi="Franklin Gothic Book"/>
                <w:bCs/>
              </w:rPr>
              <w:t>INK456</w:t>
            </w:r>
          </w:p>
        </w:tc>
        <w:tc>
          <w:tcPr>
            <w:tcW w:w="2382" w:type="dxa"/>
          </w:tcPr>
          <w:p w:rsidR="00222655" w:rsidRPr="000C32DF" w:rsidRDefault="00222655" w:rsidP="00E15678">
            <w:pPr>
              <w:pStyle w:val="TableTextEntries"/>
            </w:pPr>
            <w:r>
              <w:t>Independent evaluation</w:t>
            </w:r>
          </w:p>
        </w:tc>
        <w:tc>
          <w:tcPr>
            <w:tcW w:w="2665" w:type="dxa"/>
          </w:tcPr>
          <w:p w:rsidR="00222655" w:rsidRPr="000C32DF" w:rsidRDefault="00222655" w:rsidP="00E15678">
            <w:pPr>
              <w:pStyle w:val="TableTextEntries"/>
            </w:pPr>
            <w:r w:rsidRPr="000C32DF">
              <w:t>Evaluate program and impacts</w:t>
            </w:r>
          </w:p>
        </w:tc>
        <w:tc>
          <w:tcPr>
            <w:tcW w:w="1766" w:type="dxa"/>
          </w:tcPr>
          <w:p w:rsidR="00222655" w:rsidRPr="000C32DF" w:rsidRDefault="005E1F8E" w:rsidP="00222655">
            <w:pPr>
              <w:pStyle w:val="TableTextEntries"/>
              <w:jc w:val="center"/>
            </w:pPr>
            <w:r>
              <w:t xml:space="preserve">Dec </w:t>
            </w:r>
            <w:r w:rsidR="00222655" w:rsidRPr="000C32DF">
              <w:t>2015</w:t>
            </w:r>
          </w:p>
        </w:tc>
      </w:tr>
      <w:tr w:rsidR="001271BA" w:rsidRPr="00071B95" w:rsidTr="00A43F72">
        <w:tc>
          <w:tcPr>
            <w:tcW w:w="4205" w:type="dxa"/>
          </w:tcPr>
          <w:p w:rsidR="00416B02" w:rsidRPr="000C32DF" w:rsidRDefault="001D648D" w:rsidP="001D648D">
            <w:pPr>
              <w:pStyle w:val="TableTextEntries"/>
            </w:pPr>
            <w:r w:rsidRPr="000C32DF">
              <w:t xml:space="preserve">Southern Coastal Corridor Cambodia </w:t>
            </w:r>
          </w:p>
        </w:tc>
        <w:tc>
          <w:tcPr>
            <w:tcW w:w="2098" w:type="dxa"/>
          </w:tcPr>
          <w:p w:rsidR="00416B02" w:rsidRPr="000C32DF" w:rsidRDefault="001D648D" w:rsidP="0039245F">
            <w:pPr>
              <w:pStyle w:val="TableTextEntries"/>
              <w:jc w:val="center"/>
            </w:pPr>
            <w:r w:rsidRPr="000C32DF">
              <w:t>INH666</w:t>
            </w:r>
          </w:p>
        </w:tc>
        <w:tc>
          <w:tcPr>
            <w:tcW w:w="2382" w:type="dxa"/>
          </w:tcPr>
          <w:p w:rsidR="00416B02" w:rsidRPr="000C32DF" w:rsidRDefault="001D648D" w:rsidP="00E15678">
            <w:pPr>
              <w:pStyle w:val="TableTextEntries"/>
            </w:pPr>
            <w:r w:rsidRPr="000C32DF">
              <w:t>Independent Completion Report</w:t>
            </w:r>
          </w:p>
        </w:tc>
        <w:tc>
          <w:tcPr>
            <w:tcW w:w="2665" w:type="dxa"/>
          </w:tcPr>
          <w:p w:rsidR="00416B02" w:rsidRPr="000C32DF" w:rsidRDefault="001D648D" w:rsidP="00E15678">
            <w:pPr>
              <w:pStyle w:val="TableTextEntries"/>
              <w:rPr>
                <w:color w:val="000000" w:themeColor="text1" w:themeShade="BF"/>
              </w:rPr>
            </w:pPr>
            <w:r w:rsidRPr="000C32DF">
              <w:t>Evaluate program and impacts</w:t>
            </w:r>
          </w:p>
        </w:tc>
        <w:tc>
          <w:tcPr>
            <w:tcW w:w="1766" w:type="dxa"/>
          </w:tcPr>
          <w:p w:rsidR="00416B02" w:rsidRPr="000C32DF" w:rsidRDefault="005E1F8E" w:rsidP="000C32DF">
            <w:pPr>
              <w:pStyle w:val="TableTextEntries"/>
              <w:jc w:val="center"/>
            </w:pPr>
            <w:r>
              <w:t xml:space="preserve">Dec </w:t>
            </w:r>
            <w:r w:rsidR="001D648D" w:rsidRPr="000C32DF">
              <w:t>2015</w:t>
            </w:r>
          </w:p>
        </w:tc>
      </w:tr>
      <w:tr w:rsidR="001271BA" w:rsidRPr="00071B95" w:rsidTr="00A43F72">
        <w:tc>
          <w:tcPr>
            <w:tcW w:w="4205" w:type="dxa"/>
          </w:tcPr>
          <w:p w:rsidR="00416B02" w:rsidRPr="000C32DF" w:rsidRDefault="001D648D" w:rsidP="000C32DF">
            <w:pPr>
              <w:pStyle w:val="TableTextEntries"/>
            </w:pPr>
            <w:r w:rsidRPr="000C32DF">
              <w:t xml:space="preserve">Cambodia: Delivering Better Health </w:t>
            </w:r>
            <w:r w:rsidR="000C32DF" w:rsidRPr="000C32DF">
              <w:t>(PSL)</w:t>
            </w:r>
          </w:p>
        </w:tc>
        <w:tc>
          <w:tcPr>
            <w:tcW w:w="2098" w:type="dxa"/>
          </w:tcPr>
          <w:p w:rsidR="00416B02" w:rsidRPr="000C32DF" w:rsidRDefault="000C32DF" w:rsidP="0039245F">
            <w:pPr>
              <w:pStyle w:val="TableTextEntries"/>
              <w:jc w:val="center"/>
            </w:pPr>
            <w:r w:rsidRPr="000C32DF">
              <w:t>ING741</w:t>
            </w:r>
          </w:p>
        </w:tc>
        <w:tc>
          <w:tcPr>
            <w:tcW w:w="2382" w:type="dxa"/>
          </w:tcPr>
          <w:p w:rsidR="00416B02" w:rsidRPr="000C32DF" w:rsidRDefault="001D648D" w:rsidP="000C32DF">
            <w:pPr>
              <w:pStyle w:val="TableTextEntries"/>
            </w:pPr>
            <w:r w:rsidRPr="000C32DF">
              <w:t xml:space="preserve">Mid-term review </w:t>
            </w:r>
          </w:p>
        </w:tc>
        <w:tc>
          <w:tcPr>
            <w:tcW w:w="2665" w:type="dxa"/>
          </w:tcPr>
          <w:p w:rsidR="00416B02" w:rsidRPr="000C32DF" w:rsidRDefault="001D648D" w:rsidP="00E15678">
            <w:pPr>
              <w:pStyle w:val="TableTextEntries"/>
            </w:pPr>
            <w:r w:rsidRPr="000C32DF">
              <w:t>Check Progress</w:t>
            </w:r>
          </w:p>
        </w:tc>
        <w:tc>
          <w:tcPr>
            <w:tcW w:w="1766" w:type="dxa"/>
          </w:tcPr>
          <w:p w:rsidR="00416B02" w:rsidRPr="000C32DF" w:rsidRDefault="005E1F8E" w:rsidP="000C32DF">
            <w:pPr>
              <w:pStyle w:val="TableTextEntries"/>
              <w:jc w:val="center"/>
            </w:pPr>
            <w:r>
              <w:t xml:space="preserve">Dec </w:t>
            </w:r>
            <w:r w:rsidR="001D648D" w:rsidRPr="000C32DF">
              <w:t>2015</w:t>
            </w:r>
          </w:p>
        </w:tc>
      </w:tr>
      <w:tr w:rsidR="001271BA" w:rsidRPr="00071B95" w:rsidTr="00A43F72">
        <w:tc>
          <w:tcPr>
            <w:tcW w:w="4205" w:type="dxa"/>
          </w:tcPr>
          <w:p w:rsidR="00C60FEC" w:rsidRPr="000C32DF" w:rsidRDefault="00F368CA" w:rsidP="00E15678">
            <w:pPr>
              <w:pStyle w:val="TableTextEntries"/>
            </w:pPr>
            <w:r>
              <w:t xml:space="preserve">Cambodia Agriculture Value Change Project </w:t>
            </w:r>
            <w:r w:rsidR="00C60FEC">
              <w:t>Impact Analysis</w:t>
            </w:r>
          </w:p>
        </w:tc>
        <w:tc>
          <w:tcPr>
            <w:tcW w:w="2098" w:type="dxa"/>
          </w:tcPr>
          <w:p w:rsidR="00C60FEC" w:rsidRPr="000C32DF" w:rsidRDefault="00C60FEC" w:rsidP="000C32DF">
            <w:pPr>
              <w:pStyle w:val="TableTextEntries"/>
              <w:jc w:val="center"/>
            </w:pPr>
            <w:r>
              <w:t>ING754</w:t>
            </w:r>
          </w:p>
        </w:tc>
        <w:tc>
          <w:tcPr>
            <w:tcW w:w="2382" w:type="dxa"/>
          </w:tcPr>
          <w:p w:rsidR="00C60FEC" w:rsidRPr="000C32DF" w:rsidRDefault="003E25EF" w:rsidP="00E15678">
            <w:pPr>
              <w:pStyle w:val="TableTextEntries"/>
            </w:pPr>
            <w:r>
              <w:t xml:space="preserve">Internal </w:t>
            </w:r>
            <w:r w:rsidR="00C60FEC">
              <w:t>evaluation</w:t>
            </w:r>
          </w:p>
        </w:tc>
        <w:tc>
          <w:tcPr>
            <w:tcW w:w="2665" w:type="dxa"/>
          </w:tcPr>
          <w:p w:rsidR="00C60FEC" w:rsidRPr="000C32DF" w:rsidRDefault="00C60FEC" w:rsidP="00E15678">
            <w:pPr>
              <w:pStyle w:val="TableTextEntries"/>
            </w:pPr>
            <w:r w:rsidRPr="000C32DF">
              <w:t>Evaluate program and impacts</w:t>
            </w:r>
          </w:p>
        </w:tc>
        <w:tc>
          <w:tcPr>
            <w:tcW w:w="1766" w:type="dxa"/>
          </w:tcPr>
          <w:p w:rsidR="00C60FEC" w:rsidRDefault="00C60FEC" w:rsidP="000C32DF">
            <w:pPr>
              <w:pStyle w:val="TableTextEntries"/>
              <w:jc w:val="center"/>
            </w:pPr>
            <w:r>
              <w:t>Dec 2015</w:t>
            </w:r>
          </w:p>
        </w:tc>
      </w:tr>
      <w:tr w:rsidR="001271BA" w:rsidRPr="00071B95" w:rsidTr="00A43F72">
        <w:tc>
          <w:tcPr>
            <w:tcW w:w="4205" w:type="dxa"/>
          </w:tcPr>
          <w:p w:rsidR="001D648D" w:rsidRPr="000C32DF" w:rsidRDefault="000C32DF" w:rsidP="00E15678">
            <w:pPr>
              <w:pStyle w:val="TableTextEntries"/>
            </w:pPr>
            <w:r w:rsidRPr="000C32DF">
              <w:t>Clearing for Results Phase 2 (2011-2015)</w:t>
            </w:r>
          </w:p>
        </w:tc>
        <w:tc>
          <w:tcPr>
            <w:tcW w:w="2098" w:type="dxa"/>
          </w:tcPr>
          <w:p w:rsidR="001D648D" w:rsidRPr="000C32DF" w:rsidRDefault="00041C89" w:rsidP="000C32DF">
            <w:pPr>
              <w:pStyle w:val="TableTextEntries"/>
              <w:jc w:val="center"/>
            </w:pPr>
            <w:r>
              <w:t>INJ925</w:t>
            </w:r>
          </w:p>
        </w:tc>
        <w:tc>
          <w:tcPr>
            <w:tcW w:w="2382" w:type="dxa"/>
          </w:tcPr>
          <w:p w:rsidR="001D648D" w:rsidRPr="000C32DF" w:rsidRDefault="000C32DF" w:rsidP="00E15678">
            <w:pPr>
              <w:pStyle w:val="TableTextEntries"/>
            </w:pPr>
            <w:r w:rsidRPr="000C32DF">
              <w:t>Independent completion Report</w:t>
            </w:r>
          </w:p>
        </w:tc>
        <w:tc>
          <w:tcPr>
            <w:tcW w:w="2665" w:type="dxa"/>
          </w:tcPr>
          <w:p w:rsidR="001D648D" w:rsidRPr="000C32DF" w:rsidRDefault="000C32DF" w:rsidP="00E15678">
            <w:pPr>
              <w:pStyle w:val="TableTextEntries"/>
            </w:pPr>
            <w:r w:rsidRPr="000C32DF">
              <w:t>Check Progress</w:t>
            </w:r>
          </w:p>
        </w:tc>
        <w:tc>
          <w:tcPr>
            <w:tcW w:w="1766" w:type="dxa"/>
          </w:tcPr>
          <w:p w:rsidR="001D648D" w:rsidRPr="000C32DF" w:rsidRDefault="005E1F8E" w:rsidP="000C32DF">
            <w:pPr>
              <w:pStyle w:val="TableTextEntries"/>
              <w:jc w:val="center"/>
            </w:pPr>
            <w:r>
              <w:t xml:space="preserve">Feb </w:t>
            </w:r>
            <w:r w:rsidR="000C32DF" w:rsidRPr="000C32DF">
              <w:t>2016</w:t>
            </w:r>
          </w:p>
        </w:tc>
      </w:tr>
      <w:tr w:rsidR="001271BA" w:rsidRPr="00071B95" w:rsidTr="00A43F72">
        <w:tc>
          <w:tcPr>
            <w:tcW w:w="4205" w:type="dxa"/>
          </w:tcPr>
          <w:p w:rsidR="001D648D" w:rsidRPr="000C32DF" w:rsidRDefault="000C32DF" w:rsidP="000C32DF">
            <w:pPr>
              <w:pStyle w:val="TableTextEntries"/>
            </w:pPr>
            <w:r w:rsidRPr="000C32DF">
              <w:t xml:space="preserve">Cambodia Law and Justice Sector Support </w:t>
            </w:r>
            <w:r w:rsidR="003E25EF">
              <w:t>(CCJAP)</w:t>
            </w:r>
          </w:p>
        </w:tc>
        <w:tc>
          <w:tcPr>
            <w:tcW w:w="2098" w:type="dxa"/>
          </w:tcPr>
          <w:p w:rsidR="001D648D" w:rsidRPr="000C32DF" w:rsidRDefault="000C32DF" w:rsidP="000C32DF">
            <w:pPr>
              <w:pStyle w:val="TableTextEntries"/>
              <w:jc w:val="center"/>
            </w:pPr>
            <w:r w:rsidRPr="000C32DF">
              <w:t>INK523</w:t>
            </w:r>
          </w:p>
        </w:tc>
        <w:tc>
          <w:tcPr>
            <w:tcW w:w="2382" w:type="dxa"/>
          </w:tcPr>
          <w:p w:rsidR="001D648D" w:rsidRPr="000C32DF" w:rsidRDefault="000C32DF" w:rsidP="00E15678">
            <w:pPr>
              <w:pStyle w:val="TableTextEntries"/>
            </w:pPr>
            <w:r w:rsidRPr="000C32DF">
              <w:t>Independent Completion Report</w:t>
            </w:r>
          </w:p>
        </w:tc>
        <w:tc>
          <w:tcPr>
            <w:tcW w:w="2665" w:type="dxa"/>
          </w:tcPr>
          <w:p w:rsidR="001D648D" w:rsidRPr="000C32DF" w:rsidRDefault="000C32DF" w:rsidP="00E15678">
            <w:pPr>
              <w:pStyle w:val="TableTextEntries"/>
            </w:pPr>
            <w:r w:rsidRPr="000C32DF">
              <w:t>Evaluate program and impacts</w:t>
            </w:r>
          </w:p>
        </w:tc>
        <w:tc>
          <w:tcPr>
            <w:tcW w:w="1766" w:type="dxa"/>
          </w:tcPr>
          <w:p w:rsidR="001D648D" w:rsidRPr="000C32DF" w:rsidRDefault="005E1F8E" w:rsidP="000C32DF">
            <w:pPr>
              <w:pStyle w:val="TableTextEntries"/>
              <w:jc w:val="center"/>
            </w:pPr>
            <w:r>
              <w:t xml:space="preserve">Mar </w:t>
            </w:r>
            <w:r w:rsidR="000C32DF" w:rsidRPr="000C32DF">
              <w:t>2016</w:t>
            </w:r>
          </w:p>
        </w:tc>
      </w:tr>
      <w:tr w:rsidR="001271BA" w:rsidRPr="00071B95" w:rsidTr="00A43F72">
        <w:tc>
          <w:tcPr>
            <w:tcW w:w="4205" w:type="dxa"/>
          </w:tcPr>
          <w:p w:rsidR="000C32DF" w:rsidRPr="000C32DF" w:rsidRDefault="000C32DF" w:rsidP="000C32DF">
            <w:pPr>
              <w:pStyle w:val="TableTextEntries"/>
            </w:pPr>
            <w:r w:rsidRPr="000C32DF">
              <w:t xml:space="preserve">Disability Rights Initiative Cambodia </w:t>
            </w:r>
          </w:p>
        </w:tc>
        <w:tc>
          <w:tcPr>
            <w:tcW w:w="2098" w:type="dxa"/>
          </w:tcPr>
          <w:p w:rsidR="000C32DF" w:rsidRPr="000C32DF" w:rsidRDefault="008D527B" w:rsidP="000C32DF">
            <w:pPr>
              <w:pStyle w:val="TableTextEntries"/>
              <w:jc w:val="center"/>
            </w:pPr>
            <w:r w:rsidRPr="008D527B">
              <w:t>INL137</w:t>
            </w:r>
          </w:p>
        </w:tc>
        <w:tc>
          <w:tcPr>
            <w:tcW w:w="2382" w:type="dxa"/>
          </w:tcPr>
          <w:p w:rsidR="000C32DF" w:rsidRPr="000C32DF" w:rsidRDefault="000C32DF" w:rsidP="00711138">
            <w:pPr>
              <w:pStyle w:val="TableTextEntries"/>
            </w:pPr>
            <w:r w:rsidRPr="000C32DF">
              <w:t>Independent Progress Report</w:t>
            </w:r>
          </w:p>
        </w:tc>
        <w:tc>
          <w:tcPr>
            <w:tcW w:w="2665" w:type="dxa"/>
          </w:tcPr>
          <w:p w:rsidR="000C32DF" w:rsidRPr="000C32DF" w:rsidRDefault="000C32DF" w:rsidP="00711138">
            <w:pPr>
              <w:pStyle w:val="TableTextEntries"/>
            </w:pPr>
            <w:r w:rsidRPr="000C32DF">
              <w:t>Check Progress</w:t>
            </w:r>
          </w:p>
        </w:tc>
        <w:tc>
          <w:tcPr>
            <w:tcW w:w="1766" w:type="dxa"/>
          </w:tcPr>
          <w:p w:rsidR="000C32DF" w:rsidRPr="000C32DF" w:rsidRDefault="005E1F8E" w:rsidP="000C32DF">
            <w:pPr>
              <w:pStyle w:val="TableTextEntries"/>
              <w:jc w:val="center"/>
            </w:pPr>
            <w:r>
              <w:t xml:space="preserve">Jun </w:t>
            </w:r>
            <w:r w:rsidR="000C32DF" w:rsidRPr="000C32DF">
              <w:t>2016</w:t>
            </w:r>
          </w:p>
        </w:tc>
      </w:tr>
      <w:tr w:rsidR="001271BA" w:rsidRPr="00071B95" w:rsidTr="00A43F72">
        <w:tc>
          <w:tcPr>
            <w:tcW w:w="4205" w:type="dxa"/>
          </w:tcPr>
          <w:p w:rsidR="008D527B" w:rsidRPr="000C32DF" w:rsidRDefault="008D527B" w:rsidP="000C657F">
            <w:pPr>
              <w:pStyle w:val="TableTextEntries"/>
            </w:pPr>
            <w:r w:rsidRPr="000C32DF">
              <w:t>Cambodia: Delivering Better Health (HSSP2)</w:t>
            </w:r>
          </w:p>
        </w:tc>
        <w:tc>
          <w:tcPr>
            <w:tcW w:w="2098" w:type="dxa"/>
          </w:tcPr>
          <w:p w:rsidR="008D527B" w:rsidRPr="000C32DF" w:rsidRDefault="008D527B" w:rsidP="000C657F">
            <w:pPr>
              <w:pStyle w:val="TableTextEntries"/>
              <w:jc w:val="center"/>
            </w:pPr>
            <w:r w:rsidRPr="000C32DF">
              <w:t>ING741</w:t>
            </w:r>
          </w:p>
        </w:tc>
        <w:tc>
          <w:tcPr>
            <w:tcW w:w="2382" w:type="dxa"/>
          </w:tcPr>
          <w:p w:rsidR="008D527B" w:rsidRPr="000C32DF" w:rsidRDefault="008D527B" w:rsidP="000C657F">
            <w:pPr>
              <w:pStyle w:val="TableTextEntries"/>
            </w:pPr>
            <w:r w:rsidRPr="000C32DF">
              <w:t>Independent Completion Report (HSSP2)</w:t>
            </w:r>
          </w:p>
        </w:tc>
        <w:tc>
          <w:tcPr>
            <w:tcW w:w="2665" w:type="dxa"/>
          </w:tcPr>
          <w:p w:rsidR="008D527B" w:rsidRPr="000C32DF" w:rsidRDefault="008D527B" w:rsidP="000C657F">
            <w:pPr>
              <w:pStyle w:val="TableTextEntries"/>
            </w:pPr>
            <w:r w:rsidRPr="000C32DF">
              <w:t>Evaluate program and impacts</w:t>
            </w:r>
          </w:p>
        </w:tc>
        <w:tc>
          <w:tcPr>
            <w:tcW w:w="1766" w:type="dxa"/>
          </w:tcPr>
          <w:p w:rsidR="008D527B" w:rsidRPr="000C32DF" w:rsidRDefault="008D527B" w:rsidP="000C657F">
            <w:pPr>
              <w:pStyle w:val="TableTextEntries"/>
              <w:jc w:val="center"/>
            </w:pPr>
            <w:r>
              <w:t xml:space="preserve">Jun </w:t>
            </w:r>
            <w:r w:rsidRPr="000C32DF">
              <w:t>2016</w:t>
            </w:r>
          </w:p>
        </w:tc>
      </w:tr>
    </w:tbl>
    <w:p w:rsidR="00416B02" w:rsidRDefault="000C32DF" w:rsidP="00A43F72">
      <w:pPr>
        <w:spacing w:after="200" w:line="276" w:lineRule="auto"/>
        <w:rPr>
          <w:sz w:val="28"/>
        </w:rPr>
      </w:pPr>
      <w:r>
        <w:rPr>
          <w:sz w:val="28"/>
        </w:rPr>
        <w:br w:type="page"/>
      </w:r>
      <w:r w:rsidR="00845E3F">
        <w:rPr>
          <w:sz w:val="28"/>
        </w:rPr>
        <w:lastRenderedPageBreak/>
        <w:t xml:space="preserve">Annex </w:t>
      </w:r>
      <w:r w:rsidR="00873B58">
        <w:rPr>
          <w:sz w:val="28"/>
        </w:rPr>
        <w:t>D</w:t>
      </w:r>
      <w:r w:rsidR="0057490F">
        <w:rPr>
          <w:sz w:val="28"/>
        </w:rPr>
        <w:t xml:space="preserve"> - </w:t>
      </w:r>
      <w:r w:rsidR="00416B02">
        <w:rPr>
          <w:sz w:val="28"/>
        </w:rPr>
        <w:t xml:space="preserve">Aid </w:t>
      </w:r>
      <w:r w:rsidR="00416B02" w:rsidRPr="009E38C1">
        <w:rPr>
          <w:sz w:val="28"/>
        </w:rPr>
        <w:t xml:space="preserve">Quality </w:t>
      </w:r>
      <w:r w:rsidR="00416B02">
        <w:rPr>
          <w:sz w:val="28"/>
        </w:rPr>
        <w:t xml:space="preserve">Check </w:t>
      </w:r>
      <w:r w:rsidR="00416B02" w:rsidRPr="009E38C1">
        <w:rPr>
          <w:sz w:val="28"/>
        </w:rPr>
        <w:t>ratings</w:t>
      </w:r>
    </w:p>
    <w:p w:rsidR="00416B02" w:rsidRDefault="00416B02" w:rsidP="00416B02">
      <w:pPr>
        <w:pStyle w:val="BodyText"/>
      </w:pPr>
      <w:r>
        <w:t>The previous investment level performance assessment system utilised Quality at Implementation (QAI) reports. Two criteria, Risks and Safeguards and Innovation and Private sector were not assessed in QAI reports and there have been significant changes in AQC reporting this year. Innovation and Private Sector is not a quality standard</w:t>
      </w:r>
      <w:r w:rsidR="0057490F">
        <w:t>.</w:t>
      </w:r>
    </w:p>
    <w:p w:rsidR="00416B02" w:rsidRDefault="00416B02" w:rsidP="009C6AE7">
      <w:pPr>
        <w:pStyle w:val="Heading3"/>
      </w:pPr>
      <w:r>
        <w:t>AQC ratings</w:t>
      </w:r>
    </w:p>
    <w:tbl>
      <w:tblPr>
        <w:tblStyle w:val="APPR"/>
        <w:tblW w:w="4964" w:type="pct"/>
        <w:tblLayout w:type="fixed"/>
        <w:tblLook w:val="0000" w:firstRow="0" w:lastRow="0" w:firstColumn="0" w:lastColumn="0" w:noHBand="0" w:noVBand="0"/>
        <w:tblCaption w:val="Annex D - Aid Quality Check ratings"/>
        <w:tblDescription w:val="Annex D shows the initiative name, the approved budget and duration of the initiative, the year the Quality at Implementation/ Aid Quality Check was undertaken, the relevance rating, the effectiveness rating, the efficiency rating, the monitoring and evaluation rating, the sustainability rating, the gender equality rating, the risk management rating, and the innovation and private sector rating. &#10;&#10;The rating scale is a 6 point scale.  6 = Very good; satisfies criteria in all or almost all areas, 5 = Good; satisfies criteria in most areas, 4 = Adequate; on balance, satisfies criteria; does not fail in any major area, 3 = Less than adequate; on balance does not satisfy criteria but does not fail in any major area, 2 = Poor; does not satisfy criteria in major areas, 1 = Very poor; does not satisfy criteria in many major areas. Ratings of 4,5 or 6 are regarded as satisfactory.  Ratings of 1, 2 or 3 are regarded as less than satisfactory.&#10;&#10;The only exception to the six point rating scale is that in 2013, the QAI reports used a three point risk management scale. Mature (M) indicated regular, scheduled risk management discussions and the risk register is updated quarterly; Intermediate (I) indicates ad hoc risk management discussions occur and the risk register is occasionally updated; and Basic (B) indicates there are limited or few discussions on risk and the risk register has not been updated in 12 months. "/>
      </w:tblPr>
      <w:tblGrid>
        <w:gridCol w:w="3503"/>
        <w:gridCol w:w="1170"/>
        <w:gridCol w:w="1128"/>
        <w:gridCol w:w="922"/>
        <w:gridCol w:w="922"/>
        <w:gridCol w:w="922"/>
        <w:gridCol w:w="922"/>
        <w:gridCol w:w="920"/>
        <w:gridCol w:w="920"/>
        <w:gridCol w:w="928"/>
        <w:gridCol w:w="931"/>
      </w:tblGrid>
      <w:tr w:rsidR="00F60E4A" w:rsidRPr="00745FE3" w:rsidTr="00A43F72">
        <w:trPr>
          <w:cnfStyle w:val="000000010000" w:firstRow="0" w:lastRow="0" w:firstColumn="0" w:lastColumn="0" w:oddVBand="0" w:evenVBand="0" w:oddHBand="0" w:evenHBand="1" w:firstRowFirstColumn="0" w:firstRowLastColumn="0" w:lastRowFirstColumn="0" w:lastRowLastColumn="0"/>
          <w:trHeight w:val="1089"/>
        </w:trPr>
        <w:tc>
          <w:tcPr>
            <w:tcW w:w="1312" w:type="pct"/>
          </w:tcPr>
          <w:p w:rsidR="00F60E4A" w:rsidRPr="00745FE3" w:rsidRDefault="00F60E4A" w:rsidP="00395B50">
            <w:pPr>
              <w:pStyle w:val="TableTextColumnHeading"/>
            </w:pPr>
            <w:r w:rsidRPr="00745FE3">
              <w:rPr>
                <w:noProof/>
                <w:lang w:eastAsia="en-AU" w:bidi="ar-SA"/>
              </w:rPr>
              <w:drawing>
                <wp:anchor distT="0" distB="0" distL="114300" distR="114300" simplePos="0" relativeHeight="251671552" behindDoc="0" locked="0" layoutInCell="1" allowOverlap="1" wp14:anchorId="56267518" wp14:editId="1C670252">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FE3">
              <w:t>Initiative name</w:t>
            </w:r>
          </w:p>
        </w:tc>
        <w:tc>
          <w:tcPr>
            <w:tcW w:w="433" w:type="pct"/>
            <w:textDirection w:val="btLr"/>
          </w:tcPr>
          <w:p w:rsidR="00A16862" w:rsidRDefault="00F60E4A" w:rsidP="00E52E2A">
            <w:pPr>
              <w:pStyle w:val="TableTextColumnHeading"/>
              <w:jc w:val="center"/>
            </w:pPr>
            <w:r w:rsidRPr="00745FE3">
              <w:t>Approved</w:t>
            </w:r>
          </w:p>
          <w:p w:rsidR="00A16862" w:rsidRDefault="00F60E4A" w:rsidP="00E52E2A">
            <w:pPr>
              <w:pStyle w:val="TableTextColumnHeading"/>
              <w:jc w:val="center"/>
            </w:pPr>
            <w:r w:rsidRPr="00745FE3">
              <w:t>budget and</w:t>
            </w:r>
          </w:p>
          <w:p w:rsidR="00F60E4A" w:rsidRPr="00745FE3" w:rsidRDefault="00F60E4A" w:rsidP="00E52E2A">
            <w:pPr>
              <w:pStyle w:val="TableTextColumnHeading"/>
              <w:jc w:val="center"/>
            </w:pPr>
            <w:r w:rsidRPr="00745FE3">
              <w:t>duration</w:t>
            </w:r>
          </w:p>
        </w:tc>
        <w:tc>
          <w:tcPr>
            <w:tcW w:w="417" w:type="pct"/>
            <w:textDirection w:val="btLr"/>
          </w:tcPr>
          <w:p w:rsidR="00F60E4A" w:rsidRPr="00745FE3" w:rsidRDefault="00F60E4A" w:rsidP="00E52E2A">
            <w:pPr>
              <w:pStyle w:val="TableTextColumnHeading"/>
              <w:jc w:val="center"/>
            </w:pPr>
            <w:r>
              <w:t>QAI</w:t>
            </w:r>
            <w:r w:rsidRPr="00745FE3">
              <w:t xml:space="preserve"> year</w:t>
            </w:r>
          </w:p>
        </w:tc>
        <w:tc>
          <w:tcPr>
            <w:tcW w:w="339" w:type="pct"/>
            <w:textDirection w:val="btLr"/>
          </w:tcPr>
          <w:p w:rsidR="00F60E4A" w:rsidRPr="00745FE3" w:rsidRDefault="00F60E4A" w:rsidP="00E52E2A">
            <w:pPr>
              <w:pStyle w:val="TableTextColumnHeading"/>
              <w:jc w:val="center"/>
            </w:pPr>
            <w:r w:rsidRPr="00745FE3">
              <w:t>Relevance</w:t>
            </w:r>
          </w:p>
        </w:tc>
        <w:tc>
          <w:tcPr>
            <w:tcW w:w="339" w:type="pct"/>
            <w:textDirection w:val="btLr"/>
          </w:tcPr>
          <w:p w:rsidR="00F60E4A" w:rsidRPr="00745FE3" w:rsidRDefault="00F60E4A" w:rsidP="00E52E2A">
            <w:pPr>
              <w:pStyle w:val="TableTextColumnHeading"/>
              <w:jc w:val="center"/>
            </w:pPr>
            <w:r w:rsidRPr="00745FE3">
              <w:t>Effectiveness</w:t>
            </w:r>
          </w:p>
        </w:tc>
        <w:tc>
          <w:tcPr>
            <w:tcW w:w="339" w:type="pct"/>
            <w:textDirection w:val="btLr"/>
          </w:tcPr>
          <w:p w:rsidR="00F60E4A" w:rsidRPr="00745FE3" w:rsidRDefault="00F60E4A" w:rsidP="00E52E2A">
            <w:pPr>
              <w:pStyle w:val="TableTextColumnHeading"/>
              <w:jc w:val="center"/>
            </w:pPr>
            <w:r w:rsidRPr="00745FE3">
              <w:t>Efficiency</w:t>
            </w:r>
          </w:p>
        </w:tc>
        <w:tc>
          <w:tcPr>
            <w:tcW w:w="339" w:type="pct"/>
            <w:textDirection w:val="btLr"/>
          </w:tcPr>
          <w:p w:rsidR="00F60E4A" w:rsidRPr="00745FE3" w:rsidRDefault="00F60E4A" w:rsidP="00E52E2A">
            <w:pPr>
              <w:pStyle w:val="TableTextColumnHeading"/>
              <w:jc w:val="center"/>
            </w:pPr>
            <w:r w:rsidRPr="00745FE3">
              <w:t xml:space="preserve">Monitoring </w:t>
            </w:r>
            <w:r w:rsidR="001271BA">
              <w:t xml:space="preserve">    </w:t>
            </w:r>
            <w:r w:rsidRPr="00745FE3">
              <w:t xml:space="preserve">and </w:t>
            </w:r>
            <w:r w:rsidR="001271BA">
              <w:t xml:space="preserve">    </w:t>
            </w:r>
            <w:r>
              <w:t>e</w:t>
            </w:r>
            <w:r w:rsidRPr="00745FE3">
              <w:t>valuation</w:t>
            </w:r>
          </w:p>
        </w:tc>
        <w:tc>
          <w:tcPr>
            <w:tcW w:w="338" w:type="pct"/>
            <w:textDirection w:val="btLr"/>
          </w:tcPr>
          <w:p w:rsidR="00F60E4A" w:rsidRPr="00745FE3" w:rsidRDefault="00F60E4A" w:rsidP="00E52E2A">
            <w:pPr>
              <w:pStyle w:val="TableTextColumnHeading"/>
              <w:jc w:val="center"/>
            </w:pPr>
            <w:r w:rsidRPr="00745FE3">
              <w:t>Sustainability</w:t>
            </w:r>
          </w:p>
        </w:tc>
        <w:tc>
          <w:tcPr>
            <w:tcW w:w="338" w:type="pct"/>
            <w:textDirection w:val="btLr"/>
          </w:tcPr>
          <w:p w:rsidR="00F60E4A" w:rsidRPr="00745FE3" w:rsidRDefault="00F60E4A" w:rsidP="00E52E2A">
            <w:pPr>
              <w:pStyle w:val="TableTextColumnHeading"/>
              <w:jc w:val="center"/>
            </w:pPr>
            <w:r w:rsidRPr="00745FE3">
              <w:t xml:space="preserve">Gender </w:t>
            </w:r>
            <w:r w:rsidR="00E52E2A">
              <w:t xml:space="preserve">   </w:t>
            </w:r>
            <w:r w:rsidRPr="00745FE3">
              <w:t>equality</w:t>
            </w:r>
          </w:p>
        </w:tc>
        <w:tc>
          <w:tcPr>
            <w:tcW w:w="341" w:type="pct"/>
            <w:textDirection w:val="btLr"/>
          </w:tcPr>
          <w:p w:rsidR="00A16862" w:rsidRDefault="00F60E4A" w:rsidP="00E52E2A">
            <w:pPr>
              <w:pStyle w:val="TableTextColumnHeading"/>
              <w:jc w:val="center"/>
            </w:pPr>
            <w:r w:rsidRPr="00745FE3">
              <w:t>Risk</w:t>
            </w:r>
          </w:p>
          <w:p w:rsidR="00F60E4A" w:rsidRPr="00745FE3" w:rsidRDefault="00F60E4A" w:rsidP="00E52E2A">
            <w:pPr>
              <w:pStyle w:val="TableTextColumnHeading"/>
              <w:jc w:val="center"/>
            </w:pPr>
            <w:r>
              <w:t>m</w:t>
            </w:r>
            <w:r w:rsidRPr="00745FE3">
              <w:t>anagement</w:t>
            </w:r>
          </w:p>
        </w:tc>
        <w:tc>
          <w:tcPr>
            <w:tcW w:w="337" w:type="pct"/>
            <w:textDirection w:val="btLr"/>
          </w:tcPr>
          <w:p w:rsidR="001271BA" w:rsidRDefault="00F60E4A" w:rsidP="00E52E2A">
            <w:pPr>
              <w:pStyle w:val="TableTextColumnHeading"/>
              <w:jc w:val="center"/>
            </w:pPr>
            <w:r>
              <w:t xml:space="preserve">Innovation </w:t>
            </w:r>
          </w:p>
          <w:p w:rsidR="00F60E4A" w:rsidRPr="00745FE3" w:rsidRDefault="00F60E4A" w:rsidP="00E52E2A">
            <w:pPr>
              <w:pStyle w:val="TableTextColumnHeading"/>
              <w:jc w:val="center"/>
            </w:pPr>
            <w:r>
              <w:t>and private sector</w:t>
            </w:r>
          </w:p>
        </w:tc>
      </w:tr>
      <w:tr w:rsidR="00BF35D1" w:rsidRPr="002714D7" w:rsidTr="00BF35D1">
        <w:trPr>
          <w:trHeight w:val="312"/>
          <w:tblHeader w:val="0"/>
        </w:trPr>
        <w:tc>
          <w:tcPr>
            <w:tcW w:w="1312" w:type="pct"/>
            <w:vMerge w:val="restar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Cambodia Agricultural Value Chain Program</w:t>
            </w: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$61m</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2014 AQC</w:t>
            </w:r>
          </w:p>
        </w:tc>
        <w:tc>
          <w:tcPr>
            <w:tcW w:w="339" w:type="pct"/>
            <w:tcBorders>
              <w:top w:val="nil"/>
              <w:bottom w:val="nil"/>
            </w:tcBorders>
            <w:shd w:val="clear" w:color="auto" w:fill="659B29"/>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6</w:t>
            </w:r>
          </w:p>
        </w:tc>
        <w:tc>
          <w:tcPr>
            <w:tcW w:w="339"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tcBorders>
              <w:top w:val="nil"/>
              <w:bottom w:val="nil"/>
            </w:tcBorders>
            <w:shd w:val="clear" w:color="auto" w:fill="6699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6</w:t>
            </w:r>
          </w:p>
        </w:tc>
        <w:tc>
          <w:tcPr>
            <w:tcW w:w="338"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41" w:type="pct"/>
            <w:tcBorders>
              <w:top w:val="nil"/>
              <w:bottom w:val="nil"/>
            </w:tcBorders>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7" w:type="pct"/>
            <w:tcBorders>
              <w:top w:val="nil"/>
              <w:bottom w:val="nil"/>
            </w:tcBorders>
            <w:shd w:val="clear" w:color="auto" w:fill="669900"/>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6</w:t>
            </w:r>
          </w:p>
        </w:tc>
      </w:tr>
      <w:tr w:rsidR="00BF35D1" w:rsidRPr="002714D7" w:rsidTr="00BF35D1">
        <w:trPr>
          <w:cnfStyle w:val="000000010000" w:firstRow="0" w:lastRow="0" w:firstColumn="0" w:lastColumn="0" w:oddVBand="0" w:evenVBand="0" w:oddHBand="0" w:evenHBand="1" w:firstRowFirstColumn="0" w:firstRowLastColumn="0" w:lastRowFirstColumn="0" w:lastRowLastColumn="0"/>
          <w:tblHeader w:val="0"/>
        </w:trPr>
        <w:tc>
          <w:tcPr>
            <w:tcW w:w="1312" w:type="pct"/>
            <w:vMerge/>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6.5 years</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2013 QAI</w:t>
            </w:r>
          </w:p>
        </w:tc>
        <w:tc>
          <w:tcPr>
            <w:tcW w:w="339" w:type="pct"/>
            <w:shd w:val="clear" w:color="auto" w:fill="659B29"/>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6</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659B29"/>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6</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41"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M</w:t>
            </w:r>
          </w:p>
        </w:tc>
        <w:tc>
          <w:tcPr>
            <w:tcW w:w="337" w:type="pct"/>
            <w:shd w:val="clear" w:color="auto" w:fill="auto"/>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r>
      <w:tr w:rsidR="00BF35D1" w:rsidRPr="002714D7" w:rsidTr="00BF35D1">
        <w:trPr>
          <w:tblHeader w:val="0"/>
        </w:trPr>
        <w:tc>
          <w:tcPr>
            <w:tcW w:w="1312" w:type="pct"/>
            <w:vMerge w:val="restar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Smallholder Agriculture and Social Protection</w:t>
            </w: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$4.3m</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2014 AQC</w:t>
            </w:r>
          </w:p>
        </w:tc>
        <w:tc>
          <w:tcPr>
            <w:tcW w:w="339" w:type="pct"/>
            <w:tcBorders>
              <w:top w:val="nil"/>
              <w:bottom w:val="nil"/>
            </w:tcBorders>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tcBorders>
              <w:top w:val="nil"/>
              <w:bottom w:val="nil"/>
            </w:tcBorders>
            <w:shd w:val="clear" w:color="auto" w:fill="F79646" w:themeFill="accent6"/>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3</w:t>
            </w:r>
          </w:p>
        </w:tc>
        <w:tc>
          <w:tcPr>
            <w:tcW w:w="339" w:type="pct"/>
            <w:tcBorders>
              <w:top w:val="nil"/>
              <w:bottom w:val="nil"/>
            </w:tcBorders>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tcBorders>
              <w:top w:val="nil"/>
              <w:bottom w:val="nil"/>
            </w:tcBorders>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tcBorders>
              <w:top w:val="nil"/>
              <w:bottom w:val="nil"/>
            </w:tcBorders>
            <w:shd w:val="clear" w:color="auto" w:fill="F79646" w:themeFill="accent6"/>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3</w:t>
            </w:r>
          </w:p>
        </w:tc>
        <w:tc>
          <w:tcPr>
            <w:tcW w:w="338" w:type="pct"/>
            <w:tcBorders>
              <w:top w:val="nil"/>
              <w:bottom w:val="nil"/>
            </w:tcBorders>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41" w:type="pct"/>
            <w:tcBorders>
              <w:top w:val="nil"/>
              <w:bottom w:val="nil"/>
            </w:tcBorders>
            <w:shd w:val="clear" w:color="auto" w:fill="FFFF00"/>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7" w:type="pct"/>
            <w:tcBorders>
              <w:top w:val="nil"/>
              <w:bottom w:val="nil"/>
            </w:tcBorders>
            <w:shd w:val="clear" w:color="auto" w:fill="C0504D" w:themeFill="accent2"/>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2</w:t>
            </w:r>
          </w:p>
        </w:tc>
      </w:tr>
      <w:tr w:rsidR="00BF35D1" w:rsidRPr="002714D7" w:rsidTr="00BF35D1">
        <w:trPr>
          <w:cnfStyle w:val="000000010000" w:firstRow="0" w:lastRow="0" w:firstColumn="0" w:lastColumn="0" w:oddVBand="0" w:evenVBand="0" w:oddHBand="0" w:evenHBand="1" w:firstRowFirstColumn="0" w:firstRowLastColumn="0" w:lastRowFirstColumn="0" w:lastRowLastColumn="0"/>
          <w:tblHeader w:val="0"/>
        </w:trPr>
        <w:tc>
          <w:tcPr>
            <w:tcW w:w="1312" w:type="pct"/>
            <w:vMerge/>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3  years</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2013 QAI</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8"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8"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41" w:type="pct"/>
            <w:shd w:val="clear" w:color="auto" w:fill="FFFFCC"/>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7" w:type="pct"/>
            <w:shd w:val="clear" w:color="auto" w:fill="auto"/>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r>
      <w:tr w:rsidR="00BF35D1" w:rsidRPr="002714D7" w:rsidTr="00BF35D1">
        <w:trPr>
          <w:tblHeader w:val="0"/>
        </w:trPr>
        <w:tc>
          <w:tcPr>
            <w:tcW w:w="1312" w:type="pct"/>
            <w:vMerge w:val="restar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Clearing for Results Phase II</w:t>
            </w: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 xml:space="preserve">$6.3m </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2014 AQC</w:t>
            </w:r>
          </w:p>
        </w:tc>
        <w:tc>
          <w:tcPr>
            <w:tcW w:w="339" w:type="pct"/>
            <w:tcBorders>
              <w:top w:val="nil"/>
              <w:bottom w:val="nil"/>
            </w:tcBorders>
            <w:shd w:val="clear" w:color="auto" w:fill="6699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6</w:t>
            </w:r>
          </w:p>
        </w:tc>
        <w:tc>
          <w:tcPr>
            <w:tcW w:w="339"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41" w:type="pct"/>
            <w:tcBorders>
              <w:top w:val="nil"/>
              <w:bottom w:val="nil"/>
            </w:tcBorders>
            <w:shd w:val="clear" w:color="auto" w:fill="F79646" w:themeFill="accent6"/>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3</w:t>
            </w:r>
          </w:p>
        </w:tc>
        <w:tc>
          <w:tcPr>
            <w:tcW w:w="337" w:type="pct"/>
            <w:tcBorders>
              <w:top w:val="nil"/>
              <w:bottom w:val="nil"/>
            </w:tcBorders>
            <w:shd w:val="clear" w:color="auto" w:fill="FFFF00"/>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r>
      <w:tr w:rsidR="00BF35D1" w:rsidRPr="002714D7" w:rsidTr="00BF35D1">
        <w:trPr>
          <w:cnfStyle w:val="000000010000" w:firstRow="0" w:lastRow="0" w:firstColumn="0" w:lastColumn="0" w:oddVBand="0" w:evenVBand="0" w:oddHBand="0" w:evenHBand="1" w:firstRowFirstColumn="0" w:firstRowLastColumn="0" w:lastRowFirstColumn="0" w:lastRowLastColumn="0"/>
          <w:tblHeader w:val="0"/>
        </w:trPr>
        <w:tc>
          <w:tcPr>
            <w:tcW w:w="1312" w:type="pct"/>
            <w:vMerge/>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3 years</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2013QAI</w:t>
            </w:r>
          </w:p>
        </w:tc>
        <w:tc>
          <w:tcPr>
            <w:tcW w:w="339" w:type="pct"/>
            <w:shd w:val="clear" w:color="auto" w:fill="6699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6</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41" w:type="pct"/>
            <w:shd w:val="clear" w:color="auto" w:fill="92D050"/>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M</w:t>
            </w:r>
          </w:p>
        </w:tc>
        <w:tc>
          <w:tcPr>
            <w:tcW w:w="337" w:type="pct"/>
            <w:shd w:val="clear" w:color="auto" w:fill="auto"/>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r>
      <w:tr w:rsidR="00BF35D1" w:rsidRPr="002714D7" w:rsidTr="00BF35D1">
        <w:trPr>
          <w:tblHeader w:val="0"/>
        </w:trPr>
        <w:tc>
          <w:tcPr>
            <w:tcW w:w="1312" w:type="pct"/>
            <w:vMerge w:val="restar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Cambodia Delivering Better Health</w:t>
            </w: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$74.8m</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2014 AQC</w:t>
            </w:r>
          </w:p>
        </w:tc>
        <w:tc>
          <w:tcPr>
            <w:tcW w:w="339" w:type="pct"/>
            <w:tcBorders>
              <w:top w:val="nil"/>
              <w:bottom w:val="nil"/>
            </w:tcBorders>
            <w:shd w:val="clear" w:color="auto" w:fill="6699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6</w:t>
            </w:r>
          </w:p>
        </w:tc>
        <w:tc>
          <w:tcPr>
            <w:tcW w:w="339"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tcBorders>
              <w:top w:val="nil"/>
              <w:bottom w:val="nil"/>
            </w:tcBorders>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tcBorders>
              <w:top w:val="nil"/>
              <w:bottom w:val="nil"/>
            </w:tcBorders>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41" w:type="pct"/>
            <w:tcBorders>
              <w:top w:val="nil"/>
              <w:bottom w:val="nil"/>
            </w:tcBorders>
            <w:shd w:val="clear" w:color="auto" w:fill="FFFF00"/>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7" w:type="pct"/>
            <w:tcBorders>
              <w:top w:val="nil"/>
              <w:bottom w:val="nil"/>
            </w:tcBorders>
            <w:shd w:val="clear" w:color="auto" w:fill="FFFF00"/>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r>
      <w:tr w:rsidR="00BF35D1" w:rsidRPr="002714D7" w:rsidTr="00BF35D1">
        <w:trPr>
          <w:cnfStyle w:val="000000010000" w:firstRow="0" w:lastRow="0" w:firstColumn="0" w:lastColumn="0" w:oddVBand="0" w:evenVBand="0" w:oddHBand="0" w:evenHBand="1" w:firstRowFirstColumn="0" w:firstRowLastColumn="0" w:lastRowFirstColumn="0" w:lastRowLastColumn="0"/>
          <w:tblHeader w:val="0"/>
        </w:trPr>
        <w:tc>
          <w:tcPr>
            <w:tcW w:w="1312" w:type="pct"/>
            <w:vMerge/>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8.5 years</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2013QAI</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41" w:type="pct"/>
            <w:shd w:val="clear" w:color="auto" w:fill="92D050"/>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M</w:t>
            </w:r>
          </w:p>
        </w:tc>
        <w:tc>
          <w:tcPr>
            <w:tcW w:w="337" w:type="pct"/>
            <w:shd w:val="clear" w:color="auto" w:fill="auto"/>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r>
      <w:tr w:rsidR="00BF35D1" w:rsidRPr="002714D7" w:rsidTr="00BF35D1">
        <w:trPr>
          <w:tblHeader w:val="0"/>
        </w:trPr>
        <w:tc>
          <w:tcPr>
            <w:tcW w:w="1312" w:type="pct"/>
            <w:vMerge w:val="restar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Cambodia Railway Rehabilitation Project</w:t>
            </w: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$27.7m</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2014 AQC</w:t>
            </w:r>
          </w:p>
        </w:tc>
        <w:tc>
          <w:tcPr>
            <w:tcW w:w="339" w:type="pct"/>
            <w:tcBorders>
              <w:top w:val="nil"/>
              <w:bottom w:val="nil"/>
            </w:tcBorders>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tcBorders>
              <w:top w:val="nil"/>
              <w:bottom w:val="nil"/>
            </w:tcBorders>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tcBorders>
              <w:top w:val="nil"/>
              <w:bottom w:val="nil"/>
            </w:tcBorders>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tcBorders>
              <w:top w:val="nil"/>
              <w:bottom w:val="nil"/>
            </w:tcBorders>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8" w:type="pct"/>
            <w:tcBorders>
              <w:top w:val="nil"/>
              <w:bottom w:val="nil"/>
            </w:tcBorders>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8" w:type="pct"/>
            <w:tcBorders>
              <w:top w:val="nil"/>
              <w:bottom w:val="nil"/>
            </w:tcBorders>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41" w:type="pct"/>
            <w:tcBorders>
              <w:top w:val="nil"/>
              <w:bottom w:val="nil"/>
            </w:tcBorders>
            <w:shd w:val="clear" w:color="auto" w:fill="auto"/>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7" w:type="pct"/>
            <w:tcBorders>
              <w:top w:val="nil"/>
              <w:bottom w:val="nil"/>
            </w:tcBorders>
            <w:shd w:val="clear" w:color="auto" w:fill="auto"/>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r>
      <w:tr w:rsidR="00BF35D1" w:rsidRPr="002714D7" w:rsidTr="00BF35D1">
        <w:trPr>
          <w:cnfStyle w:val="000000010000" w:firstRow="0" w:lastRow="0" w:firstColumn="0" w:lastColumn="0" w:oddVBand="0" w:evenVBand="0" w:oddHBand="0" w:evenHBand="1" w:firstRowFirstColumn="0" w:firstRowLastColumn="0" w:lastRowFirstColumn="0" w:lastRowLastColumn="0"/>
          <w:tblHeader w:val="0"/>
        </w:trPr>
        <w:tc>
          <w:tcPr>
            <w:tcW w:w="1312" w:type="pct"/>
            <w:vMerge/>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4.5 years</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2013 QAI</w:t>
            </w:r>
          </w:p>
        </w:tc>
        <w:tc>
          <w:tcPr>
            <w:tcW w:w="339" w:type="pct"/>
            <w:shd w:val="clear" w:color="auto" w:fill="6699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6</w:t>
            </w:r>
          </w:p>
        </w:tc>
        <w:tc>
          <w:tcPr>
            <w:tcW w:w="339" w:type="pct"/>
            <w:shd w:val="clear" w:color="auto" w:fill="F79646" w:themeFill="accent6"/>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3</w:t>
            </w:r>
          </w:p>
        </w:tc>
        <w:tc>
          <w:tcPr>
            <w:tcW w:w="339" w:type="pct"/>
            <w:shd w:val="clear" w:color="auto" w:fill="F79646" w:themeFill="accent6"/>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3</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41" w:type="pct"/>
            <w:shd w:val="clear" w:color="auto" w:fill="F79646" w:themeFill="accent6"/>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I</w:t>
            </w:r>
          </w:p>
        </w:tc>
        <w:tc>
          <w:tcPr>
            <w:tcW w:w="337" w:type="pct"/>
            <w:shd w:val="clear" w:color="auto" w:fill="auto"/>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r>
      <w:tr w:rsidR="00BF35D1" w:rsidRPr="002714D7" w:rsidTr="00BF35D1">
        <w:trPr>
          <w:tblHeader w:val="0"/>
        </w:trPr>
        <w:tc>
          <w:tcPr>
            <w:tcW w:w="1312" w:type="pct"/>
            <w:vMerge w:val="restar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Southern Coastal Corridor Cambodia</w:t>
            </w: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$10.3m</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2014 AQC</w:t>
            </w:r>
          </w:p>
        </w:tc>
        <w:tc>
          <w:tcPr>
            <w:tcW w:w="339" w:type="pct"/>
            <w:tcBorders>
              <w:top w:val="nil"/>
              <w:bottom w:val="nil"/>
            </w:tcBorders>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tcBorders>
              <w:top w:val="nil"/>
              <w:bottom w:val="nil"/>
            </w:tcBorders>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tcBorders>
              <w:top w:val="nil"/>
              <w:bottom w:val="nil"/>
            </w:tcBorders>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tcBorders>
              <w:top w:val="nil"/>
              <w:bottom w:val="nil"/>
            </w:tcBorders>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8" w:type="pct"/>
            <w:tcBorders>
              <w:top w:val="nil"/>
              <w:bottom w:val="nil"/>
            </w:tcBorders>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8" w:type="pct"/>
            <w:tcBorders>
              <w:top w:val="nil"/>
              <w:bottom w:val="nil"/>
            </w:tcBorders>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41" w:type="pct"/>
            <w:tcBorders>
              <w:top w:val="nil"/>
              <w:bottom w:val="nil"/>
            </w:tcBorders>
            <w:shd w:val="clear" w:color="auto" w:fill="auto"/>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7" w:type="pct"/>
            <w:tcBorders>
              <w:top w:val="nil"/>
              <w:bottom w:val="nil"/>
            </w:tcBorders>
            <w:shd w:val="clear" w:color="auto" w:fill="auto"/>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r>
      <w:tr w:rsidR="00BF35D1" w:rsidRPr="002714D7" w:rsidTr="00BF35D1">
        <w:trPr>
          <w:cnfStyle w:val="000000010000" w:firstRow="0" w:lastRow="0" w:firstColumn="0" w:lastColumn="0" w:oddVBand="0" w:evenVBand="0" w:oddHBand="0" w:evenHBand="1" w:firstRowFirstColumn="0" w:firstRowLastColumn="0" w:lastRowFirstColumn="0" w:lastRowLastColumn="0"/>
          <w:tblHeader w:val="0"/>
        </w:trPr>
        <w:tc>
          <w:tcPr>
            <w:tcW w:w="1312" w:type="pct"/>
            <w:vMerge/>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7.5 years</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2013 QAI</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41" w:type="pct"/>
            <w:shd w:val="clear" w:color="auto" w:fill="92D050"/>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M</w:t>
            </w:r>
          </w:p>
        </w:tc>
        <w:tc>
          <w:tcPr>
            <w:tcW w:w="337" w:type="pct"/>
            <w:shd w:val="clear" w:color="auto" w:fill="auto"/>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r>
      <w:tr w:rsidR="00BF35D1" w:rsidRPr="002714D7" w:rsidTr="00BF35D1">
        <w:trPr>
          <w:tblHeader w:val="0"/>
        </w:trPr>
        <w:tc>
          <w:tcPr>
            <w:tcW w:w="1312" w:type="pct"/>
            <w:vMerge w:val="restar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Cambodia Road Asset Maintenance Project</w:t>
            </w: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$6.0m</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2014AQC</w:t>
            </w:r>
          </w:p>
        </w:tc>
        <w:tc>
          <w:tcPr>
            <w:tcW w:w="339" w:type="pct"/>
            <w:tcBorders>
              <w:top w:val="nil"/>
              <w:bottom w:val="nil"/>
            </w:tcBorders>
            <w:shd w:val="clear" w:color="auto" w:fill="6699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6</w:t>
            </w:r>
          </w:p>
        </w:tc>
        <w:tc>
          <w:tcPr>
            <w:tcW w:w="339"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tcBorders>
              <w:top w:val="nil"/>
              <w:bottom w:val="nil"/>
            </w:tcBorders>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tcBorders>
              <w:top w:val="nil"/>
              <w:bottom w:val="nil"/>
            </w:tcBorders>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41" w:type="pct"/>
            <w:tcBorders>
              <w:top w:val="nil"/>
              <w:bottom w:val="nil"/>
            </w:tcBorders>
            <w:shd w:val="clear" w:color="auto" w:fill="92D050"/>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7" w:type="pct"/>
            <w:tcBorders>
              <w:top w:val="nil"/>
              <w:bottom w:val="nil"/>
            </w:tcBorders>
            <w:shd w:val="clear" w:color="auto" w:fill="92D050"/>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r>
      <w:tr w:rsidR="00BF35D1" w:rsidRPr="002714D7" w:rsidTr="00BF35D1">
        <w:trPr>
          <w:cnfStyle w:val="000000010000" w:firstRow="0" w:lastRow="0" w:firstColumn="0" w:lastColumn="0" w:oddVBand="0" w:evenVBand="0" w:oddHBand="0" w:evenHBand="1" w:firstRowFirstColumn="0" w:firstRowLastColumn="0" w:lastRowFirstColumn="0" w:lastRowLastColumn="0"/>
          <w:tblHeader w:val="0"/>
        </w:trPr>
        <w:tc>
          <w:tcPr>
            <w:tcW w:w="1312" w:type="pct"/>
            <w:vMerge/>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six years</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2013 QAI</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41" w:type="pct"/>
            <w:shd w:val="clear" w:color="auto" w:fill="92D050"/>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M</w:t>
            </w:r>
          </w:p>
        </w:tc>
        <w:tc>
          <w:tcPr>
            <w:tcW w:w="337" w:type="pct"/>
            <w:shd w:val="clear" w:color="auto" w:fill="auto"/>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r>
      <w:tr w:rsidR="00BF35D1" w:rsidRPr="002714D7" w:rsidTr="00BF35D1">
        <w:trPr>
          <w:tblHeader w:val="0"/>
        </w:trPr>
        <w:tc>
          <w:tcPr>
            <w:tcW w:w="1312" w:type="pct"/>
            <w:vMerge w:val="restar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 xml:space="preserve">Cambodia Emergency Flood Rehabilitation </w:t>
            </w:r>
          </w:p>
          <w:p w:rsidR="00BF35D1" w:rsidRPr="002714D7" w:rsidRDefault="00BF35D1" w:rsidP="002714D7">
            <w:pPr>
              <w:pStyle w:val="TableListBullet"/>
              <w:tabs>
                <w:tab w:val="num" w:pos="227"/>
              </w:tabs>
              <w:ind w:left="0"/>
              <w:rPr>
                <w:rFonts w:ascii="Franklin Gothic Book" w:hAnsi="Franklin Gothic Book"/>
              </w:rPr>
            </w:pPr>
            <w:r w:rsidRPr="002714D7">
              <w:rPr>
                <w:rFonts w:ascii="Franklin Gothic Book" w:hAnsi="Franklin Gothic Book"/>
              </w:rPr>
              <w:t>Project</w:t>
            </w: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$5.0m</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2014 AQC</w:t>
            </w:r>
          </w:p>
        </w:tc>
        <w:tc>
          <w:tcPr>
            <w:tcW w:w="339"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6</w:t>
            </w:r>
          </w:p>
        </w:tc>
        <w:tc>
          <w:tcPr>
            <w:tcW w:w="339"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tcBorders>
              <w:top w:val="nil"/>
              <w:bottom w:val="nil"/>
            </w:tcBorders>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41" w:type="pct"/>
            <w:tcBorders>
              <w:top w:val="nil"/>
              <w:bottom w:val="nil"/>
            </w:tcBorders>
            <w:shd w:val="clear" w:color="auto" w:fill="92D050"/>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7" w:type="pct"/>
            <w:tcBorders>
              <w:top w:val="nil"/>
              <w:bottom w:val="nil"/>
            </w:tcBorders>
            <w:shd w:val="clear" w:color="auto" w:fill="92D050"/>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r>
      <w:tr w:rsidR="00BF35D1" w:rsidRPr="002714D7" w:rsidTr="00BF35D1">
        <w:trPr>
          <w:cnfStyle w:val="000000010000" w:firstRow="0" w:lastRow="0" w:firstColumn="0" w:lastColumn="0" w:oddVBand="0" w:evenVBand="0" w:oddHBand="0" w:evenHBand="1" w:firstRowFirstColumn="0" w:firstRowLastColumn="0" w:lastRowFirstColumn="0" w:lastRowLastColumn="0"/>
          <w:tblHeader w:val="0"/>
        </w:trPr>
        <w:tc>
          <w:tcPr>
            <w:tcW w:w="1312" w:type="pct"/>
            <w:vMerge/>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3 years</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2013 QAI</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41" w:type="pct"/>
            <w:shd w:val="clear" w:color="auto" w:fill="92D050"/>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M</w:t>
            </w:r>
          </w:p>
        </w:tc>
        <w:tc>
          <w:tcPr>
            <w:tcW w:w="337" w:type="pct"/>
            <w:shd w:val="clear" w:color="auto" w:fill="92D050"/>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r>
      <w:tr w:rsidR="00BF35D1" w:rsidRPr="002714D7" w:rsidTr="00BF35D1">
        <w:trPr>
          <w:tblHeader w:val="0"/>
        </w:trPr>
        <w:tc>
          <w:tcPr>
            <w:tcW w:w="1312" w:type="pct"/>
            <w:vMerge w:val="restart"/>
          </w:tcPr>
          <w:p w:rsidR="00BF35D1" w:rsidRPr="002714D7" w:rsidRDefault="00BF35D1" w:rsidP="00BF35D1">
            <w:pPr>
              <w:pStyle w:val="TableListBullet"/>
              <w:numPr>
                <w:ilvl w:val="0"/>
                <w:numId w:val="0"/>
              </w:numPr>
              <w:tabs>
                <w:tab w:val="num" w:pos="227"/>
              </w:tabs>
              <w:rPr>
                <w:rFonts w:ascii="Franklin Gothic Book" w:hAnsi="Franklin Gothic Book"/>
              </w:rPr>
            </w:pPr>
            <w:r w:rsidRPr="002714D7">
              <w:rPr>
                <w:rFonts w:ascii="Franklin Gothic Book" w:hAnsi="Franklin Gothic Book"/>
              </w:rPr>
              <w:t xml:space="preserve">Rural Electrification and Transmission </w:t>
            </w:r>
          </w:p>
          <w:p w:rsidR="00BF35D1" w:rsidRPr="002714D7" w:rsidRDefault="00BF35D1" w:rsidP="002714D7">
            <w:pPr>
              <w:pStyle w:val="TableListBullet"/>
              <w:tabs>
                <w:tab w:val="num" w:pos="227"/>
              </w:tabs>
              <w:ind w:left="0"/>
              <w:rPr>
                <w:rFonts w:ascii="Franklin Gothic Book" w:hAnsi="Franklin Gothic Book"/>
              </w:rPr>
            </w:pPr>
            <w:r w:rsidRPr="002714D7">
              <w:rPr>
                <w:rFonts w:ascii="Franklin Gothic Book" w:hAnsi="Franklin Gothic Book"/>
              </w:rPr>
              <w:t>Project</w:t>
            </w: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$7.7m</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2014 AQC</w:t>
            </w:r>
          </w:p>
        </w:tc>
        <w:tc>
          <w:tcPr>
            <w:tcW w:w="339" w:type="pct"/>
            <w:shd w:val="clear" w:color="auto" w:fill="FFFFCC"/>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shd w:val="clear" w:color="auto" w:fill="FFFFCC"/>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shd w:val="clear" w:color="auto" w:fill="FFFFCC"/>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shd w:val="clear" w:color="auto" w:fill="FFFFCC"/>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8" w:type="pct"/>
            <w:shd w:val="clear" w:color="auto" w:fill="FFFFCC"/>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8" w:type="pct"/>
            <w:shd w:val="clear" w:color="auto" w:fill="FFFFCC"/>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41" w:type="pct"/>
            <w:shd w:val="clear" w:color="auto" w:fill="FFFFCC"/>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7" w:type="pct"/>
            <w:shd w:val="clear" w:color="auto" w:fill="auto"/>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r>
      <w:tr w:rsidR="00BF35D1" w:rsidRPr="002714D7" w:rsidTr="00BF35D1">
        <w:trPr>
          <w:cnfStyle w:val="000000010000" w:firstRow="0" w:lastRow="0" w:firstColumn="0" w:lastColumn="0" w:oddVBand="0" w:evenVBand="0" w:oddHBand="0" w:evenHBand="1" w:firstRowFirstColumn="0" w:firstRowLastColumn="0" w:lastRowFirstColumn="0" w:lastRowLastColumn="0"/>
          <w:tblHeader w:val="0"/>
        </w:trPr>
        <w:tc>
          <w:tcPr>
            <w:tcW w:w="1312" w:type="pct"/>
            <w:vMerge/>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6 years</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2013 QAI</w:t>
            </w:r>
          </w:p>
        </w:tc>
        <w:tc>
          <w:tcPr>
            <w:tcW w:w="339" w:type="pct"/>
            <w:shd w:val="clear" w:color="auto" w:fill="FFFFCC"/>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shd w:val="clear" w:color="auto" w:fill="FFFFCC"/>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shd w:val="clear" w:color="auto" w:fill="FFFFCC"/>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shd w:val="clear" w:color="auto" w:fill="FFFFCC"/>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8" w:type="pct"/>
            <w:shd w:val="clear" w:color="auto" w:fill="FFFFCC"/>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8" w:type="pct"/>
            <w:shd w:val="clear" w:color="auto" w:fill="FFFFCC"/>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41" w:type="pct"/>
            <w:shd w:val="clear" w:color="auto" w:fill="FFFFCC"/>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7" w:type="pct"/>
            <w:shd w:val="clear" w:color="auto" w:fill="auto"/>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r>
      <w:tr w:rsidR="00BF35D1" w:rsidRPr="002714D7" w:rsidTr="00BF35D1">
        <w:trPr>
          <w:tblHeader w:val="0"/>
        </w:trPr>
        <w:tc>
          <w:tcPr>
            <w:tcW w:w="1312" w:type="pct"/>
            <w:vMerge w:val="restar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lastRenderedPageBreak/>
              <w:t>Cambodia Law and Justice Sector Support</w:t>
            </w: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$15.0m</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2014 AQC</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F79646" w:themeFill="accent6"/>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EF2872">
              <w:rPr>
                <w:rFonts w:ascii="Franklin Gothic Book" w:hAnsi="Franklin Gothic Book"/>
              </w:rPr>
              <w:t>3</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41" w:type="pct"/>
            <w:shd w:val="clear" w:color="auto" w:fill="92D050"/>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7" w:type="pct"/>
            <w:shd w:val="clear" w:color="auto" w:fill="F79646" w:themeFill="accent6"/>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3</w:t>
            </w:r>
          </w:p>
        </w:tc>
      </w:tr>
      <w:tr w:rsidR="00BF35D1" w:rsidRPr="002714D7" w:rsidTr="00BF35D1">
        <w:trPr>
          <w:cnfStyle w:val="000000010000" w:firstRow="0" w:lastRow="0" w:firstColumn="0" w:lastColumn="0" w:oddVBand="0" w:evenVBand="0" w:oddHBand="0" w:evenHBand="1" w:firstRowFirstColumn="0" w:firstRowLastColumn="0" w:lastRowFirstColumn="0" w:lastRowLastColumn="0"/>
          <w:tblHeader w:val="0"/>
        </w:trPr>
        <w:tc>
          <w:tcPr>
            <w:tcW w:w="1312" w:type="pct"/>
            <w:vMerge/>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3.5 years</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2013 QAI</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F79646" w:themeFill="accent6"/>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3</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F79646" w:themeFill="accent6"/>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3</w:t>
            </w:r>
          </w:p>
        </w:tc>
        <w:tc>
          <w:tcPr>
            <w:tcW w:w="338"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41" w:type="pct"/>
            <w:shd w:val="clear" w:color="auto" w:fill="92D050"/>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M</w:t>
            </w:r>
          </w:p>
        </w:tc>
        <w:tc>
          <w:tcPr>
            <w:tcW w:w="337" w:type="pct"/>
            <w:shd w:val="clear" w:color="auto" w:fill="auto"/>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r>
      <w:tr w:rsidR="00BF35D1" w:rsidRPr="002714D7" w:rsidTr="00BF35D1">
        <w:trPr>
          <w:tblHeader w:val="0"/>
        </w:trPr>
        <w:tc>
          <w:tcPr>
            <w:tcW w:w="1312" w:type="pct"/>
            <w:vMerge w:val="restar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Ending Violence Against Women</w:t>
            </w: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Pr>
                <w:rFonts w:ascii="Franklin Gothic Book" w:hAnsi="Franklin Gothic Book"/>
              </w:rPr>
              <w:t>$</w:t>
            </w:r>
            <w:r w:rsidRPr="002714D7">
              <w:rPr>
                <w:rFonts w:ascii="Franklin Gothic Book" w:hAnsi="Franklin Gothic Book"/>
              </w:rPr>
              <w:t>12.0m</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2014 AQC</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41"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7"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r>
      <w:tr w:rsidR="00BF35D1" w:rsidRPr="002714D7" w:rsidTr="00BF35D1">
        <w:trPr>
          <w:cnfStyle w:val="000000010000" w:firstRow="0" w:lastRow="0" w:firstColumn="0" w:lastColumn="0" w:oddVBand="0" w:evenVBand="0" w:oddHBand="0" w:evenHBand="1" w:firstRowFirstColumn="0" w:firstRowLastColumn="0" w:lastRowFirstColumn="0" w:lastRowLastColumn="0"/>
          <w:tblHeader w:val="0"/>
        </w:trPr>
        <w:tc>
          <w:tcPr>
            <w:tcW w:w="1312" w:type="pct"/>
            <w:vMerge/>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5 years</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2013 QAI</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F79646" w:themeFill="accent6"/>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3</w:t>
            </w:r>
          </w:p>
        </w:tc>
        <w:tc>
          <w:tcPr>
            <w:tcW w:w="339" w:type="pct"/>
            <w:shd w:val="clear" w:color="auto" w:fill="F79646" w:themeFill="accent6"/>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3</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41" w:type="pct"/>
            <w:shd w:val="clear" w:color="auto" w:fill="F79646" w:themeFill="accent6"/>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I</w:t>
            </w:r>
          </w:p>
        </w:tc>
        <w:tc>
          <w:tcPr>
            <w:tcW w:w="337" w:type="pct"/>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r>
      <w:tr w:rsidR="00BF35D1" w:rsidRPr="002714D7" w:rsidTr="00BF35D1">
        <w:trPr>
          <w:tblHeader w:val="0"/>
        </w:trPr>
        <w:tc>
          <w:tcPr>
            <w:tcW w:w="1312" w:type="pct"/>
            <w:vMerge w:val="restar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Community Development Fund</w:t>
            </w: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$4.3m</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2014 AQC</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41"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7" w:type="pct"/>
            <w:shd w:val="clear" w:color="auto" w:fill="6699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6</w:t>
            </w:r>
          </w:p>
        </w:tc>
      </w:tr>
      <w:tr w:rsidR="00BF35D1" w:rsidRPr="002714D7" w:rsidTr="00BF35D1">
        <w:trPr>
          <w:cnfStyle w:val="000000010000" w:firstRow="0" w:lastRow="0" w:firstColumn="0" w:lastColumn="0" w:oddVBand="0" w:evenVBand="0" w:oddHBand="0" w:evenHBand="1" w:firstRowFirstColumn="0" w:firstRowLastColumn="0" w:lastRowFirstColumn="0" w:lastRowLastColumn="0"/>
          <w:tblHeader w:val="0"/>
        </w:trPr>
        <w:tc>
          <w:tcPr>
            <w:tcW w:w="1312" w:type="pct"/>
            <w:vMerge/>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Pr>
                <w:rFonts w:ascii="Franklin Gothic Book" w:hAnsi="Franklin Gothic Book"/>
              </w:rPr>
              <w:t>4</w:t>
            </w:r>
            <w:r w:rsidRPr="002714D7">
              <w:rPr>
                <w:rFonts w:ascii="Franklin Gothic Book" w:hAnsi="Franklin Gothic Book"/>
              </w:rPr>
              <w:t xml:space="preserve"> years</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2013 QAI</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41"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M</w:t>
            </w:r>
          </w:p>
        </w:tc>
        <w:tc>
          <w:tcPr>
            <w:tcW w:w="337" w:type="pct"/>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r>
      <w:tr w:rsidR="00BF35D1" w:rsidRPr="002714D7" w:rsidTr="00BF35D1">
        <w:trPr>
          <w:tblHeader w:val="0"/>
        </w:trPr>
        <w:tc>
          <w:tcPr>
            <w:tcW w:w="1312" w:type="pct"/>
            <w:vMerge w:val="restar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Support to Khmer Rouge Tribunal</w:t>
            </w: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$16.9m</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2014 AQC</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8"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8"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41"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7" w:type="pct"/>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r>
      <w:tr w:rsidR="00BF35D1" w:rsidRPr="002714D7" w:rsidTr="00BF35D1">
        <w:trPr>
          <w:cnfStyle w:val="000000010000" w:firstRow="0" w:lastRow="0" w:firstColumn="0" w:lastColumn="0" w:oddVBand="0" w:evenVBand="0" w:oddHBand="0" w:evenHBand="1" w:firstRowFirstColumn="0" w:firstRowLastColumn="0" w:lastRowFirstColumn="0" w:lastRowLastColumn="0"/>
          <w:tblHeader w:val="0"/>
        </w:trPr>
        <w:tc>
          <w:tcPr>
            <w:tcW w:w="1312" w:type="pct"/>
            <w:vMerge/>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11 years</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2013 QAI</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8"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8"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41"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7" w:type="pct"/>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r>
      <w:tr w:rsidR="00BF35D1" w:rsidRPr="002714D7" w:rsidTr="00BF35D1">
        <w:trPr>
          <w:tblHeader w:val="0"/>
        </w:trPr>
        <w:tc>
          <w:tcPr>
            <w:tcW w:w="1312" w:type="pct"/>
            <w:vMerge w:val="restart"/>
          </w:tcPr>
          <w:p w:rsidR="00BF35D1" w:rsidRPr="002714D7" w:rsidRDefault="00BF35D1" w:rsidP="00BF35D1">
            <w:pPr>
              <w:pStyle w:val="TableListBullet"/>
              <w:numPr>
                <w:ilvl w:val="0"/>
                <w:numId w:val="0"/>
              </w:numPr>
              <w:tabs>
                <w:tab w:val="num" w:pos="227"/>
              </w:tabs>
              <w:rPr>
                <w:rFonts w:ascii="Franklin Gothic Book" w:hAnsi="Franklin Gothic Book"/>
              </w:rPr>
            </w:pPr>
            <w:r w:rsidRPr="002714D7">
              <w:rPr>
                <w:rFonts w:ascii="Franklin Gothic Book" w:hAnsi="Franklin Gothic Book"/>
              </w:rPr>
              <w:t xml:space="preserve">Cambodia Communication Assistance </w:t>
            </w:r>
          </w:p>
          <w:p w:rsidR="00BF35D1" w:rsidRPr="002714D7" w:rsidRDefault="00BF35D1" w:rsidP="002714D7">
            <w:pPr>
              <w:pStyle w:val="TableListBullet"/>
              <w:tabs>
                <w:tab w:val="num" w:pos="227"/>
              </w:tabs>
              <w:ind w:left="0"/>
              <w:rPr>
                <w:rFonts w:ascii="Franklin Gothic Book" w:hAnsi="Franklin Gothic Book"/>
              </w:rPr>
            </w:pPr>
            <w:r w:rsidRPr="002714D7">
              <w:rPr>
                <w:rFonts w:ascii="Franklin Gothic Book" w:hAnsi="Franklin Gothic Book"/>
              </w:rPr>
              <w:t>Project</w:t>
            </w: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$2.0m</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2014 AQC</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41"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7"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r>
      <w:tr w:rsidR="00BF35D1" w:rsidRPr="002714D7" w:rsidTr="00BF35D1">
        <w:trPr>
          <w:cnfStyle w:val="000000010000" w:firstRow="0" w:lastRow="0" w:firstColumn="0" w:lastColumn="0" w:oddVBand="0" w:evenVBand="0" w:oddHBand="0" w:evenHBand="1" w:firstRowFirstColumn="0" w:firstRowLastColumn="0" w:lastRowFirstColumn="0" w:lastRowLastColumn="0"/>
          <w:tblHeader w:val="0"/>
        </w:trPr>
        <w:tc>
          <w:tcPr>
            <w:tcW w:w="1312" w:type="pct"/>
            <w:vMerge/>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Pr>
                <w:rFonts w:ascii="Franklin Gothic Book" w:hAnsi="Franklin Gothic Book"/>
              </w:rPr>
              <w:t>2</w:t>
            </w:r>
            <w:r w:rsidRPr="002714D7">
              <w:rPr>
                <w:rFonts w:ascii="Franklin Gothic Book" w:hAnsi="Franklin Gothic Book"/>
              </w:rPr>
              <w:t xml:space="preserve"> years</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2013 QAI</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8"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8"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41"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E</w:t>
            </w:r>
          </w:p>
        </w:tc>
        <w:tc>
          <w:tcPr>
            <w:tcW w:w="337" w:type="pct"/>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r>
      <w:tr w:rsidR="00BF35D1" w:rsidRPr="002714D7" w:rsidTr="00BF35D1">
        <w:trPr>
          <w:tblHeader w:val="0"/>
        </w:trPr>
        <w:tc>
          <w:tcPr>
            <w:tcW w:w="1312" w:type="pct"/>
            <w:vMerge w:val="restar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Cambodia Public Financial Management</w:t>
            </w: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$3.3m</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2014 AQC</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41"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7"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r>
      <w:tr w:rsidR="00BF35D1" w:rsidRPr="002714D7" w:rsidTr="00BF35D1">
        <w:trPr>
          <w:cnfStyle w:val="000000010000" w:firstRow="0" w:lastRow="0" w:firstColumn="0" w:lastColumn="0" w:oddVBand="0" w:evenVBand="0" w:oddHBand="0" w:evenHBand="1" w:firstRowFirstColumn="0" w:firstRowLastColumn="0" w:lastRowFirstColumn="0" w:lastRowLastColumn="0"/>
          <w:tblHeader w:val="0"/>
        </w:trPr>
        <w:tc>
          <w:tcPr>
            <w:tcW w:w="1312" w:type="pct"/>
            <w:vMerge/>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10 years</w:t>
            </w: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2013 QAI</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F79646" w:themeFill="accent6"/>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3</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F79646" w:themeFill="accent6"/>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3</w:t>
            </w:r>
          </w:p>
        </w:tc>
        <w:tc>
          <w:tcPr>
            <w:tcW w:w="341" w:type="pct"/>
            <w:shd w:val="clear" w:color="auto" w:fill="FF00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B</w:t>
            </w:r>
          </w:p>
        </w:tc>
        <w:tc>
          <w:tcPr>
            <w:tcW w:w="337" w:type="pct"/>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r>
      <w:tr w:rsidR="00BF35D1" w:rsidRPr="002714D7" w:rsidTr="00BF35D1">
        <w:trPr>
          <w:tblHeader w:val="0"/>
        </w:trPr>
        <w:tc>
          <w:tcPr>
            <w:tcW w:w="1312" w:type="pct"/>
            <w:vMerge w:val="restar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Disability Rights Initiative Cambodia</w:t>
            </w: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2014 AQC</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41"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7" w:type="pct"/>
            <w:shd w:val="clear" w:color="auto" w:fill="C000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2</w:t>
            </w:r>
          </w:p>
        </w:tc>
      </w:tr>
      <w:tr w:rsidR="00BF35D1" w:rsidRPr="002714D7" w:rsidTr="00BF35D1">
        <w:trPr>
          <w:cnfStyle w:val="000000010000" w:firstRow="0" w:lastRow="0" w:firstColumn="0" w:lastColumn="0" w:oddVBand="0" w:evenVBand="0" w:oddHBand="0" w:evenHBand="1" w:firstRowFirstColumn="0" w:firstRowLastColumn="0" w:lastRowFirstColumn="0" w:lastRowLastColumn="0"/>
          <w:tblHeader w:val="0"/>
        </w:trPr>
        <w:tc>
          <w:tcPr>
            <w:tcW w:w="1312" w:type="pct"/>
            <w:vMerge/>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2013 QAI</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c>
          <w:tcPr>
            <w:tcW w:w="339"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c>
          <w:tcPr>
            <w:tcW w:w="338"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c>
          <w:tcPr>
            <w:tcW w:w="338"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c>
          <w:tcPr>
            <w:tcW w:w="341"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c>
          <w:tcPr>
            <w:tcW w:w="337" w:type="pct"/>
            <w:shd w:val="clear" w:color="auto" w:fill="FFFFCC"/>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r>
      <w:tr w:rsidR="00BF35D1" w:rsidRPr="002714D7" w:rsidTr="00BF35D1">
        <w:trPr>
          <w:tblHeader w:val="0"/>
        </w:trPr>
        <w:tc>
          <w:tcPr>
            <w:tcW w:w="1312" w:type="pct"/>
            <w:vMerge w:val="restar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Cambodia Australian Scholarship Initiative</w:t>
            </w: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2014 AQC</w:t>
            </w:r>
          </w:p>
        </w:tc>
        <w:tc>
          <w:tcPr>
            <w:tcW w:w="339" w:type="pct"/>
            <w:shd w:val="clear" w:color="auto" w:fill="6699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6</w:t>
            </w:r>
          </w:p>
        </w:tc>
        <w:tc>
          <w:tcPr>
            <w:tcW w:w="339" w:type="pct"/>
            <w:shd w:val="clear" w:color="auto" w:fill="6699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6</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41"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7"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r>
      <w:tr w:rsidR="00BF35D1" w:rsidRPr="002714D7" w:rsidTr="00BF35D1">
        <w:trPr>
          <w:cnfStyle w:val="000000010000" w:firstRow="0" w:lastRow="0" w:firstColumn="0" w:lastColumn="0" w:oddVBand="0" w:evenVBand="0" w:oddHBand="0" w:evenHBand="1" w:firstRowFirstColumn="0" w:firstRowLastColumn="0" w:lastRowFirstColumn="0" w:lastRowLastColumn="0"/>
          <w:tblHeader w:val="0"/>
        </w:trPr>
        <w:tc>
          <w:tcPr>
            <w:tcW w:w="1312" w:type="pct"/>
            <w:vMerge/>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2013 QAI</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41"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7" w:type="pct"/>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r>
      <w:tr w:rsidR="00BF35D1" w:rsidRPr="002714D7" w:rsidTr="00BF35D1">
        <w:trPr>
          <w:tblHeader w:val="0"/>
        </w:trPr>
        <w:tc>
          <w:tcPr>
            <w:tcW w:w="1312" w:type="pct"/>
            <w:vMerge w:val="restart"/>
          </w:tcPr>
          <w:p w:rsidR="00BF35D1" w:rsidRPr="002714D7" w:rsidRDefault="00BF35D1" w:rsidP="00BF35D1">
            <w:pPr>
              <w:pStyle w:val="TableListBullet"/>
              <w:numPr>
                <w:ilvl w:val="0"/>
                <w:numId w:val="0"/>
              </w:numPr>
              <w:tabs>
                <w:tab w:val="num" w:pos="227"/>
              </w:tabs>
              <w:rPr>
                <w:rFonts w:ascii="Franklin Gothic Book" w:hAnsi="Franklin Gothic Book"/>
              </w:rPr>
            </w:pPr>
            <w:r w:rsidRPr="002714D7">
              <w:rPr>
                <w:rFonts w:ascii="Franklin Gothic Book" w:hAnsi="Franklin Gothic Book"/>
              </w:rPr>
              <w:t xml:space="preserve">Australian Development Scholarship – </w:t>
            </w:r>
          </w:p>
          <w:p w:rsidR="00BF35D1" w:rsidRPr="002714D7" w:rsidRDefault="00BF35D1" w:rsidP="002714D7">
            <w:pPr>
              <w:pStyle w:val="TableListBullet"/>
              <w:tabs>
                <w:tab w:val="num" w:pos="227"/>
              </w:tabs>
              <w:ind w:left="0"/>
              <w:rPr>
                <w:rFonts w:ascii="Franklin Gothic Book" w:hAnsi="Franklin Gothic Book"/>
              </w:rPr>
            </w:pPr>
            <w:r w:rsidRPr="002714D7">
              <w:rPr>
                <w:rFonts w:ascii="Franklin Gothic Book" w:hAnsi="Franklin Gothic Book"/>
              </w:rPr>
              <w:t>Phnom Penh</w:t>
            </w: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2014 AQC</w:t>
            </w:r>
          </w:p>
        </w:tc>
        <w:tc>
          <w:tcPr>
            <w:tcW w:w="339" w:type="pct"/>
            <w:shd w:val="clear" w:color="auto" w:fill="6699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6</w:t>
            </w:r>
          </w:p>
        </w:tc>
        <w:tc>
          <w:tcPr>
            <w:tcW w:w="339" w:type="pct"/>
            <w:shd w:val="clear" w:color="auto" w:fill="6699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6</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41"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7"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r>
      <w:tr w:rsidR="00BF35D1" w:rsidRPr="002714D7" w:rsidTr="00BF35D1">
        <w:trPr>
          <w:cnfStyle w:val="000000010000" w:firstRow="0" w:lastRow="0" w:firstColumn="0" w:lastColumn="0" w:oddVBand="0" w:evenVBand="0" w:oddHBand="0" w:evenHBand="1" w:firstRowFirstColumn="0" w:firstRowLastColumn="0" w:lastRowFirstColumn="0" w:lastRowLastColumn="0"/>
          <w:tblHeader w:val="0"/>
        </w:trPr>
        <w:tc>
          <w:tcPr>
            <w:tcW w:w="1312" w:type="pct"/>
            <w:vMerge/>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2013 QAI</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41"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7" w:type="pct"/>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r>
      <w:tr w:rsidR="00BF35D1" w:rsidRPr="002714D7" w:rsidTr="00BF35D1">
        <w:trPr>
          <w:tblHeader w:val="0"/>
        </w:trPr>
        <w:tc>
          <w:tcPr>
            <w:tcW w:w="1312" w:type="pct"/>
            <w:vMerge w:val="restart"/>
          </w:tcPr>
          <w:p w:rsidR="00BF35D1" w:rsidRPr="002714D7" w:rsidRDefault="00BF35D1" w:rsidP="007C7BA6">
            <w:pPr>
              <w:pStyle w:val="TableListBullet"/>
              <w:numPr>
                <w:ilvl w:val="0"/>
                <w:numId w:val="0"/>
              </w:numPr>
              <w:tabs>
                <w:tab w:val="num" w:pos="227"/>
              </w:tabs>
              <w:rPr>
                <w:rFonts w:ascii="Franklin Gothic Book" w:hAnsi="Franklin Gothic Book"/>
              </w:rPr>
            </w:pPr>
            <w:r w:rsidRPr="002714D7">
              <w:rPr>
                <w:rFonts w:ascii="Franklin Gothic Book" w:hAnsi="Franklin Gothic Book"/>
              </w:rPr>
              <w:t xml:space="preserve">Australian Development Scholarship 2011 </w:t>
            </w:r>
          </w:p>
          <w:p w:rsidR="00BF35D1" w:rsidRPr="002714D7" w:rsidRDefault="00BF35D1" w:rsidP="002714D7">
            <w:pPr>
              <w:pStyle w:val="TableListBullet"/>
              <w:tabs>
                <w:tab w:val="num" w:pos="227"/>
              </w:tabs>
              <w:ind w:left="0"/>
              <w:rPr>
                <w:rFonts w:ascii="Franklin Gothic Book" w:hAnsi="Franklin Gothic Book"/>
              </w:rPr>
            </w:pPr>
            <w:r w:rsidRPr="002714D7">
              <w:rPr>
                <w:rFonts w:ascii="Franklin Gothic Book" w:hAnsi="Franklin Gothic Book"/>
              </w:rPr>
              <w:t>intake</w:t>
            </w: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2014 AQC</w:t>
            </w:r>
          </w:p>
        </w:tc>
        <w:tc>
          <w:tcPr>
            <w:tcW w:w="339" w:type="pct"/>
            <w:shd w:val="clear" w:color="auto" w:fill="6699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6</w:t>
            </w:r>
          </w:p>
        </w:tc>
        <w:tc>
          <w:tcPr>
            <w:tcW w:w="339" w:type="pct"/>
            <w:shd w:val="clear" w:color="auto" w:fill="6699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6</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41"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7"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r>
      <w:tr w:rsidR="00BF35D1" w:rsidRPr="002714D7" w:rsidTr="00BF35D1">
        <w:trPr>
          <w:cnfStyle w:val="000000010000" w:firstRow="0" w:lastRow="0" w:firstColumn="0" w:lastColumn="0" w:oddVBand="0" w:evenVBand="0" w:oddHBand="0" w:evenHBand="1" w:firstRowFirstColumn="0" w:firstRowLastColumn="0" w:lastRowFirstColumn="0" w:lastRowLastColumn="0"/>
          <w:tblHeader w:val="0"/>
        </w:trPr>
        <w:tc>
          <w:tcPr>
            <w:tcW w:w="1312" w:type="pct"/>
            <w:vMerge/>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33" w:type="pct"/>
          </w:tcPr>
          <w:p w:rsidR="00BF35D1" w:rsidRPr="002714D7" w:rsidRDefault="00BF35D1" w:rsidP="002714D7">
            <w:pPr>
              <w:pStyle w:val="TableListBullet"/>
              <w:numPr>
                <w:ilvl w:val="0"/>
                <w:numId w:val="0"/>
              </w:numPr>
              <w:tabs>
                <w:tab w:val="num" w:pos="227"/>
              </w:tabs>
              <w:rPr>
                <w:rFonts w:ascii="Franklin Gothic Book" w:hAnsi="Franklin Gothic Book"/>
              </w:rPr>
            </w:pPr>
          </w:p>
        </w:tc>
        <w:tc>
          <w:tcPr>
            <w:tcW w:w="417" w:type="pct"/>
          </w:tcPr>
          <w:p w:rsidR="00BF35D1" w:rsidRPr="002714D7" w:rsidRDefault="00BF35D1" w:rsidP="002714D7">
            <w:pPr>
              <w:pStyle w:val="TableListBullet"/>
              <w:numPr>
                <w:ilvl w:val="0"/>
                <w:numId w:val="0"/>
              </w:numPr>
              <w:tabs>
                <w:tab w:val="num" w:pos="227"/>
              </w:tabs>
              <w:rPr>
                <w:rFonts w:ascii="Franklin Gothic Book" w:hAnsi="Franklin Gothic Book"/>
              </w:rPr>
            </w:pPr>
            <w:r w:rsidRPr="002714D7">
              <w:rPr>
                <w:rFonts w:ascii="Franklin Gothic Book" w:hAnsi="Franklin Gothic Book"/>
              </w:rPr>
              <w:t>2013 QAI</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9"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9"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38"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8" w:type="pct"/>
            <w:shd w:val="clear" w:color="auto" w:fill="FFFF0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4</w:t>
            </w:r>
          </w:p>
        </w:tc>
        <w:tc>
          <w:tcPr>
            <w:tcW w:w="341" w:type="pct"/>
            <w:shd w:val="clear" w:color="auto" w:fill="92D050"/>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5</w:t>
            </w:r>
          </w:p>
        </w:tc>
        <w:tc>
          <w:tcPr>
            <w:tcW w:w="337" w:type="pct"/>
            <w:shd w:val="clear" w:color="auto" w:fill="auto"/>
            <w:vAlign w:val="center"/>
          </w:tcPr>
          <w:p w:rsidR="00BF35D1" w:rsidRPr="002714D7" w:rsidRDefault="00BF35D1" w:rsidP="002714D7">
            <w:pPr>
              <w:pStyle w:val="TableListBullet"/>
              <w:numPr>
                <w:ilvl w:val="0"/>
                <w:numId w:val="0"/>
              </w:numPr>
              <w:tabs>
                <w:tab w:val="num" w:pos="227"/>
              </w:tabs>
              <w:jc w:val="center"/>
              <w:rPr>
                <w:rFonts w:ascii="Franklin Gothic Book" w:hAnsi="Franklin Gothic Book"/>
              </w:rPr>
            </w:pPr>
            <w:r w:rsidRPr="002714D7">
              <w:rPr>
                <w:rFonts w:ascii="Franklin Gothic Book" w:hAnsi="Franklin Gothic Book"/>
              </w:rPr>
              <w:t>n/a</w:t>
            </w:r>
          </w:p>
        </w:tc>
      </w:tr>
    </w:tbl>
    <w:p w:rsidR="00F60E4A" w:rsidRPr="00F429F1" w:rsidRDefault="00F60E4A" w:rsidP="00F60E4A">
      <w:pPr>
        <w:pStyle w:val="BodyText"/>
      </w:pPr>
    </w:p>
    <w:p w:rsidR="00F60E4A" w:rsidRDefault="00F60E4A" w:rsidP="00F60E4A">
      <w:pPr>
        <w:pStyle w:val="Note"/>
      </w:pPr>
      <w:r>
        <w:t>Definitions of rating scale:</w:t>
      </w:r>
      <w:r>
        <w:tab/>
      </w:r>
    </w:p>
    <w:p w:rsidR="00F60E4A" w:rsidRDefault="00F60E4A" w:rsidP="00F60E4A">
      <w:pPr>
        <w:pStyle w:val="Note"/>
      </w:pPr>
      <w:r>
        <w:t>Satisfactory (4, 5 and 6)</w:t>
      </w:r>
    </w:p>
    <w:p w:rsidR="00F60E4A" w:rsidRDefault="00F60E4A" w:rsidP="00F60E4A">
      <w:pPr>
        <w:pStyle w:val="Note"/>
      </w:pPr>
      <w:r w:rsidRPr="00593946">
        <w:rPr>
          <w:color w:val="72AF2F"/>
        </w:rPr>
        <w:sym w:font="Webdings" w:char="F067"/>
      </w:r>
      <w:r>
        <w:t xml:space="preserve"> = 6 = Very high quality</w:t>
      </w:r>
    </w:p>
    <w:p w:rsidR="00F60E4A" w:rsidRDefault="00F60E4A" w:rsidP="00F60E4A">
      <w:pPr>
        <w:pStyle w:val="Note"/>
      </w:pPr>
      <w:r w:rsidRPr="00593946">
        <w:rPr>
          <w:color w:val="72AF2F"/>
        </w:rPr>
        <w:sym w:font="Webdings" w:char="F067"/>
      </w:r>
      <w:r>
        <w:t xml:space="preserve"> = 5 = Good quality</w:t>
      </w:r>
    </w:p>
    <w:p w:rsidR="00F60E4A" w:rsidRDefault="00F60E4A" w:rsidP="00F60E4A">
      <w:pPr>
        <w:pStyle w:val="Note"/>
      </w:pPr>
      <w:r w:rsidRPr="000774FD">
        <w:rPr>
          <w:color w:val="FFFF00"/>
        </w:rPr>
        <w:sym w:font="Webdings" w:char="F067"/>
      </w:r>
      <w:r>
        <w:t xml:space="preserve"> = 4 = Adequate quality, needs some work</w:t>
      </w:r>
    </w:p>
    <w:p w:rsidR="00F60E4A" w:rsidRDefault="00F60E4A" w:rsidP="00F60E4A">
      <w:pPr>
        <w:pStyle w:val="Note"/>
      </w:pPr>
      <w:r>
        <w:lastRenderedPageBreak/>
        <w:t>Less than satisfactory (1, 2 and 3)</w:t>
      </w:r>
    </w:p>
    <w:p w:rsidR="00F60E4A" w:rsidRDefault="00F60E4A" w:rsidP="00F60E4A">
      <w:pPr>
        <w:pStyle w:val="Note"/>
      </w:pPr>
      <w:r w:rsidRPr="00593946">
        <w:rPr>
          <w:color w:val="E36C0A"/>
        </w:rPr>
        <w:sym w:font="Webdings" w:char="F067"/>
      </w:r>
      <w:r w:rsidRPr="00593946">
        <w:rPr>
          <w:color w:val="E36C0A"/>
        </w:rPr>
        <w:t xml:space="preserve"> </w:t>
      </w:r>
      <w:r>
        <w:t>= 3 = Less than adequate quality; needs significant work</w:t>
      </w:r>
    </w:p>
    <w:p w:rsidR="00F60E4A" w:rsidRDefault="00F60E4A" w:rsidP="00F60E4A">
      <w:pPr>
        <w:pStyle w:val="Note"/>
      </w:pPr>
      <w:r w:rsidRPr="000774FD">
        <w:rPr>
          <w:color w:val="FF0000"/>
        </w:rPr>
        <w:sym w:font="Webdings" w:char="F067"/>
      </w:r>
      <w:r>
        <w:t xml:space="preserve"> = 2 = Poor quality; needs major work to improve</w:t>
      </w:r>
    </w:p>
    <w:p w:rsidR="00F60E4A" w:rsidRDefault="00F60E4A" w:rsidP="00F60E4A">
      <w:pPr>
        <w:pStyle w:val="Note"/>
      </w:pPr>
      <w:r w:rsidRPr="000774FD">
        <w:rPr>
          <w:color w:val="FF0000"/>
        </w:rPr>
        <w:sym w:font="Webdings" w:char="F067"/>
      </w:r>
      <w:r>
        <w:t xml:space="preserve"> = 1 = Very poor quality; needs major overhaul</w:t>
      </w:r>
    </w:p>
    <w:p w:rsidR="00F60E4A" w:rsidRPr="00490EFB" w:rsidRDefault="002714D7" w:rsidP="00F60E4A">
      <w:pPr>
        <w:pStyle w:val="Note"/>
      </w:pPr>
      <w:r>
        <w:t>Risk Management scale 2013</w:t>
      </w:r>
      <w:r w:rsidR="00F60E4A" w:rsidRPr="00490EFB">
        <w:t>:</w:t>
      </w:r>
    </w:p>
    <w:p w:rsidR="00F60E4A" w:rsidRPr="00490EFB" w:rsidRDefault="00F60E4A" w:rsidP="00F60E4A">
      <w:pPr>
        <w:pStyle w:val="Note"/>
      </w:pPr>
      <w:r w:rsidRPr="00490EFB">
        <w:rPr>
          <w:color w:val="92D050"/>
        </w:rPr>
        <w:sym w:font="Webdings" w:char="F067"/>
      </w:r>
      <w:r w:rsidRPr="00490EFB">
        <w:t xml:space="preserve"> Mature (M). Indicates the initiative manager conducts risk discussions on at least a monthly basis with all stakeholders and updates the risk registry quarterly. </w:t>
      </w:r>
    </w:p>
    <w:p w:rsidR="00F60E4A" w:rsidRPr="00490EFB" w:rsidRDefault="00F60E4A" w:rsidP="00F60E4A">
      <w:pPr>
        <w:pStyle w:val="Note"/>
      </w:pPr>
      <w:r w:rsidRPr="00490EFB">
        <w:rPr>
          <w:color w:val="F79646"/>
        </w:rPr>
        <w:sym w:font="Webdings" w:char="F067"/>
      </w:r>
      <w:r w:rsidRPr="00490EFB">
        <w:t xml:space="preserve"> Intermediate (I). Indicates the initiative manager conducts ad-hoc risk discussion and updates the risk register occasionally. </w:t>
      </w:r>
    </w:p>
    <w:p w:rsidR="00F60E4A" w:rsidRPr="00490EFB" w:rsidRDefault="00F60E4A" w:rsidP="00F60E4A">
      <w:pPr>
        <w:pStyle w:val="Note"/>
      </w:pPr>
      <w:r w:rsidRPr="00490EFB">
        <w:rPr>
          <w:color w:val="FF0000"/>
        </w:rPr>
        <w:sym w:font="Webdings" w:char="F067"/>
      </w:r>
      <w:r w:rsidRPr="00490EFB">
        <w:t xml:space="preserve"> Basic (B). Indicates there are limited or few risk discussions and the risk register has not been updated in the past 12 months.</w:t>
      </w:r>
    </w:p>
    <w:p w:rsidR="00F60E4A" w:rsidRPr="00490EFB" w:rsidRDefault="00F60E4A" w:rsidP="00F60E4A">
      <w:pPr>
        <w:pStyle w:val="Note"/>
      </w:pPr>
      <w:r w:rsidRPr="00490EFB">
        <w:t>E – Exemption from QAI</w:t>
      </w:r>
    </w:p>
    <w:p w:rsidR="00F60E4A" w:rsidRPr="00490EFB" w:rsidRDefault="00F60E4A" w:rsidP="00F60E4A">
      <w:pPr>
        <w:pStyle w:val="Note"/>
      </w:pPr>
      <w:r w:rsidRPr="00490EFB">
        <w:t>n/a – not available</w:t>
      </w:r>
    </w:p>
    <w:p w:rsidR="00416B02" w:rsidRDefault="00416B02" w:rsidP="00416B02">
      <w:pPr>
        <w:spacing w:after="200" w:line="276" w:lineRule="auto"/>
        <w:rPr>
          <w:rFonts w:ascii="Franklin Gothic Demi" w:hAnsi="Franklin Gothic Demi" w:cs="Arial"/>
          <w:color w:val="AD495D"/>
          <w:kern w:val="28"/>
          <w:sz w:val="28"/>
          <w:szCs w:val="28"/>
        </w:rPr>
      </w:pPr>
      <w:r>
        <w:br w:type="page"/>
      </w:r>
    </w:p>
    <w:p w:rsidR="007F57ED" w:rsidRPr="007F57ED" w:rsidRDefault="007F57ED" w:rsidP="0059732F">
      <w:pPr>
        <w:keepNext/>
        <w:spacing w:before="480" w:after="120"/>
        <w:outlineLvl w:val="0"/>
        <w:rPr>
          <w:rFonts w:ascii="Helvetica" w:eastAsia="Times New Roman" w:hAnsi="Helvetica" w:cs="Arial"/>
          <w:color w:val="007FAD"/>
          <w:kern w:val="28"/>
          <w:sz w:val="24"/>
          <w:szCs w:val="28"/>
        </w:rPr>
      </w:pPr>
      <w:r>
        <w:rPr>
          <w:rFonts w:ascii="Helvetica" w:eastAsia="Times New Roman" w:hAnsi="Helvetica" w:cs="Arial"/>
          <w:color w:val="007FAD"/>
          <w:spacing w:val="-10"/>
          <w:kern w:val="28"/>
          <w:sz w:val="28"/>
          <w:szCs w:val="28"/>
        </w:rPr>
        <w:lastRenderedPageBreak/>
        <w:t xml:space="preserve">Annex </w:t>
      </w:r>
      <w:r w:rsidR="00315298">
        <w:rPr>
          <w:rFonts w:ascii="Helvetica" w:eastAsia="Times New Roman" w:hAnsi="Helvetica" w:cs="Arial"/>
          <w:color w:val="007FAD"/>
          <w:spacing w:val="-10"/>
          <w:kern w:val="28"/>
          <w:sz w:val="28"/>
          <w:szCs w:val="28"/>
        </w:rPr>
        <w:t>E</w:t>
      </w:r>
      <w:r w:rsidR="00EF2422">
        <w:rPr>
          <w:rFonts w:ascii="Helvetica" w:eastAsia="Times New Roman" w:hAnsi="Helvetica" w:cs="Arial"/>
          <w:color w:val="007FAD"/>
          <w:kern w:val="28"/>
          <w:sz w:val="24"/>
          <w:szCs w:val="28"/>
        </w:rPr>
        <w:t xml:space="preserve"> - </w:t>
      </w:r>
      <w:r w:rsidRPr="007F57ED">
        <w:rPr>
          <w:rFonts w:ascii="Helvetica" w:eastAsia="Times New Roman" w:hAnsi="Helvetica" w:cs="Arial"/>
          <w:color w:val="007FAD"/>
          <w:kern w:val="28"/>
          <w:sz w:val="24"/>
          <w:szCs w:val="28"/>
        </w:rPr>
        <w:t xml:space="preserve">Australia–Cambodia Joint </w:t>
      </w:r>
      <w:r>
        <w:rPr>
          <w:rFonts w:ascii="Helvetica" w:eastAsia="Times New Roman" w:hAnsi="Helvetica" w:cs="Arial"/>
          <w:color w:val="007FAD"/>
          <w:kern w:val="28"/>
          <w:sz w:val="24"/>
          <w:szCs w:val="28"/>
        </w:rPr>
        <w:t>Aid Program Strategy 2010–2015 P</w:t>
      </w:r>
      <w:r w:rsidR="00DA38B5">
        <w:rPr>
          <w:rFonts w:ascii="Helvetica" w:eastAsia="Times New Roman" w:hAnsi="Helvetica" w:cs="Arial"/>
          <w:color w:val="007FAD"/>
          <w:kern w:val="28"/>
          <w:sz w:val="24"/>
          <w:szCs w:val="28"/>
        </w:rPr>
        <w:t>erformance Assessment F</w:t>
      </w:r>
      <w:r w:rsidRPr="007F57ED">
        <w:rPr>
          <w:rFonts w:ascii="Helvetica" w:eastAsia="Times New Roman" w:hAnsi="Helvetica" w:cs="Arial"/>
          <w:color w:val="007FAD"/>
          <w:kern w:val="28"/>
          <w:sz w:val="24"/>
          <w:szCs w:val="28"/>
        </w:rPr>
        <w:t>ramework</w:t>
      </w:r>
    </w:p>
    <w:tbl>
      <w:tblPr>
        <w:tblStyle w:val="APPR"/>
        <w:tblW w:w="5000" w:type="pct"/>
        <w:tblLayout w:type="fixed"/>
        <w:tblLook w:val="01E0" w:firstRow="1" w:lastRow="1" w:firstColumn="1" w:lastColumn="1" w:noHBand="0" w:noVBand="0"/>
        <w:tblCaption w:val="Annex E - Australia–Cambodia Joint Aid Program Strategy 2010–2015 Performance Assessment Framework"/>
        <w:tblDescription w:val="Annex E provides an overview of the milestones achieved against the Australia-Cambodia Joint Aid Program Strategy 2010-15 Performance Assessment Framework. It shows the Cambodian Government development outcome for 2015, the Australian Aid Objective for 2015, the milestones achieved in the financial year 2014-15, and the Australian Government assistance that was provided. "/>
      </w:tblPr>
      <w:tblGrid>
        <w:gridCol w:w="1696"/>
        <w:gridCol w:w="1752"/>
        <w:gridCol w:w="2544"/>
        <w:gridCol w:w="3913"/>
        <w:gridCol w:w="3379"/>
      </w:tblGrid>
      <w:tr w:rsidR="007F57ED" w:rsidRPr="00395B50" w:rsidTr="00A16862">
        <w:trPr>
          <w:cnfStyle w:val="100000000000" w:firstRow="1" w:lastRow="0" w:firstColumn="0" w:lastColumn="0" w:oddVBand="0" w:evenVBand="0" w:oddHBand="0" w:evenHBand="0" w:firstRowFirstColumn="0" w:firstRowLastColumn="0" w:lastRowFirstColumn="0" w:lastRowLastColumn="0"/>
        </w:trPr>
        <w:tc>
          <w:tcPr>
            <w:tcW w:w="560" w:type="pct"/>
          </w:tcPr>
          <w:p w:rsidR="007F57ED" w:rsidRPr="00395B50" w:rsidRDefault="007F57ED" w:rsidP="007F57ED">
            <w:pPr>
              <w:keepLines/>
              <w:spacing w:before="80" w:after="80" w:line="200" w:lineRule="atLeast"/>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Cambodian Government development outcome 2015</w:t>
            </w:r>
          </w:p>
        </w:tc>
        <w:tc>
          <w:tcPr>
            <w:tcW w:w="584" w:type="pct"/>
          </w:tcPr>
          <w:p w:rsidR="007F57ED" w:rsidRPr="00395B50" w:rsidRDefault="007F57ED" w:rsidP="007F57ED">
            <w:pPr>
              <w:keepLines/>
              <w:spacing w:before="80" w:after="80" w:line="200" w:lineRule="atLeast"/>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Australian Aid Objective 2015</w:t>
            </w:r>
          </w:p>
        </w:tc>
        <w:tc>
          <w:tcPr>
            <w:tcW w:w="852" w:type="pct"/>
          </w:tcPr>
          <w:p w:rsidR="007F57ED" w:rsidRPr="00395B50" w:rsidRDefault="007F57ED" w:rsidP="007F57ED">
            <w:pPr>
              <w:keepLines/>
              <w:spacing w:before="80" w:after="80" w:line="200" w:lineRule="atLeast"/>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Aid Objective indicators</w:t>
            </w:r>
          </w:p>
        </w:tc>
        <w:tc>
          <w:tcPr>
            <w:tcW w:w="1316" w:type="pct"/>
          </w:tcPr>
          <w:p w:rsidR="007F57ED" w:rsidRPr="00395B50" w:rsidRDefault="00395B50" w:rsidP="007F57ED">
            <w:pPr>
              <w:keepLines/>
              <w:spacing w:before="80" w:after="8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2014-</w:t>
            </w:r>
            <w:r w:rsidR="007F57ED" w:rsidRPr="00395B50">
              <w:rPr>
                <w:rFonts w:ascii="Franklin Gothic Book" w:eastAsia="Times New Roman" w:hAnsi="Franklin Gothic Book"/>
                <w:iCs/>
                <w:sz w:val="17"/>
                <w:szCs w:val="17"/>
                <w:lang w:eastAsia="en-US"/>
              </w:rPr>
              <w:t>15  milestones</w:t>
            </w:r>
          </w:p>
        </w:tc>
        <w:tc>
          <w:tcPr>
            <w:tcW w:w="1130" w:type="pct"/>
          </w:tcPr>
          <w:p w:rsidR="007F57ED" w:rsidRPr="00395B50" w:rsidRDefault="007F57ED" w:rsidP="007F57ED">
            <w:pPr>
              <w:keepLines/>
              <w:spacing w:before="80" w:after="80" w:line="200" w:lineRule="atLeast"/>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Australian Government assistance</w:t>
            </w:r>
          </w:p>
        </w:tc>
      </w:tr>
      <w:tr w:rsidR="007F57ED" w:rsidRPr="00395B50" w:rsidTr="00A16862">
        <w:trPr>
          <w:tblHeader w:val="0"/>
        </w:trPr>
        <w:tc>
          <w:tcPr>
            <w:tcW w:w="560" w:type="pct"/>
          </w:tcPr>
          <w:p w:rsidR="007F57ED" w:rsidRPr="00395B50" w:rsidRDefault="007F57ED" w:rsidP="007F57ED">
            <w:pPr>
              <w:keepLines/>
              <w:spacing w:before="40" w:after="40" w:line="200" w:lineRule="atLeast"/>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Accelerated growth in the value of national agricultural production</w:t>
            </w:r>
          </w:p>
          <w:p w:rsidR="007F57ED" w:rsidRPr="00395B50" w:rsidRDefault="007F57ED" w:rsidP="007F57ED">
            <w:pPr>
              <w:autoSpaceDE w:val="0"/>
              <w:autoSpaceDN w:val="0"/>
              <w:adjustRightInd w:val="0"/>
              <w:rPr>
                <w:rFonts w:ascii="Franklin Gothic Book" w:hAnsi="Franklin Gothic Book" w:cs="Arial"/>
                <w:sz w:val="18"/>
                <w:szCs w:val="18"/>
                <w:u w:val="single"/>
              </w:rPr>
            </w:pPr>
          </w:p>
        </w:tc>
        <w:tc>
          <w:tcPr>
            <w:tcW w:w="584" w:type="pct"/>
          </w:tcPr>
          <w:p w:rsidR="007F57ED" w:rsidRPr="00395B50" w:rsidRDefault="007F57ED" w:rsidP="007F57ED">
            <w:pPr>
              <w:keepLines/>
              <w:spacing w:before="40" w:after="40" w:line="200" w:lineRule="atLeast"/>
              <w:rPr>
                <w:rFonts w:ascii="Franklin Gothic Book" w:eastAsia="Times New Roman" w:hAnsi="Franklin Gothic Book"/>
                <w:b/>
                <w:iCs/>
                <w:sz w:val="17"/>
                <w:szCs w:val="17"/>
                <w:lang w:eastAsia="en-US"/>
              </w:rPr>
            </w:pPr>
            <w:r w:rsidRPr="00395B50">
              <w:rPr>
                <w:rFonts w:ascii="Franklin Gothic Book" w:eastAsia="Times New Roman" w:hAnsi="Franklin Gothic Book"/>
                <w:b/>
                <w:iCs/>
                <w:sz w:val="17"/>
                <w:szCs w:val="17"/>
                <w:lang w:eastAsia="en-US"/>
              </w:rPr>
              <w:t>1</w:t>
            </w:r>
            <w:r w:rsidR="00A16862">
              <w:rPr>
                <w:rFonts w:ascii="Franklin Gothic Book" w:eastAsia="Times New Roman" w:hAnsi="Franklin Gothic Book"/>
                <w:b/>
                <w:iCs/>
                <w:sz w:val="17"/>
                <w:szCs w:val="17"/>
                <w:lang w:eastAsia="en-US"/>
              </w:rPr>
              <w:t>A</w:t>
            </w:r>
            <w:r w:rsidRPr="00395B50">
              <w:rPr>
                <w:rFonts w:ascii="Franklin Gothic Book" w:eastAsia="Times New Roman" w:hAnsi="Franklin Gothic Book"/>
                <w:b/>
                <w:iCs/>
                <w:sz w:val="17"/>
                <w:szCs w:val="17"/>
                <w:lang w:eastAsia="en-US"/>
              </w:rPr>
              <w:t>. Increased value of agricultural production and smallholder income in targeted provinces</w:t>
            </w:r>
          </w:p>
          <w:p w:rsidR="007F57ED" w:rsidRPr="00395B50" w:rsidRDefault="007F57ED" w:rsidP="007F57ED">
            <w:pPr>
              <w:spacing w:before="60" w:after="60"/>
              <w:rPr>
                <w:rFonts w:ascii="Franklin Gothic Book" w:hAnsi="Franklin Gothic Book" w:cs="Arial"/>
                <w:b/>
                <w:sz w:val="18"/>
                <w:szCs w:val="18"/>
              </w:rPr>
            </w:pPr>
          </w:p>
        </w:tc>
        <w:tc>
          <w:tcPr>
            <w:tcW w:w="852" w:type="pct"/>
          </w:tcPr>
          <w:p w:rsidR="007F57ED" w:rsidRPr="00395B50" w:rsidRDefault="007F57ED" w:rsidP="007F57ED">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120 000 poor men and women farmers reporting rice and vegetable yields increased by seven per cent.</w:t>
            </w:r>
          </w:p>
          <w:p w:rsidR="007F57ED" w:rsidRPr="00395B50" w:rsidRDefault="007F57ED" w:rsidP="007F57ED">
            <w:pPr>
              <w:keepLines/>
              <w:spacing w:before="40" w:after="40" w:line="200" w:lineRule="atLeast"/>
              <w:ind w:left="105"/>
              <w:rPr>
                <w:rFonts w:ascii="Franklin Gothic Book" w:eastAsia="Times New Roman" w:hAnsi="Franklin Gothic Book"/>
                <w:iCs/>
                <w:sz w:val="17"/>
                <w:szCs w:val="17"/>
                <w:lang w:eastAsia="en-US"/>
              </w:rPr>
            </w:pPr>
          </w:p>
          <w:p w:rsidR="007F57ED" w:rsidRPr="00395B50" w:rsidRDefault="007F57ED" w:rsidP="007F57ED">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30 000 ha of land under improved water management and irrigation.</w:t>
            </w:r>
          </w:p>
          <w:p w:rsidR="007F57ED" w:rsidRPr="00395B50" w:rsidRDefault="007F57ED" w:rsidP="007F57ED">
            <w:pPr>
              <w:spacing w:after="120"/>
              <w:rPr>
                <w:rFonts w:ascii="Franklin Gothic Book" w:eastAsia="Times New Roman" w:hAnsi="Franklin Gothic Book"/>
                <w:sz w:val="22"/>
              </w:rPr>
            </w:pPr>
          </w:p>
          <w:p w:rsidR="007F57ED" w:rsidRPr="00395B50" w:rsidRDefault="007F57ED" w:rsidP="007F57ED">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Cambodian Government and development partners implementing the government’s strategy for agriculture and water in a harmonised and aligned manner</w:t>
            </w:r>
          </w:p>
        </w:tc>
        <w:tc>
          <w:tcPr>
            <w:tcW w:w="1316" w:type="pct"/>
          </w:tcPr>
          <w:p w:rsidR="007F57ED" w:rsidRPr="00395B50" w:rsidRDefault="007F57ED" w:rsidP="007F57ED">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 xml:space="preserve">Rehabilitation or construction of six additional irrigation infrastructure schemes, allowing irrigation for up to an additional 3,950 ha of land, allowing 3,950 farmer households to plant additional crops each year  </w:t>
            </w:r>
          </w:p>
          <w:p w:rsidR="007F57ED" w:rsidRPr="00395B50" w:rsidRDefault="007F57ED" w:rsidP="007F57ED">
            <w:pPr>
              <w:keepLines/>
              <w:spacing w:before="40" w:after="40" w:line="200" w:lineRule="atLeast"/>
              <w:ind w:left="105"/>
              <w:rPr>
                <w:rFonts w:ascii="Franklin Gothic Book" w:eastAsia="Times New Roman" w:hAnsi="Franklin Gothic Book"/>
                <w:iCs/>
                <w:sz w:val="17"/>
                <w:szCs w:val="17"/>
                <w:lang w:eastAsia="en-US"/>
              </w:rPr>
            </w:pPr>
          </w:p>
          <w:p w:rsidR="007F57ED" w:rsidRPr="00395B50" w:rsidRDefault="007F57ED" w:rsidP="007F57ED">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Major irrigation infrastructure works completed on all 21 schemes constructed through CAVAC</w:t>
            </w:r>
          </w:p>
          <w:p w:rsidR="007F57ED" w:rsidRPr="00395B50" w:rsidRDefault="007F57ED" w:rsidP="007F57ED">
            <w:pPr>
              <w:spacing w:after="120"/>
              <w:rPr>
                <w:rFonts w:ascii="Franklin Gothic Book" w:eastAsia="Times New Roman" w:hAnsi="Franklin Gothic Book"/>
                <w:sz w:val="22"/>
              </w:rPr>
            </w:pPr>
          </w:p>
          <w:p w:rsidR="007F57ED" w:rsidRPr="00395B50" w:rsidRDefault="007F57ED" w:rsidP="007F57ED">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The majority of CAVAC irrigation schemes have been handed over to local stakeholders</w:t>
            </w:r>
          </w:p>
          <w:p w:rsidR="007F57ED" w:rsidRPr="00395B50" w:rsidRDefault="007F57ED" w:rsidP="007F57ED">
            <w:pPr>
              <w:spacing w:after="120"/>
              <w:rPr>
                <w:rFonts w:ascii="Franklin Gothic Book" w:eastAsia="Times New Roman" w:hAnsi="Franklin Gothic Book"/>
                <w:sz w:val="22"/>
              </w:rPr>
            </w:pPr>
          </w:p>
          <w:p w:rsidR="007F57ED" w:rsidRPr="00395B50" w:rsidRDefault="007F57ED" w:rsidP="007F57ED">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22,600 ha of land able to be irrigated as a result of construction by CAVAC</w:t>
            </w:r>
          </w:p>
          <w:p w:rsidR="007F57ED" w:rsidRPr="00395B50" w:rsidRDefault="007F57ED" w:rsidP="007F57ED">
            <w:pPr>
              <w:spacing w:after="120"/>
              <w:rPr>
                <w:rFonts w:ascii="Franklin Gothic Book" w:eastAsia="Times New Roman" w:hAnsi="Franklin Gothic Book"/>
                <w:sz w:val="22"/>
              </w:rPr>
            </w:pPr>
          </w:p>
          <w:p w:rsidR="007F57ED" w:rsidRPr="00395B50" w:rsidRDefault="007F57ED" w:rsidP="00880225">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Outcome-level impacts (outreach, yield, production volume and income) of CAVAC projected for end of 2015 and end of 2017.</w:t>
            </w:r>
          </w:p>
          <w:p w:rsidR="007F57ED" w:rsidRPr="00395B50" w:rsidRDefault="007F57ED" w:rsidP="007F57ED">
            <w:pPr>
              <w:keepLines/>
              <w:spacing w:before="40" w:after="40" w:line="200" w:lineRule="atLeast"/>
              <w:rPr>
                <w:rFonts w:ascii="Franklin Gothic Book" w:eastAsia="Times New Roman" w:hAnsi="Franklin Gothic Book"/>
                <w:iCs/>
                <w:sz w:val="17"/>
                <w:szCs w:val="17"/>
                <w:lang w:eastAsia="en-US"/>
              </w:rPr>
            </w:pPr>
          </w:p>
        </w:tc>
        <w:tc>
          <w:tcPr>
            <w:tcW w:w="1130" w:type="pct"/>
          </w:tcPr>
          <w:p w:rsidR="007F57ED" w:rsidRPr="00395B50" w:rsidRDefault="007F57ED" w:rsidP="007F57ED">
            <w:pPr>
              <w:keepLines/>
              <w:numPr>
                <w:ilvl w:val="0"/>
                <w:numId w:val="7"/>
              </w:numPr>
              <w:tabs>
                <w:tab w:val="num" w:pos="227"/>
              </w:tabs>
              <w:spacing w:before="40" w:after="40" w:line="200" w:lineRule="atLeast"/>
              <w:ind w:left="227" w:hanging="227"/>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Implementation of the Cambodia Agricultural Value Chain Program–Australia’s flagship agricultural development program–in Kampong Thom, Takeo and Kampot.</w:t>
            </w:r>
          </w:p>
          <w:p w:rsidR="007F57ED" w:rsidRPr="00395B50" w:rsidRDefault="007F57ED" w:rsidP="007F57ED">
            <w:pPr>
              <w:keepLines/>
              <w:spacing w:before="40" w:after="40" w:line="200" w:lineRule="atLeast"/>
              <w:rPr>
                <w:rFonts w:ascii="Franklin Gothic Book" w:eastAsia="Times New Roman" w:hAnsi="Franklin Gothic Book"/>
                <w:iCs/>
                <w:sz w:val="17"/>
                <w:szCs w:val="17"/>
                <w:lang w:eastAsia="en-US"/>
              </w:rPr>
            </w:pPr>
          </w:p>
          <w:p w:rsidR="007F57ED" w:rsidRPr="00395B50" w:rsidRDefault="007F57ED" w:rsidP="00E52E2A">
            <w:pPr>
              <w:keepLines/>
              <w:numPr>
                <w:ilvl w:val="0"/>
                <w:numId w:val="7"/>
              </w:numPr>
              <w:tabs>
                <w:tab w:val="num" w:pos="227"/>
              </w:tabs>
              <w:spacing w:before="40" w:after="40" w:line="200" w:lineRule="atLeast"/>
              <w:ind w:left="227" w:hanging="227"/>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Analytical support to implement policy and institutional reforms and design and evaluate pilot activities addressing priority constraints in smallholder agriculture through the World Bank.</w:t>
            </w:r>
          </w:p>
        </w:tc>
      </w:tr>
      <w:tr w:rsidR="007F57ED" w:rsidRPr="00395B50" w:rsidTr="00A16862">
        <w:trPr>
          <w:cnfStyle w:val="000000010000" w:firstRow="0" w:lastRow="0" w:firstColumn="0" w:lastColumn="0" w:oddVBand="0" w:evenVBand="0" w:oddHBand="0" w:evenHBand="1" w:firstRowFirstColumn="0" w:firstRowLastColumn="0" w:lastRowFirstColumn="0" w:lastRowLastColumn="0"/>
          <w:tblHeader w:val="0"/>
        </w:trPr>
        <w:tc>
          <w:tcPr>
            <w:tcW w:w="560" w:type="pct"/>
          </w:tcPr>
          <w:p w:rsidR="007F57ED" w:rsidRPr="00395B50" w:rsidRDefault="007F57ED" w:rsidP="007F57ED">
            <w:pPr>
              <w:keepLines/>
              <w:spacing w:before="40" w:after="40" w:line="200" w:lineRule="atLeast"/>
              <w:rPr>
                <w:rFonts w:ascii="Franklin Gothic Book" w:eastAsia="Times New Roman" w:hAnsi="Franklin Gothic Book"/>
                <w:iCs/>
                <w:sz w:val="17"/>
                <w:szCs w:val="17"/>
                <w:lang w:eastAsia="en-US"/>
              </w:rPr>
            </w:pPr>
          </w:p>
          <w:p w:rsidR="007F57ED" w:rsidRPr="00395B50" w:rsidRDefault="007F57ED" w:rsidP="007F57ED">
            <w:pPr>
              <w:keepLines/>
              <w:spacing w:before="40" w:after="40" w:line="200" w:lineRule="atLeast"/>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Poor and vulnerable Cambodians will be increasingly protected against chronic poverty and hunger, shocks, destitution and social exclusion, and benefit from investments in their human capital</w:t>
            </w:r>
          </w:p>
        </w:tc>
        <w:tc>
          <w:tcPr>
            <w:tcW w:w="584" w:type="pct"/>
          </w:tcPr>
          <w:p w:rsidR="007F57ED" w:rsidRPr="00395B50" w:rsidRDefault="007F57ED" w:rsidP="007F57ED">
            <w:pPr>
              <w:keepLines/>
              <w:spacing w:before="40" w:after="40" w:line="200" w:lineRule="atLeast"/>
              <w:rPr>
                <w:rFonts w:ascii="Franklin Gothic Book" w:eastAsia="Times New Roman" w:hAnsi="Franklin Gothic Book"/>
                <w:b/>
                <w:iCs/>
                <w:sz w:val="17"/>
                <w:szCs w:val="17"/>
                <w:lang w:eastAsia="en-US"/>
              </w:rPr>
            </w:pPr>
          </w:p>
          <w:p w:rsidR="007F57ED" w:rsidRPr="00395B50" w:rsidRDefault="007F57ED" w:rsidP="007F57ED">
            <w:pPr>
              <w:keepLines/>
              <w:spacing w:before="40" w:after="40" w:line="200" w:lineRule="atLeast"/>
              <w:rPr>
                <w:rFonts w:ascii="Franklin Gothic Book" w:eastAsia="Times New Roman" w:hAnsi="Franklin Gothic Book"/>
                <w:b/>
                <w:iCs/>
                <w:sz w:val="17"/>
                <w:szCs w:val="17"/>
                <w:lang w:eastAsia="en-US"/>
              </w:rPr>
            </w:pPr>
            <w:r w:rsidRPr="00395B50">
              <w:rPr>
                <w:rFonts w:ascii="Franklin Gothic Book" w:eastAsia="Times New Roman" w:hAnsi="Franklin Gothic Book"/>
                <w:b/>
                <w:iCs/>
                <w:sz w:val="17"/>
                <w:szCs w:val="17"/>
                <w:lang w:eastAsia="en-US"/>
              </w:rPr>
              <w:t>1</w:t>
            </w:r>
            <w:r w:rsidR="00A16862">
              <w:rPr>
                <w:rFonts w:ascii="Franklin Gothic Book" w:eastAsia="Times New Roman" w:hAnsi="Franklin Gothic Book"/>
                <w:b/>
                <w:iCs/>
                <w:sz w:val="17"/>
                <w:szCs w:val="17"/>
                <w:lang w:eastAsia="en-US"/>
              </w:rPr>
              <w:t>B</w:t>
            </w:r>
            <w:r w:rsidRPr="00395B50">
              <w:rPr>
                <w:rFonts w:ascii="Franklin Gothic Book" w:eastAsia="Times New Roman" w:hAnsi="Franklin Gothic Book"/>
                <w:b/>
                <w:iCs/>
                <w:sz w:val="17"/>
                <w:szCs w:val="17"/>
                <w:lang w:eastAsia="en-US"/>
              </w:rPr>
              <w:t>. Increased food and livelihood security for the rural poor through social protection and landmine clearance</w:t>
            </w:r>
          </w:p>
        </w:tc>
        <w:tc>
          <w:tcPr>
            <w:tcW w:w="852" w:type="pct"/>
          </w:tcPr>
          <w:p w:rsidR="007F57ED" w:rsidRPr="00395B50" w:rsidRDefault="007F57ED" w:rsidP="007F57ED">
            <w:pPr>
              <w:keepLines/>
              <w:spacing w:before="40" w:after="40" w:line="200" w:lineRule="atLeast"/>
              <w:rPr>
                <w:rFonts w:ascii="Franklin Gothic Book" w:eastAsia="Times New Roman" w:hAnsi="Franklin Gothic Book"/>
                <w:iCs/>
                <w:sz w:val="17"/>
                <w:szCs w:val="17"/>
                <w:lang w:eastAsia="en-US"/>
              </w:rPr>
            </w:pPr>
          </w:p>
          <w:p w:rsidR="007F57ED" w:rsidRPr="00395B50" w:rsidRDefault="007F57ED" w:rsidP="007F57ED">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 xml:space="preserve">Social protection systems strengthened through improved targeting and safety net support for the poor. </w:t>
            </w:r>
          </w:p>
          <w:p w:rsidR="007F57ED" w:rsidRPr="00395B50" w:rsidRDefault="007F57ED" w:rsidP="007F57ED">
            <w:pPr>
              <w:keepLines/>
              <w:spacing w:before="40" w:after="40" w:line="200" w:lineRule="atLeast"/>
              <w:ind w:left="105"/>
              <w:rPr>
                <w:rFonts w:ascii="Franklin Gothic Book" w:eastAsia="Times New Roman" w:hAnsi="Franklin Gothic Book"/>
                <w:iCs/>
                <w:sz w:val="17"/>
                <w:szCs w:val="17"/>
                <w:lang w:eastAsia="en-US"/>
              </w:rPr>
            </w:pPr>
          </w:p>
          <w:p w:rsidR="007F57ED" w:rsidRPr="00395B50" w:rsidRDefault="007F57ED" w:rsidP="007F57ED">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 xml:space="preserve">Increased food security of vulnerable households through targeted food assistance and livelihood interventions. </w:t>
            </w:r>
          </w:p>
          <w:p w:rsidR="007F57ED" w:rsidRPr="00395B50" w:rsidRDefault="007F57ED" w:rsidP="007F57ED">
            <w:pPr>
              <w:spacing w:after="120"/>
              <w:rPr>
                <w:rFonts w:ascii="Franklin Gothic Book" w:eastAsia="Times New Roman" w:hAnsi="Franklin Gothic Book"/>
                <w:sz w:val="22"/>
              </w:rPr>
            </w:pPr>
          </w:p>
          <w:p w:rsidR="007F57ED" w:rsidRPr="00395B50" w:rsidRDefault="007F57ED" w:rsidP="007F57ED">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Substantial progress on clearance of land mines and unexploded ordnance in priority areas, releasing at least 35 square kilometres of land to poor communities for livelihood purposes.</w:t>
            </w:r>
          </w:p>
        </w:tc>
        <w:tc>
          <w:tcPr>
            <w:tcW w:w="1316" w:type="pct"/>
          </w:tcPr>
          <w:p w:rsidR="007F57ED" w:rsidRPr="00395B50" w:rsidRDefault="007F57ED" w:rsidP="007F57ED">
            <w:pPr>
              <w:keepLines/>
              <w:spacing w:before="40" w:after="40" w:line="200" w:lineRule="atLeast"/>
              <w:rPr>
                <w:rFonts w:ascii="Franklin Gothic Book" w:eastAsia="Times New Roman" w:hAnsi="Franklin Gothic Book" w:cs="Calibri"/>
                <w:iCs/>
                <w:sz w:val="17"/>
                <w:szCs w:val="17"/>
                <w:lang w:eastAsia="en-US"/>
              </w:rPr>
            </w:pPr>
          </w:p>
          <w:p w:rsidR="007F57ED" w:rsidRPr="00395B50" w:rsidRDefault="007F57ED" w:rsidP="007F57ED">
            <w:pPr>
              <w:keepLines/>
              <w:numPr>
                <w:ilvl w:val="0"/>
                <w:numId w:val="7"/>
              </w:numPr>
              <w:spacing w:before="40" w:after="40" w:line="200" w:lineRule="atLeast"/>
              <w:ind w:left="105" w:hanging="105"/>
              <w:rPr>
                <w:rFonts w:ascii="Franklin Gothic Book" w:eastAsia="Times New Roman" w:hAnsi="Franklin Gothic Book" w:cs="Calibri"/>
                <w:iCs/>
                <w:sz w:val="17"/>
                <w:szCs w:val="17"/>
                <w:lang w:eastAsia="en-US"/>
              </w:rPr>
            </w:pPr>
            <w:r w:rsidRPr="00395B50">
              <w:rPr>
                <w:rFonts w:ascii="Franklin Gothic Book" w:eastAsia="Times New Roman" w:hAnsi="Franklin Gothic Book"/>
                <w:iCs/>
                <w:sz w:val="17"/>
                <w:szCs w:val="17"/>
                <w:lang w:eastAsia="en-US"/>
              </w:rPr>
              <w:t>At least 25.7 square kilometres of land contaminated by landmines and other ERW released for productive use</w:t>
            </w:r>
          </w:p>
          <w:p w:rsidR="007F57ED" w:rsidRPr="00395B50" w:rsidRDefault="007F57ED" w:rsidP="007F57ED">
            <w:pPr>
              <w:keepLines/>
              <w:spacing w:before="40" w:after="40" w:line="200" w:lineRule="atLeast"/>
              <w:ind w:left="105"/>
              <w:rPr>
                <w:rFonts w:ascii="Franklin Gothic Book" w:eastAsia="Times New Roman" w:hAnsi="Franklin Gothic Book" w:cs="Calibri"/>
                <w:iCs/>
                <w:sz w:val="17"/>
                <w:szCs w:val="17"/>
                <w:lang w:eastAsia="en-US"/>
              </w:rPr>
            </w:pPr>
          </w:p>
          <w:p w:rsidR="007F57ED" w:rsidRPr="00395B50" w:rsidRDefault="007F57ED" w:rsidP="007F57ED">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Maternal and child nutrition cash transfer pilot begins operation</w:t>
            </w:r>
          </w:p>
        </w:tc>
        <w:tc>
          <w:tcPr>
            <w:tcW w:w="1130" w:type="pct"/>
          </w:tcPr>
          <w:p w:rsidR="007F57ED" w:rsidRPr="00395B50" w:rsidRDefault="007F57ED" w:rsidP="007F57ED">
            <w:pPr>
              <w:keepLines/>
              <w:spacing w:before="40" w:after="40" w:line="200" w:lineRule="atLeast"/>
              <w:rPr>
                <w:rFonts w:ascii="Franklin Gothic Book" w:eastAsia="Times New Roman" w:hAnsi="Franklin Gothic Book"/>
                <w:iCs/>
                <w:sz w:val="17"/>
                <w:szCs w:val="17"/>
                <w:lang w:eastAsia="en-US"/>
              </w:rPr>
            </w:pPr>
          </w:p>
          <w:p w:rsidR="007F57ED" w:rsidRPr="00395B50" w:rsidRDefault="007F57ED" w:rsidP="007F57ED">
            <w:pPr>
              <w:keepLines/>
              <w:numPr>
                <w:ilvl w:val="0"/>
                <w:numId w:val="7"/>
              </w:numPr>
              <w:spacing w:before="40" w:after="40" w:line="200" w:lineRule="atLeast"/>
              <w:ind w:left="157" w:hanging="157"/>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Clearing for Results (Phase II) program supporting mine/unexploded ordnance clearance and support to the Cambodian Mine Action and Victim Assistance Authority through the United Nations Development Programme.</w:t>
            </w:r>
          </w:p>
          <w:p w:rsidR="007F57ED" w:rsidRPr="00395B50" w:rsidRDefault="007F57ED" w:rsidP="007F57ED">
            <w:pPr>
              <w:keepLines/>
              <w:spacing w:before="40" w:after="40" w:line="200" w:lineRule="atLeast"/>
              <w:ind w:left="157"/>
              <w:rPr>
                <w:rFonts w:ascii="Franklin Gothic Book" w:eastAsia="Times New Roman" w:hAnsi="Franklin Gothic Book"/>
                <w:iCs/>
                <w:sz w:val="17"/>
                <w:szCs w:val="17"/>
                <w:lang w:eastAsia="en-US"/>
              </w:rPr>
            </w:pPr>
          </w:p>
          <w:p w:rsidR="007F57ED" w:rsidRPr="00395B50" w:rsidRDefault="007F57ED" w:rsidP="007F57ED">
            <w:pPr>
              <w:keepLines/>
              <w:numPr>
                <w:ilvl w:val="0"/>
                <w:numId w:val="7"/>
              </w:numPr>
              <w:spacing w:before="40" w:after="40" w:line="200" w:lineRule="atLeast"/>
              <w:ind w:left="157" w:hanging="157"/>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 xml:space="preserve">Analytical support provided to implement policy and institutional reforms, pilot activities designed and evaluated to address priority constraints in social </w:t>
            </w:r>
            <w:r w:rsidRPr="00395B50">
              <w:rPr>
                <w:rFonts w:ascii="Franklin Gothic Book" w:eastAsia="Times New Roman" w:hAnsi="Franklin Gothic Book"/>
                <w:iCs/>
                <w:sz w:val="17"/>
                <w:szCs w:val="17"/>
                <w:lang w:eastAsia="en-US"/>
              </w:rPr>
              <w:lastRenderedPageBreak/>
              <w:t>protection, through the World Bank.</w:t>
            </w:r>
          </w:p>
          <w:p w:rsidR="007F57ED" w:rsidRPr="00395B50" w:rsidRDefault="007F57ED" w:rsidP="007F57ED">
            <w:pPr>
              <w:spacing w:after="120"/>
              <w:rPr>
                <w:rFonts w:ascii="Franklin Gothic Book" w:eastAsia="Times New Roman" w:hAnsi="Franklin Gothic Book"/>
                <w:sz w:val="22"/>
              </w:rPr>
            </w:pPr>
          </w:p>
          <w:p w:rsidR="007F57ED" w:rsidRPr="00395B50" w:rsidRDefault="007F57ED" w:rsidP="007F57ED">
            <w:pPr>
              <w:keepLines/>
              <w:numPr>
                <w:ilvl w:val="0"/>
                <w:numId w:val="7"/>
              </w:numPr>
              <w:spacing w:before="40" w:after="40" w:line="200" w:lineRule="atLeast"/>
              <w:ind w:left="157" w:hanging="157"/>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Non-government organisation partnerships, which are improving the livelihood security of poor communities.</w:t>
            </w:r>
          </w:p>
          <w:p w:rsidR="007F57ED" w:rsidRPr="00395B50" w:rsidRDefault="007F57ED" w:rsidP="007F57ED">
            <w:pPr>
              <w:keepLines/>
              <w:spacing w:before="40" w:after="40" w:line="200" w:lineRule="atLeast"/>
              <w:ind w:left="227"/>
              <w:rPr>
                <w:rFonts w:ascii="Franklin Gothic Book" w:eastAsia="Times New Roman" w:hAnsi="Franklin Gothic Book"/>
                <w:iCs/>
                <w:sz w:val="17"/>
                <w:szCs w:val="17"/>
                <w:lang w:eastAsia="en-US"/>
              </w:rPr>
            </w:pPr>
          </w:p>
        </w:tc>
      </w:tr>
      <w:tr w:rsidR="007F57ED" w:rsidRPr="00395B50" w:rsidTr="00A16862">
        <w:trPr>
          <w:tblHeader w:val="0"/>
        </w:trPr>
        <w:tc>
          <w:tcPr>
            <w:tcW w:w="560" w:type="pct"/>
          </w:tcPr>
          <w:p w:rsidR="007F57ED" w:rsidRPr="00395B50" w:rsidRDefault="007F57ED" w:rsidP="007F57ED">
            <w:pPr>
              <w:keepLines/>
              <w:spacing w:before="40" w:after="40" w:line="200" w:lineRule="atLeast"/>
              <w:rPr>
                <w:rFonts w:ascii="Franklin Gothic Book" w:eastAsia="Times New Roman" w:hAnsi="Franklin Gothic Book"/>
                <w:iCs/>
                <w:sz w:val="17"/>
                <w:szCs w:val="17"/>
                <w:lang w:eastAsia="en-US"/>
              </w:rPr>
            </w:pPr>
          </w:p>
          <w:p w:rsidR="007F57ED" w:rsidRPr="00395B50" w:rsidRDefault="007F57ED" w:rsidP="007F57ED">
            <w:pPr>
              <w:keepLines/>
              <w:spacing w:before="40" w:after="40" w:line="200" w:lineRule="atLeast"/>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Increased access to quality health services for the poor, women and children, progressing towards the health MDGs.</w:t>
            </w:r>
          </w:p>
        </w:tc>
        <w:tc>
          <w:tcPr>
            <w:tcW w:w="584" w:type="pct"/>
          </w:tcPr>
          <w:p w:rsidR="007F57ED" w:rsidRPr="00395B50" w:rsidRDefault="007F57ED" w:rsidP="007F57ED">
            <w:pPr>
              <w:keepLines/>
              <w:spacing w:before="40" w:after="40" w:line="200" w:lineRule="atLeast"/>
              <w:rPr>
                <w:rFonts w:ascii="Franklin Gothic Book" w:eastAsia="Times New Roman" w:hAnsi="Franklin Gothic Book"/>
                <w:b/>
                <w:iCs/>
                <w:sz w:val="17"/>
                <w:szCs w:val="17"/>
                <w:lang w:eastAsia="en-US"/>
              </w:rPr>
            </w:pPr>
          </w:p>
          <w:p w:rsidR="007F57ED" w:rsidRPr="00395B50" w:rsidRDefault="007F57ED" w:rsidP="007F57ED">
            <w:pPr>
              <w:keepLines/>
              <w:spacing w:before="40" w:after="40" w:line="200" w:lineRule="atLeast"/>
              <w:rPr>
                <w:rFonts w:ascii="Franklin Gothic Book" w:eastAsia="Times New Roman" w:hAnsi="Franklin Gothic Book"/>
                <w:iCs/>
                <w:sz w:val="17"/>
                <w:szCs w:val="17"/>
                <w:lang w:eastAsia="en-US"/>
              </w:rPr>
            </w:pPr>
            <w:r w:rsidRPr="00395B50">
              <w:rPr>
                <w:rFonts w:ascii="Franklin Gothic Book" w:eastAsia="Times New Roman" w:hAnsi="Franklin Gothic Book"/>
                <w:b/>
                <w:iCs/>
                <w:sz w:val="17"/>
                <w:szCs w:val="17"/>
                <w:lang w:eastAsia="en-US"/>
              </w:rPr>
              <w:t>2. Increased access to quality health services</w:t>
            </w:r>
            <w:r w:rsidRPr="00395B50">
              <w:rPr>
                <w:rFonts w:ascii="Franklin Gothic Book" w:eastAsia="Times New Roman" w:hAnsi="Franklin Gothic Book"/>
                <w:iCs/>
                <w:sz w:val="17"/>
                <w:szCs w:val="17"/>
                <w:lang w:eastAsia="en-US"/>
              </w:rPr>
              <w:t xml:space="preserve"> </w:t>
            </w:r>
            <w:r w:rsidRPr="00395B50">
              <w:rPr>
                <w:rFonts w:ascii="Franklin Gothic Book" w:eastAsia="Times New Roman" w:hAnsi="Franklin Gothic Book"/>
                <w:b/>
                <w:iCs/>
                <w:sz w:val="17"/>
                <w:szCs w:val="17"/>
                <w:lang w:eastAsia="en-US"/>
              </w:rPr>
              <w:t>through improved health management</w:t>
            </w:r>
            <w:r w:rsidRPr="00395B50">
              <w:rPr>
                <w:rFonts w:ascii="Franklin Gothic Book" w:eastAsia="Times New Roman" w:hAnsi="Franklin Gothic Book"/>
                <w:iCs/>
                <w:sz w:val="17"/>
                <w:szCs w:val="17"/>
                <w:lang w:eastAsia="en-US"/>
              </w:rPr>
              <w:t xml:space="preserve"> </w:t>
            </w:r>
          </w:p>
        </w:tc>
        <w:tc>
          <w:tcPr>
            <w:tcW w:w="852" w:type="pct"/>
          </w:tcPr>
          <w:p w:rsidR="007F57ED" w:rsidRPr="00395B50" w:rsidRDefault="007F57ED" w:rsidP="007F57ED">
            <w:pPr>
              <w:keepLines/>
              <w:spacing w:before="40" w:after="40" w:line="200" w:lineRule="atLeast"/>
              <w:rPr>
                <w:rFonts w:ascii="Franklin Gothic Book" w:eastAsia="Times New Roman" w:hAnsi="Franklin Gothic Book"/>
                <w:iCs/>
                <w:sz w:val="17"/>
                <w:szCs w:val="17"/>
                <w:lang w:eastAsia="en-US"/>
              </w:rPr>
            </w:pPr>
          </w:p>
          <w:p w:rsidR="007F57ED" w:rsidRPr="00395B50" w:rsidRDefault="007F57ED" w:rsidP="007F57ED">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Number of births attended by trained health staff.</w:t>
            </w:r>
          </w:p>
          <w:p w:rsidR="007F57ED" w:rsidRPr="00395B50" w:rsidRDefault="007F57ED" w:rsidP="007F57ED">
            <w:pPr>
              <w:keepLines/>
              <w:spacing w:before="40" w:after="40" w:line="200" w:lineRule="atLeast"/>
              <w:ind w:left="105"/>
              <w:rPr>
                <w:rFonts w:ascii="Franklin Gothic Book" w:eastAsia="Times New Roman" w:hAnsi="Franklin Gothic Book"/>
                <w:iCs/>
                <w:sz w:val="17"/>
                <w:szCs w:val="17"/>
                <w:lang w:eastAsia="en-US"/>
              </w:rPr>
            </w:pPr>
          </w:p>
          <w:p w:rsidR="007F57ED" w:rsidRPr="00395B50" w:rsidRDefault="007F57ED" w:rsidP="007F57ED">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Coverage of Health Equity Funds and Community Based Health Insurance.</w:t>
            </w:r>
          </w:p>
          <w:p w:rsidR="007F57ED" w:rsidRPr="00395B50" w:rsidRDefault="007F57ED" w:rsidP="007F57ED">
            <w:pPr>
              <w:keepLines/>
              <w:spacing w:before="40" w:after="40" w:line="200" w:lineRule="atLeast"/>
              <w:ind w:left="105"/>
              <w:rPr>
                <w:rFonts w:ascii="Franklin Gothic Book" w:eastAsia="Times New Roman" w:hAnsi="Franklin Gothic Book"/>
                <w:iCs/>
                <w:sz w:val="17"/>
                <w:szCs w:val="17"/>
                <w:lang w:eastAsia="en-US"/>
              </w:rPr>
            </w:pPr>
          </w:p>
          <w:p w:rsidR="007F57ED" w:rsidRPr="00395B50" w:rsidRDefault="007F57ED" w:rsidP="007F57ED">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Number of sites offering harm reduction services.</w:t>
            </w:r>
          </w:p>
        </w:tc>
        <w:tc>
          <w:tcPr>
            <w:tcW w:w="1316" w:type="pct"/>
          </w:tcPr>
          <w:p w:rsidR="007F57ED" w:rsidRPr="00395B50" w:rsidRDefault="007F57ED" w:rsidP="007F57ED">
            <w:pPr>
              <w:keepLines/>
              <w:spacing w:before="40" w:after="40" w:line="200" w:lineRule="atLeast"/>
              <w:rPr>
                <w:rFonts w:ascii="Franklin Gothic Book" w:eastAsia="Times New Roman" w:hAnsi="Franklin Gothic Book"/>
                <w:iCs/>
                <w:sz w:val="17"/>
                <w:szCs w:val="17"/>
                <w:lang w:eastAsia="en-US"/>
              </w:rPr>
            </w:pPr>
          </w:p>
          <w:p w:rsidR="007F57ED" w:rsidRPr="00395B50" w:rsidRDefault="007F57ED" w:rsidP="007F57ED">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 xml:space="preserve">84% births attended by trained health staff (Australian contribution: </w:t>
            </w:r>
            <w:r w:rsidRPr="00395B50">
              <w:rPr>
                <w:rFonts w:ascii="Franklin Gothic Book" w:eastAsia="Times New Roman" w:hAnsi="Franklin Gothic Book"/>
                <w:i/>
                <w:iCs/>
                <w:sz w:val="17"/>
                <w:szCs w:val="17"/>
                <w:lang w:eastAsia="en-US"/>
              </w:rPr>
              <w:t xml:space="preserve">287,662 x 12/328.048 = </w:t>
            </w:r>
            <w:r w:rsidRPr="00395B50">
              <w:rPr>
                <w:rFonts w:ascii="Franklin Gothic Book" w:eastAsia="Times New Roman" w:hAnsi="Franklin Gothic Book"/>
                <w:bCs/>
                <w:i/>
                <w:iCs/>
                <w:sz w:val="17"/>
                <w:szCs w:val="17"/>
                <w:lang w:eastAsia="en-US"/>
              </w:rPr>
              <w:t>11,118 births</w:t>
            </w:r>
            <w:r w:rsidRPr="00395B50">
              <w:rPr>
                <w:rFonts w:ascii="Franklin Gothic Book" w:eastAsia="Times New Roman" w:hAnsi="Franklin Gothic Book"/>
                <w:iCs/>
                <w:sz w:val="17"/>
                <w:szCs w:val="17"/>
                <w:lang w:eastAsia="en-US"/>
              </w:rPr>
              <w:t>).</w:t>
            </w:r>
          </w:p>
          <w:p w:rsidR="007F57ED" w:rsidRPr="00395B50" w:rsidRDefault="007F57ED" w:rsidP="007F57ED">
            <w:pPr>
              <w:keepLines/>
              <w:spacing w:before="40" w:after="40" w:line="200" w:lineRule="atLeast"/>
              <w:ind w:left="105"/>
              <w:rPr>
                <w:rFonts w:ascii="Franklin Gothic Book" w:eastAsia="Times New Roman" w:hAnsi="Franklin Gothic Book"/>
                <w:iCs/>
                <w:sz w:val="17"/>
                <w:szCs w:val="17"/>
                <w:lang w:eastAsia="en-US"/>
              </w:rPr>
            </w:pPr>
          </w:p>
          <w:p w:rsidR="007F57ED" w:rsidRPr="00395B50" w:rsidRDefault="007F57ED" w:rsidP="007F57ED">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93% of poor people now able to access health care through the health equity funds.</w:t>
            </w:r>
          </w:p>
          <w:p w:rsidR="007F57ED" w:rsidRPr="00395B50" w:rsidRDefault="007F57ED" w:rsidP="007F57ED">
            <w:pPr>
              <w:spacing w:after="120"/>
              <w:rPr>
                <w:rFonts w:ascii="Franklin Gothic Book" w:eastAsia="Times New Roman" w:hAnsi="Franklin Gothic Book"/>
                <w:sz w:val="22"/>
              </w:rPr>
            </w:pPr>
          </w:p>
          <w:p w:rsidR="007F57ED" w:rsidRPr="00395B50" w:rsidRDefault="007F57ED" w:rsidP="007F57ED">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Five sites (four needle and syringe program and one methadone maintenance therapy) providing harm reduction services for people who inject drugs.</w:t>
            </w:r>
          </w:p>
        </w:tc>
        <w:tc>
          <w:tcPr>
            <w:tcW w:w="1130" w:type="pct"/>
          </w:tcPr>
          <w:p w:rsidR="007F57ED" w:rsidRPr="00395B50" w:rsidRDefault="007F57ED" w:rsidP="00463E16">
            <w:pPr>
              <w:keepLines/>
              <w:spacing w:before="40" w:after="40" w:line="200" w:lineRule="atLeast"/>
              <w:ind w:left="105"/>
              <w:rPr>
                <w:rFonts w:ascii="Franklin Gothic Book" w:eastAsia="Times New Roman" w:hAnsi="Franklin Gothic Book"/>
                <w:iCs/>
                <w:sz w:val="17"/>
                <w:szCs w:val="17"/>
                <w:lang w:eastAsia="en-US"/>
              </w:rPr>
            </w:pPr>
          </w:p>
          <w:p w:rsidR="007F57ED" w:rsidRPr="00395B50" w:rsidRDefault="007F57ED" w:rsidP="00463E16">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Harmonise with other donor partners in the Second Health Sector Support Program through the Joint Partnership Interface Group.</w:t>
            </w:r>
          </w:p>
          <w:p w:rsidR="007F57ED" w:rsidRPr="00395B50" w:rsidRDefault="007F57ED" w:rsidP="00463E16">
            <w:pPr>
              <w:keepLines/>
              <w:spacing w:before="40" w:after="40" w:line="200" w:lineRule="atLeast"/>
              <w:ind w:left="105"/>
              <w:rPr>
                <w:rFonts w:ascii="Franklin Gothic Book" w:eastAsia="Times New Roman" w:hAnsi="Franklin Gothic Book"/>
                <w:iCs/>
                <w:sz w:val="17"/>
                <w:szCs w:val="17"/>
                <w:lang w:eastAsia="en-US"/>
              </w:rPr>
            </w:pPr>
          </w:p>
          <w:p w:rsidR="007F57ED" w:rsidRPr="00395B50" w:rsidRDefault="007F57ED" w:rsidP="00463E16">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Align with Cambodian Government’s National Strategic Plan for Health 2008–2015 and National Strategic Plan for Illicit Drug Related HIV 2008–2010, and support linkages to the national Public Financial Management and Administrative Reform program.</w:t>
            </w:r>
          </w:p>
          <w:p w:rsidR="007F57ED" w:rsidRPr="00463E16" w:rsidRDefault="007F57ED" w:rsidP="00463E16">
            <w:pPr>
              <w:spacing w:after="120"/>
              <w:ind w:left="105"/>
              <w:rPr>
                <w:rFonts w:ascii="Franklin Gothic Book" w:eastAsia="Times New Roman" w:hAnsi="Franklin Gothic Book"/>
                <w:iCs/>
                <w:sz w:val="17"/>
                <w:szCs w:val="17"/>
                <w:lang w:eastAsia="en-US"/>
              </w:rPr>
            </w:pPr>
          </w:p>
          <w:p w:rsidR="00A16862" w:rsidRDefault="007F57ED" w:rsidP="00463E16">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Support complementary activities with multilateral and bilateral agencies, non-government organisations and universities that provide evidence or pilot new methods for inclusion in Second Health Sector Support Program and harm reduction activities.</w:t>
            </w:r>
          </w:p>
          <w:p w:rsidR="00A16862" w:rsidRPr="00395B50" w:rsidRDefault="00A16862" w:rsidP="00463E16">
            <w:pPr>
              <w:keepLines/>
              <w:spacing w:before="40" w:after="40" w:line="200" w:lineRule="atLeast"/>
              <w:ind w:left="105"/>
              <w:rPr>
                <w:rFonts w:ascii="Franklin Gothic Book" w:eastAsia="Times New Roman" w:hAnsi="Franklin Gothic Book"/>
                <w:iCs/>
                <w:sz w:val="17"/>
                <w:szCs w:val="17"/>
                <w:lang w:eastAsia="en-US"/>
              </w:rPr>
            </w:pPr>
          </w:p>
          <w:p w:rsidR="007F57ED" w:rsidRPr="00463E16" w:rsidRDefault="007F57ED" w:rsidP="00463E16">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Policy, advocacy and technical engagement in the joint Cambodian Government–donor Health Technical Working Group.</w:t>
            </w:r>
          </w:p>
        </w:tc>
      </w:tr>
      <w:tr w:rsidR="00A16862" w:rsidRPr="00395B50" w:rsidTr="00A16862">
        <w:trPr>
          <w:cnfStyle w:val="000000010000" w:firstRow="0" w:lastRow="0" w:firstColumn="0" w:lastColumn="0" w:oddVBand="0" w:evenVBand="0" w:oddHBand="0" w:evenHBand="1" w:firstRowFirstColumn="0" w:firstRowLastColumn="0" w:lastRowFirstColumn="0" w:lastRowLastColumn="0"/>
          <w:tblHeader w:val="0"/>
        </w:trPr>
        <w:tc>
          <w:tcPr>
            <w:tcW w:w="560" w:type="pct"/>
          </w:tcPr>
          <w:p w:rsidR="00A16862" w:rsidRPr="00395B50" w:rsidRDefault="00A16862" w:rsidP="007F57ED">
            <w:pPr>
              <w:keepLines/>
              <w:spacing w:before="40" w:after="40" w:line="200" w:lineRule="atLeast"/>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 xml:space="preserve">Increase economic </w:t>
            </w:r>
            <w:r w:rsidRPr="00395B50">
              <w:rPr>
                <w:rFonts w:ascii="Franklin Gothic Book" w:eastAsia="Times New Roman" w:hAnsi="Franklin Gothic Book"/>
                <w:iCs/>
                <w:sz w:val="17"/>
                <w:szCs w:val="17"/>
                <w:lang w:eastAsia="en-US"/>
              </w:rPr>
              <w:lastRenderedPageBreak/>
              <w:t>activity in targeted areas</w:t>
            </w:r>
          </w:p>
        </w:tc>
        <w:tc>
          <w:tcPr>
            <w:tcW w:w="584" w:type="pct"/>
          </w:tcPr>
          <w:p w:rsidR="00A16862" w:rsidRPr="00395B50" w:rsidRDefault="00A16862" w:rsidP="007F57ED">
            <w:pPr>
              <w:keepLines/>
              <w:spacing w:before="40" w:after="40" w:line="200" w:lineRule="atLeast"/>
              <w:rPr>
                <w:rFonts w:ascii="Franklin Gothic Book" w:eastAsia="Times New Roman" w:hAnsi="Franklin Gothic Book"/>
                <w:b/>
                <w:iCs/>
                <w:sz w:val="17"/>
                <w:szCs w:val="17"/>
                <w:lang w:eastAsia="en-US"/>
              </w:rPr>
            </w:pPr>
            <w:r w:rsidRPr="00395B50">
              <w:rPr>
                <w:rFonts w:ascii="Franklin Gothic Book" w:eastAsia="Times New Roman" w:hAnsi="Franklin Gothic Book"/>
                <w:b/>
                <w:iCs/>
                <w:sz w:val="17"/>
                <w:szCs w:val="17"/>
                <w:lang w:eastAsia="en-US"/>
              </w:rPr>
              <w:lastRenderedPageBreak/>
              <w:t xml:space="preserve">3. Improved </w:t>
            </w:r>
            <w:r w:rsidRPr="00395B50">
              <w:rPr>
                <w:rFonts w:ascii="Franklin Gothic Book" w:eastAsia="Times New Roman" w:hAnsi="Franklin Gothic Book"/>
                <w:b/>
                <w:iCs/>
                <w:sz w:val="17"/>
                <w:szCs w:val="17"/>
                <w:lang w:eastAsia="en-US"/>
              </w:rPr>
              <w:lastRenderedPageBreak/>
              <w:t>transport and energy infrastructure</w:t>
            </w:r>
          </w:p>
        </w:tc>
        <w:tc>
          <w:tcPr>
            <w:tcW w:w="852" w:type="pct"/>
          </w:tcPr>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lastRenderedPageBreak/>
              <w:t xml:space="preserve">Higher traffic volume on </w:t>
            </w:r>
            <w:r w:rsidRPr="00395B50">
              <w:rPr>
                <w:rFonts w:ascii="Franklin Gothic Book" w:eastAsia="Times New Roman" w:hAnsi="Franklin Gothic Book"/>
                <w:iCs/>
                <w:sz w:val="17"/>
                <w:szCs w:val="17"/>
                <w:lang w:eastAsia="en-US"/>
              </w:rPr>
              <w:lastRenderedPageBreak/>
              <w:t>improved rural roads.</w:t>
            </w:r>
          </w:p>
          <w:p w:rsidR="00A16862" w:rsidRPr="00395B50" w:rsidRDefault="00A16862" w:rsidP="00394E09">
            <w:pPr>
              <w:keepLines/>
              <w:spacing w:before="40" w:after="40" w:line="200" w:lineRule="atLeast"/>
              <w:ind w:left="105"/>
              <w:rPr>
                <w:rFonts w:ascii="Franklin Gothic Book" w:eastAsia="Times New Roman" w:hAnsi="Franklin Gothic Book"/>
                <w:iCs/>
                <w:sz w:val="17"/>
                <w:szCs w:val="17"/>
                <w:lang w:eastAsia="en-US"/>
              </w:rPr>
            </w:pPr>
          </w:p>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Lower passenger and freight vehicle operating costs and travel times on improved rural roads.</w:t>
            </w:r>
          </w:p>
          <w:p w:rsidR="00A16862" w:rsidRPr="00395B50" w:rsidRDefault="00A16862" w:rsidP="00394E09">
            <w:pPr>
              <w:spacing w:after="120"/>
              <w:rPr>
                <w:rFonts w:ascii="Franklin Gothic Book" w:eastAsia="Times New Roman" w:hAnsi="Franklin Gothic Book"/>
                <w:sz w:val="22"/>
              </w:rPr>
            </w:pPr>
          </w:p>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More rural households benefiting from electricity provision.</w:t>
            </w:r>
          </w:p>
          <w:p w:rsidR="00A16862" w:rsidRPr="00395B50" w:rsidRDefault="00A16862" w:rsidP="00394E09">
            <w:pPr>
              <w:spacing w:after="120"/>
              <w:rPr>
                <w:rFonts w:ascii="Franklin Gothic Book" w:eastAsia="Times New Roman" w:hAnsi="Franklin Gothic Book"/>
                <w:sz w:val="22"/>
              </w:rPr>
            </w:pPr>
          </w:p>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Improved arrangements for infrastructure operations and maintenance.</w:t>
            </w:r>
          </w:p>
          <w:p w:rsidR="00A16862" w:rsidRPr="00395B50" w:rsidRDefault="00A16862" w:rsidP="00394E09">
            <w:pPr>
              <w:spacing w:after="120"/>
              <w:rPr>
                <w:rFonts w:ascii="Franklin Gothic Book" w:eastAsia="Times New Roman" w:hAnsi="Franklin Gothic Book"/>
                <w:sz w:val="22"/>
              </w:rPr>
            </w:pPr>
          </w:p>
          <w:p w:rsidR="00A16862" w:rsidRPr="00395B50" w:rsidRDefault="00A16862" w:rsidP="007F57ED">
            <w:pPr>
              <w:keepLines/>
              <w:spacing w:before="40" w:after="40" w:line="200" w:lineRule="atLeast"/>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National railway for freight is operational and competitive with national road transports.</w:t>
            </w:r>
          </w:p>
        </w:tc>
        <w:tc>
          <w:tcPr>
            <w:tcW w:w="1316" w:type="pct"/>
          </w:tcPr>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lastRenderedPageBreak/>
              <w:t xml:space="preserve">Southern Coastal Corridor Project complete, with </w:t>
            </w:r>
            <w:r w:rsidRPr="00395B50">
              <w:rPr>
                <w:rFonts w:ascii="Franklin Gothic Book" w:eastAsia="Times New Roman" w:hAnsi="Franklin Gothic Book"/>
                <w:iCs/>
                <w:sz w:val="17"/>
                <w:szCs w:val="17"/>
                <w:lang w:eastAsia="en-US"/>
              </w:rPr>
              <w:lastRenderedPageBreak/>
              <w:t xml:space="preserve">all works contracts in compliance with contract conditions Road Asset Management Project complete, with all works contracts in compliance with contract conditions </w:t>
            </w:r>
          </w:p>
          <w:p w:rsidR="00A16862" w:rsidRPr="00395B50" w:rsidRDefault="00A16862" w:rsidP="00394E09">
            <w:pPr>
              <w:keepLines/>
              <w:spacing w:before="40" w:after="40" w:line="200" w:lineRule="atLeast"/>
              <w:ind w:left="105"/>
              <w:rPr>
                <w:rFonts w:ascii="Franklin Gothic Book" w:eastAsia="Times New Roman" w:hAnsi="Franklin Gothic Book"/>
                <w:iCs/>
                <w:sz w:val="17"/>
                <w:szCs w:val="17"/>
                <w:lang w:eastAsia="en-US"/>
              </w:rPr>
            </w:pPr>
          </w:p>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Cross Border Facility at VN Border operational</w:t>
            </w:r>
          </w:p>
          <w:p w:rsidR="00A16862" w:rsidRPr="00395B50" w:rsidRDefault="00A16862" w:rsidP="00394E09">
            <w:pPr>
              <w:spacing w:after="120"/>
              <w:rPr>
                <w:rFonts w:ascii="Franklin Gothic Book" w:eastAsia="Times New Roman" w:hAnsi="Franklin Gothic Book"/>
                <w:sz w:val="22"/>
              </w:rPr>
            </w:pPr>
          </w:p>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Road Data Collection Management Unit in MPWT starts generating the annual roads maintenance planning prioritization</w:t>
            </w:r>
          </w:p>
          <w:p w:rsidR="00A16862" w:rsidRPr="00395B50" w:rsidRDefault="00A16862" w:rsidP="00394E09">
            <w:pPr>
              <w:keepLines/>
              <w:spacing w:before="40" w:after="40" w:line="200" w:lineRule="atLeast"/>
              <w:ind w:left="105"/>
              <w:rPr>
                <w:rFonts w:ascii="Franklin Gothic Book" w:eastAsia="Times New Roman" w:hAnsi="Franklin Gothic Book"/>
                <w:iCs/>
                <w:sz w:val="17"/>
                <w:szCs w:val="17"/>
                <w:lang w:eastAsia="en-US"/>
              </w:rPr>
            </w:pPr>
          </w:p>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Commencement of medium voltage distribution works on the ground</w:t>
            </w:r>
          </w:p>
          <w:p w:rsidR="00A16862" w:rsidRPr="00395B50" w:rsidRDefault="00A16862" w:rsidP="00394E09">
            <w:pPr>
              <w:spacing w:after="120"/>
              <w:rPr>
                <w:rFonts w:ascii="Franklin Gothic Book" w:eastAsia="Times New Roman" w:hAnsi="Franklin Gothic Book"/>
                <w:sz w:val="22"/>
              </w:rPr>
            </w:pPr>
          </w:p>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 xml:space="preserve">80% of physical completion of national, provincial and rural roads under Flood Damage Emergency Reconstruction Project </w:t>
            </w:r>
          </w:p>
          <w:p w:rsidR="00A16862" w:rsidRPr="00395B50" w:rsidRDefault="00A16862" w:rsidP="00394E09">
            <w:pPr>
              <w:spacing w:after="120"/>
              <w:rPr>
                <w:rFonts w:ascii="Franklin Gothic Book" w:eastAsia="Times New Roman" w:hAnsi="Franklin Gothic Book"/>
                <w:sz w:val="22"/>
              </w:rPr>
            </w:pPr>
          </w:p>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Commencement of civil works of Additional Financing Flood Damage Emergency Reconstruction Project</w:t>
            </w:r>
          </w:p>
          <w:p w:rsidR="00A16862" w:rsidRPr="00395B50" w:rsidRDefault="00A16862" w:rsidP="00394E09">
            <w:pPr>
              <w:spacing w:after="120"/>
              <w:rPr>
                <w:rFonts w:ascii="Franklin Gothic Book" w:eastAsia="Times New Roman" w:hAnsi="Franklin Gothic Book"/>
                <w:sz w:val="22"/>
              </w:rPr>
            </w:pPr>
          </w:p>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First contracts awarded under Rural Roads Improvement Project</w:t>
            </w:r>
          </w:p>
          <w:p w:rsidR="00A16862" w:rsidRPr="00395B50" w:rsidRDefault="00A16862" w:rsidP="00394E09">
            <w:pPr>
              <w:spacing w:after="120"/>
              <w:rPr>
                <w:rFonts w:ascii="Franklin Gothic Book" w:eastAsia="Times New Roman" w:hAnsi="Franklin Gothic Book"/>
                <w:sz w:val="22"/>
              </w:rPr>
            </w:pPr>
          </w:p>
          <w:p w:rsidR="00A16862" w:rsidRPr="00395B50" w:rsidRDefault="00A16862" w:rsidP="007F57ED">
            <w:pPr>
              <w:keepLines/>
              <w:spacing w:before="40" w:after="40" w:line="200" w:lineRule="atLeast"/>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Additional Australian supported projects for Household Affected by Railway Rehabilitation complete.</w:t>
            </w:r>
          </w:p>
        </w:tc>
        <w:tc>
          <w:tcPr>
            <w:tcW w:w="1130" w:type="pct"/>
          </w:tcPr>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lastRenderedPageBreak/>
              <w:t xml:space="preserve">Southern Coastal Corridor Project (Asian </w:t>
            </w:r>
            <w:r w:rsidRPr="00395B50">
              <w:rPr>
                <w:rFonts w:ascii="Franklin Gothic Book" w:eastAsia="Times New Roman" w:hAnsi="Franklin Gothic Book"/>
                <w:iCs/>
                <w:sz w:val="17"/>
                <w:szCs w:val="17"/>
                <w:lang w:eastAsia="en-US"/>
              </w:rPr>
              <w:lastRenderedPageBreak/>
              <w:t>Development Bank).</w:t>
            </w:r>
          </w:p>
          <w:p w:rsidR="00A16862" w:rsidRPr="00395B50" w:rsidRDefault="00A16862" w:rsidP="00394E09">
            <w:pPr>
              <w:keepLines/>
              <w:spacing w:before="40" w:after="40" w:line="200" w:lineRule="atLeast"/>
              <w:ind w:left="105"/>
              <w:rPr>
                <w:rFonts w:ascii="Franklin Gothic Book" w:eastAsia="Times New Roman" w:hAnsi="Franklin Gothic Book"/>
                <w:iCs/>
                <w:sz w:val="17"/>
                <w:szCs w:val="17"/>
                <w:lang w:eastAsia="en-US"/>
              </w:rPr>
            </w:pPr>
          </w:p>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Road Asset Management Project (Asian Development Bank).</w:t>
            </w:r>
          </w:p>
          <w:p w:rsidR="00A16862" w:rsidRPr="00395B50" w:rsidRDefault="00A16862" w:rsidP="00394E09">
            <w:pPr>
              <w:spacing w:after="120"/>
              <w:rPr>
                <w:rFonts w:ascii="Franklin Gothic Book" w:eastAsia="Times New Roman" w:hAnsi="Franklin Gothic Book"/>
                <w:sz w:val="22"/>
              </w:rPr>
            </w:pPr>
          </w:p>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Rural Electrification and Transmission project (Asian Development Bank).</w:t>
            </w:r>
          </w:p>
          <w:p w:rsidR="00A16862" w:rsidRPr="00395B50" w:rsidRDefault="00A16862" w:rsidP="00394E09">
            <w:pPr>
              <w:spacing w:after="120"/>
              <w:rPr>
                <w:rFonts w:ascii="Franklin Gothic Book" w:eastAsia="Times New Roman" w:hAnsi="Franklin Gothic Book"/>
                <w:sz w:val="22"/>
              </w:rPr>
            </w:pPr>
          </w:p>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Cambodia Railway Rehabilitation Project (Asian Development Bank).</w:t>
            </w:r>
          </w:p>
          <w:p w:rsidR="00A16862" w:rsidRPr="00395B50" w:rsidRDefault="00A16862" w:rsidP="00394E09">
            <w:pPr>
              <w:spacing w:after="120"/>
              <w:rPr>
                <w:rFonts w:ascii="Franklin Gothic Book" w:eastAsia="Times New Roman" w:hAnsi="Franklin Gothic Book"/>
                <w:sz w:val="22"/>
              </w:rPr>
            </w:pPr>
          </w:p>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Flood Damage Emergency and Rehabilitation Project I (Asian Development Bank).</w:t>
            </w:r>
          </w:p>
          <w:p w:rsidR="00A16862" w:rsidRPr="00395B50" w:rsidRDefault="00A16862" w:rsidP="00394E09">
            <w:pPr>
              <w:spacing w:after="120"/>
              <w:rPr>
                <w:rFonts w:ascii="Franklin Gothic Book" w:eastAsia="Times New Roman" w:hAnsi="Franklin Gothic Book"/>
                <w:sz w:val="22"/>
              </w:rPr>
            </w:pPr>
          </w:p>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Flood Damage Emergency and Rehabilitation Project II (Asian Development Bank).</w:t>
            </w:r>
          </w:p>
          <w:p w:rsidR="00A16862" w:rsidRPr="00395B50" w:rsidRDefault="00A16862" w:rsidP="00394E09">
            <w:pPr>
              <w:spacing w:after="120"/>
              <w:rPr>
                <w:rFonts w:ascii="Franklin Gothic Book" w:eastAsia="Times New Roman" w:hAnsi="Franklin Gothic Book"/>
                <w:sz w:val="22"/>
              </w:rPr>
            </w:pPr>
          </w:p>
          <w:p w:rsidR="00A16862" w:rsidRPr="00395B50" w:rsidRDefault="00A16862" w:rsidP="007F57ED">
            <w:pPr>
              <w:keepLines/>
              <w:spacing w:before="40" w:after="40" w:line="200" w:lineRule="atLeast"/>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 xml:space="preserve">Rural Roads Improvement Project (Asian Development Bank). </w:t>
            </w:r>
          </w:p>
        </w:tc>
      </w:tr>
      <w:tr w:rsidR="00A16862" w:rsidRPr="00395B50" w:rsidTr="00A16862">
        <w:trPr>
          <w:tblHeader w:val="0"/>
        </w:trPr>
        <w:tc>
          <w:tcPr>
            <w:tcW w:w="560" w:type="pct"/>
          </w:tcPr>
          <w:p w:rsidR="00A16862" w:rsidRPr="00395B50" w:rsidRDefault="00A16862" w:rsidP="00394E09">
            <w:pPr>
              <w:keepLines/>
              <w:spacing w:before="40" w:after="40" w:line="200" w:lineRule="atLeast"/>
              <w:rPr>
                <w:rFonts w:ascii="Franklin Gothic Book" w:eastAsia="Times New Roman" w:hAnsi="Franklin Gothic Book"/>
                <w:iCs/>
                <w:sz w:val="17"/>
                <w:szCs w:val="17"/>
                <w:lang w:eastAsia="en-US"/>
              </w:rPr>
            </w:pPr>
          </w:p>
          <w:p w:rsidR="00A16862" w:rsidRPr="00395B50" w:rsidRDefault="00A16862" w:rsidP="00394E09">
            <w:pPr>
              <w:keepLines/>
              <w:spacing w:before="40" w:after="40" w:line="200" w:lineRule="atLeast"/>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 xml:space="preserve">Prosperous, safe and secure communities in </w:t>
            </w:r>
            <w:r w:rsidRPr="00395B50">
              <w:rPr>
                <w:rFonts w:ascii="Franklin Gothic Book" w:eastAsia="Times New Roman" w:hAnsi="Franklin Gothic Book"/>
                <w:iCs/>
                <w:sz w:val="17"/>
                <w:szCs w:val="17"/>
                <w:lang w:eastAsia="en-US"/>
              </w:rPr>
              <w:lastRenderedPageBreak/>
              <w:t>Cambodia</w:t>
            </w:r>
          </w:p>
          <w:p w:rsidR="00A16862" w:rsidRPr="00395B50" w:rsidRDefault="00A16862" w:rsidP="007F57ED">
            <w:pPr>
              <w:keepLines/>
              <w:spacing w:before="40" w:after="40" w:line="200" w:lineRule="atLeast"/>
              <w:rPr>
                <w:rFonts w:ascii="Franklin Gothic Book" w:eastAsia="Times New Roman" w:hAnsi="Franklin Gothic Book"/>
                <w:iCs/>
                <w:sz w:val="17"/>
                <w:szCs w:val="17"/>
                <w:lang w:eastAsia="en-US"/>
              </w:rPr>
            </w:pPr>
          </w:p>
        </w:tc>
        <w:tc>
          <w:tcPr>
            <w:tcW w:w="584" w:type="pct"/>
          </w:tcPr>
          <w:p w:rsidR="00A16862" w:rsidRPr="00395B50" w:rsidRDefault="00A16862" w:rsidP="00394E09">
            <w:pPr>
              <w:keepLines/>
              <w:spacing w:before="40" w:after="40" w:line="200" w:lineRule="atLeast"/>
              <w:rPr>
                <w:rFonts w:ascii="Franklin Gothic Book" w:hAnsi="Franklin Gothic Book"/>
                <w:b/>
                <w:iCs/>
                <w:sz w:val="17"/>
                <w:szCs w:val="17"/>
                <w:lang w:eastAsia="en-US"/>
              </w:rPr>
            </w:pPr>
          </w:p>
          <w:p w:rsidR="00A16862" w:rsidRPr="00395B50" w:rsidRDefault="00A16862" w:rsidP="00394E09">
            <w:pPr>
              <w:keepLines/>
              <w:spacing w:before="40" w:after="40" w:line="200" w:lineRule="atLeast"/>
              <w:rPr>
                <w:rFonts w:ascii="Franklin Gothic Book" w:eastAsia="Times New Roman" w:hAnsi="Franklin Gothic Book"/>
                <w:b/>
                <w:iCs/>
                <w:sz w:val="17"/>
                <w:szCs w:val="17"/>
                <w:lang w:eastAsia="en-US"/>
              </w:rPr>
            </w:pPr>
            <w:r w:rsidRPr="00395B50">
              <w:rPr>
                <w:rFonts w:ascii="Franklin Gothic Book" w:hAnsi="Franklin Gothic Book"/>
                <w:b/>
                <w:iCs/>
                <w:sz w:val="17"/>
                <w:szCs w:val="17"/>
                <w:lang w:eastAsia="en-US"/>
              </w:rPr>
              <w:t xml:space="preserve">4. Women, youth and children are safer and </w:t>
            </w:r>
            <w:r w:rsidRPr="00395B50">
              <w:rPr>
                <w:rFonts w:ascii="Franklin Gothic Book" w:hAnsi="Franklin Gothic Book"/>
                <w:b/>
                <w:iCs/>
                <w:sz w:val="17"/>
                <w:szCs w:val="17"/>
                <w:lang w:eastAsia="en-US"/>
              </w:rPr>
              <w:lastRenderedPageBreak/>
              <w:t>communities have less crime.</w:t>
            </w:r>
            <w:r w:rsidRPr="00395B50">
              <w:rPr>
                <w:rFonts w:ascii="Franklin Gothic Book" w:eastAsia="Times New Roman" w:hAnsi="Franklin Gothic Book"/>
                <w:b/>
                <w:iCs/>
                <w:sz w:val="17"/>
                <w:szCs w:val="17"/>
                <w:lang w:eastAsia="en-US"/>
              </w:rPr>
              <w:t xml:space="preserve"> </w:t>
            </w:r>
          </w:p>
          <w:p w:rsidR="00A16862" w:rsidRPr="00395B50" w:rsidRDefault="00A16862" w:rsidP="007F57ED">
            <w:pPr>
              <w:keepLines/>
              <w:spacing w:before="40" w:after="40" w:line="200" w:lineRule="atLeast"/>
              <w:rPr>
                <w:rFonts w:ascii="Franklin Gothic Book" w:eastAsia="Times New Roman" w:hAnsi="Franklin Gothic Book"/>
                <w:b/>
                <w:iCs/>
                <w:sz w:val="17"/>
                <w:szCs w:val="17"/>
                <w:lang w:eastAsia="en-US"/>
              </w:rPr>
            </w:pPr>
          </w:p>
        </w:tc>
        <w:tc>
          <w:tcPr>
            <w:tcW w:w="852" w:type="pct"/>
          </w:tcPr>
          <w:p w:rsidR="00A16862" w:rsidRPr="00395B50" w:rsidRDefault="00A16862" w:rsidP="00394E09">
            <w:pPr>
              <w:keepLines/>
              <w:spacing w:before="40" w:after="40" w:line="200" w:lineRule="atLeast"/>
              <w:ind w:left="105"/>
              <w:rPr>
                <w:rFonts w:ascii="Franklin Gothic Book" w:eastAsia="Times New Roman" w:hAnsi="Franklin Gothic Book"/>
                <w:iCs/>
                <w:sz w:val="17"/>
                <w:szCs w:val="17"/>
                <w:lang w:eastAsia="en-US"/>
              </w:rPr>
            </w:pPr>
          </w:p>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 xml:space="preserve">Australian support will help commune and police posts to prevent crime and assist the </w:t>
            </w:r>
            <w:r w:rsidRPr="00395B50">
              <w:rPr>
                <w:rFonts w:ascii="Franklin Gothic Book" w:eastAsia="Times New Roman" w:hAnsi="Franklin Gothic Book"/>
                <w:iCs/>
                <w:sz w:val="17"/>
                <w:szCs w:val="17"/>
                <w:lang w:eastAsia="en-US"/>
              </w:rPr>
              <w:lastRenderedPageBreak/>
              <w:t>formal justice institutions to deal justly with juveniles, women and other vulnerable groups.</w:t>
            </w:r>
          </w:p>
        </w:tc>
        <w:tc>
          <w:tcPr>
            <w:tcW w:w="1316" w:type="pct"/>
          </w:tcPr>
          <w:p w:rsidR="00A16862" w:rsidRPr="00395B50" w:rsidRDefault="00A16862" w:rsidP="00394E09">
            <w:pPr>
              <w:keepLines/>
              <w:spacing w:before="40" w:after="40" w:line="200" w:lineRule="atLeast"/>
              <w:ind w:left="105"/>
              <w:rPr>
                <w:rFonts w:ascii="Franklin Gothic Book" w:eastAsia="Times New Roman" w:hAnsi="Franklin Gothic Book"/>
                <w:iCs/>
                <w:sz w:val="17"/>
                <w:szCs w:val="17"/>
                <w:lang w:eastAsia="en-US"/>
              </w:rPr>
            </w:pPr>
          </w:p>
          <w:p w:rsidR="00A16862" w:rsidRPr="00395B50" w:rsidRDefault="00A16862" w:rsidP="00394E09">
            <w:pPr>
              <w:keepLines/>
              <w:numPr>
                <w:ilvl w:val="0"/>
                <w:numId w:val="7"/>
              </w:numPr>
              <w:tabs>
                <w:tab w:val="num" w:pos="227"/>
              </w:tabs>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Cambodia National Police focus on gender based violence (GBV) response and prevention increases at national and subnational level</w:t>
            </w:r>
          </w:p>
          <w:p w:rsidR="00A16862" w:rsidRPr="00395B50" w:rsidRDefault="00A16862" w:rsidP="00394E09">
            <w:pPr>
              <w:keepLines/>
              <w:spacing w:before="40" w:after="40" w:line="200" w:lineRule="atLeast"/>
              <w:ind w:left="105"/>
              <w:rPr>
                <w:rFonts w:ascii="Franklin Gothic Book" w:eastAsia="Times New Roman" w:hAnsi="Franklin Gothic Book"/>
                <w:iCs/>
                <w:sz w:val="17"/>
                <w:szCs w:val="17"/>
                <w:lang w:eastAsia="en-US"/>
              </w:rPr>
            </w:pPr>
          </w:p>
          <w:p w:rsidR="00A16862" w:rsidRPr="00395B50" w:rsidRDefault="00A16862" w:rsidP="00394E09">
            <w:pPr>
              <w:keepLines/>
              <w:numPr>
                <w:ilvl w:val="0"/>
                <w:numId w:val="7"/>
              </w:numPr>
              <w:tabs>
                <w:tab w:val="num" w:pos="227"/>
              </w:tabs>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 xml:space="preserve">Crime Prevention and Community Safety (CPCS) related requests for CCJAP support at commune level for gender based violence activities increase as a percentage of total CPCS related activities. </w:t>
            </w:r>
          </w:p>
          <w:p w:rsidR="00A16862" w:rsidRPr="00395B50" w:rsidRDefault="00A16862" w:rsidP="00394E09">
            <w:pPr>
              <w:spacing w:after="120"/>
              <w:rPr>
                <w:rFonts w:ascii="Franklin Gothic Book" w:eastAsia="Times New Roman" w:hAnsi="Franklin Gothic Book"/>
                <w:sz w:val="22"/>
              </w:rPr>
            </w:pPr>
          </w:p>
          <w:p w:rsidR="00A16862" w:rsidRPr="00395B50" w:rsidRDefault="00A16862" w:rsidP="00394E09">
            <w:pPr>
              <w:keepLines/>
              <w:numPr>
                <w:ilvl w:val="0"/>
                <w:numId w:val="7"/>
              </w:numPr>
              <w:tabs>
                <w:tab w:val="num" w:pos="227"/>
              </w:tabs>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Ministry of Interior agree</w:t>
            </w:r>
            <w:r w:rsidR="00897695">
              <w:rPr>
                <w:rFonts w:ascii="Franklin Gothic Book" w:eastAsia="Times New Roman" w:hAnsi="Franklin Gothic Book"/>
                <w:iCs/>
                <w:sz w:val="17"/>
                <w:szCs w:val="17"/>
                <w:lang w:eastAsia="en-US"/>
              </w:rPr>
              <w:t>d</w:t>
            </w:r>
            <w:r w:rsidRPr="00395B50">
              <w:rPr>
                <w:rFonts w:ascii="Franklin Gothic Book" w:eastAsia="Times New Roman" w:hAnsi="Franklin Gothic Book"/>
                <w:iCs/>
                <w:sz w:val="17"/>
                <w:szCs w:val="17"/>
                <w:lang w:eastAsia="en-US"/>
              </w:rPr>
              <w:t xml:space="preserve"> on role of Ministry of Women’s Affairs and Ministry of Social Affairs, Veteran and Youth Rehabilitation in GBV CPCS activities</w:t>
            </w:r>
          </w:p>
          <w:p w:rsidR="00A16862" w:rsidRPr="00395B50" w:rsidRDefault="00A16862" w:rsidP="00394E09">
            <w:pPr>
              <w:spacing w:after="120"/>
              <w:rPr>
                <w:rFonts w:ascii="Franklin Gothic Book" w:eastAsia="Times New Roman" w:hAnsi="Franklin Gothic Book"/>
                <w:sz w:val="22"/>
              </w:rPr>
            </w:pPr>
            <w:r w:rsidRPr="00395B50">
              <w:rPr>
                <w:rFonts w:ascii="Franklin Gothic Book" w:eastAsia="Times New Roman" w:hAnsi="Franklin Gothic Book"/>
                <w:sz w:val="22"/>
              </w:rPr>
              <w:t xml:space="preserve"> </w:t>
            </w:r>
          </w:p>
          <w:p w:rsidR="00A16862" w:rsidRPr="00395B50" w:rsidRDefault="00A16862" w:rsidP="00394E09">
            <w:pPr>
              <w:keepLines/>
              <w:numPr>
                <w:ilvl w:val="0"/>
                <w:numId w:val="7"/>
              </w:numPr>
              <w:tabs>
                <w:tab w:val="num" w:pos="227"/>
              </w:tabs>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Rescoped EVAW design agreed</w:t>
            </w:r>
          </w:p>
          <w:p w:rsidR="00A16862" w:rsidRPr="00395B50" w:rsidRDefault="00A16862" w:rsidP="00394E09">
            <w:pPr>
              <w:spacing w:after="120"/>
              <w:rPr>
                <w:rFonts w:ascii="Franklin Gothic Book" w:eastAsia="Times New Roman" w:hAnsi="Franklin Gothic Book"/>
                <w:sz w:val="22"/>
              </w:rPr>
            </w:pPr>
          </w:p>
          <w:p w:rsidR="00A16862" w:rsidRPr="00395B50" w:rsidRDefault="00A16862" w:rsidP="00394E09">
            <w:pPr>
              <w:keepLines/>
              <w:numPr>
                <w:ilvl w:val="0"/>
                <w:numId w:val="7"/>
              </w:numPr>
              <w:tabs>
                <w:tab w:val="num" w:pos="227"/>
              </w:tabs>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Cambodia Demographic Health Survey finalised</w:t>
            </w:r>
          </w:p>
          <w:p w:rsidR="00A16862" w:rsidRPr="00395B50" w:rsidRDefault="00A16862" w:rsidP="00394E09">
            <w:pPr>
              <w:spacing w:after="120"/>
              <w:rPr>
                <w:rFonts w:ascii="Franklin Gothic Book" w:eastAsia="Times New Roman" w:hAnsi="Franklin Gothic Book"/>
                <w:sz w:val="22"/>
              </w:rPr>
            </w:pPr>
          </w:p>
          <w:p w:rsidR="00A16862" w:rsidRPr="00395B50" w:rsidRDefault="00A16862" w:rsidP="00394E09">
            <w:pPr>
              <w:keepLines/>
              <w:numPr>
                <w:ilvl w:val="0"/>
                <w:numId w:val="7"/>
              </w:numPr>
              <w:tabs>
                <w:tab w:val="num" w:pos="227"/>
              </w:tabs>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Violence Against Women Prevalence Study field work commenced</w:t>
            </w:r>
          </w:p>
          <w:p w:rsidR="00A16862" w:rsidRPr="00395B50" w:rsidRDefault="00A16862" w:rsidP="00394E09">
            <w:pPr>
              <w:spacing w:after="120"/>
              <w:rPr>
                <w:rFonts w:ascii="Franklin Gothic Book" w:eastAsia="Times New Roman" w:hAnsi="Franklin Gothic Book"/>
                <w:sz w:val="22"/>
              </w:rPr>
            </w:pPr>
          </w:p>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Cambodia Gender Assessment Violence Against Women Chapter published</w:t>
            </w:r>
          </w:p>
        </w:tc>
        <w:tc>
          <w:tcPr>
            <w:tcW w:w="1130" w:type="pct"/>
          </w:tcPr>
          <w:p w:rsidR="00A16862" w:rsidRPr="00395B50" w:rsidRDefault="00A16862" w:rsidP="00394E09">
            <w:pPr>
              <w:keepLines/>
              <w:spacing w:before="40" w:after="40" w:line="200" w:lineRule="atLeast"/>
              <w:ind w:left="105"/>
              <w:rPr>
                <w:rFonts w:ascii="Franklin Gothic Book" w:eastAsia="Times New Roman" w:hAnsi="Franklin Gothic Book"/>
                <w:iCs/>
                <w:sz w:val="17"/>
                <w:szCs w:val="17"/>
                <w:lang w:eastAsia="en-US"/>
              </w:rPr>
            </w:pPr>
          </w:p>
          <w:p w:rsidR="00A16862" w:rsidRPr="00395B50" w:rsidRDefault="00A16862" w:rsidP="00394E09">
            <w:pPr>
              <w:keepLines/>
              <w:numPr>
                <w:ilvl w:val="0"/>
                <w:numId w:val="7"/>
              </w:numPr>
              <w:tabs>
                <w:tab w:val="num" w:pos="227"/>
              </w:tabs>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 xml:space="preserve">Through the </w:t>
            </w:r>
            <w:r w:rsidRPr="00395B50">
              <w:rPr>
                <w:rFonts w:ascii="Franklin Gothic Book" w:eastAsia="Times New Roman" w:hAnsi="Franklin Gothic Book"/>
                <w:iCs/>
                <w:sz w:val="17"/>
                <w:szCs w:val="17"/>
                <w:lang w:val="en-US" w:eastAsia="en-US"/>
              </w:rPr>
              <w:t xml:space="preserve">Cambodia Community Justice Assistance </w:t>
            </w:r>
            <w:r w:rsidRPr="00395B50">
              <w:rPr>
                <w:rFonts w:ascii="Franklin Gothic Book" w:eastAsia="Times New Roman" w:hAnsi="Franklin Gothic Book"/>
                <w:iCs/>
                <w:sz w:val="17"/>
                <w:szCs w:val="17"/>
                <w:lang w:eastAsia="en-US"/>
              </w:rPr>
              <w:t xml:space="preserve">Partnership (CCJAP Phase 4) to June 2016, support courts, </w:t>
            </w:r>
            <w:r w:rsidRPr="00395B50">
              <w:rPr>
                <w:rFonts w:ascii="Franklin Gothic Book" w:eastAsia="Times New Roman" w:hAnsi="Franklin Gothic Book"/>
                <w:iCs/>
                <w:sz w:val="17"/>
                <w:szCs w:val="17"/>
                <w:lang w:eastAsia="en-US"/>
              </w:rPr>
              <w:lastRenderedPageBreak/>
              <w:t>police, prisons, provincial authorities and non-government organisations to improve community-based justice with a focus on the needs of juveniles and women.</w:t>
            </w:r>
          </w:p>
          <w:p w:rsidR="00A16862" w:rsidRPr="00395B50" w:rsidRDefault="00A16862" w:rsidP="00394E09">
            <w:pPr>
              <w:keepLines/>
              <w:spacing w:before="40" w:after="40" w:line="200" w:lineRule="atLeast"/>
              <w:ind w:left="105"/>
              <w:rPr>
                <w:rFonts w:ascii="Franklin Gothic Book" w:eastAsia="Times New Roman" w:hAnsi="Franklin Gothic Book"/>
                <w:iCs/>
                <w:sz w:val="17"/>
                <w:szCs w:val="17"/>
                <w:lang w:eastAsia="en-US"/>
              </w:rPr>
            </w:pPr>
          </w:p>
          <w:p w:rsidR="00A16862" w:rsidRPr="00395B50" w:rsidRDefault="00A16862" w:rsidP="00394E09">
            <w:pPr>
              <w:keepLines/>
              <w:numPr>
                <w:ilvl w:val="0"/>
                <w:numId w:val="7"/>
              </w:numPr>
              <w:tabs>
                <w:tab w:val="num" w:pos="227"/>
              </w:tabs>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 xml:space="preserve">Through the </w:t>
            </w:r>
            <w:r w:rsidRPr="00395B50">
              <w:rPr>
                <w:rFonts w:ascii="Franklin Gothic Book" w:eastAsia="Times New Roman" w:hAnsi="Franklin Gothic Book"/>
                <w:iCs/>
                <w:sz w:val="17"/>
                <w:szCs w:val="17"/>
                <w:lang w:val="en-US" w:eastAsia="en-US"/>
              </w:rPr>
              <w:t>Cambodia Community Justice Assistance Partnership,</w:t>
            </w:r>
            <w:r w:rsidRPr="00395B50">
              <w:rPr>
                <w:rFonts w:ascii="Franklin Gothic Book" w:eastAsia="Times New Roman" w:hAnsi="Franklin Gothic Book"/>
                <w:iCs/>
                <w:sz w:val="17"/>
                <w:szCs w:val="17"/>
                <w:lang w:eastAsia="en-US"/>
              </w:rPr>
              <w:t xml:space="preserve"> harmonise with other donors including UN Women and GIZ, to strengthen the capacity of law enforcement to address violence against women.</w:t>
            </w:r>
          </w:p>
          <w:p w:rsidR="00A16862" w:rsidRPr="00395B50" w:rsidRDefault="00A16862" w:rsidP="00394E09">
            <w:pPr>
              <w:keepLines/>
              <w:numPr>
                <w:ilvl w:val="0"/>
                <w:numId w:val="7"/>
              </w:numPr>
              <w:tabs>
                <w:tab w:val="num" w:pos="227"/>
              </w:tabs>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Engage International Bridges to Justice to provide legal aid support in all Cambodia courts.</w:t>
            </w:r>
          </w:p>
          <w:p w:rsidR="00A16862" w:rsidRPr="00395B50" w:rsidRDefault="00A16862" w:rsidP="00394E09">
            <w:pPr>
              <w:keepLines/>
              <w:spacing w:before="40" w:after="40" w:line="200" w:lineRule="atLeast"/>
              <w:rPr>
                <w:rFonts w:ascii="Franklin Gothic Book" w:eastAsia="Times New Roman" w:hAnsi="Franklin Gothic Book"/>
                <w:iCs/>
                <w:sz w:val="17"/>
                <w:szCs w:val="17"/>
                <w:lang w:eastAsia="en-US"/>
              </w:rPr>
            </w:pPr>
          </w:p>
          <w:p w:rsidR="00A16862" w:rsidRPr="00395B50" w:rsidRDefault="00A16862" w:rsidP="00394E09">
            <w:pPr>
              <w:keepLines/>
              <w:numPr>
                <w:ilvl w:val="0"/>
                <w:numId w:val="7"/>
              </w:numPr>
              <w:tabs>
                <w:tab w:val="num" w:pos="227"/>
              </w:tabs>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 xml:space="preserve">Work in partnership with Swedish International Development Agency through Transparency International Cambodia to support anti-corruption efforts </w:t>
            </w:r>
          </w:p>
          <w:p w:rsidR="00A16862" w:rsidRPr="00395B50" w:rsidRDefault="00A16862" w:rsidP="00394E09">
            <w:pPr>
              <w:spacing w:after="120"/>
              <w:rPr>
                <w:rFonts w:ascii="Franklin Gothic Book" w:eastAsia="Times New Roman" w:hAnsi="Franklin Gothic Book"/>
                <w:sz w:val="22"/>
              </w:rPr>
            </w:pPr>
          </w:p>
          <w:p w:rsidR="00A16862" w:rsidRPr="00395B50" w:rsidRDefault="00A16862" w:rsidP="00394E09">
            <w:pPr>
              <w:keepLines/>
              <w:numPr>
                <w:ilvl w:val="0"/>
                <w:numId w:val="7"/>
              </w:numPr>
              <w:tabs>
                <w:tab w:val="num" w:pos="227"/>
              </w:tabs>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Provide policy and technical engagement in the Legal and Judicial Reform Technical Working Group.</w:t>
            </w:r>
          </w:p>
          <w:p w:rsidR="00A16862" w:rsidRPr="00395B50" w:rsidRDefault="00A16862" w:rsidP="00394E09">
            <w:pPr>
              <w:spacing w:after="120"/>
              <w:rPr>
                <w:rFonts w:ascii="Franklin Gothic Book" w:eastAsia="Times New Roman" w:hAnsi="Franklin Gothic Book"/>
                <w:sz w:val="22"/>
              </w:rPr>
            </w:pPr>
          </w:p>
          <w:p w:rsidR="00A16862" w:rsidRPr="00395B50" w:rsidRDefault="00A16862" w:rsidP="00394E09">
            <w:pPr>
              <w:keepLines/>
              <w:numPr>
                <w:ilvl w:val="0"/>
                <w:numId w:val="7"/>
              </w:numPr>
              <w:spacing w:before="40" w:after="40" w:line="200" w:lineRule="atLeast"/>
              <w:ind w:left="105" w:hanging="105"/>
              <w:rPr>
                <w:rFonts w:ascii="Franklin Gothic Book" w:eastAsia="Times New Roman" w:hAnsi="Franklin Gothic Book"/>
                <w:iCs/>
                <w:sz w:val="17"/>
                <w:szCs w:val="17"/>
                <w:lang w:eastAsia="en-US"/>
              </w:rPr>
            </w:pPr>
            <w:r w:rsidRPr="00395B50">
              <w:rPr>
                <w:rFonts w:ascii="Franklin Gothic Book" w:eastAsia="Times New Roman" w:hAnsi="Franklin Gothic Book"/>
                <w:iCs/>
                <w:sz w:val="17"/>
                <w:szCs w:val="17"/>
                <w:lang w:eastAsia="en-US"/>
              </w:rPr>
              <w:t>Through the EVAW program support the Cambodian Government to implement the National Action Plan on Ending Violence Against Women</w:t>
            </w:r>
          </w:p>
        </w:tc>
      </w:tr>
    </w:tbl>
    <w:p w:rsidR="007F57ED" w:rsidRPr="00416B02" w:rsidRDefault="007F57ED" w:rsidP="00416B02">
      <w:pPr>
        <w:spacing w:after="200" w:line="276" w:lineRule="auto"/>
        <w:rPr>
          <w:rFonts w:ascii="Franklin Gothic Book" w:hAnsi="Franklin Gothic Book"/>
          <w:sz w:val="21"/>
        </w:rPr>
      </w:pPr>
    </w:p>
    <w:sectPr w:rsidR="007F57ED" w:rsidRPr="00416B02" w:rsidSect="0059732F">
      <w:headerReference w:type="even" r:id="rId26"/>
      <w:footerReference w:type="first" r:id="rId27"/>
      <w:footnotePr>
        <w:pos w:val="beneathText"/>
      </w:footnotePr>
      <w:pgSz w:w="16840" w:h="11907" w:orient="landscape" w:code="9"/>
      <w:pgMar w:top="993" w:right="2268" w:bottom="1871" w:left="1560"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DAA" w:rsidRDefault="00726DAA" w:rsidP="0050529F">
      <w:r>
        <w:separator/>
      </w:r>
    </w:p>
    <w:p w:rsidR="00726DAA" w:rsidRDefault="00726DAA"/>
    <w:p w:rsidR="00726DAA" w:rsidRDefault="00726DAA"/>
    <w:p w:rsidR="00726DAA" w:rsidRDefault="00726DAA"/>
    <w:p w:rsidR="00726DAA" w:rsidRDefault="00726DAA"/>
    <w:p w:rsidR="00726DAA" w:rsidRDefault="00726DAA"/>
    <w:p w:rsidR="00726DAA" w:rsidRDefault="00726DAA"/>
  </w:endnote>
  <w:endnote w:type="continuationSeparator" w:id="0">
    <w:p w:rsidR="00726DAA" w:rsidRDefault="00726DAA" w:rsidP="0050529F">
      <w:r>
        <w:continuationSeparator/>
      </w:r>
    </w:p>
    <w:p w:rsidR="00726DAA" w:rsidRDefault="00726DAA"/>
    <w:p w:rsidR="00726DAA" w:rsidRDefault="00726DAA"/>
    <w:p w:rsidR="00726DAA" w:rsidRDefault="00726DAA"/>
    <w:p w:rsidR="00726DAA" w:rsidRDefault="00726DAA"/>
    <w:p w:rsidR="00726DAA" w:rsidRDefault="00726DAA"/>
    <w:p w:rsidR="00726DAA" w:rsidRDefault="00726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Webdings">
    <w:panose1 w:val="05030102010509060703"/>
    <w:charset w:val="02"/>
    <w:family w:val="roman"/>
    <w:pitch w:val="variable"/>
    <w:sig w:usb0="00000000" w:usb1="10000000" w:usb2="00000000" w:usb3="00000000" w:csb0="80000000" w:csb1="00000000"/>
  </w:font>
  <w:font w:name="62miselmgypbxxo">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AA" w:rsidRPr="0091071F" w:rsidRDefault="00726DAA" w:rsidP="000D733F">
    <w:pPr>
      <w:pStyle w:val="Footer"/>
    </w:pPr>
    <w:r w:rsidRPr="0091071F">
      <w:fldChar w:fldCharType="begin"/>
    </w:r>
    <w:r w:rsidRPr="0091071F">
      <w:instrText xml:space="preserve"> PAGE </w:instrText>
    </w:r>
    <w:r w:rsidRPr="0091071F">
      <w:fldChar w:fldCharType="separate"/>
    </w:r>
    <w:r>
      <w:rPr>
        <w:noProof/>
      </w:rPr>
      <w:t>4</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AA" w:rsidRDefault="00726DAA" w:rsidP="000D733F">
    <w:pPr>
      <w:pStyle w:val="Footer"/>
    </w:pPr>
    <w:r>
      <w:tab/>
      <w:t xml:space="preserve"> </w:t>
    </w:r>
    <w:r>
      <w:tab/>
    </w:r>
  </w:p>
  <w:p w:rsidR="00726DAA" w:rsidRPr="0091071F" w:rsidRDefault="004174C1" w:rsidP="000D733F">
    <w:pPr>
      <w:pStyle w:val="Footer"/>
    </w:pPr>
    <w:fldSimple w:instr=" STYLEREF Title \* MERGEFORMAT ">
      <w:r w:rsidR="001C2B29">
        <w:rPr>
          <w:noProof/>
        </w:rPr>
        <w:t>Aid Program Performance Report 2014-15</w:t>
      </w:r>
    </w:fldSimple>
    <w:r w:rsidR="00726DAA" w:rsidRPr="0091071F">
      <w:tab/>
    </w:r>
    <w:r w:rsidR="00726DAA" w:rsidRPr="0091071F">
      <w:rPr>
        <w:rStyle w:val="PageNumber"/>
        <w:color w:val="3E3935"/>
      </w:rPr>
      <w:tab/>
    </w:r>
    <w:r w:rsidR="00726DAA" w:rsidRPr="0091071F">
      <w:rPr>
        <w:rStyle w:val="PageNumber"/>
        <w:color w:val="3E3935"/>
      </w:rPr>
      <w:fldChar w:fldCharType="begin"/>
    </w:r>
    <w:r w:rsidR="00726DAA" w:rsidRPr="0091071F">
      <w:rPr>
        <w:rStyle w:val="PageNumber"/>
        <w:color w:val="3E3935"/>
      </w:rPr>
      <w:instrText xml:space="preserve"> PAGE </w:instrText>
    </w:r>
    <w:r w:rsidR="00726DAA" w:rsidRPr="0091071F">
      <w:rPr>
        <w:rStyle w:val="PageNumber"/>
        <w:color w:val="3E3935"/>
      </w:rPr>
      <w:fldChar w:fldCharType="separate"/>
    </w:r>
    <w:r w:rsidR="001C2B29">
      <w:rPr>
        <w:rStyle w:val="PageNumber"/>
        <w:noProof/>
        <w:color w:val="3E3935"/>
      </w:rPr>
      <w:t>1</w:t>
    </w:r>
    <w:r w:rsidR="00726DAA"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29" w:rsidRDefault="001C2B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AA" w:rsidRPr="004C4A3E" w:rsidRDefault="00726DAA"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432B0DE9" wp14:editId="65C16D99">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79396D">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79396D">
      <w:rPr>
        <w:rFonts w:ascii="Franklin Gothic Medium" w:hAnsi="Franklin Gothic Medium"/>
        <w:noProof/>
        <w:color w:val="54534A"/>
        <w:sz w:val="14"/>
        <w:szCs w:val="14"/>
      </w:rPr>
      <w:t>16</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4D98EE6A" wp14:editId="7EFF2408">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1D164AB5" wp14:editId="7B3CC8B5">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AA" w:rsidRPr="004C4A3E" w:rsidRDefault="00726DAA"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4800" behindDoc="1" locked="1" layoutInCell="1" allowOverlap="1" wp14:anchorId="47D3F2C5" wp14:editId="29155279">
              <wp:simplePos x="0" y="0"/>
              <wp:positionH relativeFrom="page">
                <wp:posOffset>0</wp:posOffset>
              </wp:positionH>
              <wp:positionV relativeFrom="page">
                <wp:posOffset>8533130</wp:posOffset>
              </wp:positionV>
              <wp:extent cx="7380000" cy="2181600"/>
              <wp:effectExtent l="0" t="0" r="0" b="9525"/>
              <wp:wrapNone/>
              <wp:docPr id="3" name="Rectangle 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AusAID web address graphic" style="position:absolute;margin-left:0;margin-top:671.9pt;width:581.1pt;height:171.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DcvS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Z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Aew3L0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A43F72">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3776" behindDoc="1" locked="0" layoutInCell="1" allowOverlap="1" wp14:anchorId="3A9D044D" wp14:editId="34BAD32B">
              <wp:simplePos x="0" y="0"/>
              <wp:positionH relativeFrom="column">
                <wp:posOffset>0</wp:posOffset>
              </wp:positionH>
              <wp:positionV relativeFrom="paragraph">
                <wp:posOffset>8498840</wp:posOffset>
              </wp:positionV>
              <wp:extent cx="7379970" cy="2181860"/>
              <wp:effectExtent l="0" t="2540" r="1905" b="0"/>
              <wp:wrapNone/>
              <wp:docPr id="4" name="Rectangle 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XW/G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i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EF1vx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2752" behindDoc="1" locked="0" layoutInCell="1" allowOverlap="1" wp14:anchorId="7E43E040" wp14:editId="0CFEE9F8">
              <wp:simplePos x="0" y="0"/>
              <wp:positionH relativeFrom="column">
                <wp:posOffset>0</wp:posOffset>
              </wp:positionH>
              <wp:positionV relativeFrom="paragraph">
                <wp:posOffset>8498840</wp:posOffset>
              </wp:positionV>
              <wp:extent cx="7379970" cy="2181860"/>
              <wp:effectExtent l="0" t="2540" r="1905" b="0"/>
              <wp:wrapNone/>
              <wp:docPr id="5" name="Rectangle 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0fme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U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J9H5n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DAA" w:rsidRDefault="00726DAA" w:rsidP="0050529F">
      <w:r>
        <w:separator/>
      </w:r>
    </w:p>
    <w:p w:rsidR="00726DAA" w:rsidRDefault="00726DAA"/>
    <w:p w:rsidR="00726DAA" w:rsidRDefault="00726DAA"/>
    <w:p w:rsidR="00726DAA" w:rsidRDefault="00726DAA"/>
    <w:p w:rsidR="00726DAA" w:rsidRDefault="00726DAA"/>
    <w:p w:rsidR="00726DAA" w:rsidRDefault="00726DAA"/>
    <w:p w:rsidR="00726DAA" w:rsidRDefault="00726DAA"/>
  </w:footnote>
  <w:footnote w:type="continuationSeparator" w:id="0">
    <w:p w:rsidR="00726DAA" w:rsidRDefault="00726DAA" w:rsidP="0050529F">
      <w:r>
        <w:continuationSeparator/>
      </w:r>
    </w:p>
    <w:p w:rsidR="00726DAA" w:rsidRDefault="00726DAA"/>
    <w:p w:rsidR="00726DAA" w:rsidRDefault="00726DAA"/>
    <w:p w:rsidR="00726DAA" w:rsidRDefault="00726DAA"/>
    <w:p w:rsidR="00726DAA" w:rsidRDefault="00726DAA"/>
    <w:p w:rsidR="00726DAA" w:rsidRDefault="00726DAA"/>
    <w:p w:rsidR="00726DAA" w:rsidRDefault="00726DAA"/>
  </w:footnote>
  <w:footnote w:id="1">
    <w:p w:rsidR="00726DAA" w:rsidRDefault="00726DAA" w:rsidP="003D0884">
      <w:pPr>
        <w:pStyle w:val="FootnoteText"/>
        <w:spacing w:line="200" w:lineRule="exact"/>
        <w:outlineLvl w:val="0"/>
      </w:pPr>
      <w:r>
        <w:rPr>
          <w:rStyle w:val="FootnoteReference"/>
        </w:rPr>
        <w:footnoteRef/>
      </w:r>
      <w:r>
        <w:t xml:space="preserve"> International Monetary Fund Press Release No. 15/317 (3 July 2015), </w:t>
      </w:r>
      <w:r w:rsidRPr="0056475C">
        <w:rPr>
          <w:i/>
        </w:rPr>
        <w:t>IMF Concludes 2015 Article IV Consultation Mission to Cambodia</w:t>
      </w:r>
      <w:r>
        <w:t>;</w:t>
      </w:r>
      <w:r w:rsidRPr="005039CD">
        <w:t xml:space="preserve"> </w:t>
      </w:r>
      <w:r>
        <w:t xml:space="preserve">World Bank (April 2015), </w:t>
      </w:r>
      <w:r w:rsidRPr="00C73545">
        <w:rPr>
          <w:i/>
        </w:rPr>
        <w:t>Maintaining High Growth - Cambodia Economic Update</w:t>
      </w:r>
      <w:r>
        <w:rPr>
          <w:i/>
        </w:rPr>
        <w:t>.</w:t>
      </w:r>
    </w:p>
  </w:footnote>
  <w:footnote w:id="2">
    <w:p w:rsidR="00726DAA" w:rsidRDefault="00726DAA">
      <w:pPr>
        <w:pStyle w:val="FootnoteText"/>
      </w:pPr>
      <w:r>
        <w:rPr>
          <w:rStyle w:val="FootnoteReference"/>
        </w:rPr>
        <w:footnoteRef/>
      </w:r>
      <w:r>
        <w:t xml:space="preserve"> D</w:t>
      </w:r>
      <w:r w:rsidRPr="006E2B9F">
        <w:t>efined by the World Bank as economies with a gross national income</w:t>
      </w:r>
      <w:r w:rsidRPr="005B0586">
        <w:t xml:space="preserve"> </w:t>
      </w:r>
      <w:r w:rsidRPr="006E2B9F">
        <w:t xml:space="preserve">per capita </w:t>
      </w:r>
      <w:r>
        <w:t>between</w:t>
      </w:r>
      <w:r w:rsidRPr="006E2B9F">
        <w:t xml:space="preserve"> </w:t>
      </w:r>
      <w:r>
        <w:t>US$</w:t>
      </w:r>
      <w:r w:rsidRPr="006E2B9F">
        <w:t>1,045</w:t>
      </w:r>
      <w:r>
        <w:t xml:space="preserve"> and US$4,125.</w:t>
      </w:r>
    </w:p>
  </w:footnote>
  <w:footnote w:id="3">
    <w:p w:rsidR="00726DAA" w:rsidRPr="00B41DFE" w:rsidRDefault="00726DAA" w:rsidP="003D0884">
      <w:pPr>
        <w:pStyle w:val="FootnoteText"/>
      </w:pPr>
      <w:r>
        <w:rPr>
          <w:rStyle w:val="FootnoteReference"/>
        </w:rPr>
        <w:footnoteRef/>
      </w:r>
      <w:r>
        <w:t xml:space="preserve"> World Bank (April 2015), </w:t>
      </w:r>
      <w:r w:rsidRPr="00C73545">
        <w:rPr>
          <w:i/>
        </w:rPr>
        <w:t>Maintaining High Growth - Cambodia Economic Update</w:t>
      </w:r>
      <w:r>
        <w:t>.</w:t>
      </w:r>
    </w:p>
  </w:footnote>
  <w:footnote w:id="4">
    <w:p w:rsidR="00726DAA" w:rsidRDefault="00726DAA" w:rsidP="003D0884">
      <w:pPr>
        <w:pStyle w:val="FootnoteText"/>
      </w:pPr>
      <w:r>
        <w:rPr>
          <w:rStyle w:val="FootnoteReference"/>
        </w:rPr>
        <w:footnoteRef/>
      </w:r>
      <w:r>
        <w:t xml:space="preserve"> </w:t>
      </w:r>
      <w:r w:rsidRPr="0056475C">
        <w:t>Council for the Development of Cambodia</w:t>
      </w:r>
      <w:r w:rsidRPr="00BB3EE2">
        <w:t>,</w:t>
      </w:r>
      <w:r>
        <w:t xml:space="preserve"> </w:t>
      </w:r>
      <w:r w:rsidRPr="0056475C">
        <w:rPr>
          <w:i/>
        </w:rPr>
        <w:t>ODA Trends in Cambodia</w:t>
      </w:r>
      <w:r>
        <w:t>, 2015 update, Table 2.</w:t>
      </w:r>
    </w:p>
  </w:footnote>
  <w:footnote w:id="5">
    <w:p w:rsidR="00726DAA" w:rsidRDefault="00726DAA">
      <w:pPr>
        <w:pStyle w:val="FootnoteText"/>
      </w:pPr>
      <w:r>
        <w:rPr>
          <w:rStyle w:val="FootnoteReference"/>
        </w:rPr>
        <w:footnoteRef/>
      </w:r>
      <w:r>
        <w:t xml:space="preserve"> All data on CAVAC is sourced from the draft CAVAC Phase I Impact Analysis.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29" w:rsidRDefault="001C2B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29" w:rsidRDefault="001C2B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29" w:rsidRDefault="001C2B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AA" w:rsidRDefault="00726DAA" w:rsidP="00AA31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AA" w:rsidRDefault="00726DA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AA" w:rsidRDefault="00726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6">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7">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0">
    <w:nsid w:val="36AD5318"/>
    <w:multiLevelType w:val="hybridMultilevel"/>
    <w:tmpl w:val="23C48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4"/>
  </w:num>
  <w:num w:numId="4">
    <w:abstractNumId w:val="13"/>
  </w:num>
  <w:num w:numId="5">
    <w:abstractNumId w:val="12"/>
  </w:num>
  <w:num w:numId="6">
    <w:abstractNumId w:val="11"/>
  </w:num>
  <w:num w:numId="7">
    <w:abstractNumId w:val="17"/>
  </w:num>
  <w:num w:numId="8">
    <w:abstractNumId w:val="3"/>
  </w:num>
  <w:num w:numId="9">
    <w:abstractNumId w:val="6"/>
  </w:num>
  <w:num w:numId="10">
    <w:abstractNumId w:val="18"/>
  </w:num>
  <w:num w:numId="11">
    <w:abstractNumId w:val="19"/>
  </w:num>
  <w:num w:numId="12">
    <w:abstractNumId w:val="0"/>
  </w:num>
  <w:num w:numId="13">
    <w:abstractNumId w:val="2"/>
  </w:num>
  <w:num w:numId="14">
    <w:abstractNumId w:val="16"/>
  </w:num>
  <w:num w:numId="15">
    <w:abstractNumId w:val="1"/>
  </w:num>
  <w:num w:numId="16">
    <w:abstractNumId w:val="9"/>
  </w:num>
  <w:num w:numId="17">
    <w:abstractNumId w:val="7"/>
  </w:num>
  <w:num w:numId="18">
    <w:abstractNumId w:val="5"/>
  </w:num>
  <w:num w:numId="19">
    <w:abstractNumId w:val="19"/>
  </w:num>
  <w:num w:numId="20">
    <w:abstractNumId w:val="17"/>
  </w:num>
  <w:num w:numId="21">
    <w:abstractNumId w:val="19"/>
  </w:num>
  <w:num w:numId="22">
    <w:abstractNumId w:val="19"/>
  </w:num>
  <w:num w:numId="23">
    <w:abstractNumId w:val="19"/>
  </w:num>
  <w:num w:numId="24">
    <w:abstractNumId w:val="19"/>
  </w:num>
  <w:num w:numId="25">
    <w:abstractNumId w:val="17"/>
  </w:num>
  <w:num w:numId="26">
    <w:abstractNumId w:val="19"/>
  </w:num>
  <w:num w:numId="27">
    <w:abstractNumId w:val="19"/>
  </w:num>
  <w:num w:numId="28">
    <w:abstractNumId w:val="19"/>
  </w:num>
  <w:num w:numId="29">
    <w:abstractNumId w:val="19"/>
  </w:num>
  <w:num w:numId="30">
    <w:abstractNumId w:val="19"/>
  </w:num>
  <w:num w:numId="31">
    <w:abstractNumId w:val="10"/>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3072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1BF9"/>
    <w:rsid w:val="00002161"/>
    <w:rsid w:val="0000242A"/>
    <w:rsid w:val="0000270E"/>
    <w:rsid w:val="00002A92"/>
    <w:rsid w:val="00002E28"/>
    <w:rsid w:val="00002FE4"/>
    <w:rsid w:val="000039CF"/>
    <w:rsid w:val="00004E18"/>
    <w:rsid w:val="00006C9D"/>
    <w:rsid w:val="00007971"/>
    <w:rsid w:val="00007B36"/>
    <w:rsid w:val="00007E94"/>
    <w:rsid w:val="0001397D"/>
    <w:rsid w:val="000142A2"/>
    <w:rsid w:val="000143D9"/>
    <w:rsid w:val="0001650A"/>
    <w:rsid w:val="00020121"/>
    <w:rsid w:val="0002167E"/>
    <w:rsid w:val="00021871"/>
    <w:rsid w:val="00021A9E"/>
    <w:rsid w:val="0002247F"/>
    <w:rsid w:val="00022D77"/>
    <w:rsid w:val="00027629"/>
    <w:rsid w:val="00030111"/>
    <w:rsid w:val="00031100"/>
    <w:rsid w:val="00031EB5"/>
    <w:rsid w:val="0003231A"/>
    <w:rsid w:val="00033392"/>
    <w:rsid w:val="00033C46"/>
    <w:rsid w:val="00036FA0"/>
    <w:rsid w:val="00040AF6"/>
    <w:rsid w:val="00041C89"/>
    <w:rsid w:val="000426DF"/>
    <w:rsid w:val="00050260"/>
    <w:rsid w:val="000526F0"/>
    <w:rsid w:val="000529AD"/>
    <w:rsid w:val="0005471B"/>
    <w:rsid w:val="0005506B"/>
    <w:rsid w:val="000550B0"/>
    <w:rsid w:val="00055E78"/>
    <w:rsid w:val="0005637C"/>
    <w:rsid w:val="00057589"/>
    <w:rsid w:val="00057D09"/>
    <w:rsid w:val="00060F0B"/>
    <w:rsid w:val="00065CBC"/>
    <w:rsid w:val="000668DF"/>
    <w:rsid w:val="00067755"/>
    <w:rsid w:val="00067CDA"/>
    <w:rsid w:val="0007149C"/>
    <w:rsid w:val="00071B95"/>
    <w:rsid w:val="0007395B"/>
    <w:rsid w:val="000745E2"/>
    <w:rsid w:val="000767C6"/>
    <w:rsid w:val="0007703B"/>
    <w:rsid w:val="000774FD"/>
    <w:rsid w:val="000818C0"/>
    <w:rsid w:val="00081F4E"/>
    <w:rsid w:val="000905A8"/>
    <w:rsid w:val="00091878"/>
    <w:rsid w:val="00092ACC"/>
    <w:rsid w:val="00093C67"/>
    <w:rsid w:val="000957FC"/>
    <w:rsid w:val="00095CF5"/>
    <w:rsid w:val="000979A0"/>
    <w:rsid w:val="00097B02"/>
    <w:rsid w:val="000A1618"/>
    <w:rsid w:val="000A4247"/>
    <w:rsid w:val="000A5584"/>
    <w:rsid w:val="000A66E0"/>
    <w:rsid w:val="000B0391"/>
    <w:rsid w:val="000B3121"/>
    <w:rsid w:val="000B68F6"/>
    <w:rsid w:val="000B6BE5"/>
    <w:rsid w:val="000B6FEA"/>
    <w:rsid w:val="000B75E8"/>
    <w:rsid w:val="000C0479"/>
    <w:rsid w:val="000C258A"/>
    <w:rsid w:val="000C29BF"/>
    <w:rsid w:val="000C32DF"/>
    <w:rsid w:val="000C3EB5"/>
    <w:rsid w:val="000C4A7A"/>
    <w:rsid w:val="000C6080"/>
    <w:rsid w:val="000C60A8"/>
    <w:rsid w:val="000C657F"/>
    <w:rsid w:val="000C6FD5"/>
    <w:rsid w:val="000D01CD"/>
    <w:rsid w:val="000D151B"/>
    <w:rsid w:val="000D1993"/>
    <w:rsid w:val="000D2CDD"/>
    <w:rsid w:val="000D384F"/>
    <w:rsid w:val="000D5C0C"/>
    <w:rsid w:val="000D5DC5"/>
    <w:rsid w:val="000D68FE"/>
    <w:rsid w:val="000D733F"/>
    <w:rsid w:val="000D7952"/>
    <w:rsid w:val="000E07C8"/>
    <w:rsid w:val="000E0DB1"/>
    <w:rsid w:val="000E3876"/>
    <w:rsid w:val="000E4573"/>
    <w:rsid w:val="000E4DA1"/>
    <w:rsid w:val="000E61DB"/>
    <w:rsid w:val="000E7297"/>
    <w:rsid w:val="000E7A8D"/>
    <w:rsid w:val="000F25CD"/>
    <w:rsid w:val="000F2D94"/>
    <w:rsid w:val="000F3E86"/>
    <w:rsid w:val="000F6BE1"/>
    <w:rsid w:val="000F7A0B"/>
    <w:rsid w:val="00100485"/>
    <w:rsid w:val="00100AA2"/>
    <w:rsid w:val="00100E4E"/>
    <w:rsid w:val="00100F99"/>
    <w:rsid w:val="00102598"/>
    <w:rsid w:val="00102F96"/>
    <w:rsid w:val="00103296"/>
    <w:rsid w:val="00103899"/>
    <w:rsid w:val="00103A2E"/>
    <w:rsid w:val="00106185"/>
    <w:rsid w:val="00106BDC"/>
    <w:rsid w:val="0010729C"/>
    <w:rsid w:val="00112E97"/>
    <w:rsid w:val="00113785"/>
    <w:rsid w:val="001138A7"/>
    <w:rsid w:val="001139DE"/>
    <w:rsid w:val="00114751"/>
    <w:rsid w:val="001154CA"/>
    <w:rsid w:val="001170D3"/>
    <w:rsid w:val="001171DE"/>
    <w:rsid w:val="0011784A"/>
    <w:rsid w:val="00120FC7"/>
    <w:rsid w:val="00121E5A"/>
    <w:rsid w:val="00122038"/>
    <w:rsid w:val="001227C3"/>
    <w:rsid w:val="0012429A"/>
    <w:rsid w:val="00125002"/>
    <w:rsid w:val="001258C6"/>
    <w:rsid w:val="001271BA"/>
    <w:rsid w:val="0012793C"/>
    <w:rsid w:val="00131FF0"/>
    <w:rsid w:val="00132003"/>
    <w:rsid w:val="00133AAD"/>
    <w:rsid w:val="00135806"/>
    <w:rsid w:val="001366B4"/>
    <w:rsid w:val="00136CC1"/>
    <w:rsid w:val="001375E3"/>
    <w:rsid w:val="00141A30"/>
    <w:rsid w:val="00141C23"/>
    <w:rsid w:val="001428E3"/>
    <w:rsid w:val="00143053"/>
    <w:rsid w:val="0014411B"/>
    <w:rsid w:val="001448E7"/>
    <w:rsid w:val="00144C2E"/>
    <w:rsid w:val="00147846"/>
    <w:rsid w:val="001478CD"/>
    <w:rsid w:val="0015043E"/>
    <w:rsid w:val="00152DFD"/>
    <w:rsid w:val="00154EF9"/>
    <w:rsid w:val="0015542F"/>
    <w:rsid w:val="00155A63"/>
    <w:rsid w:val="00157858"/>
    <w:rsid w:val="00160510"/>
    <w:rsid w:val="001612CE"/>
    <w:rsid w:val="001624FB"/>
    <w:rsid w:val="00164076"/>
    <w:rsid w:val="0016544D"/>
    <w:rsid w:val="001657F1"/>
    <w:rsid w:val="001664C4"/>
    <w:rsid w:val="00167331"/>
    <w:rsid w:val="0016740F"/>
    <w:rsid w:val="00171BB2"/>
    <w:rsid w:val="00173C6E"/>
    <w:rsid w:val="001740F2"/>
    <w:rsid w:val="00175E4C"/>
    <w:rsid w:val="001762B6"/>
    <w:rsid w:val="00177FF9"/>
    <w:rsid w:val="00180B19"/>
    <w:rsid w:val="0018196F"/>
    <w:rsid w:val="001823FE"/>
    <w:rsid w:val="001829BB"/>
    <w:rsid w:val="00183004"/>
    <w:rsid w:val="0018305E"/>
    <w:rsid w:val="0018353A"/>
    <w:rsid w:val="00184137"/>
    <w:rsid w:val="0018696E"/>
    <w:rsid w:val="00190AB1"/>
    <w:rsid w:val="00192498"/>
    <w:rsid w:val="0019297F"/>
    <w:rsid w:val="001943B6"/>
    <w:rsid w:val="00194806"/>
    <w:rsid w:val="001956DC"/>
    <w:rsid w:val="001A374B"/>
    <w:rsid w:val="001A5E52"/>
    <w:rsid w:val="001A6650"/>
    <w:rsid w:val="001B1A0C"/>
    <w:rsid w:val="001B2948"/>
    <w:rsid w:val="001B41CD"/>
    <w:rsid w:val="001B464F"/>
    <w:rsid w:val="001B5001"/>
    <w:rsid w:val="001B714C"/>
    <w:rsid w:val="001C1EA0"/>
    <w:rsid w:val="001C2B29"/>
    <w:rsid w:val="001C31B9"/>
    <w:rsid w:val="001C507E"/>
    <w:rsid w:val="001C700E"/>
    <w:rsid w:val="001C7117"/>
    <w:rsid w:val="001C745A"/>
    <w:rsid w:val="001C7DDD"/>
    <w:rsid w:val="001D1C60"/>
    <w:rsid w:val="001D20FC"/>
    <w:rsid w:val="001D210A"/>
    <w:rsid w:val="001D29E7"/>
    <w:rsid w:val="001D33F4"/>
    <w:rsid w:val="001D5CB0"/>
    <w:rsid w:val="001D6059"/>
    <w:rsid w:val="001D648D"/>
    <w:rsid w:val="001D6515"/>
    <w:rsid w:val="001D7E1A"/>
    <w:rsid w:val="001D7E98"/>
    <w:rsid w:val="001E4797"/>
    <w:rsid w:val="001E4BDE"/>
    <w:rsid w:val="001E60FC"/>
    <w:rsid w:val="001E6635"/>
    <w:rsid w:val="001E6C02"/>
    <w:rsid w:val="001E7517"/>
    <w:rsid w:val="001F12A2"/>
    <w:rsid w:val="001F3500"/>
    <w:rsid w:val="001F5CB1"/>
    <w:rsid w:val="001F61A8"/>
    <w:rsid w:val="001F7480"/>
    <w:rsid w:val="0020000F"/>
    <w:rsid w:val="00201174"/>
    <w:rsid w:val="00202880"/>
    <w:rsid w:val="00202E4E"/>
    <w:rsid w:val="00203BCC"/>
    <w:rsid w:val="00205AFE"/>
    <w:rsid w:val="00205E0B"/>
    <w:rsid w:val="00205F2B"/>
    <w:rsid w:val="002109BB"/>
    <w:rsid w:val="0021106F"/>
    <w:rsid w:val="002115BD"/>
    <w:rsid w:val="002126BA"/>
    <w:rsid w:val="00212B27"/>
    <w:rsid w:val="00213780"/>
    <w:rsid w:val="0021491A"/>
    <w:rsid w:val="0021515C"/>
    <w:rsid w:val="002202B1"/>
    <w:rsid w:val="002213B1"/>
    <w:rsid w:val="00221F5F"/>
    <w:rsid w:val="00222655"/>
    <w:rsid w:val="002227A9"/>
    <w:rsid w:val="00223901"/>
    <w:rsid w:val="00224C57"/>
    <w:rsid w:val="00224D0C"/>
    <w:rsid w:val="00225001"/>
    <w:rsid w:val="00225D79"/>
    <w:rsid w:val="00226DEE"/>
    <w:rsid w:val="00231D45"/>
    <w:rsid w:val="00232C01"/>
    <w:rsid w:val="002335A9"/>
    <w:rsid w:val="002343CF"/>
    <w:rsid w:val="00235A79"/>
    <w:rsid w:val="00235D29"/>
    <w:rsid w:val="0023628E"/>
    <w:rsid w:val="002363D9"/>
    <w:rsid w:val="00236B8C"/>
    <w:rsid w:val="002372B8"/>
    <w:rsid w:val="002373C6"/>
    <w:rsid w:val="00237C4B"/>
    <w:rsid w:val="00240D59"/>
    <w:rsid w:val="00243568"/>
    <w:rsid w:val="002441D5"/>
    <w:rsid w:val="00244F43"/>
    <w:rsid w:val="002465DA"/>
    <w:rsid w:val="00246E5F"/>
    <w:rsid w:val="002475E4"/>
    <w:rsid w:val="00247AAC"/>
    <w:rsid w:val="00247C48"/>
    <w:rsid w:val="00255C91"/>
    <w:rsid w:val="00257228"/>
    <w:rsid w:val="00257460"/>
    <w:rsid w:val="00257A10"/>
    <w:rsid w:val="00257BEC"/>
    <w:rsid w:val="00261E78"/>
    <w:rsid w:val="002639DF"/>
    <w:rsid w:val="00263F5F"/>
    <w:rsid w:val="00264083"/>
    <w:rsid w:val="002660AA"/>
    <w:rsid w:val="0027013F"/>
    <w:rsid w:val="00270898"/>
    <w:rsid w:val="002714D7"/>
    <w:rsid w:val="00272AF0"/>
    <w:rsid w:val="00273C6F"/>
    <w:rsid w:val="00275C42"/>
    <w:rsid w:val="00277733"/>
    <w:rsid w:val="002778F0"/>
    <w:rsid w:val="00281664"/>
    <w:rsid w:val="002833C9"/>
    <w:rsid w:val="00284971"/>
    <w:rsid w:val="002849B4"/>
    <w:rsid w:val="002855AF"/>
    <w:rsid w:val="002863A6"/>
    <w:rsid w:val="00286DEE"/>
    <w:rsid w:val="002911A4"/>
    <w:rsid w:val="00291F1C"/>
    <w:rsid w:val="00292431"/>
    <w:rsid w:val="00295D81"/>
    <w:rsid w:val="0029656E"/>
    <w:rsid w:val="002979DD"/>
    <w:rsid w:val="00297FA7"/>
    <w:rsid w:val="002A15F4"/>
    <w:rsid w:val="002A1935"/>
    <w:rsid w:val="002A1A79"/>
    <w:rsid w:val="002A21BB"/>
    <w:rsid w:val="002A21D1"/>
    <w:rsid w:val="002A22F7"/>
    <w:rsid w:val="002A2C53"/>
    <w:rsid w:val="002A449A"/>
    <w:rsid w:val="002A4D70"/>
    <w:rsid w:val="002A6668"/>
    <w:rsid w:val="002A7E9F"/>
    <w:rsid w:val="002B1CB1"/>
    <w:rsid w:val="002B1F66"/>
    <w:rsid w:val="002B31B3"/>
    <w:rsid w:val="002B3537"/>
    <w:rsid w:val="002B433A"/>
    <w:rsid w:val="002B61A8"/>
    <w:rsid w:val="002B6EBE"/>
    <w:rsid w:val="002B79D4"/>
    <w:rsid w:val="002B7BB5"/>
    <w:rsid w:val="002C119B"/>
    <w:rsid w:val="002C1E00"/>
    <w:rsid w:val="002C2D1D"/>
    <w:rsid w:val="002C3395"/>
    <w:rsid w:val="002C3AC5"/>
    <w:rsid w:val="002C42AC"/>
    <w:rsid w:val="002C50DC"/>
    <w:rsid w:val="002C534E"/>
    <w:rsid w:val="002C5722"/>
    <w:rsid w:val="002C61B6"/>
    <w:rsid w:val="002C639B"/>
    <w:rsid w:val="002D1328"/>
    <w:rsid w:val="002D5D7B"/>
    <w:rsid w:val="002D67D0"/>
    <w:rsid w:val="002D6914"/>
    <w:rsid w:val="002D6DF0"/>
    <w:rsid w:val="002D7BD1"/>
    <w:rsid w:val="002D7FFA"/>
    <w:rsid w:val="002E1337"/>
    <w:rsid w:val="002E2EB9"/>
    <w:rsid w:val="002E4981"/>
    <w:rsid w:val="002E4F7B"/>
    <w:rsid w:val="002E55EA"/>
    <w:rsid w:val="002E5604"/>
    <w:rsid w:val="002E68F4"/>
    <w:rsid w:val="002E7236"/>
    <w:rsid w:val="002F479A"/>
    <w:rsid w:val="002F54F3"/>
    <w:rsid w:val="002F5A14"/>
    <w:rsid w:val="002F730A"/>
    <w:rsid w:val="00303038"/>
    <w:rsid w:val="0030318A"/>
    <w:rsid w:val="00306734"/>
    <w:rsid w:val="00306AE9"/>
    <w:rsid w:val="003070C3"/>
    <w:rsid w:val="003075B8"/>
    <w:rsid w:val="00307958"/>
    <w:rsid w:val="00310426"/>
    <w:rsid w:val="00310974"/>
    <w:rsid w:val="00313E45"/>
    <w:rsid w:val="003148B7"/>
    <w:rsid w:val="00315135"/>
    <w:rsid w:val="00315298"/>
    <w:rsid w:val="00315AB1"/>
    <w:rsid w:val="00315D13"/>
    <w:rsid w:val="003167E5"/>
    <w:rsid w:val="00317A6B"/>
    <w:rsid w:val="00320FCE"/>
    <w:rsid w:val="003223F8"/>
    <w:rsid w:val="0032292A"/>
    <w:rsid w:val="00322B25"/>
    <w:rsid w:val="00322D92"/>
    <w:rsid w:val="0032486D"/>
    <w:rsid w:val="003260C0"/>
    <w:rsid w:val="003266E1"/>
    <w:rsid w:val="00326B5A"/>
    <w:rsid w:val="003275D0"/>
    <w:rsid w:val="003279FD"/>
    <w:rsid w:val="003305E3"/>
    <w:rsid w:val="00330C42"/>
    <w:rsid w:val="003326BE"/>
    <w:rsid w:val="003327F8"/>
    <w:rsid w:val="00332905"/>
    <w:rsid w:val="0033328E"/>
    <w:rsid w:val="00333B27"/>
    <w:rsid w:val="0033559D"/>
    <w:rsid w:val="00335F19"/>
    <w:rsid w:val="003363C7"/>
    <w:rsid w:val="00341177"/>
    <w:rsid w:val="00341311"/>
    <w:rsid w:val="00341B8F"/>
    <w:rsid w:val="00341E0C"/>
    <w:rsid w:val="00342BF7"/>
    <w:rsid w:val="00342CE5"/>
    <w:rsid w:val="00343B25"/>
    <w:rsid w:val="003451DD"/>
    <w:rsid w:val="00345B8E"/>
    <w:rsid w:val="0034686F"/>
    <w:rsid w:val="00347AC0"/>
    <w:rsid w:val="00351ACA"/>
    <w:rsid w:val="00352AE5"/>
    <w:rsid w:val="00356E6A"/>
    <w:rsid w:val="00357648"/>
    <w:rsid w:val="00357AF7"/>
    <w:rsid w:val="00360662"/>
    <w:rsid w:val="00361E76"/>
    <w:rsid w:val="00364C42"/>
    <w:rsid w:val="00366F1A"/>
    <w:rsid w:val="003708BF"/>
    <w:rsid w:val="00371F53"/>
    <w:rsid w:val="0037270C"/>
    <w:rsid w:val="00372D2E"/>
    <w:rsid w:val="00372E1B"/>
    <w:rsid w:val="003743C8"/>
    <w:rsid w:val="00381E2C"/>
    <w:rsid w:val="00383294"/>
    <w:rsid w:val="00383F3F"/>
    <w:rsid w:val="00384342"/>
    <w:rsid w:val="003849ED"/>
    <w:rsid w:val="00385A4C"/>
    <w:rsid w:val="0039132E"/>
    <w:rsid w:val="0039245F"/>
    <w:rsid w:val="003926BC"/>
    <w:rsid w:val="00392981"/>
    <w:rsid w:val="00393A79"/>
    <w:rsid w:val="003949A3"/>
    <w:rsid w:val="00394E09"/>
    <w:rsid w:val="00394E0E"/>
    <w:rsid w:val="00395B50"/>
    <w:rsid w:val="00395CFA"/>
    <w:rsid w:val="0039752C"/>
    <w:rsid w:val="00397C5E"/>
    <w:rsid w:val="003A2059"/>
    <w:rsid w:val="003A259F"/>
    <w:rsid w:val="003A27D2"/>
    <w:rsid w:val="003A2D7B"/>
    <w:rsid w:val="003A344F"/>
    <w:rsid w:val="003A581B"/>
    <w:rsid w:val="003A60C3"/>
    <w:rsid w:val="003A74BF"/>
    <w:rsid w:val="003B122C"/>
    <w:rsid w:val="003B2756"/>
    <w:rsid w:val="003B53A4"/>
    <w:rsid w:val="003B5DBE"/>
    <w:rsid w:val="003B5F7E"/>
    <w:rsid w:val="003C1FF5"/>
    <w:rsid w:val="003C288C"/>
    <w:rsid w:val="003C31EE"/>
    <w:rsid w:val="003C49E8"/>
    <w:rsid w:val="003C7721"/>
    <w:rsid w:val="003D03E5"/>
    <w:rsid w:val="003D081D"/>
    <w:rsid w:val="003D0884"/>
    <w:rsid w:val="003D2E2F"/>
    <w:rsid w:val="003D44F4"/>
    <w:rsid w:val="003D550B"/>
    <w:rsid w:val="003E0E66"/>
    <w:rsid w:val="003E25EF"/>
    <w:rsid w:val="003E4982"/>
    <w:rsid w:val="003E4C78"/>
    <w:rsid w:val="003E63B3"/>
    <w:rsid w:val="003E6E05"/>
    <w:rsid w:val="003E7AA9"/>
    <w:rsid w:val="003F1796"/>
    <w:rsid w:val="003F6198"/>
    <w:rsid w:val="00400A14"/>
    <w:rsid w:val="00400ED4"/>
    <w:rsid w:val="00402798"/>
    <w:rsid w:val="00402AAE"/>
    <w:rsid w:val="00403152"/>
    <w:rsid w:val="00403AAA"/>
    <w:rsid w:val="00406000"/>
    <w:rsid w:val="0040768E"/>
    <w:rsid w:val="00407BC6"/>
    <w:rsid w:val="00411F70"/>
    <w:rsid w:val="00412707"/>
    <w:rsid w:val="00412884"/>
    <w:rsid w:val="00413539"/>
    <w:rsid w:val="0041396D"/>
    <w:rsid w:val="00414F3B"/>
    <w:rsid w:val="004154D9"/>
    <w:rsid w:val="00415A92"/>
    <w:rsid w:val="00416B02"/>
    <w:rsid w:val="0041730D"/>
    <w:rsid w:val="004174C1"/>
    <w:rsid w:val="004176FB"/>
    <w:rsid w:val="00420021"/>
    <w:rsid w:val="00420E02"/>
    <w:rsid w:val="004228CD"/>
    <w:rsid w:val="00423098"/>
    <w:rsid w:val="0042527A"/>
    <w:rsid w:val="00425316"/>
    <w:rsid w:val="00426354"/>
    <w:rsid w:val="004309E9"/>
    <w:rsid w:val="00433452"/>
    <w:rsid w:val="00435A9F"/>
    <w:rsid w:val="00437C95"/>
    <w:rsid w:val="004413E9"/>
    <w:rsid w:val="00441E77"/>
    <w:rsid w:val="00441F3A"/>
    <w:rsid w:val="00443639"/>
    <w:rsid w:val="00444A9D"/>
    <w:rsid w:val="004450BD"/>
    <w:rsid w:val="004453CE"/>
    <w:rsid w:val="00445A31"/>
    <w:rsid w:val="00445A3B"/>
    <w:rsid w:val="00445C4E"/>
    <w:rsid w:val="00446068"/>
    <w:rsid w:val="00446742"/>
    <w:rsid w:val="00452C87"/>
    <w:rsid w:val="004538C3"/>
    <w:rsid w:val="0045402F"/>
    <w:rsid w:val="0045475F"/>
    <w:rsid w:val="0045669C"/>
    <w:rsid w:val="00462000"/>
    <w:rsid w:val="004622CA"/>
    <w:rsid w:val="00463E16"/>
    <w:rsid w:val="004645FD"/>
    <w:rsid w:val="00466C98"/>
    <w:rsid w:val="00467C3F"/>
    <w:rsid w:val="00467CE4"/>
    <w:rsid w:val="00470B6C"/>
    <w:rsid w:val="00474BE0"/>
    <w:rsid w:val="0047710F"/>
    <w:rsid w:val="004803F5"/>
    <w:rsid w:val="00481777"/>
    <w:rsid w:val="00482017"/>
    <w:rsid w:val="004836F0"/>
    <w:rsid w:val="00487CD9"/>
    <w:rsid w:val="00487F2D"/>
    <w:rsid w:val="00490BDE"/>
    <w:rsid w:val="00491F6A"/>
    <w:rsid w:val="00492BC1"/>
    <w:rsid w:val="00494504"/>
    <w:rsid w:val="004957EC"/>
    <w:rsid w:val="00496F3C"/>
    <w:rsid w:val="00496F8D"/>
    <w:rsid w:val="004A2EC3"/>
    <w:rsid w:val="004A481C"/>
    <w:rsid w:val="004A568F"/>
    <w:rsid w:val="004A7400"/>
    <w:rsid w:val="004A7B5C"/>
    <w:rsid w:val="004B201A"/>
    <w:rsid w:val="004B2FC3"/>
    <w:rsid w:val="004B39C2"/>
    <w:rsid w:val="004B41B9"/>
    <w:rsid w:val="004B4A44"/>
    <w:rsid w:val="004B64F3"/>
    <w:rsid w:val="004C33EA"/>
    <w:rsid w:val="004C3558"/>
    <w:rsid w:val="004C36CF"/>
    <w:rsid w:val="004C4A3E"/>
    <w:rsid w:val="004C58AD"/>
    <w:rsid w:val="004C59EA"/>
    <w:rsid w:val="004C65C6"/>
    <w:rsid w:val="004C660D"/>
    <w:rsid w:val="004C7035"/>
    <w:rsid w:val="004C7E92"/>
    <w:rsid w:val="004D0699"/>
    <w:rsid w:val="004D1529"/>
    <w:rsid w:val="004D19CE"/>
    <w:rsid w:val="004D23F6"/>
    <w:rsid w:val="004D2487"/>
    <w:rsid w:val="004D28A3"/>
    <w:rsid w:val="004D2ED0"/>
    <w:rsid w:val="004D4522"/>
    <w:rsid w:val="004D5BDD"/>
    <w:rsid w:val="004D652F"/>
    <w:rsid w:val="004D740B"/>
    <w:rsid w:val="004E01E9"/>
    <w:rsid w:val="004E12F5"/>
    <w:rsid w:val="004E2335"/>
    <w:rsid w:val="004E3E40"/>
    <w:rsid w:val="004E40B2"/>
    <w:rsid w:val="004E570D"/>
    <w:rsid w:val="004E6400"/>
    <w:rsid w:val="004E642E"/>
    <w:rsid w:val="004E6924"/>
    <w:rsid w:val="004E6A61"/>
    <w:rsid w:val="004E6E33"/>
    <w:rsid w:val="004E702A"/>
    <w:rsid w:val="004F0C2D"/>
    <w:rsid w:val="004F200E"/>
    <w:rsid w:val="004F255A"/>
    <w:rsid w:val="004F3D7E"/>
    <w:rsid w:val="004F4630"/>
    <w:rsid w:val="004F4FEF"/>
    <w:rsid w:val="004F521E"/>
    <w:rsid w:val="004F5B4B"/>
    <w:rsid w:val="004F6FEE"/>
    <w:rsid w:val="0050082C"/>
    <w:rsid w:val="00500EB4"/>
    <w:rsid w:val="00501CD2"/>
    <w:rsid w:val="00502DB8"/>
    <w:rsid w:val="00503974"/>
    <w:rsid w:val="0050439B"/>
    <w:rsid w:val="0050529F"/>
    <w:rsid w:val="00506A51"/>
    <w:rsid w:val="005110C3"/>
    <w:rsid w:val="00511A0F"/>
    <w:rsid w:val="00514A5E"/>
    <w:rsid w:val="00514B5E"/>
    <w:rsid w:val="005157C1"/>
    <w:rsid w:val="00515954"/>
    <w:rsid w:val="00515B83"/>
    <w:rsid w:val="00515E3D"/>
    <w:rsid w:val="00515EAF"/>
    <w:rsid w:val="00516C7F"/>
    <w:rsid w:val="005208AC"/>
    <w:rsid w:val="00520B51"/>
    <w:rsid w:val="00521A9A"/>
    <w:rsid w:val="0052286C"/>
    <w:rsid w:val="00522AB9"/>
    <w:rsid w:val="005265B9"/>
    <w:rsid w:val="005307E8"/>
    <w:rsid w:val="0053175E"/>
    <w:rsid w:val="0053345C"/>
    <w:rsid w:val="00533533"/>
    <w:rsid w:val="00534CCB"/>
    <w:rsid w:val="005355D8"/>
    <w:rsid w:val="00535C99"/>
    <w:rsid w:val="00535E24"/>
    <w:rsid w:val="00537E02"/>
    <w:rsid w:val="00542519"/>
    <w:rsid w:val="00542718"/>
    <w:rsid w:val="00543224"/>
    <w:rsid w:val="005440F6"/>
    <w:rsid w:val="00544CCD"/>
    <w:rsid w:val="0054557A"/>
    <w:rsid w:val="00545B35"/>
    <w:rsid w:val="00546DD6"/>
    <w:rsid w:val="00547869"/>
    <w:rsid w:val="0055172C"/>
    <w:rsid w:val="00552517"/>
    <w:rsid w:val="0055350E"/>
    <w:rsid w:val="0055569F"/>
    <w:rsid w:val="0055771D"/>
    <w:rsid w:val="00565055"/>
    <w:rsid w:val="00565635"/>
    <w:rsid w:val="00567AD6"/>
    <w:rsid w:val="00567FCF"/>
    <w:rsid w:val="00570765"/>
    <w:rsid w:val="00570A53"/>
    <w:rsid w:val="00571521"/>
    <w:rsid w:val="00571A65"/>
    <w:rsid w:val="005732BD"/>
    <w:rsid w:val="005733F9"/>
    <w:rsid w:val="00573E59"/>
    <w:rsid w:val="0057490F"/>
    <w:rsid w:val="00575295"/>
    <w:rsid w:val="00576307"/>
    <w:rsid w:val="005773DC"/>
    <w:rsid w:val="00581C01"/>
    <w:rsid w:val="0058242D"/>
    <w:rsid w:val="00582C22"/>
    <w:rsid w:val="00583BD7"/>
    <w:rsid w:val="00584007"/>
    <w:rsid w:val="005845CB"/>
    <w:rsid w:val="0058498A"/>
    <w:rsid w:val="00586350"/>
    <w:rsid w:val="00586CDB"/>
    <w:rsid w:val="005901D2"/>
    <w:rsid w:val="00591133"/>
    <w:rsid w:val="00591A66"/>
    <w:rsid w:val="0059461A"/>
    <w:rsid w:val="00594E31"/>
    <w:rsid w:val="0059732F"/>
    <w:rsid w:val="00597520"/>
    <w:rsid w:val="005A18C5"/>
    <w:rsid w:val="005A33AF"/>
    <w:rsid w:val="005A35AC"/>
    <w:rsid w:val="005A3ED5"/>
    <w:rsid w:val="005A511C"/>
    <w:rsid w:val="005A7CF6"/>
    <w:rsid w:val="005B0586"/>
    <w:rsid w:val="005B2565"/>
    <w:rsid w:val="005B3751"/>
    <w:rsid w:val="005B42EE"/>
    <w:rsid w:val="005B4E9F"/>
    <w:rsid w:val="005B4F7A"/>
    <w:rsid w:val="005B537E"/>
    <w:rsid w:val="005B7C71"/>
    <w:rsid w:val="005C068B"/>
    <w:rsid w:val="005C0918"/>
    <w:rsid w:val="005C0CD9"/>
    <w:rsid w:val="005C4A6B"/>
    <w:rsid w:val="005C661F"/>
    <w:rsid w:val="005D2A59"/>
    <w:rsid w:val="005D42B4"/>
    <w:rsid w:val="005D567C"/>
    <w:rsid w:val="005D6F32"/>
    <w:rsid w:val="005D7844"/>
    <w:rsid w:val="005E1F8E"/>
    <w:rsid w:val="005E26AF"/>
    <w:rsid w:val="005E68C3"/>
    <w:rsid w:val="005E724A"/>
    <w:rsid w:val="005F0C00"/>
    <w:rsid w:val="005F15ED"/>
    <w:rsid w:val="005F33F2"/>
    <w:rsid w:val="005F416B"/>
    <w:rsid w:val="005F4367"/>
    <w:rsid w:val="005F460C"/>
    <w:rsid w:val="005F51F6"/>
    <w:rsid w:val="005F5B77"/>
    <w:rsid w:val="005F74D0"/>
    <w:rsid w:val="00600404"/>
    <w:rsid w:val="0060117A"/>
    <w:rsid w:val="00601BC6"/>
    <w:rsid w:val="00602980"/>
    <w:rsid w:val="00606D6E"/>
    <w:rsid w:val="00612E14"/>
    <w:rsid w:val="0061382E"/>
    <w:rsid w:val="00615082"/>
    <w:rsid w:val="00617F30"/>
    <w:rsid w:val="006231CF"/>
    <w:rsid w:val="00623CC3"/>
    <w:rsid w:val="00625713"/>
    <w:rsid w:val="0062598A"/>
    <w:rsid w:val="00625A52"/>
    <w:rsid w:val="00625CD0"/>
    <w:rsid w:val="006265B7"/>
    <w:rsid w:val="006266A8"/>
    <w:rsid w:val="0062686B"/>
    <w:rsid w:val="00633A74"/>
    <w:rsid w:val="00635B8D"/>
    <w:rsid w:val="00637549"/>
    <w:rsid w:val="00641FF3"/>
    <w:rsid w:val="00642A6F"/>
    <w:rsid w:val="00642E50"/>
    <w:rsid w:val="00644B1F"/>
    <w:rsid w:val="006450EE"/>
    <w:rsid w:val="00646049"/>
    <w:rsid w:val="00647FBA"/>
    <w:rsid w:val="0065268F"/>
    <w:rsid w:val="00653205"/>
    <w:rsid w:val="0065391A"/>
    <w:rsid w:val="00654C7C"/>
    <w:rsid w:val="00656616"/>
    <w:rsid w:val="0065679C"/>
    <w:rsid w:val="00657108"/>
    <w:rsid w:val="006604C1"/>
    <w:rsid w:val="00663306"/>
    <w:rsid w:val="00663909"/>
    <w:rsid w:val="00663E95"/>
    <w:rsid w:val="00664201"/>
    <w:rsid w:val="006659FF"/>
    <w:rsid w:val="006671BC"/>
    <w:rsid w:val="006726B8"/>
    <w:rsid w:val="0067299B"/>
    <w:rsid w:val="00673287"/>
    <w:rsid w:val="00674A45"/>
    <w:rsid w:val="00680344"/>
    <w:rsid w:val="00680679"/>
    <w:rsid w:val="0068077F"/>
    <w:rsid w:val="0068146D"/>
    <w:rsid w:val="00682DB1"/>
    <w:rsid w:val="00683FFB"/>
    <w:rsid w:val="0068535A"/>
    <w:rsid w:val="0068768A"/>
    <w:rsid w:val="00687B2F"/>
    <w:rsid w:val="00690BEA"/>
    <w:rsid w:val="006937D6"/>
    <w:rsid w:val="00695279"/>
    <w:rsid w:val="00695650"/>
    <w:rsid w:val="0069643D"/>
    <w:rsid w:val="006965E9"/>
    <w:rsid w:val="00697C69"/>
    <w:rsid w:val="006A5742"/>
    <w:rsid w:val="006B0769"/>
    <w:rsid w:val="006B0811"/>
    <w:rsid w:val="006B0F12"/>
    <w:rsid w:val="006B2384"/>
    <w:rsid w:val="006B33A7"/>
    <w:rsid w:val="006C1260"/>
    <w:rsid w:val="006C2232"/>
    <w:rsid w:val="006C6800"/>
    <w:rsid w:val="006D0B06"/>
    <w:rsid w:val="006D0BC5"/>
    <w:rsid w:val="006D2239"/>
    <w:rsid w:val="006D2CF2"/>
    <w:rsid w:val="006D2E37"/>
    <w:rsid w:val="006D34C3"/>
    <w:rsid w:val="006D6AD6"/>
    <w:rsid w:val="006E0699"/>
    <w:rsid w:val="006E233B"/>
    <w:rsid w:val="006E2B9F"/>
    <w:rsid w:val="006E327C"/>
    <w:rsid w:val="006E7795"/>
    <w:rsid w:val="006E7E9F"/>
    <w:rsid w:val="006E7FA8"/>
    <w:rsid w:val="006F0057"/>
    <w:rsid w:val="006F00DB"/>
    <w:rsid w:val="006F0E9D"/>
    <w:rsid w:val="006F4623"/>
    <w:rsid w:val="006F4B40"/>
    <w:rsid w:val="006F5634"/>
    <w:rsid w:val="007000BD"/>
    <w:rsid w:val="00701FEA"/>
    <w:rsid w:val="00702A10"/>
    <w:rsid w:val="007040D1"/>
    <w:rsid w:val="007050DD"/>
    <w:rsid w:val="00705A00"/>
    <w:rsid w:val="007069F7"/>
    <w:rsid w:val="00706DE1"/>
    <w:rsid w:val="00710059"/>
    <w:rsid w:val="00710337"/>
    <w:rsid w:val="00710A08"/>
    <w:rsid w:val="007110C9"/>
    <w:rsid w:val="00711138"/>
    <w:rsid w:val="00712349"/>
    <w:rsid w:val="00712FCE"/>
    <w:rsid w:val="007131CA"/>
    <w:rsid w:val="00714155"/>
    <w:rsid w:val="00714835"/>
    <w:rsid w:val="00714BA3"/>
    <w:rsid w:val="00715180"/>
    <w:rsid w:val="0071537B"/>
    <w:rsid w:val="007154EF"/>
    <w:rsid w:val="007167AE"/>
    <w:rsid w:val="00716B4D"/>
    <w:rsid w:val="00720485"/>
    <w:rsid w:val="00721098"/>
    <w:rsid w:val="007229B0"/>
    <w:rsid w:val="0072321E"/>
    <w:rsid w:val="0072495B"/>
    <w:rsid w:val="00725361"/>
    <w:rsid w:val="00726DAA"/>
    <w:rsid w:val="007311E0"/>
    <w:rsid w:val="00732176"/>
    <w:rsid w:val="00733FC7"/>
    <w:rsid w:val="00735E5B"/>
    <w:rsid w:val="007360D3"/>
    <w:rsid w:val="0073644C"/>
    <w:rsid w:val="00736D2D"/>
    <w:rsid w:val="00737641"/>
    <w:rsid w:val="00737C72"/>
    <w:rsid w:val="007428EE"/>
    <w:rsid w:val="007452F9"/>
    <w:rsid w:val="0074660C"/>
    <w:rsid w:val="007469C2"/>
    <w:rsid w:val="007470C3"/>
    <w:rsid w:val="00747B69"/>
    <w:rsid w:val="00750E77"/>
    <w:rsid w:val="00751449"/>
    <w:rsid w:val="00754328"/>
    <w:rsid w:val="00755D95"/>
    <w:rsid w:val="007562BF"/>
    <w:rsid w:val="00756B0E"/>
    <w:rsid w:val="00757BAA"/>
    <w:rsid w:val="00762B9C"/>
    <w:rsid w:val="00763999"/>
    <w:rsid w:val="00766364"/>
    <w:rsid w:val="00766491"/>
    <w:rsid w:val="0076674C"/>
    <w:rsid w:val="00766BCF"/>
    <w:rsid w:val="00767F39"/>
    <w:rsid w:val="007705BC"/>
    <w:rsid w:val="0077221D"/>
    <w:rsid w:val="007726E1"/>
    <w:rsid w:val="00773A4D"/>
    <w:rsid w:val="00774450"/>
    <w:rsid w:val="00774B2E"/>
    <w:rsid w:val="00774F4B"/>
    <w:rsid w:val="007831AC"/>
    <w:rsid w:val="00790F19"/>
    <w:rsid w:val="0079123A"/>
    <w:rsid w:val="0079256F"/>
    <w:rsid w:val="00792FC9"/>
    <w:rsid w:val="0079307B"/>
    <w:rsid w:val="0079396D"/>
    <w:rsid w:val="007941CF"/>
    <w:rsid w:val="00794777"/>
    <w:rsid w:val="007953BD"/>
    <w:rsid w:val="00796F48"/>
    <w:rsid w:val="007A0581"/>
    <w:rsid w:val="007A19FC"/>
    <w:rsid w:val="007A2A5E"/>
    <w:rsid w:val="007A3C6A"/>
    <w:rsid w:val="007A5821"/>
    <w:rsid w:val="007A5952"/>
    <w:rsid w:val="007A6B87"/>
    <w:rsid w:val="007A6E17"/>
    <w:rsid w:val="007A72E6"/>
    <w:rsid w:val="007B0EBF"/>
    <w:rsid w:val="007B12EF"/>
    <w:rsid w:val="007B51E2"/>
    <w:rsid w:val="007B6F81"/>
    <w:rsid w:val="007C08B4"/>
    <w:rsid w:val="007C6A87"/>
    <w:rsid w:val="007C7BA6"/>
    <w:rsid w:val="007D0A64"/>
    <w:rsid w:val="007D1152"/>
    <w:rsid w:val="007D4B9F"/>
    <w:rsid w:val="007D59AE"/>
    <w:rsid w:val="007D5D8D"/>
    <w:rsid w:val="007D608D"/>
    <w:rsid w:val="007D6167"/>
    <w:rsid w:val="007E10A5"/>
    <w:rsid w:val="007E16AA"/>
    <w:rsid w:val="007E2A95"/>
    <w:rsid w:val="007E3D71"/>
    <w:rsid w:val="007F0036"/>
    <w:rsid w:val="007F093C"/>
    <w:rsid w:val="007F2841"/>
    <w:rsid w:val="007F2AC5"/>
    <w:rsid w:val="007F3A3D"/>
    <w:rsid w:val="007F3E30"/>
    <w:rsid w:val="007F48EA"/>
    <w:rsid w:val="007F57ED"/>
    <w:rsid w:val="007F71F4"/>
    <w:rsid w:val="0080096B"/>
    <w:rsid w:val="00800B90"/>
    <w:rsid w:val="00802A66"/>
    <w:rsid w:val="00805ADD"/>
    <w:rsid w:val="008065B5"/>
    <w:rsid w:val="008103A0"/>
    <w:rsid w:val="00810DE3"/>
    <w:rsid w:val="00811609"/>
    <w:rsid w:val="008202E6"/>
    <w:rsid w:val="00821541"/>
    <w:rsid w:val="00821A06"/>
    <w:rsid w:val="008220F3"/>
    <w:rsid w:val="00822273"/>
    <w:rsid w:val="008235DB"/>
    <w:rsid w:val="008238EE"/>
    <w:rsid w:val="00823F4C"/>
    <w:rsid w:val="00823FCA"/>
    <w:rsid w:val="00826FE4"/>
    <w:rsid w:val="00827103"/>
    <w:rsid w:val="008273B9"/>
    <w:rsid w:val="00830647"/>
    <w:rsid w:val="00830E80"/>
    <w:rsid w:val="00832911"/>
    <w:rsid w:val="00833071"/>
    <w:rsid w:val="00833EB7"/>
    <w:rsid w:val="0083643C"/>
    <w:rsid w:val="0084092F"/>
    <w:rsid w:val="00844C87"/>
    <w:rsid w:val="00845E3F"/>
    <w:rsid w:val="00850A87"/>
    <w:rsid w:val="0085219E"/>
    <w:rsid w:val="008532FB"/>
    <w:rsid w:val="008540F0"/>
    <w:rsid w:val="00855141"/>
    <w:rsid w:val="00856383"/>
    <w:rsid w:val="008568C0"/>
    <w:rsid w:val="00857C5E"/>
    <w:rsid w:val="00864874"/>
    <w:rsid w:val="00871CA1"/>
    <w:rsid w:val="00873947"/>
    <w:rsid w:val="00873B58"/>
    <w:rsid w:val="00874F47"/>
    <w:rsid w:val="00876937"/>
    <w:rsid w:val="00877AD3"/>
    <w:rsid w:val="00877D87"/>
    <w:rsid w:val="00880225"/>
    <w:rsid w:val="00880255"/>
    <w:rsid w:val="008810FA"/>
    <w:rsid w:val="00883CA3"/>
    <w:rsid w:val="00884878"/>
    <w:rsid w:val="00885B9C"/>
    <w:rsid w:val="00886D18"/>
    <w:rsid w:val="0088756D"/>
    <w:rsid w:val="00892303"/>
    <w:rsid w:val="00893773"/>
    <w:rsid w:val="00893D48"/>
    <w:rsid w:val="0089434B"/>
    <w:rsid w:val="0089514B"/>
    <w:rsid w:val="00896927"/>
    <w:rsid w:val="00897695"/>
    <w:rsid w:val="00897E16"/>
    <w:rsid w:val="008A144E"/>
    <w:rsid w:val="008A310A"/>
    <w:rsid w:val="008A3298"/>
    <w:rsid w:val="008A36BD"/>
    <w:rsid w:val="008A6603"/>
    <w:rsid w:val="008B2BBF"/>
    <w:rsid w:val="008B54FA"/>
    <w:rsid w:val="008B5F65"/>
    <w:rsid w:val="008B731C"/>
    <w:rsid w:val="008B7793"/>
    <w:rsid w:val="008C0FBD"/>
    <w:rsid w:val="008C1D7D"/>
    <w:rsid w:val="008C3AF0"/>
    <w:rsid w:val="008C4903"/>
    <w:rsid w:val="008C5617"/>
    <w:rsid w:val="008C5AEE"/>
    <w:rsid w:val="008C6687"/>
    <w:rsid w:val="008C70BD"/>
    <w:rsid w:val="008C79C7"/>
    <w:rsid w:val="008C7AC8"/>
    <w:rsid w:val="008D0242"/>
    <w:rsid w:val="008D0FC7"/>
    <w:rsid w:val="008D23EE"/>
    <w:rsid w:val="008D27EF"/>
    <w:rsid w:val="008D280D"/>
    <w:rsid w:val="008D28DF"/>
    <w:rsid w:val="008D2B9A"/>
    <w:rsid w:val="008D2DC8"/>
    <w:rsid w:val="008D34F9"/>
    <w:rsid w:val="008D3D46"/>
    <w:rsid w:val="008D4336"/>
    <w:rsid w:val="008D527B"/>
    <w:rsid w:val="008D745E"/>
    <w:rsid w:val="008D74FA"/>
    <w:rsid w:val="008E29AB"/>
    <w:rsid w:val="008E3279"/>
    <w:rsid w:val="008E36C9"/>
    <w:rsid w:val="008E4074"/>
    <w:rsid w:val="008E44A5"/>
    <w:rsid w:val="008E4EF2"/>
    <w:rsid w:val="008F06F2"/>
    <w:rsid w:val="008F1468"/>
    <w:rsid w:val="008F1E28"/>
    <w:rsid w:val="008F4C4B"/>
    <w:rsid w:val="008F56C2"/>
    <w:rsid w:val="008F5D80"/>
    <w:rsid w:val="008F7B8C"/>
    <w:rsid w:val="009006D2"/>
    <w:rsid w:val="0090518C"/>
    <w:rsid w:val="00906A81"/>
    <w:rsid w:val="009103F3"/>
    <w:rsid w:val="009126A4"/>
    <w:rsid w:val="00913157"/>
    <w:rsid w:val="009163AF"/>
    <w:rsid w:val="00916D52"/>
    <w:rsid w:val="00923D3D"/>
    <w:rsid w:val="00924CCB"/>
    <w:rsid w:val="0092520A"/>
    <w:rsid w:val="009255F8"/>
    <w:rsid w:val="00927978"/>
    <w:rsid w:val="00932FAD"/>
    <w:rsid w:val="00936ECF"/>
    <w:rsid w:val="00937307"/>
    <w:rsid w:val="00937F4E"/>
    <w:rsid w:val="00942478"/>
    <w:rsid w:val="00943C9B"/>
    <w:rsid w:val="009445BA"/>
    <w:rsid w:val="00945130"/>
    <w:rsid w:val="00945B0A"/>
    <w:rsid w:val="00946F68"/>
    <w:rsid w:val="00947512"/>
    <w:rsid w:val="009475F3"/>
    <w:rsid w:val="0094776B"/>
    <w:rsid w:val="00950270"/>
    <w:rsid w:val="00951562"/>
    <w:rsid w:val="00951651"/>
    <w:rsid w:val="00951F2E"/>
    <w:rsid w:val="00953CAB"/>
    <w:rsid w:val="00953EFD"/>
    <w:rsid w:val="00954EF3"/>
    <w:rsid w:val="0095603B"/>
    <w:rsid w:val="00957948"/>
    <w:rsid w:val="00964D2F"/>
    <w:rsid w:val="009668EF"/>
    <w:rsid w:val="00967197"/>
    <w:rsid w:val="0097017F"/>
    <w:rsid w:val="009713CF"/>
    <w:rsid w:val="009729A9"/>
    <w:rsid w:val="00976181"/>
    <w:rsid w:val="009761F8"/>
    <w:rsid w:val="00976AF1"/>
    <w:rsid w:val="00976FB3"/>
    <w:rsid w:val="00977A08"/>
    <w:rsid w:val="0098030D"/>
    <w:rsid w:val="00980F7B"/>
    <w:rsid w:val="00981B13"/>
    <w:rsid w:val="00981E62"/>
    <w:rsid w:val="00983B9F"/>
    <w:rsid w:val="00987E85"/>
    <w:rsid w:val="00991A0D"/>
    <w:rsid w:val="009928E1"/>
    <w:rsid w:val="0099488A"/>
    <w:rsid w:val="00994D57"/>
    <w:rsid w:val="00994F0E"/>
    <w:rsid w:val="00995887"/>
    <w:rsid w:val="00996460"/>
    <w:rsid w:val="0099677B"/>
    <w:rsid w:val="009A153A"/>
    <w:rsid w:val="009A1E07"/>
    <w:rsid w:val="009A25EB"/>
    <w:rsid w:val="009A290D"/>
    <w:rsid w:val="009A2A63"/>
    <w:rsid w:val="009A3959"/>
    <w:rsid w:val="009A4AEB"/>
    <w:rsid w:val="009A74B0"/>
    <w:rsid w:val="009B5190"/>
    <w:rsid w:val="009B5381"/>
    <w:rsid w:val="009B6257"/>
    <w:rsid w:val="009B654F"/>
    <w:rsid w:val="009B70A7"/>
    <w:rsid w:val="009B78B3"/>
    <w:rsid w:val="009C16DF"/>
    <w:rsid w:val="009C1FDC"/>
    <w:rsid w:val="009C2407"/>
    <w:rsid w:val="009C4804"/>
    <w:rsid w:val="009C5D6F"/>
    <w:rsid w:val="009C6AE7"/>
    <w:rsid w:val="009D0BB3"/>
    <w:rsid w:val="009D0FF6"/>
    <w:rsid w:val="009D104E"/>
    <w:rsid w:val="009D1FDF"/>
    <w:rsid w:val="009D2FD9"/>
    <w:rsid w:val="009D3524"/>
    <w:rsid w:val="009D489E"/>
    <w:rsid w:val="009D48F9"/>
    <w:rsid w:val="009D5236"/>
    <w:rsid w:val="009E1667"/>
    <w:rsid w:val="009E17A6"/>
    <w:rsid w:val="009E1BAD"/>
    <w:rsid w:val="009E1CA8"/>
    <w:rsid w:val="009E28E1"/>
    <w:rsid w:val="009E38C1"/>
    <w:rsid w:val="009E6780"/>
    <w:rsid w:val="009E715A"/>
    <w:rsid w:val="009E79EC"/>
    <w:rsid w:val="009F2C91"/>
    <w:rsid w:val="009F3569"/>
    <w:rsid w:val="009F4D99"/>
    <w:rsid w:val="009F50F0"/>
    <w:rsid w:val="009F58C7"/>
    <w:rsid w:val="009F59DB"/>
    <w:rsid w:val="009F5BC5"/>
    <w:rsid w:val="009F5C98"/>
    <w:rsid w:val="00A01327"/>
    <w:rsid w:val="00A018E7"/>
    <w:rsid w:val="00A02DE8"/>
    <w:rsid w:val="00A03911"/>
    <w:rsid w:val="00A05140"/>
    <w:rsid w:val="00A0659A"/>
    <w:rsid w:val="00A06FC9"/>
    <w:rsid w:val="00A10DE1"/>
    <w:rsid w:val="00A11D59"/>
    <w:rsid w:val="00A123C7"/>
    <w:rsid w:val="00A13029"/>
    <w:rsid w:val="00A140FA"/>
    <w:rsid w:val="00A14C46"/>
    <w:rsid w:val="00A14E44"/>
    <w:rsid w:val="00A14E66"/>
    <w:rsid w:val="00A153FA"/>
    <w:rsid w:val="00A16862"/>
    <w:rsid w:val="00A20730"/>
    <w:rsid w:val="00A21211"/>
    <w:rsid w:val="00A220D2"/>
    <w:rsid w:val="00A22538"/>
    <w:rsid w:val="00A232AC"/>
    <w:rsid w:val="00A24194"/>
    <w:rsid w:val="00A262A8"/>
    <w:rsid w:val="00A27E0B"/>
    <w:rsid w:val="00A27E2B"/>
    <w:rsid w:val="00A27F27"/>
    <w:rsid w:val="00A33B7B"/>
    <w:rsid w:val="00A34039"/>
    <w:rsid w:val="00A3552E"/>
    <w:rsid w:val="00A35E94"/>
    <w:rsid w:val="00A36449"/>
    <w:rsid w:val="00A414EE"/>
    <w:rsid w:val="00A417FA"/>
    <w:rsid w:val="00A42760"/>
    <w:rsid w:val="00A42C74"/>
    <w:rsid w:val="00A43F72"/>
    <w:rsid w:val="00A443C7"/>
    <w:rsid w:val="00A452B5"/>
    <w:rsid w:val="00A458B3"/>
    <w:rsid w:val="00A45B60"/>
    <w:rsid w:val="00A45E73"/>
    <w:rsid w:val="00A507E3"/>
    <w:rsid w:val="00A50DB3"/>
    <w:rsid w:val="00A5156F"/>
    <w:rsid w:val="00A54B33"/>
    <w:rsid w:val="00A5551F"/>
    <w:rsid w:val="00A61B0C"/>
    <w:rsid w:val="00A6239B"/>
    <w:rsid w:val="00A62E17"/>
    <w:rsid w:val="00A65CAA"/>
    <w:rsid w:val="00A662CF"/>
    <w:rsid w:val="00A66FC1"/>
    <w:rsid w:val="00A71BB6"/>
    <w:rsid w:val="00A71F1A"/>
    <w:rsid w:val="00A72D76"/>
    <w:rsid w:val="00A766FD"/>
    <w:rsid w:val="00A777BA"/>
    <w:rsid w:val="00A77A42"/>
    <w:rsid w:val="00A80353"/>
    <w:rsid w:val="00A8175D"/>
    <w:rsid w:val="00A820E7"/>
    <w:rsid w:val="00A82DF8"/>
    <w:rsid w:val="00A859F8"/>
    <w:rsid w:val="00A874A9"/>
    <w:rsid w:val="00A91F4F"/>
    <w:rsid w:val="00A9333E"/>
    <w:rsid w:val="00A93C1F"/>
    <w:rsid w:val="00A94EC5"/>
    <w:rsid w:val="00A9554E"/>
    <w:rsid w:val="00A96042"/>
    <w:rsid w:val="00A96FBF"/>
    <w:rsid w:val="00AA08E4"/>
    <w:rsid w:val="00AA31F2"/>
    <w:rsid w:val="00AA3D41"/>
    <w:rsid w:val="00AA406C"/>
    <w:rsid w:val="00AA4467"/>
    <w:rsid w:val="00AA4F9F"/>
    <w:rsid w:val="00AA5E1B"/>
    <w:rsid w:val="00AA6DFB"/>
    <w:rsid w:val="00AA7256"/>
    <w:rsid w:val="00AB0987"/>
    <w:rsid w:val="00AB0F42"/>
    <w:rsid w:val="00AB0F79"/>
    <w:rsid w:val="00AB0FD3"/>
    <w:rsid w:val="00AB3900"/>
    <w:rsid w:val="00AB4358"/>
    <w:rsid w:val="00AB7215"/>
    <w:rsid w:val="00AC005D"/>
    <w:rsid w:val="00AC14DE"/>
    <w:rsid w:val="00AC1DD5"/>
    <w:rsid w:val="00AC2B7C"/>
    <w:rsid w:val="00AC4796"/>
    <w:rsid w:val="00AC56C2"/>
    <w:rsid w:val="00AC5A49"/>
    <w:rsid w:val="00AC5E19"/>
    <w:rsid w:val="00AC6F49"/>
    <w:rsid w:val="00AD2723"/>
    <w:rsid w:val="00AD445D"/>
    <w:rsid w:val="00AD588E"/>
    <w:rsid w:val="00AD590C"/>
    <w:rsid w:val="00AD6F47"/>
    <w:rsid w:val="00AE2781"/>
    <w:rsid w:val="00AE3CD3"/>
    <w:rsid w:val="00AE5C52"/>
    <w:rsid w:val="00AE6A66"/>
    <w:rsid w:val="00AE6D76"/>
    <w:rsid w:val="00AE6E0A"/>
    <w:rsid w:val="00AE7A7F"/>
    <w:rsid w:val="00AF045F"/>
    <w:rsid w:val="00AF0FA2"/>
    <w:rsid w:val="00AF0FDD"/>
    <w:rsid w:val="00AF5A70"/>
    <w:rsid w:val="00AF5C5C"/>
    <w:rsid w:val="00B00CE0"/>
    <w:rsid w:val="00B03FB1"/>
    <w:rsid w:val="00B10888"/>
    <w:rsid w:val="00B12E2D"/>
    <w:rsid w:val="00B15471"/>
    <w:rsid w:val="00B15829"/>
    <w:rsid w:val="00B163C0"/>
    <w:rsid w:val="00B16BCA"/>
    <w:rsid w:val="00B17A9D"/>
    <w:rsid w:val="00B206FA"/>
    <w:rsid w:val="00B2093D"/>
    <w:rsid w:val="00B21C2F"/>
    <w:rsid w:val="00B249B7"/>
    <w:rsid w:val="00B27590"/>
    <w:rsid w:val="00B2764E"/>
    <w:rsid w:val="00B300DD"/>
    <w:rsid w:val="00B30E77"/>
    <w:rsid w:val="00B333C3"/>
    <w:rsid w:val="00B33F27"/>
    <w:rsid w:val="00B34B88"/>
    <w:rsid w:val="00B37A25"/>
    <w:rsid w:val="00B37F06"/>
    <w:rsid w:val="00B40CF9"/>
    <w:rsid w:val="00B43059"/>
    <w:rsid w:val="00B434BF"/>
    <w:rsid w:val="00B44032"/>
    <w:rsid w:val="00B456CC"/>
    <w:rsid w:val="00B46A71"/>
    <w:rsid w:val="00B46FF2"/>
    <w:rsid w:val="00B478EF"/>
    <w:rsid w:val="00B51BAD"/>
    <w:rsid w:val="00B53263"/>
    <w:rsid w:val="00B53E4E"/>
    <w:rsid w:val="00B55BE4"/>
    <w:rsid w:val="00B564A3"/>
    <w:rsid w:val="00B56514"/>
    <w:rsid w:val="00B56551"/>
    <w:rsid w:val="00B57AE9"/>
    <w:rsid w:val="00B57CA2"/>
    <w:rsid w:val="00B606BA"/>
    <w:rsid w:val="00B61184"/>
    <w:rsid w:val="00B6187A"/>
    <w:rsid w:val="00B638BD"/>
    <w:rsid w:val="00B65EB5"/>
    <w:rsid w:val="00B66555"/>
    <w:rsid w:val="00B70953"/>
    <w:rsid w:val="00B71672"/>
    <w:rsid w:val="00B7214C"/>
    <w:rsid w:val="00B7229F"/>
    <w:rsid w:val="00B72CEC"/>
    <w:rsid w:val="00B72D6A"/>
    <w:rsid w:val="00B73156"/>
    <w:rsid w:val="00B73F0C"/>
    <w:rsid w:val="00B74929"/>
    <w:rsid w:val="00B7716B"/>
    <w:rsid w:val="00B777E6"/>
    <w:rsid w:val="00B80134"/>
    <w:rsid w:val="00B80707"/>
    <w:rsid w:val="00B8573F"/>
    <w:rsid w:val="00B85D54"/>
    <w:rsid w:val="00B861D4"/>
    <w:rsid w:val="00B864F5"/>
    <w:rsid w:val="00B8656F"/>
    <w:rsid w:val="00B8737A"/>
    <w:rsid w:val="00B87675"/>
    <w:rsid w:val="00B910DF"/>
    <w:rsid w:val="00B922B9"/>
    <w:rsid w:val="00B92B2F"/>
    <w:rsid w:val="00B95043"/>
    <w:rsid w:val="00B95C32"/>
    <w:rsid w:val="00B96E39"/>
    <w:rsid w:val="00B9749F"/>
    <w:rsid w:val="00BA3026"/>
    <w:rsid w:val="00BA3EFF"/>
    <w:rsid w:val="00BA4972"/>
    <w:rsid w:val="00BA4ACF"/>
    <w:rsid w:val="00BA5FB5"/>
    <w:rsid w:val="00BA5FE7"/>
    <w:rsid w:val="00BA7ABF"/>
    <w:rsid w:val="00BB154D"/>
    <w:rsid w:val="00BB1C24"/>
    <w:rsid w:val="00BB2580"/>
    <w:rsid w:val="00BB27EC"/>
    <w:rsid w:val="00BB36D7"/>
    <w:rsid w:val="00BB37EE"/>
    <w:rsid w:val="00BB530B"/>
    <w:rsid w:val="00BB58D3"/>
    <w:rsid w:val="00BB66F2"/>
    <w:rsid w:val="00BC179B"/>
    <w:rsid w:val="00BC432E"/>
    <w:rsid w:val="00BC5269"/>
    <w:rsid w:val="00BC58C9"/>
    <w:rsid w:val="00BC6774"/>
    <w:rsid w:val="00BC6C8B"/>
    <w:rsid w:val="00BC6EEF"/>
    <w:rsid w:val="00BC7980"/>
    <w:rsid w:val="00BD1108"/>
    <w:rsid w:val="00BD1BF3"/>
    <w:rsid w:val="00BD28C5"/>
    <w:rsid w:val="00BD2FEE"/>
    <w:rsid w:val="00BD4D43"/>
    <w:rsid w:val="00BD4FA7"/>
    <w:rsid w:val="00BD63CA"/>
    <w:rsid w:val="00BD7695"/>
    <w:rsid w:val="00BE0D5C"/>
    <w:rsid w:val="00BE0EE1"/>
    <w:rsid w:val="00BE2513"/>
    <w:rsid w:val="00BE3BBD"/>
    <w:rsid w:val="00BE4BDF"/>
    <w:rsid w:val="00BE5FED"/>
    <w:rsid w:val="00BE65E4"/>
    <w:rsid w:val="00BE7D81"/>
    <w:rsid w:val="00BF060F"/>
    <w:rsid w:val="00BF0AA7"/>
    <w:rsid w:val="00BF1EA0"/>
    <w:rsid w:val="00BF2F97"/>
    <w:rsid w:val="00BF3079"/>
    <w:rsid w:val="00BF35D1"/>
    <w:rsid w:val="00BF59BC"/>
    <w:rsid w:val="00BF650F"/>
    <w:rsid w:val="00BF6ECD"/>
    <w:rsid w:val="00BF71A7"/>
    <w:rsid w:val="00BF7E7A"/>
    <w:rsid w:val="00C00765"/>
    <w:rsid w:val="00C00E26"/>
    <w:rsid w:val="00C01047"/>
    <w:rsid w:val="00C02F5A"/>
    <w:rsid w:val="00C03A2E"/>
    <w:rsid w:val="00C0470D"/>
    <w:rsid w:val="00C05CF0"/>
    <w:rsid w:val="00C06287"/>
    <w:rsid w:val="00C07685"/>
    <w:rsid w:val="00C07835"/>
    <w:rsid w:val="00C12309"/>
    <w:rsid w:val="00C12C75"/>
    <w:rsid w:val="00C153E3"/>
    <w:rsid w:val="00C17082"/>
    <w:rsid w:val="00C208F0"/>
    <w:rsid w:val="00C20D5E"/>
    <w:rsid w:val="00C21670"/>
    <w:rsid w:val="00C21D9F"/>
    <w:rsid w:val="00C2204E"/>
    <w:rsid w:val="00C2334D"/>
    <w:rsid w:val="00C23583"/>
    <w:rsid w:val="00C312CC"/>
    <w:rsid w:val="00C35828"/>
    <w:rsid w:val="00C360E6"/>
    <w:rsid w:val="00C36C67"/>
    <w:rsid w:val="00C3795B"/>
    <w:rsid w:val="00C4066A"/>
    <w:rsid w:val="00C40D0E"/>
    <w:rsid w:val="00C41D7E"/>
    <w:rsid w:val="00C43FC0"/>
    <w:rsid w:val="00C44DF4"/>
    <w:rsid w:val="00C469FC"/>
    <w:rsid w:val="00C50113"/>
    <w:rsid w:val="00C50479"/>
    <w:rsid w:val="00C50A59"/>
    <w:rsid w:val="00C51057"/>
    <w:rsid w:val="00C51DF7"/>
    <w:rsid w:val="00C5255D"/>
    <w:rsid w:val="00C53D84"/>
    <w:rsid w:val="00C559F3"/>
    <w:rsid w:val="00C56BAB"/>
    <w:rsid w:val="00C57E14"/>
    <w:rsid w:val="00C602B7"/>
    <w:rsid w:val="00C60D92"/>
    <w:rsid w:val="00C60D94"/>
    <w:rsid w:val="00C60FEC"/>
    <w:rsid w:val="00C61F75"/>
    <w:rsid w:val="00C65930"/>
    <w:rsid w:val="00C66F2C"/>
    <w:rsid w:val="00C6764B"/>
    <w:rsid w:val="00C67F9E"/>
    <w:rsid w:val="00C70E47"/>
    <w:rsid w:val="00C719B4"/>
    <w:rsid w:val="00C738A5"/>
    <w:rsid w:val="00C74393"/>
    <w:rsid w:val="00C75AB0"/>
    <w:rsid w:val="00C75BFF"/>
    <w:rsid w:val="00C769B2"/>
    <w:rsid w:val="00C76B32"/>
    <w:rsid w:val="00C7749A"/>
    <w:rsid w:val="00C7796B"/>
    <w:rsid w:val="00C77D2F"/>
    <w:rsid w:val="00C800FD"/>
    <w:rsid w:val="00C827B2"/>
    <w:rsid w:val="00C82AA4"/>
    <w:rsid w:val="00C82C22"/>
    <w:rsid w:val="00C8305C"/>
    <w:rsid w:val="00C83E5C"/>
    <w:rsid w:val="00C844D6"/>
    <w:rsid w:val="00C85FF6"/>
    <w:rsid w:val="00C86EF6"/>
    <w:rsid w:val="00C86F56"/>
    <w:rsid w:val="00C918B8"/>
    <w:rsid w:val="00C9233F"/>
    <w:rsid w:val="00C930FF"/>
    <w:rsid w:val="00C9326B"/>
    <w:rsid w:val="00C95691"/>
    <w:rsid w:val="00C965B8"/>
    <w:rsid w:val="00C96A47"/>
    <w:rsid w:val="00C970CE"/>
    <w:rsid w:val="00C97A4E"/>
    <w:rsid w:val="00CA113C"/>
    <w:rsid w:val="00CA1AF9"/>
    <w:rsid w:val="00CA1ECD"/>
    <w:rsid w:val="00CA4C7F"/>
    <w:rsid w:val="00CA573F"/>
    <w:rsid w:val="00CA73B3"/>
    <w:rsid w:val="00CB10A2"/>
    <w:rsid w:val="00CB13B7"/>
    <w:rsid w:val="00CB616A"/>
    <w:rsid w:val="00CB7087"/>
    <w:rsid w:val="00CB723D"/>
    <w:rsid w:val="00CB7F80"/>
    <w:rsid w:val="00CC0D7F"/>
    <w:rsid w:val="00CC221B"/>
    <w:rsid w:val="00CC27E6"/>
    <w:rsid w:val="00CC41BD"/>
    <w:rsid w:val="00CC41EE"/>
    <w:rsid w:val="00CC49DF"/>
    <w:rsid w:val="00CD061B"/>
    <w:rsid w:val="00CD0BF5"/>
    <w:rsid w:val="00CD0FA4"/>
    <w:rsid w:val="00CD1089"/>
    <w:rsid w:val="00CD1BCD"/>
    <w:rsid w:val="00CD2F9A"/>
    <w:rsid w:val="00CD36DB"/>
    <w:rsid w:val="00CD41D5"/>
    <w:rsid w:val="00CD41F8"/>
    <w:rsid w:val="00CD6D61"/>
    <w:rsid w:val="00CD7D66"/>
    <w:rsid w:val="00CD7FFC"/>
    <w:rsid w:val="00CE2C6E"/>
    <w:rsid w:val="00CE2D75"/>
    <w:rsid w:val="00CE42F1"/>
    <w:rsid w:val="00CE4766"/>
    <w:rsid w:val="00CE6C66"/>
    <w:rsid w:val="00CE799B"/>
    <w:rsid w:val="00CF046A"/>
    <w:rsid w:val="00CF321C"/>
    <w:rsid w:val="00CF4FE6"/>
    <w:rsid w:val="00CF556F"/>
    <w:rsid w:val="00CF5974"/>
    <w:rsid w:val="00D0030F"/>
    <w:rsid w:val="00D00926"/>
    <w:rsid w:val="00D0445F"/>
    <w:rsid w:val="00D0608D"/>
    <w:rsid w:val="00D061D5"/>
    <w:rsid w:val="00D06E87"/>
    <w:rsid w:val="00D06EFC"/>
    <w:rsid w:val="00D074BF"/>
    <w:rsid w:val="00D1197E"/>
    <w:rsid w:val="00D122E5"/>
    <w:rsid w:val="00D146BF"/>
    <w:rsid w:val="00D1619E"/>
    <w:rsid w:val="00D17EE0"/>
    <w:rsid w:val="00D206B3"/>
    <w:rsid w:val="00D219C1"/>
    <w:rsid w:val="00D22C33"/>
    <w:rsid w:val="00D27373"/>
    <w:rsid w:val="00D2753E"/>
    <w:rsid w:val="00D30940"/>
    <w:rsid w:val="00D30996"/>
    <w:rsid w:val="00D32833"/>
    <w:rsid w:val="00D33DA7"/>
    <w:rsid w:val="00D3507E"/>
    <w:rsid w:val="00D354D0"/>
    <w:rsid w:val="00D41D9A"/>
    <w:rsid w:val="00D41DD6"/>
    <w:rsid w:val="00D4375D"/>
    <w:rsid w:val="00D43ECD"/>
    <w:rsid w:val="00D441B1"/>
    <w:rsid w:val="00D461E5"/>
    <w:rsid w:val="00D472D8"/>
    <w:rsid w:val="00D511C5"/>
    <w:rsid w:val="00D5255B"/>
    <w:rsid w:val="00D52F22"/>
    <w:rsid w:val="00D538F6"/>
    <w:rsid w:val="00D5457D"/>
    <w:rsid w:val="00D54EF5"/>
    <w:rsid w:val="00D551E2"/>
    <w:rsid w:val="00D564B3"/>
    <w:rsid w:val="00D56FF4"/>
    <w:rsid w:val="00D61E55"/>
    <w:rsid w:val="00D6213A"/>
    <w:rsid w:val="00D625F8"/>
    <w:rsid w:val="00D64A03"/>
    <w:rsid w:val="00D65A3B"/>
    <w:rsid w:val="00D65E20"/>
    <w:rsid w:val="00D67717"/>
    <w:rsid w:val="00D70223"/>
    <w:rsid w:val="00D73760"/>
    <w:rsid w:val="00D74036"/>
    <w:rsid w:val="00D753D8"/>
    <w:rsid w:val="00D763C0"/>
    <w:rsid w:val="00D802BD"/>
    <w:rsid w:val="00D808EE"/>
    <w:rsid w:val="00D872D9"/>
    <w:rsid w:val="00D87D32"/>
    <w:rsid w:val="00D87FE7"/>
    <w:rsid w:val="00D91885"/>
    <w:rsid w:val="00D93000"/>
    <w:rsid w:val="00D93663"/>
    <w:rsid w:val="00D94097"/>
    <w:rsid w:val="00D95450"/>
    <w:rsid w:val="00D95C37"/>
    <w:rsid w:val="00D95DDC"/>
    <w:rsid w:val="00D96361"/>
    <w:rsid w:val="00D96B60"/>
    <w:rsid w:val="00DA0634"/>
    <w:rsid w:val="00DA304C"/>
    <w:rsid w:val="00DA38B5"/>
    <w:rsid w:val="00DA3E6F"/>
    <w:rsid w:val="00DA461D"/>
    <w:rsid w:val="00DA62C5"/>
    <w:rsid w:val="00DA7CB8"/>
    <w:rsid w:val="00DA7DA7"/>
    <w:rsid w:val="00DB0410"/>
    <w:rsid w:val="00DB0871"/>
    <w:rsid w:val="00DB0A11"/>
    <w:rsid w:val="00DB0CB2"/>
    <w:rsid w:val="00DB0DF6"/>
    <w:rsid w:val="00DB0F7F"/>
    <w:rsid w:val="00DB3D52"/>
    <w:rsid w:val="00DB4242"/>
    <w:rsid w:val="00DC08BC"/>
    <w:rsid w:val="00DC1E39"/>
    <w:rsid w:val="00DC1F63"/>
    <w:rsid w:val="00DD0826"/>
    <w:rsid w:val="00DD1011"/>
    <w:rsid w:val="00DD139C"/>
    <w:rsid w:val="00DD19A3"/>
    <w:rsid w:val="00DD6321"/>
    <w:rsid w:val="00DE221F"/>
    <w:rsid w:val="00DE3A2A"/>
    <w:rsid w:val="00DE55E6"/>
    <w:rsid w:val="00DE5DBB"/>
    <w:rsid w:val="00DE6862"/>
    <w:rsid w:val="00DF002F"/>
    <w:rsid w:val="00DF169D"/>
    <w:rsid w:val="00DF1BC3"/>
    <w:rsid w:val="00DF21E2"/>
    <w:rsid w:val="00DF2C32"/>
    <w:rsid w:val="00DF7AE1"/>
    <w:rsid w:val="00E01013"/>
    <w:rsid w:val="00E0241F"/>
    <w:rsid w:val="00E04482"/>
    <w:rsid w:val="00E0483B"/>
    <w:rsid w:val="00E04D37"/>
    <w:rsid w:val="00E05840"/>
    <w:rsid w:val="00E07968"/>
    <w:rsid w:val="00E1026D"/>
    <w:rsid w:val="00E10BA8"/>
    <w:rsid w:val="00E11F69"/>
    <w:rsid w:val="00E12448"/>
    <w:rsid w:val="00E1255B"/>
    <w:rsid w:val="00E14683"/>
    <w:rsid w:val="00E14932"/>
    <w:rsid w:val="00E15678"/>
    <w:rsid w:val="00E2055E"/>
    <w:rsid w:val="00E207DB"/>
    <w:rsid w:val="00E211AE"/>
    <w:rsid w:val="00E21EFB"/>
    <w:rsid w:val="00E22039"/>
    <w:rsid w:val="00E2267F"/>
    <w:rsid w:val="00E22A41"/>
    <w:rsid w:val="00E235D4"/>
    <w:rsid w:val="00E23893"/>
    <w:rsid w:val="00E23F07"/>
    <w:rsid w:val="00E25676"/>
    <w:rsid w:val="00E25BC8"/>
    <w:rsid w:val="00E25FBA"/>
    <w:rsid w:val="00E267D6"/>
    <w:rsid w:val="00E270B7"/>
    <w:rsid w:val="00E27C9F"/>
    <w:rsid w:val="00E32B0A"/>
    <w:rsid w:val="00E33EBB"/>
    <w:rsid w:val="00E36A50"/>
    <w:rsid w:val="00E37B33"/>
    <w:rsid w:val="00E41B22"/>
    <w:rsid w:val="00E41FD2"/>
    <w:rsid w:val="00E43C87"/>
    <w:rsid w:val="00E4490D"/>
    <w:rsid w:val="00E44BDB"/>
    <w:rsid w:val="00E457BF"/>
    <w:rsid w:val="00E459A3"/>
    <w:rsid w:val="00E5143E"/>
    <w:rsid w:val="00E528EB"/>
    <w:rsid w:val="00E52E2A"/>
    <w:rsid w:val="00E5370B"/>
    <w:rsid w:val="00E56811"/>
    <w:rsid w:val="00E56A3E"/>
    <w:rsid w:val="00E6139F"/>
    <w:rsid w:val="00E61E1E"/>
    <w:rsid w:val="00E61E83"/>
    <w:rsid w:val="00E62387"/>
    <w:rsid w:val="00E64B3B"/>
    <w:rsid w:val="00E6589F"/>
    <w:rsid w:val="00E67D97"/>
    <w:rsid w:val="00E710A5"/>
    <w:rsid w:val="00E71247"/>
    <w:rsid w:val="00E71A05"/>
    <w:rsid w:val="00E71F8C"/>
    <w:rsid w:val="00E733DB"/>
    <w:rsid w:val="00E742BC"/>
    <w:rsid w:val="00E802EA"/>
    <w:rsid w:val="00E80AB0"/>
    <w:rsid w:val="00E82EE6"/>
    <w:rsid w:val="00E8435E"/>
    <w:rsid w:val="00E90B9D"/>
    <w:rsid w:val="00E91012"/>
    <w:rsid w:val="00E9222E"/>
    <w:rsid w:val="00E923F1"/>
    <w:rsid w:val="00E92B0B"/>
    <w:rsid w:val="00E93762"/>
    <w:rsid w:val="00E96A6F"/>
    <w:rsid w:val="00E97F59"/>
    <w:rsid w:val="00EA097D"/>
    <w:rsid w:val="00EA1B79"/>
    <w:rsid w:val="00EA42B1"/>
    <w:rsid w:val="00EA4BDE"/>
    <w:rsid w:val="00EA5EED"/>
    <w:rsid w:val="00EA6D03"/>
    <w:rsid w:val="00EB0D89"/>
    <w:rsid w:val="00EB1D3D"/>
    <w:rsid w:val="00EB2F15"/>
    <w:rsid w:val="00EB3D8A"/>
    <w:rsid w:val="00EB4AF9"/>
    <w:rsid w:val="00EB6139"/>
    <w:rsid w:val="00EB711D"/>
    <w:rsid w:val="00EB7737"/>
    <w:rsid w:val="00EC0476"/>
    <w:rsid w:val="00EC3436"/>
    <w:rsid w:val="00EC5EC1"/>
    <w:rsid w:val="00EC71ED"/>
    <w:rsid w:val="00EC72F4"/>
    <w:rsid w:val="00EC7486"/>
    <w:rsid w:val="00ED04F4"/>
    <w:rsid w:val="00ED2536"/>
    <w:rsid w:val="00ED27A5"/>
    <w:rsid w:val="00ED7B38"/>
    <w:rsid w:val="00EE0057"/>
    <w:rsid w:val="00EE0E84"/>
    <w:rsid w:val="00EE120A"/>
    <w:rsid w:val="00EE18CC"/>
    <w:rsid w:val="00EE208F"/>
    <w:rsid w:val="00EE308D"/>
    <w:rsid w:val="00EE38C2"/>
    <w:rsid w:val="00EE44C9"/>
    <w:rsid w:val="00EE62F4"/>
    <w:rsid w:val="00EF087C"/>
    <w:rsid w:val="00EF2422"/>
    <w:rsid w:val="00EF2769"/>
    <w:rsid w:val="00EF2872"/>
    <w:rsid w:val="00EF366A"/>
    <w:rsid w:val="00EF4DF3"/>
    <w:rsid w:val="00EF65AF"/>
    <w:rsid w:val="00EF66FF"/>
    <w:rsid w:val="00F027DC"/>
    <w:rsid w:val="00F02F28"/>
    <w:rsid w:val="00F030F5"/>
    <w:rsid w:val="00F042E4"/>
    <w:rsid w:val="00F0799D"/>
    <w:rsid w:val="00F12744"/>
    <w:rsid w:val="00F134A8"/>
    <w:rsid w:val="00F1367D"/>
    <w:rsid w:val="00F13F24"/>
    <w:rsid w:val="00F1419E"/>
    <w:rsid w:val="00F14488"/>
    <w:rsid w:val="00F1472A"/>
    <w:rsid w:val="00F16EEB"/>
    <w:rsid w:val="00F17DB8"/>
    <w:rsid w:val="00F209D8"/>
    <w:rsid w:val="00F20F42"/>
    <w:rsid w:val="00F235A7"/>
    <w:rsid w:val="00F25397"/>
    <w:rsid w:val="00F266EB"/>
    <w:rsid w:val="00F278E2"/>
    <w:rsid w:val="00F27ED1"/>
    <w:rsid w:val="00F30CF8"/>
    <w:rsid w:val="00F31315"/>
    <w:rsid w:val="00F32350"/>
    <w:rsid w:val="00F32B4F"/>
    <w:rsid w:val="00F337F0"/>
    <w:rsid w:val="00F34AA8"/>
    <w:rsid w:val="00F362BC"/>
    <w:rsid w:val="00F368CA"/>
    <w:rsid w:val="00F36BFC"/>
    <w:rsid w:val="00F40408"/>
    <w:rsid w:val="00F41E79"/>
    <w:rsid w:val="00F42301"/>
    <w:rsid w:val="00F42F0E"/>
    <w:rsid w:val="00F42F5E"/>
    <w:rsid w:val="00F435A3"/>
    <w:rsid w:val="00F43BA3"/>
    <w:rsid w:val="00F46297"/>
    <w:rsid w:val="00F46ABC"/>
    <w:rsid w:val="00F51720"/>
    <w:rsid w:val="00F5172B"/>
    <w:rsid w:val="00F5174F"/>
    <w:rsid w:val="00F53655"/>
    <w:rsid w:val="00F53C1E"/>
    <w:rsid w:val="00F55290"/>
    <w:rsid w:val="00F55956"/>
    <w:rsid w:val="00F56CA9"/>
    <w:rsid w:val="00F6071E"/>
    <w:rsid w:val="00F60E4A"/>
    <w:rsid w:val="00F614AD"/>
    <w:rsid w:val="00F616C5"/>
    <w:rsid w:val="00F62CFC"/>
    <w:rsid w:val="00F63742"/>
    <w:rsid w:val="00F639E2"/>
    <w:rsid w:val="00F64C6B"/>
    <w:rsid w:val="00F65284"/>
    <w:rsid w:val="00F67D42"/>
    <w:rsid w:val="00F7089D"/>
    <w:rsid w:val="00F70B55"/>
    <w:rsid w:val="00F711FF"/>
    <w:rsid w:val="00F71512"/>
    <w:rsid w:val="00F74363"/>
    <w:rsid w:val="00F74FA5"/>
    <w:rsid w:val="00F75D57"/>
    <w:rsid w:val="00F7658C"/>
    <w:rsid w:val="00F769FF"/>
    <w:rsid w:val="00F77E6A"/>
    <w:rsid w:val="00F81AEE"/>
    <w:rsid w:val="00F81D93"/>
    <w:rsid w:val="00F831FB"/>
    <w:rsid w:val="00F8338B"/>
    <w:rsid w:val="00F86C62"/>
    <w:rsid w:val="00F86C8D"/>
    <w:rsid w:val="00F87B17"/>
    <w:rsid w:val="00F907B5"/>
    <w:rsid w:val="00F91BD0"/>
    <w:rsid w:val="00F92D4A"/>
    <w:rsid w:val="00F93164"/>
    <w:rsid w:val="00F93332"/>
    <w:rsid w:val="00F940A3"/>
    <w:rsid w:val="00F9413F"/>
    <w:rsid w:val="00F94688"/>
    <w:rsid w:val="00F94A2D"/>
    <w:rsid w:val="00F94D21"/>
    <w:rsid w:val="00F94F18"/>
    <w:rsid w:val="00FA11D0"/>
    <w:rsid w:val="00FA14EB"/>
    <w:rsid w:val="00FA344A"/>
    <w:rsid w:val="00FA39DE"/>
    <w:rsid w:val="00FA406D"/>
    <w:rsid w:val="00FA44DE"/>
    <w:rsid w:val="00FA4570"/>
    <w:rsid w:val="00FA690F"/>
    <w:rsid w:val="00FA6F39"/>
    <w:rsid w:val="00FB1699"/>
    <w:rsid w:val="00FB3748"/>
    <w:rsid w:val="00FB497E"/>
    <w:rsid w:val="00FB5056"/>
    <w:rsid w:val="00FB687A"/>
    <w:rsid w:val="00FB6C20"/>
    <w:rsid w:val="00FB70A9"/>
    <w:rsid w:val="00FB7B1E"/>
    <w:rsid w:val="00FB7E68"/>
    <w:rsid w:val="00FC015B"/>
    <w:rsid w:val="00FC019D"/>
    <w:rsid w:val="00FC043A"/>
    <w:rsid w:val="00FC0A26"/>
    <w:rsid w:val="00FC19A6"/>
    <w:rsid w:val="00FC1EC5"/>
    <w:rsid w:val="00FC3C87"/>
    <w:rsid w:val="00FC4239"/>
    <w:rsid w:val="00FC42AC"/>
    <w:rsid w:val="00FC4529"/>
    <w:rsid w:val="00FC4A27"/>
    <w:rsid w:val="00FC5AB0"/>
    <w:rsid w:val="00FC6AFC"/>
    <w:rsid w:val="00FC7B79"/>
    <w:rsid w:val="00FD0A85"/>
    <w:rsid w:val="00FD0CB0"/>
    <w:rsid w:val="00FD1315"/>
    <w:rsid w:val="00FD19F3"/>
    <w:rsid w:val="00FD35E7"/>
    <w:rsid w:val="00FD3773"/>
    <w:rsid w:val="00FD637C"/>
    <w:rsid w:val="00FD7633"/>
    <w:rsid w:val="00FD7BD8"/>
    <w:rsid w:val="00FE0EA8"/>
    <w:rsid w:val="00FE1536"/>
    <w:rsid w:val="00FE25EE"/>
    <w:rsid w:val="00FE4491"/>
    <w:rsid w:val="00FE5718"/>
    <w:rsid w:val="00FE68CD"/>
    <w:rsid w:val="00FE7096"/>
    <w:rsid w:val="00FE7FC1"/>
    <w:rsid w:val="00FF061A"/>
    <w:rsid w:val="00FF1646"/>
    <w:rsid w:val="00FF1BA3"/>
    <w:rsid w:val="00FF2137"/>
    <w:rsid w:val="00FF2274"/>
    <w:rsid w:val="00FF2D07"/>
    <w:rsid w:val="00FF2FEE"/>
    <w:rsid w:val="00FF3DA4"/>
    <w:rsid w:val="00FF57BE"/>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9C6AE7"/>
    <w:pPr>
      <w:numPr>
        <w:ilvl w:val="2"/>
      </w:numPr>
      <w:spacing w:before="240"/>
      <w:outlineLvl w:val="2"/>
    </w:pPr>
    <w:rPr>
      <w:b/>
      <w:color w:val="auto"/>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9C6AE7"/>
    <w:rPr>
      <w:rFonts w:ascii="Helvetica" w:eastAsia="Times New Roman" w:hAnsi="Helvetica" w:cs="Arial"/>
      <w:b/>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395B50"/>
    <w:pPr>
      <w:jc w:val="left"/>
    </w:pPr>
    <w:rPr>
      <w:bCs/>
      <w:lang w:bidi="km-KH"/>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uiPriority w:val="99"/>
    <w:rsid w:val="00235D29"/>
    <w:pPr>
      <w:numPr>
        <w:numId w:val="7"/>
      </w:numPr>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date-display-single">
    <w:name w:val="date-display-single"/>
    <w:basedOn w:val="DefaultParagraphFont"/>
    <w:rsid w:val="0039245F"/>
  </w:style>
  <w:style w:type="paragraph" w:customStyle="1" w:styleId="Default">
    <w:name w:val="Default"/>
    <w:rsid w:val="0039245F"/>
    <w:pPr>
      <w:autoSpaceDE w:val="0"/>
      <w:autoSpaceDN w:val="0"/>
      <w:adjustRightInd w:val="0"/>
      <w:spacing w:after="0" w:line="240" w:lineRule="auto"/>
    </w:pPr>
    <w:rPr>
      <w:rFonts w:ascii="Arial" w:hAnsi="Arial" w:cs="Arial"/>
      <w:color w:val="000000"/>
      <w:sz w:val="24"/>
      <w:szCs w:val="24"/>
      <w:lang w:bidi="km-K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9C6AE7"/>
    <w:pPr>
      <w:numPr>
        <w:ilvl w:val="2"/>
      </w:numPr>
      <w:spacing w:before="240"/>
      <w:outlineLvl w:val="2"/>
    </w:pPr>
    <w:rPr>
      <w:b/>
      <w:color w:val="auto"/>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9C6AE7"/>
    <w:rPr>
      <w:rFonts w:ascii="Helvetica" w:eastAsia="Times New Roman" w:hAnsi="Helvetica" w:cs="Arial"/>
      <w:b/>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395B50"/>
    <w:pPr>
      <w:jc w:val="left"/>
    </w:pPr>
    <w:rPr>
      <w:bCs/>
      <w:lang w:bidi="km-KH"/>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uiPriority w:val="99"/>
    <w:rsid w:val="00235D29"/>
    <w:pPr>
      <w:numPr>
        <w:numId w:val="7"/>
      </w:numPr>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date-display-single">
    <w:name w:val="date-display-single"/>
    <w:basedOn w:val="DefaultParagraphFont"/>
    <w:rsid w:val="0039245F"/>
  </w:style>
  <w:style w:type="paragraph" w:customStyle="1" w:styleId="Default">
    <w:name w:val="Default"/>
    <w:rsid w:val="0039245F"/>
    <w:pPr>
      <w:autoSpaceDE w:val="0"/>
      <w:autoSpaceDN w:val="0"/>
      <w:adjustRightInd w:val="0"/>
      <w:spacing w:after="0" w:line="240" w:lineRule="auto"/>
    </w:pPr>
    <w:rPr>
      <w:rFonts w:ascii="Arial" w:hAnsi="Arial" w:cs="Arial"/>
      <w:color w:val="000000"/>
      <w:sz w:val="24"/>
      <w:szCs w:val="24"/>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7677">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465240879">
      <w:bodyDiv w:val="1"/>
      <w:marLeft w:val="0"/>
      <w:marRight w:val="0"/>
      <w:marTop w:val="0"/>
      <w:marBottom w:val="0"/>
      <w:divBdr>
        <w:top w:val="none" w:sz="0" w:space="0" w:color="auto"/>
        <w:left w:val="none" w:sz="0" w:space="0" w:color="auto"/>
        <w:bottom w:val="none" w:sz="0" w:space="0" w:color="auto"/>
        <w:right w:val="none" w:sz="0" w:space="0" w:color="auto"/>
      </w:divBdr>
    </w:div>
    <w:div w:id="527062044">
      <w:bodyDiv w:val="1"/>
      <w:marLeft w:val="0"/>
      <w:marRight w:val="0"/>
      <w:marTop w:val="0"/>
      <w:marBottom w:val="0"/>
      <w:divBdr>
        <w:top w:val="none" w:sz="0" w:space="0" w:color="auto"/>
        <w:left w:val="none" w:sz="0" w:space="0" w:color="auto"/>
        <w:bottom w:val="none" w:sz="0" w:space="0" w:color="auto"/>
        <w:right w:val="none" w:sz="0" w:space="0" w:color="auto"/>
      </w:divBdr>
    </w:div>
    <w:div w:id="538126869">
      <w:bodyDiv w:val="1"/>
      <w:marLeft w:val="0"/>
      <w:marRight w:val="0"/>
      <w:marTop w:val="0"/>
      <w:marBottom w:val="0"/>
      <w:divBdr>
        <w:top w:val="none" w:sz="0" w:space="0" w:color="auto"/>
        <w:left w:val="none" w:sz="0" w:space="0" w:color="auto"/>
        <w:bottom w:val="none" w:sz="0" w:space="0" w:color="auto"/>
        <w:right w:val="none" w:sz="0" w:space="0" w:color="auto"/>
      </w:divBdr>
    </w:div>
    <w:div w:id="596910709">
      <w:bodyDiv w:val="1"/>
      <w:marLeft w:val="0"/>
      <w:marRight w:val="0"/>
      <w:marTop w:val="0"/>
      <w:marBottom w:val="0"/>
      <w:divBdr>
        <w:top w:val="none" w:sz="0" w:space="0" w:color="auto"/>
        <w:left w:val="none" w:sz="0" w:space="0" w:color="auto"/>
        <w:bottom w:val="none" w:sz="0" w:space="0" w:color="auto"/>
        <w:right w:val="none" w:sz="0" w:space="0" w:color="auto"/>
      </w:divBdr>
    </w:div>
    <w:div w:id="623341899">
      <w:bodyDiv w:val="1"/>
      <w:marLeft w:val="0"/>
      <w:marRight w:val="0"/>
      <w:marTop w:val="0"/>
      <w:marBottom w:val="0"/>
      <w:divBdr>
        <w:top w:val="none" w:sz="0" w:space="0" w:color="auto"/>
        <w:left w:val="none" w:sz="0" w:space="0" w:color="auto"/>
        <w:bottom w:val="none" w:sz="0" w:space="0" w:color="auto"/>
        <w:right w:val="none" w:sz="0" w:space="0" w:color="auto"/>
      </w:divBdr>
    </w:div>
    <w:div w:id="751779056">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0124858">
      <w:bodyDiv w:val="1"/>
      <w:marLeft w:val="0"/>
      <w:marRight w:val="0"/>
      <w:marTop w:val="0"/>
      <w:marBottom w:val="0"/>
      <w:divBdr>
        <w:top w:val="none" w:sz="0" w:space="0" w:color="auto"/>
        <w:left w:val="none" w:sz="0" w:space="0" w:color="auto"/>
        <w:bottom w:val="none" w:sz="0" w:space="0" w:color="auto"/>
        <w:right w:val="none" w:sz="0" w:space="0" w:color="auto"/>
      </w:divBdr>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168977">
      <w:bodyDiv w:val="1"/>
      <w:marLeft w:val="0"/>
      <w:marRight w:val="0"/>
      <w:marTop w:val="0"/>
      <w:marBottom w:val="0"/>
      <w:divBdr>
        <w:top w:val="none" w:sz="0" w:space="0" w:color="auto"/>
        <w:left w:val="none" w:sz="0" w:space="0" w:color="auto"/>
        <w:bottom w:val="none" w:sz="0" w:space="0" w:color="auto"/>
        <w:right w:val="none" w:sz="0" w:space="0" w:color="auto"/>
      </w:divBdr>
    </w:div>
    <w:div w:id="982003413">
      <w:bodyDiv w:val="1"/>
      <w:marLeft w:val="0"/>
      <w:marRight w:val="0"/>
      <w:marTop w:val="0"/>
      <w:marBottom w:val="0"/>
      <w:divBdr>
        <w:top w:val="none" w:sz="0" w:space="0" w:color="auto"/>
        <w:left w:val="none" w:sz="0" w:space="0" w:color="auto"/>
        <w:bottom w:val="none" w:sz="0" w:space="0" w:color="auto"/>
        <w:right w:val="none" w:sz="0" w:space="0" w:color="auto"/>
      </w:divBdr>
    </w:div>
    <w:div w:id="1081683338">
      <w:bodyDiv w:val="1"/>
      <w:marLeft w:val="0"/>
      <w:marRight w:val="0"/>
      <w:marTop w:val="0"/>
      <w:marBottom w:val="0"/>
      <w:divBdr>
        <w:top w:val="none" w:sz="0" w:space="0" w:color="auto"/>
        <w:left w:val="none" w:sz="0" w:space="0" w:color="auto"/>
        <w:bottom w:val="none" w:sz="0" w:space="0" w:color="auto"/>
        <w:right w:val="none" w:sz="0" w:space="0" w:color="auto"/>
      </w:divBdr>
      <w:divsChild>
        <w:div w:id="2124180306">
          <w:marLeft w:val="0"/>
          <w:marRight w:val="0"/>
          <w:marTop w:val="0"/>
          <w:marBottom w:val="0"/>
          <w:divBdr>
            <w:top w:val="none" w:sz="0" w:space="0" w:color="auto"/>
            <w:left w:val="none" w:sz="0" w:space="0" w:color="auto"/>
            <w:bottom w:val="none" w:sz="0" w:space="0" w:color="auto"/>
            <w:right w:val="none" w:sz="0" w:space="0" w:color="auto"/>
          </w:divBdr>
          <w:divsChild>
            <w:div w:id="1350837407">
              <w:marLeft w:val="0"/>
              <w:marRight w:val="0"/>
              <w:marTop w:val="0"/>
              <w:marBottom w:val="0"/>
              <w:divBdr>
                <w:top w:val="none" w:sz="0" w:space="0" w:color="auto"/>
                <w:left w:val="none" w:sz="0" w:space="0" w:color="auto"/>
                <w:bottom w:val="none" w:sz="0" w:space="0" w:color="auto"/>
                <w:right w:val="none" w:sz="0" w:space="0" w:color="auto"/>
              </w:divBdr>
              <w:divsChild>
                <w:div w:id="680668489">
                  <w:marLeft w:val="0"/>
                  <w:marRight w:val="0"/>
                  <w:marTop w:val="0"/>
                  <w:marBottom w:val="0"/>
                  <w:divBdr>
                    <w:top w:val="none" w:sz="0" w:space="0" w:color="auto"/>
                    <w:left w:val="none" w:sz="0" w:space="0" w:color="auto"/>
                    <w:bottom w:val="none" w:sz="0" w:space="0" w:color="auto"/>
                    <w:right w:val="none" w:sz="0" w:space="0" w:color="auto"/>
                  </w:divBdr>
                  <w:divsChild>
                    <w:div w:id="974988612">
                      <w:marLeft w:val="-150"/>
                      <w:marRight w:val="-150"/>
                      <w:marTop w:val="0"/>
                      <w:marBottom w:val="0"/>
                      <w:divBdr>
                        <w:top w:val="single" w:sz="2" w:space="0" w:color="auto"/>
                        <w:left w:val="single" w:sz="2" w:space="0" w:color="auto"/>
                        <w:bottom w:val="single" w:sz="2" w:space="0" w:color="auto"/>
                        <w:right w:val="single" w:sz="2" w:space="0" w:color="auto"/>
                      </w:divBdr>
                      <w:divsChild>
                        <w:div w:id="1982883355">
                          <w:marLeft w:val="0"/>
                          <w:marRight w:val="0"/>
                          <w:marTop w:val="0"/>
                          <w:marBottom w:val="0"/>
                          <w:divBdr>
                            <w:top w:val="single" w:sz="2" w:space="0" w:color="auto"/>
                            <w:left w:val="single" w:sz="2" w:space="0" w:color="auto"/>
                            <w:bottom w:val="single" w:sz="2" w:space="0" w:color="auto"/>
                            <w:right w:val="single" w:sz="2" w:space="0" w:color="auto"/>
                          </w:divBdr>
                          <w:divsChild>
                            <w:div w:id="944964408">
                              <w:marLeft w:val="0"/>
                              <w:marRight w:val="0"/>
                              <w:marTop w:val="0"/>
                              <w:marBottom w:val="0"/>
                              <w:divBdr>
                                <w:top w:val="none" w:sz="0" w:space="0" w:color="auto"/>
                                <w:left w:val="none" w:sz="0" w:space="0" w:color="auto"/>
                                <w:bottom w:val="none" w:sz="0" w:space="0" w:color="auto"/>
                                <w:right w:val="none" w:sz="0" w:space="0" w:color="auto"/>
                              </w:divBdr>
                              <w:divsChild>
                                <w:div w:id="1066338286">
                                  <w:marLeft w:val="0"/>
                                  <w:marRight w:val="0"/>
                                  <w:marTop w:val="0"/>
                                  <w:marBottom w:val="0"/>
                                  <w:divBdr>
                                    <w:top w:val="none" w:sz="0" w:space="0" w:color="auto"/>
                                    <w:left w:val="none" w:sz="0" w:space="0" w:color="auto"/>
                                    <w:bottom w:val="none" w:sz="0" w:space="0" w:color="auto"/>
                                    <w:right w:val="none" w:sz="0" w:space="0" w:color="auto"/>
                                  </w:divBdr>
                                  <w:divsChild>
                                    <w:div w:id="1693264964">
                                      <w:marLeft w:val="0"/>
                                      <w:marRight w:val="0"/>
                                      <w:marTop w:val="0"/>
                                      <w:marBottom w:val="0"/>
                                      <w:divBdr>
                                        <w:top w:val="none" w:sz="0" w:space="0" w:color="auto"/>
                                        <w:left w:val="none" w:sz="0" w:space="0" w:color="auto"/>
                                        <w:bottom w:val="none" w:sz="0" w:space="0" w:color="auto"/>
                                        <w:right w:val="none" w:sz="0" w:space="0" w:color="auto"/>
                                      </w:divBdr>
                                      <w:divsChild>
                                        <w:div w:id="291518597">
                                          <w:marLeft w:val="0"/>
                                          <w:marRight w:val="0"/>
                                          <w:marTop w:val="0"/>
                                          <w:marBottom w:val="0"/>
                                          <w:divBdr>
                                            <w:top w:val="none" w:sz="0" w:space="0" w:color="auto"/>
                                            <w:left w:val="none" w:sz="0" w:space="0" w:color="auto"/>
                                            <w:bottom w:val="none" w:sz="0" w:space="0" w:color="auto"/>
                                            <w:right w:val="none" w:sz="0" w:space="0" w:color="auto"/>
                                          </w:divBdr>
                                          <w:divsChild>
                                            <w:div w:id="1464230582">
                                              <w:marLeft w:val="-150"/>
                                              <w:marRight w:val="-150"/>
                                              <w:marTop w:val="0"/>
                                              <w:marBottom w:val="0"/>
                                              <w:divBdr>
                                                <w:top w:val="single" w:sz="2" w:space="0" w:color="auto"/>
                                                <w:left w:val="single" w:sz="2" w:space="0" w:color="auto"/>
                                                <w:bottom w:val="single" w:sz="2" w:space="0" w:color="auto"/>
                                                <w:right w:val="single" w:sz="2" w:space="0" w:color="auto"/>
                                              </w:divBdr>
                                              <w:divsChild>
                                                <w:div w:id="114914221">
                                                  <w:marLeft w:val="0"/>
                                                  <w:marRight w:val="0"/>
                                                  <w:marTop w:val="0"/>
                                                  <w:marBottom w:val="0"/>
                                                  <w:divBdr>
                                                    <w:top w:val="single" w:sz="2" w:space="0" w:color="auto"/>
                                                    <w:left w:val="single" w:sz="2" w:space="0" w:color="auto"/>
                                                    <w:bottom w:val="single" w:sz="2" w:space="0" w:color="auto"/>
                                                    <w:right w:val="single" w:sz="2" w:space="0" w:color="auto"/>
                                                  </w:divBdr>
                                                  <w:divsChild>
                                                    <w:div w:id="844514639">
                                                      <w:marLeft w:val="0"/>
                                                      <w:marRight w:val="0"/>
                                                      <w:marTop w:val="0"/>
                                                      <w:marBottom w:val="0"/>
                                                      <w:divBdr>
                                                        <w:top w:val="none" w:sz="0" w:space="0" w:color="auto"/>
                                                        <w:left w:val="none" w:sz="0" w:space="0" w:color="auto"/>
                                                        <w:bottom w:val="none" w:sz="0" w:space="0" w:color="auto"/>
                                                        <w:right w:val="none" w:sz="0" w:space="0" w:color="auto"/>
                                                      </w:divBdr>
                                                      <w:divsChild>
                                                        <w:div w:id="235745555">
                                                          <w:marLeft w:val="0"/>
                                                          <w:marRight w:val="0"/>
                                                          <w:marTop w:val="0"/>
                                                          <w:marBottom w:val="0"/>
                                                          <w:divBdr>
                                                            <w:top w:val="none" w:sz="0" w:space="0" w:color="auto"/>
                                                            <w:left w:val="none" w:sz="0" w:space="0" w:color="auto"/>
                                                            <w:bottom w:val="none" w:sz="0" w:space="0" w:color="auto"/>
                                                            <w:right w:val="none" w:sz="0" w:space="0" w:color="auto"/>
                                                          </w:divBdr>
                                                          <w:divsChild>
                                                            <w:div w:id="1268199104">
                                                              <w:marLeft w:val="0"/>
                                                              <w:marRight w:val="0"/>
                                                              <w:marTop w:val="0"/>
                                                              <w:marBottom w:val="0"/>
                                                              <w:divBdr>
                                                                <w:top w:val="none" w:sz="0" w:space="0" w:color="auto"/>
                                                                <w:left w:val="none" w:sz="0" w:space="0" w:color="auto"/>
                                                                <w:bottom w:val="none" w:sz="0" w:space="0" w:color="auto"/>
                                                                <w:right w:val="none" w:sz="0" w:space="0" w:color="auto"/>
                                                              </w:divBdr>
                                                              <w:divsChild>
                                                                <w:div w:id="516693987">
                                                                  <w:marLeft w:val="0"/>
                                                                  <w:marRight w:val="0"/>
                                                                  <w:marTop w:val="0"/>
                                                                  <w:marBottom w:val="0"/>
                                                                  <w:divBdr>
                                                                    <w:top w:val="none" w:sz="0" w:space="0" w:color="auto"/>
                                                                    <w:left w:val="none" w:sz="0" w:space="0" w:color="auto"/>
                                                                    <w:bottom w:val="none" w:sz="0" w:space="0" w:color="auto"/>
                                                                    <w:right w:val="none" w:sz="0" w:space="0" w:color="auto"/>
                                                                  </w:divBdr>
                                                                  <w:divsChild>
                                                                    <w:div w:id="1549756421">
                                                                      <w:marLeft w:val="0"/>
                                                                      <w:marRight w:val="0"/>
                                                                      <w:marTop w:val="0"/>
                                                                      <w:marBottom w:val="0"/>
                                                                      <w:divBdr>
                                                                        <w:top w:val="none" w:sz="0" w:space="0" w:color="auto"/>
                                                                        <w:left w:val="none" w:sz="0" w:space="0" w:color="auto"/>
                                                                        <w:bottom w:val="none" w:sz="0" w:space="0" w:color="auto"/>
                                                                        <w:right w:val="none" w:sz="0" w:space="0" w:color="auto"/>
                                                                      </w:divBdr>
                                                                      <w:divsChild>
                                                                        <w:div w:id="1295939131">
                                                                          <w:marLeft w:val="0"/>
                                                                          <w:marRight w:val="0"/>
                                                                          <w:marTop w:val="45"/>
                                                                          <w:marBottom w:val="0"/>
                                                                          <w:divBdr>
                                                                            <w:top w:val="none" w:sz="0" w:space="0" w:color="auto"/>
                                                                            <w:left w:val="none" w:sz="0" w:space="0" w:color="auto"/>
                                                                            <w:bottom w:val="none" w:sz="0" w:space="0" w:color="auto"/>
                                                                            <w:right w:val="none" w:sz="0" w:space="0" w:color="auto"/>
                                                                          </w:divBdr>
                                                                          <w:divsChild>
                                                                            <w:div w:id="1063024604">
                                                                              <w:marLeft w:val="0"/>
                                                                              <w:marRight w:val="0"/>
                                                                              <w:marTop w:val="0"/>
                                                                              <w:marBottom w:val="0"/>
                                                                              <w:divBdr>
                                                                                <w:top w:val="single" w:sz="2" w:space="0" w:color="0E2240"/>
                                                                                <w:left w:val="single" w:sz="2" w:space="0" w:color="E4E4E4"/>
                                                                                <w:bottom w:val="single" w:sz="2" w:space="0" w:color="E4E4E4"/>
                                                                                <w:right w:val="single" w:sz="2" w:space="0" w:color="E4E4E4"/>
                                                                              </w:divBdr>
                                                                              <w:divsChild>
                                                                                <w:div w:id="1271937850">
                                                                                  <w:marLeft w:val="0"/>
                                                                                  <w:marRight w:val="0"/>
                                                                                  <w:marTop w:val="0"/>
                                                                                  <w:marBottom w:val="0"/>
                                                                                  <w:divBdr>
                                                                                    <w:top w:val="none" w:sz="0" w:space="0" w:color="auto"/>
                                                                                    <w:left w:val="none" w:sz="0" w:space="0" w:color="auto"/>
                                                                                    <w:bottom w:val="none" w:sz="0" w:space="0" w:color="auto"/>
                                                                                    <w:right w:val="none" w:sz="0" w:space="0" w:color="auto"/>
                                                                                  </w:divBdr>
                                                                                  <w:divsChild>
                                                                                    <w:div w:id="1355960060">
                                                                                      <w:marLeft w:val="0"/>
                                                                                      <w:marRight w:val="0"/>
                                                                                      <w:marTop w:val="0"/>
                                                                                      <w:marBottom w:val="0"/>
                                                                                      <w:divBdr>
                                                                                        <w:top w:val="none" w:sz="0" w:space="0" w:color="auto"/>
                                                                                        <w:left w:val="none" w:sz="0" w:space="0" w:color="auto"/>
                                                                                        <w:bottom w:val="none" w:sz="0" w:space="0" w:color="auto"/>
                                                                                        <w:right w:val="none" w:sz="0" w:space="0" w:color="auto"/>
                                                                                      </w:divBdr>
                                                                                      <w:divsChild>
                                                                                        <w:div w:id="186793840">
                                                                                          <w:marLeft w:val="-150"/>
                                                                                          <w:marRight w:val="-150"/>
                                                                                          <w:marTop w:val="0"/>
                                                                                          <w:marBottom w:val="0"/>
                                                                                          <w:divBdr>
                                                                                            <w:top w:val="single" w:sz="2" w:space="0" w:color="auto"/>
                                                                                            <w:left w:val="single" w:sz="2" w:space="0" w:color="auto"/>
                                                                                            <w:bottom w:val="single" w:sz="2" w:space="0" w:color="auto"/>
                                                                                            <w:right w:val="single" w:sz="2" w:space="0" w:color="auto"/>
                                                                                          </w:divBdr>
                                                                                          <w:divsChild>
                                                                                            <w:div w:id="2003389239">
                                                                                              <w:marLeft w:val="0"/>
                                                                                              <w:marRight w:val="0"/>
                                                                                              <w:marTop w:val="0"/>
                                                                                              <w:marBottom w:val="0"/>
                                                                                              <w:divBdr>
                                                                                                <w:top w:val="single" w:sz="2" w:space="0" w:color="auto"/>
                                                                                                <w:left w:val="single" w:sz="2" w:space="0" w:color="auto"/>
                                                                                                <w:bottom w:val="single" w:sz="2" w:space="0" w:color="auto"/>
                                                                                                <w:right w:val="single" w:sz="2" w:space="0" w:color="auto"/>
                                                                                              </w:divBdr>
                                                                                              <w:divsChild>
                                                                                                <w:div w:id="1259825352">
                                                                                                  <w:marLeft w:val="0"/>
                                                                                                  <w:marRight w:val="0"/>
                                                                                                  <w:marTop w:val="0"/>
                                                                                                  <w:marBottom w:val="0"/>
                                                                                                  <w:divBdr>
                                                                                                    <w:top w:val="none" w:sz="0" w:space="0" w:color="auto"/>
                                                                                                    <w:left w:val="none" w:sz="0" w:space="0" w:color="auto"/>
                                                                                                    <w:bottom w:val="none" w:sz="0" w:space="0" w:color="auto"/>
                                                                                                    <w:right w:val="none" w:sz="0" w:space="0" w:color="auto"/>
                                                                                                  </w:divBdr>
                                                                                                  <w:divsChild>
                                                                                                    <w:div w:id="2110617850">
                                                                                                      <w:marLeft w:val="0"/>
                                                                                                      <w:marRight w:val="0"/>
                                                                                                      <w:marTop w:val="0"/>
                                                                                                      <w:marBottom w:val="0"/>
                                                                                                      <w:divBdr>
                                                                                                        <w:top w:val="none" w:sz="0" w:space="0" w:color="auto"/>
                                                                                                        <w:left w:val="none" w:sz="0" w:space="0" w:color="auto"/>
                                                                                                        <w:bottom w:val="none" w:sz="0" w:space="0" w:color="auto"/>
                                                                                                        <w:right w:val="none" w:sz="0" w:space="0" w:color="auto"/>
                                                                                                      </w:divBdr>
                                                                                                      <w:divsChild>
                                                                                                        <w:div w:id="111286557">
                                                                                                          <w:marLeft w:val="0"/>
                                                                                                          <w:marRight w:val="0"/>
                                                                                                          <w:marTop w:val="0"/>
                                                                                                          <w:marBottom w:val="0"/>
                                                                                                          <w:divBdr>
                                                                                                            <w:top w:val="none" w:sz="0" w:space="0" w:color="auto"/>
                                                                                                            <w:left w:val="none" w:sz="0" w:space="0" w:color="auto"/>
                                                                                                            <w:bottom w:val="none" w:sz="0" w:space="0" w:color="auto"/>
                                                                                                            <w:right w:val="none" w:sz="0" w:space="0" w:color="auto"/>
                                                                                                          </w:divBdr>
                                                                                                          <w:divsChild>
                                                                                                            <w:div w:id="1936207488">
                                                                                                              <w:marLeft w:val="0"/>
                                                                                                              <w:marRight w:val="0"/>
                                                                                                              <w:marTop w:val="0"/>
                                                                                                              <w:marBottom w:val="0"/>
                                                                                                              <w:divBdr>
                                                                                                                <w:top w:val="none" w:sz="0" w:space="0" w:color="auto"/>
                                                                                                                <w:left w:val="none" w:sz="0" w:space="0" w:color="auto"/>
                                                                                                                <w:bottom w:val="none" w:sz="0" w:space="0" w:color="auto"/>
                                                                                                                <w:right w:val="none" w:sz="0" w:space="0" w:color="auto"/>
                                                                                                              </w:divBdr>
                                                                                                              <w:divsChild>
                                                                                                                <w:div w:id="6369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11901291">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1645637">
      <w:bodyDiv w:val="1"/>
      <w:marLeft w:val="0"/>
      <w:marRight w:val="0"/>
      <w:marTop w:val="0"/>
      <w:marBottom w:val="0"/>
      <w:divBdr>
        <w:top w:val="none" w:sz="0" w:space="0" w:color="auto"/>
        <w:left w:val="none" w:sz="0" w:space="0" w:color="auto"/>
        <w:bottom w:val="none" w:sz="0" w:space="0" w:color="auto"/>
        <w:right w:val="none" w:sz="0" w:space="0" w:color="auto"/>
      </w:divBdr>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290277741">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35259824">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495995231">
      <w:bodyDiv w:val="1"/>
      <w:marLeft w:val="0"/>
      <w:marRight w:val="0"/>
      <w:marTop w:val="0"/>
      <w:marBottom w:val="0"/>
      <w:divBdr>
        <w:top w:val="none" w:sz="0" w:space="0" w:color="auto"/>
        <w:left w:val="none" w:sz="0" w:space="0" w:color="auto"/>
        <w:bottom w:val="none" w:sz="0" w:space="0" w:color="auto"/>
        <w:right w:val="none" w:sz="0" w:space="0" w:color="auto"/>
      </w:divBdr>
    </w:div>
    <w:div w:id="1509295216">
      <w:bodyDiv w:val="1"/>
      <w:marLeft w:val="0"/>
      <w:marRight w:val="0"/>
      <w:marTop w:val="0"/>
      <w:marBottom w:val="0"/>
      <w:divBdr>
        <w:top w:val="none" w:sz="0" w:space="0" w:color="auto"/>
        <w:left w:val="none" w:sz="0" w:space="0" w:color="auto"/>
        <w:bottom w:val="none" w:sz="0" w:space="0" w:color="auto"/>
        <w:right w:val="none" w:sz="0" w:space="0" w:color="auto"/>
      </w:divBdr>
    </w:div>
    <w:div w:id="1510825595">
      <w:bodyDiv w:val="1"/>
      <w:marLeft w:val="0"/>
      <w:marRight w:val="0"/>
      <w:marTop w:val="0"/>
      <w:marBottom w:val="0"/>
      <w:divBdr>
        <w:top w:val="none" w:sz="0" w:space="0" w:color="auto"/>
        <w:left w:val="none" w:sz="0" w:space="0" w:color="auto"/>
        <w:bottom w:val="none" w:sz="0" w:space="0" w:color="auto"/>
        <w:right w:val="none" w:sz="0" w:space="0" w:color="auto"/>
      </w:divBdr>
    </w:div>
    <w:div w:id="1548644393">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213731">
      <w:bodyDiv w:val="1"/>
      <w:marLeft w:val="0"/>
      <w:marRight w:val="0"/>
      <w:marTop w:val="0"/>
      <w:marBottom w:val="0"/>
      <w:divBdr>
        <w:top w:val="none" w:sz="0" w:space="0" w:color="auto"/>
        <w:left w:val="none" w:sz="0" w:space="0" w:color="auto"/>
        <w:bottom w:val="none" w:sz="0" w:space="0" w:color="auto"/>
        <w:right w:val="none" w:sz="0" w:space="0" w:color="auto"/>
      </w:divBdr>
    </w:div>
    <w:div w:id="1944922042">
      <w:bodyDiv w:val="1"/>
      <w:marLeft w:val="0"/>
      <w:marRight w:val="0"/>
      <w:marTop w:val="0"/>
      <w:marBottom w:val="0"/>
      <w:divBdr>
        <w:top w:val="none" w:sz="0" w:space="0" w:color="auto"/>
        <w:left w:val="none" w:sz="0" w:space="0" w:color="auto"/>
        <w:bottom w:val="none" w:sz="0" w:space="0" w:color="auto"/>
        <w:right w:val="none" w:sz="0" w:space="0" w:color="auto"/>
      </w:divBdr>
    </w:div>
    <w:div w:id="1950623076">
      <w:bodyDiv w:val="1"/>
      <w:marLeft w:val="0"/>
      <w:marRight w:val="0"/>
      <w:marTop w:val="0"/>
      <w:marBottom w:val="0"/>
      <w:divBdr>
        <w:top w:val="none" w:sz="0" w:space="0" w:color="auto"/>
        <w:left w:val="none" w:sz="0" w:space="0" w:color="auto"/>
        <w:bottom w:val="none" w:sz="0" w:space="0" w:color="auto"/>
        <w:right w:val="none" w:sz="0" w:space="0" w:color="auto"/>
      </w:divBdr>
    </w:div>
    <w:div w:id="1959024491">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05664769">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 w:id="2110269664">
      <w:bodyDiv w:val="1"/>
      <w:marLeft w:val="0"/>
      <w:marRight w:val="0"/>
      <w:marTop w:val="0"/>
      <w:marBottom w:val="0"/>
      <w:divBdr>
        <w:top w:val="none" w:sz="0" w:space="0" w:color="auto"/>
        <w:left w:val="none" w:sz="0" w:space="0" w:color="auto"/>
        <w:bottom w:val="none" w:sz="0" w:space="0" w:color="auto"/>
        <w:right w:val="none" w:sz="0" w:space="0" w:color="auto"/>
      </w:divBdr>
    </w:div>
    <w:div w:id="21415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dfat.gov.au/about-us/publications/Pages/australia-cambodia-joint-aid-program-strategy.aspx"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dfat.gov.au/about-us/publications/Pages/aid-investment-plan-aip-cambodia-2015-2018.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dfat.gov.au/about-us/publications/Pages/aid-investment-plan-aip-cambodia-2015-2018.aspx"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dfat.gov.au/about-us/publications/Pages/australia-cambodia-joint-aid-program-strategy.aspx" TargetMode="External"/><Relationship Id="rId20" Type="http://schemas.openxmlformats.org/officeDocument/2006/relationships/hyperlink" Target="http://dfat.gov.au/about-us/publications/Pages/aid-investment-plan-aip-cambodia-2015-2018.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wmf"/><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yperlink" Target="http://dfat.gov.au/about-us/publications/Pages/aid-investment-plan-aip-cambodia-2015-2018.aspx" TargetMode="External"/><Relationship Id="rId27" Type="http://schemas.openxmlformats.org/officeDocument/2006/relationships/footer" Target="footer5.xml"/><Relationship Id="rId30" Type="http://schemas.openxmlformats.org/officeDocument/2006/relationships/customXml" Target="../customXml/item2.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FED6E3-35DD-42AE-85DA-B023E514375F}"/>
</file>

<file path=customXml/itemProps2.xml><?xml version="1.0" encoding="utf-8"?>
<ds:datastoreItem xmlns:ds="http://schemas.openxmlformats.org/officeDocument/2006/customXml" ds:itemID="{44448EBD-DA2F-4594-8692-CFD15D829168}"/>
</file>

<file path=customXml/itemProps3.xml><?xml version="1.0" encoding="utf-8"?>
<ds:datastoreItem xmlns:ds="http://schemas.openxmlformats.org/officeDocument/2006/customXml" ds:itemID="{EF2951F6-EC95-4130-B8E9-AE2B714595C8}"/>
</file>

<file path=customXml/itemProps4.xml><?xml version="1.0" encoding="utf-8"?>
<ds:datastoreItem xmlns:ds="http://schemas.openxmlformats.org/officeDocument/2006/customXml" ds:itemID="{53B2106E-310B-4280-A4E9-1C5A6402BA9D}"/>
</file>

<file path=docProps/app.xml><?xml version="1.0" encoding="utf-8"?>
<Properties xmlns="http://schemas.openxmlformats.org/officeDocument/2006/extended-properties" xmlns:vt="http://schemas.openxmlformats.org/officeDocument/2006/docPropsVTypes">
  <Template>587F8112</Template>
  <TotalTime>0</TotalTime>
  <Pages>28</Pages>
  <Words>11335</Words>
  <Characters>64610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75794</CharactersWithSpaces>
  <SharedDoc>false</SharedDoc>
  <HLinks>
    <vt:vector size="6" baseType="variant">
      <vt:variant>
        <vt:i4>720900</vt:i4>
      </vt:variant>
      <vt:variant>
        <vt:i4>0</vt:i4>
      </vt:variant>
      <vt:variant>
        <vt:i4>0</vt:i4>
      </vt:variant>
      <vt:variant>
        <vt:i4>5</vt:i4>
      </vt:variant>
      <vt:variant>
        <vt:lpwstr>http://www.worldbank.org/en/news/feature/2015/02/02/engaging-with-the-local-government-to-end-open-defecation-in-cambodia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2015-10-27T00:57:00Z</dcterms:created>
  <dcterms:modified xsi:type="dcterms:W3CDTF">2015-10-27T00:57:00Z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978600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