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7.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6D" w:rsidRPr="00020121" w:rsidRDefault="00541C0B" w:rsidP="00541C0B">
      <w:pPr>
        <w:pStyle w:val="Title"/>
      </w:pPr>
      <w:r w:rsidRPr="00CA6DB6">
        <w:t>Aid Program Performance Report 2012</w:t>
      </w:r>
      <w:r w:rsidRPr="00052BF3">
        <w:t>−</w:t>
      </w:r>
      <w:r w:rsidRPr="00CA6DB6">
        <w:t xml:space="preserve">13 </w:t>
      </w:r>
      <w:proofErr w:type="gramStart"/>
      <w:r w:rsidR="005B4C4E">
        <w:t>T</w:t>
      </w:r>
      <w:r w:rsidR="005A044D">
        <w:t>he</w:t>
      </w:r>
      <w:proofErr w:type="gramEnd"/>
      <w:r w:rsidR="005A044D">
        <w:t xml:space="preserve"> Caribbean</w:t>
      </w:r>
      <w:r w:rsidR="0043046D">
        <w:tab/>
      </w:r>
    </w:p>
    <w:p w:rsidR="0043046D" w:rsidRPr="00180B19" w:rsidRDefault="0043046D" w:rsidP="0043046D">
      <w:pPr>
        <w:pStyle w:val="Heading1"/>
      </w:pPr>
      <w:r w:rsidRPr="00180B19">
        <w:t xml:space="preserve">Key </w:t>
      </w:r>
      <w:r w:rsidR="00F5786E">
        <w:t>m</w:t>
      </w:r>
      <w:r w:rsidRPr="00180B19">
        <w:t>essages</w:t>
      </w:r>
    </w:p>
    <w:p w:rsidR="00595FA8" w:rsidRDefault="00DC6E1E" w:rsidP="0043046D">
      <w:pPr>
        <w:pStyle w:val="BodyText"/>
        <w:rPr>
          <w:szCs w:val="22"/>
        </w:rPr>
      </w:pPr>
      <w:r>
        <w:rPr>
          <w:szCs w:val="22"/>
        </w:rPr>
        <w:t xml:space="preserve">This is the third </w:t>
      </w:r>
      <w:r w:rsidR="005B4C4E">
        <w:rPr>
          <w:szCs w:val="22"/>
        </w:rPr>
        <w:t xml:space="preserve">aid </w:t>
      </w:r>
      <w:r w:rsidR="0043046D">
        <w:rPr>
          <w:szCs w:val="22"/>
        </w:rPr>
        <w:t xml:space="preserve">program performance report </w:t>
      </w:r>
      <w:r w:rsidR="00520A51">
        <w:rPr>
          <w:szCs w:val="22"/>
        </w:rPr>
        <w:t>(</w:t>
      </w:r>
      <w:r>
        <w:rPr>
          <w:szCs w:val="22"/>
        </w:rPr>
        <w:t>APPR</w:t>
      </w:r>
      <w:r w:rsidR="00520A51">
        <w:rPr>
          <w:szCs w:val="22"/>
        </w:rPr>
        <w:t xml:space="preserve">) </w:t>
      </w:r>
      <w:r w:rsidR="0043046D">
        <w:rPr>
          <w:szCs w:val="22"/>
        </w:rPr>
        <w:t xml:space="preserve">for the </w:t>
      </w:r>
      <w:r w:rsidR="0043046D" w:rsidRPr="00911E33">
        <w:rPr>
          <w:szCs w:val="22"/>
        </w:rPr>
        <w:t>Caribbean program</w:t>
      </w:r>
      <w:r w:rsidR="0043046D">
        <w:rPr>
          <w:szCs w:val="22"/>
        </w:rPr>
        <w:t xml:space="preserve">, assessing </w:t>
      </w:r>
      <w:r w:rsidR="0043046D" w:rsidRPr="00911E33">
        <w:rPr>
          <w:szCs w:val="22"/>
        </w:rPr>
        <w:t>progress over 18</w:t>
      </w:r>
      <w:r w:rsidR="00595FA8">
        <w:rPr>
          <w:szCs w:val="22"/>
        </w:rPr>
        <w:t xml:space="preserve"> </w:t>
      </w:r>
      <w:r w:rsidR="0043046D" w:rsidRPr="00911E33">
        <w:rPr>
          <w:szCs w:val="22"/>
        </w:rPr>
        <w:t>month</w:t>
      </w:r>
      <w:r w:rsidR="00F5786E">
        <w:rPr>
          <w:szCs w:val="22"/>
        </w:rPr>
        <w:t>s</w:t>
      </w:r>
      <w:r w:rsidR="0043046D" w:rsidRPr="00911E33">
        <w:rPr>
          <w:szCs w:val="22"/>
        </w:rPr>
        <w:t xml:space="preserve"> (January 2012 to June 201</w:t>
      </w:r>
      <w:r w:rsidR="0043046D">
        <w:rPr>
          <w:szCs w:val="22"/>
        </w:rPr>
        <w:t>3).</w:t>
      </w:r>
      <w:r w:rsidR="005776C3">
        <w:rPr>
          <w:szCs w:val="22"/>
        </w:rPr>
        <w:t xml:space="preserve"> The program has made significant progress and th</w:t>
      </w:r>
      <w:r w:rsidR="00C33D85">
        <w:rPr>
          <w:szCs w:val="22"/>
        </w:rPr>
        <w:t>i</w:t>
      </w:r>
      <w:r w:rsidR="005776C3">
        <w:rPr>
          <w:szCs w:val="22"/>
        </w:rPr>
        <w:t>s</w:t>
      </w:r>
      <w:r w:rsidR="00C33D85">
        <w:rPr>
          <w:szCs w:val="22"/>
        </w:rPr>
        <w:t xml:space="preserve"> is</w:t>
      </w:r>
      <w:r w:rsidR="005776C3">
        <w:rPr>
          <w:szCs w:val="22"/>
        </w:rPr>
        <w:t xml:space="preserve"> evident through all performance and quality processes undertaken. </w:t>
      </w:r>
      <w:r w:rsidR="00F5786E">
        <w:rPr>
          <w:szCs w:val="22"/>
        </w:rPr>
        <w:t>A</w:t>
      </w:r>
      <w:r w:rsidR="005776C3">
        <w:rPr>
          <w:szCs w:val="22"/>
        </w:rPr>
        <w:t xml:space="preserve">reas for improvement are </w:t>
      </w:r>
      <w:r w:rsidR="00414ED1">
        <w:rPr>
          <w:szCs w:val="22"/>
        </w:rPr>
        <w:t>the f</w:t>
      </w:r>
      <w:r w:rsidR="005776C3">
        <w:rPr>
          <w:szCs w:val="22"/>
        </w:rPr>
        <w:t xml:space="preserve">ocus for </w:t>
      </w:r>
      <w:r w:rsidR="00595FA8">
        <w:rPr>
          <w:szCs w:val="22"/>
        </w:rPr>
        <w:t>2013–14</w:t>
      </w:r>
      <w:r w:rsidR="005776C3">
        <w:rPr>
          <w:szCs w:val="22"/>
        </w:rPr>
        <w:t xml:space="preserve">. </w:t>
      </w:r>
    </w:p>
    <w:p w:rsidR="0043046D" w:rsidRDefault="005776C3" w:rsidP="0043046D">
      <w:pPr>
        <w:pStyle w:val="BodyText"/>
        <w:rPr>
          <w:szCs w:val="22"/>
        </w:rPr>
      </w:pPr>
      <w:r>
        <w:rPr>
          <w:szCs w:val="22"/>
        </w:rPr>
        <w:t>Key</w:t>
      </w:r>
      <w:r w:rsidR="006505E1">
        <w:rPr>
          <w:szCs w:val="22"/>
        </w:rPr>
        <w:t xml:space="preserve"> messages </w:t>
      </w:r>
      <w:r w:rsidR="00F5786E">
        <w:rPr>
          <w:szCs w:val="22"/>
        </w:rPr>
        <w:t>for 2012–13</w:t>
      </w:r>
      <w:r w:rsidR="006505E1">
        <w:rPr>
          <w:szCs w:val="22"/>
        </w:rPr>
        <w:t xml:space="preserve"> include:</w:t>
      </w:r>
    </w:p>
    <w:p w:rsidR="0043046D" w:rsidRDefault="0043046D" w:rsidP="006A00A2">
      <w:pPr>
        <w:pStyle w:val="ListBullet"/>
      </w:pPr>
      <w:r>
        <w:t xml:space="preserve">Australia’s aid program continued to be </w:t>
      </w:r>
      <w:r w:rsidRPr="009D7316">
        <w:t xml:space="preserve">relevant </w:t>
      </w:r>
      <w:r>
        <w:t>in the Caribbean development context</w:t>
      </w:r>
      <w:r w:rsidRPr="009D7316">
        <w:t>. Positive relationship</w:t>
      </w:r>
      <w:r>
        <w:t>s were maintained</w:t>
      </w:r>
      <w:r w:rsidRPr="009D7316">
        <w:t xml:space="preserve"> with all key stakeholders</w:t>
      </w:r>
      <w:r w:rsidR="002270EF">
        <w:t xml:space="preserve"> </w:t>
      </w:r>
      <w:r w:rsidR="002F4872">
        <w:t>(</w:t>
      </w:r>
      <w:r w:rsidR="002270EF">
        <w:t>the</w:t>
      </w:r>
      <w:r w:rsidR="00595FA8">
        <w:t xml:space="preserve"> </w:t>
      </w:r>
      <w:r w:rsidR="00595FA8" w:rsidRPr="00A11616">
        <w:t xml:space="preserve">Caribbean Community </w:t>
      </w:r>
      <w:r w:rsidR="00595FA8">
        <w:t>(</w:t>
      </w:r>
      <w:r w:rsidR="002270EF">
        <w:t>CARICOM</w:t>
      </w:r>
      <w:r w:rsidR="00595FA8">
        <w:t>),</w:t>
      </w:r>
      <w:r w:rsidR="002270EF">
        <w:t xml:space="preserve"> regional </w:t>
      </w:r>
      <w:r w:rsidR="002F4872">
        <w:t xml:space="preserve">agencies and </w:t>
      </w:r>
      <w:r w:rsidR="002270EF">
        <w:t xml:space="preserve">development partners </w:t>
      </w:r>
      <w:r w:rsidR="002F4872">
        <w:t>(</w:t>
      </w:r>
      <w:r w:rsidR="002270EF">
        <w:t>Canad</w:t>
      </w:r>
      <w:r w:rsidR="00595FA8">
        <w:t>a</w:t>
      </w:r>
      <w:r w:rsidR="002F4872">
        <w:t xml:space="preserve">, </w:t>
      </w:r>
      <w:r w:rsidR="00595FA8">
        <w:t xml:space="preserve">European Union and </w:t>
      </w:r>
      <w:r w:rsidR="002270EF">
        <w:t>U</w:t>
      </w:r>
      <w:r w:rsidR="00595FA8">
        <w:t>nited States</w:t>
      </w:r>
      <w:r w:rsidR="002F4872">
        <w:t>)</w:t>
      </w:r>
      <w:r w:rsidR="00F5786E">
        <w:t>,</w:t>
      </w:r>
      <w:r>
        <w:t xml:space="preserve"> enabling productive </w:t>
      </w:r>
      <w:r w:rsidR="00927C71">
        <w:t>discussions</w:t>
      </w:r>
      <w:r>
        <w:t xml:space="preserve"> on </w:t>
      </w:r>
      <w:r w:rsidR="00927C71">
        <w:t xml:space="preserve">program </w:t>
      </w:r>
      <w:r>
        <w:t>performance</w:t>
      </w:r>
      <w:r w:rsidR="00262919">
        <w:t xml:space="preserve">. </w:t>
      </w:r>
    </w:p>
    <w:p w:rsidR="0043046D" w:rsidRDefault="00057184" w:rsidP="006A00A2">
      <w:pPr>
        <w:pStyle w:val="ListBullet"/>
      </w:pPr>
      <w:r>
        <w:t xml:space="preserve">A mid-term review and separate </w:t>
      </w:r>
      <w:r w:rsidR="00F25692">
        <w:t>Department of Foreign Affairs and Trade (DFAT)</w:t>
      </w:r>
      <w:r>
        <w:t xml:space="preserve"> quality </w:t>
      </w:r>
      <w:r w:rsidRPr="009D7316">
        <w:t xml:space="preserve">assessments </w:t>
      </w:r>
      <w:r>
        <w:t>indicate</w:t>
      </w:r>
      <w:r w:rsidRPr="009D7316">
        <w:t xml:space="preserve"> </w:t>
      </w:r>
      <w:r>
        <w:t>the</w:t>
      </w:r>
      <w:r w:rsidRPr="009D7316">
        <w:t xml:space="preserve"> program </w:t>
      </w:r>
      <w:r>
        <w:t xml:space="preserve">has </w:t>
      </w:r>
      <w:r w:rsidRPr="009D7316">
        <w:t xml:space="preserve">performed </w:t>
      </w:r>
      <w:r>
        <w:t xml:space="preserve">well overall and made a difference to partner organisations, </w:t>
      </w:r>
      <w:r w:rsidR="00520A51">
        <w:t>including</w:t>
      </w:r>
      <w:r>
        <w:t xml:space="preserve"> the Caribbean Community Climate Change Centre (5Cs), Caribbean Regional Technical Assistance Centre (CARTAC), Caribbean Disaster and Emergency Management Agency (CDEMA)</w:t>
      </w:r>
      <w:r w:rsidR="00595FA8">
        <w:t>,</w:t>
      </w:r>
      <w:r>
        <w:t xml:space="preserve"> and some target beneficiaries such as Member State governments, regional and community organisation</w:t>
      </w:r>
      <w:r w:rsidR="00520A51">
        <w:t>s</w:t>
      </w:r>
      <w:r>
        <w:t xml:space="preserve"> and individuals.</w:t>
      </w:r>
    </w:p>
    <w:p w:rsidR="006505E1" w:rsidRPr="006505E1" w:rsidRDefault="006505E1" w:rsidP="006A00A2">
      <w:pPr>
        <w:pStyle w:val="ListBullet"/>
        <w:rPr>
          <w:i/>
        </w:rPr>
      </w:pPr>
      <w:r>
        <w:t>The program continues</w:t>
      </w:r>
      <w:r w:rsidR="0043046D">
        <w:t xml:space="preserve"> to </w:t>
      </w:r>
      <w:r w:rsidR="0043046D" w:rsidRPr="000D017B">
        <w:t>demonstrate value for money</w:t>
      </w:r>
      <w:r w:rsidR="0043046D">
        <w:t xml:space="preserve"> and early signs of effectiveness, including progress towards agreed outcomes</w:t>
      </w:r>
      <w:r w:rsidR="002F4872">
        <w:t xml:space="preserve"> </w:t>
      </w:r>
      <w:r w:rsidR="00053B8C">
        <w:t>that support</w:t>
      </w:r>
      <w:r w:rsidR="002F4872">
        <w:t xml:space="preserve"> Caribbean countries to reduce vulnerability to climate change, natural </w:t>
      </w:r>
      <w:r w:rsidR="00053B8C">
        <w:t>disasters and economic challenges.</w:t>
      </w:r>
    </w:p>
    <w:p w:rsidR="0043046D" w:rsidRPr="00E37224" w:rsidRDefault="00F5786E" w:rsidP="006A00A2">
      <w:pPr>
        <w:pStyle w:val="ListBullet"/>
        <w:rPr>
          <w:i/>
        </w:rPr>
      </w:pPr>
      <w:r>
        <w:t>A</w:t>
      </w:r>
      <w:r w:rsidR="006505E1">
        <w:t xml:space="preserve">reas for improvement </w:t>
      </w:r>
      <w:r w:rsidR="00414ED1">
        <w:t xml:space="preserve">have been </w:t>
      </w:r>
      <w:r>
        <w:t xml:space="preserve">identified </w:t>
      </w:r>
      <w:r w:rsidR="00414ED1">
        <w:t xml:space="preserve">with </w:t>
      </w:r>
      <w:r w:rsidR="006505E1">
        <w:t xml:space="preserve">clear directions on how to achieve them. These are summarised in </w:t>
      </w:r>
      <w:r w:rsidR="00927C71">
        <w:t xml:space="preserve">the </w:t>
      </w:r>
      <w:r>
        <w:t xml:space="preserve">management consequences </w:t>
      </w:r>
      <w:r w:rsidR="00927C71">
        <w:t>section of</w:t>
      </w:r>
      <w:r w:rsidR="006505E1">
        <w:t xml:space="preserve"> this </w:t>
      </w:r>
      <w:r w:rsidR="00DC6E1E">
        <w:t>APPR</w:t>
      </w:r>
      <w:r w:rsidR="00520A51">
        <w:t xml:space="preserve"> </w:t>
      </w:r>
      <w:r w:rsidR="006505E1">
        <w:t xml:space="preserve">and the </w:t>
      </w:r>
      <w:r w:rsidR="00D21FC9">
        <w:t xml:space="preserve">program’s </w:t>
      </w:r>
      <w:r w:rsidR="00414ED1">
        <w:t>m</w:t>
      </w:r>
      <w:r w:rsidR="006505E1">
        <w:t xml:space="preserve">anagement </w:t>
      </w:r>
      <w:r w:rsidR="00414ED1">
        <w:t>a</w:t>
      </w:r>
      <w:r w:rsidR="006505E1">
        <w:t xml:space="preserve">ction </w:t>
      </w:r>
      <w:r w:rsidR="00414ED1">
        <w:t>p</w:t>
      </w:r>
      <w:r w:rsidR="006505E1">
        <w:t xml:space="preserve">lan in response to the </w:t>
      </w:r>
      <w:r>
        <w:t xml:space="preserve">mid-term review. </w:t>
      </w:r>
      <w:r w:rsidR="00053B8C">
        <w:t>A key recommendation was to concentrate more on managing for development results. This requires consolidati</w:t>
      </w:r>
      <w:r w:rsidR="00520A51">
        <w:t>ng</w:t>
      </w:r>
      <w:r w:rsidR="00053B8C">
        <w:t xml:space="preserve"> by phasing out, completing and closing some programs. </w:t>
      </w:r>
      <w:r>
        <w:t>Th</w:t>
      </w:r>
      <w:r w:rsidR="00414ED1">
        <w:t xml:space="preserve">e management action plan </w:t>
      </w:r>
      <w:r w:rsidR="006505E1">
        <w:t>will be the key management tool direct</w:t>
      </w:r>
      <w:r>
        <w:t xml:space="preserve">ing </w:t>
      </w:r>
      <w:r w:rsidR="006505E1">
        <w:t>and monitor</w:t>
      </w:r>
      <w:r>
        <w:t>ing</w:t>
      </w:r>
      <w:r w:rsidR="006505E1">
        <w:t xml:space="preserve"> </w:t>
      </w:r>
      <w:r w:rsidR="007A54ED">
        <w:t xml:space="preserve">strategic </w:t>
      </w:r>
      <w:r w:rsidR="006505E1">
        <w:t>program priorities for 2013</w:t>
      </w:r>
      <w:r>
        <w:t>–</w:t>
      </w:r>
      <w:r w:rsidR="006505E1">
        <w:t>14.</w:t>
      </w:r>
    </w:p>
    <w:p w:rsidR="007A54ED" w:rsidRDefault="006505E1" w:rsidP="006A00A2">
      <w:pPr>
        <w:pStyle w:val="ListBullet"/>
      </w:pPr>
      <w:r>
        <w:t xml:space="preserve">The program </w:t>
      </w:r>
      <w:r w:rsidR="007A54ED">
        <w:t>is shifting f</w:t>
      </w:r>
      <w:r w:rsidR="0043046D">
        <w:t xml:space="preserve">rom successful establishment of relationships and partnerships to increased </w:t>
      </w:r>
      <w:r w:rsidR="00F5786E">
        <w:t xml:space="preserve">emphasis </w:t>
      </w:r>
      <w:r w:rsidR="0043046D">
        <w:t>on managing Austral</w:t>
      </w:r>
      <w:r w:rsidR="007A54ED">
        <w:t>ian aid for development results. This will require</w:t>
      </w:r>
      <w:r w:rsidR="00F5786E">
        <w:t xml:space="preserve"> investment</w:t>
      </w:r>
      <w:r w:rsidR="0043046D">
        <w:t xml:space="preserve"> consolidation, supported by an updated performance management approach.</w:t>
      </w:r>
      <w:r w:rsidR="007A54ED">
        <w:t xml:space="preserve"> </w:t>
      </w:r>
    </w:p>
    <w:p w:rsidR="0043046D" w:rsidRPr="00180B19" w:rsidRDefault="0043046D" w:rsidP="0043046D">
      <w:pPr>
        <w:pStyle w:val="Heading1"/>
      </w:pPr>
      <w:r w:rsidRPr="00180B19">
        <w:t xml:space="preserve">Context </w:t>
      </w:r>
    </w:p>
    <w:p w:rsidR="0010360A" w:rsidRDefault="0043046D" w:rsidP="006A00A2">
      <w:pPr>
        <w:pStyle w:val="BodyText"/>
      </w:pPr>
      <w:r w:rsidRPr="00316DA9">
        <w:t>The Caribbean region</w:t>
      </w:r>
      <w:r>
        <w:rPr>
          <w:rStyle w:val="FootnoteReference"/>
        </w:rPr>
        <w:footnoteReference w:id="1"/>
      </w:r>
      <w:r w:rsidRPr="00316DA9">
        <w:t xml:space="preserve"> </w:t>
      </w:r>
      <w:r>
        <w:t xml:space="preserve">is economically and </w:t>
      </w:r>
      <w:r w:rsidRPr="008255EB">
        <w:t xml:space="preserve">geographically </w:t>
      </w:r>
      <w:r>
        <w:t>diverse</w:t>
      </w:r>
      <w:r w:rsidR="00262919">
        <w:t xml:space="preserve">. </w:t>
      </w:r>
      <w:r>
        <w:t>Overall, the region</w:t>
      </w:r>
      <w:r w:rsidRPr="00247413">
        <w:t xml:space="preserve"> continues to make steady progress towards the Mill</w:t>
      </w:r>
      <w:r>
        <w:t>ennium Development Goals (MDGs)</w:t>
      </w:r>
      <w:r w:rsidR="00A23204">
        <w:t>.</w:t>
      </w:r>
      <w:r w:rsidRPr="00247413">
        <w:t xml:space="preserve"> </w:t>
      </w:r>
      <w:r w:rsidR="00A23204">
        <w:t>However</w:t>
      </w:r>
      <w:r>
        <w:t xml:space="preserve"> development progress in </w:t>
      </w:r>
      <w:r w:rsidR="00AC4B14">
        <w:t xml:space="preserve">individual </w:t>
      </w:r>
      <w:r>
        <w:t>partner countries</w:t>
      </w:r>
      <w:r w:rsidRPr="00247413">
        <w:t xml:space="preserve"> is</w:t>
      </w:r>
      <w:r w:rsidR="00A23204">
        <w:t xml:space="preserve"> variable, as</w:t>
      </w:r>
      <w:r w:rsidRPr="00247413">
        <w:t xml:space="preserve"> reflected in </w:t>
      </w:r>
      <w:r w:rsidR="00A23204">
        <w:t>different rates of progress towards</w:t>
      </w:r>
      <w:r>
        <w:t xml:space="preserve"> </w:t>
      </w:r>
      <w:r w:rsidR="00A23204">
        <w:t>the</w:t>
      </w:r>
      <w:r>
        <w:t xml:space="preserve"> </w:t>
      </w:r>
      <w:r w:rsidRPr="00247413">
        <w:t>MDG</w:t>
      </w:r>
      <w:r w:rsidR="00A23204">
        <w:t>s</w:t>
      </w:r>
      <w:r>
        <w:t>.</w:t>
      </w:r>
      <w:r w:rsidRPr="00247413">
        <w:t xml:space="preserve"> </w:t>
      </w:r>
    </w:p>
    <w:p w:rsidR="0043046D" w:rsidRDefault="00F17DA0" w:rsidP="006A00A2">
      <w:pPr>
        <w:pStyle w:val="BodyText"/>
      </w:pPr>
      <w:r>
        <w:lastRenderedPageBreak/>
        <w:t>U</w:t>
      </w:r>
      <w:r w:rsidR="0043046D">
        <w:t>pdated d</w:t>
      </w:r>
      <w:r w:rsidR="0043046D" w:rsidRPr="00247413">
        <w:t xml:space="preserve">ata </w:t>
      </w:r>
      <w:r>
        <w:t xml:space="preserve">across </w:t>
      </w:r>
      <w:r w:rsidR="0043046D">
        <w:t xml:space="preserve">all </w:t>
      </w:r>
      <w:r>
        <w:t xml:space="preserve">MDG </w:t>
      </w:r>
      <w:r w:rsidR="0043046D" w:rsidRPr="00247413">
        <w:t>indicators</w:t>
      </w:r>
      <w:r w:rsidR="0043046D">
        <w:t xml:space="preserve"> is sporadic</w:t>
      </w:r>
      <w:r w:rsidR="00AC4B14">
        <w:t>—</w:t>
      </w:r>
      <w:r>
        <w:t xml:space="preserve">2012 data is only available for </w:t>
      </w:r>
      <w:r w:rsidR="0010360A">
        <w:t xml:space="preserve">these </w:t>
      </w:r>
      <w:r>
        <w:t>MDGs</w:t>
      </w:r>
      <w:r w:rsidR="0010360A">
        <w:t>:</w:t>
      </w:r>
    </w:p>
    <w:p w:rsidR="0043046D" w:rsidRPr="00225BFE" w:rsidRDefault="0043046D" w:rsidP="006A00A2">
      <w:pPr>
        <w:pStyle w:val="ListBullet"/>
      </w:pPr>
      <w:r w:rsidRPr="00225BFE">
        <w:t>MDG 3 (gender equality) indicates steady increase in the national parliament seats occupied by women across the region</w:t>
      </w:r>
      <w:r>
        <w:rPr>
          <w:rStyle w:val="FootnoteReference"/>
        </w:rPr>
        <w:footnoteReference w:id="2"/>
      </w:r>
    </w:p>
    <w:p w:rsidR="008F3607" w:rsidRDefault="008F3607" w:rsidP="006A00A2">
      <w:pPr>
        <w:pStyle w:val="ListBullet"/>
      </w:pPr>
      <w:r>
        <w:t xml:space="preserve">MDG 4 (child mortality) </w:t>
      </w:r>
      <w:r w:rsidR="0010360A">
        <w:t xml:space="preserve">indicates </w:t>
      </w:r>
      <w:r>
        <w:t>continuing decline in infant mortality rates in all Caribbean countries</w:t>
      </w:r>
      <w:r w:rsidRPr="007A7BFB">
        <w:rPr>
          <w:rStyle w:val="FootnoteReference"/>
        </w:rPr>
        <w:footnoteReference w:id="3"/>
      </w:r>
    </w:p>
    <w:p w:rsidR="0043046D" w:rsidRPr="00C748F7" w:rsidRDefault="0043046D" w:rsidP="006A00A2">
      <w:pPr>
        <w:pStyle w:val="ListBullet"/>
      </w:pPr>
      <w:r w:rsidRPr="00C748F7">
        <w:t xml:space="preserve">MDG 8 (global partnership for development) </w:t>
      </w:r>
      <w:r w:rsidR="0010360A">
        <w:t>indicates</w:t>
      </w:r>
      <w:r w:rsidR="0010360A" w:rsidRPr="00C748F7">
        <w:t xml:space="preserve"> </w:t>
      </w:r>
      <w:r w:rsidRPr="00C748F7">
        <w:t xml:space="preserve">significant increases in </w:t>
      </w:r>
      <w:r w:rsidR="00F5786E">
        <w:t>I</w:t>
      </w:r>
      <w:r w:rsidRPr="00C748F7">
        <w:t xml:space="preserve">nternet access and usage across the region (with Haiti </w:t>
      </w:r>
      <w:r w:rsidR="00F5786E">
        <w:t>an</w:t>
      </w:r>
      <w:r w:rsidRPr="00C748F7">
        <w:t xml:space="preserve"> exception)</w:t>
      </w:r>
      <w:r w:rsidR="00262919">
        <w:t xml:space="preserve">. </w:t>
      </w:r>
    </w:p>
    <w:p w:rsidR="008F3607" w:rsidRDefault="0010360A" w:rsidP="006A00A2">
      <w:pPr>
        <w:pStyle w:val="BodyText"/>
      </w:pPr>
      <w:r>
        <w:t>Data available</w:t>
      </w:r>
      <w:r w:rsidR="00046BDD">
        <w:t xml:space="preserve"> (before</w:t>
      </w:r>
      <w:r>
        <w:t xml:space="preserve"> 2012</w:t>
      </w:r>
      <w:r w:rsidR="00046BDD">
        <w:t>) indicates that with</w:t>
      </w:r>
      <w:r>
        <w:t xml:space="preserve"> </w:t>
      </w:r>
      <w:r w:rsidR="008F3607" w:rsidRPr="008F3607">
        <w:t>MDG 5 (maternal health)</w:t>
      </w:r>
      <w:r w:rsidR="00046BDD">
        <w:t xml:space="preserve">, </w:t>
      </w:r>
      <w:r w:rsidR="008F3607" w:rsidRPr="008F3607">
        <w:t>maternal mortality rates dropped from 320 in 1990 to 170 in 2008</w:t>
      </w:r>
      <w:r w:rsidR="00046BDD" w:rsidRPr="008F3607">
        <w:rPr>
          <w:rStyle w:val="FootnoteReference"/>
        </w:rPr>
        <w:footnoteReference w:id="4"/>
      </w:r>
      <w:r w:rsidR="00046BDD">
        <w:rPr>
          <w:rStyle w:val="FootnoteReference"/>
        </w:rPr>
        <w:t xml:space="preserve"> </w:t>
      </w:r>
      <w:r w:rsidR="00046BDD">
        <w:t xml:space="preserve">and with </w:t>
      </w:r>
      <w:r w:rsidR="008F3607">
        <w:t>M</w:t>
      </w:r>
      <w:r w:rsidR="008F3607" w:rsidRPr="008F3607">
        <w:t>DG 6 (HIV/AIDS</w:t>
      </w:r>
      <w:r w:rsidR="00046BDD">
        <w:t>, malaria</w:t>
      </w:r>
      <w:r w:rsidR="008F3607" w:rsidRPr="008F3607">
        <w:t xml:space="preserve"> and other diseases) Caribbean countries </w:t>
      </w:r>
      <w:r w:rsidR="00046BDD">
        <w:t>were</w:t>
      </w:r>
      <w:r w:rsidR="00046BDD" w:rsidRPr="008F3607">
        <w:t xml:space="preserve"> </w:t>
      </w:r>
      <w:r w:rsidR="008F3607" w:rsidRPr="008F3607">
        <w:t xml:space="preserve">the most affected in the Americas region. </w:t>
      </w:r>
      <w:r w:rsidR="00AE447F">
        <w:t xml:space="preserve">Although </w:t>
      </w:r>
      <w:r w:rsidR="00A11616">
        <w:t>completion of primary</w:t>
      </w:r>
      <w:r w:rsidR="00D87F81">
        <w:t xml:space="preserve"> education</w:t>
      </w:r>
      <w:r w:rsidR="00A11616">
        <w:t xml:space="preserve"> (MDG 2) and </w:t>
      </w:r>
      <w:r w:rsidR="00AE447F">
        <w:t>se</w:t>
      </w:r>
      <w:r w:rsidR="00AE447F" w:rsidRPr="00AE447F">
        <w:t xml:space="preserve">condary education </w:t>
      </w:r>
      <w:r w:rsidR="00046BDD">
        <w:t>was</w:t>
      </w:r>
      <w:r w:rsidR="00046BDD" w:rsidRPr="00AE447F">
        <w:t xml:space="preserve"> </w:t>
      </w:r>
      <w:r w:rsidR="00AE447F" w:rsidRPr="00AE447F">
        <w:t>nearly universal and access to tertiary education improved</w:t>
      </w:r>
      <w:r w:rsidR="00AE447F">
        <w:t xml:space="preserve">, </w:t>
      </w:r>
      <w:r w:rsidR="00567AB1">
        <w:t xml:space="preserve">Caribbean countries </w:t>
      </w:r>
      <w:r w:rsidR="00046BDD">
        <w:t xml:space="preserve">maintained </w:t>
      </w:r>
      <w:r w:rsidR="00567AB1">
        <w:t xml:space="preserve">mixed </w:t>
      </w:r>
      <w:r w:rsidR="00046BDD">
        <w:t>H</w:t>
      </w:r>
      <w:r w:rsidR="00567AB1">
        <w:t xml:space="preserve">uman </w:t>
      </w:r>
      <w:r w:rsidR="00046BDD">
        <w:t>D</w:t>
      </w:r>
      <w:r w:rsidR="00567AB1">
        <w:t xml:space="preserve">evelopment </w:t>
      </w:r>
      <w:r w:rsidR="00046BDD">
        <w:t>I</w:t>
      </w:r>
      <w:r w:rsidR="00567AB1">
        <w:t>ndex (HDI) ratings on health, education and income. Almost half of the</w:t>
      </w:r>
      <w:r w:rsidR="00046BDD">
        <w:t>m</w:t>
      </w:r>
      <w:r w:rsidR="00567AB1">
        <w:t xml:space="preserve"> slipped in their HDI ranking since last year’s </w:t>
      </w:r>
      <w:r w:rsidR="00EB6B9C">
        <w:t>Annual Program Performance Report (</w:t>
      </w:r>
      <w:r w:rsidR="00567AB1">
        <w:t>A</w:t>
      </w:r>
      <w:r w:rsidR="00046BDD">
        <w:t>PPR</w:t>
      </w:r>
      <w:r w:rsidR="00EB6B9C">
        <w:t>)</w:t>
      </w:r>
      <w:r w:rsidR="00DC6E1E">
        <w:rPr>
          <w:rStyle w:val="FootnoteReference"/>
        </w:rPr>
        <w:footnoteReference w:id="5"/>
      </w:r>
      <w:r w:rsidR="003D0216">
        <w:t xml:space="preserve"> (see </w:t>
      </w:r>
      <w:r w:rsidR="00780A6E">
        <w:t>Annex</w:t>
      </w:r>
      <w:r w:rsidR="003D0216">
        <w:t xml:space="preserve"> D)</w:t>
      </w:r>
      <w:r w:rsidR="00567AB1">
        <w:t>.</w:t>
      </w:r>
      <w:r w:rsidR="00D87F81">
        <w:t xml:space="preserve"> Updated data is not available for MDG 1 (poverty and hunger) or MDG 7 (environmental sustainability).</w:t>
      </w:r>
    </w:p>
    <w:p w:rsidR="000908B9" w:rsidRDefault="0010360A" w:rsidP="006A00A2">
      <w:pPr>
        <w:pStyle w:val="BodyText"/>
        <w:rPr>
          <w:szCs w:val="22"/>
        </w:rPr>
      </w:pPr>
      <w:r>
        <w:t>Table 1 indicates MDG county progress by ODA-eligible Caribbean countries eligible for ODA by Australia.</w:t>
      </w:r>
      <w:r w:rsidR="000908B9">
        <w:t xml:space="preserve"> </w:t>
      </w:r>
      <w:r w:rsidR="000908B9">
        <w:rPr>
          <w:szCs w:val="22"/>
        </w:rPr>
        <w:t>Annex E summarises regional progress towards the MDGs, and rankings.</w:t>
      </w:r>
    </w:p>
    <w:p w:rsidR="00923979" w:rsidRDefault="00923979" w:rsidP="006A00A2">
      <w:pPr>
        <w:pStyle w:val="Caption"/>
      </w:pPr>
      <w:r>
        <w:t xml:space="preserve">Table </w:t>
      </w:r>
      <w:fldSimple w:instr=" SEQ Table \* ARABIC ">
        <w:r w:rsidR="00F64760">
          <w:rPr>
            <w:noProof/>
          </w:rPr>
          <w:t>1</w:t>
        </w:r>
      </w:fldSimple>
      <w:r>
        <w:t xml:space="preserve"> MDG </w:t>
      </w:r>
      <w:r w:rsidR="0010360A" w:rsidRPr="006A00A2">
        <w:t>c</w:t>
      </w:r>
      <w:r w:rsidRPr="006A00A2">
        <w:t>ountry</w:t>
      </w:r>
      <w:r>
        <w:t xml:space="preserve"> </w:t>
      </w:r>
      <w:r w:rsidR="0010360A">
        <w:t>p</w:t>
      </w:r>
      <w:r>
        <w:t xml:space="preserve">rogress </w:t>
      </w:r>
      <w:r w:rsidR="0010360A">
        <w:t>s</w:t>
      </w:r>
      <w:r>
        <w:t>napshot</w:t>
      </w:r>
      <w:r>
        <w:rPr>
          <w:rStyle w:val="FootnoteReference"/>
        </w:rPr>
        <w:footnoteReference w:id="6"/>
      </w:r>
    </w:p>
    <w:tbl>
      <w:tblPr>
        <w:tblStyle w:val="APPR"/>
        <w:tblW w:w="5000" w:type="pct"/>
        <w:tblLook w:val="04A0" w:firstRow="1" w:lastRow="0" w:firstColumn="1" w:lastColumn="0" w:noHBand="0" w:noVBand="1"/>
      </w:tblPr>
      <w:tblGrid>
        <w:gridCol w:w="2955"/>
        <w:gridCol w:w="1877"/>
        <w:gridCol w:w="1723"/>
        <w:gridCol w:w="2051"/>
      </w:tblGrid>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730025" w:rsidRDefault="004E4F15" w:rsidP="00730025">
            <w:pPr>
              <w:pStyle w:val="TableTextColumnHeading"/>
              <w:rPr>
                <w:b/>
              </w:rPr>
            </w:pPr>
            <w:r w:rsidRPr="00730025">
              <w:rPr>
                <w:b/>
              </w:rPr>
              <w:t>Official development assistance (ODA)-eligible Caribbean countries</w:t>
            </w:r>
          </w:p>
        </w:tc>
        <w:tc>
          <w:tcPr>
            <w:tcW w:w="1672" w:type="dxa"/>
          </w:tcPr>
          <w:p w:rsidR="00730025" w:rsidRPr="00730025" w:rsidRDefault="00730025" w:rsidP="00730025">
            <w:pPr>
              <w:pStyle w:val="TableTextColumnHeading"/>
              <w:rPr>
                <w:b/>
              </w:rPr>
            </w:pPr>
            <w:r w:rsidRPr="00730025">
              <w:rPr>
                <w:b/>
              </w:rPr>
              <w:t xml:space="preserve">MDG 3: Gender equality </w:t>
            </w:r>
          </w:p>
          <w:p w:rsidR="004E4F15" w:rsidRPr="00730025" w:rsidRDefault="00730025" w:rsidP="00730025">
            <w:pPr>
              <w:pStyle w:val="TableTextColumnHeading"/>
              <w:rPr>
                <w:b/>
              </w:rPr>
            </w:pPr>
            <w:r w:rsidRPr="00730025">
              <w:rPr>
                <w:b/>
              </w:rPr>
              <w:t>National parliament seats occupied by women by %</w:t>
            </w:r>
          </w:p>
        </w:tc>
        <w:tc>
          <w:tcPr>
            <w:tcW w:w="1533" w:type="dxa"/>
          </w:tcPr>
          <w:p w:rsidR="00730025" w:rsidRPr="00730025" w:rsidRDefault="00730025" w:rsidP="00730025">
            <w:pPr>
              <w:pStyle w:val="TableTextColumnHeading"/>
              <w:rPr>
                <w:rFonts w:eastAsia="SimSun"/>
                <w:b/>
              </w:rPr>
            </w:pPr>
            <w:r w:rsidRPr="00730025">
              <w:rPr>
                <w:rFonts w:eastAsia="SimSun"/>
                <w:b/>
              </w:rPr>
              <w:t xml:space="preserve">MDG 4: Child mortality </w:t>
            </w:r>
          </w:p>
          <w:p w:rsidR="004E4F15" w:rsidRPr="00730025" w:rsidRDefault="00730025" w:rsidP="00730025">
            <w:pPr>
              <w:pStyle w:val="TableTextColumnHeading"/>
              <w:rPr>
                <w:b/>
              </w:rPr>
            </w:pPr>
            <w:r w:rsidRPr="00730025">
              <w:rPr>
                <w:rFonts w:eastAsia="SimSun"/>
                <w:b/>
              </w:rPr>
              <w:t>Under 5 mortality rate (deaths per 1000)</w:t>
            </w:r>
          </w:p>
        </w:tc>
        <w:tc>
          <w:tcPr>
            <w:tcW w:w="1817" w:type="dxa"/>
          </w:tcPr>
          <w:p w:rsidR="004E4F15" w:rsidRPr="00730025" w:rsidRDefault="00730025" w:rsidP="00730025">
            <w:pPr>
              <w:pStyle w:val="TableTextColumnHeading"/>
              <w:rPr>
                <w:b/>
              </w:rPr>
            </w:pPr>
            <w:r w:rsidRPr="00730025">
              <w:rPr>
                <w:b/>
              </w:rPr>
              <w:t>MDG 8: Global partnership for development Internet users per 100 inhabitants</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Suriname</w:t>
            </w:r>
          </w:p>
        </w:tc>
        <w:tc>
          <w:tcPr>
            <w:tcW w:w="1672" w:type="dxa"/>
          </w:tcPr>
          <w:p w:rsidR="004E4F15" w:rsidRPr="004E4F15" w:rsidRDefault="004E4F15" w:rsidP="00730025">
            <w:pPr>
              <w:pStyle w:val="TableTextEntries"/>
              <w:rPr>
                <w:b w:val="0"/>
              </w:rPr>
            </w:pPr>
            <w:r w:rsidRPr="004E4F15">
              <w:rPr>
                <w:b w:val="0"/>
              </w:rPr>
              <w:t>12  ↑</w:t>
            </w:r>
          </w:p>
        </w:tc>
        <w:tc>
          <w:tcPr>
            <w:tcW w:w="1533" w:type="dxa"/>
          </w:tcPr>
          <w:p w:rsidR="004E4F15" w:rsidRPr="004E4F15" w:rsidRDefault="004E4F15" w:rsidP="00730025">
            <w:pPr>
              <w:pStyle w:val="TableTextEntries"/>
              <w:rPr>
                <w:b w:val="0"/>
              </w:rPr>
            </w:pPr>
            <w:r w:rsidRPr="004E4F15">
              <w:rPr>
                <w:b w:val="0"/>
              </w:rPr>
              <w:t>31  ↓</w:t>
            </w:r>
          </w:p>
        </w:tc>
        <w:tc>
          <w:tcPr>
            <w:tcW w:w="1817" w:type="dxa"/>
          </w:tcPr>
          <w:p w:rsidR="004E4F15" w:rsidRPr="004E4F15" w:rsidRDefault="004E4F15" w:rsidP="00730025">
            <w:pPr>
              <w:pStyle w:val="TableTextEntries"/>
              <w:rPr>
                <w:b w:val="0"/>
              </w:rPr>
            </w:pPr>
            <w:r w:rsidRPr="004E4F15">
              <w:rPr>
                <w:b w:val="0"/>
              </w:rPr>
              <w:t>32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Antigua and Barbuda</w:t>
            </w:r>
          </w:p>
        </w:tc>
        <w:tc>
          <w:tcPr>
            <w:tcW w:w="1672" w:type="dxa"/>
          </w:tcPr>
          <w:p w:rsidR="004E4F15" w:rsidRPr="004E4F15" w:rsidRDefault="004E4F15" w:rsidP="00730025">
            <w:pPr>
              <w:pStyle w:val="TableTextEntries"/>
              <w:rPr>
                <w:b w:val="0"/>
              </w:rPr>
            </w:pPr>
            <w:r w:rsidRPr="004E4F15">
              <w:rPr>
                <w:b w:val="0"/>
              </w:rPr>
              <w:t>11  ↑</w:t>
            </w:r>
          </w:p>
        </w:tc>
        <w:tc>
          <w:tcPr>
            <w:tcW w:w="1533" w:type="dxa"/>
          </w:tcPr>
          <w:p w:rsidR="004E4F15" w:rsidRPr="004E4F15" w:rsidRDefault="004E4F15" w:rsidP="00730025">
            <w:pPr>
              <w:pStyle w:val="TableTextEntries"/>
              <w:rPr>
                <w:b w:val="0"/>
              </w:rPr>
            </w:pPr>
            <w:r w:rsidRPr="004E4F15">
              <w:rPr>
                <w:b w:val="0"/>
              </w:rPr>
              <w:t>29  ↓</w:t>
            </w:r>
          </w:p>
        </w:tc>
        <w:tc>
          <w:tcPr>
            <w:tcW w:w="1817" w:type="dxa"/>
          </w:tcPr>
          <w:p w:rsidR="004E4F15" w:rsidRPr="004E4F15" w:rsidRDefault="004E4F15" w:rsidP="00730025">
            <w:pPr>
              <w:pStyle w:val="TableTextEntries"/>
              <w:rPr>
                <w:b w:val="0"/>
              </w:rPr>
            </w:pPr>
            <w:r w:rsidRPr="004E4F15">
              <w:rPr>
                <w:b w:val="0"/>
              </w:rPr>
              <w:t>82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Saint Lucia</w:t>
            </w:r>
          </w:p>
        </w:tc>
        <w:tc>
          <w:tcPr>
            <w:tcW w:w="1672" w:type="dxa"/>
          </w:tcPr>
          <w:p w:rsidR="004E4F15" w:rsidRPr="004E4F15" w:rsidRDefault="004E4F15" w:rsidP="00730025">
            <w:pPr>
              <w:pStyle w:val="TableTextEntries"/>
              <w:rPr>
                <w:b w:val="0"/>
              </w:rPr>
            </w:pPr>
            <w:r w:rsidRPr="004E4F15">
              <w:rPr>
                <w:b w:val="0"/>
              </w:rPr>
              <w:t>17  ↑</w:t>
            </w:r>
          </w:p>
        </w:tc>
        <w:tc>
          <w:tcPr>
            <w:tcW w:w="1533" w:type="dxa"/>
          </w:tcPr>
          <w:p w:rsidR="004E4F15" w:rsidRPr="004E4F15" w:rsidRDefault="004E4F15" w:rsidP="00730025">
            <w:pPr>
              <w:pStyle w:val="TableTextEntries"/>
              <w:rPr>
                <w:b w:val="0"/>
              </w:rPr>
            </w:pPr>
            <w:r w:rsidRPr="004E4F15">
              <w:rPr>
                <w:b w:val="0"/>
              </w:rPr>
              <w:t>16  ↓</w:t>
            </w:r>
          </w:p>
        </w:tc>
        <w:tc>
          <w:tcPr>
            <w:tcW w:w="1817" w:type="dxa"/>
          </w:tcPr>
          <w:p w:rsidR="004E4F15" w:rsidRPr="004E4F15" w:rsidRDefault="004E4F15" w:rsidP="00730025">
            <w:pPr>
              <w:pStyle w:val="TableTextEntries"/>
              <w:rPr>
                <w:b w:val="0"/>
              </w:rPr>
            </w:pPr>
            <w:r w:rsidRPr="004E4F15">
              <w:rPr>
                <w:b w:val="0"/>
              </w:rPr>
              <w:t>42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Belize</w:t>
            </w:r>
          </w:p>
        </w:tc>
        <w:tc>
          <w:tcPr>
            <w:tcW w:w="1672" w:type="dxa"/>
          </w:tcPr>
          <w:p w:rsidR="004E4F15" w:rsidRPr="004E4F15" w:rsidRDefault="004E4F15" w:rsidP="00730025">
            <w:pPr>
              <w:pStyle w:val="TableTextEntries"/>
              <w:rPr>
                <w:b w:val="0"/>
              </w:rPr>
            </w:pPr>
            <w:r w:rsidRPr="004E4F15">
              <w:rPr>
                <w:b w:val="0"/>
              </w:rPr>
              <w:t>0 (no change)</w:t>
            </w:r>
          </w:p>
        </w:tc>
        <w:tc>
          <w:tcPr>
            <w:tcW w:w="1533" w:type="dxa"/>
          </w:tcPr>
          <w:p w:rsidR="004E4F15" w:rsidRPr="004E4F15" w:rsidRDefault="004E4F15" w:rsidP="00730025">
            <w:pPr>
              <w:pStyle w:val="TableTextEntries"/>
              <w:rPr>
                <w:b w:val="0"/>
              </w:rPr>
            </w:pPr>
            <w:r w:rsidRPr="004E4F15">
              <w:rPr>
                <w:b w:val="0"/>
              </w:rPr>
              <w:t>17  ↓</w:t>
            </w:r>
          </w:p>
        </w:tc>
        <w:tc>
          <w:tcPr>
            <w:tcW w:w="1817" w:type="dxa"/>
          </w:tcPr>
          <w:p w:rsidR="004E4F15" w:rsidRPr="004E4F15" w:rsidRDefault="004E4F15" w:rsidP="00730025">
            <w:pPr>
              <w:pStyle w:val="TableTextEntries"/>
              <w:rPr>
                <w:b w:val="0"/>
              </w:rPr>
            </w:pPr>
            <w:r w:rsidRPr="004E4F15">
              <w:rPr>
                <w:b w:val="0"/>
              </w:rPr>
              <w:t>14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St Kitts and Nevis</w:t>
            </w:r>
          </w:p>
        </w:tc>
        <w:tc>
          <w:tcPr>
            <w:tcW w:w="1672" w:type="dxa"/>
          </w:tcPr>
          <w:p w:rsidR="004E4F15" w:rsidRPr="004E4F15" w:rsidRDefault="004E4F15" w:rsidP="00730025">
            <w:pPr>
              <w:pStyle w:val="TableTextEntries"/>
              <w:rPr>
                <w:b w:val="0"/>
              </w:rPr>
            </w:pPr>
            <w:r w:rsidRPr="004E4F15">
              <w:rPr>
                <w:b w:val="0"/>
              </w:rPr>
              <w:t>7 (no change)</w:t>
            </w:r>
          </w:p>
        </w:tc>
        <w:tc>
          <w:tcPr>
            <w:tcW w:w="1533" w:type="dxa"/>
          </w:tcPr>
          <w:p w:rsidR="004E4F15" w:rsidRPr="004E4F15" w:rsidRDefault="004E4F15" w:rsidP="00730025">
            <w:pPr>
              <w:pStyle w:val="TableTextEntries"/>
              <w:rPr>
                <w:b w:val="0"/>
              </w:rPr>
            </w:pPr>
            <w:r w:rsidRPr="004E4F15">
              <w:rPr>
                <w:b w:val="0"/>
              </w:rPr>
              <w:t xml:space="preserve">  8  ↓</w:t>
            </w:r>
          </w:p>
        </w:tc>
        <w:tc>
          <w:tcPr>
            <w:tcW w:w="1817" w:type="dxa"/>
          </w:tcPr>
          <w:p w:rsidR="004E4F15" w:rsidRPr="004E4F15" w:rsidRDefault="004E4F15" w:rsidP="00730025">
            <w:pPr>
              <w:pStyle w:val="TableTextEntries"/>
              <w:rPr>
                <w:b w:val="0"/>
              </w:rPr>
            </w:pPr>
            <w:r w:rsidRPr="004E4F15">
              <w:rPr>
                <w:b w:val="0"/>
              </w:rPr>
              <w:t>76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St Vincent and the Grenadines</w:t>
            </w:r>
          </w:p>
        </w:tc>
        <w:tc>
          <w:tcPr>
            <w:tcW w:w="1672" w:type="dxa"/>
          </w:tcPr>
          <w:p w:rsidR="004E4F15" w:rsidRPr="004E4F15" w:rsidRDefault="004E4F15" w:rsidP="00730025">
            <w:pPr>
              <w:pStyle w:val="TableTextEntries"/>
              <w:rPr>
                <w:b w:val="0"/>
              </w:rPr>
            </w:pPr>
            <w:r w:rsidRPr="004E4F15">
              <w:rPr>
                <w:b w:val="0"/>
              </w:rPr>
              <w:t>17  ↑</w:t>
            </w:r>
          </w:p>
        </w:tc>
        <w:tc>
          <w:tcPr>
            <w:tcW w:w="1533" w:type="dxa"/>
          </w:tcPr>
          <w:p w:rsidR="004E4F15" w:rsidRPr="004E4F15" w:rsidRDefault="004E4F15" w:rsidP="00730025">
            <w:pPr>
              <w:pStyle w:val="TableTextEntries"/>
              <w:rPr>
                <w:b w:val="0"/>
              </w:rPr>
            </w:pPr>
            <w:r w:rsidRPr="004E4F15">
              <w:rPr>
                <w:b w:val="0"/>
              </w:rPr>
              <w:t>21  ↓</w:t>
            </w:r>
          </w:p>
        </w:tc>
        <w:tc>
          <w:tcPr>
            <w:tcW w:w="1817" w:type="dxa"/>
          </w:tcPr>
          <w:p w:rsidR="004E4F15" w:rsidRPr="004E4F15" w:rsidRDefault="004E4F15" w:rsidP="00730025">
            <w:pPr>
              <w:pStyle w:val="TableTextEntries"/>
              <w:rPr>
                <w:b w:val="0"/>
              </w:rPr>
            </w:pPr>
            <w:r w:rsidRPr="004E4F15">
              <w:rPr>
                <w:b w:val="0"/>
              </w:rPr>
              <w:t>43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Dominica</w:t>
            </w:r>
          </w:p>
        </w:tc>
        <w:tc>
          <w:tcPr>
            <w:tcW w:w="1672" w:type="dxa"/>
          </w:tcPr>
          <w:p w:rsidR="004E4F15" w:rsidRPr="004E4F15" w:rsidRDefault="004E4F15" w:rsidP="00730025">
            <w:pPr>
              <w:pStyle w:val="TableTextEntries"/>
              <w:rPr>
                <w:b w:val="0"/>
              </w:rPr>
            </w:pPr>
            <w:r w:rsidRPr="004E4F15">
              <w:rPr>
                <w:b w:val="0"/>
              </w:rPr>
              <w:t>13  ↑</w:t>
            </w:r>
          </w:p>
        </w:tc>
        <w:tc>
          <w:tcPr>
            <w:tcW w:w="1533" w:type="dxa"/>
          </w:tcPr>
          <w:p w:rsidR="004E4F15" w:rsidRPr="004E4F15" w:rsidRDefault="004E4F15" w:rsidP="00730025">
            <w:pPr>
              <w:pStyle w:val="TableTextEntries"/>
              <w:rPr>
                <w:b w:val="0"/>
              </w:rPr>
            </w:pPr>
            <w:r w:rsidRPr="004E4F15">
              <w:rPr>
                <w:b w:val="0"/>
              </w:rPr>
              <w:t>12  ↓</w:t>
            </w:r>
          </w:p>
        </w:tc>
        <w:tc>
          <w:tcPr>
            <w:tcW w:w="1817" w:type="dxa"/>
          </w:tcPr>
          <w:p w:rsidR="004E4F15" w:rsidRPr="004E4F15" w:rsidRDefault="004E4F15" w:rsidP="00730025">
            <w:pPr>
              <w:pStyle w:val="TableTextEntries"/>
              <w:rPr>
                <w:b w:val="0"/>
              </w:rPr>
            </w:pPr>
            <w:r w:rsidRPr="004E4F15">
              <w:rPr>
                <w:b w:val="0"/>
              </w:rPr>
              <w:t>51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Grenada</w:t>
            </w:r>
          </w:p>
        </w:tc>
        <w:tc>
          <w:tcPr>
            <w:tcW w:w="1672" w:type="dxa"/>
          </w:tcPr>
          <w:p w:rsidR="004E4F15" w:rsidRPr="004E4F15" w:rsidRDefault="004E4F15" w:rsidP="00730025">
            <w:pPr>
              <w:pStyle w:val="TableTextEntries"/>
              <w:rPr>
                <w:b w:val="0"/>
              </w:rPr>
            </w:pPr>
            <w:r w:rsidRPr="004E4F15">
              <w:rPr>
                <w:b w:val="0"/>
              </w:rPr>
              <w:t>13  ↑</w:t>
            </w:r>
          </w:p>
        </w:tc>
        <w:tc>
          <w:tcPr>
            <w:tcW w:w="1533" w:type="dxa"/>
          </w:tcPr>
          <w:p w:rsidR="004E4F15" w:rsidRPr="004E4F15" w:rsidRDefault="004E4F15" w:rsidP="00730025">
            <w:pPr>
              <w:pStyle w:val="TableTextEntries"/>
              <w:rPr>
                <w:b w:val="0"/>
              </w:rPr>
            </w:pPr>
            <w:r w:rsidRPr="004E4F15">
              <w:rPr>
                <w:b w:val="0"/>
              </w:rPr>
              <w:t>11  ↓</w:t>
            </w:r>
          </w:p>
        </w:tc>
        <w:tc>
          <w:tcPr>
            <w:tcW w:w="1817" w:type="dxa"/>
          </w:tcPr>
          <w:p w:rsidR="004E4F15" w:rsidRPr="004E4F15" w:rsidRDefault="004E4F15" w:rsidP="00730025">
            <w:pPr>
              <w:pStyle w:val="TableTextEntries"/>
              <w:rPr>
                <w:b w:val="0"/>
              </w:rPr>
            </w:pPr>
            <w:r w:rsidRPr="004E4F15">
              <w:rPr>
                <w:b w:val="0"/>
              </w:rPr>
              <w:t>33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Guyana</w:t>
            </w:r>
          </w:p>
        </w:tc>
        <w:tc>
          <w:tcPr>
            <w:tcW w:w="1672" w:type="dxa"/>
          </w:tcPr>
          <w:p w:rsidR="004E4F15" w:rsidRPr="004E4F15" w:rsidRDefault="004E4F15" w:rsidP="00730025">
            <w:pPr>
              <w:pStyle w:val="TableTextEntries"/>
              <w:rPr>
                <w:b w:val="0"/>
              </w:rPr>
            </w:pPr>
            <w:r w:rsidRPr="004E4F15">
              <w:rPr>
                <w:b w:val="0"/>
              </w:rPr>
              <w:t>31  ↑</w:t>
            </w:r>
          </w:p>
        </w:tc>
        <w:tc>
          <w:tcPr>
            <w:tcW w:w="1533" w:type="dxa"/>
          </w:tcPr>
          <w:p w:rsidR="004E4F15" w:rsidRPr="004E4F15" w:rsidRDefault="004E4F15" w:rsidP="00730025">
            <w:pPr>
              <w:pStyle w:val="TableTextEntries"/>
              <w:rPr>
                <w:b w:val="0"/>
              </w:rPr>
            </w:pPr>
            <w:r w:rsidRPr="004E4F15">
              <w:rPr>
                <w:b w:val="0"/>
              </w:rPr>
              <w:t>35  ↓</w:t>
            </w:r>
          </w:p>
        </w:tc>
        <w:tc>
          <w:tcPr>
            <w:tcW w:w="1817" w:type="dxa"/>
          </w:tcPr>
          <w:p w:rsidR="004E4F15" w:rsidRPr="004E4F15" w:rsidRDefault="004E4F15" w:rsidP="00730025">
            <w:pPr>
              <w:pStyle w:val="TableTextEntries"/>
              <w:rPr>
                <w:b w:val="0"/>
              </w:rPr>
            </w:pPr>
            <w:r w:rsidRPr="004E4F15">
              <w:rPr>
                <w:b w:val="0"/>
              </w:rPr>
              <w:t>32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Haiti</w:t>
            </w:r>
          </w:p>
        </w:tc>
        <w:tc>
          <w:tcPr>
            <w:tcW w:w="1672" w:type="dxa"/>
          </w:tcPr>
          <w:p w:rsidR="004E4F15" w:rsidRPr="004E4F15" w:rsidRDefault="004E4F15" w:rsidP="00730025">
            <w:pPr>
              <w:pStyle w:val="TableTextEntries"/>
              <w:rPr>
                <w:b w:val="0"/>
              </w:rPr>
            </w:pPr>
            <w:r w:rsidRPr="004E4F15">
              <w:rPr>
                <w:b w:val="0"/>
              </w:rPr>
              <w:t xml:space="preserve">  4  ↑</w:t>
            </w:r>
          </w:p>
        </w:tc>
        <w:tc>
          <w:tcPr>
            <w:tcW w:w="1533" w:type="dxa"/>
          </w:tcPr>
          <w:p w:rsidR="004E4F15" w:rsidRPr="004E4F15" w:rsidRDefault="004E4F15" w:rsidP="00730025">
            <w:pPr>
              <w:pStyle w:val="TableTextEntries"/>
              <w:rPr>
                <w:b w:val="0"/>
              </w:rPr>
            </w:pPr>
            <w:r w:rsidRPr="004E4F15">
              <w:rPr>
                <w:b w:val="0"/>
              </w:rPr>
              <w:t>70  ↓</w:t>
            </w:r>
          </w:p>
        </w:tc>
        <w:tc>
          <w:tcPr>
            <w:tcW w:w="1817" w:type="dxa"/>
          </w:tcPr>
          <w:p w:rsidR="004E4F15" w:rsidRPr="004E4F15" w:rsidRDefault="004E4F15" w:rsidP="00730025">
            <w:pPr>
              <w:pStyle w:val="TableTextEntries"/>
              <w:rPr>
                <w:b w:val="0"/>
              </w:rPr>
            </w:pPr>
            <w:r w:rsidRPr="004E4F15">
              <w:rPr>
                <w:b w:val="0"/>
              </w:rPr>
              <w:t xml:space="preserve">  8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Jamaica</w:t>
            </w:r>
          </w:p>
        </w:tc>
        <w:tc>
          <w:tcPr>
            <w:tcW w:w="1672" w:type="dxa"/>
          </w:tcPr>
          <w:p w:rsidR="004E4F15" w:rsidRPr="004E4F15" w:rsidRDefault="004E4F15" w:rsidP="00730025">
            <w:pPr>
              <w:pStyle w:val="TableTextEntries"/>
              <w:rPr>
                <w:b w:val="0"/>
              </w:rPr>
            </w:pPr>
            <w:r w:rsidRPr="004E4F15">
              <w:rPr>
                <w:b w:val="0"/>
              </w:rPr>
              <w:t>13  ↑</w:t>
            </w:r>
          </w:p>
        </w:tc>
        <w:tc>
          <w:tcPr>
            <w:tcW w:w="1533" w:type="dxa"/>
          </w:tcPr>
          <w:p w:rsidR="004E4F15" w:rsidRPr="004E4F15" w:rsidRDefault="004E4F15" w:rsidP="00730025">
            <w:pPr>
              <w:pStyle w:val="TableTextEntries"/>
              <w:rPr>
                <w:b w:val="0"/>
              </w:rPr>
            </w:pPr>
            <w:r w:rsidRPr="004E4F15">
              <w:rPr>
                <w:b w:val="0"/>
              </w:rPr>
              <w:t>24  ↓</w:t>
            </w:r>
          </w:p>
        </w:tc>
        <w:tc>
          <w:tcPr>
            <w:tcW w:w="1817" w:type="dxa"/>
          </w:tcPr>
          <w:p w:rsidR="004E4F15" w:rsidRPr="004E4F15" w:rsidRDefault="004E4F15" w:rsidP="00730025">
            <w:pPr>
              <w:pStyle w:val="TableTextEntries"/>
              <w:rPr>
                <w:b w:val="0"/>
              </w:rPr>
            </w:pPr>
            <w:r w:rsidRPr="004E4F15">
              <w:rPr>
                <w:b w:val="0"/>
              </w:rPr>
              <w:t>31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Dominican Republic</w:t>
            </w:r>
          </w:p>
        </w:tc>
        <w:tc>
          <w:tcPr>
            <w:tcW w:w="1672" w:type="dxa"/>
          </w:tcPr>
          <w:p w:rsidR="004E4F15" w:rsidRPr="004E4F15" w:rsidRDefault="004E4F15" w:rsidP="00730025">
            <w:pPr>
              <w:pStyle w:val="TableTextEntries"/>
              <w:rPr>
                <w:b w:val="0"/>
              </w:rPr>
            </w:pPr>
            <w:r w:rsidRPr="004E4F15">
              <w:rPr>
                <w:b w:val="0"/>
              </w:rPr>
              <w:t>21  ↑</w:t>
            </w:r>
          </w:p>
        </w:tc>
        <w:tc>
          <w:tcPr>
            <w:tcW w:w="1533" w:type="dxa"/>
          </w:tcPr>
          <w:p w:rsidR="004E4F15" w:rsidRPr="004E4F15" w:rsidRDefault="004E4F15" w:rsidP="00730025">
            <w:pPr>
              <w:pStyle w:val="TableTextEntries"/>
              <w:rPr>
                <w:b w:val="0"/>
              </w:rPr>
            </w:pPr>
            <w:r w:rsidRPr="004E4F15">
              <w:rPr>
                <w:b w:val="0"/>
              </w:rPr>
              <w:t>27  ↓</w:t>
            </w:r>
          </w:p>
        </w:tc>
        <w:tc>
          <w:tcPr>
            <w:tcW w:w="1817" w:type="dxa"/>
          </w:tcPr>
          <w:p w:rsidR="004E4F15" w:rsidRPr="004E4F15" w:rsidRDefault="004E4F15" w:rsidP="00730025">
            <w:pPr>
              <w:pStyle w:val="TableTextEntries"/>
              <w:rPr>
                <w:b w:val="0"/>
              </w:rPr>
            </w:pPr>
            <w:r w:rsidRPr="004E4F15">
              <w:rPr>
                <w:b w:val="0"/>
              </w:rPr>
              <w:t>36  ↑</w:t>
            </w:r>
          </w:p>
        </w:tc>
      </w:tr>
      <w:tr w:rsidR="004E4F15" w:rsidRPr="00181128" w:rsidTr="00730025">
        <w:trPr>
          <w:cnfStyle w:val="100000000000" w:firstRow="1" w:lastRow="0" w:firstColumn="0" w:lastColumn="0" w:oddVBand="0" w:evenVBand="0" w:oddHBand="0" w:evenHBand="0" w:firstRowFirstColumn="0" w:firstRowLastColumn="0" w:lastRowFirstColumn="0" w:lastRowLastColumn="0"/>
        </w:trPr>
        <w:tc>
          <w:tcPr>
            <w:tcW w:w="2635" w:type="dxa"/>
          </w:tcPr>
          <w:p w:rsidR="004E4F15" w:rsidRPr="004E4F15" w:rsidRDefault="004E4F15" w:rsidP="00730025">
            <w:pPr>
              <w:pStyle w:val="TableTextEntries"/>
              <w:rPr>
                <w:b w:val="0"/>
              </w:rPr>
            </w:pPr>
            <w:r w:rsidRPr="004E4F15">
              <w:rPr>
                <w:b w:val="0"/>
              </w:rPr>
              <w:t>Cuba</w:t>
            </w:r>
          </w:p>
        </w:tc>
        <w:tc>
          <w:tcPr>
            <w:tcW w:w="1672" w:type="dxa"/>
          </w:tcPr>
          <w:p w:rsidR="004E4F15" w:rsidRPr="004E4F15" w:rsidRDefault="004E4F15" w:rsidP="00730025">
            <w:pPr>
              <w:pStyle w:val="TableTextEntries"/>
              <w:rPr>
                <w:b w:val="0"/>
              </w:rPr>
            </w:pPr>
            <w:r w:rsidRPr="004E4F15">
              <w:rPr>
                <w:b w:val="0"/>
              </w:rPr>
              <w:t>45  ↑</w:t>
            </w:r>
          </w:p>
        </w:tc>
        <w:tc>
          <w:tcPr>
            <w:tcW w:w="1533" w:type="dxa"/>
          </w:tcPr>
          <w:p w:rsidR="004E4F15" w:rsidRPr="004E4F15" w:rsidRDefault="004E4F15" w:rsidP="00730025">
            <w:pPr>
              <w:pStyle w:val="TableTextEntries"/>
              <w:rPr>
                <w:b w:val="0"/>
              </w:rPr>
            </w:pPr>
            <w:r w:rsidRPr="004E4F15">
              <w:rPr>
                <w:b w:val="0"/>
              </w:rPr>
              <w:t xml:space="preserve">  6  ↓</w:t>
            </w:r>
          </w:p>
        </w:tc>
        <w:tc>
          <w:tcPr>
            <w:tcW w:w="1817" w:type="dxa"/>
          </w:tcPr>
          <w:p w:rsidR="004E4F15" w:rsidRPr="004E4F15" w:rsidRDefault="004E4F15" w:rsidP="00730025">
            <w:pPr>
              <w:pStyle w:val="TableTextEntries"/>
              <w:rPr>
                <w:b w:val="0"/>
              </w:rPr>
            </w:pPr>
            <w:r w:rsidRPr="004E4F15">
              <w:rPr>
                <w:b w:val="0"/>
              </w:rPr>
              <w:t>32  ↑</w:t>
            </w:r>
          </w:p>
        </w:tc>
      </w:tr>
    </w:tbl>
    <w:p w:rsidR="008F3607" w:rsidRDefault="008F3607" w:rsidP="008F3607">
      <w:pPr>
        <w:autoSpaceDE w:val="0"/>
        <w:autoSpaceDN w:val="0"/>
        <w:adjustRightInd w:val="0"/>
        <w:rPr>
          <w:rFonts w:ascii="Arial Black" w:hAnsi="Arial Black" w:cs="Arial Black"/>
          <w:color w:val="000000"/>
          <w:sz w:val="22"/>
          <w:szCs w:val="22"/>
        </w:rPr>
      </w:pPr>
    </w:p>
    <w:p w:rsidR="0043046D" w:rsidRPr="00BF5A11" w:rsidRDefault="0043046D" w:rsidP="006A00A2">
      <w:pPr>
        <w:pStyle w:val="BodyText"/>
      </w:pPr>
      <w:r w:rsidRPr="00BF5A11">
        <w:lastRenderedPageBreak/>
        <w:t xml:space="preserve">The Caribbean is one of the most disaster-prone regions in the world. </w:t>
      </w:r>
      <w:r w:rsidR="003465FD">
        <w:t>C</w:t>
      </w:r>
      <w:r w:rsidRPr="00BF5A11">
        <w:t>osts associated with the frequent recurrence of natural disasters, particularly hurricanes, are high</w:t>
      </w:r>
      <w:r w:rsidR="00262919">
        <w:t xml:space="preserve">. </w:t>
      </w:r>
      <w:r w:rsidRPr="00BF5A11">
        <w:t>This especially impact</w:t>
      </w:r>
      <w:r w:rsidR="00AE447F">
        <w:t>s</w:t>
      </w:r>
      <w:r w:rsidR="003465FD">
        <w:t xml:space="preserve"> on</w:t>
      </w:r>
      <w:r w:rsidRPr="00BF5A11">
        <w:t xml:space="preserve"> smaller countries vulnerable to sea-level rise, increased storm intensity and changed rainfall patterns. Climate change and disaster management remain priorities for the CARICOM Secretariat</w:t>
      </w:r>
      <w:r w:rsidRPr="000D017B">
        <w:t>, its Member States</w:t>
      </w:r>
      <w:r w:rsidRPr="00BF5A11">
        <w:t xml:space="preserve"> and communities throughout the region. </w:t>
      </w:r>
    </w:p>
    <w:p w:rsidR="0043046D" w:rsidRDefault="0043046D" w:rsidP="006A00A2">
      <w:pPr>
        <w:pStyle w:val="BodyText"/>
      </w:pPr>
      <w:r w:rsidRPr="00BF5A11">
        <w:t xml:space="preserve">The global financial crisis and its aftermath in Europe and </w:t>
      </w:r>
      <w:r w:rsidR="003465FD">
        <w:t>the United States</w:t>
      </w:r>
      <w:r w:rsidRPr="00BF5A11">
        <w:t xml:space="preserve"> reinforce the importance of economic resilience. Challenges from high public debt levels</w:t>
      </w:r>
      <w:r w:rsidR="00FD5083">
        <w:t xml:space="preserve"> persist</w:t>
      </w:r>
      <w:r w:rsidRPr="00BF5A11">
        <w:t xml:space="preserve"> (around 70</w:t>
      </w:r>
      <w:r w:rsidR="003465FD">
        <w:t xml:space="preserve"> per cent</w:t>
      </w:r>
      <w:r w:rsidRPr="00BF5A11">
        <w:t xml:space="preserve"> of regional </w:t>
      </w:r>
      <w:r w:rsidR="003465FD">
        <w:t>gross domestic product—GDP</w:t>
      </w:r>
      <w:r w:rsidRPr="00BF5A11">
        <w:t>)</w:t>
      </w:r>
      <w:r w:rsidR="00FD5083">
        <w:t>. Between 1997 and 2004, the average debt</w:t>
      </w:r>
      <w:r w:rsidR="002870B1">
        <w:t>-</w:t>
      </w:r>
      <w:r w:rsidR="00FD5083">
        <w:t>to</w:t>
      </w:r>
      <w:r w:rsidR="002870B1">
        <w:t>-</w:t>
      </w:r>
      <w:r w:rsidR="00FD5083">
        <w:t xml:space="preserve">GDP ratio in the region increased from 54 </w:t>
      </w:r>
      <w:r w:rsidR="00057184">
        <w:t>per cent</w:t>
      </w:r>
      <w:r w:rsidR="00FD5083">
        <w:t xml:space="preserve"> to 84 </w:t>
      </w:r>
      <w:r w:rsidR="00057184">
        <w:t>per cent</w:t>
      </w:r>
      <w:r w:rsidR="00FD5083">
        <w:t xml:space="preserve">, </w:t>
      </w:r>
      <w:r w:rsidRPr="00BF5A11">
        <w:t>and adverse terms of trade continue to constrain growth</w:t>
      </w:r>
      <w:r w:rsidR="003465FD">
        <w:t>,</w:t>
      </w:r>
      <w:r w:rsidRPr="00BF5A11">
        <w:t xml:space="preserve"> resulting in the Caribbean getting poorer over time (Chart</w:t>
      </w:r>
      <w:r w:rsidR="006A1097">
        <w:t xml:space="preserve"> 1</w:t>
      </w:r>
      <w:r w:rsidRPr="00BF5A11">
        <w:t>).</w:t>
      </w:r>
      <w:r w:rsidRPr="007A7BFB">
        <w:rPr>
          <w:rStyle w:val="FootnoteReference"/>
        </w:rPr>
        <w:footnoteReference w:id="7"/>
      </w:r>
      <w:r w:rsidR="00411EB3">
        <w:t xml:space="preserve"> </w:t>
      </w:r>
      <w:r w:rsidR="00FD5083">
        <w:t>In the case of the Eastern Caribbean Currency Union</w:t>
      </w:r>
      <w:r w:rsidR="007C7CF1">
        <w:t xml:space="preserve"> (ECCU)</w:t>
      </w:r>
      <w:r w:rsidR="00FD5083">
        <w:t xml:space="preserve"> countries, weak </w:t>
      </w:r>
      <w:r w:rsidR="007C7CF1">
        <w:t>i</w:t>
      </w:r>
      <w:r w:rsidR="00FD5083">
        <w:t xml:space="preserve">ndigenous banks have put the monetary union under considerable stress, and </w:t>
      </w:r>
      <w:r w:rsidR="00411EB3">
        <w:t>tourism-based economi</w:t>
      </w:r>
      <w:r w:rsidR="005929F9">
        <w:t>e</w:t>
      </w:r>
      <w:r w:rsidR="00411EB3">
        <w:t>s have consistently declined</w:t>
      </w:r>
      <w:r w:rsidR="003465FD">
        <w:t>. T</w:t>
      </w:r>
      <w:r w:rsidR="00411EB3">
        <w:t>his mix in country performances presents additional challenges to delivering the Caribbean program’s economic resilience activities on a large, regional scale</w:t>
      </w:r>
      <w:r w:rsidR="00FD5083">
        <w:t>.</w:t>
      </w:r>
    </w:p>
    <w:p w:rsidR="004E4F15" w:rsidRPr="006A1097" w:rsidRDefault="004E4F15" w:rsidP="004E4F15">
      <w:pPr>
        <w:pStyle w:val="Caption"/>
        <w:rPr>
          <w:rFonts w:cs="Times New Roman"/>
          <w:noProof/>
        </w:rPr>
      </w:pPr>
      <w:r>
        <w:t>Chart</w:t>
      </w:r>
      <w:r w:rsidRPr="006A1097">
        <w:t xml:space="preserve"> 1: Caribbean has been getting poor over recent decades.</w:t>
      </w:r>
    </w:p>
    <w:p w:rsidR="004E4F15" w:rsidRPr="00BF5A11" w:rsidRDefault="004E4F15" w:rsidP="006A00A2">
      <w:pPr>
        <w:pStyle w:val="BodyText"/>
      </w:pPr>
      <w:r w:rsidRPr="00BF5A11">
        <w:rPr>
          <w:noProof/>
        </w:rPr>
        <w:drawing>
          <wp:inline distT="0" distB="0" distL="0" distR="0" wp14:anchorId="1C53753E" wp14:editId="48C59F11">
            <wp:extent cx="3754800" cy="289080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4800" cy="2890800"/>
                    </a:xfrm>
                    <a:prstGeom prst="rect">
                      <a:avLst/>
                    </a:prstGeom>
                    <a:noFill/>
                    <a:ln>
                      <a:noFill/>
                    </a:ln>
                  </pic:spPr>
                </pic:pic>
              </a:graphicData>
            </a:graphic>
          </wp:inline>
        </w:drawing>
      </w:r>
    </w:p>
    <w:p w:rsidR="0043046D" w:rsidRPr="00BF5A11" w:rsidRDefault="0043046D" w:rsidP="006A00A2">
      <w:pPr>
        <w:pStyle w:val="BodyText"/>
      </w:pPr>
      <w:r w:rsidRPr="00BF5A11">
        <w:t>Remittances, which accounted for 25 per cent of 2012 GDP in Haiti and 14 per cent in Jamaica, are yet to recover to pre-</w:t>
      </w:r>
      <w:r w:rsidR="003465FD">
        <w:t xml:space="preserve">global financial </w:t>
      </w:r>
      <w:r w:rsidR="003E4E70">
        <w:t>crisis</w:t>
      </w:r>
      <w:r w:rsidRPr="00BF5A11">
        <w:t xml:space="preserve"> levels</w:t>
      </w:r>
      <w:r w:rsidR="00262919">
        <w:t xml:space="preserve">. </w:t>
      </w:r>
      <w:r w:rsidRPr="00BF5A11">
        <w:t>In 2012</w:t>
      </w:r>
      <w:r w:rsidR="007B7748">
        <w:t>,</w:t>
      </w:r>
      <w:r w:rsidRPr="00BF5A11">
        <w:t xml:space="preserve"> the Caribbean region delivered GDP growth of 3.1 per cent, which is higher than expected for world growth</w:t>
      </w:r>
      <w:r w:rsidR="00262919">
        <w:t xml:space="preserve">. </w:t>
      </w:r>
      <w:r w:rsidRPr="00BF5A11">
        <w:t>Prospects are more favourable for commodity exporters (</w:t>
      </w:r>
      <w:r w:rsidR="007B7748">
        <w:t>for example,</w:t>
      </w:r>
      <w:r w:rsidRPr="00BF5A11">
        <w:t xml:space="preserve"> Guyana, Suriname, and Trinidad and Tobago)</w:t>
      </w:r>
      <w:r w:rsidR="002870B1">
        <w:t>,</w:t>
      </w:r>
      <w:r w:rsidRPr="00BF5A11">
        <w:t xml:space="preserve"> which grew by 3.5 per cent on average in 2012</w:t>
      </w:r>
      <w:r w:rsidR="00262919">
        <w:t xml:space="preserve">. </w:t>
      </w:r>
    </w:p>
    <w:p w:rsidR="0043046D" w:rsidRDefault="0043046D" w:rsidP="006A00A2">
      <w:pPr>
        <w:pStyle w:val="BodyText"/>
      </w:pPr>
      <w:r w:rsidRPr="00BF5A11">
        <w:t>Productivity and human resource capacity is also a constraint in the Caribbean</w:t>
      </w:r>
      <w:r w:rsidR="00262919">
        <w:t xml:space="preserve">. </w:t>
      </w:r>
      <w:r w:rsidRPr="00BF5A11">
        <w:t>With increased labour mobility to</w:t>
      </w:r>
      <w:r w:rsidR="000908B9">
        <w:t xml:space="preserve"> </w:t>
      </w:r>
      <w:r w:rsidR="007B7748">
        <w:t xml:space="preserve">the </w:t>
      </w:r>
      <w:r w:rsidRPr="00BF5A11">
        <w:t>E</w:t>
      </w:r>
      <w:r w:rsidR="007B7748">
        <w:t xml:space="preserve">uropean </w:t>
      </w:r>
      <w:r w:rsidRPr="00BF5A11">
        <w:t>U</w:t>
      </w:r>
      <w:r w:rsidR="007B7748">
        <w:t>nion</w:t>
      </w:r>
      <w:r w:rsidR="002870B1">
        <w:t xml:space="preserve"> and the United States</w:t>
      </w:r>
      <w:r w:rsidRPr="00BF5A11">
        <w:t>, especially for qualified people, the region suffers from declining competitiveness and productivity.</w:t>
      </w:r>
    </w:p>
    <w:p w:rsidR="00D21FC9" w:rsidRPr="00BF5A11" w:rsidRDefault="00D21FC9" w:rsidP="006A00A2">
      <w:pPr>
        <w:pStyle w:val="BodyText"/>
      </w:pPr>
      <w:r>
        <w:t>Australia is the fifteenth largest donor by volume in the Caribbean, contributing 0.7 per cent of O</w:t>
      </w:r>
      <w:r w:rsidR="006A1097">
        <w:t>DA</w:t>
      </w:r>
      <w:r>
        <w:t xml:space="preserve"> to the region in 201</w:t>
      </w:r>
      <w:r w:rsidR="00C2543C">
        <w:t>1</w:t>
      </w:r>
      <w:r w:rsidR="002870B1">
        <w:t>.</w:t>
      </w:r>
      <w:r>
        <w:rPr>
          <w:rStyle w:val="FootnoteReference"/>
        </w:rPr>
        <w:footnoteReference w:id="8"/>
      </w:r>
      <w:r w:rsidR="002870B1">
        <w:t xml:space="preserve"> </w:t>
      </w:r>
      <w:r w:rsidR="005929F9">
        <w:t>Australia’s assistance is a small, targeted program representing approximately 0.3 per cent of Australian aid.</w:t>
      </w:r>
    </w:p>
    <w:p w:rsidR="0043046D" w:rsidRPr="006A00A2" w:rsidRDefault="0043046D" w:rsidP="006A00A2">
      <w:pPr>
        <w:pStyle w:val="Heading3"/>
      </w:pPr>
      <w:r w:rsidRPr="006A00A2">
        <w:lastRenderedPageBreak/>
        <w:t>Australia’s Caribbean Regional Program</w:t>
      </w:r>
    </w:p>
    <w:p w:rsidR="0043046D" w:rsidRPr="005E4ECA" w:rsidRDefault="0043046D" w:rsidP="006A00A2">
      <w:pPr>
        <w:pStyle w:val="BodyText"/>
      </w:pPr>
      <w:r w:rsidRPr="005E4ECA">
        <w:t xml:space="preserve">The </w:t>
      </w:r>
      <w:r w:rsidR="002E3D10">
        <w:t>program</w:t>
      </w:r>
      <w:r w:rsidR="005A0528">
        <w:t xml:space="preserve"> aims</w:t>
      </w:r>
      <w:r>
        <w:t xml:space="preserve"> to</w:t>
      </w:r>
      <w:r w:rsidRPr="005E4ECA">
        <w:t xml:space="preserve"> </w:t>
      </w:r>
      <w:r>
        <w:t>support</w:t>
      </w:r>
      <w:r w:rsidRPr="005E4ECA">
        <w:t xml:space="preserve"> Caribbean countries to reduce their vulnerability to climate change, natural disasters and economic challenges. </w:t>
      </w:r>
      <w:r w:rsidR="005A0528">
        <w:t xml:space="preserve">Its </w:t>
      </w:r>
      <w:r w:rsidR="00116AEF">
        <w:t xml:space="preserve">three strategic </w:t>
      </w:r>
      <w:r w:rsidR="005A0528">
        <w:t>objectives are to</w:t>
      </w:r>
      <w:r>
        <w:t>:</w:t>
      </w:r>
      <w:r w:rsidRPr="005E4ECA">
        <w:t xml:space="preserve"> </w:t>
      </w:r>
    </w:p>
    <w:p w:rsidR="005A0528" w:rsidRPr="005A0528" w:rsidRDefault="005A0528" w:rsidP="006A00A2">
      <w:pPr>
        <w:pStyle w:val="ListNumber"/>
        <w:rPr>
          <w:rFonts w:eastAsia="SimSun"/>
        </w:rPr>
      </w:pPr>
      <w:r>
        <w:rPr>
          <w:rFonts w:eastAsia="SimSun"/>
        </w:rPr>
        <w:t>a</w:t>
      </w:r>
      <w:r w:rsidRPr="005A0528">
        <w:rPr>
          <w:rFonts w:eastAsia="SimSun"/>
        </w:rPr>
        <w:t>ssist communities, nations and regional partners to address climate change and better prepare for and respond to natural disasters</w:t>
      </w:r>
    </w:p>
    <w:p w:rsidR="005A0528" w:rsidRPr="005A0528" w:rsidRDefault="005A0528" w:rsidP="006A00A2">
      <w:pPr>
        <w:pStyle w:val="ListNumber"/>
        <w:rPr>
          <w:rFonts w:eastAsia="SimSun"/>
        </w:rPr>
      </w:pPr>
      <w:r>
        <w:rPr>
          <w:rFonts w:eastAsia="SimSun"/>
        </w:rPr>
        <w:t>e</w:t>
      </w:r>
      <w:r w:rsidRPr="005A0528">
        <w:rPr>
          <w:rFonts w:eastAsia="SimSun"/>
        </w:rPr>
        <w:t>nhanc</w:t>
      </w:r>
      <w:r>
        <w:rPr>
          <w:rFonts w:eastAsia="SimSun"/>
        </w:rPr>
        <w:t>e</w:t>
      </w:r>
      <w:r w:rsidRPr="005A0528">
        <w:rPr>
          <w:rFonts w:eastAsia="SimSun"/>
        </w:rPr>
        <w:t xml:space="preserve"> ability within the Caribbean to manage and respond to the region's economic challenges</w:t>
      </w:r>
    </w:p>
    <w:p w:rsidR="002870B1" w:rsidRDefault="005A0528" w:rsidP="006A00A2">
      <w:pPr>
        <w:pStyle w:val="ListNumber"/>
        <w:rPr>
          <w:rFonts w:eastAsia="SimSun"/>
        </w:rPr>
      </w:pPr>
      <w:proofErr w:type="gramStart"/>
      <w:r>
        <w:rPr>
          <w:rFonts w:eastAsia="SimSun"/>
        </w:rPr>
        <w:t>b</w:t>
      </w:r>
      <w:r w:rsidRPr="005A0528">
        <w:rPr>
          <w:rFonts w:eastAsia="SimSun"/>
        </w:rPr>
        <w:t>uild</w:t>
      </w:r>
      <w:proofErr w:type="gramEnd"/>
      <w:r w:rsidRPr="005A0528">
        <w:rPr>
          <w:rFonts w:eastAsia="SimSun"/>
        </w:rPr>
        <w:t xml:space="preserve"> linkages and partnerships between the Caribbean, Australia and the Pacific which add to Caribbean knowledge and capacity to address its development priorities</w:t>
      </w:r>
      <w:r w:rsidR="002507D0">
        <w:rPr>
          <w:rFonts w:eastAsia="SimSun"/>
        </w:rPr>
        <w:t>.</w:t>
      </w:r>
    </w:p>
    <w:p w:rsidR="00116AEF" w:rsidRDefault="00116AEF" w:rsidP="006A00A2">
      <w:pPr>
        <w:pStyle w:val="BodyText"/>
        <w:rPr>
          <w:rFonts w:eastAsia="SimSun"/>
        </w:rPr>
      </w:pPr>
      <w:r>
        <w:rPr>
          <w:rFonts w:eastAsia="SimSun"/>
        </w:rPr>
        <w:t>The program has three main pillars corresponding to these objectives: climate change and disaster risk reduction; economic resilience; and people to people and institutional links. A fourth pillar provides direct assistance on specific or emerging issues through discrete activities including humanitarian assistance.</w:t>
      </w:r>
    </w:p>
    <w:p w:rsidR="00072F5D" w:rsidRDefault="0040312E" w:rsidP="006A00A2">
      <w:pPr>
        <w:pStyle w:val="BodyText"/>
      </w:pPr>
      <w:r>
        <w:t>Australia’s principal partner</w:t>
      </w:r>
      <w:r w:rsidR="00AF5956">
        <w:t xml:space="preserve"> for program implementation</w:t>
      </w:r>
      <w:r>
        <w:t xml:space="preserve"> is</w:t>
      </w:r>
      <w:r w:rsidRPr="006B7057">
        <w:t xml:space="preserve"> </w:t>
      </w:r>
      <w:r>
        <w:t>the</w:t>
      </w:r>
      <w:r w:rsidR="003B1486">
        <w:t xml:space="preserve"> Secretariat for</w:t>
      </w:r>
      <w:r w:rsidRPr="006B7057">
        <w:t xml:space="preserve"> CARICOM</w:t>
      </w:r>
      <w:r w:rsidR="003B1486">
        <w:t>, which is</w:t>
      </w:r>
      <w:r w:rsidRPr="006B7057">
        <w:t xml:space="preserve"> the peak regional body for development cooperation</w:t>
      </w:r>
      <w:r w:rsidR="003B1486">
        <w:t>. CARICOM</w:t>
      </w:r>
      <w:r w:rsidR="00AF5956">
        <w:t xml:space="preserve"> has</w:t>
      </w:r>
      <w:r w:rsidRPr="006B7057">
        <w:t xml:space="preserve"> an increasing coordination role across the region</w:t>
      </w:r>
      <w:r w:rsidRPr="00532DDF">
        <w:t>.</w:t>
      </w:r>
      <w:r w:rsidR="006A1097">
        <w:t xml:space="preserve"> Australia programs most development assistance through CARICOM-endorsed regional organisation</w:t>
      </w:r>
      <w:r w:rsidR="00414ED1">
        <w:t>s</w:t>
      </w:r>
      <w:r w:rsidR="003B1486">
        <w:t>,</w:t>
      </w:r>
      <w:r w:rsidR="006A1097">
        <w:t xml:space="preserve"> including CDEMA, 5Cs, the Caribbean Sports and Development Agency (CSDA) and multilateral partners including the CARTAC. This strengthen</w:t>
      </w:r>
      <w:r w:rsidR="00072F5D">
        <w:t>s</w:t>
      </w:r>
      <w:r w:rsidR="006A1097">
        <w:t xml:space="preserve"> local frameworks, local action and local skills and knowledge. </w:t>
      </w:r>
    </w:p>
    <w:p w:rsidR="003B1486" w:rsidRDefault="00072F5D" w:rsidP="006A00A2">
      <w:pPr>
        <w:pStyle w:val="BodyText"/>
      </w:pPr>
      <w:r>
        <w:t>Australia complements and co-funds the work of several donors in the region including</w:t>
      </w:r>
      <w:r w:rsidR="003B1486">
        <w:t>:</w:t>
      </w:r>
      <w:r>
        <w:t xml:space="preserve"> United Kingdom</w:t>
      </w:r>
      <w:r w:rsidR="003B1486">
        <w:t>—</w:t>
      </w:r>
      <w:r>
        <w:t>D</w:t>
      </w:r>
      <w:r w:rsidR="003B1486">
        <w:t>epartment for International Development (D</w:t>
      </w:r>
      <w:r>
        <w:t>FID)</w:t>
      </w:r>
      <w:r w:rsidR="003B1486">
        <w:t>;</w:t>
      </w:r>
      <w:r>
        <w:t xml:space="preserve"> Canada (C</w:t>
      </w:r>
      <w:r w:rsidR="003B1486">
        <w:t>anadian International Development Agency</w:t>
      </w:r>
      <w:r w:rsidR="000908B9">
        <w:t>—</w:t>
      </w:r>
      <w:r w:rsidR="003B1486">
        <w:t>C</w:t>
      </w:r>
      <w:r>
        <w:t>IDA)</w:t>
      </w:r>
      <w:r w:rsidR="003B1486">
        <w:t>;</w:t>
      </w:r>
      <w:r>
        <w:t xml:space="preserve"> and the European Union. This improves donor coordination and increases the outcomes that can be achieved from Australia’s relatively modest funding. </w:t>
      </w:r>
    </w:p>
    <w:p w:rsidR="00AF5956" w:rsidRDefault="005F4E89" w:rsidP="006A00A2">
      <w:pPr>
        <w:pStyle w:val="BodyText"/>
      </w:pPr>
      <w:r>
        <w:t xml:space="preserve">The department </w:t>
      </w:r>
      <w:r w:rsidR="00072F5D">
        <w:t xml:space="preserve">facilitates the engagement of </w:t>
      </w:r>
      <w:r w:rsidR="00585631">
        <w:t xml:space="preserve">Australian agencies in program activities such as climate change and natural resource management where Australian technical expertise adds value to program outcomes. </w:t>
      </w:r>
      <w:r w:rsidR="003B1486">
        <w:t xml:space="preserve">Agencies </w:t>
      </w:r>
      <w:r w:rsidR="00585631">
        <w:t>include</w:t>
      </w:r>
      <w:r w:rsidR="00116AEF">
        <w:t xml:space="preserve"> the </w:t>
      </w:r>
      <w:r w:rsidR="00585631">
        <w:t>Australian National University</w:t>
      </w:r>
      <w:r w:rsidR="00116AEF">
        <w:t>, the</w:t>
      </w:r>
      <w:r w:rsidR="00116AEF" w:rsidRPr="00116AEF">
        <w:t xml:space="preserve"> </w:t>
      </w:r>
      <w:r w:rsidR="00116AEF">
        <w:t>Australian Sports Commission, and the Great Barrier Reef Marine Park Authority</w:t>
      </w:r>
      <w:r w:rsidR="00585631">
        <w:t xml:space="preserve">. </w:t>
      </w:r>
    </w:p>
    <w:p w:rsidR="0043046D" w:rsidRPr="00180B19" w:rsidRDefault="0043046D" w:rsidP="0043046D">
      <w:pPr>
        <w:pStyle w:val="Heading2"/>
      </w:pPr>
      <w:r w:rsidRPr="00180B19">
        <w:t>Expenditure</w:t>
      </w:r>
    </w:p>
    <w:p w:rsidR="003B1486" w:rsidRDefault="0043046D" w:rsidP="0043046D">
      <w:pPr>
        <w:pStyle w:val="BodyText"/>
      </w:pPr>
      <w:r>
        <w:t>Financial expenditure is</w:t>
      </w:r>
      <w:r w:rsidRPr="00180B19">
        <w:t xml:space="preserve"> reported in two periods</w:t>
      </w:r>
      <w:r w:rsidR="005B5E87">
        <w:t xml:space="preserve"> over 18 </w:t>
      </w:r>
      <w:r w:rsidR="005B5E87" w:rsidRPr="000D017B">
        <w:t>months</w:t>
      </w:r>
      <w:r w:rsidR="00FD5083">
        <w:t xml:space="preserve"> for thi</w:t>
      </w:r>
      <w:r w:rsidR="00663EE0">
        <w:t xml:space="preserve">s year’s </w:t>
      </w:r>
      <w:r w:rsidR="00DC6E1E">
        <w:t>APPR</w:t>
      </w:r>
      <w:r w:rsidR="00663EE0">
        <w:t xml:space="preserve">. The first </w:t>
      </w:r>
      <w:r w:rsidR="00057184">
        <w:t>period</w:t>
      </w:r>
      <w:r w:rsidR="003B1486">
        <w:t xml:space="preserve"> is</w:t>
      </w:r>
      <w:r w:rsidR="00057184">
        <w:t xml:space="preserve"> </w:t>
      </w:r>
      <w:r w:rsidR="00057184" w:rsidRPr="000D017B">
        <w:t>January</w:t>
      </w:r>
      <w:r w:rsidRPr="000D017B">
        <w:t xml:space="preserve"> 2012</w:t>
      </w:r>
      <w:r w:rsidR="00472D3A" w:rsidRPr="000D017B">
        <w:t xml:space="preserve"> to </w:t>
      </w:r>
      <w:r w:rsidRPr="000D017B">
        <w:t>June 2012</w:t>
      </w:r>
      <w:r w:rsidR="003B1486">
        <w:t xml:space="preserve"> and the second </w:t>
      </w:r>
      <w:r w:rsidRPr="000D017B">
        <w:t>2012</w:t>
      </w:r>
      <w:r w:rsidR="00472D3A" w:rsidRPr="000D017B">
        <w:t>–</w:t>
      </w:r>
      <w:r w:rsidRPr="000D017B">
        <w:t>13</w:t>
      </w:r>
      <w:r w:rsidR="00262919" w:rsidRPr="000D017B">
        <w:t xml:space="preserve">. </w:t>
      </w:r>
      <w:r w:rsidR="00663EE0">
        <w:t xml:space="preserve">This </w:t>
      </w:r>
      <w:r w:rsidR="003B1486">
        <w:t>brings</w:t>
      </w:r>
      <w:r w:rsidR="00663EE0">
        <w:t xml:space="preserve"> the </w:t>
      </w:r>
      <w:r w:rsidR="00DC6E1E">
        <w:t>APPR</w:t>
      </w:r>
      <w:r w:rsidR="00663EE0">
        <w:t xml:space="preserve"> reporting period in line with the Australian financial year</w:t>
      </w:r>
      <w:r w:rsidR="003B1486">
        <w:t xml:space="preserve">, which ends </w:t>
      </w:r>
      <w:r w:rsidR="00663EE0">
        <w:t xml:space="preserve">30 June. </w:t>
      </w:r>
    </w:p>
    <w:p w:rsidR="00AF5956" w:rsidRDefault="001F4B65" w:rsidP="0043046D">
      <w:pPr>
        <w:pStyle w:val="BodyText"/>
      </w:pPr>
      <w:r w:rsidRPr="000D017B">
        <w:t xml:space="preserve">Expenditure </w:t>
      </w:r>
      <w:r w:rsidR="003B1486">
        <w:t xml:space="preserve">for the Caribbean program </w:t>
      </w:r>
      <w:r w:rsidRPr="000D017B">
        <w:t>across the 18-month period is on track and as programmed</w:t>
      </w:r>
      <w:r w:rsidR="00262919" w:rsidRPr="000D017B">
        <w:t xml:space="preserve">. </w:t>
      </w:r>
      <w:r w:rsidRPr="000D017B">
        <w:t xml:space="preserve">The pattern of expenditure in </w:t>
      </w:r>
      <w:r w:rsidR="00472D3A">
        <w:t>T</w:t>
      </w:r>
      <w:r>
        <w:t xml:space="preserve">ables </w:t>
      </w:r>
      <w:r w:rsidR="00193686">
        <w:t>2</w:t>
      </w:r>
      <w:r w:rsidR="00472D3A">
        <w:t xml:space="preserve">A and </w:t>
      </w:r>
      <w:r w:rsidR="00193686">
        <w:t>2</w:t>
      </w:r>
      <w:r w:rsidR="00472D3A">
        <w:t xml:space="preserve">B </w:t>
      </w:r>
      <w:r>
        <w:t>reflect the dates of actual expenditure</w:t>
      </w:r>
      <w:r w:rsidR="00193686">
        <w:t>,</w:t>
      </w:r>
      <w:r>
        <w:t xml:space="preserve"> not relative or changed priorities</w:t>
      </w:r>
      <w:r w:rsidR="00414ED1">
        <w:t>.</w:t>
      </w:r>
    </w:p>
    <w:p w:rsidR="00730025" w:rsidRDefault="00730025">
      <w:pPr>
        <w:spacing w:after="200" w:line="276" w:lineRule="auto"/>
        <w:rPr>
          <w:rFonts w:ascii="Arial" w:eastAsia="Times New Roman" w:hAnsi="Arial" w:cs="Arial"/>
          <w:color w:val="7E6D5F"/>
          <w:szCs w:val="19"/>
        </w:rPr>
      </w:pPr>
      <w:r>
        <w:br w:type="page"/>
      </w:r>
    </w:p>
    <w:p w:rsidR="0043046D" w:rsidRDefault="0043046D" w:rsidP="006A00A2">
      <w:pPr>
        <w:pStyle w:val="Caption"/>
      </w:pPr>
      <w:r>
        <w:lastRenderedPageBreak/>
        <w:t xml:space="preserve">Table </w:t>
      </w:r>
      <w:r w:rsidR="00193686">
        <w:t>2</w:t>
      </w:r>
      <w:r>
        <w:t>A Expenditure 01 Jan 2012- 30 Jun 2012</w:t>
      </w:r>
    </w:p>
    <w:tbl>
      <w:tblPr>
        <w:tblStyle w:val="APPR"/>
        <w:tblW w:w="5000" w:type="pct"/>
        <w:tblLayout w:type="fixed"/>
        <w:tblLook w:val="0000" w:firstRow="0" w:lastRow="0" w:firstColumn="0" w:lastColumn="0" w:noHBand="0" w:noVBand="0"/>
      </w:tblPr>
      <w:tblGrid>
        <w:gridCol w:w="6129"/>
        <w:gridCol w:w="999"/>
        <w:gridCol w:w="1478"/>
      </w:tblGrid>
      <w:tr w:rsidR="0043046D" w:rsidRPr="00180B19" w:rsidTr="00730025">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180B19" w:rsidRDefault="0043046D" w:rsidP="00730025">
            <w:pPr>
              <w:pStyle w:val="TableTextColumnHeading"/>
            </w:pPr>
            <w:r w:rsidRPr="00180B19">
              <w:t>Objective</w:t>
            </w:r>
          </w:p>
        </w:tc>
        <w:tc>
          <w:tcPr>
            <w:tcW w:w="961" w:type="dxa"/>
          </w:tcPr>
          <w:p w:rsidR="0043046D" w:rsidRPr="00180B19" w:rsidRDefault="0043046D" w:rsidP="00730025">
            <w:pPr>
              <w:pStyle w:val="TableTextColumnHeading"/>
            </w:pPr>
            <w:r w:rsidRPr="00180B19">
              <w:t>A$ million</w:t>
            </w:r>
          </w:p>
        </w:tc>
        <w:tc>
          <w:tcPr>
            <w:tcW w:w="1422" w:type="dxa"/>
          </w:tcPr>
          <w:p w:rsidR="0043046D" w:rsidRPr="00180B19" w:rsidRDefault="0043046D" w:rsidP="00730025">
            <w:pPr>
              <w:pStyle w:val="TableTextColumnHeading"/>
            </w:pPr>
            <w:r w:rsidRPr="00180B19">
              <w:t xml:space="preserve">% of </w:t>
            </w:r>
            <w:r w:rsidR="003111DF">
              <w:t>regional</w:t>
            </w:r>
            <w:r w:rsidRPr="00180B19">
              <w:t xml:space="preserve"> program</w:t>
            </w:r>
          </w:p>
        </w:tc>
      </w:tr>
      <w:tr w:rsidR="0043046D" w:rsidRPr="00AA447F" w:rsidTr="00730025">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4428E6" w:rsidRDefault="0043046D" w:rsidP="00730025">
            <w:pPr>
              <w:pStyle w:val="TableListNumber"/>
            </w:pPr>
            <w:r w:rsidRPr="00AA447F">
              <w:t xml:space="preserve">Assist communities, nations and regional partners to address climate change and better prepare for and respond to natural </w:t>
            </w:r>
            <w:r w:rsidRPr="004428E6">
              <w:t>disasters.</w:t>
            </w:r>
          </w:p>
        </w:tc>
        <w:tc>
          <w:tcPr>
            <w:tcW w:w="961" w:type="dxa"/>
          </w:tcPr>
          <w:p w:rsidR="0043046D" w:rsidRPr="006A00A2" w:rsidRDefault="0043046D" w:rsidP="00730025">
            <w:pPr>
              <w:pStyle w:val="TableTextEntries"/>
            </w:pPr>
            <w:r w:rsidRPr="006A00A2">
              <w:t>3.6</w:t>
            </w:r>
          </w:p>
        </w:tc>
        <w:tc>
          <w:tcPr>
            <w:tcW w:w="1422" w:type="dxa"/>
          </w:tcPr>
          <w:p w:rsidR="0043046D" w:rsidRPr="006A00A2" w:rsidRDefault="0043046D" w:rsidP="00730025">
            <w:pPr>
              <w:pStyle w:val="TableTextEntries"/>
            </w:pPr>
            <w:r w:rsidRPr="006A00A2">
              <w:t>28</w:t>
            </w:r>
          </w:p>
        </w:tc>
      </w:tr>
      <w:tr w:rsidR="0043046D" w:rsidRPr="00AA447F" w:rsidTr="00730025">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AA447F" w:rsidRDefault="0043046D" w:rsidP="00730025">
            <w:pPr>
              <w:pStyle w:val="TableListNumber"/>
            </w:pPr>
            <w:r w:rsidRPr="00AA447F">
              <w:t>Enhanc</w:t>
            </w:r>
            <w:r w:rsidR="002870B1">
              <w:t>e</w:t>
            </w:r>
            <w:r w:rsidRPr="00AA447F">
              <w:t xml:space="preserve"> ability within the Caribbean to manage and respond to the region’s economic challenges.</w:t>
            </w:r>
          </w:p>
        </w:tc>
        <w:tc>
          <w:tcPr>
            <w:tcW w:w="961" w:type="dxa"/>
          </w:tcPr>
          <w:p w:rsidR="0043046D" w:rsidRPr="006A00A2" w:rsidRDefault="0043046D" w:rsidP="00730025">
            <w:pPr>
              <w:pStyle w:val="TableTextEntries"/>
            </w:pPr>
            <w:r w:rsidRPr="006A00A2">
              <w:t>4.8</w:t>
            </w:r>
          </w:p>
        </w:tc>
        <w:tc>
          <w:tcPr>
            <w:tcW w:w="1422" w:type="dxa"/>
          </w:tcPr>
          <w:p w:rsidR="0043046D" w:rsidRPr="006A00A2" w:rsidRDefault="0043046D" w:rsidP="00730025">
            <w:pPr>
              <w:pStyle w:val="TableTextEntries"/>
            </w:pPr>
            <w:r w:rsidRPr="006A00A2">
              <w:t>37</w:t>
            </w:r>
          </w:p>
        </w:tc>
      </w:tr>
      <w:tr w:rsidR="0043046D" w:rsidRPr="00AA447F" w:rsidTr="00730025">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AA447F" w:rsidRDefault="0043046D" w:rsidP="00730025">
            <w:pPr>
              <w:pStyle w:val="TableListNumber"/>
            </w:pPr>
            <w:r w:rsidRPr="00AA447F">
              <w:t>Build</w:t>
            </w:r>
            <w:r w:rsidR="002870B1">
              <w:t xml:space="preserve"> </w:t>
            </w:r>
            <w:r w:rsidRPr="00AA447F">
              <w:t>linkages and partnerships between the Caribbean, Australia and the Pacific which add to Caribbean knowledge and capacity to address its development priorities.</w:t>
            </w:r>
          </w:p>
        </w:tc>
        <w:tc>
          <w:tcPr>
            <w:tcW w:w="961" w:type="dxa"/>
          </w:tcPr>
          <w:p w:rsidR="0043046D" w:rsidRPr="006A00A2" w:rsidRDefault="0043046D" w:rsidP="00730025">
            <w:pPr>
              <w:pStyle w:val="TableTextEntries"/>
            </w:pPr>
            <w:r w:rsidRPr="006A00A2">
              <w:t>.04</w:t>
            </w:r>
          </w:p>
        </w:tc>
        <w:tc>
          <w:tcPr>
            <w:tcW w:w="1422" w:type="dxa"/>
          </w:tcPr>
          <w:p w:rsidR="0043046D" w:rsidRPr="006A00A2" w:rsidRDefault="0043046D" w:rsidP="00730025">
            <w:pPr>
              <w:pStyle w:val="TableTextEntries"/>
            </w:pPr>
            <w:r w:rsidRPr="006A00A2">
              <w:t>1</w:t>
            </w:r>
          </w:p>
        </w:tc>
      </w:tr>
    </w:tbl>
    <w:p w:rsidR="0043046D" w:rsidRPr="006A00A2" w:rsidRDefault="0043046D" w:rsidP="006A00A2">
      <w:pPr>
        <w:pStyle w:val="Note"/>
      </w:pPr>
      <w:r w:rsidRPr="006A00A2">
        <w:t>Source: AidWorks 204 Report, April 2013</w:t>
      </w:r>
    </w:p>
    <w:p w:rsidR="0043046D" w:rsidRDefault="0043046D" w:rsidP="0043046D">
      <w:pPr>
        <w:pStyle w:val="Note"/>
      </w:pPr>
    </w:p>
    <w:p w:rsidR="00116AEF" w:rsidRDefault="00116AEF" w:rsidP="006A00A2">
      <w:pPr>
        <w:pStyle w:val="BodyText"/>
      </w:pPr>
      <w:r>
        <w:t xml:space="preserve">The fourth pillar relating to direct assistance accounted for 11% or </w:t>
      </w:r>
      <w:proofErr w:type="gramStart"/>
      <w:r>
        <w:t>A</w:t>
      </w:r>
      <w:proofErr w:type="gramEnd"/>
      <w:r>
        <w:t>$.04m of the regional program expenditure in this reporting period.</w:t>
      </w:r>
    </w:p>
    <w:p w:rsidR="00730025" w:rsidRPr="00116AEF" w:rsidRDefault="00730025" w:rsidP="006A00A2">
      <w:pPr>
        <w:pStyle w:val="BodyText"/>
      </w:pPr>
    </w:p>
    <w:p w:rsidR="0043046D" w:rsidRPr="00AA447F" w:rsidRDefault="0043046D" w:rsidP="006A00A2">
      <w:pPr>
        <w:pStyle w:val="Caption"/>
      </w:pPr>
      <w:r w:rsidRPr="00AA447F">
        <w:t xml:space="preserve">Table </w:t>
      </w:r>
      <w:r w:rsidR="00193686">
        <w:t>2</w:t>
      </w:r>
      <w:r w:rsidRPr="00AA447F">
        <w:t>B Estimated expenditure in FY 2012-13</w:t>
      </w:r>
    </w:p>
    <w:tbl>
      <w:tblPr>
        <w:tblStyle w:val="APPR"/>
        <w:tblW w:w="5000" w:type="pct"/>
        <w:tblLayout w:type="fixed"/>
        <w:tblLook w:val="0000" w:firstRow="0" w:lastRow="0" w:firstColumn="0" w:lastColumn="0" w:noHBand="0" w:noVBand="0"/>
      </w:tblPr>
      <w:tblGrid>
        <w:gridCol w:w="6129"/>
        <w:gridCol w:w="999"/>
        <w:gridCol w:w="1478"/>
      </w:tblGrid>
      <w:tr w:rsidR="0043046D" w:rsidRPr="00AA447F" w:rsidTr="006A00A2">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AA447F" w:rsidRDefault="0043046D" w:rsidP="006A00A2">
            <w:pPr>
              <w:pStyle w:val="TableTextColumnHeading"/>
            </w:pPr>
            <w:r w:rsidRPr="00AA447F">
              <w:t>Objective</w:t>
            </w:r>
          </w:p>
        </w:tc>
        <w:tc>
          <w:tcPr>
            <w:tcW w:w="961" w:type="dxa"/>
          </w:tcPr>
          <w:p w:rsidR="0043046D" w:rsidRPr="00AA447F" w:rsidRDefault="0043046D" w:rsidP="006A00A2">
            <w:pPr>
              <w:pStyle w:val="TableTextColumnHeading"/>
              <w:jc w:val="right"/>
            </w:pPr>
            <w:r w:rsidRPr="00AA447F">
              <w:t>A$ million</w:t>
            </w:r>
          </w:p>
        </w:tc>
        <w:tc>
          <w:tcPr>
            <w:tcW w:w="1422" w:type="dxa"/>
          </w:tcPr>
          <w:p w:rsidR="0043046D" w:rsidRPr="00AA447F" w:rsidRDefault="0043046D" w:rsidP="006A00A2">
            <w:pPr>
              <w:pStyle w:val="TableTextColumnHeading"/>
              <w:jc w:val="right"/>
            </w:pPr>
            <w:r w:rsidRPr="00AA447F">
              <w:t xml:space="preserve">% of </w:t>
            </w:r>
            <w:r w:rsidR="003111DF" w:rsidRPr="00AA447F">
              <w:t>regional</w:t>
            </w:r>
            <w:r w:rsidRPr="00AA447F">
              <w:t xml:space="preserve"> program</w:t>
            </w:r>
          </w:p>
        </w:tc>
      </w:tr>
      <w:tr w:rsidR="0043046D" w:rsidRPr="00AA447F" w:rsidTr="006A00A2">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AA447F" w:rsidRDefault="0043046D" w:rsidP="006A00A2">
            <w:pPr>
              <w:pStyle w:val="TableListNumber"/>
              <w:numPr>
                <w:ilvl w:val="0"/>
                <w:numId w:val="50"/>
              </w:numPr>
            </w:pPr>
            <w:r w:rsidRPr="00AA447F">
              <w:t>Assist communities, nations and regional partners to address climate change and better prepare for and respond to natural disasters.</w:t>
            </w:r>
          </w:p>
        </w:tc>
        <w:tc>
          <w:tcPr>
            <w:tcW w:w="961" w:type="dxa"/>
          </w:tcPr>
          <w:p w:rsidR="0043046D" w:rsidRPr="006A00A2" w:rsidRDefault="0043046D" w:rsidP="006A00A2">
            <w:pPr>
              <w:pStyle w:val="TableTextEntries"/>
            </w:pPr>
            <w:r w:rsidRPr="006A00A2">
              <w:t>1.7</w:t>
            </w:r>
          </w:p>
        </w:tc>
        <w:tc>
          <w:tcPr>
            <w:tcW w:w="1422" w:type="dxa"/>
          </w:tcPr>
          <w:p w:rsidR="0043046D" w:rsidRPr="006A00A2" w:rsidRDefault="0043046D" w:rsidP="006A00A2">
            <w:pPr>
              <w:pStyle w:val="TableTextEntries"/>
            </w:pPr>
            <w:r w:rsidRPr="006A00A2">
              <w:t>25</w:t>
            </w:r>
          </w:p>
        </w:tc>
      </w:tr>
      <w:tr w:rsidR="0043046D" w:rsidRPr="00AA447F" w:rsidTr="006A00A2">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AA447F" w:rsidRDefault="0043046D" w:rsidP="006A00A2">
            <w:pPr>
              <w:pStyle w:val="TableListNumber"/>
            </w:pPr>
            <w:r w:rsidRPr="00AA447F">
              <w:t>Enhanc</w:t>
            </w:r>
            <w:r w:rsidR="002870B1">
              <w:t>e</w:t>
            </w:r>
            <w:r w:rsidRPr="00AA447F">
              <w:t xml:space="preserve"> ability within the Caribbean to manage and respond to the region’s economic challenges.</w:t>
            </w:r>
          </w:p>
        </w:tc>
        <w:tc>
          <w:tcPr>
            <w:tcW w:w="961" w:type="dxa"/>
          </w:tcPr>
          <w:p w:rsidR="0043046D" w:rsidRPr="006A00A2" w:rsidRDefault="0043046D" w:rsidP="006A00A2">
            <w:pPr>
              <w:pStyle w:val="TableTextEntries"/>
            </w:pPr>
            <w:r w:rsidRPr="006A00A2">
              <w:t>0.7</w:t>
            </w:r>
          </w:p>
        </w:tc>
        <w:tc>
          <w:tcPr>
            <w:tcW w:w="1422" w:type="dxa"/>
          </w:tcPr>
          <w:p w:rsidR="0043046D" w:rsidRPr="006A00A2" w:rsidRDefault="0043046D" w:rsidP="006A00A2">
            <w:pPr>
              <w:pStyle w:val="TableTextEntries"/>
            </w:pPr>
            <w:r w:rsidRPr="006A00A2">
              <w:t>10</w:t>
            </w:r>
          </w:p>
        </w:tc>
      </w:tr>
      <w:tr w:rsidR="0043046D" w:rsidRPr="00180B19" w:rsidTr="006A00A2">
        <w:trPr>
          <w:cnfStyle w:val="000000010000" w:firstRow="0" w:lastRow="0" w:firstColumn="0" w:lastColumn="0" w:oddVBand="0" w:evenVBand="0" w:oddHBand="0" w:evenHBand="1" w:firstRowFirstColumn="0" w:firstRowLastColumn="0" w:lastRowFirstColumn="0" w:lastRowLastColumn="0"/>
        </w:trPr>
        <w:tc>
          <w:tcPr>
            <w:tcW w:w="6026" w:type="dxa"/>
          </w:tcPr>
          <w:p w:rsidR="0043046D" w:rsidRPr="00AA447F" w:rsidRDefault="0043046D" w:rsidP="006A00A2">
            <w:pPr>
              <w:pStyle w:val="TableListNumber"/>
            </w:pPr>
            <w:r w:rsidRPr="00AA447F">
              <w:t>Build linkages and partnerships between the Caribbean, Australia and the Pacific which add to Caribbean knowledge and capacity to address its development priorities.</w:t>
            </w:r>
          </w:p>
        </w:tc>
        <w:tc>
          <w:tcPr>
            <w:tcW w:w="961" w:type="dxa"/>
          </w:tcPr>
          <w:p w:rsidR="0043046D" w:rsidRPr="006A00A2" w:rsidRDefault="00E85497" w:rsidP="006A00A2">
            <w:pPr>
              <w:pStyle w:val="TableTextEntries"/>
            </w:pPr>
            <w:r w:rsidRPr="006A00A2">
              <w:t>2.5</w:t>
            </w:r>
          </w:p>
        </w:tc>
        <w:tc>
          <w:tcPr>
            <w:tcW w:w="1422" w:type="dxa"/>
          </w:tcPr>
          <w:p w:rsidR="0043046D" w:rsidRPr="006A00A2" w:rsidRDefault="00E85497" w:rsidP="006A00A2">
            <w:pPr>
              <w:pStyle w:val="TableTextEntries"/>
            </w:pPr>
            <w:r w:rsidRPr="006A00A2">
              <w:t>37</w:t>
            </w:r>
          </w:p>
        </w:tc>
      </w:tr>
    </w:tbl>
    <w:p w:rsidR="0043046D" w:rsidRDefault="0043046D" w:rsidP="0043046D">
      <w:pPr>
        <w:pStyle w:val="Note"/>
      </w:pPr>
      <w:r w:rsidRPr="00180B19">
        <w:t xml:space="preserve">Source: </w:t>
      </w:r>
      <w:r>
        <w:t>AidWorks 204 Report, April 2013</w:t>
      </w:r>
    </w:p>
    <w:p w:rsidR="00116AEF" w:rsidRDefault="00116AEF" w:rsidP="00116AEF"/>
    <w:p w:rsidR="00116AEF" w:rsidRPr="00116AEF" w:rsidRDefault="00116AEF" w:rsidP="006A00A2">
      <w:pPr>
        <w:pStyle w:val="BodyText"/>
      </w:pPr>
      <w:r>
        <w:t xml:space="preserve">The fourth pillar relating to direct assistance accounted for 28% or </w:t>
      </w:r>
      <w:proofErr w:type="gramStart"/>
      <w:r>
        <w:t>A$</w:t>
      </w:r>
      <w:proofErr w:type="gramEnd"/>
      <w:r>
        <w:t>1.9m of the regional program expenditure in this reporting period.</w:t>
      </w:r>
    </w:p>
    <w:p w:rsidR="009C3270" w:rsidRPr="009C3270" w:rsidRDefault="009C3270" w:rsidP="009C3270">
      <w:pPr>
        <w:pStyle w:val="Heading1"/>
      </w:pPr>
      <w:r w:rsidRPr="009C3270">
        <w:t>Progress towards objectives</w:t>
      </w:r>
    </w:p>
    <w:p w:rsidR="005A0528" w:rsidRDefault="005A0528" w:rsidP="005A0528">
      <w:pPr>
        <w:pStyle w:val="Heading2"/>
      </w:pPr>
      <w:r>
        <w:t>Sources of performance information</w:t>
      </w:r>
    </w:p>
    <w:p w:rsidR="005A0528" w:rsidRDefault="00EA4DBA" w:rsidP="006A00A2">
      <w:pPr>
        <w:pStyle w:val="BodyText"/>
      </w:pPr>
      <w:r>
        <w:t>Evidence of p</w:t>
      </w:r>
      <w:r w:rsidR="004F6604">
        <w:t xml:space="preserve">rogress in this </w:t>
      </w:r>
      <w:r w:rsidR="00DC6E1E">
        <w:t>APPR</w:t>
      </w:r>
      <w:r w:rsidR="004F6604">
        <w:t xml:space="preserve"> is drawn </w:t>
      </w:r>
      <w:r>
        <w:t xml:space="preserve">mainly </w:t>
      </w:r>
      <w:r w:rsidR="004F6604">
        <w:t>from two</w:t>
      </w:r>
      <w:r w:rsidR="00892599">
        <w:t xml:space="preserve"> </w:t>
      </w:r>
      <w:r w:rsidR="004F6604">
        <w:t>performance management processes</w:t>
      </w:r>
      <w:r w:rsidR="00472D3A">
        <w:t>—</w:t>
      </w:r>
      <w:r w:rsidR="004F6604">
        <w:t>Q</w:t>
      </w:r>
      <w:r w:rsidR="00472D3A">
        <w:t xml:space="preserve">uality at </w:t>
      </w:r>
      <w:r w:rsidR="00472D3A" w:rsidRPr="000D017B">
        <w:t>Implementation</w:t>
      </w:r>
      <w:r w:rsidR="00BB212F" w:rsidRPr="00927C71">
        <w:t xml:space="preserve"> (QAI)</w:t>
      </w:r>
      <w:r w:rsidR="00472D3A" w:rsidRPr="000D017B">
        <w:t xml:space="preserve"> report</w:t>
      </w:r>
      <w:r>
        <w:t>s</w:t>
      </w:r>
      <w:r w:rsidR="004F6604" w:rsidRPr="00186CFA">
        <w:t xml:space="preserve"> and the </w:t>
      </w:r>
      <w:r w:rsidR="009C3270" w:rsidRPr="000D017B">
        <w:t>mid-term</w:t>
      </w:r>
      <w:r w:rsidR="009C3270" w:rsidRPr="00A66D2F">
        <w:t xml:space="preserve"> review</w:t>
      </w:r>
      <w:r w:rsidR="0029382B">
        <w:t>.</w:t>
      </w:r>
      <w:r w:rsidR="0040312E" w:rsidRPr="004F6604">
        <w:rPr>
          <w:rStyle w:val="FootnoteReference"/>
        </w:rPr>
        <w:footnoteReference w:id="9"/>
      </w:r>
      <w:r w:rsidR="00262919">
        <w:t xml:space="preserve"> This was</w:t>
      </w:r>
      <w:r w:rsidR="004F6604">
        <w:t xml:space="preserve"> supplemented by evidence from </w:t>
      </w:r>
      <w:r w:rsidR="00472D3A">
        <w:t xml:space="preserve">other </w:t>
      </w:r>
      <w:r w:rsidR="004F6604">
        <w:t>progress reports</w:t>
      </w:r>
      <w:r>
        <w:t xml:space="preserve"> and </w:t>
      </w:r>
      <w:r w:rsidR="005A0528">
        <w:t>formal and informal feedback</w:t>
      </w:r>
      <w:r>
        <w:t xml:space="preserve"> from partner organisations and beneficiaries</w:t>
      </w:r>
      <w:r w:rsidR="003D0216">
        <w:t xml:space="preserve"> (see A</w:t>
      </w:r>
      <w:r w:rsidR="00780A6E">
        <w:t xml:space="preserve">nnex </w:t>
      </w:r>
      <w:r w:rsidR="003D0216">
        <w:t>C for a list of evaluations and pipeline planning).</w:t>
      </w:r>
    </w:p>
    <w:p w:rsidR="00064269" w:rsidRDefault="00EA4DBA" w:rsidP="006A00A2">
      <w:pPr>
        <w:pStyle w:val="BodyText"/>
      </w:pPr>
      <w:r>
        <w:t xml:space="preserve">The Caribbean program developed </w:t>
      </w:r>
      <w:r w:rsidR="0042264A">
        <w:t xml:space="preserve">and refined </w:t>
      </w:r>
      <w:r>
        <w:t xml:space="preserve">a performance assessment framework </w:t>
      </w:r>
      <w:r w:rsidR="00414ED1">
        <w:t xml:space="preserve">in this reporting period </w:t>
      </w:r>
      <w:r>
        <w:t xml:space="preserve">to track progress towards the above three objectives. </w:t>
      </w:r>
      <w:r w:rsidR="00B14404">
        <w:t>P</w:t>
      </w:r>
      <w:r w:rsidR="00892599">
        <w:t xml:space="preserve">rogram </w:t>
      </w:r>
      <w:proofErr w:type="gramStart"/>
      <w:r w:rsidR="00892599">
        <w:t>staff</w:t>
      </w:r>
      <w:r w:rsidR="00B14404">
        <w:t xml:space="preserve"> </w:t>
      </w:r>
      <w:r w:rsidR="00892599">
        <w:t>are</w:t>
      </w:r>
      <w:proofErr w:type="gramEnd"/>
      <w:r w:rsidR="00892599">
        <w:t xml:space="preserve"> responsible for</w:t>
      </w:r>
      <w:r>
        <w:t xml:space="preserve"> collect</w:t>
      </w:r>
      <w:r w:rsidR="00892599">
        <w:t>ing</w:t>
      </w:r>
      <w:r>
        <w:t xml:space="preserve"> </w:t>
      </w:r>
      <w:r w:rsidR="00064269">
        <w:t>data,</w:t>
      </w:r>
      <w:r>
        <w:t xml:space="preserve"> analys</w:t>
      </w:r>
      <w:r w:rsidR="00892599">
        <w:t>ing</w:t>
      </w:r>
      <w:r>
        <w:t xml:space="preserve"> performance and report</w:t>
      </w:r>
      <w:r w:rsidR="00892599">
        <w:t>ing on</w:t>
      </w:r>
      <w:r>
        <w:t xml:space="preserve"> results</w:t>
      </w:r>
      <w:r w:rsidR="00064269">
        <w:t xml:space="preserve"> using the new framework. However, </w:t>
      </w:r>
      <w:r w:rsidR="00892599">
        <w:t xml:space="preserve">these </w:t>
      </w:r>
      <w:r>
        <w:t xml:space="preserve">arrangements were not ready in time </w:t>
      </w:r>
      <w:r w:rsidR="00064269">
        <w:t xml:space="preserve">to inform </w:t>
      </w:r>
      <w:r>
        <w:t>th</w:t>
      </w:r>
      <w:r w:rsidR="00064269">
        <w:t xml:space="preserve">is year’s </w:t>
      </w:r>
      <w:r w:rsidR="00DC6E1E">
        <w:t>APPR</w:t>
      </w:r>
      <w:r w:rsidR="00892599">
        <w:t xml:space="preserve"> </w:t>
      </w:r>
      <w:r>
        <w:t>for the Caribbean.</w:t>
      </w:r>
      <w:r w:rsidR="00064269">
        <w:t xml:space="preserve"> </w:t>
      </w:r>
      <w:r>
        <w:t xml:space="preserve"> </w:t>
      </w:r>
    </w:p>
    <w:p w:rsidR="005A0528" w:rsidRDefault="005A0528" w:rsidP="005A0528">
      <w:pPr>
        <w:pStyle w:val="Heading2"/>
      </w:pPr>
      <w:r>
        <w:lastRenderedPageBreak/>
        <w:t>Results</w:t>
      </w:r>
    </w:p>
    <w:p w:rsidR="00D270A2" w:rsidRDefault="004F6604" w:rsidP="006A00A2">
      <w:pPr>
        <w:pStyle w:val="BodyText"/>
      </w:pPr>
      <w:r>
        <w:t xml:space="preserve">The </w:t>
      </w:r>
      <w:r w:rsidR="00064269">
        <w:t>mid-term review</w:t>
      </w:r>
      <w:r>
        <w:t xml:space="preserve"> </w:t>
      </w:r>
      <w:r w:rsidR="00193686">
        <w:t xml:space="preserve">completed in 2012, </w:t>
      </w:r>
      <w:r w:rsidR="009C3270" w:rsidRPr="00A66D2F">
        <w:t>confirmed the</w:t>
      </w:r>
      <w:r w:rsidR="002E1F83">
        <w:t xml:space="preserve"> Caribbean</w:t>
      </w:r>
      <w:r w:rsidR="009C3270" w:rsidRPr="00A66D2F">
        <w:t xml:space="preserve"> program is making good progress and produc</w:t>
      </w:r>
      <w:r w:rsidR="002E1F83">
        <w:t>ing</w:t>
      </w:r>
      <w:r w:rsidR="009C3270" w:rsidRPr="00A66D2F">
        <w:t xml:space="preserve"> strong results. </w:t>
      </w:r>
    </w:p>
    <w:p w:rsidR="004F6604" w:rsidRDefault="009C3270" w:rsidP="006A00A2">
      <w:pPr>
        <w:pStyle w:val="BodyText"/>
      </w:pPr>
      <w:r w:rsidRPr="00A66D2F">
        <w:t xml:space="preserve">Core support for two regional bodies, </w:t>
      </w:r>
      <w:r w:rsidR="00064269" w:rsidRPr="00AF5956">
        <w:rPr>
          <w:szCs w:val="22"/>
        </w:rPr>
        <w:t>CARTAC</w:t>
      </w:r>
      <w:r w:rsidR="00064269">
        <w:rPr>
          <w:szCs w:val="22"/>
        </w:rPr>
        <w:t xml:space="preserve"> </w:t>
      </w:r>
      <w:r w:rsidRPr="00A66D2F">
        <w:t xml:space="preserve">and the </w:t>
      </w:r>
      <w:r w:rsidR="00193686">
        <w:rPr>
          <w:szCs w:val="22"/>
        </w:rPr>
        <w:t xml:space="preserve">5Cs </w:t>
      </w:r>
      <w:r w:rsidRPr="00A66D2F">
        <w:t>ha</w:t>
      </w:r>
      <w:r w:rsidR="002E1F83">
        <w:t>s</w:t>
      </w:r>
      <w:r w:rsidRPr="00A66D2F">
        <w:t xml:space="preserve"> been effectively used</w:t>
      </w:r>
      <w:r w:rsidR="0058444A">
        <w:t>:</w:t>
      </w:r>
      <w:r w:rsidRPr="00A66D2F">
        <w:t xml:space="preserve"> </w:t>
      </w:r>
    </w:p>
    <w:p w:rsidR="0058444A" w:rsidRDefault="009C3270" w:rsidP="006A00A2">
      <w:pPr>
        <w:pStyle w:val="ListBullet"/>
      </w:pPr>
      <w:r w:rsidRPr="00A66D2F">
        <w:t>CARTAC significantly scaled up its public financial management</w:t>
      </w:r>
      <w:r w:rsidR="00D270A2">
        <w:t>,</w:t>
      </w:r>
      <w:r w:rsidRPr="00A66D2F">
        <w:t xml:space="preserve"> financial sector advisory support and capacity building in regional states</w:t>
      </w:r>
    </w:p>
    <w:p w:rsidR="003111DF" w:rsidRPr="00A66D2F" w:rsidRDefault="0058444A" w:rsidP="006A00A2">
      <w:pPr>
        <w:pStyle w:val="ListBullet"/>
      </w:pPr>
      <w:r w:rsidRPr="00D536CE">
        <w:rPr>
          <w:szCs w:val="22"/>
        </w:rPr>
        <w:t xml:space="preserve">The </w:t>
      </w:r>
      <w:r w:rsidR="00193686">
        <w:rPr>
          <w:szCs w:val="22"/>
        </w:rPr>
        <w:t>5Cs</w:t>
      </w:r>
      <w:r w:rsidR="009C3270" w:rsidRPr="00A66D2F">
        <w:t xml:space="preserve"> used </w:t>
      </w:r>
      <w:r>
        <w:t>Australia’s support</w:t>
      </w:r>
      <w:r w:rsidR="009C3270" w:rsidRPr="00A66D2F">
        <w:t xml:space="preserve"> to </w:t>
      </w:r>
      <w:r w:rsidR="003111DF" w:rsidRPr="00A66D2F">
        <w:t xml:space="preserve">strengthen </w:t>
      </w:r>
      <w:r w:rsidR="00BD47D2">
        <w:t>its</w:t>
      </w:r>
      <w:r w:rsidR="00BD47D2" w:rsidRPr="00A66D2F">
        <w:t xml:space="preserve"> </w:t>
      </w:r>
      <w:r w:rsidR="009C3270" w:rsidRPr="00A66D2F">
        <w:t>tec</w:t>
      </w:r>
      <w:r w:rsidR="003111DF" w:rsidRPr="00A66D2F">
        <w:t>hnical and management capacity.</w:t>
      </w:r>
      <w:r w:rsidR="00D536CE">
        <w:t xml:space="preserve"> This resulted in international development partners using the centre to manage</w:t>
      </w:r>
      <w:r w:rsidR="009C3270" w:rsidRPr="00A66D2F">
        <w:t xml:space="preserve"> climate change-related investments</w:t>
      </w:r>
      <w:r w:rsidR="00D536CE">
        <w:t>, which</w:t>
      </w:r>
      <w:r w:rsidR="009C3270" w:rsidRPr="00A66D2F">
        <w:t xml:space="preserve"> increas</w:t>
      </w:r>
      <w:r w:rsidR="003111DF" w:rsidRPr="00A66D2F">
        <w:t>ed</w:t>
      </w:r>
      <w:r w:rsidR="009C3270" w:rsidRPr="00A66D2F">
        <w:t xml:space="preserve"> funds under management by $20 million. </w:t>
      </w:r>
    </w:p>
    <w:p w:rsidR="00D536CE" w:rsidRDefault="009C3270" w:rsidP="006A00A2">
      <w:pPr>
        <w:pStyle w:val="BodyText"/>
      </w:pPr>
      <w:r w:rsidRPr="00A66D2F">
        <w:t xml:space="preserve">Other </w:t>
      </w:r>
      <w:r w:rsidR="00BD47D2">
        <w:t xml:space="preserve">program </w:t>
      </w:r>
      <w:r w:rsidRPr="00A66D2F">
        <w:t>components are progressing well</w:t>
      </w:r>
      <w:r w:rsidR="00D536CE">
        <w:t>,</w:t>
      </w:r>
      <w:r w:rsidRPr="00A66D2F">
        <w:t xml:space="preserve"> including</w:t>
      </w:r>
      <w:r w:rsidR="00D536CE">
        <w:t>:</w:t>
      </w:r>
    </w:p>
    <w:p w:rsidR="00D536CE" w:rsidRDefault="00D270A2" w:rsidP="006A00A2">
      <w:pPr>
        <w:pStyle w:val="ListBullet"/>
      </w:pPr>
      <w:r>
        <w:t xml:space="preserve">granting </w:t>
      </w:r>
      <w:r w:rsidR="009C3270" w:rsidRPr="00D536CE">
        <w:t xml:space="preserve">Australia Awards </w:t>
      </w:r>
      <w:r w:rsidR="008A6B79" w:rsidRPr="00D536CE">
        <w:t>(awards and f</w:t>
      </w:r>
      <w:r w:rsidR="009C3270" w:rsidRPr="00D536CE">
        <w:t>ellowships</w:t>
      </w:r>
      <w:r w:rsidR="00D536CE">
        <w:t>)</w:t>
      </w:r>
    </w:p>
    <w:p w:rsidR="00D536CE" w:rsidRDefault="009C3270" w:rsidP="006A00A2">
      <w:pPr>
        <w:pStyle w:val="ListBullet"/>
      </w:pPr>
      <w:r w:rsidRPr="00D536CE">
        <w:t>support for coral reef management scoped by t</w:t>
      </w:r>
      <w:r w:rsidRPr="000D017B">
        <w:t xml:space="preserve">he Great Barrier </w:t>
      </w:r>
      <w:r w:rsidR="003111DF" w:rsidRPr="000D017B">
        <w:t>Reef Marine Park Authority</w:t>
      </w:r>
    </w:p>
    <w:p w:rsidR="009C3270" w:rsidRDefault="008E1145" w:rsidP="006A00A2">
      <w:pPr>
        <w:pStyle w:val="ListBullet"/>
      </w:pPr>
      <w:proofErr w:type="gramStart"/>
      <w:r>
        <w:t>co-financing</w:t>
      </w:r>
      <w:proofErr w:type="gramEnd"/>
      <w:r>
        <w:t xml:space="preserve"> for </w:t>
      </w:r>
      <w:r w:rsidRPr="000D017B">
        <w:t>CDEMA,</w:t>
      </w:r>
      <w:r w:rsidRPr="00A66D2F">
        <w:t xml:space="preserve"> which was </w:t>
      </w:r>
      <w:r>
        <w:t>reported</w:t>
      </w:r>
      <w:r w:rsidRPr="00A66D2F">
        <w:t xml:space="preserve"> </w:t>
      </w:r>
      <w:r>
        <w:t xml:space="preserve">in the mid-term review </w:t>
      </w:r>
      <w:r w:rsidRPr="00A66D2F">
        <w:t xml:space="preserve">as an example of the program’s success in aid coordination and harmonisation. </w:t>
      </w:r>
    </w:p>
    <w:p w:rsidR="00DF5D2F" w:rsidRDefault="00D536CE" w:rsidP="006A00A2">
      <w:pPr>
        <w:pStyle w:val="BodyText"/>
      </w:pPr>
      <w:r w:rsidRPr="00D536CE">
        <w:t>Indicators over the past year suggest</w:t>
      </w:r>
      <w:r w:rsidR="00D270A2">
        <w:t xml:space="preserve"> that</w:t>
      </w:r>
      <w:r w:rsidRPr="00D536CE">
        <w:t xml:space="preserve"> progress in policy </w:t>
      </w:r>
      <w:r w:rsidR="00DF5D2F">
        <w:t>discussion</w:t>
      </w:r>
      <w:r w:rsidRPr="00D536CE">
        <w:t xml:space="preserve"> has </w:t>
      </w:r>
      <w:r w:rsidR="00DF5D2F">
        <w:t>created</w:t>
      </w:r>
      <w:r w:rsidRPr="00D536CE">
        <w:t xml:space="preserve"> mutual trust and growing confidence between partners. By engaging the CARICOM Secretariat in quality and performance processes—such as the </w:t>
      </w:r>
      <w:r w:rsidR="00DF5D2F">
        <w:t>mid-term review</w:t>
      </w:r>
      <w:r w:rsidRPr="00D536CE">
        <w:t>, Senior Officials Meeting</w:t>
      </w:r>
      <w:r w:rsidR="0029382B">
        <w:t xml:space="preserve"> (</w:t>
      </w:r>
      <w:r w:rsidR="0029382B" w:rsidRPr="00D536CE">
        <w:t>annual high-level consultation</w:t>
      </w:r>
      <w:r w:rsidR="00FD478A">
        <w:t xml:space="preserve"> between Australian and CARICOM officials</w:t>
      </w:r>
      <w:r w:rsidR="0029382B">
        <w:t xml:space="preserve">) </w:t>
      </w:r>
      <w:r w:rsidRPr="00D536CE">
        <w:t xml:space="preserve">and </w:t>
      </w:r>
      <w:r w:rsidR="0029382B">
        <w:t>APPR</w:t>
      </w:r>
      <w:r w:rsidRPr="00D536CE">
        <w:t>—</w:t>
      </w:r>
      <w:r w:rsidR="00DF5D2F">
        <w:t>Australia</w:t>
      </w:r>
      <w:r w:rsidRPr="00D536CE">
        <w:t xml:space="preserve"> ha</w:t>
      </w:r>
      <w:r w:rsidR="00DF5D2F">
        <w:t>s increased focus on judging performance based on evidence and using this to improve implementation</w:t>
      </w:r>
      <w:r w:rsidRPr="00D536CE">
        <w:t>.</w:t>
      </w:r>
    </w:p>
    <w:p w:rsidR="00D536CE" w:rsidRPr="00D536CE" w:rsidRDefault="00D536CE" w:rsidP="006A00A2">
      <w:pPr>
        <w:pStyle w:val="BodyText"/>
      </w:pPr>
      <w:r w:rsidRPr="00D536CE">
        <w:t xml:space="preserve">The </w:t>
      </w:r>
      <w:r w:rsidR="00DF5D2F">
        <w:t>mid-term review</w:t>
      </w:r>
      <w:r w:rsidRPr="00D536CE">
        <w:t xml:space="preserve"> confirmed that Australia </w:t>
      </w:r>
      <w:r w:rsidR="0029382B">
        <w:t>has</w:t>
      </w:r>
      <w:r w:rsidRPr="00D536CE">
        <w:t xml:space="preserve"> </w:t>
      </w:r>
      <w:r w:rsidR="0029382B">
        <w:t>established quality</w:t>
      </w:r>
      <w:r w:rsidRPr="00D536CE">
        <w:t xml:space="preserve"> relationships and initiat</w:t>
      </w:r>
      <w:r w:rsidR="0029382B">
        <w:t>ed</w:t>
      </w:r>
      <w:r w:rsidRPr="00D536CE">
        <w:t xml:space="preserve"> effective development partnerships. Th</w:t>
      </w:r>
      <w:r w:rsidR="0029382B">
        <w:t xml:space="preserve">is is reflected in the </w:t>
      </w:r>
      <w:r w:rsidRPr="00D536CE">
        <w:t>review</w:t>
      </w:r>
      <w:r w:rsidR="0029382B">
        <w:t>’s</w:t>
      </w:r>
      <w:r w:rsidRPr="00D536CE">
        <w:t xml:space="preserve"> quote</w:t>
      </w:r>
      <w:r w:rsidR="0029382B">
        <w:t xml:space="preserve"> by</w:t>
      </w:r>
      <w:r w:rsidRPr="00D536CE">
        <w:t xml:space="preserve"> one regional organisation</w:t>
      </w:r>
      <w:r w:rsidR="000908B9">
        <w:t>:</w:t>
      </w:r>
      <w:r w:rsidR="0029382B">
        <w:t xml:space="preserve"> ‘</w:t>
      </w:r>
      <w:r w:rsidRPr="00D536CE">
        <w:t>Australia’s collaborative approach to partnership and efforts to reduce transaction costs are a refreshing change</w:t>
      </w:r>
      <w:r w:rsidR="0029382B">
        <w:t>.’</w:t>
      </w:r>
      <w:r w:rsidRPr="00DF5D2F">
        <w:rPr>
          <w:vertAlign w:val="superscript"/>
        </w:rPr>
        <w:footnoteReference w:id="10"/>
      </w:r>
      <w:r w:rsidR="00DF5D2F">
        <w:t xml:space="preserve"> Australia has also </w:t>
      </w:r>
      <w:r w:rsidRPr="00D536CE">
        <w:t xml:space="preserve">increased </w:t>
      </w:r>
      <w:r w:rsidR="00DF5D2F">
        <w:t>its</w:t>
      </w:r>
      <w:r w:rsidRPr="00D536CE">
        <w:t xml:space="preserve"> understanding of </w:t>
      </w:r>
      <w:r w:rsidR="0029382B">
        <w:t xml:space="preserve">the </w:t>
      </w:r>
      <w:r w:rsidRPr="00D536CE">
        <w:t xml:space="preserve">policy issues facing CARICOM and </w:t>
      </w:r>
      <w:r w:rsidR="00DF5D2F">
        <w:t>CARICOM’s</w:t>
      </w:r>
      <w:r w:rsidRPr="00D536CE">
        <w:t xml:space="preserve"> priorities through</w:t>
      </w:r>
      <w:r w:rsidR="0029382B">
        <w:t xml:space="preserve"> </w:t>
      </w:r>
      <w:r w:rsidRPr="00D536CE">
        <w:t>the Senior Officials Meeting</w:t>
      </w:r>
      <w:r w:rsidR="00DF5D2F">
        <w:t>. Australia</w:t>
      </w:r>
      <w:r w:rsidRPr="00D536CE">
        <w:t xml:space="preserve"> </w:t>
      </w:r>
      <w:r w:rsidR="00DF5D2F">
        <w:t>will assist</w:t>
      </w:r>
      <w:r w:rsidRPr="00D536CE">
        <w:t xml:space="preserve"> CARICOM’s major policy reform process</w:t>
      </w:r>
      <w:r w:rsidR="000C6E31">
        <w:t xml:space="preserve"> by providing technical assistance.</w:t>
      </w:r>
    </w:p>
    <w:p w:rsidR="00D536CE" w:rsidRDefault="00D536CE" w:rsidP="00D536CE">
      <w:pPr>
        <w:pStyle w:val="Heading2"/>
      </w:pPr>
      <w:r>
        <w:t>Areas for improvement</w:t>
      </w:r>
    </w:p>
    <w:p w:rsidR="009C3270" w:rsidRPr="00A66D2F" w:rsidRDefault="009C3270" w:rsidP="006A00A2">
      <w:pPr>
        <w:pStyle w:val="BodyText"/>
      </w:pPr>
      <w:r w:rsidRPr="00A66D2F">
        <w:t xml:space="preserve">The </w:t>
      </w:r>
      <w:r w:rsidR="0029382B">
        <w:t>mid-term review</w:t>
      </w:r>
      <w:r w:rsidRPr="00A66D2F">
        <w:t xml:space="preserve"> identified areas in which the program can be strengthened, including:</w:t>
      </w:r>
    </w:p>
    <w:p w:rsidR="009C3270" w:rsidRPr="009F4836" w:rsidRDefault="00BD47D2" w:rsidP="006A00A2">
      <w:pPr>
        <w:pStyle w:val="ListBullet"/>
      </w:pPr>
      <w:r>
        <w:t>R</w:t>
      </w:r>
      <w:r w:rsidR="009C3270" w:rsidRPr="009C3270">
        <w:t>educing program fragmentation</w:t>
      </w:r>
      <w:r w:rsidR="00DF24BA">
        <w:t xml:space="preserve"> and </w:t>
      </w:r>
      <w:r w:rsidR="00CF34E8">
        <w:t xml:space="preserve">increasing </w:t>
      </w:r>
      <w:r w:rsidR="00DF24BA">
        <w:t>focus on core investments</w:t>
      </w:r>
      <w:r>
        <w:t>. T</w:t>
      </w:r>
      <w:r w:rsidR="00725037">
        <w:t xml:space="preserve">he Caribbean program includes 37 initiatives delivered in 15 countries. </w:t>
      </w:r>
      <w:r w:rsidR="000E2CF7">
        <w:t>S</w:t>
      </w:r>
      <w:r w:rsidR="00DF24BA">
        <w:t xml:space="preserve">maller activities that are completed </w:t>
      </w:r>
      <w:r w:rsidR="00DF24BA" w:rsidRPr="009F4836">
        <w:t xml:space="preserve">or nearing completion </w:t>
      </w:r>
      <w:r w:rsidR="00725037" w:rsidRPr="009F4836">
        <w:t>will</w:t>
      </w:r>
      <w:r w:rsidR="00DF24BA" w:rsidRPr="009F4836">
        <w:t xml:space="preserve"> be closed</w:t>
      </w:r>
      <w:r w:rsidR="00725037" w:rsidRPr="009F4836">
        <w:t xml:space="preserve"> in 2013</w:t>
      </w:r>
      <w:r w:rsidR="00DF24BA" w:rsidRPr="009F4836">
        <w:t xml:space="preserve">, </w:t>
      </w:r>
      <w:r w:rsidR="00CF34E8" w:rsidRPr="009F4836">
        <w:t xml:space="preserve">allowing more </w:t>
      </w:r>
      <w:r w:rsidR="00B85F21" w:rsidRPr="009F4836">
        <w:t xml:space="preserve">focus on </w:t>
      </w:r>
      <w:r w:rsidR="00CF34E8" w:rsidRPr="009F4836">
        <w:t xml:space="preserve">core </w:t>
      </w:r>
      <w:r w:rsidRPr="00927C71">
        <w:t>investments</w:t>
      </w:r>
    </w:p>
    <w:p w:rsidR="009C3270" w:rsidRPr="000C6E31" w:rsidRDefault="00BD47D2" w:rsidP="006A00A2">
      <w:pPr>
        <w:pStyle w:val="ListBullet"/>
      </w:pPr>
      <w:r w:rsidRPr="000C6E31">
        <w:t>S</w:t>
      </w:r>
      <w:r w:rsidR="009C3270" w:rsidRPr="000C6E31">
        <w:t>trengthening monitoring and evaluation</w:t>
      </w:r>
      <w:r w:rsidRPr="000C6E31">
        <w:t>. H</w:t>
      </w:r>
      <w:r w:rsidR="00DF24BA" w:rsidRPr="000C6E31">
        <w:t xml:space="preserve">aving established relationships in the region, </w:t>
      </w:r>
      <w:r w:rsidR="00FB0944">
        <w:t xml:space="preserve">the department’s </w:t>
      </w:r>
      <w:r w:rsidRPr="00876BE9">
        <w:t xml:space="preserve">program </w:t>
      </w:r>
      <w:r w:rsidR="00DF24BA" w:rsidRPr="0078276B">
        <w:t xml:space="preserve">staff will </w:t>
      </w:r>
      <w:r w:rsidR="000C6E31" w:rsidRPr="00BE39B6">
        <w:t xml:space="preserve">concentrate more </w:t>
      </w:r>
      <w:r w:rsidR="00DF24BA" w:rsidRPr="00D55355">
        <w:t xml:space="preserve">on </w:t>
      </w:r>
      <w:r w:rsidR="00B85F21" w:rsidRPr="00D55355">
        <w:t>monitoring</w:t>
      </w:r>
      <w:r w:rsidR="00DF24BA" w:rsidRPr="00D55355">
        <w:t xml:space="preserve"> effective and efficient delivery of results</w:t>
      </w:r>
      <w:r w:rsidR="000C6E31">
        <w:t xml:space="preserve"> for development outcomes</w:t>
      </w:r>
      <w:r w:rsidR="00DF24BA" w:rsidRPr="000C6E31">
        <w:t xml:space="preserve">. Roles and responsibilities for staff </w:t>
      </w:r>
      <w:r w:rsidR="00B85F21" w:rsidRPr="000C6E31">
        <w:t>will reflect this management focus</w:t>
      </w:r>
      <w:r w:rsidRPr="000C6E31">
        <w:t xml:space="preserve">. Also, </w:t>
      </w:r>
      <w:r w:rsidR="00B85F21" w:rsidRPr="000C6E31">
        <w:t>the</w:t>
      </w:r>
      <w:r w:rsidR="00262919" w:rsidRPr="000C6E31">
        <w:t xml:space="preserve"> </w:t>
      </w:r>
      <w:r w:rsidR="00892599">
        <w:t>p</w:t>
      </w:r>
      <w:r w:rsidR="00DF24BA" w:rsidRPr="000C6E31">
        <w:t xml:space="preserve">erformance </w:t>
      </w:r>
      <w:r w:rsidR="00892599">
        <w:t>a</w:t>
      </w:r>
      <w:r w:rsidR="00DF24BA" w:rsidRPr="000C6E31">
        <w:t xml:space="preserve">ssessment </w:t>
      </w:r>
      <w:r w:rsidR="00892599">
        <w:t>f</w:t>
      </w:r>
      <w:r w:rsidR="00DF24BA" w:rsidRPr="000C6E31">
        <w:t>ramework</w:t>
      </w:r>
      <w:r w:rsidR="000C6E31">
        <w:t xml:space="preserve"> will </w:t>
      </w:r>
      <w:r w:rsidR="00892599">
        <w:t xml:space="preserve">form </w:t>
      </w:r>
      <w:r w:rsidR="000C6E31">
        <w:t>a</w:t>
      </w:r>
      <w:r w:rsidR="00725037" w:rsidRPr="000C6E31">
        <w:t xml:space="preserve"> foundation for </w:t>
      </w:r>
      <w:r w:rsidR="001A573B" w:rsidRPr="000C6E31">
        <w:t xml:space="preserve">improved </w:t>
      </w:r>
      <w:r w:rsidR="00725037" w:rsidRPr="000C6E31">
        <w:t>performance management</w:t>
      </w:r>
    </w:p>
    <w:p w:rsidR="009C3270" w:rsidRDefault="00BD47D2" w:rsidP="006A00A2">
      <w:pPr>
        <w:pStyle w:val="ListBullet"/>
      </w:pPr>
      <w:r>
        <w:t>I</w:t>
      </w:r>
      <w:r w:rsidR="009C3270" w:rsidRPr="009C3270">
        <w:t>mproving the quality and efficiency of management</w:t>
      </w:r>
      <w:r w:rsidR="00D536CE">
        <w:t xml:space="preserve"> and </w:t>
      </w:r>
      <w:r w:rsidR="009C3270" w:rsidRPr="009C3270">
        <w:t xml:space="preserve">implementation by some </w:t>
      </w:r>
      <w:r w:rsidRPr="009C3270">
        <w:t>partners</w:t>
      </w:r>
      <w:r>
        <w:t>. This will be achieved through</w:t>
      </w:r>
      <w:r w:rsidR="00B85F21">
        <w:t xml:space="preserve"> better coordination of monitoring and evaluation (especially between </w:t>
      </w:r>
      <w:r w:rsidR="0083703E">
        <w:t>the department</w:t>
      </w:r>
      <w:r w:rsidR="006A17B8">
        <w:t xml:space="preserve"> </w:t>
      </w:r>
      <w:r w:rsidR="00B85F21">
        <w:t xml:space="preserve">and </w:t>
      </w:r>
      <w:r w:rsidR="002E682E">
        <w:t xml:space="preserve">our </w:t>
      </w:r>
      <w:r w:rsidR="00B85F21">
        <w:t xml:space="preserve">whole-of-government partners), and </w:t>
      </w:r>
      <w:r w:rsidR="005252C0">
        <w:t xml:space="preserve">increased </w:t>
      </w:r>
      <w:r w:rsidR="005252C0">
        <w:lastRenderedPageBreak/>
        <w:t xml:space="preserve">advocacy and assessment of social inclusion </w:t>
      </w:r>
      <w:r w:rsidR="00B85F21">
        <w:t>considerations</w:t>
      </w:r>
      <w:r w:rsidR="00DD1C31">
        <w:t xml:space="preserve">, </w:t>
      </w:r>
      <w:r w:rsidR="00B85F21">
        <w:t xml:space="preserve">such as </w:t>
      </w:r>
      <w:r w:rsidR="00B85F21" w:rsidRPr="009F4836">
        <w:t>gender and disability</w:t>
      </w:r>
      <w:r w:rsidR="00DD1C31" w:rsidRPr="009F4836">
        <w:t xml:space="preserve">, </w:t>
      </w:r>
      <w:r w:rsidR="005252C0" w:rsidRPr="009F4836">
        <w:t>in partner initiatives</w:t>
      </w:r>
    </w:p>
    <w:p w:rsidR="00DF5D2F" w:rsidRPr="002507D0" w:rsidRDefault="00DF5D2F" w:rsidP="006A00A2">
      <w:pPr>
        <w:pStyle w:val="ListBullet"/>
      </w:pPr>
      <w:r>
        <w:t>E</w:t>
      </w:r>
      <w:r w:rsidRPr="00D536CE">
        <w:t>ngag</w:t>
      </w:r>
      <w:r>
        <w:t>ing</w:t>
      </w:r>
      <w:r w:rsidRPr="00D536CE">
        <w:t xml:space="preserve"> the CARICOM Secretariat as a true partner by, for example, using </w:t>
      </w:r>
      <w:r w:rsidR="00780A6E">
        <w:t>regular</w:t>
      </w:r>
      <w:r w:rsidRPr="00D536CE">
        <w:t xml:space="preserve"> meetings to make joint programming decisions and report on adequacy of progress. This will be addressed in future engagement with CARICOM as identified in the </w:t>
      </w:r>
      <w:r w:rsidR="00892599">
        <w:t>mid-term review</w:t>
      </w:r>
      <w:r w:rsidRPr="00D536CE">
        <w:t>.</w:t>
      </w:r>
    </w:p>
    <w:p w:rsidR="00E02F43" w:rsidRDefault="00E02F43" w:rsidP="006A00A2">
      <w:pPr>
        <w:pStyle w:val="Caption"/>
      </w:pPr>
      <w:r>
        <w:t xml:space="preserve">Table </w:t>
      </w:r>
      <w:r w:rsidR="002C32E1">
        <w:t>3</w:t>
      </w:r>
      <w:r>
        <w:t xml:space="preserve"> Rating of the program's progress towards the objectives</w:t>
      </w:r>
    </w:p>
    <w:tbl>
      <w:tblPr>
        <w:tblStyle w:val="APPR"/>
        <w:tblW w:w="5000" w:type="pct"/>
        <w:tblLook w:val="0000" w:firstRow="0" w:lastRow="0" w:firstColumn="0" w:lastColumn="0" w:noHBand="0" w:noVBand="0"/>
      </w:tblPr>
      <w:tblGrid>
        <w:gridCol w:w="6111"/>
        <w:gridCol w:w="1006"/>
        <w:gridCol w:w="419"/>
        <w:gridCol w:w="1070"/>
      </w:tblGrid>
      <w:tr w:rsidR="00E02F43" w:rsidRPr="0019341B" w:rsidTr="00A30593">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E02F43" w:rsidRPr="0019341B" w:rsidRDefault="00E02F43" w:rsidP="00A30593">
            <w:pPr>
              <w:pStyle w:val="TableTextColumnHeading"/>
            </w:pPr>
            <w:r w:rsidRPr="0019341B">
              <w:rPr>
                <w:noProof/>
                <w:lang w:eastAsia="en-AU"/>
              </w:rPr>
              <w:drawing>
                <wp:anchor distT="0" distB="0" distL="114300" distR="114300" simplePos="0" relativeHeight="251660288" behindDoc="0" locked="0" layoutInCell="1" allowOverlap="1" wp14:anchorId="5DAAFBCF" wp14:editId="038B12FD">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E02F43" w:rsidRPr="0019341B" w:rsidRDefault="00E02F43" w:rsidP="00A30593">
            <w:pPr>
              <w:pStyle w:val="TableTextColumnHeading"/>
            </w:pPr>
            <w:r>
              <w:t>Current Rating</w:t>
            </w:r>
          </w:p>
        </w:tc>
        <w:tc>
          <w:tcPr>
            <w:tcW w:w="388" w:type="dxa"/>
          </w:tcPr>
          <w:p w:rsidR="00E02F43" w:rsidRDefault="00E02F43" w:rsidP="00A30593">
            <w:pPr>
              <w:pStyle w:val="TableTextColumnHeading"/>
            </w:pPr>
          </w:p>
        </w:tc>
        <w:tc>
          <w:tcPr>
            <w:tcW w:w="1021" w:type="dxa"/>
          </w:tcPr>
          <w:p w:rsidR="00E02F43" w:rsidRPr="0019341B" w:rsidRDefault="00E02F43" w:rsidP="00A30593">
            <w:pPr>
              <w:pStyle w:val="TableTextColumnHeading"/>
            </w:pPr>
            <w:r>
              <w:t>Previous Rating</w:t>
            </w:r>
          </w:p>
        </w:tc>
      </w:tr>
      <w:tr w:rsidR="00E02F43" w:rsidRPr="009D53C4" w:rsidTr="006A00A2">
        <w:trPr>
          <w:cnfStyle w:val="000000010000" w:firstRow="0" w:lastRow="0" w:firstColumn="0" w:lastColumn="0" w:oddVBand="0" w:evenVBand="0" w:oddHBand="0" w:evenHBand="1" w:firstRowFirstColumn="0" w:firstRowLastColumn="0" w:lastRowFirstColumn="0" w:lastRowLastColumn="0"/>
        </w:trPr>
        <w:tc>
          <w:tcPr>
            <w:tcW w:w="6029" w:type="dxa"/>
          </w:tcPr>
          <w:p w:rsidR="00E02F43" w:rsidRPr="00730025" w:rsidRDefault="00CC229F" w:rsidP="00730025">
            <w:pPr>
              <w:pStyle w:val="TableTextEntries"/>
            </w:pPr>
            <w:r w:rsidRPr="00730025">
              <w:t>Assist</w:t>
            </w:r>
            <w:r w:rsidR="00E02F43" w:rsidRPr="00730025">
              <w:t xml:space="preserve"> communities, nations and regional partners to </w:t>
            </w:r>
            <w:r w:rsidRPr="00730025">
              <w:t>address</w:t>
            </w:r>
            <w:r w:rsidR="00E02F43" w:rsidRPr="00730025">
              <w:t xml:space="preserve"> climate change and </w:t>
            </w:r>
            <w:r w:rsidRPr="00730025">
              <w:t xml:space="preserve">better prepare for and respond to </w:t>
            </w:r>
            <w:r w:rsidR="00E02F43" w:rsidRPr="00730025">
              <w:t>natural disasters</w:t>
            </w:r>
            <w:r w:rsidR="009F4836" w:rsidRPr="00730025">
              <w:t>.</w:t>
            </w:r>
            <w:r w:rsidR="00E02F43" w:rsidRPr="00730025">
              <w:t xml:space="preserve"> </w:t>
            </w:r>
          </w:p>
        </w:tc>
        <w:tc>
          <w:tcPr>
            <w:tcW w:w="972" w:type="dxa"/>
            <w:shd w:val="clear" w:color="auto" w:fill="92D050"/>
            <w:noWrap/>
          </w:tcPr>
          <w:p w:rsidR="00E02F43" w:rsidRPr="00730025" w:rsidRDefault="00E02F43" w:rsidP="00730025">
            <w:pPr>
              <w:pStyle w:val="TableTextEntries"/>
            </w:pPr>
            <w:r w:rsidRPr="00730025">
              <w:t>Green</w:t>
            </w:r>
          </w:p>
        </w:tc>
        <w:tc>
          <w:tcPr>
            <w:tcW w:w="388" w:type="dxa"/>
          </w:tcPr>
          <w:p w:rsidR="00E02F43" w:rsidRPr="00730025" w:rsidRDefault="00E02F43" w:rsidP="00730025">
            <w:pPr>
              <w:pStyle w:val="TableTextEntries"/>
            </w:pPr>
          </w:p>
        </w:tc>
        <w:tc>
          <w:tcPr>
            <w:tcW w:w="1021" w:type="dxa"/>
            <w:shd w:val="clear" w:color="auto" w:fill="92D050"/>
            <w:noWrap/>
          </w:tcPr>
          <w:p w:rsidR="00E02F43" w:rsidRPr="00730025" w:rsidRDefault="00E02F43" w:rsidP="00730025">
            <w:pPr>
              <w:pStyle w:val="TableTextEntries"/>
            </w:pPr>
            <w:r w:rsidRPr="00730025">
              <w:t>Green</w:t>
            </w:r>
          </w:p>
        </w:tc>
      </w:tr>
      <w:tr w:rsidR="00E02F43" w:rsidRPr="009D53C4" w:rsidTr="00A30593">
        <w:trPr>
          <w:cnfStyle w:val="000000010000" w:firstRow="0" w:lastRow="0" w:firstColumn="0" w:lastColumn="0" w:oddVBand="0" w:evenVBand="0" w:oddHBand="0" w:evenHBand="1" w:firstRowFirstColumn="0" w:firstRowLastColumn="0" w:lastRowFirstColumn="0" w:lastRowLastColumn="0"/>
        </w:trPr>
        <w:tc>
          <w:tcPr>
            <w:tcW w:w="6029" w:type="dxa"/>
          </w:tcPr>
          <w:p w:rsidR="00E02F43" w:rsidRPr="00730025" w:rsidRDefault="00CC229F" w:rsidP="00730025">
            <w:pPr>
              <w:pStyle w:val="TableTextEntries"/>
            </w:pPr>
            <w:r w:rsidRPr="00730025">
              <w:t>E</w:t>
            </w:r>
            <w:r w:rsidR="00E02F43" w:rsidRPr="00730025">
              <w:t xml:space="preserve">nhance ability within the Caribbean to manage and respond to </w:t>
            </w:r>
            <w:r w:rsidRPr="00730025">
              <w:t xml:space="preserve">region’s </w:t>
            </w:r>
            <w:r w:rsidR="00E02F43" w:rsidRPr="00730025">
              <w:t>economic challenges</w:t>
            </w:r>
            <w:r w:rsidRPr="00730025">
              <w:t>.</w:t>
            </w:r>
          </w:p>
        </w:tc>
        <w:tc>
          <w:tcPr>
            <w:tcW w:w="972" w:type="dxa"/>
            <w:shd w:val="clear" w:color="auto" w:fill="92D050"/>
            <w:noWrap/>
          </w:tcPr>
          <w:p w:rsidR="00E02F43" w:rsidRPr="00730025" w:rsidRDefault="00E02F43" w:rsidP="00730025">
            <w:pPr>
              <w:pStyle w:val="TableTextEntries"/>
            </w:pPr>
            <w:r w:rsidRPr="00730025">
              <w:t>Green</w:t>
            </w:r>
          </w:p>
        </w:tc>
        <w:tc>
          <w:tcPr>
            <w:tcW w:w="388" w:type="dxa"/>
            <w:shd w:val="clear" w:color="auto" w:fill="FFFFFF" w:themeFill="background1"/>
          </w:tcPr>
          <w:p w:rsidR="00E02F43" w:rsidRPr="00730025" w:rsidRDefault="00E02F43" w:rsidP="00730025">
            <w:pPr>
              <w:pStyle w:val="TableTextEntries"/>
            </w:pPr>
          </w:p>
        </w:tc>
        <w:tc>
          <w:tcPr>
            <w:tcW w:w="1021" w:type="dxa"/>
            <w:shd w:val="clear" w:color="auto" w:fill="92D050"/>
            <w:noWrap/>
          </w:tcPr>
          <w:p w:rsidR="00E02F43" w:rsidRPr="00730025" w:rsidRDefault="00E02F43" w:rsidP="00730025">
            <w:pPr>
              <w:pStyle w:val="TableTextEntries"/>
            </w:pPr>
            <w:r w:rsidRPr="00730025">
              <w:t>Green</w:t>
            </w:r>
          </w:p>
        </w:tc>
      </w:tr>
      <w:tr w:rsidR="00E02F43" w:rsidRPr="009D53C4" w:rsidTr="006A00A2">
        <w:trPr>
          <w:cnfStyle w:val="000000010000" w:firstRow="0" w:lastRow="0" w:firstColumn="0" w:lastColumn="0" w:oddVBand="0" w:evenVBand="0" w:oddHBand="0" w:evenHBand="1" w:firstRowFirstColumn="0" w:firstRowLastColumn="0" w:lastRowFirstColumn="0" w:lastRowLastColumn="0"/>
        </w:trPr>
        <w:tc>
          <w:tcPr>
            <w:tcW w:w="6029" w:type="dxa"/>
          </w:tcPr>
          <w:p w:rsidR="00E02F43" w:rsidRPr="00730025" w:rsidRDefault="00CC229F" w:rsidP="00730025">
            <w:pPr>
              <w:pStyle w:val="TableTextEntries"/>
            </w:pPr>
            <w:r w:rsidRPr="00730025">
              <w:t>Build linkages and partnerships</w:t>
            </w:r>
            <w:r w:rsidR="00E02F43" w:rsidRPr="00730025">
              <w:t xml:space="preserve"> between </w:t>
            </w:r>
            <w:r w:rsidRPr="00730025">
              <w:t xml:space="preserve">the </w:t>
            </w:r>
            <w:r w:rsidR="00E02F43" w:rsidRPr="00730025">
              <w:t>Caribbean, Australian and</w:t>
            </w:r>
            <w:r w:rsidRPr="00730025">
              <w:t xml:space="preserve"> the</w:t>
            </w:r>
            <w:r w:rsidR="00E02F43" w:rsidRPr="00730025">
              <w:t xml:space="preserve"> Pacific</w:t>
            </w:r>
            <w:r w:rsidRPr="00730025">
              <w:t xml:space="preserve"> which add to </w:t>
            </w:r>
            <w:r w:rsidR="008E1145" w:rsidRPr="00730025">
              <w:t>Caribbean knowledge</w:t>
            </w:r>
            <w:r w:rsidR="00E02F43" w:rsidRPr="00730025">
              <w:t xml:space="preserve"> and capacity to address </w:t>
            </w:r>
            <w:r w:rsidRPr="00730025">
              <w:t>its development priorities.</w:t>
            </w:r>
          </w:p>
        </w:tc>
        <w:tc>
          <w:tcPr>
            <w:tcW w:w="972" w:type="dxa"/>
            <w:shd w:val="clear" w:color="auto" w:fill="FFC000"/>
            <w:noWrap/>
          </w:tcPr>
          <w:p w:rsidR="00E02F43" w:rsidRPr="00730025" w:rsidRDefault="00E02F43" w:rsidP="00730025">
            <w:pPr>
              <w:pStyle w:val="TableTextEntries"/>
            </w:pPr>
            <w:r w:rsidRPr="00730025">
              <w:t>Amber</w:t>
            </w:r>
          </w:p>
        </w:tc>
        <w:tc>
          <w:tcPr>
            <w:tcW w:w="388" w:type="dxa"/>
            <w:shd w:val="clear" w:color="auto" w:fill="FFFFFF" w:themeFill="background1"/>
          </w:tcPr>
          <w:p w:rsidR="00E02F43" w:rsidRPr="00730025" w:rsidRDefault="00E02F43" w:rsidP="00730025">
            <w:pPr>
              <w:pStyle w:val="TableTextEntries"/>
            </w:pPr>
          </w:p>
        </w:tc>
        <w:tc>
          <w:tcPr>
            <w:tcW w:w="1021" w:type="dxa"/>
            <w:shd w:val="clear" w:color="auto" w:fill="92D050"/>
            <w:noWrap/>
          </w:tcPr>
          <w:p w:rsidR="00E02F43" w:rsidRPr="00730025" w:rsidRDefault="00E02F43" w:rsidP="00730025">
            <w:pPr>
              <w:pStyle w:val="TableTextEntries"/>
            </w:pPr>
            <w:r w:rsidRPr="00730025">
              <w:t>Green</w:t>
            </w:r>
          </w:p>
        </w:tc>
      </w:tr>
    </w:tbl>
    <w:p w:rsidR="00E02F43" w:rsidRPr="00180B19" w:rsidRDefault="00E02F43" w:rsidP="00E02F43">
      <w:pPr>
        <w:pStyle w:val="Note"/>
      </w:pPr>
      <w:r w:rsidRPr="00180B19">
        <w:t xml:space="preserve">Note: </w:t>
      </w:r>
    </w:p>
    <w:p w:rsidR="00E02F43" w:rsidRPr="00180B19" w:rsidRDefault="00E02F43" w:rsidP="00E02F43">
      <w:pPr>
        <w:pStyle w:val="Note"/>
      </w:pPr>
      <w:r w:rsidRPr="004C4A3E">
        <w:rPr>
          <w:color w:val="92D050"/>
        </w:rPr>
        <w:sym w:font="Webdings" w:char="F067"/>
      </w:r>
      <w:r w:rsidRPr="00180B19">
        <w:t> </w:t>
      </w:r>
      <w:r w:rsidRPr="00180B19">
        <w:t xml:space="preserve"> </w:t>
      </w:r>
      <w:proofErr w:type="gramStart"/>
      <w:r>
        <w:t>Green.</w:t>
      </w:r>
      <w:proofErr w:type="gramEnd"/>
      <w:r>
        <w:t xml:space="preserve"> </w:t>
      </w:r>
      <w:r w:rsidRPr="00180B19">
        <w:t>Progress is as expected for this point in time and it is likely that the objective will be achieved. Standard program management practices are sufficient.</w:t>
      </w:r>
    </w:p>
    <w:p w:rsidR="00E02F43" w:rsidRPr="00180B19" w:rsidRDefault="00E02F43" w:rsidP="00E02F43">
      <w:pPr>
        <w:pStyle w:val="Note"/>
      </w:pPr>
      <w:r w:rsidRPr="004C4A3E">
        <w:rPr>
          <w:color w:val="F79646" w:themeColor="accent6"/>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E02F43" w:rsidRPr="00180B19" w:rsidRDefault="00E02F43" w:rsidP="00E02F43">
      <w:pPr>
        <w:pStyle w:val="Note"/>
      </w:pPr>
      <w:r w:rsidRPr="004C4A3E">
        <w:rPr>
          <w:color w:val="FF0000"/>
        </w:rPr>
        <w:sym w:font="Webdings" w:char="F067"/>
      </w:r>
      <w:r w:rsidRPr="00180B19">
        <w:t> </w:t>
      </w:r>
      <w:r w:rsidRPr="00180B19">
        <w:t xml:space="preserve"> </w:t>
      </w:r>
      <w:proofErr w:type="gramStart"/>
      <w:r>
        <w:t>Red.</w:t>
      </w:r>
      <w:proofErr w:type="gramEnd"/>
      <w:r>
        <w:t xml:space="preserve"> </w:t>
      </w:r>
      <w:r w:rsidRPr="00180B19">
        <w:t xml:space="preserve">Progress is significantly less than expected for this point in time and the objective is not likely to be met given available resources and priorities. Recasting the objective may be required. </w:t>
      </w:r>
    </w:p>
    <w:p w:rsidR="00E02F43" w:rsidRPr="00180B19" w:rsidRDefault="00E02F43" w:rsidP="00E02F43">
      <w:pPr>
        <w:pStyle w:val="Heading2"/>
      </w:pPr>
      <w:r>
        <w:t>Objective 1</w:t>
      </w:r>
      <w:r w:rsidR="009F4836">
        <w:t>—</w:t>
      </w:r>
      <w:r w:rsidR="00DF5D2F">
        <w:t>A</w:t>
      </w:r>
      <w:r w:rsidR="00DF5D2F" w:rsidRPr="00DF5D2F">
        <w:t>ssist communities, nations and regional partners to address climate change and better prepare for and respond to natural disasters</w:t>
      </w:r>
    </w:p>
    <w:p w:rsidR="00712902" w:rsidRDefault="00712902" w:rsidP="00712902">
      <w:pPr>
        <w:pStyle w:val="Heading2"/>
      </w:pPr>
      <w:r>
        <w:t>Expected outcomes</w:t>
      </w:r>
      <w:r w:rsidRPr="005868DF">
        <w:t xml:space="preserve"> </w:t>
      </w:r>
    </w:p>
    <w:p w:rsidR="00712902" w:rsidRDefault="00712902" w:rsidP="006A00A2">
      <w:pPr>
        <w:pStyle w:val="BodyText"/>
      </w:pPr>
      <w:r>
        <w:t>Expected e</w:t>
      </w:r>
      <w:r w:rsidRPr="00736297">
        <w:t>nd-of-program outcomes include</w:t>
      </w:r>
      <w:r>
        <w:t>:</w:t>
      </w:r>
    </w:p>
    <w:p w:rsidR="00712902" w:rsidRDefault="00712902" w:rsidP="006A00A2">
      <w:pPr>
        <w:pStyle w:val="ListBullet"/>
      </w:pPr>
      <w:r w:rsidRPr="00712902">
        <w:t>integration of disaster risk reduction into regional national policy and plans</w:t>
      </w:r>
    </w:p>
    <w:p w:rsidR="00712902" w:rsidRDefault="00712902" w:rsidP="006A00A2">
      <w:pPr>
        <w:pStyle w:val="ListBullet"/>
      </w:pPr>
      <w:r w:rsidRPr="00712902">
        <w:t xml:space="preserve">increased capacity of the </w:t>
      </w:r>
      <w:r w:rsidR="00CC229F">
        <w:t>5Cs</w:t>
      </w:r>
      <w:r w:rsidRPr="00712902">
        <w:t xml:space="preserve"> to attract and manage climate change funds</w:t>
      </w:r>
    </w:p>
    <w:p w:rsidR="00712902" w:rsidRDefault="00712902" w:rsidP="006A00A2">
      <w:pPr>
        <w:pStyle w:val="ListBullet"/>
      </w:pPr>
      <w:r w:rsidRPr="00712902">
        <w:t xml:space="preserve">increased capacity of </w:t>
      </w:r>
      <w:r w:rsidR="00595FA8">
        <w:t xml:space="preserve">the </w:t>
      </w:r>
      <w:r w:rsidRPr="00712902">
        <w:t>CDEMA to reduce disaster risks</w:t>
      </w:r>
    </w:p>
    <w:p w:rsidR="00712902" w:rsidRPr="00712902" w:rsidRDefault="00CC229F" w:rsidP="006A00A2">
      <w:pPr>
        <w:pStyle w:val="ListBullet"/>
      </w:pPr>
      <w:proofErr w:type="gramStart"/>
      <w:r>
        <w:t>demonstration</w:t>
      </w:r>
      <w:proofErr w:type="gramEnd"/>
      <w:r>
        <w:t xml:space="preserve"> and communication of </w:t>
      </w:r>
      <w:r w:rsidR="00712902" w:rsidRPr="00712902">
        <w:t>good practice climate change adaptation and disaster risk reduction.</w:t>
      </w:r>
    </w:p>
    <w:p w:rsidR="00414ED1" w:rsidRDefault="00414ED1" w:rsidP="00414ED1">
      <w:pPr>
        <w:pStyle w:val="Heading2"/>
      </w:pPr>
      <w:r>
        <w:t>Investments</w:t>
      </w:r>
    </w:p>
    <w:p w:rsidR="00414ED1" w:rsidRDefault="00414ED1" w:rsidP="006A00A2">
      <w:pPr>
        <w:pStyle w:val="BodyText"/>
      </w:pPr>
      <w:r>
        <w:t xml:space="preserve">Australia’s main investments under this objective are with two Caribbean </w:t>
      </w:r>
      <w:r w:rsidR="00CC229F">
        <w:t>c</w:t>
      </w:r>
      <w:r w:rsidR="006A00A2">
        <w:t>ommunity-endorsed partners:</w:t>
      </w:r>
    </w:p>
    <w:p w:rsidR="00414ED1" w:rsidRDefault="00CC229F" w:rsidP="006A00A2">
      <w:pPr>
        <w:pStyle w:val="ListBullet"/>
      </w:pPr>
      <w:r>
        <w:t>5Cs</w:t>
      </w:r>
      <w:r w:rsidR="00CF5C4B">
        <w:t>, the key CARICOM-endorsed climate change agency coordinating the region’s adapta</w:t>
      </w:r>
      <w:r w:rsidR="002507D0">
        <w:t>tion response to climate change</w:t>
      </w:r>
    </w:p>
    <w:p w:rsidR="00414ED1" w:rsidRDefault="00414ED1" w:rsidP="006A00A2">
      <w:pPr>
        <w:pStyle w:val="ListBullet"/>
      </w:pPr>
      <w:r w:rsidRPr="00712902">
        <w:t>CDEMA</w:t>
      </w:r>
      <w:r>
        <w:t xml:space="preserve">, </w:t>
      </w:r>
      <w:r w:rsidR="00CF5C4B">
        <w:t>the key CARICOM-endorsed disaster management agency c</w:t>
      </w:r>
      <w:r w:rsidRPr="00712902">
        <w:t>oordinat</w:t>
      </w:r>
      <w:r w:rsidR="00CF5C4B">
        <w:t>ing</w:t>
      </w:r>
      <w:r w:rsidRPr="00712902">
        <w:t xml:space="preserve"> responses to natural disasters and disaster risk reduction</w:t>
      </w:r>
      <w:r>
        <w:t>.</w:t>
      </w:r>
    </w:p>
    <w:p w:rsidR="00712902" w:rsidRPr="00712902" w:rsidRDefault="00712902" w:rsidP="00712902">
      <w:pPr>
        <w:pStyle w:val="Heading2"/>
      </w:pPr>
      <w:r w:rsidRPr="00712902">
        <w:t>Results</w:t>
      </w:r>
    </w:p>
    <w:p w:rsidR="00110511" w:rsidRDefault="00DC36A0" w:rsidP="006A00A2">
      <w:pPr>
        <w:pStyle w:val="BodyText"/>
      </w:pPr>
      <w:r>
        <w:t>Overall</w:t>
      </w:r>
      <w:r w:rsidR="00110511">
        <w:t>,</w:t>
      </w:r>
      <w:r>
        <w:t xml:space="preserve"> performance of activities under this objective</w:t>
      </w:r>
      <w:r w:rsidR="00110511">
        <w:t xml:space="preserve"> has performed well justifying</w:t>
      </w:r>
      <w:r w:rsidRPr="00622C70">
        <w:t xml:space="preserve"> </w:t>
      </w:r>
      <w:r w:rsidR="00133622">
        <w:t xml:space="preserve">a </w:t>
      </w:r>
      <w:r w:rsidR="00110511">
        <w:t xml:space="preserve">continued </w:t>
      </w:r>
      <w:r w:rsidRPr="00622C70">
        <w:t>green</w:t>
      </w:r>
      <w:r>
        <w:t xml:space="preserve"> rating (</w:t>
      </w:r>
      <w:r w:rsidR="00780A6E">
        <w:t xml:space="preserve">the same rating in </w:t>
      </w:r>
      <w:r w:rsidR="00133622">
        <w:t>the</w:t>
      </w:r>
      <w:r>
        <w:t xml:space="preserve"> 2011 A</w:t>
      </w:r>
      <w:r w:rsidR="00133622">
        <w:t>PPR</w:t>
      </w:r>
      <w:r>
        <w:t xml:space="preserve">). </w:t>
      </w:r>
    </w:p>
    <w:p w:rsidR="00DC36A0" w:rsidRDefault="00E02F43" w:rsidP="006A00A2">
      <w:pPr>
        <w:pStyle w:val="BodyText"/>
      </w:pPr>
      <w:r>
        <w:lastRenderedPageBreak/>
        <w:t>The Caribbean</w:t>
      </w:r>
      <w:r w:rsidR="00736297">
        <w:t xml:space="preserve"> program </w:t>
      </w:r>
      <w:r w:rsidR="00622C70">
        <w:t>is</w:t>
      </w:r>
      <w:r>
        <w:t xml:space="preserve"> on track to achieve </w:t>
      </w:r>
      <w:r w:rsidR="00736297">
        <w:t>the</w:t>
      </w:r>
      <w:r>
        <w:t xml:space="preserve"> climate change and disaster risk reduction objective</w:t>
      </w:r>
      <w:r w:rsidR="0040154A">
        <w:t>.</w:t>
      </w:r>
      <w:r w:rsidR="00736297">
        <w:t xml:space="preserve"> </w:t>
      </w:r>
      <w:r w:rsidR="00FC51CF">
        <w:t>Australia</w:t>
      </w:r>
      <w:r w:rsidR="0056247F">
        <w:t>n Government</w:t>
      </w:r>
      <w:r w:rsidR="00FC51CF">
        <w:t xml:space="preserve"> </w:t>
      </w:r>
      <w:r w:rsidR="00226E23">
        <w:t>assistance</w:t>
      </w:r>
      <w:r w:rsidR="00B85F21">
        <w:t xml:space="preserve"> </w:t>
      </w:r>
      <w:r w:rsidR="00FC51CF">
        <w:t xml:space="preserve">is </w:t>
      </w:r>
      <w:r>
        <w:t>contribut</w:t>
      </w:r>
      <w:r w:rsidR="00FC51CF">
        <w:t>ing</w:t>
      </w:r>
      <w:r>
        <w:t xml:space="preserve"> to improve</w:t>
      </w:r>
      <w:r w:rsidR="00736297">
        <w:t>d</w:t>
      </w:r>
      <w:r w:rsidRPr="00C748F7">
        <w:t xml:space="preserve"> effectiveness of communities, nations and regional partners to reduce the impact of climate change and natural disasters.</w:t>
      </w:r>
      <w:r>
        <w:rPr>
          <w:b/>
        </w:rPr>
        <w:t xml:space="preserve"> </w:t>
      </w:r>
      <w:r w:rsidR="00226E23" w:rsidRPr="008A28AF">
        <w:t>For example</w:t>
      </w:r>
      <w:r w:rsidR="00DC36A0">
        <w:t>:</w:t>
      </w:r>
    </w:p>
    <w:p w:rsidR="00DC36A0" w:rsidRDefault="00226E23" w:rsidP="006A00A2">
      <w:pPr>
        <w:pStyle w:val="ListBullet"/>
      </w:pPr>
      <w:r w:rsidRPr="00DC36A0">
        <w:t xml:space="preserve">capacity of the </w:t>
      </w:r>
      <w:r w:rsidR="00CC229F">
        <w:t>5Cs</w:t>
      </w:r>
      <w:r w:rsidRPr="00DC36A0">
        <w:t xml:space="preserve"> to attract and manage climate change funds has </w:t>
      </w:r>
      <w:r w:rsidR="0080274D" w:rsidRPr="00DC36A0">
        <w:t>improved</w:t>
      </w:r>
      <w:r w:rsidRPr="00DC36A0">
        <w:t xml:space="preserve"> as a direct result of Australian support</w:t>
      </w:r>
      <w:r w:rsidR="00B967D1" w:rsidRPr="00DC36A0">
        <w:t>,</w:t>
      </w:r>
      <w:r w:rsidRPr="00DC36A0">
        <w:t xml:space="preserve"> </w:t>
      </w:r>
      <w:r w:rsidR="0080274D" w:rsidRPr="00DC36A0">
        <w:t xml:space="preserve">resulting in </w:t>
      </w:r>
      <w:r w:rsidR="00133622">
        <w:t xml:space="preserve">its </w:t>
      </w:r>
      <w:r w:rsidRPr="00DC36A0">
        <w:t xml:space="preserve">increased ability to deliver on </w:t>
      </w:r>
      <w:r w:rsidR="00133622">
        <w:t>its</w:t>
      </w:r>
      <w:r w:rsidR="00133622" w:rsidRPr="00DC36A0">
        <w:t xml:space="preserve"> </w:t>
      </w:r>
      <w:r w:rsidRPr="00DC36A0">
        <w:t>regional</w:t>
      </w:r>
      <w:r w:rsidR="0080274D" w:rsidRPr="00DC36A0">
        <w:t xml:space="preserve"> climate change</w:t>
      </w:r>
      <w:r w:rsidRPr="00DC36A0">
        <w:t xml:space="preserve"> mandate</w:t>
      </w:r>
      <w:r w:rsidR="000864B9">
        <w:rPr>
          <w:rStyle w:val="FootnoteReference"/>
        </w:rPr>
        <w:footnoteReference w:id="11"/>
      </w:r>
      <w:r w:rsidRPr="00DC36A0">
        <w:t xml:space="preserve"> </w:t>
      </w:r>
    </w:p>
    <w:p w:rsidR="00DC36A0" w:rsidRDefault="00DC36A0" w:rsidP="006A00A2">
      <w:pPr>
        <w:pStyle w:val="ListBullet"/>
      </w:pPr>
      <w:r>
        <w:t>d</w:t>
      </w:r>
      <w:r w:rsidR="00226E23" w:rsidRPr="00DC36A0">
        <w:t xml:space="preserve">isaster risk reduction is being integrated into national policies and </w:t>
      </w:r>
      <w:r w:rsidR="00A72130" w:rsidRPr="00DC36A0">
        <w:t xml:space="preserve">strategies in </w:t>
      </w:r>
      <w:r w:rsidR="000806D9" w:rsidRPr="00DC36A0">
        <w:t xml:space="preserve">some </w:t>
      </w:r>
      <w:r w:rsidR="00A72130" w:rsidRPr="00DC36A0">
        <w:t>Member States</w:t>
      </w:r>
      <w:r w:rsidR="00A72130">
        <w:rPr>
          <w:rStyle w:val="FootnoteReference"/>
        </w:rPr>
        <w:footnoteReference w:id="12"/>
      </w:r>
    </w:p>
    <w:p w:rsidR="00DC36A0" w:rsidRDefault="00DC36A0" w:rsidP="006A00A2">
      <w:pPr>
        <w:pStyle w:val="ListBullet"/>
      </w:pPr>
      <w:r>
        <w:t>c</w:t>
      </w:r>
      <w:r w:rsidR="00226E23" w:rsidRPr="00DC36A0">
        <w:t xml:space="preserve">omprehensive disaster management policy and tools have been designed and rolled out, alongside the development of </w:t>
      </w:r>
      <w:r w:rsidR="0080274D" w:rsidRPr="00DC36A0">
        <w:t>model legislation</w:t>
      </w:r>
      <w:r w:rsidR="00A72130" w:rsidRPr="00DC36A0">
        <w:t xml:space="preserve"> adapted </w:t>
      </w:r>
      <w:r w:rsidR="000806D9" w:rsidRPr="00DC36A0">
        <w:t>in some Member S</w:t>
      </w:r>
      <w:r w:rsidR="00A72130" w:rsidRPr="00DC36A0">
        <w:t>tates</w:t>
      </w:r>
      <w:r w:rsidR="00A72130">
        <w:rPr>
          <w:rStyle w:val="FootnoteReference"/>
        </w:rPr>
        <w:footnoteReference w:id="13"/>
      </w:r>
      <w:r w:rsidR="00226E23" w:rsidRPr="00DC36A0">
        <w:t xml:space="preserve"> </w:t>
      </w:r>
    </w:p>
    <w:p w:rsidR="00B85F21" w:rsidRPr="00DC36A0" w:rsidRDefault="00892599" w:rsidP="006A00A2">
      <w:pPr>
        <w:pStyle w:val="ListBullet"/>
      </w:pPr>
      <w:r>
        <w:t>11</w:t>
      </w:r>
      <w:r w:rsidRPr="00DC36A0">
        <w:t xml:space="preserve"> </w:t>
      </w:r>
      <w:r w:rsidR="00D918F3" w:rsidRPr="00DC36A0">
        <w:t xml:space="preserve">Member States </w:t>
      </w:r>
      <w:r w:rsidR="00751B48" w:rsidRPr="00DC36A0">
        <w:t xml:space="preserve">have been assisted with </w:t>
      </w:r>
      <w:r w:rsidR="008000ED">
        <w:t xml:space="preserve">developing </w:t>
      </w:r>
      <w:r w:rsidR="00751B48" w:rsidRPr="00DC36A0">
        <w:t>adap</w:t>
      </w:r>
      <w:r w:rsidR="00B85F21" w:rsidRPr="00DC36A0">
        <w:t>t</w:t>
      </w:r>
      <w:r w:rsidR="00751B48" w:rsidRPr="00DC36A0">
        <w:t>ation programs to reduce vulnerability to climate change</w:t>
      </w:r>
      <w:r w:rsidR="00A425C1" w:rsidRPr="00DC36A0">
        <w:t xml:space="preserve"> </w:t>
      </w:r>
      <w:r w:rsidR="00DC36A0">
        <w:t>as expected in 2012–13</w:t>
      </w:r>
      <w:r w:rsidR="00751B48" w:rsidRPr="00DC36A0">
        <w:t xml:space="preserve">. </w:t>
      </w:r>
    </w:p>
    <w:p w:rsidR="00DC36A0" w:rsidRDefault="00DC36A0" w:rsidP="006A00A2">
      <w:pPr>
        <w:pStyle w:val="BodyText"/>
      </w:pPr>
      <w:r>
        <w:t xml:space="preserve">The </w:t>
      </w:r>
      <w:r w:rsidRPr="00A11616">
        <w:rPr>
          <w:i/>
        </w:rPr>
        <w:t>Quality at Implementation Report for Caribbean Climate Change and Disaster Risk Reduction</w:t>
      </w:r>
      <w:r>
        <w:rPr>
          <w:rStyle w:val="FootnoteReference"/>
        </w:rPr>
        <w:footnoteReference w:id="14"/>
      </w:r>
      <w:r>
        <w:t xml:space="preserve"> provides e</w:t>
      </w:r>
      <w:r w:rsidR="00E02F43">
        <w:t xml:space="preserve">vidence </w:t>
      </w:r>
      <w:r w:rsidR="00D918F3">
        <w:t>of Australia’s effective contributi</w:t>
      </w:r>
      <w:r>
        <w:t xml:space="preserve">ons to development in these areas. The </w:t>
      </w:r>
      <w:r w:rsidR="00B85F21">
        <w:t xml:space="preserve">report highlights results from the </w:t>
      </w:r>
      <w:r w:rsidR="00CC229F">
        <w:t>5Cs</w:t>
      </w:r>
      <w:r w:rsidR="00B85F21">
        <w:t xml:space="preserve"> investment,</w:t>
      </w:r>
      <w:r w:rsidR="00E02F43">
        <w:t xml:space="preserve"> as well as the management of the Caribbean Disaster Management – Harmonised Implementation Program. Strong relationships with key stakeholders and implementing partners have also created a positive environment for policy and program </w:t>
      </w:r>
      <w:r w:rsidR="00133622">
        <w:t>discussion</w:t>
      </w:r>
      <w:r w:rsidR="00E02F43">
        <w:t>.</w:t>
      </w:r>
      <w:r w:rsidR="00622C70">
        <w:t xml:space="preserve"> </w:t>
      </w:r>
    </w:p>
    <w:p w:rsidR="008B4645" w:rsidRDefault="00133622" w:rsidP="006A00A2">
      <w:pPr>
        <w:pStyle w:val="BodyText"/>
      </w:pPr>
      <w:r>
        <w:t>Australian a</w:t>
      </w:r>
      <w:r w:rsidR="00712902">
        <w:t>ssistance to</w:t>
      </w:r>
      <w:r w:rsidR="008000ED">
        <w:t xml:space="preserve"> 5Cs and CDEMA </w:t>
      </w:r>
      <w:r w:rsidR="0080274D" w:rsidRPr="00712902">
        <w:t xml:space="preserve">is </w:t>
      </w:r>
      <w:r w:rsidR="00712902">
        <w:t>improving</w:t>
      </w:r>
      <w:r w:rsidR="0080274D" w:rsidRPr="00712902">
        <w:t xml:space="preserve"> </w:t>
      </w:r>
      <w:r w:rsidR="00E02F43" w:rsidRPr="00712902">
        <w:t>coordinati</w:t>
      </w:r>
      <w:r w:rsidR="0080274D" w:rsidRPr="00712902">
        <w:t>o</w:t>
      </w:r>
      <w:r w:rsidR="00E02F43" w:rsidRPr="00712902">
        <w:t>n</w:t>
      </w:r>
      <w:r w:rsidR="0080274D" w:rsidRPr="00712902">
        <w:t xml:space="preserve"> of</w:t>
      </w:r>
      <w:r w:rsidR="00E02F43" w:rsidRPr="00712902">
        <w:t xml:space="preserve"> the region’s adaption response to climate change and developing financial mechanisms to support research and operational needs</w:t>
      </w:r>
      <w:r w:rsidR="00262919" w:rsidRPr="00712902">
        <w:t xml:space="preserve">. </w:t>
      </w:r>
      <w:r w:rsidR="00E02F43" w:rsidRPr="00712902">
        <w:t>Australia</w:t>
      </w:r>
      <w:r w:rsidR="00712902">
        <w:t>,</w:t>
      </w:r>
      <w:r w:rsidR="00135F7D" w:rsidRPr="00712902">
        <w:t xml:space="preserve"> </w:t>
      </w:r>
      <w:r w:rsidR="008000ED" w:rsidRPr="00712902">
        <w:t>Canada (C</w:t>
      </w:r>
      <w:r w:rsidR="008000ED">
        <w:t>IDA</w:t>
      </w:r>
      <w:r w:rsidR="008000ED" w:rsidRPr="00712902">
        <w:t xml:space="preserve">) </w:t>
      </w:r>
      <w:r w:rsidR="008000ED">
        <w:t xml:space="preserve">and </w:t>
      </w:r>
      <w:r w:rsidR="00135F7D" w:rsidRPr="00712902">
        <w:t>the</w:t>
      </w:r>
      <w:r w:rsidR="00E02F43" w:rsidRPr="00712902">
        <w:t xml:space="preserve"> U</w:t>
      </w:r>
      <w:r w:rsidR="00B967D1" w:rsidRPr="00712902">
        <w:t>nited Kingdom</w:t>
      </w:r>
      <w:r w:rsidR="00E02F43" w:rsidRPr="00712902">
        <w:t xml:space="preserve"> (</w:t>
      </w:r>
      <w:r w:rsidR="00A92AEE" w:rsidRPr="00712902">
        <w:t>D</w:t>
      </w:r>
      <w:r w:rsidR="003B1486">
        <w:t>FID</w:t>
      </w:r>
      <w:r w:rsidR="00E02F43" w:rsidRPr="00712902">
        <w:t xml:space="preserve">) </w:t>
      </w:r>
      <w:r w:rsidR="00712902">
        <w:t>are cooperating through a pooled funding, management and reporting arrangement.</w:t>
      </w:r>
    </w:p>
    <w:p w:rsidR="00B967D1" w:rsidRDefault="00DC36A0" w:rsidP="006A00A2">
      <w:pPr>
        <w:pStyle w:val="Heading3"/>
      </w:pPr>
      <w:r>
        <w:t>Caribbean Community Climate Change Centre</w:t>
      </w:r>
    </w:p>
    <w:p w:rsidR="00143F13" w:rsidRDefault="002507D0" w:rsidP="006A00A2">
      <w:pPr>
        <w:pStyle w:val="BodyText"/>
      </w:pPr>
      <w:r>
        <w:t>Australian</w:t>
      </w:r>
      <w:r w:rsidR="00EE117B">
        <w:t xml:space="preserve"> Government</w:t>
      </w:r>
      <w:r>
        <w:t xml:space="preserve"> support </w:t>
      </w:r>
      <w:r w:rsidR="00133622">
        <w:t>contributed to the</w:t>
      </w:r>
      <w:r w:rsidR="004330C7">
        <w:t xml:space="preserve"> 5Cs </w:t>
      </w:r>
      <w:r w:rsidR="004330C7" w:rsidRPr="00712902">
        <w:t>($5 million)</w:t>
      </w:r>
      <w:r w:rsidR="004330C7">
        <w:t xml:space="preserve"> </w:t>
      </w:r>
      <w:r>
        <w:t>enabling a</w:t>
      </w:r>
      <w:r w:rsidR="00CE3AA0">
        <w:t xml:space="preserve"> </w:t>
      </w:r>
      <w:r w:rsidR="001C65C4" w:rsidRPr="00A15480">
        <w:t xml:space="preserve">substantial increase in </w:t>
      </w:r>
      <w:r w:rsidR="00133622">
        <w:t xml:space="preserve">the </w:t>
      </w:r>
      <w:r w:rsidR="001C65C4" w:rsidRPr="00A15480">
        <w:t>capacity o</w:t>
      </w:r>
      <w:r w:rsidR="00736297" w:rsidRPr="00A15480">
        <w:t xml:space="preserve">f the </w:t>
      </w:r>
      <w:r w:rsidR="004330C7">
        <w:t xml:space="preserve">centre </w:t>
      </w:r>
      <w:r w:rsidR="008222A6" w:rsidRPr="00A15480">
        <w:t xml:space="preserve">to </w:t>
      </w:r>
      <w:r w:rsidR="003C145A" w:rsidRPr="00A15480">
        <w:t>meet its mandate as a Centre</w:t>
      </w:r>
      <w:r w:rsidR="00A15480">
        <w:t xml:space="preserve"> for E</w:t>
      </w:r>
      <w:r w:rsidR="003C145A" w:rsidRPr="00A15480">
        <w:t xml:space="preserve">xcellence </w:t>
      </w:r>
      <w:r w:rsidR="00133622">
        <w:t>for</w:t>
      </w:r>
      <w:r w:rsidR="00133622" w:rsidRPr="00A15480">
        <w:t xml:space="preserve"> </w:t>
      </w:r>
      <w:r w:rsidR="001C65C4" w:rsidRPr="00A15480">
        <w:t>undertak</w:t>
      </w:r>
      <w:r w:rsidR="00133622">
        <w:t>ing</w:t>
      </w:r>
      <w:r w:rsidR="008222A6" w:rsidRPr="00A15480">
        <w:t xml:space="preserve"> climate</w:t>
      </w:r>
      <w:r w:rsidR="00133622">
        <w:t xml:space="preserve"> </w:t>
      </w:r>
      <w:r w:rsidR="008222A6" w:rsidRPr="00A15480">
        <w:t>research</w:t>
      </w:r>
      <w:r w:rsidR="006D0B40">
        <w:t xml:space="preserve">. </w:t>
      </w:r>
      <w:r w:rsidR="00CE3AA0">
        <w:t xml:space="preserve">The 5Cs </w:t>
      </w:r>
      <w:r w:rsidR="00DF579A">
        <w:t xml:space="preserve">has new capacity to attract additional program funds (Chart 2). This has led to </w:t>
      </w:r>
      <w:r w:rsidR="003C145A" w:rsidRPr="00A15480">
        <w:t>influenc</w:t>
      </w:r>
      <w:r w:rsidR="00DF579A">
        <w:t>ing</w:t>
      </w:r>
      <w:r w:rsidR="008222A6" w:rsidRPr="00A15480">
        <w:t xml:space="preserve"> regional development plans, </w:t>
      </w:r>
      <w:r w:rsidR="00DF579A">
        <w:t xml:space="preserve">and </w:t>
      </w:r>
      <w:r w:rsidR="008222A6" w:rsidRPr="00A15480">
        <w:t>policy and adaptation priorities</w:t>
      </w:r>
      <w:r w:rsidR="00DF579A">
        <w:t xml:space="preserve"> </w:t>
      </w:r>
      <w:r w:rsidR="00CE3AA0">
        <w:t>through</w:t>
      </w:r>
      <w:r w:rsidR="00414ED1">
        <w:t xml:space="preserve"> </w:t>
      </w:r>
      <w:r w:rsidR="00A92AEE">
        <w:t>r</w:t>
      </w:r>
      <w:r w:rsidR="001C65C4" w:rsidRPr="00A15480">
        <w:t>ecruitment</w:t>
      </w:r>
      <w:r w:rsidR="008222A6" w:rsidRPr="00A15480">
        <w:t xml:space="preserve"> of</w:t>
      </w:r>
      <w:r w:rsidR="00E02F43" w:rsidRPr="00A15480">
        <w:t xml:space="preserve"> technical, professional </w:t>
      </w:r>
      <w:r w:rsidR="008222A6" w:rsidRPr="00A15480">
        <w:t xml:space="preserve">and administrative personnel in </w:t>
      </w:r>
      <w:r w:rsidR="00414ED1">
        <w:t xml:space="preserve">the areas of </w:t>
      </w:r>
      <w:r w:rsidR="008222A6" w:rsidRPr="00A15480">
        <w:t>project d</w:t>
      </w:r>
      <w:r w:rsidR="00E02F43" w:rsidRPr="00A15480">
        <w:t>e</w:t>
      </w:r>
      <w:r w:rsidR="008222A6" w:rsidRPr="00A15480">
        <w:t>velopment and m</w:t>
      </w:r>
      <w:r w:rsidR="00E02F43" w:rsidRPr="00A15480">
        <w:t>anagement</w:t>
      </w:r>
      <w:r w:rsidR="00414ED1">
        <w:t xml:space="preserve">; </w:t>
      </w:r>
      <w:r w:rsidR="008222A6" w:rsidRPr="00A15480">
        <w:t>environmental economics and social impacts</w:t>
      </w:r>
      <w:r w:rsidR="00414ED1">
        <w:t xml:space="preserve">; </w:t>
      </w:r>
      <w:r w:rsidR="008222A6" w:rsidRPr="00A15480">
        <w:t>procurement</w:t>
      </w:r>
      <w:r w:rsidR="00414ED1">
        <w:t xml:space="preserve">; </w:t>
      </w:r>
      <w:r w:rsidR="008222A6" w:rsidRPr="00A15480">
        <w:t>financial management</w:t>
      </w:r>
      <w:r w:rsidR="00414ED1">
        <w:t xml:space="preserve">; </w:t>
      </w:r>
      <w:r w:rsidR="008222A6" w:rsidRPr="00A15480">
        <w:t>climate change science</w:t>
      </w:r>
      <w:r w:rsidR="00414ED1">
        <w:t xml:space="preserve">; and </w:t>
      </w:r>
      <w:r w:rsidR="008222A6" w:rsidRPr="00A15480">
        <w:t>public education</w:t>
      </w:r>
      <w:r w:rsidR="00E02F43" w:rsidRPr="00A15480">
        <w:t xml:space="preserve">. </w:t>
      </w:r>
    </w:p>
    <w:p w:rsidR="00A15480" w:rsidRDefault="000E2CF7" w:rsidP="006A00A2">
      <w:pPr>
        <w:pStyle w:val="BodyText"/>
      </w:pPr>
      <w:r>
        <w:br/>
      </w:r>
      <w:r w:rsidR="0038224D" w:rsidRPr="00143F13">
        <w:t xml:space="preserve">In the past 18 months, </w:t>
      </w:r>
      <w:r w:rsidR="00CC229F">
        <w:t>5Cs</w:t>
      </w:r>
      <w:r w:rsidR="0038224D" w:rsidRPr="00143F13">
        <w:t xml:space="preserve"> increased </w:t>
      </w:r>
      <w:r w:rsidR="00135F7D" w:rsidRPr="00143F13">
        <w:t>its</w:t>
      </w:r>
      <w:r w:rsidR="0038224D" w:rsidRPr="00143F13">
        <w:t xml:space="preserve"> staff from 10 to 46. </w:t>
      </w:r>
      <w:r w:rsidR="00143F13">
        <w:t xml:space="preserve">It </w:t>
      </w:r>
      <w:r w:rsidR="00A15480" w:rsidRPr="00143F13">
        <w:t>has been successful in securing</w:t>
      </w:r>
      <w:r w:rsidR="00E02F43" w:rsidRPr="00143F13">
        <w:t xml:space="preserve"> additional </w:t>
      </w:r>
      <w:r w:rsidR="00A92AEE" w:rsidRPr="00143F13">
        <w:t xml:space="preserve">funding </w:t>
      </w:r>
      <w:r w:rsidR="0080274D" w:rsidRPr="00143F13">
        <w:t xml:space="preserve">(US$20 million) </w:t>
      </w:r>
      <w:r w:rsidR="0038224D" w:rsidRPr="00143F13">
        <w:t xml:space="preserve">for programs to be implemented in Member States under </w:t>
      </w:r>
      <w:r w:rsidR="00CC229F">
        <w:t>the 5Cs</w:t>
      </w:r>
      <w:r w:rsidR="0038224D" w:rsidRPr="00143F13">
        <w:t xml:space="preserve"> management, and increas</w:t>
      </w:r>
      <w:r w:rsidR="00143F13">
        <w:t>ing</w:t>
      </w:r>
      <w:r w:rsidR="0038224D" w:rsidRPr="00143F13">
        <w:t xml:space="preserve"> annual project funds under management.</w:t>
      </w:r>
    </w:p>
    <w:p w:rsidR="00730025" w:rsidRDefault="00730025">
      <w:pPr>
        <w:spacing w:after="200" w:line="276" w:lineRule="auto"/>
        <w:rPr>
          <w:rFonts w:ascii="Arial" w:eastAsia="Times New Roman" w:hAnsi="Arial" w:cs="Arial"/>
          <w:color w:val="7E6D5F"/>
          <w:szCs w:val="19"/>
        </w:rPr>
      </w:pPr>
      <w:r>
        <w:br w:type="page"/>
      </w:r>
    </w:p>
    <w:p w:rsidR="006A00A2" w:rsidRPr="00B85B1A" w:rsidRDefault="006A00A2" w:rsidP="006A00A2">
      <w:pPr>
        <w:pStyle w:val="Caption"/>
      </w:pPr>
      <w:r w:rsidRPr="006A1097">
        <w:lastRenderedPageBreak/>
        <w:t xml:space="preserve">Chart </w:t>
      </w:r>
      <w:r>
        <w:t>2</w:t>
      </w:r>
      <w:r w:rsidRPr="006A1097">
        <w:t xml:space="preserve">: </w:t>
      </w:r>
      <w:bookmarkStart w:id="1" w:name="_Toc341108581"/>
      <w:r>
        <w:t xml:space="preserve">5Cs’ </w:t>
      </w:r>
      <w:r w:rsidRPr="00B85B1A">
        <w:t>new capacity to attract additional program funds</w:t>
      </w:r>
      <w:bookmarkEnd w:id="1"/>
    </w:p>
    <w:p w:rsidR="0058293B" w:rsidRDefault="0058293B" w:rsidP="00730025">
      <w:pPr>
        <w:rPr>
          <w:sz w:val="16"/>
          <w:szCs w:val="16"/>
        </w:rPr>
      </w:pPr>
      <w:r w:rsidRPr="008A28AF">
        <w:rPr>
          <w:noProof/>
          <w:sz w:val="16"/>
          <w:szCs w:val="16"/>
        </w:rPr>
        <w:drawing>
          <wp:inline distT="0" distB="0" distL="0" distR="0" wp14:anchorId="09641EC6" wp14:editId="60FD4182">
            <wp:extent cx="4294800" cy="24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4800" cy="2462400"/>
                    </a:xfrm>
                    <a:prstGeom prst="rect">
                      <a:avLst/>
                    </a:prstGeom>
                    <a:noFill/>
                    <a:ln>
                      <a:noFill/>
                    </a:ln>
                  </pic:spPr>
                </pic:pic>
              </a:graphicData>
            </a:graphic>
          </wp:inline>
        </w:drawing>
      </w:r>
    </w:p>
    <w:p w:rsidR="0058293B" w:rsidRDefault="0058293B" w:rsidP="00443945">
      <w:pPr>
        <w:pStyle w:val="Note"/>
      </w:pPr>
      <w:r w:rsidRPr="00182585">
        <w:t>Source</w:t>
      </w:r>
      <w:r>
        <w:t>s</w:t>
      </w:r>
      <w:r w:rsidRPr="00182585">
        <w:t>:</w:t>
      </w:r>
      <w:r>
        <w:t xml:space="preserve"> </w:t>
      </w:r>
      <w:r w:rsidR="00CC229F">
        <w:t>5Cs</w:t>
      </w:r>
      <w:r>
        <w:t xml:space="preserve"> (2012)</w:t>
      </w:r>
      <w:r w:rsidR="00CE3AA0">
        <w:t>,</w:t>
      </w:r>
      <w:r>
        <w:t xml:space="preserve"> </w:t>
      </w:r>
      <w:r w:rsidR="00CE3AA0">
        <w:t>p</w:t>
      </w:r>
      <w:r>
        <w:t xml:space="preserve">rogress report and evaluation interviews with </w:t>
      </w:r>
      <w:r w:rsidR="00CC229F">
        <w:t>5Cs</w:t>
      </w:r>
      <w:r>
        <w:t xml:space="preserve"> staff</w:t>
      </w:r>
      <w:r w:rsidR="00CE3AA0">
        <w:t>, 22</w:t>
      </w:r>
      <w:r>
        <w:t xml:space="preserve"> October 2012</w:t>
      </w:r>
      <w:r w:rsidRPr="00182585">
        <w:t>.</w:t>
      </w:r>
    </w:p>
    <w:p w:rsidR="0038224D" w:rsidRDefault="0038224D" w:rsidP="00163828">
      <w:pPr>
        <w:pStyle w:val="ListParagraph"/>
        <w:numPr>
          <w:ilvl w:val="0"/>
          <w:numId w:val="0"/>
        </w:numPr>
      </w:pPr>
    </w:p>
    <w:p w:rsidR="00143F13" w:rsidRDefault="006D0B40" w:rsidP="00443945">
      <w:pPr>
        <w:pStyle w:val="Heading3"/>
      </w:pPr>
      <w:r w:rsidRPr="006D0B40">
        <w:t>Caribbean Disaster and Emergency Management Agency</w:t>
      </w:r>
    </w:p>
    <w:p w:rsidR="002B01B4" w:rsidRDefault="001C65C4" w:rsidP="00443945">
      <w:pPr>
        <w:pStyle w:val="BodyText"/>
      </w:pPr>
      <w:r>
        <w:t>M</w:t>
      </w:r>
      <w:r w:rsidR="00A92AEE">
        <w:t>ember S</w:t>
      </w:r>
      <w:r w:rsidR="00E02F43" w:rsidRPr="00BD2BAF">
        <w:t>tates have</w:t>
      </w:r>
      <w:r w:rsidR="003C145A">
        <w:t xml:space="preserve"> strengthened </w:t>
      </w:r>
      <w:r w:rsidR="00B85B1A">
        <w:t>disaster risk reduction</w:t>
      </w:r>
      <w:r w:rsidR="003C145A">
        <w:t xml:space="preserve"> capacity</w:t>
      </w:r>
      <w:r>
        <w:t xml:space="preserve"> </w:t>
      </w:r>
      <w:r w:rsidR="00A15480">
        <w:t>by</w:t>
      </w:r>
      <w:r w:rsidR="002B01B4">
        <w:t>:</w:t>
      </w:r>
    </w:p>
    <w:p w:rsidR="002B01B4" w:rsidRDefault="00A15480" w:rsidP="00443945">
      <w:pPr>
        <w:pStyle w:val="ListBullet"/>
      </w:pPr>
      <w:r>
        <w:t>integrating</w:t>
      </w:r>
      <w:r w:rsidR="001C65C4">
        <w:t xml:space="preserve"> </w:t>
      </w:r>
      <w:r w:rsidR="00CE3AA0">
        <w:t>disaster risk reduction</w:t>
      </w:r>
      <w:r w:rsidR="00CE3AA0" w:rsidRPr="00BD2BAF">
        <w:t xml:space="preserve"> </w:t>
      </w:r>
      <w:r w:rsidR="00E02F43" w:rsidRPr="00BD2BAF">
        <w:t>measures</w:t>
      </w:r>
      <w:r w:rsidR="003C145A">
        <w:t xml:space="preserve"> </w:t>
      </w:r>
      <w:r w:rsidR="00D375B2">
        <w:t xml:space="preserve">into </w:t>
      </w:r>
      <w:r w:rsidR="00E02F43" w:rsidRPr="00BD2BAF">
        <w:t>capital projects</w:t>
      </w:r>
    </w:p>
    <w:p w:rsidR="002B01B4" w:rsidRDefault="001C65C4" w:rsidP="00443945">
      <w:pPr>
        <w:pStyle w:val="ListBullet"/>
      </w:pPr>
      <w:r>
        <w:t xml:space="preserve">introducing </w:t>
      </w:r>
      <w:r w:rsidR="00E02F43" w:rsidRPr="00BD2BAF">
        <w:t>annual simulation exercises</w:t>
      </w:r>
    </w:p>
    <w:p w:rsidR="002B01B4" w:rsidRDefault="001C65C4" w:rsidP="00443945">
      <w:pPr>
        <w:pStyle w:val="ListBullet"/>
      </w:pPr>
      <w:r>
        <w:t>updating</w:t>
      </w:r>
      <w:r w:rsidR="00E02F43" w:rsidRPr="00BD2BAF">
        <w:t xml:space="preserve"> disaster management polici</w:t>
      </w:r>
      <w:r>
        <w:t>es and legislation</w:t>
      </w:r>
    </w:p>
    <w:p w:rsidR="002B01B4" w:rsidRDefault="001C65C4" w:rsidP="00443945">
      <w:pPr>
        <w:pStyle w:val="ListBullet"/>
      </w:pPr>
      <w:r>
        <w:t>strengthening</w:t>
      </w:r>
      <w:r w:rsidR="00E02F43" w:rsidRPr="00BD2BAF">
        <w:t xml:space="preserve"> search and rescue capabilities</w:t>
      </w:r>
    </w:p>
    <w:p w:rsidR="002B01B4" w:rsidRDefault="00E02F43" w:rsidP="00443945">
      <w:pPr>
        <w:pStyle w:val="ListBullet"/>
      </w:pPr>
      <w:r w:rsidRPr="00BD2BAF">
        <w:t>complet</w:t>
      </w:r>
      <w:r w:rsidR="001C65C4">
        <w:t>ing</w:t>
      </w:r>
      <w:r w:rsidRPr="00BD2BAF">
        <w:t xml:space="preserve"> information and communicati</w:t>
      </w:r>
      <w:r w:rsidR="00A15480">
        <w:t>on technology upgrades</w:t>
      </w:r>
    </w:p>
    <w:p w:rsidR="002B01B4" w:rsidRDefault="00A15480" w:rsidP="00443945">
      <w:pPr>
        <w:pStyle w:val="ListBullet"/>
      </w:pPr>
      <w:r>
        <w:t>improving</w:t>
      </w:r>
      <w:r w:rsidR="00E02F43" w:rsidRPr="00BD2BAF">
        <w:t xml:space="preserve"> national response coordination functions</w:t>
      </w:r>
    </w:p>
    <w:p w:rsidR="002B01B4" w:rsidRDefault="002B01B4" w:rsidP="00443945">
      <w:pPr>
        <w:pStyle w:val="ListBullet"/>
      </w:pPr>
      <w:proofErr w:type="gramStart"/>
      <w:r>
        <w:t>starting</w:t>
      </w:r>
      <w:proofErr w:type="gramEnd"/>
      <w:r w:rsidR="00E02F43" w:rsidRPr="00BD2BAF">
        <w:t xml:space="preserve"> to standardise training across the region</w:t>
      </w:r>
      <w:r>
        <w:t>.</w:t>
      </w:r>
      <w:r w:rsidR="00E02F43" w:rsidRPr="00DE1130">
        <w:rPr>
          <w:rStyle w:val="FootnoteReference"/>
        </w:rPr>
        <w:footnoteReference w:id="15"/>
      </w:r>
      <w:r w:rsidR="00262919">
        <w:t xml:space="preserve"> </w:t>
      </w:r>
    </w:p>
    <w:p w:rsidR="00E02F43" w:rsidRDefault="00DC4141" w:rsidP="00443945">
      <w:pPr>
        <w:pStyle w:val="BodyText"/>
      </w:pPr>
      <w:r w:rsidRPr="002B01B4">
        <w:t xml:space="preserve">Model comprehensive disaster management policy and legislation has been developed by CDEMA and </w:t>
      </w:r>
      <w:r w:rsidR="000806D9" w:rsidRPr="002B01B4">
        <w:t xml:space="preserve">recently </w:t>
      </w:r>
      <w:r w:rsidRPr="002B01B4">
        <w:t xml:space="preserve">implemented in three </w:t>
      </w:r>
      <w:r w:rsidR="000806D9" w:rsidRPr="002B01B4">
        <w:t>Member States</w:t>
      </w:r>
      <w:r w:rsidRPr="002B01B4">
        <w:t xml:space="preserve"> (Antigua and Barbuda, Saint Vincent and the Grenadines</w:t>
      </w:r>
      <w:r w:rsidR="00C113BD">
        <w:t>,</w:t>
      </w:r>
      <w:r w:rsidRPr="002B01B4">
        <w:t xml:space="preserve"> and Saint Lucia). CDEMA report</w:t>
      </w:r>
      <w:r w:rsidR="000806D9" w:rsidRPr="002B01B4">
        <w:t>s</w:t>
      </w:r>
      <w:r w:rsidR="00A425C1" w:rsidRPr="002B01B4">
        <w:t xml:space="preserve"> demonstrat</w:t>
      </w:r>
      <w:r w:rsidR="000806D9" w:rsidRPr="002B01B4">
        <w:t>e</w:t>
      </w:r>
      <w:r w:rsidR="00A425C1" w:rsidRPr="002B01B4">
        <w:t xml:space="preserve"> </w:t>
      </w:r>
      <w:r w:rsidRPr="002B01B4">
        <w:t xml:space="preserve">that </w:t>
      </w:r>
      <w:r w:rsidR="006D0B40">
        <w:t>disaster risk reduction</w:t>
      </w:r>
      <w:r w:rsidRPr="002B01B4">
        <w:t xml:space="preserve"> </w:t>
      </w:r>
      <w:r w:rsidR="00C27D0F">
        <w:t>is being</w:t>
      </w:r>
      <w:r w:rsidRPr="002B01B4">
        <w:t xml:space="preserve"> integrated into </w:t>
      </w:r>
      <w:r w:rsidR="002B01B4">
        <w:t>agriculture, education and health</w:t>
      </w:r>
      <w:r w:rsidR="002B01B4" w:rsidRPr="002B01B4">
        <w:t xml:space="preserve"> </w:t>
      </w:r>
      <w:r w:rsidRPr="002B01B4">
        <w:t xml:space="preserve">sectors </w:t>
      </w:r>
      <w:r w:rsidR="002B01B4">
        <w:t>across</w:t>
      </w:r>
      <w:r w:rsidR="002B01B4" w:rsidRPr="002B01B4">
        <w:t xml:space="preserve"> </w:t>
      </w:r>
      <w:r w:rsidRPr="002B01B4">
        <w:t xml:space="preserve">the region. </w:t>
      </w:r>
      <w:r w:rsidR="00935383" w:rsidRPr="002B01B4">
        <w:t>Policy tools have been designed, model legislation approved by CDEMA</w:t>
      </w:r>
      <w:r w:rsidR="002B01B4">
        <w:t>’s</w:t>
      </w:r>
      <w:r w:rsidR="00935383" w:rsidRPr="002B01B4">
        <w:t xml:space="preserve"> governing council</w:t>
      </w:r>
      <w:r w:rsidR="00B85B1A">
        <w:t>,</w:t>
      </w:r>
      <w:r w:rsidR="00935383" w:rsidRPr="002B01B4">
        <w:t xml:space="preserve"> and several Member States are institutionalising the new arrangements</w:t>
      </w:r>
      <w:r w:rsidR="00262919" w:rsidRPr="002B01B4">
        <w:t xml:space="preserve">. </w:t>
      </w:r>
      <w:r w:rsidR="00C27D0F">
        <w:t>There have been f</w:t>
      </w:r>
      <w:r w:rsidR="00291EA7" w:rsidRPr="002B01B4">
        <w:t>urther achievements</w:t>
      </w:r>
      <w:r w:rsidR="00527523">
        <w:t xml:space="preserve"> </w:t>
      </w:r>
      <w:r w:rsidR="00E3269D">
        <w:t xml:space="preserve">in </w:t>
      </w:r>
      <w:r w:rsidR="00291EA7" w:rsidRPr="002B01B4">
        <w:t>build</w:t>
      </w:r>
      <w:r w:rsidR="00C27D0F">
        <w:t>ing</w:t>
      </w:r>
      <w:r w:rsidR="00291EA7" w:rsidRPr="002B01B4">
        <w:t xml:space="preserve"> regional knowledge and</w:t>
      </w:r>
      <w:r w:rsidR="00E3269D">
        <w:t xml:space="preserve"> the</w:t>
      </w:r>
      <w:r w:rsidR="00291EA7" w:rsidRPr="002B01B4">
        <w:t xml:space="preserve"> capacity to effectively manage climate change impacts and </w:t>
      </w:r>
      <w:r w:rsidR="006D0B40">
        <w:t>disaster risk reduction</w:t>
      </w:r>
      <w:r w:rsidR="00E3269D">
        <w:t>. This includes</w:t>
      </w:r>
      <w:r w:rsidR="00C27D0F">
        <w:t xml:space="preserve"> in the areas of </w:t>
      </w:r>
      <w:r w:rsidR="00E3269D">
        <w:t xml:space="preserve">conducting </w:t>
      </w:r>
      <w:r w:rsidR="00C27D0F">
        <w:t xml:space="preserve">economic assessments of the impacts of climate change, supporting scholarship studies in climate change and resource management, </w:t>
      </w:r>
      <w:r w:rsidR="00E3269D">
        <w:t xml:space="preserve">conducting </w:t>
      </w:r>
      <w:r w:rsidR="0078276B">
        <w:t xml:space="preserve">climate research, </w:t>
      </w:r>
      <w:r w:rsidR="00C27D0F">
        <w:t xml:space="preserve">and </w:t>
      </w:r>
      <w:r w:rsidR="00E913EE" w:rsidRPr="00553AF6">
        <w:t>building a regional approach to managing the use of coral reef resources</w:t>
      </w:r>
      <w:r w:rsidR="00C27D0F">
        <w:t>.</w:t>
      </w:r>
      <w:r w:rsidR="00291EA7" w:rsidRPr="002B01B4">
        <w:t xml:space="preserve"> </w:t>
      </w:r>
    </w:p>
    <w:p w:rsidR="008B4645" w:rsidRDefault="00A15480" w:rsidP="00443945">
      <w:pPr>
        <w:pStyle w:val="BodyText"/>
      </w:pPr>
      <w:r>
        <w:t>S</w:t>
      </w:r>
      <w:r w:rsidR="00D375B2" w:rsidRPr="009823DD">
        <w:t>ectoral models of economic impact from climate change</w:t>
      </w:r>
      <w:r w:rsidR="00D375B2">
        <w:t>,</w:t>
      </w:r>
      <w:r w:rsidR="00D375B2" w:rsidRPr="009823DD">
        <w:t xml:space="preserve"> prepared by </w:t>
      </w:r>
      <w:r w:rsidR="00D375B2">
        <w:t>the</w:t>
      </w:r>
      <w:r w:rsidR="00160D2E">
        <w:t xml:space="preserve"> United Nations Economic Commission for Latin America and the Caribbean and </w:t>
      </w:r>
      <w:r w:rsidR="00D375B2">
        <w:t>supported</w:t>
      </w:r>
      <w:r>
        <w:t xml:space="preserve"> </w:t>
      </w:r>
      <w:r w:rsidR="00D375B2">
        <w:t>by Australia and</w:t>
      </w:r>
      <w:r w:rsidR="00BB212F">
        <w:t xml:space="preserve"> the</w:t>
      </w:r>
      <w:r w:rsidR="00D375B2">
        <w:t xml:space="preserve"> U</w:t>
      </w:r>
      <w:r w:rsidR="00BB212F">
        <w:t>nited Kingdom</w:t>
      </w:r>
      <w:r w:rsidR="00160D2E">
        <w:t>,</w:t>
      </w:r>
      <w:r w:rsidR="00D375B2">
        <w:t xml:space="preserve"> </w:t>
      </w:r>
      <w:r w:rsidR="000806D9">
        <w:t>have quantified</w:t>
      </w:r>
      <w:r w:rsidR="00D375B2" w:rsidRPr="00C748F7">
        <w:t xml:space="preserve"> the likely economic and social impacts of climate change on energy, marine resources, health, agriculture, water and tourism</w:t>
      </w:r>
      <w:r w:rsidR="00BB212F">
        <w:t>.</w:t>
      </w:r>
      <w:r w:rsidR="00413622">
        <w:rPr>
          <w:rStyle w:val="FootnoteReference"/>
        </w:rPr>
        <w:footnoteReference w:id="16"/>
      </w:r>
      <w:r w:rsidR="00E02F43">
        <w:t xml:space="preserve"> </w:t>
      </w:r>
    </w:p>
    <w:p w:rsidR="00E02F43" w:rsidRDefault="00D20E02" w:rsidP="00443945">
      <w:pPr>
        <w:pStyle w:val="BodyText"/>
      </w:pPr>
      <w:r>
        <w:lastRenderedPageBreak/>
        <w:t>F</w:t>
      </w:r>
      <w:r w:rsidR="00E02F43" w:rsidRPr="0085230F">
        <w:t xml:space="preserve">inancial support to </w:t>
      </w:r>
      <w:r w:rsidR="0055428E">
        <w:t xml:space="preserve">eight </w:t>
      </w:r>
      <w:r w:rsidR="00E02F43" w:rsidRPr="0085230F">
        <w:t>postgraduate scholarships for study with the University of West Indies</w:t>
      </w:r>
      <w:r w:rsidR="00E02F43">
        <w:t>,</w:t>
      </w:r>
      <w:r w:rsidR="00B967D1">
        <w:t xml:space="preserve"> </w:t>
      </w:r>
      <w:r w:rsidR="00E02F43" w:rsidRPr="0085230F">
        <w:t xml:space="preserve">at the Centre for Resource Management </w:t>
      </w:r>
      <w:r w:rsidR="00E3269D">
        <w:t>and</w:t>
      </w:r>
      <w:r w:rsidR="00E02F43" w:rsidRPr="0085230F">
        <w:t xml:space="preserve"> Environmental Studies</w:t>
      </w:r>
      <w:r w:rsidR="00160D2E">
        <w:t xml:space="preserve"> </w:t>
      </w:r>
      <w:r w:rsidR="00E02F43" w:rsidRPr="0085230F">
        <w:t xml:space="preserve">at </w:t>
      </w:r>
      <w:r w:rsidR="00BB212F">
        <w:t>the university</w:t>
      </w:r>
      <w:r w:rsidR="00BB212F" w:rsidRPr="00D20E02">
        <w:t xml:space="preserve"> </w:t>
      </w:r>
      <w:r w:rsidR="005E0C56">
        <w:t xml:space="preserve">is </w:t>
      </w:r>
      <w:r w:rsidRPr="0085230F">
        <w:t>increasing regional climate change knowledge</w:t>
      </w:r>
      <w:r>
        <w:t xml:space="preserve"> through</w:t>
      </w:r>
      <w:r w:rsidR="00291EA7">
        <w:t xml:space="preserve"> formal</w:t>
      </w:r>
      <w:r>
        <w:t xml:space="preserve"> education and research</w:t>
      </w:r>
      <w:r w:rsidR="00BB212F">
        <w:t>.</w:t>
      </w:r>
      <w:r w:rsidR="0055428E">
        <w:rPr>
          <w:rStyle w:val="FootnoteReference"/>
        </w:rPr>
        <w:footnoteReference w:id="17"/>
      </w:r>
    </w:p>
    <w:p w:rsidR="00E02F43" w:rsidRPr="00780A6E" w:rsidRDefault="008B4645" w:rsidP="00443945">
      <w:pPr>
        <w:pStyle w:val="BodyText"/>
        <w:rPr>
          <w:szCs w:val="22"/>
        </w:rPr>
      </w:pPr>
      <w:r w:rsidRPr="00A11616">
        <w:rPr>
          <w:szCs w:val="22"/>
        </w:rPr>
        <w:t>A</w:t>
      </w:r>
      <w:r w:rsidR="00E02F43" w:rsidRPr="00A11616">
        <w:rPr>
          <w:szCs w:val="22"/>
        </w:rPr>
        <w:t xml:space="preserve"> Regional Plan of Action</w:t>
      </w:r>
      <w:r w:rsidR="00DF579A">
        <w:rPr>
          <w:szCs w:val="22"/>
        </w:rPr>
        <w:t xml:space="preserve"> for Reducing Coral Reef Vulnerability to Climate Change</w:t>
      </w:r>
      <w:r w:rsidR="00DF52E5" w:rsidRPr="00A11616">
        <w:rPr>
          <w:szCs w:val="22"/>
        </w:rPr>
        <w:t xml:space="preserve"> </w:t>
      </w:r>
      <w:r w:rsidRPr="00A11616">
        <w:rPr>
          <w:szCs w:val="22"/>
        </w:rPr>
        <w:t>and five demonstration projects are being developed,</w:t>
      </w:r>
      <w:r w:rsidR="00DF52E5" w:rsidRPr="00A11616">
        <w:rPr>
          <w:szCs w:val="22"/>
        </w:rPr>
        <w:t xml:space="preserve"> with the support of the Great Barrier Reef Marine Park Authority</w:t>
      </w:r>
      <w:r w:rsidR="006D0B40" w:rsidRPr="00A11616">
        <w:rPr>
          <w:szCs w:val="22"/>
        </w:rPr>
        <w:t>. These will</w:t>
      </w:r>
      <w:r w:rsidR="00DF52E5" w:rsidRPr="00A11616">
        <w:rPr>
          <w:szCs w:val="22"/>
        </w:rPr>
        <w:t xml:space="preserve"> detail</w:t>
      </w:r>
      <w:r w:rsidRPr="00A11616">
        <w:rPr>
          <w:szCs w:val="22"/>
        </w:rPr>
        <w:t xml:space="preserve"> key issues, priorities</w:t>
      </w:r>
      <w:r w:rsidR="00E02F43" w:rsidRPr="00A11616">
        <w:rPr>
          <w:szCs w:val="22"/>
        </w:rPr>
        <w:t xml:space="preserve"> and activities to help Caribbean coral reef managers and policymakers understand and respond to </w:t>
      </w:r>
      <w:r w:rsidRPr="00A11616">
        <w:rPr>
          <w:szCs w:val="22"/>
        </w:rPr>
        <w:t xml:space="preserve">climate change </w:t>
      </w:r>
      <w:r w:rsidR="00E02F43" w:rsidRPr="00A11616">
        <w:rPr>
          <w:szCs w:val="22"/>
        </w:rPr>
        <w:t>risks</w:t>
      </w:r>
      <w:r w:rsidRPr="00A11616">
        <w:rPr>
          <w:szCs w:val="22"/>
        </w:rPr>
        <w:t>.</w:t>
      </w:r>
      <w:r w:rsidR="00E02F43" w:rsidRPr="00A11616">
        <w:rPr>
          <w:szCs w:val="22"/>
        </w:rPr>
        <w:t xml:space="preserve"> In Belize</w:t>
      </w:r>
      <w:r w:rsidRPr="00A11616">
        <w:rPr>
          <w:szCs w:val="22"/>
        </w:rPr>
        <w:t>,</w:t>
      </w:r>
      <w:r w:rsidR="00E02F43" w:rsidRPr="00A11616">
        <w:rPr>
          <w:szCs w:val="22"/>
        </w:rPr>
        <w:t xml:space="preserve"> </w:t>
      </w:r>
      <w:r w:rsidR="00160D2E" w:rsidRPr="00A11616">
        <w:rPr>
          <w:szCs w:val="22"/>
        </w:rPr>
        <w:t>f</w:t>
      </w:r>
      <w:r w:rsidR="00E02F43" w:rsidRPr="00A11616">
        <w:rPr>
          <w:szCs w:val="22"/>
        </w:rPr>
        <w:t xml:space="preserve">isheries and </w:t>
      </w:r>
      <w:r w:rsidR="00160D2E" w:rsidRPr="00A11616">
        <w:rPr>
          <w:szCs w:val="22"/>
        </w:rPr>
        <w:t>coastal z</w:t>
      </w:r>
      <w:r w:rsidR="00E02F43" w:rsidRPr="00A11616">
        <w:rPr>
          <w:szCs w:val="22"/>
        </w:rPr>
        <w:t xml:space="preserve">one management authorities </w:t>
      </w:r>
      <w:r w:rsidRPr="00A11616">
        <w:rPr>
          <w:szCs w:val="22"/>
        </w:rPr>
        <w:t>are exploring</w:t>
      </w:r>
      <w:r w:rsidR="00E02F43" w:rsidRPr="00A11616">
        <w:rPr>
          <w:szCs w:val="22"/>
        </w:rPr>
        <w:t xml:space="preserve"> biodiversity offsets. In St Lucia</w:t>
      </w:r>
      <w:r w:rsidR="00160D2E" w:rsidRPr="00A11616">
        <w:rPr>
          <w:szCs w:val="22"/>
        </w:rPr>
        <w:t>,</w:t>
      </w:r>
      <w:r w:rsidR="00E02F43" w:rsidRPr="00A11616">
        <w:rPr>
          <w:szCs w:val="22"/>
        </w:rPr>
        <w:t xml:space="preserve"> the program </w:t>
      </w:r>
      <w:r w:rsidRPr="00A11616">
        <w:rPr>
          <w:szCs w:val="22"/>
        </w:rPr>
        <w:t xml:space="preserve">is </w:t>
      </w:r>
      <w:r w:rsidR="00E02F43" w:rsidRPr="00A11616">
        <w:rPr>
          <w:szCs w:val="22"/>
        </w:rPr>
        <w:t xml:space="preserve">assisting the national government to strategically address risks to marine heritage and community livelihoods. </w:t>
      </w:r>
      <w:r w:rsidR="00291EA7" w:rsidRPr="00A11616">
        <w:rPr>
          <w:szCs w:val="22"/>
        </w:rPr>
        <w:t>Through new p</w:t>
      </w:r>
      <w:r w:rsidR="00D574D0" w:rsidRPr="00A11616">
        <w:rPr>
          <w:szCs w:val="22"/>
        </w:rPr>
        <w:t>rogram p</w:t>
      </w:r>
      <w:r w:rsidR="00E02F43" w:rsidRPr="00A11616">
        <w:rPr>
          <w:szCs w:val="22"/>
        </w:rPr>
        <w:t>artnership</w:t>
      </w:r>
      <w:r w:rsidR="00D574D0" w:rsidRPr="00A11616">
        <w:rPr>
          <w:szCs w:val="22"/>
        </w:rPr>
        <w:t>s</w:t>
      </w:r>
      <w:r w:rsidR="00160D2E" w:rsidRPr="00A11616">
        <w:rPr>
          <w:szCs w:val="22"/>
        </w:rPr>
        <w:t>,</w:t>
      </w:r>
      <w:r w:rsidR="00E02F43" w:rsidRPr="00A11616">
        <w:rPr>
          <w:szCs w:val="22"/>
        </w:rPr>
        <w:t xml:space="preserve"> </w:t>
      </w:r>
      <w:r w:rsidR="00D574D0" w:rsidRPr="00A11616">
        <w:rPr>
          <w:szCs w:val="22"/>
        </w:rPr>
        <w:t xml:space="preserve">regional </w:t>
      </w:r>
      <w:r w:rsidR="00C814BE">
        <w:rPr>
          <w:szCs w:val="22"/>
        </w:rPr>
        <w:t>discussion</w:t>
      </w:r>
      <w:r w:rsidR="00C814BE" w:rsidRPr="00A11616">
        <w:rPr>
          <w:szCs w:val="22"/>
        </w:rPr>
        <w:t xml:space="preserve"> </w:t>
      </w:r>
      <w:r w:rsidR="00D574D0" w:rsidRPr="00A11616">
        <w:rPr>
          <w:szCs w:val="22"/>
        </w:rPr>
        <w:t>is</w:t>
      </w:r>
      <w:r w:rsidR="00E02F43" w:rsidRPr="00A11616">
        <w:rPr>
          <w:szCs w:val="22"/>
        </w:rPr>
        <w:t xml:space="preserve"> </w:t>
      </w:r>
      <w:r w:rsidRPr="00A11616">
        <w:rPr>
          <w:szCs w:val="22"/>
        </w:rPr>
        <w:t>facilitating</w:t>
      </w:r>
      <w:r w:rsidR="00E02F43" w:rsidRPr="00A11616">
        <w:rPr>
          <w:szCs w:val="22"/>
        </w:rPr>
        <w:t xml:space="preserve"> </w:t>
      </w:r>
      <w:r w:rsidR="00291EA7" w:rsidRPr="00A11616">
        <w:rPr>
          <w:szCs w:val="22"/>
        </w:rPr>
        <w:t xml:space="preserve">productive </w:t>
      </w:r>
      <w:r w:rsidR="00E02F43" w:rsidRPr="00A11616">
        <w:rPr>
          <w:szCs w:val="22"/>
        </w:rPr>
        <w:t>exchange between Aus</w:t>
      </w:r>
      <w:r w:rsidRPr="00A11616">
        <w:rPr>
          <w:szCs w:val="22"/>
        </w:rPr>
        <w:t>tralia and the Caribbean</w:t>
      </w:r>
      <w:r w:rsidR="00BB212F" w:rsidRPr="00A11616">
        <w:rPr>
          <w:szCs w:val="22"/>
        </w:rPr>
        <w:t xml:space="preserve"> and</w:t>
      </w:r>
      <w:r w:rsidRPr="00A11616">
        <w:rPr>
          <w:szCs w:val="22"/>
        </w:rPr>
        <w:t xml:space="preserve"> </w:t>
      </w:r>
      <w:r w:rsidR="00E02F43" w:rsidRPr="00A11616">
        <w:rPr>
          <w:szCs w:val="22"/>
        </w:rPr>
        <w:t>strengthen</w:t>
      </w:r>
      <w:r w:rsidRPr="00A11616">
        <w:rPr>
          <w:szCs w:val="22"/>
        </w:rPr>
        <w:t>ing</w:t>
      </w:r>
      <w:r w:rsidR="00E02F43" w:rsidRPr="00A11616">
        <w:rPr>
          <w:szCs w:val="22"/>
        </w:rPr>
        <w:t xml:space="preserve"> networks among coral reef managers in CARICOM nations</w:t>
      </w:r>
      <w:r w:rsidR="00BB212F" w:rsidRPr="00A11616">
        <w:rPr>
          <w:szCs w:val="22"/>
        </w:rPr>
        <w:t>. The part</w:t>
      </w:r>
      <w:r w:rsidR="006D0B40" w:rsidRPr="00A11616">
        <w:rPr>
          <w:szCs w:val="22"/>
        </w:rPr>
        <w:t>n</w:t>
      </w:r>
      <w:r w:rsidR="00BB212F" w:rsidRPr="00A11616">
        <w:rPr>
          <w:szCs w:val="22"/>
        </w:rPr>
        <w:t>erships are also</w:t>
      </w:r>
      <w:r w:rsidR="00E02F43" w:rsidRPr="00A11616">
        <w:rPr>
          <w:szCs w:val="22"/>
        </w:rPr>
        <w:t xml:space="preserve"> improv</w:t>
      </w:r>
      <w:r w:rsidR="00BB212F" w:rsidRPr="00A11616">
        <w:rPr>
          <w:szCs w:val="22"/>
        </w:rPr>
        <w:t>ing</w:t>
      </w:r>
      <w:r w:rsidR="00E02F43" w:rsidRPr="00A11616">
        <w:rPr>
          <w:szCs w:val="22"/>
        </w:rPr>
        <w:t xml:space="preserve"> coordination of donor investments in coral reef conservation</w:t>
      </w:r>
      <w:r w:rsidR="006D0B40" w:rsidRPr="00A11616">
        <w:rPr>
          <w:szCs w:val="22"/>
        </w:rPr>
        <w:t>. This is</w:t>
      </w:r>
      <w:r w:rsidR="00E02F43" w:rsidRPr="00A11616">
        <w:rPr>
          <w:szCs w:val="22"/>
        </w:rPr>
        <w:t xml:space="preserve"> leverag</w:t>
      </w:r>
      <w:r w:rsidR="00BB212F" w:rsidRPr="00A11616">
        <w:rPr>
          <w:szCs w:val="22"/>
        </w:rPr>
        <w:t>ing</w:t>
      </w:r>
      <w:r w:rsidR="00E02F43" w:rsidRPr="00A11616">
        <w:rPr>
          <w:szCs w:val="22"/>
        </w:rPr>
        <w:t xml:space="preserve"> much-needed international funding and contribut</w:t>
      </w:r>
      <w:r w:rsidR="00BB212F" w:rsidRPr="00A11616">
        <w:rPr>
          <w:szCs w:val="22"/>
        </w:rPr>
        <w:t>ing</w:t>
      </w:r>
      <w:r w:rsidR="00E02F43" w:rsidRPr="00A11616">
        <w:rPr>
          <w:szCs w:val="22"/>
        </w:rPr>
        <w:t xml:space="preserve"> to</w:t>
      </w:r>
      <w:r w:rsidR="00876BE9" w:rsidRPr="00A11616">
        <w:rPr>
          <w:szCs w:val="22"/>
        </w:rPr>
        <w:t xml:space="preserve"> the region-wide effort to build the adaptation capacities of Member States, </w:t>
      </w:r>
      <w:r w:rsidR="006D2149" w:rsidRPr="00A11616">
        <w:rPr>
          <w:szCs w:val="22"/>
        </w:rPr>
        <w:t xml:space="preserve">anchored by the </w:t>
      </w:r>
      <w:r w:rsidR="00876BE9" w:rsidRPr="00A11616">
        <w:rPr>
          <w:szCs w:val="22"/>
        </w:rPr>
        <w:t>Regional Framework for Achieving Developm</w:t>
      </w:r>
      <w:r w:rsidR="00553AF6" w:rsidRPr="00A11616">
        <w:rPr>
          <w:szCs w:val="22"/>
        </w:rPr>
        <w:t>ent Resilient to Climate Change</w:t>
      </w:r>
      <w:r w:rsidR="000908B9">
        <w:rPr>
          <w:szCs w:val="22"/>
        </w:rPr>
        <w:t>.</w:t>
      </w:r>
      <w:r w:rsidR="00E02F43" w:rsidRPr="00780A6E">
        <w:rPr>
          <w:rStyle w:val="FootnoteReference"/>
        </w:rPr>
        <w:footnoteReference w:id="18"/>
      </w:r>
    </w:p>
    <w:p w:rsidR="0055413E" w:rsidRPr="00D05CDC" w:rsidRDefault="00876BE9" w:rsidP="00443945">
      <w:pPr>
        <w:pStyle w:val="BodyText"/>
        <w:rPr>
          <w:szCs w:val="22"/>
        </w:rPr>
      </w:pPr>
      <w:r w:rsidRPr="00A11616">
        <w:rPr>
          <w:szCs w:val="22"/>
        </w:rPr>
        <w:t>CDEMA’s results in this reporting period are on track, and d</w:t>
      </w:r>
      <w:r w:rsidR="0055413E" w:rsidRPr="00A11616">
        <w:rPr>
          <w:szCs w:val="22"/>
        </w:rPr>
        <w:t xml:space="preserve">onor partners </w:t>
      </w:r>
      <w:r w:rsidRPr="00A11616">
        <w:rPr>
          <w:szCs w:val="22"/>
        </w:rPr>
        <w:t>continue</w:t>
      </w:r>
      <w:r w:rsidR="0055413E" w:rsidRPr="00A11616">
        <w:rPr>
          <w:szCs w:val="22"/>
        </w:rPr>
        <w:t xml:space="preserve"> to </w:t>
      </w:r>
      <w:r w:rsidR="008E1145" w:rsidRPr="00A11616">
        <w:rPr>
          <w:szCs w:val="22"/>
        </w:rPr>
        <w:t>emphasize</w:t>
      </w:r>
      <w:r w:rsidR="0055413E" w:rsidRPr="00A11616">
        <w:rPr>
          <w:szCs w:val="22"/>
        </w:rPr>
        <w:t xml:space="preserve"> the need for increased delivery of results on-the-ground</w:t>
      </w:r>
      <w:r w:rsidR="00E51733" w:rsidRPr="00A11616">
        <w:rPr>
          <w:szCs w:val="22"/>
        </w:rPr>
        <w:t>.</w:t>
      </w:r>
    </w:p>
    <w:p w:rsidR="00E02F43" w:rsidRDefault="00D574D0" w:rsidP="00DE3A7E">
      <w:pPr>
        <w:pStyle w:val="Heading2"/>
      </w:pPr>
      <w:r>
        <w:t xml:space="preserve">Future </w:t>
      </w:r>
      <w:r w:rsidR="00B967D1">
        <w:t>d</w:t>
      </w:r>
      <w:r>
        <w:t>irections</w:t>
      </w:r>
    </w:p>
    <w:p w:rsidR="00C814BE" w:rsidRDefault="00D574D0" w:rsidP="00E02F43">
      <w:pPr>
        <w:pStyle w:val="BodyText"/>
      </w:pPr>
      <w:r>
        <w:t>T</w:t>
      </w:r>
      <w:r w:rsidR="00E02F43">
        <w:t xml:space="preserve">he </w:t>
      </w:r>
      <w:r w:rsidR="006D0B40">
        <w:t xml:space="preserve">mid-term review and </w:t>
      </w:r>
      <w:r w:rsidR="0029382B">
        <w:t>QAI</w:t>
      </w:r>
      <w:r w:rsidR="006D0B40">
        <w:t xml:space="preserve"> report</w:t>
      </w:r>
      <w:r w:rsidR="00E02F43">
        <w:t xml:space="preserve"> </w:t>
      </w:r>
      <w:r w:rsidR="00A0163E">
        <w:t>identifie</w:t>
      </w:r>
      <w:r w:rsidR="006D0B40">
        <w:t>d</w:t>
      </w:r>
      <w:r w:rsidR="00A0163E">
        <w:t xml:space="preserve"> that whil</w:t>
      </w:r>
      <w:r w:rsidR="00BB212F">
        <w:t>e</w:t>
      </w:r>
      <w:r w:rsidR="00A0163E">
        <w:t xml:space="preserve"> activities with</w:t>
      </w:r>
      <w:r w:rsidR="00E02F43">
        <w:t xml:space="preserve"> the </w:t>
      </w:r>
      <w:r w:rsidR="00CC229F">
        <w:t>5Cs</w:t>
      </w:r>
      <w:r w:rsidR="00E02F43">
        <w:t xml:space="preserve"> and CDEMA</w:t>
      </w:r>
      <w:r w:rsidR="00A0163E">
        <w:t xml:space="preserve"> are performing well</w:t>
      </w:r>
      <w:r w:rsidR="00160D2E">
        <w:t xml:space="preserve"> overall</w:t>
      </w:r>
      <w:r w:rsidR="00A0163E">
        <w:t>,</w:t>
      </w:r>
      <w:r w:rsidR="00E02F43">
        <w:t xml:space="preserve"> there is a need to increase </w:t>
      </w:r>
      <w:r w:rsidR="00A0163E">
        <w:t xml:space="preserve">management </w:t>
      </w:r>
      <w:r w:rsidR="00E02F43">
        <w:t>focus on</w:t>
      </w:r>
      <w:r w:rsidR="00A0163E">
        <w:t xml:space="preserve"> </w:t>
      </w:r>
      <w:r w:rsidR="00E02F43">
        <w:t xml:space="preserve">development results. </w:t>
      </w:r>
    </w:p>
    <w:p w:rsidR="00BF5A11" w:rsidRDefault="006A17B8" w:rsidP="00E02F43">
      <w:pPr>
        <w:pStyle w:val="BodyText"/>
      </w:pPr>
      <w:r>
        <w:t xml:space="preserve">DFAT </w:t>
      </w:r>
      <w:r w:rsidR="00BB212F">
        <w:t>is</w:t>
      </w:r>
      <w:r w:rsidR="00A0163E">
        <w:t xml:space="preserve"> the Chair of the Management Advisory Committee </w:t>
      </w:r>
      <w:r w:rsidR="00E51733">
        <w:t xml:space="preserve">for CDEMA’s Comprehensive Disaster Management – Harmonised Improvement Program </w:t>
      </w:r>
      <w:r w:rsidR="006D0B40">
        <w:t>in 2013</w:t>
      </w:r>
      <w:r w:rsidR="00BB212F">
        <w:t xml:space="preserve">. </w:t>
      </w:r>
      <w:r w:rsidR="0071725D">
        <w:t xml:space="preserve">The department </w:t>
      </w:r>
      <w:r w:rsidR="007C2001">
        <w:t xml:space="preserve">will continue in our role as Chair </w:t>
      </w:r>
      <w:r w:rsidR="00A0163E">
        <w:t>to strengthen strategic engagement with partners around monitoring progress and</w:t>
      </w:r>
      <w:r w:rsidR="006D0B40">
        <w:t xml:space="preserve"> results of the</w:t>
      </w:r>
      <w:r w:rsidR="00A0163E">
        <w:t xml:space="preserve"> </w:t>
      </w:r>
      <w:r w:rsidR="006D0B40" w:rsidRPr="00AF5956">
        <w:rPr>
          <w:szCs w:val="22"/>
        </w:rPr>
        <w:t>donor-harmonised regional comprehensive disaster management program</w:t>
      </w:r>
      <w:r w:rsidR="00A0163E">
        <w:t>.</w:t>
      </w:r>
      <w:r w:rsidR="00BF5A11">
        <w:t xml:space="preserve"> </w:t>
      </w:r>
      <w:r>
        <w:t xml:space="preserve">DFAT </w:t>
      </w:r>
      <w:r w:rsidR="0011547C">
        <w:t>also</w:t>
      </w:r>
      <w:r w:rsidR="00BB212F">
        <w:t xml:space="preserve"> want</w:t>
      </w:r>
      <w:r w:rsidR="007C2001">
        <w:t>ed</w:t>
      </w:r>
      <w:r w:rsidR="00BB212F">
        <w:t xml:space="preserve"> to</w:t>
      </w:r>
      <w:r w:rsidR="0011547C">
        <w:t xml:space="preserve"> ensure</w:t>
      </w:r>
      <w:r w:rsidR="00BB212F">
        <w:t xml:space="preserve"> that</w:t>
      </w:r>
      <w:r w:rsidR="0011547C">
        <w:t xml:space="preserve"> le</w:t>
      </w:r>
      <w:r w:rsidR="00BB212F">
        <w:t>ssons learned</w:t>
      </w:r>
      <w:r w:rsidR="0011547C">
        <w:t xml:space="preserve"> from pooling management funding and reporting with DFID and CIDA </w:t>
      </w:r>
      <w:r w:rsidR="00C814BE">
        <w:t xml:space="preserve">are </w:t>
      </w:r>
      <w:r w:rsidR="0011547C">
        <w:t>captured, and that links to regional and international mechanisms are made.</w:t>
      </w:r>
    </w:p>
    <w:p w:rsidR="00E02F43" w:rsidRDefault="00A0163E" w:rsidP="00E02F43">
      <w:pPr>
        <w:pStyle w:val="BodyText"/>
      </w:pPr>
      <w:r>
        <w:t>Through quality process</w:t>
      </w:r>
      <w:r w:rsidR="00160D2E">
        <w:t>es,</w:t>
      </w:r>
      <w:r>
        <w:t xml:space="preserve"> </w:t>
      </w:r>
      <w:r w:rsidR="009737DA">
        <w:t xml:space="preserve">it was </w:t>
      </w:r>
      <w:r>
        <w:t>noted that the design of two initiative</w:t>
      </w:r>
      <w:r w:rsidR="00E02F43">
        <w:t xml:space="preserve">s </w:t>
      </w:r>
      <w:r w:rsidR="007C2001">
        <w:t xml:space="preserve">could have been improved to increase the potential sustainable development results and reduce the likelihood of project delays. The initiatives </w:t>
      </w:r>
      <w:r w:rsidR="00E02F43">
        <w:t>(</w:t>
      </w:r>
      <w:proofErr w:type="spellStart"/>
      <w:r w:rsidR="00E02F43">
        <w:t>Carib</w:t>
      </w:r>
      <w:r w:rsidR="00B85B1A">
        <w:t>S</w:t>
      </w:r>
      <w:r w:rsidR="00E02F43">
        <w:t>av</w:t>
      </w:r>
      <w:r w:rsidR="00160D2E">
        <w:t>e</w:t>
      </w:r>
      <w:proofErr w:type="spellEnd"/>
      <w:r w:rsidR="007C2001">
        <w:t xml:space="preserve"> risk atlas profiles;</w:t>
      </w:r>
      <w:r w:rsidR="00160D2E">
        <w:t xml:space="preserve"> and</w:t>
      </w:r>
      <w:r w:rsidR="007C2001">
        <w:t>,</w:t>
      </w:r>
      <w:r w:rsidR="00160D2E">
        <w:t xml:space="preserve"> </w:t>
      </w:r>
      <w:r w:rsidR="007C2001">
        <w:t xml:space="preserve">supporting scholarships and the development of short course modules for </w:t>
      </w:r>
      <w:r w:rsidR="00C814BE">
        <w:t xml:space="preserve">study with </w:t>
      </w:r>
      <w:r w:rsidR="00E87825">
        <w:t>the University of West Indies</w:t>
      </w:r>
      <w:r w:rsidR="00C814BE">
        <w:t xml:space="preserve"> at </w:t>
      </w:r>
      <w:r w:rsidR="00C814BE" w:rsidRPr="0085230F">
        <w:t xml:space="preserve">the Centre for Resource Management </w:t>
      </w:r>
      <w:r w:rsidR="00C814BE">
        <w:t>and</w:t>
      </w:r>
      <w:r w:rsidR="00C814BE" w:rsidRPr="0085230F">
        <w:t xml:space="preserve"> Environmental Studies</w:t>
      </w:r>
      <w:r w:rsidR="00E02F43">
        <w:t>)</w:t>
      </w:r>
      <w:r w:rsidR="007C2001">
        <w:t xml:space="preserve"> wil</w:t>
      </w:r>
      <w:r w:rsidR="00E47881">
        <w:t>l be used as lessons learned to strengthen contracting arrangements in the future</w:t>
      </w:r>
      <w:r w:rsidR="00E02F43">
        <w:t xml:space="preserve">. </w:t>
      </w:r>
      <w:r w:rsidR="00C814BE">
        <w:t>The</w:t>
      </w:r>
      <w:r w:rsidR="00163828">
        <w:t xml:space="preserve"> </w:t>
      </w:r>
      <w:r w:rsidR="006D0B40">
        <w:t>m</w:t>
      </w:r>
      <w:r w:rsidR="00163828">
        <w:t xml:space="preserve">anagement </w:t>
      </w:r>
      <w:r w:rsidR="006D0B40">
        <w:t>a</w:t>
      </w:r>
      <w:r w:rsidR="00163828">
        <w:t xml:space="preserve">ction </w:t>
      </w:r>
      <w:r w:rsidR="006D0B40">
        <w:t>p</w:t>
      </w:r>
      <w:r w:rsidR="00163828">
        <w:t xml:space="preserve">lan developed in response to the </w:t>
      </w:r>
      <w:r w:rsidR="006D0B40">
        <w:t>mid-term review</w:t>
      </w:r>
      <w:r w:rsidR="00163828">
        <w:t xml:space="preserve"> provides clear directions on improvements to be made.</w:t>
      </w:r>
    </w:p>
    <w:p w:rsidR="00730025" w:rsidRDefault="00730025">
      <w:pPr>
        <w:spacing w:after="200" w:line="276" w:lineRule="auto"/>
        <w:rPr>
          <w:rFonts w:ascii="Franklin Gothic Demi" w:eastAsia="Times New Roman" w:hAnsi="Franklin Gothic Demi" w:cs="Arial"/>
          <w:color w:val="AD495D"/>
          <w:kern w:val="28"/>
          <w:sz w:val="24"/>
          <w:szCs w:val="28"/>
        </w:rPr>
      </w:pPr>
      <w:r>
        <w:br w:type="page"/>
      </w:r>
    </w:p>
    <w:p w:rsidR="00E02F43" w:rsidRDefault="00E02F43" w:rsidP="00E02F43">
      <w:pPr>
        <w:pStyle w:val="Heading2"/>
      </w:pPr>
      <w:r>
        <w:lastRenderedPageBreak/>
        <w:t>Objective 2</w:t>
      </w:r>
      <w:r w:rsidR="005F0728">
        <w:t>—</w:t>
      </w:r>
      <w:r w:rsidR="00B47FD3" w:rsidRPr="00B47FD3">
        <w:t>enhance ability within the Caribbean to manage and respond to the region's economic challenges</w:t>
      </w:r>
    </w:p>
    <w:p w:rsidR="006D0B40" w:rsidRDefault="006D0B40" w:rsidP="006D0B40">
      <w:pPr>
        <w:pStyle w:val="Heading2"/>
      </w:pPr>
      <w:r>
        <w:t>Expected</w:t>
      </w:r>
      <w:r w:rsidRPr="002F36C9">
        <w:t xml:space="preserve"> </w:t>
      </w:r>
      <w:r>
        <w:t>outcomes</w:t>
      </w:r>
    </w:p>
    <w:p w:rsidR="006D0B40" w:rsidRDefault="006D0B40" w:rsidP="00443945">
      <w:pPr>
        <w:pStyle w:val="BodyText"/>
      </w:pPr>
      <w:r>
        <w:t>E</w:t>
      </w:r>
      <w:r w:rsidRPr="00DF5275">
        <w:t xml:space="preserve">xpected end-of-program outcomes </w:t>
      </w:r>
      <w:r>
        <w:t>include:</w:t>
      </w:r>
    </w:p>
    <w:p w:rsidR="00DE3A7E" w:rsidRDefault="006D0B40" w:rsidP="00443945">
      <w:pPr>
        <w:pStyle w:val="ListBullet"/>
      </w:pPr>
      <w:r w:rsidRPr="007579AC">
        <w:t xml:space="preserve">access to public finance management support </w:t>
      </w:r>
      <w:r w:rsidR="00527523">
        <w:t>for</w:t>
      </w:r>
      <w:r w:rsidRPr="007579AC">
        <w:t xml:space="preserve"> finance and improved</w:t>
      </w:r>
      <w:r>
        <w:t xml:space="preserve"> trade for Caribbean businesses</w:t>
      </w:r>
    </w:p>
    <w:p w:rsidR="00DE3A7E" w:rsidRDefault="00527523" w:rsidP="00443945">
      <w:pPr>
        <w:pStyle w:val="ListBullet"/>
      </w:pPr>
      <w:r>
        <w:t xml:space="preserve">reduced </w:t>
      </w:r>
      <w:r w:rsidR="006D0B40">
        <w:t xml:space="preserve">costs </w:t>
      </w:r>
      <w:r w:rsidR="006D0B40" w:rsidRPr="007579AC">
        <w:t>of intra-regional and global trade in t</w:t>
      </w:r>
      <w:r w:rsidR="006D0B40">
        <w:t>he Caribbean region</w:t>
      </w:r>
    </w:p>
    <w:p w:rsidR="006D0B40" w:rsidRDefault="006D0B40" w:rsidP="00443945">
      <w:pPr>
        <w:pStyle w:val="ListBullet"/>
      </w:pPr>
      <w:proofErr w:type="gramStart"/>
      <w:r>
        <w:t>innovative</w:t>
      </w:r>
      <w:proofErr w:type="gramEnd"/>
      <w:r>
        <w:t xml:space="preserve"> approaches </w:t>
      </w:r>
      <w:r w:rsidR="00527523">
        <w:t xml:space="preserve">to </w:t>
      </w:r>
      <w:r>
        <w:t>address youth disengagement</w:t>
      </w:r>
      <w:r w:rsidR="00527523">
        <w:t>, which</w:t>
      </w:r>
      <w:r>
        <w:t xml:space="preserve"> </w:t>
      </w:r>
      <w:r w:rsidR="00DE3A7E">
        <w:t xml:space="preserve">are </w:t>
      </w:r>
      <w:r>
        <w:t xml:space="preserve">communicated to Caribbean </w:t>
      </w:r>
      <w:r w:rsidR="00527523">
        <w:t>countries</w:t>
      </w:r>
      <w:r>
        <w:t>.</w:t>
      </w:r>
    </w:p>
    <w:p w:rsidR="00414ED1" w:rsidRDefault="00414ED1" w:rsidP="00414ED1">
      <w:pPr>
        <w:pStyle w:val="Heading2"/>
      </w:pPr>
      <w:r>
        <w:t>Investments</w:t>
      </w:r>
    </w:p>
    <w:p w:rsidR="00414ED1" w:rsidRDefault="00414ED1" w:rsidP="00443945">
      <w:pPr>
        <w:pStyle w:val="BodyText"/>
      </w:pPr>
      <w:r w:rsidRPr="00B57842">
        <w:t>Australia invest</w:t>
      </w:r>
      <w:r>
        <w:t>s</w:t>
      </w:r>
      <w:r w:rsidRPr="00B57842">
        <w:t xml:space="preserve"> </w:t>
      </w:r>
      <w:r>
        <w:t>with three partners</w:t>
      </w:r>
      <w:r w:rsidR="00527523">
        <w:t xml:space="preserve"> under this objective</w:t>
      </w:r>
      <w:r>
        <w:t>—</w:t>
      </w:r>
      <w:r w:rsidRPr="00B57842">
        <w:t>the</w:t>
      </w:r>
      <w:r w:rsidR="00595FA8">
        <w:t xml:space="preserve"> </w:t>
      </w:r>
      <w:r>
        <w:t>CARTAC</w:t>
      </w:r>
      <w:r w:rsidR="004330C7">
        <w:t xml:space="preserve"> </w:t>
      </w:r>
      <w:r>
        <w:t xml:space="preserve">$6.5 million, </w:t>
      </w:r>
      <w:r w:rsidRPr="00B57842">
        <w:t>International Finance Corporation (IFC</w:t>
      </w:r>
      <w:r>
        <w:t>)</w:t>
      </w:r>
      <w:r w:rsidRPr="00B57842">
        <w:t xml:space="preserve"> </w:t>
      </w:r>
      <w:r>
        <w:t xml:space="preserve">and </w:t>
      </w:r>
      <w:r w:rsidRPr="00B57842">
        <w:t>Youth Upliftment Through Employment (YUTE)</w:t>
      </w:r>
      <w:r>
        <w:t xml:space="preserve">—is helping </w:t>
      </w:r>
      <w:r w:rsidRPr="00B57842">
        <w:t>improve public financial management, tax and customs policy and administration and financial sector</w:t>
      </w:r>
      <w:r>
        <w:t xml:space="preserve"> regulation, </w:t>
      </w:r>
      <w:r w:rsidRPr="00B57842">
        <w:t>lower costs of trade in the Caribbean</w:t>
      </w:r>
      <w:r>
        <w:t xml:space="preserve">, and </w:t>
      </w:r>
      <w:r w:rsidRPr="00B57842">
        <w:t>address the growing disengagement of Jamaica’s youth</w:t>
      </w:r>
      <w:r>
        <w:t>.</w:t>
      </w:r>
    </w:p>
    <w:p w:rsidR="00DE3A7E" w:rsidRPr="00712902" w:rsidRDefault="00DE3A7E" w:rsidP="00DE3A7E">
      <w:pPr>
        <w:pStyle w:val="Heading2"/>
      </w:pPr>
      <w:r w:rsidRPr="00712902">
        <w:t>Results</w:t>
      </w:r>
    </w:p>
    <w:p w:rsidR="00110511" w:rsidRDefault="00110511" w:rsidP="00443945">
      <w:pPr>
        <w:pStyle w:val="BodyText"/>
      </w:pPr>
      <w:r>
        <w:t>Overall, performance of activities under this objective has performed well justifying</w:t>
      </w:r>
      <w:r w:rsidRPr="00622C70">
        <w:t xml:space="preserve"> </w:t>
      </w:r>
      <w:r>
        <w:t xml:space="preserve">a continued </w:t>
      </w:r>
      <w:r w:rsidRPr="00622C70">
        <w:t>green</w:t>
      </w:r>
      <w:r>
        <w:t xml:space="preserve"> rating (the same rating </w:t>
      </w:r>
      <w:r w:rsidR="00780A6E">
        <w:t xml:space="preserve">in </w:t>
      </w:r>
      <w:r>
        <w:t xml:space="preserve">the 2011 APPR). </w:t>
      </w:r>
    </w:p>
    <w:p w:rsidR="00DE3A7E" w:rsidRDefault="00E02F43" w:rsidP="00443945">
      <w:pPr>
        <w:pStyle w:val="BodyText"/>
      </w:pPr>
      <w:r w:rsidRPr="00DC0C5D">
        <w:t xml:space="preserve">The Caribbean </w:t>
      </w:r>
      <w:r w:rsidR="00D516EF">
        <w:t xml:space="preserve">program </w:t>
      </w:r>
      <w:r w:rsidR="00AB15C3">
        <w:t xml:space="preserve">has produced strong results </w:t>
      </w:r>
      <w:r w:rsidR="00110511">
        <w:t xml:space="preserve">under </w:t>
      </w:r>
      <w:r w:rsidR="00AB15C3">
        <w:t xml:space="preserve">this </w:t>
      </w:r>
      <w:r w:rsidR="00110511">
        <w:t>objective</w:t>
      </w:r>
      <w:r w:rsidR="00AB15C3">
        <w:t>.</w:t>
      </w:r>
      <w:r w:rsidR="00D06CBE">
        <w:t xml:space="preserve"> </w:t>
      </w:r>
      <w:r w:rsidR="009832E6">
        <w:t>Australia’s</w:t>
      </w:r>
      <w:r w:rsidR="009832E6" w:rsidRPr="006C5B3B">
        <w:t xml:space="preserve"> support through technical assistance </w:t>
      </w:r>
      <w:r w:rsidR="00622C70">
        <w:t xml:space="preserve">has </w:t>
      </w:r>
      <w:r w:rsidR="009832E6" w:rsidRPr="006C5B3B">
        <w:t xml:space="preserve">helped strengthen tax and customs administration, public financial management, and financial sector and capital markets regulation across </w:t>
      </w:r>
      <w:r w:rsidR="00D06CBE">
        <w:t>Member States</w:t>
      </w:r>
      <w:r w:rsidR="009832E6">
        <w:t>.</w:t>
      </w:r>
      <w:r w:rsidR="009832E6">
        <w:rPr>
          <w:rStyle w:val="FootnoteReference"/>
        </w:rPr>
        <w:footnoteReference w:id="19"/>
      </w:r>
      <w:r w:rsidR="009832E6">
        <w:t xml:space="preserve"> </w:t>
      </w:r>
    </w:p>
    <w:p w:rsidR="00110511" w:rsidRDefault="00057184" w:rsidP="00443945">
      <w:pPr>
        <w:pStyle w:val="BodyText"/>
      </w:pPr>
      <w:r>
        <w:t>Four Member States have been supported through CARTAC to improve financial management by strengthening tax and customs systems, improv</w:t>
      </w:r>
      <w:r w:rsidR="00110511">
        <w:t>e</w:t>
      </w:r>
      <w:r>
        <w:t xml:space="preserve"> budgeting processes and develop more robust regulatory frameworks for banks and other financial institutions. This is a good result given</w:t>
      </w:r>
      <w:r w:rsidR="00E47881">
        <w:t xml:space="preserve"> the</w:t>
      </w:r>
      <w:r>
        <w:t xml:space="preserve"> relative </w:t>
      </w:r>
      <w:r w:rsidR="00E47881">
        <w:t xml:space="preserve">size of </w:t>
      </w:r>
      <w:r>
        <w:t xml:space="preserve">Australia’s investment. </w:t>
      </w:r>
    </w:p>
    <w:p w:rsidR="00DE3A7E" w:rsidRDefault="00E02F43" w:rsidP="00443945">
      <w:pPr>
        <w:pStyle w:val="BodyText"/>
      </w:pPr>
      <w:r>
        <w:t xml:space="preserve">Australia’s </w:t>
      </w:r>
      <w:r w:rsidR="00D516EF">
        <w:t xml:space="preserve">delivery </w:t>
      </w:r>
      <w:r>
        <w:t xml:space="preserve">approach </w:t>
      </w:r>
      <w:r w:rsidR="00D516EF">
        <w:t>is effective in</w:t>
      </w:r>
      <w:r w:rsidR="009832E6">
        <w:t xml:space="preserve"> building on </w:t>
      </w:r>
      <w:r>
        <w:t>relationships</w:t>
      </w:r>
      <w:r w:rsidR="00110511">
        <w:t xml:space="preserve"> with</w:t>
      </w:r>
      <w:r>
        <w:t xml:space="preserve"> and experiences of other donors, especially CIDA, </w:t>
      </w:r>
      <w:r w:rsidR="00BF5A11">
        <w:t>DFID</w:t>
      </w:r>
      <w:r>
        <w:t xml:space="preserve">, </w:t>
      </w:r>
      <w:r w:rsidR="005F0728">
        <w:t xml:space="preserve">the </w:t>
      </w:r>
      <w:r>
        <w:t>I</w:t>
      </w:r>
      <w:r w:rsidR="003C281D">
        <w:t>nternational Monetary Fund</w:t>
      </w:r>
      <w:r>
        <w:t xml:space="preserve"> and the World Bank </w:t>
      </w:r>
      <w:r w:rsidR="00110511">
        <w:t>G</w:t>
      </w:r>
      <w:r>
        <w:t>roup</w:t>
      </w:r>
      <w:r w:rsidR="00262919">
        <w:t xml:space="preserve">. </w:t>
      </w:r>
      <w:r>
        <w:t>The QAI report</w:t>
      </w:r>
      <w:r w:rsidR="008A28AF">
        <w:rPr>
          <w:rStyle w:val="FootnoteReference"/>
        </w:rPr>
        <w:footnoteReference w:id="20"/>
      </w:r>
      <w:r>
        <w:t xml:space="preserve"> noted</w:t>
      </w:r>
      <w:r w:rsidR="00EF11D9">
        <w:t xml:space="preserve"> for this objective</w:t>
      </w:r>
      <w:r w:rsidR="00110511">
        <w:t xml:space="preserve"> that</w:t>
      </w:r>
      <w:r w:rsidR="00DE3A7E">
        <w:t>:</w:t>
      </w:r>
    </w:p>
    <w:p w:rsidR="00DE3A7E" w:rsidRDefault="00344179" w:rsidP="00443945">
      <w:pPr>
        <w:pStyle w:val="ListBullet"/>
      </w:pPr>
      <w:r>
        <w:t xml:space="preserve">Australia </w:t>
      </w:r>
      <w:r w:rsidR="009832E6">
        <w:t>has</w:t>
      </w:r>
      <w:r w:rsidR="00A30593">
        <w:t xml:space="preserve"> been successful in partnering with regional and local institutions</w:t>
      </w:r>
    </w:p>
    <w:p w:rsidR="00DE3A7E" w:rsidRDefault="00DE3A7E" w:rsidP="00443945">
      <w:pPr>
        <w:pStyle w:val="ListBullet"/>
      </w:pPr>
      <w:r>
        <w:t>partnerships have</w:t>
      </w:r>
      <w:r w:rsidR="00A30593">
        <w:t xml:space="preserve"> addre</w:t>
      </w:r>
      <w:r w:rsidR="00DF5275">
        <w:t>ss</w:t>
      </w:r>
      <w:r>
        <w:t>ed</w:t>
      </w:r>
      <w:r w:rsidR="00DF5275">
        <w:t xml:space="preserve"> complex</w:t>
      </w:r>
      <w:r w:rsidR="00110511">
        <w:t xml:space="preserve"> regional</w:t>
      </w:r>
      <w:r w:rsidR="00DF5275">
        <w:t xml:space="preserve"> needs</w:t>
      </w:r>
    </w:p>
    <w:p w:rsidR="00DE3A7E" w:rsidRDefault="00DE3A7E" w:rsidP="00443945">
      <w:pPr>
        <w:pStyle w:val="ListBullet"/>
      </w:pPr>
      <w:r>
        <w:t>c</w:t>
      </w:r>
      <w:r w:rsidR="00E02F43">
        <w:t>o-financing regional activities with other donors</w:t>
      </w:r>
      <w:r w:rsidR="00DF5275">
        <w:t xml:space="preserve"> </w:t>
      </w:r>
      <w:r w:rsidR="00110511">
        <w:t>(as opposed to several bilateral arrangements)</w:t>
      </w:r>
      <w:r w:rsidR="00780A6E">
        <w:t xml:space="preserve"> </w:t>
      </w:r>
      <w:r w:rsidR="00DF5275">
        <w:t>is expected to</w:t>
      </w:r>
      <w:r w:rsidR="00E02F43">
        <w:t xml:space="preserve"> </w:t>
      </w:r>
      <w:r w:rsidR="00110511">
        <w:t xml:space="preserve">result in </w:t>
      </w:r>
      <w:r w:rsidR="00E02F43">
        <w:t>more lasting benefits to a wider range of countries</w:t>
      </w:r>
    </w:p>
    <w:p w:rsidR="00163828" w:rsidRDefault="00DE3A7E" w:rsidP="00443945">
      <w:pPr>
        <w:pStyle w:val="ListBullet"/>
      </w:pPr>
      <w:proofErr w:type="gramStart"/>
      <w:r>
        <w:t>assistance</w:t>
      </w:r>
      <w:proofErr w:type="gramEnd"/>
      <w:r>
        <w:t xml:space="preserve"> </w:t>
      </w:r>
      <w:r w:rsidR="00D516EF">
        <w:t>has strong coherence and efficient</w:t>
      </w:r>
      <w:r w:rsidR="00E02F43">
        <w:t xml:space="preserve"> administration </w:t>
      </w:r>
      <w:r w:rsidR="00D516EF">
        <w:t xml:space="preserve">with </w:t>
      </w:r>
      <w:r w:rsidR="00E02F43">
        <w:t>low administrati</w:t>
      </w:r>
      <w:r>
        <w:t>ve</w:t>
      </w:r>
      <w:r w:rsidR="00E02F43">
        <w:t xml:space="preserve"> overheads.</w:t>
      </w:r>
    </w:p>
    <w:p w:rsidR="009832E6" w:rsidRDefault="00DE3A7E" w:rsidP="00443945">
      <w:pPr>
        <w:pStyle w:val="BodyText"/>
      </w:pPr>
      <w:r>
        <w:t>M</w:t>
      </w:r>
      <w:r w:rsidR="009832E6">
        <w:t xml:space="preserve">any development challenges </w:t>
      </w:r>
      <w:r>
        <w:t xml:space="preserve">addressed under this objective depend </w:t>
      </w:r>
      <w:r w:rsidR="009832E6">
        <w:t>on external economic factors beyond the scope of Australia’s influenc</w:t>
      </w:r>
      <w:r>
        <w:t>e. These factors include</w:t>
      </w:r>
      <w:r w:rsidR="009832E6">
        <w:t xml:space="preserve"> U</w:t>
      </w:r>
      <w:r w:rsidR="00F068EB">
        <w:t>nited States’</w:t>
      </w:r>
      <w:r w:rsidR="009832E6">
        <w:t xml:space="preserve"> economic performance, regional growth</w:t>
      </w:r>
      <w:r w:rsidR="00F068EB">
        <w:t>,</w:t>
      </w:r>
      <w:r w:rsidR="009832E6">
        <w:t xml:space="preserve"> employment rates and political directions</w:t>
      </w:r>
      <w:r>
        <w:t xml:space="preserve">. </w:t>
      </w:r>
    </w:p>
    <w:p w:rsidR="00AA447F" w:rsidRPr="00DE3A7E" w:rsidRDefault="00DE3A7E" w:rsidP="00443945">
      <w:pPr>
        <w:pStyle w:val="Heading3"/>
      </w:pPr>
      <w:r w:rsidRPr="00DE3A7E">
        <w:lastRenderedPageBreak/>
        <w:t>Caribbean Regional Technical Assistance Centre</w:t>
      </w:r>
      <w:r>
        <w:t xml:space="preserve"> </w:t>
      </w:r>
      <w:r w:rsidRPr="00DE3A7E">
        <w:t xml:space="preserve"> </w:t>
      </w:r>
    </w:p>
    <w:p w:rsidR="00EF11D9" w:rsidRDefault="00D516EF" w:rsidP="00443945">
      <w:pPr>
        <w:pStyle w:val="BodyText"/>
      </w:pPr>
      <w:r>
        <w:t>Australia</w:t>
      </w:r>
      <w:r w:rsidRPr="00B57842">
        <w:t xml:space="preserve"> provides around 13 per cent of CARTAC Phase IV funding</w:t>
      </w:r>
      <w:r w:rsidR="004330C7">
        <w:t xml:space="preserve"> ($6.5 million</w:t>
      </w:r>
      <w:r w:rsidR="004330C7" w:rsidRPr="00B57842">
        <w:t>)</w:t>
      </w:r>
      <w:r w:rsidR="009832E6">
        <w:t>.</w:t>
      </w:r>
      <w:r w:rsidR="00EF31AD">
        <w:t xml:space="preserve"> </w:t>
      </w:r>
      <w:r w:rsidR="009832E6">
        <w:t>A</w:t>
      </w:r>
      <w:r w:rsidRPr="00B57842">
        <w:t xml:space="preserve">s a result, </w:t>
      </w:r>
      <w:r w:rsidR="00AA447F">
        <w:t xml:space="preserve">all </w:t>
      </w:r>
      <w:r w:rsidRPr="00B57842">
        <w:t>Member States have greater access to CARTAC</w:t>
      </w:r>
      <w:r w:rsidR="00AA447F">
        <w:t>’s</w:t>
      </w:r>
      <w:r w:rsidRPr="00B57842">
        <w:t xml:space="preserve"> program of public </w:t>
      </w:r>
      <w:r w:rsidR="00E827F5" w:rsidRPr="00B57842">
        <w:t>finan</w:t>
      </w:r>
      <w:r w:rsidR="00E827F5">
        <w:t>cial</w:t>
      </w:r>
      <w:r w:rsidR="00E827F5" w:rsidRPr="00B57842">
        <w:t xml:space="preserve"> </w:t>
      </w:r>
      <w:r w:rsidRPr="00B57842">
        <w:t xml:space="preserve">management </w:t>
      </w:r>
      <w:r w:rsidR="00AB15C3">
        <w:t>and 16 have developed public financial management strategies</w:t>
      </w:r>
      <w:r w:rsidRPr="00B57842">
        <w:t>.</w:t>
      </w:r>
      <w:r w:rsidR="00AB15C3">
        <w:rPr>
          <w:rStyle w:val="FootnoteReference"/>
        </w:rPr>
        <w:footnoteReference w:id="21"/>
      </w:r>
      <w:r w:rsidRPr="00B57842">
        <w:t xml:space="preserve"> </w:t>
      </w:r>
    </w:p>
    <w:p w:rsidR="00DE3A7E" w:rsidRDefault="00411EB3" w:rsidP="00443945">
      <w:pPr>
        <w:pStyle w:val="BodyText"/>
      </w:pPr>
      <w:r>
        <w:t>Australia’s support to CARTAC enabled the centre to</w:t>
      </w:r>
      <w:r w:rsidR="00DE3A7E">
        <w:t>:</w:t>
      </w:r>
    </w:p>
    <w:p w:rsidR="00DE3A7E" w:rsidRDefault="00411EB3" w:rsidP="00443945">
      <w:pPr>
        <w:pStyle w:val="ListBullet"/>
      </w:pPr>
      <w:r>
        <w:t>broaden its donor base and maintain three public finance management</w:t>
      </w:r>
      <w:r w:rsidR="00AA447F">
        <w:t xml:space="preserve"> advisors</w:t>
      </w:r>
      <w:r>
        <w:t xml:space="preserve"> and one finance sector</w:t>
      </w:r>
      <w:r w:rsidR="00AA447F">
        <w:t xml:space="preserve"> </w:t>
      </w:r>
      <w:r>
        <w:t xml:space="preserve"> advisor</w:t>
      </w:r>
    </w:p>
    <w:p w:rsidR="00DE3A7E" w:rsidRDefault="00DE3A7E" w:rsidP="00443945">
      <w:pPr>
        <w:pStyle w:val="ListBullet"/>
      </w:pPr>
      <w:proofErr w:type="gramStart"/>
      <w:r>
        <w:t>p</w:t>
      </w:r>
      <w:r w:rsidR="00411EB3">
        <w:t>rovide</w:t>
      </w:r>
      <w:proofErr w:type="gramEnd"/>
      <w:r w:rsidR="00411EB3">
        <w:t xml:space="preserve"> </w:t>
      </w:r>
      <w:r w:rsidR="00411EB3" w:rsidRPr="00EF31AD">
        <w:t>414 days of technical assistance to 20 countries and train more than 4000 national finance agency officials</w:t>
      </w:r>
      <w:r w:rsidR="004035F4">
        <w:t xml:space="preserve">. </w:t>
      </w:r>
    </w:p>
    <w:p w:rsidR="004035F4" w:rsidRDefault="00DE3A7E" w:rsidP="00443945">
      <w:pPr>
        <w:pStyle w:val="BodyText"/>
      </w:pPr>
      <w:r>
        <w:t>T</w:t>
      </w:r>
      <w:r w:rsidR="00E827F5">
        <w:t>he</w:t>
      </w:r>
      <w:r>
        <w:t xml:space="preserve"> mid-term review</w:t>
      </w:r>
      <w:r w:rsidR="00E827F5">
        <w:t xml:space="preserve"> supports </w:t>
      </w:r>
      <w:r w:rsidR="001E5B34">
        <w:t xml:space="preserve">DFAT’s </w:t>
      </w:r>
      <w:r w:rsidR="00E827F5">
        <w:t>assessment that CARTAC’s work is well regarded in the region</w:t>
      </w:r>
      <w:r w:rsidR="00AA447F">
        <w:t>. F</w:t>
      </w:r>
      <w:r w:rsidR="00E827F5">
        <w:t>or example, it quotes a Minister for Finance</w:t>
      </w:r>
      <w:r w:rsidR="00AA447F">
        <w:t xml:space="preserve"> as saying: ‘</w:t>
      </w:r>
      <w:r w:rsidR="00E827F5">
        <w:t>CARTAC has earned its place as a trusted advisor and has our full support</w:t>
      </w:r>
      <w:r w:rsidR="00AA447F">
        <w:t>.</w:t>
      </w:r>
      <w:r w:rsidR="00EF11D9">
        <w:t>’</w:t>
      </w:r>
      <w:r w:rsidR="00E827F5" w:rsidRPr="00DE3A7E">
        <w:rPr>
          <w:vertAlign w:val="superscript"/>
        </w:rPr>
        <w:footnoteReference w:id="22"/>
      </w:r>
      <w:r w:rsidR="00E827F5" w:rsidRPr="00DE3A7E">
        <w:rPr>
          <w:vertAlign w:val="superscript"/>
        </w:rPr>
        <w:t xml:space="preserve"> </w:t>
      </w:r>
      <w:r w:rsidR="007045F4">
        <w:rPr>
          <w:vertAlign w:val="superscript"/>
        </w:rPr>
        <w:t xml:space="preserve"> </w:t>
      </w:r>
      <w:r w:rsidR="00E827F5">
        <w:t>These</w:t>
      </w:r>
      <w:r w:rsidR="00AA447F">
        <w:t xml:space="preserve"> types of</w:t>
      </w:r>
      <w:r w:rsidR="00E827F5">
        <w:t xml:space="preserve"> results indicate good progress is being made at the </w:t>
      </w:r>
      <w:r w:rsidR="00AA447F">
        <w:t xml:space="preserve">program’s </w:t>
      </w:r>
      <w:r w:rsidR="00E827F5">
        <w:t>mid-point.</w:t>
      </w:r>
    </w:p>
    <w:p w:rsidR="00675CDC" w:rsidRDefault="00675CDC" w:rsidP="00443945">
      <w:pPr>
        <w:pStyle w:val="Heading3"/>
      </w:pPr>
      <w:r w:rsidRPr="00DE3A7E">
        <w:t xml:space="preserve">International Finance Corporation </w:t>
      </w:r>
    </w:p>
    <w:p w:rsidR="00782DCC" w:rsidRDefault="00D516EF" w:rsidP="00443945">
      <w:pPr>
        <w:pStyle w:val="BodyText"/>
      </w:pPr>
      <w:r w:rsidRPr="00B57842">
        <w:t xml:space="preserve">IFC activities </w:t>
      </w:r>
      <w:r w:rsidR="004330C7">
        <w:t>(</w:t>
      </w:r>
      <w:r w:rsidR="004330C7" w:rsidRPr="00B57842">
        <w:t xml:space="preserve">$1.5 million) </w:t>
      </w:r>
      <w:r w:rsidR="00EF31AD">
        <w:t>are reducing</w:t>
      </w:r>
      <w:r w:rsidRPr="00B57842">
        <w:t xml:space="preserve"> the costs of intra-regional and globa</w:t>
      </w:r>
      <w:r w:rsidR="009832E6">
        <w:t>l trade in the Caribbean</w:t>
      </w:r>
      <w:r w:rsidR="00EF11D9">
        <w:t>. E</w:t>
      </w:r>
      <w:r w:rsidR="00782DCC">
        <w:t>xample</w:t>
      </w:r>
      <w:r w:rsidR="00EF11D9">
        <w:t>s include</w:t>
      </w:r>
      <w:r w:rsidR="00782DCC">
        <w:t>:</w:t>
      </w:r>
    </w:p>
    <w:p w:rsidR="00782DCC" w:rsidRDefault="00782DCC" w:rsidP="00443945">
      <w:pPr>
        <w:pStyle w:val="ListBullet"/>
      </w:pPr>
      <w:r>
        <w:t>a</w:t>
      </w:r>
      <w:r w:rsidR="00D06CBE">
        <w:t xml:space="preserve"> recent </w:t>
      </w:r>
      <w:r w:rsidR="00AA447F">
        <w:t xml:space="preserve">IFC </w:t>
      </w:r>
      <w:r w:rsidR="00D06CBE">
        <w:t xml:space="preserve">report </w:t>
      </w:r>
      <w:r w:rsidR="00EF11D9">
        <w:t xml:space="preserve">claiming </w:t>
      </w:r>
      <w:r w:rsidR="00AA447F">
        <w:t xml:space="preserve">the fund was able to </w:t>
      </w:r>
      <w:r w:rsidR="00D06CBE">
        <w:t>increase</w:t>
      </w:r>
      <w:r w:rsidR="00AA447F">
        <w:t xml:space="preserve"> its</w:t>
      </w:r>
      <w:r w:rsidR="00D06CBE">
        <w:t xml:space="preserve"> operational capacity due to Australia’s support</w:t>
      </w:r>
      <w:r w:rsidR="00D06CBE">
        <w:rPr>
          <w:rStyle w:val="FootnoteReference"/>
        </w:rPr>
        <w:footnoteReference w:id="23"/>
      </w:r>
      <w:r w:rsidR="009832E6">
        <w:t xml:space="preserve"> </w:t>
      </w:r>
    </w:p>
    <w:p w:rsidR="00782DCC" w:rsidRDefault="00782DCC" w:rsidP="00443945">
      <w:pPr>
        <w:pStyle w:val="ListBullet"/>
      </w:pPr>
      <w:r>
        <w:t>th</w:t>
      </w:r>
      <w:r w:rsidR="00D516EF" w:rsidRPr="00B57842">
        <w:t xml:space="preserve">e </w:t>
      </w:r>
      <w:r w:rsidR="0029382B">
        <w:t>QAI</w:t>
      </w:r>
      <w:r w:rsidR="00DE3A7E">
        <w:t xml:space="preserve"> report</w:t>
      </w:r>
      <w:r w:rsidR="00D516EF" w:rsidRPr="00B57842">
        <w:t xml:space="preserve"> </w:t>
      </w:r>
      <w:r w:rsidR="00EF31AD">
        <w:t>cit</w:t>
      </w:r>
      <w:r w:rsidR="00EF11D9">
        <w:t>ing</w:t>
      </w:r>
      <w:r w:rsidR="00D516EF" w:rsidRPr="00B57842">
        <w:t xml:space="preserve"> evidence that the time required to administer exports from Grenada declined from 14 days in 2009 to </w:t>
      </w:r>
      <w:r w:rsidR="00AA447F">
        <w:t>nine</w:t>
      </w:r>
      <w:r w:rsidR="00D516EF" w:rsidRPr="00B57842">
        <w:t xml:space="preserve"> days in 2012</w:t>
      </w:r>
      <w:r w:rsidR="00AA447F">
        <w:t xml:space="preserve"> </w:t>
      </w:r>
    </w:p>
    <w:p w:rsidR="00782DCC" w:rsidRDefault="00782DCC" w:rsidP="00443945">
      <w:pPr>
        <w:pStyle w:val="ListBullet"/>
      </w:pPr>
      <w:r>
        <w:t xml:space="preserve">the </w:t>
      </w:r>
      <w:r w:rsidR="0029382B">
        <w:t>QAI</w:t>
      </w:r>
      <w:r>
        <w:t xml:space="preserve"> report</w:t>
      </w:r>
      <w:r w:rsidR="00AA447F">
        <w:t xml:space="preserve"> cit</w:t>
      </w:r>
      <w:r w:rsidR="00EF11D9">
        <w:t>ing</w:t>
      </w:r>
      <w:r w:rsidR="00D516EF" w:rsidRPr="00B57842">
        <w:t xml:space="preserve"> similar trends emerging in St Lucia</w:t>
      </w:r>
    </w:p>
    <w:p w:rsidR="00782DCC" w:rsidRDefault="00EF31AD" w:rsidP="00443945">
      <w:pPr>
        <w:pStyle w:val="ListBullet"/>
      </w:pPr>
      <w:r w:rsidRPr="00B57842">
        <w:t xml:space="preserve">Grenada, Dominica, </w:t>
      </w:r>
      <w:r>
        <w:t>St Kitts and Nevis and St Lucia are working</w:t>
      </w:r>
      <w:r w:rsidR="00D516EF" w:rsidRPr="00B57842">
        <w:t xml:space="preserve"> to improve port effic</w:t>
      </w:r>
      <w:r>
        <w:t>iency and customs collections</w:t>
      </w:r>
      <w:r w:rsidR="00EF11D9">
        <w:t>.</w:t>
      </w:r>
    </w:p>
    <w:p w:rsidR="00675CDC" w:rsidRDefault="00675CDC" w:rsidP="00443945">
      <w:pPr>
        <w:pStyle w:val="BodyText"/>
      </w:pPr>
      <w:r w:rsidRPr="00EF31AD">
        <w:t xml:space="preserve">The program </w:t>
      </w:r>
      <w:r>
        <w:t xml:space="preserve">executed by </w:t>
      </w:r>
      <w:r w:rsidR="0029382B">
        <w:t xml:space="preserve">the </w:t>
      </w:r>
      <w:r>
        <w:t xml:space="preserve">IFC </w:t>
      </w:r>
      <w:r w:rsidRPr="00EF31AD">
        <w:t>help</w:t>
      </w:r>
      <w:r>
        <w:t>ed</w:t>
      </w:r>
      <w:r w:rsidRPr="00EF31AD">
        <w:t xml:space="preserve"> government agencies</w:t>
      </w:r>
      <w:r w:rsidR="00EF11D9">
        <w:t xml:space="preserve"> in the Caribbean</w:t>
      </w:r>
      <w:r w:rsidRPr="00EF31AD">
        <w:t xml:space="preserve"> connect more efficiently, making import clearance easier and reducing logistics costs that </w:t>
      </w:r>
      <w:r>
        <w:t xml:space="preserve">remain </w:t>
      </w:r>
      <w:r w:rsidRPr="00EF31AD">
        <w:t>challeng</w:t>
      </w:r>
      <w:r>
        <w:t>ing</w:t>
      </w:r>
      <w:r w:rsidRPr="00EF31AD">
        <w:t xml:space="preserve"> for many businesses in the region</w:t>
      </w:r>
      <w:r>
        <w:t>.</w:t>
      </w:r>
      <w:r w:rsidRPr="009823C3">
        <w:rPr>
          <w:rStyle w:val="FootnoteReference"/>
        </w:rPr>
        <w:footnoteReference w:id="24"/>
      </w:r>
      <w:r>
        <w:t xml:space="preserve"> For example, in 2012</w:t>
      </w:r>
      <w:r w:rsidR="0029382B">
        <w:t>–</w:t>
      </w:r>
      <w:r>
        <w:t xml:space="preserve">13 </w:t>
      </w:r>
      <w:r w:rsidR="0029382B">
        <w:t xml:space="preserve">the </w:t>
      </w:r>
      <w:r>
        <w:t>IFC:</w:t>
      </w:r>
    </w:p>
    <w:p w:rsidR="00675CDC" w:rsidRDefault="00675CDC" w:rsidP="00443945">
      <w:pPr>
        <w:pStyle w:val="ListBullet"/>
      </w:pPr>
      <w:r>
        <w:t>p</w:t>
      </w:r>
      <w:r w:rsidRPr="00EF31AD">
        <w:t>rovided training to introduce the harmoni</w:t>
      </w:r>
      <w:r>
        <w:t>s</w:t>
      </w:r>
      <w:r w:rsidRPr="00EF31AD">
        <w:t>ed system of classification of goods, which allow</w:t>
      </w:r>
      <w:r>
        <w:t>ed</w:t>
      </w:r>
      <w:r w:rsidRPr="00EF31AD">
        <w:t xml:space="preserve"> institutions to share and process information more easily, thereby improving trade logistics</w:t>
      </w:r>
    </w:p>
    <w:p w:rsidR="00675CDC" w:rsidRDefault="00675CDC" w:rsidP="00443945">
      <w:pPr>
        <w:pStyle w:val="ListBullet"/>
      </w:pPr>
      <w:r>
        <w:t>recommended t</w:t>
      </w:r>
      <w:r w:rsidRPr="00EF31AD">
        <w:t>rade logistics reform</w:t>
      </w:r>
      <w:r>
        <w:t>s, prepared</w:t>
      </w:r>
      <w:r w:rsidRPr="00EF31AD">
        <w:t xml:space="preserve"> action plans </w:t>
      </w:r>
      <w:r>
        <w:t>and initiated</w:t>
      </w:r>
      <w:r w:rsidRPr="00EF31AD">
        <w:t xml:space="preserve"> advisory services in five </w:t>
      </w:r>
      <w:r>
        <w:t>Member States</w:t>
      </w:r>
    </w:p>
    <w:p w:rsidR="00675CDC" w:rsidRDefault="00675CDC" w:rsidP="00443945">
      <w:pPr>
        <w:pStyle w:val="ListBullet"/>
      </w:pPr>
      <w:r>
        <w:t xml:space="preserve">prepared </w:t>
      </w:r>
      <w:r w:rsidRPr="00EF31AD">
        <w:t>procedural manuals to increase transparency to import and export goods</w:t>
      </w:r>
    </w:p>
    <w:p w:rsidR="00675CDC" w:rsidRDefault="00675CDC" w:rsidP="00443945">
      <w:pPr>
        <w:pStyle w:val="ListBullet"/>
      </w:pPr>
      <w:r>
        <w:t xml:space="preserve">provided </w:t>
      </w:r>
      <w:r w:rsidRPr="00EF31AD">
        <w:t>legal advice</w:t>
      </w:r>
      <w:r>
        <w:t xml:space="preserve"> </w:t>
      </w:r>
      <w:r w:rsidRPr="00EF31AD">
        <w:t>and review</w:t>
      </w:r>
      <w:r>
        <w:t xml:space="preserve">ed </w:t>
      </w:r>
      <w:r w:rsidRPr="00EF31AD">
        <w:t>the Customs Act in Grenada and St Kitts Port Authority Act</w:t>
      </w:r>
    </w:p>
    <w:p w:rsidR="00675CDC" w:rsidRDefault="00675CDC" w:rsidP="00443945">
      <w:pPr>
        <w:pStyle w:val="ListBullet"/>
      </w:pPr>
      <w:r>
        <w:t xml:space="preserve">provided </w:t>
      </w:r>
      <w:r w:rsidRPr="00EF31AD">
        <w:t xml:space="preserve">technical and financial assistance </w:t>
      </w:r>
      <w:r>
        <w:t xml:space="preserve">to </w:t>
      </w:r>
      <w:r w:rsidRPr="00EF31AD">
        <w:t>mitigate risks of transitioning to the Caribbean Single Market and Economy</w:t>
      </w:r>
      <w:r>
        <w:t xml:space="preserve"> and</w:t>
      </w:r>
      <w:r w:rsidRPr="00EF31AD">
        <w:t xml:space="preserve"> reduce barriers to flows of goods, services, capital and labour</w:t>
      </w:r>
    </w:p>
    <w:p w:rsidR="00675CDC" w:rsidRDefault="00675CDC" w:rsidP="00443945">
      <w:pPr>
        <w:pStyle w:val="ListBullet"/>
      </w:pPr>
      <w:r>
        <w:lastRenderedPageBreak/>
        <w:t xml:space="preserve">assisted </w:t>
      </w:r>
      <w:r w:rsidRPr="00EF31AD">
        <w:t xml:space="preserve">six </w:t>
      </w:r>
      <w:r w:rsidR="007045F4">
        <w:t>Member States</w:t>
      </w:r>
      <w:r>
        <w:t xml:space="preserve"> with</w:t>
      </w:r>
      <w:r w:rsidRPr="00EF31AD">
        <w:t xml:space="preserve"> economic resilience and enabling environments for export enterprises</w:t>
      </w:r>
    </w:p>
    <w:p w:rsidR="00675CDC" w:rsidRDefault="00675CDC" w:rsidP="00443945">
      <w:pPr>
        <w:pStyle w:val="ListBullet"/>
      </w:pPr>
      <w:proofErr w:type="gramStart"/>
      <w:r>
        <w:t>identified</w:t>
      </w:r>
      <w:proofErr w:type="gramEnd"/>
      <w:r>
        <w:t xml:space="preserve"> </w:t>
      </w:r>
      <w:r w:rsidRPr="00EF31AD">
        <w:t xml:space="preserve">key land management challenges and </w:t>
      </w:r>
      <w:r>
        <w:t xml:space="preserve">developed </w:t>
      </w:r>
      <w:r w:rsidRPr="00EF31AD">
        <w:t xml:space="preserve">generic guidelines and national land policies to improve data exchange. </w:t>
      </w:r>
    </w:p>
    <w:p w:rsidR="00675CDC" w:rsidRPr="00675CDC" w:rsidRDefault="00675CDC" w:rsidP="00443945">
      <w:pPr>
        <w:pStyle w:val="Heading3"/>
      </w:pPr>
      <w:r w:rsidRPr="00675CDC">
        <w:t xml:space="preserve">Youth Upliftment </w:t>
      </w:r>
      <w:proofErr w:type="gramStart"/>
      <w:r w:rsidRPr="00675CDC">
        <w:t>Through</w:t>
      </w:r>
      <w:proofErr w:type="gramEnd"/>
      <w:r w:rsidRPr="00675CDC">
        <w:t xml:space="preserve"> Employment</w:t>
      </w:r>
    </w:p>
    <w:p w:rsidR="00675CDC" w:rsidRDefault="00E51733" w:rsidP="00443945">
      <w:pPr>
        <w:pStyle w:val="BodyText"/>
      </w:pPr>
      <w:r>
        <w:t xml:space="preserve">The </w:t>
      </w:r>
      <w:r w:rsidR="00E02F43" w:rsidRPr="00EF31AD">
        <w:t xml:space="preserve">YUTE </w:t>
      </w:r>
      <w:r>
        <w:t xml:space="preserve">program </w:t>
      </w:r>
      <w:r w:rsidR="004330C7">
        <w:t>(</w:t>
      </w:r>
      <w:r w:rsidR="004330C7" w:rsidRPr="00B57842">
        <w:t>$720,000</w:t>
      </w:r>
      <w:r w:rsidR="004330C7">
        <w:t xml:space="preserve">) </w:t>
      </w:r>
      <w:r>
        <w:t>is</w:t>
      </w:r>
      <w:r w:rsidR="005B7C52">
        <w:t xml:space="preserve"> </w:t>
      </w:r>
      <w:r w:rsidR="005339E8">
        <w:t>showing good results</w:t>
      </w:r>
      <w:r w:rsidR="00675CDC" w:rsidRPr="00675CDC">
        <w:t xml:space="preserve"> </w:t>
      </w:r>
      <w:r w:rsidR="00675CDC">
        <w:t>in Jamaic</w:t>
      </w:r>
      <w:r>
        <w:t>a</w:t>
      </w:r>
      <w:r w:rsidR="00EF11D9">
        <w:t xml:space="preserve"> with youth and employment</w:t>
      </w:r>
      <w:r w:rsidR="00E02F43" w:rsidRPr="00EF31AD">
        <w:t>. In the past 18 months</w:t>
      </w:r>
      <w:r w:rsidR="00675CDC">
        <w:t>:</w:t>
      </w:r>
    </w:p>
    <w:p w:rsidR="00675CDC" w:rsidRDefault="00E02F43" w:rsidP="00443945">
      <w:pPr>
        <w:pStyle w:val="ListBullet"/>
      </w:pPr>
      <w:r w:rsidRPr="00EF31AD">
        <w:t>505 youth (57 per cent women) were engaged</w:t>
      </w:r>
      <w:r w:rsidR="00CE69C6">
        <w:t xml:space="preserve"> in the program</w:t>
      </w:r>
    </w:p>
    <w:p w:rsidR="00675CDC" w:rsidRDefault="00E02F43" w:rsidP="00443945">
      <w:pPr>
        <w:pStyle w:val="ListBullet"/>
      </w:pPr>
      <w:r w:rsidRPr="00EF31AD">
        <w:t xml:space="preserve">244 mentors (78 per cent women) supported learning </w:t>
      </w:r>
    </w:p>
    <w:p w:rsidR="00675CDC" w:rsidRDefault="00E02F43" w:rsidP="00443945">
      <w:pPr>
        <w:pStyle w:val="ListBullet"/>
      </w:pPr>
      <w:r w:rsidRPr="00EF31AD">
        <w:t>314 youth gained work experience</w:t>
      </w:r>
      <w:r w:rsidR="00831A24">
        <w:t xml:space="preserve"> (</w:t>
      </w:r>
      <w:r w:rsidRPr="00EF31AD">
        <w:t xml:space="preserve">85 gained permanent employment and 66 gained internships of up to </w:t>
      </w:r>
      <w:r w:rsidR="00831A24">
        <w:t>nine</w:t>
      </w:r>
      <w:r w:rsidRPr="00EF31AD">
        <w:t xml:space="preserve"> months</w:t>
      </w:r>
      <w:r w:rsidR="00831A24">
        <w:t>)</w:t>
      </w:r>
      <w:r w:rsidRPr="00EF31AD">
        <w:t xml:space="preserve">. </w:t>
      </w:r>
    </w:p>
    <w:p w:rsidR="00E02F43" w:rsidRPr="00EF31AD" w:rsidRDefault="00E02F43" w:rsidP="00443945">
      <w:pPr>
        <w:pStyle w:val="BodyText"/>
      </w:pPr>
      <w:r w:rsidRPr="00675CDC">
        <w:t xml:space="preserve">These </w:t>
      </w:r>
      <w:r w:rsidR="00E51733">
        <w:t>benefits</w:t>
      </w:r>
      <w:r w:rsidRPr="00675CDC">
        <w:t xml:space="preserve"> occurred in </w:t>
      </w:r>
      <w:r w:rsidR="00831A24" w:rsidRPr="00675CDC">
        <w:t>the</w:t>
      </w:r>
      <w:r w:rsidRPr="00675CDC">
        <w:t xml:space="preserve"> context of more than 30 per cent youth unemployment in Jamaica</w:t>
      </w:r>
      <w:r w:rsidR="00831A24">
        <w:t>.</w:t>
      </w:r>
      <w:r w:rsidRPr="009823C3">
        <w:rPr>
          <w:rStyle w:val="FootnoteReference"/>
        </w:rPr>
        <w:footnoteReference w:id="25"/>
      </w:r>
      <w:r w:rsidR="00D9566E">
        <w:t xml:space="preserve"> </w:t>
      </w:r>
      <w:r w:rsidR="005339E8">
        <w:t xml:space="preserve"> </w:t>
      </w:r>
    </w:p>
    <w:p w:rsidR="00E02F43" w:rsidRPr="00EF11D9" w:rsidRDefault="00CE69C6" w:rsidP="00675CDC">
      <w:pPr>
        <w:pStyle w:val="Heading2"/>
      </w:pPr>
      <w:r w:rsidRPr="00EF11D9">
        <w:t>Future directions</w:t>
      </w:r>
    </w:p>
    <w:p w:rsidR="00675CDC" w:rsidRDefault="00831A24" w:rsidP="00443945">
      <w:pPr>
        <w:pStyle w:val="BodyText"/>
      </w:pPr>
      <w:r w:rsidRPr="00EF11D9">
        <w:t xml:space="preserve">In </w:t>
      </w:r>
      <w:r w:rsidR="00E02F43" w:rsidRPr="00EF11D9">
        <w:t xml:space="preserve">2012, </w:t>
      </w:r>
      <w:r w:rsidR="00802A16">
        <w:t xml:space="preserve">Australia </w:t>
      </w:r>
      <w:r w:rsidR="00CE69C6" w:rsidRPr="00EF11D9">
        <w:t>undertook</w:t>
      </w:r>
      <w:r w:rsidR="00E02F43" w:rsidRPr="00EF11D9">
        <w:t xml:space="preserve"> to better evaluate and understand the </w:t>
      </w:r>
      <w:r w:rsidR="00CE69C6" w:rsidRPr="00EF11D9">
        <w:t>impact of</w:t>
      </w:r>
      <w:r w:rsidR="00E02F43" w:rsidRPr="00EF11D9">
        <w:t xml:space="preserve"> activities </w:t>
      </w:r>
      <w:r w:rsidR="00675CDC" w:rsidRPr="00EF11D9">
        <w:t>under this objective</w:t>
      </w:r>
      <w:r w:rsidR="00E02F43" w:rsidRPr="00EF11D9">
        <w:t xml:space="preserve"> and share lessons, results and methods of the work. </w:t>
      </w:r>
      <w:r w:rsidR="005C0E66">
        <w:t xml:space="preserve">The department </w:t>
      </w:r>
      <w:r w:rsidR="00E47881">
        <w:t xml:space="preserve">will pursue a </w:t>
      </w:r>
      <w:r w:rsidR="00057184" w:rsidRPr="00EF11D9">
        <w:t>sustainable program that help</w:t>
      </w:r>
      <w:r w:rsidR="00E47881">
        <w:t>s</w:t>
      </w:r>
      <w:r w:rsidR="00057184" w:rsidRPr="00EF11D9">
        <w:t xml:space="preserve"> in a constructive way and demonstrate</w:t>
      </w:r>
      <w:r w:rsidR="00E47881">
        <w:t>s</w:t>
      </w:r>
      <w:r w:rsidR="00057184" w:rsidRPr="00EF11D9">
        <w:t xml:space="preserve"> benefits</w:t>
      </w:r>
      <w:r w:rsidR="00E47881">
        <w:t xml:space="preserve"> such as</w:t>
      </w:r>
      <w:r w:rsidR="00057184">
        <w:t xml:space="preserve"> improvements to regional trade and logistics supporting the CARICOM Single Market Economy, improved public financial management in Member States, and an enhanced ability of the Caribbean to engage in the main markets. </w:t>
      </w:r>
      <w:r w:rsidR="00FE01CA">
        <w:t xml:space="preserve"> </w:t>
      </w:r>
    </w:p>
    <w:p w:rsidR="00C5470C" w:rsidRDefault="00CE69C6" w:rsidP="00443945">
      <w:pPr>
        <w:pStyle w:val="BodyText"/>
      </w:pPr>
      <w:r>
        <w:t>The focus on monitoring and manag</w:t>
      </w:r>
      <w:r w:rsidR="00831A24">
        <w:t>ing</w:t>
      </w:r>
      <w:r>
        <w:t xml:space="preserve"> for development results will </w:t>
      </w:r>
      <w:r w:rsidR="00831A24">
        <w:t xml:space="preserve">sharpen </w:t>
      </w:r>
      <w:r>
        <w:t xml:space="preserve">in </w:t>
      </w:r>
      <w:r w:rsidR="005B7C52">
        <w:t>2013</w:t>
      </w:r>
      <w:r w:rsidR="00831A24">
        <w:t>–</w:t>
      </w:r>
      <w:r>
        <w:t>1</w:t>
      </w:r>
      <w:r w:rsidR="005B7C52">
        <w:t>4</w:t>
      </w:r>
      <w:r>
        <w:t xml:space="preserve"> to </w:t>
      </w:r>
      <w:r w:rsidR="00061AAF">
        <w:t xml:space="preserve">improve </w:t>
      </w:r>
      <w:r w:rsidR="00622C70">
        <w:t>performance</w:t>
      </w:r>
      <w:r w:rsidR="00ED4949">
        <w:t>,</w:t>
      </w:r>
      <w:r w:rsidR="00FE01CA">
        <w:t xml:space="preserve"> particularly</w:t>
      </w:r>
      <w:r w:rsidR="00831A24">
        <w:t xml:space="preserve"> with</w:t>
      </w:r>
      <w:r w:rsidR="00ED4949">
        <w:t xml:space="preserve"> </w:t>
      </w:r>
      <w:r w:rsidR="00ED4949" w:rsidRPr="00ED4949">
        <w:t>the</w:t>
      </w:r>
      <w:r w:rsidR="00FE01CA" w:rsidRPr="00ED4949">
        <w:t xml:space="preserve"> IFC</w:t>
      </w:r>
      <w:r w:rsidR="00061AAF" w:rsidRPr="00ED4949">
        <w:t>,</w:t>
      </w:r>
      <w:r w:rsidR="00E827F5" w:rsidRPr="00ED4949">
        <w:t xml:space="preserve"> </w:t>
      </w:r>
      <w:r w:rsidR="00E827F5" w:rsidRPr="000908B9">
        <w:t>as we press</w:t>
      </w:r>
      <w:r w:rsidR="00E827F5" w:rsidRPr="00ED4949">
        <w:t xml:space="preserve"> for more tangible </w:t>
      </w:r>
      <w:r w:rsidR="00E51733" w:rsidRPr="00ED4949">
        <w:t xml:space="preserve">program </w:t>
      </w:r>
      <w:r w:rsidR="00E827F5" w:rsidRPr="00C5470C">
        <w:t>results</w:t>
      </w:r>
      <w:r w:rsidR="00E51733" w:rsidRPr="00C5470C">
        <w:t>.</w:t>
      </w:r>
      <w:r w:rsidRPr="00C5470C">
        <w:t xml:space="preserve"> </w:t>
      </w:r>
    </w:p>
    <w:p w:rsidR="00A226AF" w:rsidRDefault="00A226AF" w:rsidP="00443945">
      <w:pPr>
        <w:pStyle w:val="BodyText"/>
      </w:pPr>
      <w:r w:rsidRPr="00C5470C">
        <w:t xml:space="preserve">Australia is working with the IFC to ensure </w:t>
      </w:r>
      <w:r w:rsidR="00C5470C">
        <w:t xml:space="preserve">it </w:t>
      </w:r>
      <w:r>
        <w:t>strengthen</w:t>
      </w:r>
      <w:r w:rsidR="00C5470C">
        <w:t>s</w:t>
      </w:r>
      <w:r>
        <w:t xml:space="preserve"> links with the CARICOM Secretariat and CARTAC. </w:t>
      </w:r>
    </w:p>
    <w:p w:rsidR="004339A1" w:rsidRDefault="004339A1" w:rsidP="004339A1">
      <w:pPr>
        <w:keepNext/>
        <w:spacing w:before="360" w:after="120"/>
        <w:outlineLvl w:val="1"/>
        <w:rPr>
          <w:rFonts w:ascii="Franklin Gothic Demi" w:eastAsia="Gulim" w:hAnsi="Franklin Gothic Demi" w:cs="Gulim"/>
          <w:color w:val="AD495D"/>
          <w:sz w:val="24"/>
          <w:lang w:eastAsia="ko-KR"/>
        </w:rPr>
      </w:pPr>
      <w:r w:rsidRPr="000D017B">
        <w:rPr>
          <w:rFonts w:ascii="Franklin Gothic Demi" w:eastAsia="Gulim" w:hAnsi="Franklin Gothic Demi" w:cs="Gulim"/>
          <w:color w:val="AD495D"/>
          <w:sz w:val="24"/>
          <w:lang w:eastAsia="ko-KR"/>
        </w:rPr>
        <w:t>Objective 3</w:t>
      </w:r>
      <w:r w:rsidR="00831A24" w:rsidRPr="00927C71">
        <w:rPr>
          <w:rFonts w:ascii="Franklin Gothic Demi" w:eastAsia="Gulim" w:hAnsi="Franklin Gothic Demi" w:cs="Gulim"/>
          <w:color w:val="AD495D"/>
          <w:sz w:val="24"/>
          <w:lang w:eastAsia="ko-KR"/>
        </w:rPr>
        <w:t>—</w:t>
      </w:r>
      <w:r w:rsidR="00B47FD3" w:rsidRPr="00B47FD3">
        <w:rPr>
          <w:rFonts w:ascii="Franklin Gothic Demi" w:eastAsia="Gulim" w:hAnsi="Franklin Gothic Demi" w:cs="Gulim"/>
          <w:color w:val="AD495D"/>
          <w:sz w:val="24"/>
          <w:lang w:eastAsia="ko-KR"/>
        </w:rPr>
        <w:t xml:space="preserve">build linkages and partnerships between the Caribbean, Australia and the Pacific </w:t>
      </w:r>
      <w:r w:rsidR="00B47FD3" w:rsidRPr="00D05CDC">
        <w:rPr>
          <w:rFonts w:ascii="Franklin Gothic Demi" w:eastAsia="Gulim" w:hAnsi="Franklin Gothic Demi" w:cs="Gulim"/>
          <w:color w:val="AD495D"/>
          <w:sz w:val="24"/>
          <w:lang w:eastAsia="ko-KR"/>
        </w:rPr>
        <w:t>which add to Caribbean knowledge and capacity to address its development priorities</w:t>
      </w:r>
    </w:p>
    <w:p w:rsidR="006855C4" w:rsidRDefault="006855C4" w:rsidP="006855C4">
      <w:pPr>
        <w:pStyle w:val="Heading2"/>
      </w:pPr>
      <w:r>
        <w:t>Expected</w:t>
      </w:r>
      <w:r w:rsidRPr="002F36C9">
        <w:t xml:space="preserve"> </w:t>
      </w:r>
      <w:r>
        <w:t>outcomes</w:t>
      </w:r>
    </w:p>
    <w:p w:rsidR="006855C4" w:rsidRDefault="00527523" w:rsidP="00443945">
      <w:pPr>
        <w:pStyle w:val="BodyText"/>
      </w:pPr>
      <w:r w:rsidRPr="000908B9">
        <w:t>Expected end-of-program outcomes include</w:t>
      </w:r>
      <w:r w:rsidR="00D05CDC" w:rsidRPr="00A11616">
        <w:t xml:space="preserve"> promoting </w:t>
      </w:r>
      <w:r w:rsidR="006855C4" w:rsidRPr="000908B9">
        <w:t>interaction betwe</w:t>
      </w:r>
      <w:r w:rsidR="006855C4" w:rsidRPr="009823C3">
        <w:t xml:space="preserve">en people, organisations and institutions in the Caribbean and Australia to support Caribbean knowledge and capacity </w:t>
      </w:r>
      <w:r w:rsidR="006855C4">
        <w:t xml:space="preserve">of </w:t>
      </w:r>
      <w:r w:rsidR="006855C4" w:rsidRPr="009823C3">
        <w:t>climate change, natural disasters</w:t>
      </w:r>
      <w:r w:rsidR="000908B9">
        <w:t>,</w:t>
      </w:r>
      <w:r w:rsidR="006855C4" w:rsidRPr="009823C3">
        <w:t xml:space="preserve"> and economic challenges.</w:t>
      </w:r>
      <w:r w:rsidR="006855C4">
        <w:t xml:space="preserve"> </w:t>
      </w:r>
    </w:p>
    <w:p w:rsidR="006855C4" w:rsidRDefault="006855C4" w:rsidP="00443945">
      <w:pPr>
        <w:pStyle w:val="BodyText"/>
      </w:pPr>
      <w:r w:rsidRPr="009823C3">
        <w:t>To balance regional and national-level development needs</w:t>
      </w:r>
      <w:r>
        <w:t>,</w:t>
      </w:r>
      <w:r w:rsidRPr="009823C3">
        <w:t xml:space="preserve"> Australia’s investments </w:t>
      </w:r>
      <w:r>
        <w:t>are</w:t>
      </w:r>
      <w:r w:rsidRPr="009823C3">
        <w:t xml:space="preserve"> designed to meet </w:t>
      </w:r>
      <w:r>
        <w:t xml:space="preserve">the </w:t>
      </w:r>
      <w:r w:rsidRPr="009823C3">
        <w:t>priorities identified by the CARICOM Secretariat a</w:t>
      </w:r>
      <w:r>
        <w:t>nd those of</w:t>
      </w:r>
      <w:r w:rsidRPr="009823C3">
        <w:t xml:space="preserve"> individual countries.</w:t>
      </w:r>
    </w:p>
    <w:p w:rsidR="00675CDC" w:rsidRPr="00D05CDC" w:rsidRDefault="00675CDC" w:rsidP="00675CDC">
      <w:pPr>
        <w:pStyle w:val="Heading2"/>
      </w:pPr>
      <w:r w:rsidRPr="00D05CDC">
        <w:t>Results</w:t>
      </w:r>
    </w:p>
    <w:p w:rsidR="00E47881" w:rsidRDefault="00206B20" w:rsidP="00443945">
      <w:pPr>
        <w:pStyle w:val="BodyText"/>
      </w:pPr>
      <w:r>
        <w:t>Overall</w:t>
      </w:r>
      <w:r w:rsidR="007043C1">
        <w:t>,</w:t>
      </w:r>
      <w:r w:rsidR="0006728D" w:rsidRPr="009823C3">
        <w:t xml:space="preserve"> </w:t>
      </w:r>
      <w:r w:rsidR="007043C1">
        <w:t xml:space="preserve">the </w:t>
      </w:r>
      <w:r w:rsidR="008E1145">
        <w:t>performance of activities under</w:t>
      </w:r>
      <w:r w:rsidR="008E1145" w:rsidRPr="009823C3">
        <w:t xml:space="preserve"> this objective </w:t>
      </w:r>
      <w:r w:rsidR="00780A6E">
        <w:t>are rated</w:t>
      </w:r>
      <w:r w:rsidR="00D05CDC">
        <w:t xml:space="preserve"> amber</w:t>
      </w:r>
      <w:r>
        <w:t>, represent</w:t>
      </w:r>
      <w:r w:rsidR="007043C1">
        <w:t>ing</w:t>
      </w:r>
      <w:r>
        <w:t xml:space="preserve"> a decline in ratings from the </w:t>
      </w:r>
      <w:r w:rsidR="00D05CDC">
        <w:t>2011 APPR</w:t>
      </w:r>
      <w:r>
        <w:t xml:space="preserve">. </w:t>
      </w:r>
      <w:r w:rsidR="00D05CDC">
        <w:t xml:space="preserve"> S</w:t>
      </w:r>
      <w:r w:rsidR="0006728D" w:rsidRPr="009823C3">
        <w:t xml:space="preserve">ome activities require closer management to ensure </w:t>
      </w:r>
      <w:r w:rsidR="0006728D" w:rsidRPr="009823C3">
        <w:lastRenderedPageBreak/>
        <w:t>targets are met and development outcomes achieved.</w:t>
      </w:r>
      <w:r w:rsidR="00E51733">
        <w:t xml:space="preserve"> </w:t>
      </w:r>
      <w:r w:rsidR="0006728D" w:rsidRPr="009823C3">
        <w:t>In particular, e</w:t>
      </w:r>
      <w:r w:rsidR="00B36E0B" w:rsidRPr="009823C3">
        <w:t xml:space="preserve">stablishing the </w:t>
      </w:r>
      <w:r w:rsidR="0006728D" w:rsidRPr="009823C3">
        <w:t>volunteer</w:t>
      </w:r>
      <w:r w:rsidR="00B36E0B" w:rsidRPr="009823C3">
        <w:t xml:space="preserve"> program has been more complex and difficul</w:t>
      </w:r>
      <w:r w:rsidR="0006728D" w:rsidRPr="009823C3">
        <w:t xml:space="preserve">t than expected and </w:t>
      </w:r>
      <w:r w:rsidR="004B7C4B">
        <w:t xml:space="preserve">progress </w:t>
      </w:r>
      <w:r w:rsidR="0006728D" w:rsidRPr="009823C3">
        <w:t>is behind schedule</w:t>
      </w:r>
      <w:r w:rsidR="004B7C4B">
        <w:t xml:space="preserve">. </w:t>
      </w:r>
    </w:p>
    <w:p w:rsidR="00E51733" w:rsidRDefault="00E51733" w:rsidP="00443945">
      <w:pPr>
        <w:pStyle w:val="Heading3"/>
      </w:pPr>
      <w:r>
        <w:t>Australia Awards</w:t>
      </w:r>
    </w:p>
    <w:p w:rsidR="00D05CDC" w:rsidRDefault="004339A1" w:rsidP="00443945">
      <w:pPr>
        <w:pStyle w:val="BodyText"/>
      </w:pPr>
      <w:r w:rsidRPr="004D0922">
        <w:t>Australia Awards</w:t>
      </w:r>
      <w:r w:rsidR="00543423" w:rsidRPr="009823C3">
        <w:t xml:space="preserve"> is</w:t>
      </w:r>
      <w:r w:rsidRPr="009823C3">
        <w:t xml:space="preserve"> on</w:t>
      </w:r>
      <w:r w:rsidR="008A6B79">
        <w:t xml:space="preserve"> </w:t>
      </w:r>
      <w:r w:rsidRPr="009823C3">
        <w:t>track to meet the commitment of providing 110 scholarships to the Caribbean by June 2014. To date</w:t>
      </w:r>
      <w:r w:rsidR="004428E6">
        <w:t>,</w:t>
      </w:r>
      <w:r w:rsidRPr="009823C3">
        <w:t xml:space="preserve"> 89 scholarships and 38 fellowships have been awarded. </w:t>
      </w:r>
    </w:p>
    <w:p w:rsidR="004339A1" w:rsidRPr="00B85F21" w:rsidRDefault="004339A1" w:rsidP="00443945">
      <w:pPr>
        <w:pStyle w:val="BodyText"/>
      </w:pPr>
      <w:r w:rsidRPr="009823C3">
        <w:t xml:space="preserve">The </w:t>
      </w:r>
      <w:r w:rsidR="006855C4">
        <w:t>mid-term review</w:t>
      </w:r>
      <w:r w:rsidR="009823C3">
        <w:t xml:space="preserve"> </w:t>
      </w:r>
      <w:r w:rsidRPr="009823C3">
        <w:t>found that</w:t>
      </w:r>
      <w:r w:rsidR="00133622">
        <w:t xml:space="preserve"> </w:t>
      </w:r>
      <w:r w:rsidRPr="009823C3">
        <w:t xml:space="preserve">graduate scholarship recipients </w:t>
      </w:r>
      <w:r w:rsidR="009823C3">
        <w:t>who have</w:t>
      </w:r>
      <w:r w:rsidRPr="009823C3">
        <w:t xml:space="preserve"> returned to the Caribbean (30 from eight countries) are showing early signs of professional</w:t>
      </w:r>
      <w:r w:rsidRPr="00B85F21">
        <w:t xml:space="preserve"> development </w:t>
      </w:r>
      <w:r w:rsidR="004428E6">
        <w:t>through</w:t>
      </w:r>
      <w:r w:rsidR="004428E6" w:rsidRPr="00B85F21">
        <w:t xml:space="preserve"> </w:t>
      </w:r>
      <w:r w:rsidRPr="00B85F21">
        <w:t xml:space="preserve">enhanced global perspective, practical experience and </w:t>
      </w:r>
      <w:r w:rsidR="006855C4">
        <w:t xml:space="preserve">increased </w:t>
      </w:r>
      <w:r w:rsidRPr="00B85F21">
        <w:t xml:space="preserve">knowledge in their chosen </w:t>
      </w:r>
      <w:r w:rsidR="00135F7D" w:rsidRPr="00B85F21">
        <w:t>fields</w:t>
      </w:r>
      <w:r w:rsidR="006117CD">
        <w:t>.</w:t>
      </w:r>
      <w:r w:rsidR="00CD6372">
        <w:t xml:space="preserve"> </w:t>
      </w:r>
      <w:r w:rsidR="006117CD">
        <w:t>S</w:t>
      </w:r>
      <w:r w:rsidR="000D4770" w:rsidRPr="00B85F21">
        <w:t xml:space="preserve">cholarship opportunities have been well promoted across </w:t>
      </w:r>
      <w:r w:rsidR="000D4770" w:rsidRPr="009823C3">
        <w:t xml:space="preserve">CARICOM Member States, </w:t>
      </w:r>
      <w:r w:rsidR="004428E6">
        <w:t>which means</w:t>
      </w:r>
      <w:r w:rsidR="004428E6" w:rsidRPr="009823C3">
        <w:t xml:space="preserve"> </w:t>
      </w:r>
      <w:r w:rsidR="000D4770" w:rsidRPr="009823C3">
        <w:t>management of scholarships can now focus</w:t>
      </w:r>
      <w:r w:rsidR="00E51733">
        <w:t xml:space="preserve"> on strategic alignment with the program’s priorities and establishment of </w:t>
      </w:r>
      <w:r w:rsidR="006117CD">
        <w:t xml:space="preserve">an </w:t>
      </w:r>
      <w:r w:rsidR="00E51733">
        <w:t>alumni.</w:t>
      </w:r>
    </w:p>
    <w:p w:rsidR="004339A1" w:rsidRPr="009823C3" w:rsidRDefault="004339A1" w:rsidP="00443945">
      <w:pPr>
        <w:pStyle w:val="BodyText"/>
      </w:pPr>
      <w:r w:rsidRPr="009823C3">
        <w:t xml:space="preserve">Fellowships </w:t>
      </w:r>
      <w:r w:rsidR="009978C4" w:rsidRPr="009823C3">
        <w:t xml:space="preserve">have been provided </w:t>
      </w:r>
      <w:r w:rsidRPr="009823C3">
        <w:t xml:space="preserve">across 13 </w:t>
      </w:r>
      <w:r w:rsidR="009978C4" w:rsidRPr="009823C3">
        <w:t xml:space="preserve">Caribbean </w:t>
      </w:r>
      <w:r w:rsidRPr="009823C3">
        <w:t>countries in fisheries management, sports administration, HIV and health training</w:t>
      </w:r>
      <w:r w:rsidR="00090A64">
        <w:t>, producing meaningful results</w:t>
      </w:r>
      <w:r w:rsidR="00262919">
        <w:t xml:space="preserve">. </w:t>
      </w:r>
      <w:r w:rsidR="00090A64">
        <w:t>O</w:t>
      </w:r>
      <w:r w:rsidR="009978C4" w:rsidRPr="009823C3">
        <w:t xml:space="preserve">ne </w:t>
      </w:r>
      <w:r w:rsidRPr="009823C3">
        <w:t xml:space="preserve">fellowship </w:t>
      </w:r>
      <w:r w:rsidR="00543423" w:rsidRPr="009823C3">
        <w:t xml:space="preserve">that took place </w:t>
      </w:r>
      <w:r w:rsidRPr="009823C3">
        <w:t>in Wollongong</w:t>
      </w:r>
      <w:r w:rsidR="00090A64">
        <w:t xml:space="preserve">, </w:t>
      </w:r>
      <w:r w:rsidR="006117CD">
        <w:t xml:space="preserve">New South Wales, </w:t>
      </w:r>
      <w:r w:rsidR="00090A64">
        <w:t>for example,</w:t>
      </w:r>
      <w:r w:rsidRPr="009823C3">
        <w:t xml:space="preserve"> enabled officers from the Belize Fisheries Autho</w:t>
      </w:r>
      <w:r w:rsidR="009978C4" w:rsidRPr="009823C3">
        <w:t>rity to revise a five</w:t>
      </w:r>
      <w:r w:rsidRPr="009823C3">
        <w:t xml:space="preserve">-year fisheries management plan and </w:t>
      </w:r>
      <w:r w:rsidR="009978C4" w:rsidRPr="009823C3">
        <w:t>lead the development of a</w:t>
      </w:r>
      <w:r w:rsidRPr="009823C3">
        <w:t xml:space="preserve"> national natural resource management framework</w:t>
      </w:r>
      <w:r w:rsidR="00262919">
        <w:t xml:space="preserve">. </w:t>
      </w:r>
    </w:p>
    <w:p w:rsidR="00090A64" w:rsidRDefault="004339A1" w:rsidP="00443945">
      <w:pPr>
        <w:pStyle w:val="Heading3"/>
      </w:pPr>
      <w:r w:rsidRPr="009823C3">
        <w:t xml:space="preserve">Diplomatic </w:t>
      </w:r>
      <w:r w:rsidR="00090A64">
        <w:t>t</w:t>
      </w:r>
      <w:r w:rsidRPr="009823C3">
        <w:t>raining</w:t>
      </w:r>
    </w:p>
    <w:p w:rsidR="006855C4" w:rsidRDefault="00090A64" w:rsidP="00443945">
      <w:pPr>
        <w:pStyle w:val="BodyText"/>
      </w:pPr>
      <w:r>
        <w:t>Diplomatic training</w:t>
      </w:r>
      <w:r w:rsidR="004339A1" w:rsidRPr="009823C3">
        <w:t xml:space="preserve"> has been given to 51 Caribbean mid-level career diplomats since 2010, and 15 </w:t>
      </w:r>
      <w:r>
        <w:t xml:space="preserve">more </w:t>
      </w:r>
      <w:r w:rsidR="004339A1" w:rsidRPr="009823C3">
        <w:t>will receive tr</w:t>
      </w:r>
      <w:r w:rsidR="009823C3">
        <w:t xml:space="preserve">aining in 2013. This activity </w:t>
      </w:r>
      <w:r w:rsidR="004339A1" w:rsidRPr="009823C3">
        <w:t xml:space="preserve">is being implemented by the Australian National University and </w:t>
      </w:r>
      <w:r w:rsidR="007045F4">
        <w:t xml:space="preserve">the </w:t>
      </w:r>
      <w:r w:rsidR="009823C3">
        <w:t>U</w:t>
      </w:r>
      <w:r w:rsidR="007045F4">
        <w:t xml:space="preserve">niversity of </w:t>
      </w:r>
      <w:r w:rsidR="009823C3">
        <w:t>W</w:t>
      </w:r>
      <w:r w:rsidR="007045F4">
        <w:t xml:space="preserve">est </w:t>
      </w:r>
      <w:r w:rsidR="009823C3">
        <w:t>I</w:t>
      </w:r>
      <w:r w:rsidR="007045F4">
        <w:t>ndies</w:t>
      </w:r>
      <w:r w:rsidR="009823C3">
        <w:t xml:space="preserve">. </w:t>
      </w:r>
    </w:p>
    <w:p w:rsidR="00206B20" w:rsidRDefault="009823C3" w:rsidP="00443945">
      <w:pPr>
        <w:pStyle w:val="BodyText"/>
      </w:pPr>
      <w:r>
        <w:t>In April</w:t>
      </w:r>
      <w:r w:rsidR="004339A1" w:rsidRPr="009823C3">
        <w:t xml:space="preserve"> 2013</w:t>
      </w:r>
      <w:r w:rsidR="00090A64">
        <w:t>,</w:t>
      </w:r>
      <w:r w:rsidR="004339A1" w:rsidRPr="009823C3">
        <w:t xml:space="preserve"> the activity </w:t>
      </w:r>
      <w:r w:rsidR="00822351" w:rsidRPr="009823C3">
        <w:t xml:space="preserve">was </w:t>
      </w:r>
      <w:r w:rsidR="006855C4">
        <w:t>extended at no additional cost for</w:t>
      </w:r>
      <w:r w:rsidR="004339A1" w:rsidRPr="009823C3">
        <w:t xml:space="preserve"> a fourth round of training in August 2013. </w:t>
      </w:r>
      <w:r w:rsidR="006117CD">
        <w:t>It</w:t>
      </w:r>
      <w:r w:rsidR="004339A1" w:rsidRPr="009823C3">
        <w:t xml:space="preserve"> has fostered informal diplomatic networks between participants. </w:t>
      </w:r>
      <w:r w:rsidR="00543423" w:rsidRPr="009823C3">
        <w:t>Supporting this, p</w:t>
      </w:r>
      <w:r w:rsidR="004339A1" w:rsidRPr="009823C3">
        <w:t xml:space="preserve">articipants interviewed by </w:t>
      </w:r>
      <w:r w:rsidR="00090A64">
        <w:t xml:space="preserve">the Australian National University </w:t>
      </w:r>
      <w:r w:rsidR="004339A1" w:rsidRPr="009823C3">
        <w:t xml:space="preserve">stated that </w:t>
      </w:r>
      <w:r w:rsidR="004330C7">
        <w:t xml:space="preserve">their </w:t>
      </w:r>
      <w:r w:rsidR="004339A1" w:rsidRPr="009823C3">
        <w:t>training had developed their appreciation of Australia, its institutions, foreign policy and how it negotiates diplomatic challenges</w:t>
      </w:r>
      <w:r>
        <w:t>.</w:t>
      </w:r>
      <w:r w:rsidR="00822351" w:rsidRPr="009823C3">
        <w:rPr>
          <w:rStyle w:val="FootnoteReference"/>
          <w:rFonts w:eastAsia="Gulim"/>
        </w:rPr>
        <w:footnoteReference w:id="26"/>
      </w:r>
      <w:r w:rsidR="004339A1" w:rsidRPr="009823C3">
        <w:rPr>
          <w:rStyle w:val="FootnoteReference"/>
          <w:rFonts w:eastAsia="Gulim"/>
        </w:rPr>
        <w:t xml:space="preserve"> </w:t>
      </w:r>
      <w:r w:rsidR="00206B20">
        <w:rPr>
          <w:rFonts w:eastAsia="Gulim"/>
        </w:rPr>
        <w:t xml:space="preserve"> </w:t>
      </w:r>
    </w:p>
    <w:p w:rsidR="00090A64" w:rsidRDefault="00DD100C" w:rsidP="00443945">
      <w:pPr>
        <w:pStyle w:val="Heading3"/>
      </w:pPr>
      <w:r>
        <w:t xml:space="preserve">Australian </w:t>
      </w:r>
      <w:r w:rsidR="00090A64">
        <w:t>v</w:t>
      </w:r>
      <w:r w:rsidR="003048FF" w:rsidRPr="009823C3">
        <w:t>olunteers</w:t>
      </w:r>
    </w:p>
    <w:p w:rsidR="006855C4" w:rsidRDefault="003048FF" w:rsidP="00443945">
      <w:pPr>
        <w:pStyle w:val="BodyText"/>
      </w:pPr>
      <w:r w:rsidRPr="009823C3">
        <w:t xml:space="preserve">Up to 30 Australian volunteers </w:t>
      </w:r>
      <w:r w:rsidR="00BE39B6">
        <w:t xml:space="preserve">were </w:t>
      </w:r>
      <w:r w:rsidR="007C7CF1">
        <w:t xml:space="preserve">proposed </w:t>
      </w:r>
      <w:r w:rsidR="00BE39B6">
        <w:t>to be</w:t>
      </w:r>
      <w:r w:rsidRPr="009823C3">
        <w:t xml:space="preserve"> placed in Caribbean countries to increase skills and capacity in priority areas</w:t>
      </w:r>
      <w:r w:rsidR="00DA5A5B" w:rsidRPr="009823C3">
        <w:t xml:space="preserve"> over four</w:t>
      </w:r>
      <w:r w:rsidR="00090A64">
        <w:t xml:space="preserve"> </w:t>
      </w:r>
      <w:r w:rsidR="00DA5A5B" w:rsidRPr="009823C3">
        <w:t>years</w:t>
      </w:r>
      <w:r w:rsidR="009823C3">
        <w:t xml:space="preserve"> (</w:t>
      </w:r>
      <w:r w:rsidRPr="009823C3">
        <w:t>$4 million</w:t>
      </w:r>
      <w:r w:rsidR="00DA5A5B" w:rsidRPr="009823C3">
        <w:t xml:space="preserve">). </w:t>
      </w:r>
    </w:p>
    <w:p w:rsidR="006855C4" w:rsidRDefault="00DA5A5B" w:rsidP="00443945">
      <w:pPr>
        <w:pStyle w:val="BodyText"/>
      </w:pPr>
      <w:r w:rsidRPr="009823C3">
        <w:t>Th</w:t>
      </w:r>
      <w:r w:rsidR="00090A64">
        <w:t>is</w:t>
      </w:r>
      <w:r w:rsidRPr="009823C3">
        <w:t xml:space="preserve"> activity</w:t>
      </w:r>
      <w:r w:rsidR="00F7532D" w:rsidRPr="009823C3">
        <w:t xml:space="preserve"> has experienced</w:t>
      </w:r>
      <w:r w:rsidRPr="009823C3">
        <w:t xml:space="preserve"> </w:t>
      </w:r>
      <w:r w:rsidR="00F7532D" w:rsidRPr="009823C3">
        <w:t>difficulties in delivering results</w:t>
      </w:r>
      <w:r w:rsidR="00090A64">
        <w:t xml:space="preserve"> and </w:t>
      </w:r>
      <w:r w:rsidR="00F7532D" w:rsidRPr="009823C3">
        <w:t>only 10 volunteers</w:t>
      </w:r>
      <w:r w:rsidR="00090A64">
        <w:t xml:space="preserve"> </w:t>
      </w:r>
      <w:r w:rsidR="004330C7">
        <w:t xml:space="preserve">were placed by the end of </w:t>
      </w:r>
      <w:r w:rsidR="00206B20">
        <w:t>June 20</w:t>
      </w:r>
      <w:r w:rsidR="004330C7">
        <w:t>13</w:t>
      </w:r>
      <w:r w:rsidR="00F7532D" w:rsidRPr="009823C3">
        <w:t xml:space="preserve">. </w:t>
      </w:r>
      <w:r w:rsidR="00BE39B6">
        <w:t>Proposed volunteer placements have not always met country needs, evident by the number of requests</w:t>
      </w:r>
      <w:r w:rsidR="00262B11">
        <w:t xml:space="preserve"> to </w:t>
      </w:r>
      <w:r w:rsidR="00305A44">
        <w:t xml:space="preserve">Australia </w:t>
      </w:r>
      <w:r w:rsidR="00BE39B6">
        <w:t>for senior adviser placements instead. S</w:t>
      </w:r>
      <w:r w:rsidRPr="009823C3">
        <w:t>ome countries have delayed endors</w:t>
      </w:r>
      <w:r w:rsidR="00090A64">
        <w:t>ing</w:t>
      </w:r>
      <w:r w:rsidRPr="009823C3">
        <w:t xml:space="preserve"> placements with </w:t>
      </w:r>
      <w:r w:rsidR="00090A64">
        <w:t>non-government organisations</w:t>
      </w:r>
      <w:r w:rsidRPr="009823C3">
        <w:t xml:space="preserve"> until </w:t>
      </w:r>
      <w:r w:rsidR="00262B11">
        <w:t xml:space="preserve">the </w:t>
      </w:r>
      <w:r w:rsidRPr="009823C3">
        <w:t xml:space="preserve">volunteers have </w:t>
      </w:r>
      <w:r w:rsidR="00563205" w:rsidRPr="009823C3">
        <w:t xml:space="preserve">first </w:t>
      </w:r>
      <w:r w:rsidRPr="009823C3">
        <w:t>been placed in government departments.</w:t>
      </w:r>
      <w:r w:rsidR="00BE39B6">
        <w:t xml:space="preserve"> </w:t>
      </w:r>
      <w:r w:rsidRPr="009823C3">
        <w:t xml:space="preserve"> </w:t>
      </w:r>
    </w:p>
    <w:p w:rsidR="005C7141" w:rsidRPr="009823C3" w:rsidRDefault="00563205" w:rsidP="00443945">
      <w:pPr>
        <w:pStyle w:val="BodyText"/>
      </w:pPr>
      <w:r w:rsidRPr="009823C3">
        <w:t xml:space="preserve">These factors have </w:t>
      </w:r>
      <w:r w:rsidR="00090A64">
        <w:t xml:space="preserve">had an </w:t>
      </w:r>
      <w:r w:rsidRPr="009823C3">
        <w:t xml:space="preserve">impact on Australia’s ability to meet target numbers. Acknowledging </w:t>
      </w:r>
      <w:r w:rsidR="00262B11">
        <w:t xml:space="preserve">the </w:t>
      </w:r>
      <w:r w:rsidRPr="009823C3">
        <w:t>complexities</w:t>
      </w:r>
      <w:r w:rsidR="00262B11">
        <w:t xml:space="preserve"> involved</w:t>
      </w:r>
      <w:r w:rsidR="00206B20">
        <w:t xml:space="preserve"> such as security issues</w:t>
      </w:r>
      <w:r w:rsidRPr="009823C3">
        <w:t xml:space="preserve">, </w:t>
      </w:r>
      <w:r w:rsidR="00E40969">
        <w:t xml:space="preserve">with </w:t>
      </w:r>
      <w:r w:rsidR="00090A64">
        <w:t>our</w:t>
      </w:r>
      <w:r w:rsidR="00090A64" w:rsidRPr="009823C3">
        <w:t xml:space="preserve"> </w:t>
      </w:r>
      <w:r w:rsidR="003048FF" w:rsidRPr="009823C3">
        <w:t xml:space="preserve">implementing partner, </w:t>
      </w:r>
      <w:proofErr w:type="spellStart"/>
      <w:r w:rsidR="003048FF" w:rsidRPr="009823C3">
        <w:t>Austraining</w:t>
      </w:r>
      <w:proofErr w:type="spellEnd"/>
      <w:r w:rsidR="003048FF" w:rsidRPr="009823C3">
        <w:t xml:space="preserve"> International, </w:t>
      </w:r>
      <w:r w:rsidR="00E40969">
        <w:t xml:space="preserve">Australia </w:t>
      </w:r>
      <w:r w:rsidR="003048FF" w:rsidRPr="009823C3">
        <w:t>recently modif</w:t>
      </w:r>
      <w:r w:rsidRPr="009823C3">
        <w:t>ied</w:t>
      </w:r>
      <w:r w:rsidR="003048FF" w:rsidRPr="009823C3">
        <w:t xml:space="preserve"> the</w:t>
      </w:r>
      <w:r w:rsidR="00090A64">
        <w:t xml:space="preserve"> initiative’s</w:t>
      </w:r>
      <w:r w:rsidR="003048FF" w:rsidRPr="009823C3">
        <w:t xml:space="preserve"> approach and </w:t>
      </w:r>
      <w:r w:rsidR="00F7532D" w:rsidRPr="009823C3">
        <w:t>Australia will now place up to 30 voluntee</w:t>
      </w:r>
      <w:r w:rsidR="003048FF" w:rsidRPr="009823C3">
        <w:t>rs in the region by June 2014 (with placements to be completed by June 2015).</w:t>
      </w:r>
      <w:r w:rsidR="004808CF" w:rsidRPr="009823C3">
        <w:rPr>
          <w:rStyle w:val="FootnoteReference"/>
          <w:rFonts w:eastAsia="Gulim"/>
        </w:rPr>
        <w:footnoteReference w:id="27"/>
      </w:r>
      <w:r w:rsidR="00683EF9" w:rsidRPr="009823C3">
        <w:t xml:space="preserve"> </w:t>
      </w:r>
    </w:p>
    <w:p w:rsidR="00090A64" w:rsidRDefault="004339A1" w:rsidP="00443945">
      <w:pPr>
        <w:pStyle w:val="Heading3"/>
      </w:pPr>
      <w:r w:rsidRPr="009823C3">
        <w:t>Aust</w:t>
      </w:r>
      <w:r w:rsidR="004B5455" w:rsidRPr="009823C3">
        <w:t>ralian Sports Outreach Program</w:t>
      </w:r>
      <w:r w:rsidR="00690FB1" w:rsidRPr="009823C3">
        <w:t xml:space="preserve"> </w:t>
      </w:r>
      <w:r w:rsidR="00207DEA" w:rsidRPr="009823C3">
        <w:t>Caribbean</w:t>
      </w:r>
    </w:p>
    <w:p w:rsidR="006855C4" w:rsidRDefault="00090A64" w:rsidP="00443945">
      <w:pPr>
        <w:pStyle w:val="BodyText"/>
      </w:pPr>
      <w:r>
        <w:t>Th</w:t>
      </w:r>
      <w:r w:rsidR="00262B11">
        <w:t>e ASOP Caribbean</w:t>
      </w:r>
      <w:r>
        <w:t xml:space="preserve"> </w:t>
      </w:r>
      <w:r w:rsidR="00100C70">
        <w:t>P</w:t>
      </w:r>
      <w:r>
        <w:t>rogram</w:t>
      </w:r>
      <w:r w:rsidR="00262B11">
        <w:t xml:space="preserve"> </w:t>
      </w:r>
      <w:r>
        <w:t>includes</w:t>
      </w:r>
      <w:r w:rsidRPr="009823C3">
        <w:t xml:space="preserve"> </w:t>
      </w:r>
      <w:r w:rsidR="00690FB1" w:rsidRPr="009823C3">
        <w:t>activities focus</w:t>
      </w:r>
      <w:r>
        <w:t>ing</w:t>
      </w:r>
      <w:r w:rsidR="00690FB1" w:rsidRPr="009823C3">
        <w:t xml:space="preserve"> on teaching life skills and healthy living to promote a healthy, productive and harmonious Caribbean society. </w:t>
      </w:r>
      <w:r w:rsidR="00567E3E" w:rsidRPr="009823C3">
        <w:t xml:space="preserve">ASOP Caribbean </w:t>
      </w:r>
      <w:r w:rsidR="00567E3E" w:rsidRPr="009823C3">
        <w:lastRenderedPageBreak/>
        <w:t xml:space="preserve">is managed by the Australian Sports Commission and implemented in the region by the Caribbean Sport and Development Agency. </w:t>
      </w:r>
    </w:p>
    <w:p w:rsidR="006855C4" w:rsidRDefault="00690FB1" w:rsidP="00443945">
      <w:pPr>
        <w:pStyle w:val="BodyText"/>
      </w:pPr>
      <w:r w:rsidRPr="009823C3">
        <w:t xml:space="preserve">ASOP </w:t>
      </w:r>
      <w:r w:rsidR="00567E3E" w:rsidRPr="009823C3">
        <w:t xml:space="preserve">Caribbean </w:t>
      </w:r>
      <w:r w:rsidRPr="009823C3">
        <w:t>engages youth and those with disability in physical activities</w:t>
      </w:r>
      <w:r w:rsidR="00567E3E" w:rsidRPr="009823C3">
        <w:t xml:space="preserve">. For example, it </w:t>
      </w:r>
      <w:r w:rsidRPr="009823C3">
        <w:t>fund</w:t>
      </w:r>
      <w:r w:rsidR="00567E3E" w:rsidRPr="009823C3">
        <w:t>s</w:t>
      </w:r>
      <w:r w:rsidRPr="009823C3">
        <w:t xml:space="preserve"> Caribbean Paralympic organisations</w:t>
      </w:r>
      <w:r w:rsidR="00567E3E" w:rsidRPr="009823C3">
        <w:t xml:space="preserve"> </w:t>
      </w:r>
      <w:r w:rsidRPr="009823C3">
        <w:t>and train</w:t>
      </w:r>
      <w:r w:rsidR="00567E3E" w:rsidRPr="009823C3">
        <w:t>s</w:t>
      </w:r>
      <w:r w:rsidRPr="009823C3">
        <w:t xml:space="preserve"> and mentor</w:t>
      </w:r>
      <w:r w:rsidR="00567E3E" w:rsidRPr="009823C3">
        <w:t>s</w:t>
      </w:r>
      <w:r w:rsidRPr="009823C3">
        <w:t xml:space="preserve"> physical education teachers and community leaders. </w:t>
      </w:r>
    </w:p>
    <w:p w:rsidR="006855C4" w:rsidRDefault="00836852" w:rsidP="00443945">
      <w:pPr>
        <w:pStyle w:val="BodyText"/>
      </w:pPr>
      <w:r w:rsidRPr="009823C3">
        <w:t>T</w:t>
      </w:r>
      <w:r w:rsidR="00831E0F" w:rsidRPr="009823C3">
        <w:t>he</w:t>
      </w:r>
      <w:r w:rsidRPr="009823C3">
        <w:t xml:space="preserve"> </w:t>
      </w:r>
      <w:r w:rsidR="006855C4">
        <w:t xml:space="preserve">mid-term review </w:t>
      </w:r>
      <w:r w:rsidRPr="009823C3">
        <w:t>found that</w:t>
      </w:r>
      <w:r w:rsidR="006855C4">
        <w:t>:</w:t>
      </w:r>
    </w:p>
    <w:p w:rsidR="006855C4" w:rsidRDefault="00836852" w:rsidP="00443945">
      <w:pPr>
        <w:pStyle w:val="ListBullet"/>
      </w:pPr>
      <w:r w:rsidRPr="009823C3">
        <w:t>the</w:t>
      </w:r>
      <w:r w:rsidR="00831E0F" w:rsidRPr="009823C3">
        <w:t xml:space="preserve"> activity is meet</w:t>
      </w:r>
      <w:r w:rsidRPr="009823C3">
        <w:t>ing</w:t>
      </w:r>
      <w:r w:rsidR="00831E0F" w:rsidRPr="009823C3">
        <w:t xml:space="preserve"> pre</w:t>
      </w:r>
      <w:r w:rsidR="00090A64">
        <w:t>-</w:t>
      </w:r>
      <w:r w:rsidR="00831E0F" w:rsidRPr="009823C3">
        <w:t>determined development outputs</w:t>
      </w:r>
    </w:p>
    <w:p w:rsidR="006855C4" w:rsidRDefault="00090A64" w:rsidP="00443945">
      <w:pPr>
        <w:pStyle w:val="ListBullet"/>
      </w:pPr>
      <w:r>
        <w:t>the Caribbean Sport and Development Agency</w:t>
      </w:r>
      <w:r w:rsidR="004B7C4B" w:rsidRPr="004B7C4B">
        <w:t xml:space="preserve"> report</w:t>
      </w:r>
      <w:r w:rsidR="006855C4">
        <w:t>ed</w:t>
      </w:r>
      <w:r w:rsidR="004B7C4B" w:rsidRPr="004B7C4B">
        <w:t xml:space="preserve"> that Australian support reached 8240 participants and 387 activity leaders (58 per cent women and girls)</w:t>
      </w:r>
    </w:p>
    <w:p w:rsidR="006855C4" w:rsidRDefault="004B7C4B" w:rsidP="00443945">
      <w:pPr>
        <w:pStyle w:val="ListBullet"/>
      </w:pPr>
      <w:proofErr w:type="gramStart"/>
      <w:r w:rsidRPr="004B7C4B">
        <w:t>in</w:t>
      </w:r>
      <w:proofErr w:type="gramEnd"/>
      <w:r w:rsidRPr="004B7C4B">
        <w:t xml:space="preserve"> 2011</w:t>
      </w:r>
      <w:r w:rsidR="00090A64">
        <w:t>–</w:t>
      </w:r>
      <w:r w:rsidRPr="004B7C4B">
        <w:t>12 the combined activities reached more than 821 children with disability (a 37 per cent increase on the previous year) and this is now institutionalised in the primary school curriculum.</w:t>
      </w:r>
    </w:p>
    <w:p w:rsidR="000F4086" w:rsidRDefault="004B7C4B" w:rsidP="00443945">
      <w:pPr>
        <w:pStyle w:val="BodyText"/>
      </w:pPr>
      <w:r w:rsidRPr="004B7C4B">
        <w:t>T</w:t>
      </w:r>
      <w:r w:rsidR="00090A64">
        <w:t>he program</w:t>
      </w:r>
      <w:r w:rsidR="00E51733">
        <w:t xml:space="preserve"> is not without challenges</w:t>
      </w:r>
      <w:r w:rsidR="00090A64">
        <w:t>. F</w:t>
      </w:r>
      <w:r w:rsidRPr="004B7C4B">
        <w:t>or example</w:t>
      </w:r>
      <w:r w:rsidR="00090A64">
        <w:t>,</w:t>
      </w:r>
      <w:r w:rsidRPr="004B7C4B">
        <w:t xml:space="preserve"> </w:t>
      </w:r>
      <w:r w:rsidR="004D0922">
        <w:t xml:space="preserve">it is difficult to judge </w:t>
      </w:r>
      <w:r w:rsidR="00090A64">
        <w:t xml:space="preserve">if </w:t>
      </w:r>
      <w:r w:rsidR="004D0922">
        <w:t xml:space="preserve">outputs </w:t>
      </w:r>
      <w:r w:rsidR="001373D8">
        <w:t xml:space="preserve">are </w:t>
      </w:r>
      <w:r w:rsidR="004D0922">
        <w:t>achiev</w:t>
      </w:r>
      <w:r w:rsidR="001373D8">
        <w:t>ing</w:t>
      </w:r>
      <w:r w:rsidR="004D0922">
        <w:t xml:space="preserve"> development outcomes.</w:t>
      </w:r>
      <w:r w:rsidR="000F4086">
        <w:t xml:space="preserve"> The mid-term review found that the program operated with overhead and support costs in excess of 40 per cent of the program budget. It r</w:t>
      </w:r>
      <w:r w:rsidR="006855C4">
        <w:t xml:space="preserve">ecommended that </w:t>
      </w:r>
      <w:r w:rsidRPr="004B7C4B">
        <w:t xml:space="preserve">ASOP Caribbean </w:t>
      </w:r>
      <w:r w:rsidR="006855C4">
        <w:t>should</w:t>
      </w:r>
      <w:r w:rsidR="000F4086">
        <w:t xml:space="preserve"> </w:t>
      </w:r>
      <w:r w:rsidRPr="004B7C4B">
        <w:t>focus on development results and end-of-program outcomes</w:t>
      </w:r>
      <w:r w:rsidR="000F4086">
        <w:t xml:space="preserve">. This would bring ASOP Caribbean in line with </w:t>
      </w:r>
      <w:r w:rsidR="0078693A">
        <w:t xml:space="preserve">the department’s </w:t>
      </w:r>
      <w:r w:rsidR="001373D8">
        <w:t xml:space="preserve">new </w:t>
      </w:r>
      <w:r w:rsidRPr="004B7C4B">
        <w:t>development results</w:t>
      </w:r>
      <w:r w:rsidR="00090A64">
        <w:t>-</w:t>
      </w:r>
      <w:r w:rsidRPr="004B7C4B">
        <w:t xml:space="preserve">focused approach </w:t>
      </w:r>
      <w:r w:rsidR="001373D8">
        <w:t>to</w:t>
      </w:r>
      <w:r w:rsidR="00833D23">
        <w:t xml:space="preserve"> development-through-sports work</w:t>
      </w:r>
      <w:r w:rsidRPr="004B7C4B">
        <w:t>.</w:t>
      </w:r>
      <w:r w:rsidR="00E51733">
        <w:t xml:space="preserve"> This activity is in its final year of implementation.</w:t>
      </w:r>
    </w:p>
    <w:p w:rsidR="00751B48" w:rsidRDefault="00751B48" w:rsidP="000F4086">
      <w:pPr>
        <w:pStyle w:val="Heading2"/>
      </w:pPr>
      <w:r>
        <w:t>Future directions</w:t>
      </w:r>
    </w:p>
    <w:p w:rsidR="00D106E7" w:rsidRDefault="00623DE5" w:rsidP="00443945">
      <w:pPr>
        <w:pStyle w:val="BodyText"/>
      </w:pPr>
      <w:r w:rsidRPr="00D106E7">
        <w:t>In 2013</w:t>
      </w:r>
      <w:r w:rsidR="00BD47D2">
        <w:t>–</w:t>
      </w:r>
      <w:r w:rsidRPr="00D106E7">
        <w:t xml:space="preserve">14 the Caribbean program will </w:t>
      </w:r>
      <w:r w:rsidR="00090A64">
        <w:t>begin to consolidate</w:t>
      </w:r>
      <w:r w:rsidR="00090A64" w:rsidRPr="00D106E7">
        <w:t xml:space="preserve"> </w:t>
      </w:r>
      <w:r w:rsidRPr="00D106E7">
        <w:t>program</w:t>
      </w:r>
      <w:r w:rsidR="00090A64">
        <w:t>s</w:t>
      </w:r>
      <w:r w:rsidR="00BD5D5D">
        <w:t xml:space="preserve"> </w:t>
      </w:r>
      <w:r w:rsidR="00D106E7">
        <w:t>through the natural attrition of some extant activities. The d</w:t>
      </w:r>
      <w:r w:rsidRPr="00D106E7">
        <w:t xml:space="preserve">iplomatic training </w:t>
      </w:r>
      <w:r w:rsidR="00D106E7">
        <w:t xml:space="preserve">program will draw to a close, </w:t>
      </w:r>
      <w:r w:rsidRPr="00D106E7">
        <w:t xml:space="preserve">and ASOP Caribbean activities </w:t>
      </w:r>
      <w:r w:rsidR="00D106E7">
        <w:t xml:space="preserve">will be reviewed subject to the agreed management response to the </w:t>
      </w:r>
      <w:r w:rsidR="007045F4">
        <w:t>mid-term review</w:t>
      </w:r>
      <w:r w:rsidR="00D106E7">
        <w:t xml:space="preserve"> recommendations.</w:t>
      </w:r>
      <w:r w:rsidR="001373D8" w:rsidRPr="00D106E7">
        <w:t xml:space="preserve"> The sustainability of </w:t>
      </w:r>
      <w:r w:rsidR="00971F7B" w:rsidRPr="00D106E7">
        <w:t xml:space="preserve">the </w:t>
      </w:r>
      <w:r w:rsidR="001373D8" w:rsidRPr="00D106E7">
        <w:t xml:space="preserve">links established through these activities will be reviewed after they are </w:t>
      </w:r>
      <w:r w:rsidR="00971F7B" w:rsidRPr="00D106E7">
        <w:t>completed</w:t>
      </w:r>
      <w:r w:rsidR="001373D8" w:rsidRPr="00D106E7">
        <w:t xml:space="preserve"> to determine impact and confirm</w:t>
      </w:r>
      <w:r w:rsidR="00971F7B" w:rsidRPr="00D106E7">
        <w:t xml:space="preserve"> </w:t>
      </w:r>
      <w:r w:rsidR="001373D8" w:rsidRPr="00D106E7">
        <w:t>lessons learned.</w:t>
      </w:r>
    </w:p>
    <w:p w:rsidR="00E02F43" w:rsidRPr="00FD7616" w:rsidRDefault="006C4831" w:rsidP="00FD7616">
      <w:pPr>
        <w:keepNext/>
        <w:spacing w:before="360" w:after="120"/>
        <w:outlineLvl w:val="1"/>
        <w:rPr>
          <w:rFonts w:ascii="Franklin Gothic Demi" w:eastAsia="Gulim" w:hAnsi="Franklin Gothic Demi" w:cs="Gulim"/>
          <w:color w:val="AD495D"/>
          <w:sz w:val="24"/>
          <w:lang w:eastAsia="ko-KR"/>
        </w:rPr>
      </w:pPr>
      <w:r w:rsidRPr="00FD7616">
        <w:rPr>
          <w:rFonts w:ascii="Franklin Gothic Demi" w:eastAsia="Gulim" w:hAnsi="Franklin Gothic Demi" w:cs="Gulim"/>
          <w:color w:val="AD495D"/>
          <w:sz w:val="24"/>
          <w:lang w:eastAsia="ko-KR"/>
        </w:rPr>
        <w:t xml:space="preserve">Direct </w:t>
      </w:r>
      <w:r w:rsidR="00BD5D5D" w:rsidRPr="00FD7616">
        <w:rPr>
          <w:rFonts w:ascii="Franklin Gothic Demi" w:eastAsia="Gulim" w:hAnsi="Franklin Gothic Demi" w:cs="Gulim"/>
          <w:color w:val="AD495D"/>
          <w:sz w:val="24"/>
          <w:lang w:eastAsia="ko-KR"/>
        </w:rPr>
        <w:t>a</w:t>
      </w:r>
      <w:r w:rsidRPr="00FD7616">
        <w:rPr>
          <w:rFonts w:ascii="Franklin Gothic Demi" w:eastAsia="Gulim" w:hAnsi="Franklin Gothic Demi" w:cs="Gulim"/>
          <w:color w:val="AD495D"/>
          <w:sz w:val="24"/>
          <w:lang w:eastAsia="ko-KR"/>
        </w:rPr>
        <w:t xml:space="preserve">ssistance </w:t>
      </w:r>
    </w:p>
    <w:p w:rsidR="000C0B76" w:rsidRPr="00F92364" w:rsidRDefault="000F4086" w:rsidP="00443945">
      <w:pPr>
        <w:pStyle w:val="BodyText"/>
      </w:pPr>
      <w:r>
        <w:t>In addition to assistance for objectives 1</w:t>
      </w:r>
      <w:r w:rsidR="00262B11">
        <w:t xml:space="preserve"> to </w:t>
      </w:r>
      <w:r>
        <w:t>3, t</w:t>
      </w:r>
      <w:r w:rsidR="00D106E7">
        <w:t xml:space="preserve">he </w:t>
      </w:r>
      <w:r w:rsidR="002A7C5D">
        <w:t xml:space="preserve">Caribbean </w:t>
      </w:r>
      <w:r w:rsidR="00D106E7">
        <w:t xml:space="preserve">program provides </w:t>
      </w:r>
      <w:r w:rsidR="00A026A0">
        <w:t xml:space="preserve">direct assistance </w:t>
      </w:r>
      <w:r>
        <w:t xml:space="preserve">in response to </w:t>
      </w:r>
      <w:r w:rsidR="00A026A0">
        <w:t>emerging issues</w:t>
      </w:r>
      <w:r w:rsidR="00F92364">
        <w:t xml:space="preserve">. </w:t>
      </w:r>
      <w:r>
        <w:t>This</w:t>
      </w:r>
      <w:r w:rsidR="00DD100C" w:rsidRPr="00F92364">
        <w:t xml:space="preserve"> flexible </w:t>
      </w:r>
      <w:r w:rsidR="008D3AFD">
        <w:t>support</w:t>
      </w:r>
      <w:r w:rsidR="00F92364">
        <w:t xml:space="preserve"> has </w:t>
      </w:r>
      <w:r w:rsidR="00DD100C" w:rsidRPr="00F92364">
        <w:t>enable</w:t>
      </w:r>
      <w:r w:rsidR="00F92364" w:rsidRPr="00F92364">
        <w:t>d</w:t>
      </w:r>
      <w:r w:rsidR="00DD100C" w:rsidRPr="00F92364">
        <w:t xml:space="preserve"> Australia </w:t>
      </w:r>
      <w:r w:rsidR="00F92364">
        <w:t xml:space="preserve">to </w:t>
      </w:r>
      <w:r w:rsidR="00DD100C" w:rsidRPr="00F92364">
        <w:t>broade</w:t>
      </w:r>
      <w:r w:rsidR="00F92364">
        <w:t>n</w:t>
      </w:r>
      <w:r w:rsidR="00DD100C" w:rsidRPr="00F92364">
        <w:t xml:space="preserve"> engagement across the region and respond quickly to </w:t>
      </w:r>
      <w:r w:rsidR="00191BB1">
        <w:t xml:space="preserve">development issues relevant to small island developing states, and </w:t>
      </w:r>
      <w:r w:rsidR="00F92364">
        <w:t xml:space="preserve">humanitarian </w:t>
      </w:r>
      <w:r w:rsidR="00DD100C" w:rsidRPr="00F92364">
        <w:t xml:space="preserve">needs. </w:t>
      </w:r>
      <w:r w:rsidR="000E43B3">
        <w:t xml:space="preserve">Direct assistance is making a difference to the lives of vulnerable people, building capacity and </w:t>
      </w:r>
      <w:r w:rsidR="000E43B3" w:rsidRPr="00F92364">
        <w:t>supporting Caribbean governments and other key stakeholders</w:t>
      </w:r>
      <w:r w:rsidR="00660ACB">
        <w:t>—</w:t>
      </w:r>
      <w:r w:rsidR="000E43B3" w:rsidRPr="00F92364">
        <w:t>such as CARICOM and the Organisation of Eastern Caribbean States</w:t>
      </w:r>
      <w:r w:rsidR="00660ACB">
        <w:t>—</w:t>
      </w:r>
      <w:r w:rsidR="003F7868" w:rsidRPr="00F92364">
        <w:t xml:space="preserve">to respond to local needs. </w:t>
      </w:r>
    </w:p>
    <w:p w:rsidR="00660ACB" w:rsidRDefault="000F4086" w:rsidP="00443945">
      <w:pPr>
        <w:pStyle w:val="BodyText"/>
      </w:pPr>
      <w:r>
        <w:t>Direct assistance activities funded in the Caribbean in 2012–13</w:t>
      </w:r>
      <w:r w:rsidR="000E43B3" w:rsidRPr="00F92364">
        <w:t xml:space="preserve"> </w:t>
      </w:r>
      <w:r w:rsidR="0096621E" w:rsidRPr="00F92364">
        <w:t>include</w:t>
      </w:r>
      <w:r>
        <w:t>d</w:t>
      </w:r>
      <w:r w:rsidR="00660ACB">
        <w:t>:</w:t>
      </w:r>
    </w:p>
    <w:p w:rsidR="00660ACB" w:rsidRDefault="0096621E" w:rsidP="00443945">
      <w:pPr>
        <w:pStyle w:val="ListBullet"/>
      </w:pPr>
      <w:r w:rsidRPr="00F92364">
        <w:t xml:space="preserve">rebuilding </w:t>
      </w:r>
      <w:r w:rsidR="000E43B3" w:rsidRPr="00F92364">
        <w:t xml:space="preserve">the </w:t>
      </w:r>
      <w:r w:rsidRPr="00F92364">
        <w:t>St Jude Hospital damaged by fire in St Lucia</w:t>
      </w:r>
    </w:p>
    <w:p w:rsidR="00660ACB" w:rsidRDefault="00BE39B6" w:rsidP="00443945">
      <w:pPr>
        <w:pStyle w:val="ListBullet"/>
      </w:pPr>
      <w:r>
        <w:t xml:space="preserve">planning for the </w:t>
      </w:r>
      <w:r w:rsidR="00660ACB">
        <w:t>rebuilding</w:t>
      </w:r>
      <w:r w:rsidR="0096621E" w:rsidRPr="00F92364">
        <w:t xml:space="preserve"> the Parliament House in Grenada destroyed by Hurricane Ivan</w:t>
      </w:r>
    </w:p>
    <w:p w:rsidR="00660ACB" w:rsidRDefault="00676F8B" w:rsidP="00443945">
      <w:pPr>
        <w:pStyle w:val="ListBullet"/>
      </w:pPr>
      <w:r>
        <w:t xml:space="preserve">continuing support to the </w:t>
      </w:r>
      <w:r w:rsidR="002563DC">
        <w:t xml:space="preserve">earthquake recovery and cholera outbreaks in Haiti </w:t>
      </w:r>
      <w:r w:rsidR="000E43B3" w:rsidRPr="00F92364">
        <w:t>by</w:t>
      </w:r>
      <w:r w:rsidR="0096621E" w:rsidRPr="00F92364">
        <w:t xml:space="preserve"> building 150 water tanks</w:t>
      </w:r>
      <w:r w:rsidR="002563DC">
        <w:t>,</w:t>
      </w:r>
      <w:r w:rsidR="0096621E" w:rsidRPr="00F92364">
        <w:t xml:space="preserve"> 20 community toilet blocks and hand-washing stations</w:t>
      </w:r>
      <w:r w:rsidR="002563DC">
        <w:t>, re</w:t>
      </w:r>
      <w:r w:rsidR="00C53A66">
        <w:t>vitalising</w:t>
      </w:r>
      <w:r w:rsidR="002563DC">
        <w:t xml:space="preserve"> agriculture by providing seeds and beans to farmers</w:t>
      </w:r>
    </w:p>
    <w:p w:rsidR="001B6E10" w:rsidRPr="00D55355" w:rsidRDefault="003F7868" w:rsidP="00443945">
      <w:pPr>
        <w:pStyle w:val="ListBullet"/>
        <w:rPr>
          <w:szCs w:val="22"/>
        </w:rPr>
      </w:pPr>
      <w:r w:rsidRPr="00F92364">
        <w:t xml:space="preserve">responding again </w:t>
      </w:r>
      <w:r w:rsidR="00BE39B6">
        <w:t xml:space="preserve">to Haiti </w:t>
      </w:r>
      <w:r w:rsidRPr="00F92364">
        <w:t>following H</w:t>
      </w:r>
      <w:r w:rsidR="00DA65F6" w:rsidRPr="00F92364">
        <w:t xml:space="preserve">urricane Sandy in </w:t>
      </w:r>
      <w:r w:rsidR="00676F8B">
        <w:t>October</w:t>
      </w:r>
      <w:r w:rsidR="00F92364">
        <w:t xml:space="preserve"> 2012</w:t>
      </w:r>
      <w:r w:rsidR="00660ACB">
        <w:t xml:space="preserve"> </w:t>
      </w:r>
      <w:r w:rsidR="005E6716">
        <w:t>by</w:t>
      </w:r>
      <w:r w:rsidR="00E87656">
        <w:t>:</w:t>
      </w:r>
      <w:r w:rsidR="005E6716">
        <w:t xml:space="preserve"> providing additional humanitarian assistance</w:t>
      </w:r>
      <w:r w:rsidR="00BE39B6">
        <w:t xml:space="preserve"> </w:t>
      </w:r>
      <w:r w:rsidR="00D55355">
        <w:t>for improved san</w:t>
      </w:r>
      <w:r w:rsidR="00BE39B6">
        <w:t>itation infrastructure</w:t>
      </w:r>
      <w:r w:rsidR="00D55355">
        <w:t xml:space="preserve"> and hygien</w:t>
      </w:r>
      <w:r w:rsidR="00BE39B6">
        <w:t>e promotion</w:t>
      </w:r>
      <w:r w:rsidR="00E87656">
        <w:t xml:space="preserve">; </w:t>
      </w:r>
      <w:r w:rsidR="005E6716" w:rsidRPr="00BE39B6">
        <w:rPr>
          <w:szCs w:val="22"/>
        </w:rPr>
        <w:t>s</w:t>
      </w:r>
      <w:r w:rsidR="0096621E" w:rsidRPr="00BE39B6">
        <w:rPr>
          <w:szCs w:val="22"/>
        </w:rPr>
        <w:t>upport</w:t>
      </w:r>
      <w:r w:rsidR="005E6716" w:rsidRPr="00BE39B6">
        <w:rPr>
          <w:szCs w:val="22"/>
        </w:rPr>
        <w:t>ing</w:t>
      </w:r>
      <w:r w:rsidR="0096621E" w:rsidRPr="00BE39B6">
        <w:rPr>
          <w:szCs w:val="22"/>
        </w:rPr>
        <w:t xml:space="preserve"> regional development challen</w:t>
      </w:r>
      <w:r w:rsidR="005E6716" w:rsidRPr="00BE39B6">
        <w:rPr>
          <w:szCs w:val="22"/>
        </w:rPr>
        <w:t>ges such as land registration</w:t>
      </w:r>
      <w:r w:rsidR="00E87656">
        <w:rPr>
          <w:szCs w:val="22"/>
        </w:rPr>
        <w:t>;</w:t>
      </w:r>
      <w:r w:rsidR="005E6716" w:rsidRPr="00BE39B6">
        <w:rPr>
          <w:szCs w:val="22"/>
        </w:rPr>
        <w:t xml:space="preserve"> and</w:t>
      </w:r>
      <w:r w:rsidR="00CD6372">
        <w:rPr>
          <w:szCs w:val="22"/>
        </w:rPr>
        <w:t>,</w:t>
      </w:r>
      <w:r w:rsidR="005E6716" w:rsidRPr="00BE39B6">
        <w:rPr>
          <w:szCs w:val="22"/>
        </w:rPr>
        <w:t xml:space="preserve"> </w:t>
      </w:r>
      <w:r w:rsidR="00E87656">
        <w:rPr>
          <w:szCs w:val="22"/>
        </w:rPr>
        <w:lastRenderedPageBreak/>
        <w:t xml:space="preserve">supporting </w:t>
      </w:r>
      <w:r w:rsidR="005E6716" w:rsidRPr="00BE39B6">
        <w:rPr>
          <w:szCs w:val="22"/>
        </w:rPr>
        <w:t>coral reef manag</w:t>
      </w:r>
      <w:r w:rsidR="005E6716" w:rsidRPr="00D55355">
        <w:rPr>
          <w:szCs w:val="22"/>
        </w:rPr>
        <w:t>ement (</w:t>
      </w:r>
      <w:r w:rsidR="00892599">
        <w:rPr>
          <w:szCs w:val="22"/>
        </w:rPr>
        <w:t>for example</w:t>
      </w:r>
      <w:r w:rsidR="007045F4" w:rsidRPr="00D55355">
        <w:rPr>
          <w:szCs w:val="22"/>
        </w:rPr>
        <w:t>,</w:t>
      </w:r>
      <w:r w:rsidR="005E6716" w:rsidRPr="00D55355">
        <w:rPr>
          <w:szCs w:val="22"/>
        </w:rPr>
        <w:t xml:space="preserve"> through training for </w:t>
      </w:r>
      <w:r w:rsidR="0096621E" w:rsidRPr="00D55355">
        <w:rPr>
          <w:szCs w:val="22"/>
        </w:rPr>
        <w:t>38 officials from 13 countries in coral reef management</w:t>
      </w:r>
      <w:r w:rsidR="005E6716" w:rsidRPr="00D55355">
        <w:rPr>
          <w:szCs w:val="22"/>
        </w:rPr>
        <w:t>)</w:t>
      </w:r>
      <w:r w:rsidR="00DA65F6" w:rsidRPr="00D55355">
        <w:rPr>
          <w:szCs w:val="22"/>
        </w:rPr>
        <w:t>.</w:t>
      </w:r>
      <w:r w:rsidR="0096621E" w:rsidRPr="00D55355">
        <w:rPr>
          <w:szCs w:val="22"/>
        </w:rPr>
        <w:t xml:space="preserve"> </w:t>
      </w:r>
    </w:p>
    <w:p w:rsidR="000E43B3" w:rsidRPr="005E6716" w:rsidRDefault="00BD4D7D" w:rsidP="00443945">
      <w:pPr>
        <w:pStyle w:val="BodyText"/>
        <w:rPr>
          <w:sz w:val="18"/>
          <w:szCs w:val="18"/>
        </w:rPr>
      </w:pPr>
      <w:r w:rsidRPr="00927C71">
        <w:t>Australia has become a valued development partner in a relatively short timeframe</w:t>
      </w:r>
      <w:r w:rsidR="00E87656">
        <w:t xml:space="preserve">. </w:t>
      </w:r>
      <w:r w:rsidRPr="00927C71">
        <w:t>Australia is</w:t>
      </w:r>
      <w:r w:rsidR="002507D0">
        <w:t xml:space="preserve"> also</w:t>
      </w:r>
      <w:r w:rsidRPr="00927C71">
        <w:t xml:space="preserve"> remembered in the region as one of the few countries that honoured its pledges to Haiti after the earthquake</w:t>
      </w:r>
      <w:r w:rsidR="00BD47D2" w:rsidRPr="00927C71">
        <w:t>.</w:t>
      </w:r>
      <w:r w:rsidR="00E87656">
        <w:t>’</w:t>
      </w:r>
      <w:r w:rsidRPr="005E6716">
        <w:rPr>
          <w:rStyle w:val="FootnoteReference"/>
          <w:sz w:val="18"/>
          <w:szCs w:val="18"/>
        </w:rPr>
        <w:footnoteReference w:id="28"/>
      </w:r>
    </w:p>
    <w:p w:rsidR="0096621E" w:rsidRPr="00F92364" w:rsidRDefault="003F7868" w:rsidP="00443945">
      <w:pPr>
        <w:pStyle w:val="BodyText"/>
      </w:pPr>
      <w:r w:rsidRPr="00F92364">
        <w:t xml:space="preserve">However, as reported by the </w:t>
      </w:r>
      <w:r w:rsidR="005E6716">
        <w:t>mid-term review</w:t>
      </w:r>
      <w:r w:rsidRPr="00F92364">
        <w:t xml:space="preserve">, </w:t>
      </w:r>
      <w:r w:rsidR="000E43B3" w:rsidRPr="00F92364">
        <w:t>the Caribbean program is fragmented</w:t>
      </w:r>
      <w:r w:rsidRPr="00F92364">
        <w:t xml:space="preserve"> and requires </w:t>
      </w:r>
      <w:r w:rsidR="00B36E0B" w:rsidRPr="00F92364">
        <w:t>consolidation.</w:t>
      </w:r>
      <w:r w:rsidR="000E43B3" w:rsidRPr="00F92364">
        <w:t xml:space="preserve"> </w:t>
      </w:r>
      <w:r w:rsidR="005E6716">
        <w:t>S</w:t>
      </w:r>
      <w:r w:rsidR="000E43B3" w:rsidRPr="00F92364">
        <w:t>upport to small activities</w:t>
      </w:r>
      <w:r w:rsidR="00C5470C">
        <w:t xml:space="preserve">, </w:t>
      </w:r>
      <w:r w:rsidR="00E87656">
        <w:t>including</w:t>
      </w:r>
      <w:r w:rsidR="005E6716">
        <w:t xml:space="preserve"> through direct assistance</w:t>
      </w:r>
      <w:r w:rsidR="00C5470C">
        <w:t>,</w:t>
      </w:r>
      <w:r w:rsidR="00DA65F6" w:rsidRPr="00F92364">
        <w:t xml:space="preserve"> ha</w:t>
      </w:r>
      <w:r w:rsidR="00C5470C">
        <w:t>s</w:t>
      </w:r>
      <w:r w:rsidR="000E43B3" w:rsidRPr="00F92364">
        <w:t xml:space="preserve"> </w:t>
      </w:r>
      <w:r w:rsidR="001B6E10">
        <w:t>initiated</w:t>
      </w:r>
      <w:r w:rsidR="001B6E10" w:rsidRPr="00F92364">
        <w:t xml:space="preserve"> </w:t>
      </w:r>
      <w:r w:rsidR="000E43B3" w:rsidRPr="00F92364">
        <w:t>relationships</w:t>
      </w:r>
      <w:r w:rsidRPr="00F92364">
        <w:t xml:space="preserve"> and met country partner needs</w:t>
      </w:r>
      <w:r w:rsidR="005E6716">
        <w:t xml:space="preserve">. At the same time, </w:t>
      </w:r>
      <w:r w:rsidR="00C5470C">
        <w:t>this support has</w:t>
      </w:r>
      <w:r w:rsidR="005E6716">
        <w:t xml:space="preserve"> created a large number of small activities that are difficult to manage effectively and efficiently. </w:t>
      </w:r>
      <w:r w:rsidR="00980946">
        <w:t>The department</w:t>
      </w:r>
      <w:r w:rsidR="006A17B8">
        <w:t xml:space="preserve"> </w:t>
      </w:r>
      <w:r w:rsidR="005E6716">
        <w:t>will use</w:t>
      </w:r>
      <w:r w:rsidRPr="00F92364">
        <w:t xml:space="preserve"> the natural end </w:t>
      </w:r>
      <w:r w:rsidR="005E6716">
        <w:t>of</w:t>
      </w:r>
      <w:r w:rsidRPr="00F92364">
        <w:t xml:space="preserve"> many</w:t>
      </w:r>
      <w:r w:rsidR="00E87656">
        <w:t xml:space="preserve"> such</w:t>
      </w:r>
      <w:r w:rsidRPr="00F92364">
        <w:t xml:space="preserve"> activities </w:t>
      </w:r>
      <w:r w:rsidR="005E6716">
        <w:t>to reduce the program to a more manageable number</w:t>
      </w:r>
      <w:r w:rsidR="00E87656">
        <w:t>, taking into account</w:t>
      </w:r>
      <w:r w:rsidR="005E6716">
        <w:t xml:space="preserve"> management resources.</w:t>
      </w:r>
    </w:p>
    <w:p w:rsidR="003529CC" w:rsidRPr="00191BB1" w:rsidRDefault="003529CC" w:rsidP="00443945">
      <w:pPr>
        <w:pStyle w:val="Heading3"/>
      </w:pPr>
      <w:r w:rsidRPr="00191BB1">
        <w:t xml:space="preserve">Support for Small Island </w:t>
      </w:r>
      <w:r w:rsidR="00D617A3" w:rsidRPr="00191BB1">
        <w:t>D</w:t>
      </w:r>
      <w:r w:rsidRPr="00191BB1">
        <w:t>eve</w:t>
      </w:r>
      <w:r w:rsidR="00D617A3" w:rsidRPr="00191BB1">
        <w:t>loping S</w:t>
      </w:r>
      <w:r w:rsidRPr="00191BB1">
        <w:t>tates</w:t>
      </w:r>
    </w:p>
    <w:p w:rsidR="00E87656" w:rsidRDefault="001B7976" w:rsidP="00443945">
      <w:pPr>
        <w:pStyle w:val="BodyText"/>
      </w:pPr>
      <w:r>
        <w:t>The Caribbean program has a small</w:t>
      </w:r>
      <w:r w:rsidR="00D617A3">
        <w:t>,</w:t>
      </w:r>
      <w:r w:rsidR="008337E2">
        <w:t xml:space="preserve"> </w:t>
      </w:r>
      <w:r>
        <w:t xml:space="preserve">crosscutting thematic </w:t>
      </w:r>
      <w:r w:rsidR="008337E2">
        <w:t>inter</w:t>
      </w:r>
      <w:r w:rsidR="00D617A3">
        <w:t>est in issues for Small Island D</w:t>
      </w:r>
      <w:r w:rsidR="008337E2">
        <w:t>eveloping States</w:t>
      </w:r>
      <w:r w:rsidR="000908B9">
        <w:t xml:space="preserve"> (SIDS)</w:t>
      </w:r>
      <w:r w:rsidR="008337E2">
        <w:t xml:space="preserve"> and </w:t>
      </w:r>
      <w:r>
        <w:t xml:space="preserve">provides support </w:t>
      </w:r>
      <w:r w:rsidRPr="001B6E10">
        <w:t>($400,000)</w:t>
      </w:r>
      <w:r>
        <w:t xml:space="preserve"> to </w:t>
      </w:r>
      <w:proofErr w:type="spellStart"/>
      <w:r w:rsidR="006B53EE">
        <w:t>UNHabitat</w:t>
      </w:r>
      <w:proofErr w:type="spellEnd"/>
      <w:r w:rsidR="006B53EE">
        <w:t xml:space="preserve"> for</w:t>
      </w:r>
      <w:r>
        <w:t xml:space="preserve"> a </w:t>
      </w:r>
      <w:r w:rsidR="006B53EE">
        <w:t xml:space="preserve">regional </w:t>
      </w:r>
      <w:r w:rsidR="00D617A3">
        <w:t xml:space="preserve">program and </w:t>
      </w:r>
      <w:r>
        <w:t xml:space="preserve">conference to be </w:t>
      </w:r>
      <w:r w:rsidR="00D617A3">
        <w:t>delivered</w:t>
      </w:r>
      <w:r>
        <w:t xml:space="preserve"> </w:t>
      </w:r>
      <w:r w:rsidR="008D3AFD">
        <w:t>in</w:t>
      </w:r>
      <w:r w:rsidR="00D617A3">
        <w:t xml:space="preserve"> 2</w:t>
      </w:r>
      <w:r>
        <w:t>013</w:t>
      </w:r>
      <w:r w:rsidR="00E87656">
        <w:t>. The conference will focus</w:t>
      </w:r>
      <w:r w:rsidR="006B53EE">
        <w:t xml:space="preserve"> on</w:t>
      </w:r>
      <w:r w:rsidR="002507D0">
        <w:t xml:space="preserve"> issues faced by SIDS</w:t>
      </w:r>
      <w:r>
        <w:t xml:space="preserve">. </w:t>
      </w:r>
    </w:p>
    <w:p w:rsidR="001B6E10" w:rsidRDefault="001B7976" w:rsidP="00443945">
      <w:pPr>
        <w:pStyle w:val="BodyText"/>
      </w:pPr>
      <w:r>
        <w:t xml:space="preserve">The program </w:t>
      </w:r>
      <w:r w:rsidR="008337E2">
        <w:t>also supports</w:t>
      </w:r>
      <w:r w:rsidR="002507D0">
        <w:t xml:space="preserve"> Pacific SIDS in</w:t>
      </w:r>
      <w:r w:rsidR="008337E2">
        <w:t xml:space="preserve"> </w:t>
      </w:r>
      <w:r>
        <w:t xml:space="preserve">a joint </w:t>
      </w:r>
      <w:r w:rsidR="008337E2">
        <w:t>initiative</w:t>
      </w:r>
      <w:r>
        <w:t xml:space="preserve"> with Cuba to</w:t>
      </w:r>
      <w:r w:rsidR="001B6E10">
        <w:t>:</w:t>
      </w:r>
    </w:p>
    <w:p w:rsidR="001B6E10" w:rsidRPr="00927C71" w:rsidRDefault="001B7976" w:rsidP="00443945">
      <w:pPr>
        <w:pStyle w:val="ListBullet"/>
        <w:rPr>
          <w:u w:val="single"/>
        </w:rPr>
      </w:pPr>
      <w:r>
        <w:t xml:space="preserve">provide tailored </w:t>
      </w:r>
      <w:r w:rsidR="008337E2">
        <w:t>English</w:t>
      </w:r>
      <w:r>
        <w:t xml:space="preserve"> language training for Cuban medical brigade personnel </w:t>
      </w:r>
      <w:r w:rsidR="006B53EE">
        <w:t xml:space="preserve">before their deployment to the </w:t>
      </w:r>
      <w:r w:rsidR="001B6E10">
        <w:t>Pacific</w:t>
      </w:r>
    </w:p>
    <w:p w:rsidR="003529CC" w:rsidRDefault="001B7976" w:rsidP="00443945">
      <w:pPr>
        <w:pStyle w:val="ListBullet"/>
        <w:rPr>
          <w:u w:val="single"/>
        </w:rPr>
      </w:pPr>
      <w:proofErr w:type="gramStart"/>
      <w:r>
        <w:t>assist</w:t>
      </w:r>
      <w:proofErr w:type="gramEnd"/>
      <w:r>
        <w:t xml:space="preserve"> </w:t>
      </w:r>
      <w:r w:rsidR="006B53EE">
        <w:t>Pacific Islands to</w:t>
      </w:r>
      <w:r w:rsidR="008337E2">
        <w:t xml:space="preserve"> prepare and manage </w:t>
      </w:r>
      <w:r>
        <w:t xml:space="preserve">the integration of </w:t>
      </w:r>
      <w:r w:rsidR="00D617A3">
        <w:t xml:space="preserve">Cuban and </w:t>
      </w:r>
      <w:r w:rsidR="006B53EE">
        <w:t xml:space="preserve">Pacific </w:t>
      </w:r>
      <w:r w:rsidR="00D617A3">
        <w:t>I</w:t>
      </w:r>
      <w:r w:rsidR="006B53EE">
        <w:t>sland doctors trained in Cuba</w:t>
      </w:r>
      <w:r>
        <w:t xml:space="preserve"> into nation</w:t>
      </w:r>
      <w:r w:rsidR="008337E2">
        <w:t>al</w:t>
      </w:r>
      <w:r>
        <w:t xml:space="preserve"> health </w:t>
      </w:r>
      <w:r w:rsidR="008337E2">
        <w:t xml:space="preserve">delivery </w:t>
      </w:r>
      <w:r>
        <w:t>systems.</w:t>
      </w:r>
    </w:p>
    <w:p w:rsidR="005E6716" w:rsidRPr="00443945" w:rsidRDefault="008337E2" w:rsidP="00443945">
      <w:pPr>
        <w:pStyle w:val="BodyText"/>
      </w:pPr>
      <w:r w:rsidRPr="00443945">
        <w:t xml:space="preserve">Australia </w:t>
      </w:r>
      <w:r w:rsidR="00B170E8" w:rsidRPr="00443945">
        <w:t xml:space="preserve">is </w:t>
      </w:r>
      <w:r w:rsidRPr="00443945">
        <w:t>support</w:t>
      </w:r>
      <w:r w:rsidR="001B6E10" w:rsidRPr="00443945">
        <w:t>ing</w:t>
      </w:r>
      <w:r w:rsidRPr="00443945">
        <w:t xml:space="preserve"> SIDS policy and advocacy, focus</w:t>
      </w:r>
      <w:r w:rsidR="001B6E10" w:rsidRPr="00443945">
        <w:t>ing</w:t>
      </w:r>
      <w:r w:rsidRPr="00443945">
        <w:t xml:space="preserve"> on Pacific and Caribbean SIDS partners</w:t>
      </w:r>
      <w:r w:rsidR="00B170E8" w:rsidRPr="00443945">
        <w:t>. SIDS is an emerging priority identified by the CARICOM Secretariat</w:t>
      </w:r>
      <w:r w:rsidR="005E6716" w:rsidRPr="00443945">
        <w:t>. Expected changes in climate change a</w:t>
      </w:r>
      <w:r w:rsidR="00C74E11" w:rsidRPr="00443945">
        <w:t>n</w:t>
      </w:r>
      <w:r w:rsidR="005E6716" w:rsidRPr="00443945">
        <w:t xml:space="preserve">d disaster risk reduction in the next five years may create an opportunity for </w:t>
      </w:r>
      <w:r w:rsidR="00E87656" w:rsidRPr="00443945">
        <w:t>SIDS</w:t>
      </w:r>
      <w:r w:rsidR="005E6716" w:rsidRPr="00443945">
        <w:t xml:space="preserve"> to present a shared position in international and regional forums. Relevant changes include </w:t>
      </w:r>
      <w:r w:rsidR="00E87656" w:rsidRPr="00443945">
        <w:t xml:space="preserve">developing </w:t>
      </w:r>
      <w:r w:rsidR="005E6716" w:rsidRPr="00443945">
        <w:t>the</w:t>
      </w:r>
      <w:r w:rsidR="0050039C" w:rsidRPr="00443945">
        <w:t xml:space="preserve"> post-2015 </w:t>
      </w:r>
      <w:r w:rsidR="005E6716" w:rsidRPr="00443945">
        <w:t xml:space="preserve">development </w:t>
      </w:r>
      <w:r w:rsidR="0050039C" w:rsidRPr="00443945">
        <w:t xml:space="preserve">agenda, </w:t>
      </w:r>
      <w:r w:rsidR="00E87656" w:rsidRPr="00443945">
        <w:t xml:space="preserve">implementing </w:t>
      </w:r>
      <w:r w:rsidR="0050039C" w:rsidRPr="00443945">
        <w:t xml:space="preserve">new climate change financing mechanisms to replace Fast Start, implementing Rio+20, </w:t>
      </w:r>
      <w:r w:rsidR="005E6716" w:rsidRPr="00443945">
        <w:t>increas</w:t>
      </w:r>
      <w:r w:rsidR="00E87656" w:rsidRPr="00443945">
        <w:t xml:space="preserve">ing </w:t>
      </w:r>
      <w:r w:rsidR="005E6716" w:rsidRPr="00443945">
        <w:t xml:space="preserve">involvement of </w:t>
      </w:r>
      <w:r w:rsidR="0050039C" w:rsidRPr="00443945">
        <w:t>non-DAC donors</w:t>
      </w:r>
      <w:r w:rsidR="005E6716" w:rsidRPr="00443945">
        <w:t xml:space="preserve"> in development cooperation, and </w:t>
      </w:r>
      <w:r w:rsidR="00E87656" w:rsidRPr="00443945">
        <w:t xml:space="preserve">implementing </w:t>
      </w:r>
      <w:r w:rsidR="005E6716" w:rsidRPr="00443945">
        <w:t>the</w:t>
      </w:r>
      <w:r w:rsidR="0050039C" w:rsidRPr="00443945">
        <w:t xml:space="preserve"> post Hyogo Framework for Action</w:t>
      </w:r>
      <w:r w:rsidR="005E6716" w:rsidRPr="00443945">
        <w:t xml:space="preserve">. A potential opportunity for better </w:t>
      </w:r>
      <w:r w:rsidR="005C7E9C" w:rsidRPr="00443945">
        <w:t>SIDS’</w:t>
      </w:r>
      <w:r w:rsidR="005E6716" w:rsidRPr="00443945">
        <w:t xml:space="preserve"> collaboration is </w:t>
      </w:r>
      <w:r w:rsidR="00B170E8" w:rsidRPr="00443945">
        <w:t xml:space="preserve">the international conference </w:t>
      </w:r>
      <w:r w:rsidR="005C7E9C" w:rsidRPr="00443945">
        <w:t xml:space="preserve">to be held </w:t>
      </w:r>
      <w:r w:rsidR="00B170E8" w:rsidRPr="00443945">
        <w:t>in Apia</w:t>
      </w:r>
      <w:r w:rsidR="005C7E9C" w:rsidRPr="00443945">
        <w:t>, Samoa,</w:t>
      </w:r>
      <w:r w:rsidR="00B170E8" w:rsidRPr="00443945">
        <w:t xml:space="preserve"> in September 2014</w:t>
      </w:r>
      <w:r w:rsidR="0050039C" w:rsidRPr="00443945">
        <w:t xml:space="preserve">. </w:t>
      </w:r>
    </w:p>
    <w:p w:rsidR="001B7976" w:rsidRPr="00443945" w:rsidRDefault="006A17B8" w:rsidP="00443945">
      <w:pPr>
        <w:pStyle w:val="BodyText"/>
      </w:pPr>
      <w:r w:rsidRPr="00443945">
        <w:t xml:space="preserve">DFAT </w:t>
      </w:r>
      <w:r w:rsidR="00B170E8" w:rsidRPr="00443945">
        <w:t>will detail our responses to SIDS engagement in the</w:t>
      </w:r>
      <w:r w:rsidR="005C7E9C" w:rsidRPr="00443945">
        <w:t xml:space="preserve"> Caribbean program’s</w:t>
      </w:r>
      <w:r w:rsidR="00B170E8" w:rsidRPr="00443945">
        <w:t xml:space="preserve"> </w:t>
      </w:r>
      <w:r w:rsidR="005E6716" w:rsidRPr="00443945">
        <w:t>m</w:t>
      </w:r>
      <w:r w:rsidR="00B170E8" w:rsidRPr="00443945">
        <w:t xml:space="preserve">anagement </w:t>
      </w:r>
      <w:r w:rsidR="005E6716" w:rsidRPr="00443945">
        <w:t>a</w:t>
      </w:r>
      <w:r w:rsidR="00B170E8" w:rsidRPr="00443945">
        <w:t xml:space="preserve">ction </w:t>
      </w:r>
      <w:r w:rsidR="005E6716" w:rsidRPr="00443945">
        <w:t>p</w:t>
      </w:r>
      <w:r w:rsidR="00B170E8" w:rsidRPr="00443945">
        <w:t>lan</w:t>
      </w:r>
      <w:r w:rsidR="00D9566E" w:rsidRPr="00443945">
        <w:t xml:space="preserve">, explore ways to ensure that </w:t>
      </w:r>
      <w:r w:rsidR="00F4579D" w:rsidRPr="00443945">
        <w:t>lessons learned are considered in</w:t>
      </w:r>
      <w:r w:rsidR="00D9566E" w:rsidRPr="00443945">
        <w:t xml:space="preserve"> the Australian aid program and </w:t>
      </w:r>
      <w:r w:rsidR="000908B9" w:rsidRPr="00443945">
        <w:t xml:space="preserve">ensure </w:t>
      </w:r>
      <w:r w:rsidR="005C7E9C" w:rsidRPr="00443945">
        <w:t xml:space="preserve">that </w:t>
      </w:r>
      <w:r w:rsidR="00D9566E" w:rsidRPr="00443945">
        <w:t xml:space="preserve">linkages </w:t>
      </w:r>
      <w:r w:rsidR="005C7E9C" w:rsidRPr="00443945">
        <w:t xml:space="preserve">are </w:t>
      </w:r>
      <w:r w:rsidR="00D9566E" w:rsidRPr="00443945">
        <w:t xml:space="preserve">strengthened to the </w:t>
      </w:r>
      <w:r w:rsidR="00135F7D" w:rsidRPr="00443945">
        <w:t>Pacific</w:t>
      </w:r>
      <w:r w:rsidR="00D9566E" w:rsidRPr="00443945">
        <w:t xml:space="preserve"> where possible.</w:t>
      </w:r>
    </w:p>
    <w:p w:rsidR="00E02F43" w:rsidRDefault="00E02F43" w:rsidP="001B7976">
      <w:pPr>
        <w:pStyle w:val="Heading2"/>
      </w:pPr>
      <w:r>
        <w:t xml:space="preserve">Program </w:t>
      </w:r>
      <w:r w:rsidR="00BD47D2">
        <w:t>p</w:t>
      </w:r>
      <w:r>
        <w:t xml:space="preserve">erformance and </w:t>
      </w:r>
      <w:r w:rsidR="00BD47D2">
        <w:t>q</w:t>
      </w:r>
      <w:r>
        <w:t>uality</w:t>
      </w:r>
    </w:p>
    <w:p w:rsidR="00F4579D" w:rsidRDefault="00224612" w:rsidP="00443945">
      <w:pPr>
        <w:pStyle w:val="BodyText"/>
      </w:pPr>
      <w:r w:rsidRPr="006134A3">
        <w:t xml:space="preserve">The Caribbean program has made significant improvements to its quality and performance </w:t>
      </w:r>
      <w:r w:rsidR="00F4579D">
        <w:t>system</w:t>
      </w:r>
      <w:r w:rsidR="00F4579D" w:rsidRPr="006134A3">
        <w:t xml:space="preserve"> </w:t>
      </w:r>
      <w:r w:rsidRPr="006134A3">
        <w:t>and undertaken k</w:t>
      </w:r>
      <w:r w:rsidR="00E02F43" w:rsidRPr="006134A3">
        <w:t xml:space="preserve">ey performance assessments </w:t>
      </w:r>
      <w:r w:rsidRPr="006134A3">
        <w:t>in this</w:t>
      </w:r>
      <w:r w:rsidR="006C4831" w:rsidRPr="006134A3">
        <w:t xml:space="preserve"> reporting period</w:t>
      </w:r>
      <w:r w:rsidR="00196A2A" w:rsidRPr="006134A3">
        <w:t>.</w:t>
      </w:r>
      <w:r w:rsidR="006C4831" w:rsidRPr="006134A3">
        <w:t xml:space="preserve"> </w:t>
      </w:r>
      <w:r w:rsidR="00196A2A" w:rsidRPr="006134A3">
        <w:t xml:space="preserve">Achievements </w:t>
      </w:r>
      <w:r w:rsidR="00F4579D" w:rsidRPr="006134A3">
        <w:t>include</w:t>
      </w:r>
      <w:r w:rsidR="00F4579D">
        <w:t xml:space="preserve"> completion of</w:t>
      </w:r>
      <w:r w:rsidR="005C7E9C">
        <w:t xml:space="preserve"> the</w:t>
      </w:r>
      <w:r w:rsidR="00F4579D">
        <w:t>:</w:t>
      </w:r>
    </w:p>
    <w:p w:rsidR="00F4579D" w:rsidRDefault="00E02F43" w:rsidP="00443945">
      <w:pPr>
        <w:pStyle w:val="ListBullet"/>
      </w:pPr>
      <w:r w:rsidRPr="006134A3">
        <w:t xml:space="preserve">2011 </w:t>
      </w:r>
      <w:r w:rsidR="005E6716">
        <w:t>A</w:t>
      </w:r>
      <w:r w:rsidR="00133622">
        <w:t>PPR</w:t>
      </w:r>
    </w:p>
    <w:p w:rsidR="00F4579D" w:rsidRDefault="005E6716" w:rsidP="00443945">
      <w:pPr>
        <w:pStyle w:val="ListBullet"/>
      </w:pPr>
      <w:r>
        <w:t>mid-term review</w:t>
      </w:r>
      <w:r w:rsidR="00F4579D">
        <w:t xml:space="preserve"> (</w:t>
      </w:r>
      <w:r w:rsidR="00196A2A" w:rsidRPr="006134A3">
        <w:t>October 2012</w:t>
      </w:r>
      <w:r w:rsidR="00F4579D">
        <w:t>)</w:t>
      </w:r>
    </w:p>
    <w:p w:rsidR="00F4579D" w:rsidRDefault="0029382B" w:rsidP="00443945">
      <w:pPr>
        <w:pStyle w:val="ListBullet"/>
      </w:pPr>
      <w:r>
        <w:t>QAI</w:t>
      </w:r>
      <w:r w:rsidR="00196A2A" w:rsidRPr="006134A3">
        <w:t xml:space="preserve"> reports </w:t>
      </w:r>
      <w:r w:rsidR="005C7E9C">
        <w:t xml:space="preserve">for </w:t>
      </w:r>
      <w:r w:rsidR="0042264A">
        <w:t>the three program objectives</w:t>
      </w:r>
      <w:r w:rsidR="00F4579D">
        <w:t xml:space="preserve"> (</w:t>
      </w:r>
      <w:r w:rsidR="006134A3" w:rsidRPr="006134A3">
        <w:t>M</w:t>
      </w:r>
      <w:r w:rsidR="006B53EE" w:rsidRPr="006134A3">
        <w:t>arch 2013</w:t>
      </w:r>
      <w:r w:rsidR="00F4579D">
        <w:t>)</w:t>
      </w:r>
    </w:p>
    <w:p w:rsidR="00F4579D" w:rsidRDefault="00E02F43" w:rsidP="00443945">
      <w:pPr>
        <w:pStyle w:val="ListBullet"/>
      </w:pPr>
      <w:r w:rsidRPr="006134A3">
        <w:t xml:space="preserve">program </w:t>
      </w:r>
      <w:r w:rsidR="0042264A">
        <w:t>performance assessment framework</w:t>
      </w:r>
      <w:r w:rsidR="00F4579D">
        <w:t xml:space="preserve"> (</w:t>
      </w:r>
      <w:r w:rsidR="0042264A">
        <w:t>drafted</w:t>
      </w:r>
      <w:r w:rsidR="00F4579D">
        <w:t xml:space="preserve"> 2012</w:t>
      </w:r>
      <w:r w:rsidR="0042264A">
        <w:t>, revised May 2013</w:t>
      </w:r>
      <w:r w:rsidR="00F4579D">
        <w:t>)</w:t>
      </w:r>
    </w:p>
    <w:p w:rsidR="00F4579D" w:rsidRDefault="00D84CE2" w:rsidP="00443945">
      <w:pPr>
        <w:pStyle w:val="ListBullet"/>
      </w:pPr>
      <w:r w:rsidRPr="006134A3">
        <w:t>calculation of  results</w:t>
      </w:r>
      <w:r w:rsidR="005C7E9C">
        <w:t>,</w:t>
      </w:r>
      <w:r w:rsidR="00F4579D">
        <w:t xml:space="preserve"> which</w:t>
      </w:r>
      <w:r w:rsidR="006B53EE" w:rsidRPr="006134A3">
        <w:t xml:space="preserve"> will be integrated into </w:t>
      </w:r>
      <w:r w:rsidR="006134A3" w:rsidRPr="006134A3">
        <w:t xml:space="preserve">quality </w:t>
      </w:r>
      <w:r w:rsidR="006B53EE" w:rsidRPr="006134A3">
        <w:t>process</w:t>
      </w:r>
      <w:r w:rsidR="006134A3" w:rsidRPr="006134A3">
        <w:t>es</w:t>
      </w:r>
    </w:p>
    <w:p w:rsidR="00224612" w:rsidRPr="006134A3" w:rsidRDefault="00C74E11" w:rsidP="00443945">
      <w:pPr>
        <w:pStyle w:val="ListBullet"/>
      </w:pPr>
      <w:proofErr w:type="gramStart"/>
      <w:r>
        <w:lastRenderedPageBreak/>
        <w:t>m</w:t>
      </w:r>
      <w:r w:rsidR="00D84CE2" w:rsidRPr="006134A3">
        <w:t>anagement</w:t>
      </w:r>
      <w:proofErr w:type="gramEnd"/>
      <w:r w:rsidR="00D84CE2" w:rsidRPr="006134A3">
        <w:t xml:space="preserve"> </w:t>
      </w:r>
      <w:r>
        <w:t>a</w:t>
      </w:r>
      <w:r w:rsidR="00D84CE2" w:rsidRPr="006134A3">
        <w:t xml:space="preserve">ction </w:t>
      </w:r>
      <w:r>
        <w:t>p</w:t>
      </w:r>
      <w:r w:rsidR="00D84CE2" w:rsidRPr="006134A3">
        <w:t xml:space="preserve">lan </w:t>
      </w:r>
      <w:r w:rsidR="00F4579D">
        <w:t>(</w:t>
      </w:r>
      <w:r w:rsidR="00D84CE2" w:rsidRPr="006134A3">
        <w:t>June 2013</w:t>
      </w:r>
      <w:r w:rsidR="00F4579D">
        <w:t>),</w:t>
      </w:r>
      <w:r w:rsidR="00D84CE2" w:rsidRPr="006134A3">
        <w:t xml:space="preserve"> consolidat</w:t>
      </w:r>
      <w:r w:rsidR="00F4579D">
        <w:t>ing</w:t>
      </w:r>
      <w:r w:rsidR="00D84CE2" w:rsidRPr="006134A3">
        <w:t xml:space="preserve"> key </w:t>
      </w:r>
      <w:r w:rsidR="0042264A">
        <w:t>i</w:t>
      </w:r>
      <w:r w:rsidR="00D84CE2" w:rsidRPr="006134A3">
        <w:t xml:space="preserve">ssues and recommendations from </w:t>
      </w:r>
      <w:r w:rsidR="00F4579D">
        <w:t>other performance assessments</w:t>
      </w:r>
      <w:r w:rsidR="00D84CE2" w:rsidRPr="006134A3">
        <w:t xml:space="preserve">. </w:t>
      </w:r>
    </w:p>
    <w:p w:rsidR="005B51F1" w:rsidRPr="006134A3" w:rsidRDefault="00E51733" w:rsidP="00443945">
      <w:pPr>
        <w:pStyle w:val="BodyText"/>
      </w:pPr>
      <w:r>
        <w:t>There is d</w:t>
      </w:r>
      <w:r w:rsidR="00196A2A" w:rsidRPr="006134A3">
        <w:t xml:space="preserve">irect alignment between </w:t>
      </w:r>
      <w:r w:rsidR="00F4579D">
        <w:t>program</w:t>
      </w:r>
      <w:r w:rsidR="00196A2A" w:rsidRPr="006134A3">
        <w:t xml:space="preserve"> components</w:t>
      </w:r>
      <w:r>
        <w:t xml:space="preserve">, </w:t>
      </w:r>
      <w:r w:rsidR="005C7E9C">
        <w:t xml:space="preserve">a </w:t>
      </w:r>
      <w:r w:rsidR="00F4579D">
        <w:t xml:space="preserve">clearly articulated </w:t>
      </w:r>
      <w:r w:rsidR="00D84CE2" w:rsidRPr="006134A3">
        <w:t xml:space="preserve">rationale and </w:t>
      </w:r>
      <w:r w:rsidR="00196A2A" w:rsidRPr="006134A3">
        <w:t>goal</w:t>
      </w:r>
      <w:r w:rsidR="00D84CE2" w:rsidRPr="006134A3">
        <w:t>s</w:t>
      </w:r>
      <w:r w:rsidR="00196A2A" w:rsidRPr="006134A3">
        <w:t xml:space="preserve">, </w:t>
      </w:r>
      <w:r w:rsidR="00F4579D">
        <w:t xml:space="preserve">and </w:t>
      </w:r>
      <w:r>
        <w:t>a</w:t>
      </w:r>
      <w:r w:rsidR="006B3EED">
        <w:t xml:space="preserve"> </w:t>
      </w:r>
      <w:r w:rsidR="00196A2A" w:rsidRPr="006134A3">
        <w:t>rigorous</w:t>
      </w:r>
      <w:r w:rsidR="00D84CE2" w:rsidRPr="006134A3">
        <w:t xml:space="preserve"> performance</w:t>
      </w:r>
      <w:r w:rsidR="00196A2A" w:rsidRPr="006134A3">
        <w:t xml:space="preserve"> reporting </w:t>
      </w:r>
      <w:r w:rsidR="006B53EE" w:rsidRPr="006134A3">
        <w:t xml:space="preserve">system. </w:t>
      </w:r>
      <w:r>
        <w:t>P</w:t>
      </w:r>
      <w:r w:rsidR="005B51F1" w:rsidRPr="006134A3">
        <w:t xml:space="preserve">erformance measures specific to gender and disability </w:t>
      </w:r>
      <w:r w:rsidR="005C7E9C">
        <w:t>are</w:t>
      </w:r>
      <w:r w:rsidR="005C7E9C" w:rsidRPr="006134A3">
        <w:t xml:space="preserve"> </w:t>
      </w:r>
      <w:r w:rsidR="005B51F1" w:rsidRPr="006134A3">
        <w:t xml:space="preserve">building staff awareness and </w:t>
      </w:r>
      <w:r w:rsidR="00F4579D">
        <w:t>integrating</w:t>
      </w:r>
      <w:r w:rsidR="005B51F1" w:rsidRPr="006134A3">
        <w:t xml:space="preserve"> crosscutting priorities into program design and planning with partners.</w:t>
      </w:r>
    </w:p>
    <w:p w:rsidR="0042264A" w:rsidRDefault="00D106E7" w:rsidP="00443945">
      <w:pPr>
        <w:pStyle w:val="BodyText"/>
      </w:pPr>
      <w:r>
        <w:t xml:space="preserve">The </w:t>
      </w:r>
      <w:r w:rsidR="0042264A">
        <w:t>performance assessment framework</w:t>
      </w:r>
      <w:r>
        <w:t xml:space="preserve"> articulate</w:t>
      </w:r>
      <w:r w:rsidR="008A6B79">
        <w:t>s</w:t>
      </w:r>
      <w:r>
        <w:t xml:space="preserve"> the logic of programming decisions, partnership choices an</w:t>
      </w:r>
      <w:r w:rsidR="004A2049">
        <w:t xml:space="preserve">d development objectives. It </w:t>
      </w:r>
      <w:r w:rsidR="008A6B79">
        <w:t xml:space="preserve">lays </w:t>
      </w:r>
      <w:r>
        <w:t>out the incremental steps required to improve</w:t>
      </w:r>
      <w:r w:rsidR="0042264A">
        <w:t xml:space="preserve"> program delivery,</w:t>
      </w:r>
      <w:r>
        <w:t xml:space="preserve"> results monitoring and reporting</w:t>
      </w:r>
      <w:r w:rsidR="008A6B79">
        <w:t xml:space="preserve">. </w:t>
      </w:r>
    </w:p>
    <w:p w:rsidR="000E3F55" w:rsidRDefault="00252C4E" w:rsidP="00443945">
      <w:pPr>
        <w:pStyle w:val="BodyText"/>
      </w:pPr>
      <w:r w:rsidRPr="006134A3">
        <w:t>However, implementation has been impeded primarily by s</w:t>
      </w:r>
      <w:r w:rsidR="00224612" w:rsidRPr="006134A3">
        <w:t xml:space="preserve">taff resourcing </w:t>
      </w:r>
      <w:r w:rsidRPr="006134A3">
        <w:t>constraints</w:t>
      </w:r>
      <w:r w:rsidR="008A6B79">
        <w:t xml:space="preserve"> and</w:t>
      </w:r>
      <w:r w:rsidR="005B51F1" w:rsidRPr="006134A3">
        <w:t xml:space="preserve"> </w:t>
      </w:r>
      <w:r w:rsidR="00B170E8">
        <w:t xml:space="preserve">the need to develop </w:t>
      </w:r>
      <w:r w:rsidR="005B51F1" w:rsidRPr="006134A3">
        <w:t>staff capabilit</w:t>
      </w:r>
      <w:r w:rsidR="008A6B79">
        <w:t>y</w:t>
      </w:r>
      <w:r w:rsidR="00D106E7">
        <w:t>.</w:t>
      </w:r>
      <w:r w:rsidR="00224612" w:rsidRPr="006134A3">
        <w:t xml:space="preserve"> </w:t>
      </w:r>
      <w:r w:rsidRPr="006134A3">
        <w:t xml:space="preserve">The </w:t>
      </w:r>
      <w:r w:rsidR="0042264A">
        <w:t>performance assessment framework</w:t>
      </w:r>
      <w:r w:rsidRPr="006134A3">
        <w:t xml:space="preserve"> </w:t>
      </w:r>
      <w:r w:rsidR="006B3EED">
        <w:t xml:space="preserve">was revised and simplified in May 2013 </w:t>
      </w:r>
      <w:r w:rsidRPr="006134A3">
        <w:t>to improve usability and promote better understanding and uptake by program staff</w:t>
      </w:r>
      <w:r w:rsidR="00262919">
        <w:t xml:space="preserve">. </w:t>
      </w:r>
      <w:r w:rsidR="000E3F55">
        <w:t xml:space="preserve">Building </w:t>
      </w:r>
      <w:r w:rsidR="008A6B79">
        <w:t xml:space="preserve">staff </w:t>
      </w:r>
      <w:r w:rsidR="000E3F55">
        <w:t xml:space="preserve">monitoring and evaluation capacity </w:t>
      </w:r>
      <w:r w:rsidR="00472D3A">
        <w:t xml:space="preserve">started </w:t>
      </w:r>
      <w:r w:rsidR="0042264A">
        <w:t>in 2012</w:t>
      </w:r>
      <w:r w:rsidR="000E3F55">
        <w:t xml:space="preserve"> </w:t>
      </w:r>
      <w:r w:rsidR="008A6B79">
        <w:t xml:space="preserve">and </w:t>
      </w:r>
      <w:r w:rsidR="000E3F55" w:rsidRPr="008A28AF">
        <w:t xml:space="preserve">good progress </w:t>
      </w:r>
      <w:r w:rsidR="000E3F55">
        <w:t>has been made</w:t>
      </w:r>
      <w:r w:rsidR="00C74E11">
        <w:t>,</w:t>
      </w:r>
      <w:r w:rsidR="000E3F55">
        <w:t xml:space="preserve"> largely through </w:t>
      </w:r>
      <w:r w:rsidR="008A6B79">
        <w:t>a</w:t>
      </w:r>
      <w:r w:rsidR="000E3F55" w:rsidRPr="008A28AF">
        <w:t xml:space="preserve"> </w:t>
      </w:r>
      <w:r w:rsidR="00BD47D2">
        <w:t>monitoring and evaluation</w:t>
      </w:r>
      <w:r w:rsidR="000E3F55" w:rsidRPr="008A28AF">
        <w:t xml:space="preserve"> specialist and mentor.</w:t>
      </w:r>
    </w:p>
    <w:p w:rsidR="0042264A" w:rsidRDefault="00252C4E" w:rsidP="00443945">
      <w:pPr>
        <w:pStyle w:val="BodyText"/>
      </w:pPr>
      <w:r w:rsidRPr="006134A3">
        <w:t>A key recommendation of the</w:t>
      </w:r>
      <w:r w:rsidR="0042264A">
        <w:t xml:space="preserve"> mid-term review was </w:t>
      </w:r>
      <w:r w:rsidRPr="006134A3">
        <w:t>to</w:t>
      </w:r>
      <w:r w:rsidR="006C4831" w:rsidRPr="006134A3">
        <w:t xml:space="preserve"> focus on man</w:t>
      </w:r>
      <w:r w:rsidRPr="006134A3">
        <w:t xml:space="preserve">agement for development results. </w:t>
      </w:r>
      <w:r w:rsidR="005B51F1" w:rsidRPr="006134A3">
        <w:t>To</w:t>
      </w:r>
      <w:r w:rsidRPr="006134A3">
        <w:t xml:space="preserve"> achieve this</w:t>
      </w:r>
      <w:r w:rsidR="0042264A">
        <w:t>, in 2013–14 the program will:</w:t>
      </w:r>
    </w:p>
    <w:p w:rsidR="0042264A" w:rsidRDefault="0042264A" w:rsidP="00443945">
      <w:pPr>
        <w:pStyle w:val="ListBullet"/>
      </w:pPr>
      <w:r>
        <w:t xml:space="preserve">improve </w:t>
      </w:r>
      <w:r w:rsidR="00252C4E" w:rsidRPr="006134A3">
        <w:t>the</w:t>
      </w:r>
      <w:r w:rsidR="006C4831" w:rsidRPr="006134A3">
        <w:t xml:space="preserve"> monitoring and evaluation capacity </w:t>
      </w:r>
      <w:r w:rsidR="005B51F1" w:rsidRPr="006134A3">
        <w:t xml:space="preserve">of </w:t>
      </w:r>
      <w:r w:rsidR="006C4831" w:rsidRPr="006134A3">
        <w:t>program staff</w:t>
      </w:r>
      <w:r w:rsidR="00D84CE2" w:rsidRPr="006134A3">
        <w:t xml:space="preserve"> and partners</w:t>
      </w:r>
    </w:p>
    <w:p w:rsidR="0042264A" w:rsidRDefault="00D84CE2" w:rsidP="00443945">
      <w:pPr>
        <w:pStyle w:val="ListBullet"/>
      </w:pPr>
      <w:r w:rsidRPr="006134A3">
        <w:t xml:space="preserve">support program staff </w:t>
      </w:r>
      <w:r w:rsidR="0042264A">
        <w:t>in the Caribbean</w:t>
      </w:r>
      <w:r w:rsidRPr="006134A3">
        <w:t xml:space="preserve"> and in Canberra </w:t>
      </w:r>
      <w:r w:rsidR="0042264A">
        <w:t>to apply the performance assessment framework to activity monitoring and reporting</w:t>
      </w:r>
    </w:p>
    <w:p w:rsidR="0042264A" w:rsidRDefault="0042264A" w:rsidP="00443945">
      <w:pPr>
        <w:pStyle w:val="ListBullet"/>
      </w:pPr>
      <w:r>
        <w:t>involve</w:t>
      </w:r>
      <w:r w:rsidR="005B51F1" w:rsidRPr="006134A3">
        <w:t xml:space="preserve"> </w:t>
      </w:r>
      <w:r w:rsidR="00A72C73">
        <w:t>the department’s</w:t>
      </w:r>
      <w:r w:rsidR="006A17B8" w:rsidRPr="006134A3">
        <w:t xml:space="preserve"> </w:t>
      </w:r>
      <w:r w:rsidR="005B51F1" w:rsidRPr="006134A3">
        <w:t>global programs (Australia Awards</w:t>
      </w:r>
      <w:r w:rsidR="005C7E9C">
        <w:t xml:space="preserve"> and</w:t>
      </w:r>
      <w:r w:rsidR="005B51F1" w:rsidRPr="006134A3">
        <w:t xml:space="preserve"> </w:t>
      </w:r>
      <w:r w:rsidR="008A6B79">
        <w:t>Australian v</w:t>
      </w:r>
      <w:r w:rsidR="005B51F1" w:rsidRPr="006134A3">
        <w:t>olunteers) and thematic and policy groups (</w:t>
      </w:r>
      <w:r>
        <w:t xml:space="preserve">climate change, </w:t>
      </w:r>
      <w:r w:rsidR="005B51F1" w:rsidRPr="006134A3">
        <w:t xml:space="preserve">disability, </w:t>
      </w:r>
      <w:r>
        <w:t xml:space="preserve">disaster risk reduction, </w:t>
      </w:r>
      <w:r w:rsidR="005B51F1" w:rsidRPr="006134A3">
        <w:t>gender</w:t>
      </w:r>
      <w:r>
        <w:t xml:space="preserve"> and</w:t>
      </w:r>
      <w:r w:rsidR="005B51F1" w:rsidRPr="006134A3">
        <w:t xml:space="preserve"> social development</w:t>
      </w:r>
      <w:r>
        <w:t xml:space="preserve">) </w:t>
      </w:r>
      <w:r w:rsidR="001D78D9" w:rsidRPr="006134A3">
        <w:t>in quality processes for targeted improvement</w:t>
      </w:r>
    </w:p>
    <w:p w:rsidR="0042264A" w:rsidRDefault="0042264A" w:rsidP="00443945">
      <w:pPr>
        <w:pStyle w:val="ListBullet"/>
      </w:pPr>
      <w:r>
        <w:t>champion a s</w:t>
      </w:r>
      <w:r w:rsidR="005B51F1" w:rsidRPr="006134A3">
        <w:t xml:space="preserve">tronger focus on development results </w:t>
      </w:r>
      <w:r>
        <w:t xml:space="preserve">in discussions, </w:t>
      </w:r>
      <w:r w:rsidR="006C4831" w:rsidRPr="006134A3">
        <w:t xml:space="preserve">collaborative assessments and evaluations </w:t>
      </w:r>
      <w:r>
        <w:t>with partners</w:t>
      </w:r>
      <w:r w:rsidR="005C7E9C">
        <w:t xml:space="preserve">, </w:t>
      </w:r>
      <w:r>
        <w:t>using</w:t>
      </w:r>
      <w:r w:rsidR="006C4831" w:rsidRPr="006134A3">
        <w:t xml:space="preserve"> performance management</w:t>
      </w:r>
      <w:r w:rsidR="005B51F1" w:rsidRPr="006134A3">
        <w:t xml:space="preserve"> specialists </w:t>
      </w:r>
      <w:r w:rsidR="00F655C2" w:rsidRPr="006134A3">
        <w:t xml:space="preserve">of key partners and collaborative </w:t>
      </w:r>
      <w:r w:rsidR="005B51F1" w:rsidRPr="006134A3">
        <w:t>analytical and reporting tools where appropriate</w:t>
      </w:r>
    </w:p>
    <w:p w:rsidR="00D84CE2" w:rsidRPr="006134A3" w:rsidRDefault="0042264A" w:rsidP="00443945">
      <w:pPr>
        <w:pStyle w:val="ListBullet"/>
      </w:pPr>
      <w:proofErr w:type="gramStart"/>
      <w:r>
        <w:t>use</w:t>
      </w:r>
      <w:proofErr w:type="gramEnd"/>
      <w:r>
        <w:t xml:space="preserve"> meetings</w:t>
      </w:r>
      <w:r w:rsidR="001D78D9" w:rsidRPr="006134A3">
        <w:t xml:space="preserve"> </w:t>
      </w:r>
      <w:r>
        <w:t>w</w:t>
      </w:r>
      <w:r w:rsidR="001D78D9" w:rsidRPr="006134A3">
        <w:t xml:space="preserve">ith </w:t>
      </w:r>
      <w:r w:rsidR="00C7361C">
        <w:t xml:space="preserve">the </w:t>
      </w:r>
      <w:r w:rsidR="001D78D9" w:rsidRPr="006134A3">
        <w:t xml:space="preserve">CARICOM </w:t>
      </w:r>
      <w:r w:rsidR="00C7361C">
        <w:t xml:space="preserve">Secretariat </w:t>
      </w:r>
      <w:r>
        <w:t>to</w:t>
      </w:r>
      <w:r w:rsidR="001D78D9" w:rsidRPr="006134A3">
        <w:t xml:space="preserve"> reinforce the results focus.</w:t>
      </w:r>
    </w:p>
    <w:p w:rsidR="00E02F43" w:rsidRDefault="00E02F43" w:rsidP="00443945">
      <w:pPr>
        <w:pStyle w:val="Heading2"/>
      </w:pPr>
      <w:r w:rsidRPr="00817BBB">
        <w:t>Quality at Implementation ratings</w:t>
      </w:r>
    </w:p>
    <w:p w:rsidR="00E02F43" w:rsidRDefault="00E02F43" w:rsidP="00443945">
      <w:pPr>
        <w:pStyle w:val="BodyText"/>
        <w:rPr>
          <w:i/>
        </w:rPr>
      </w:pPr>
      <w:r w:rsidRPr="009E4E81">
        <w:t xml:space="preserve">The </w:t>
      </w:r>
      <w:r>
        <w:t>Q</w:t>
      </w:r>
      <w:r w:rsidRPr="009E4E81">
        <w:t xml:space="preserve">AI ratings table </w:t>
      </w:r>
      <w:r w:rsidRPr="008A6B79">
        <w:t>(</w:t>
      </w:r>
      <w:r w:rsidRPr="00927C71">
        <w:t xml:space="preserve">Annex </w:t>
      </w:r>
      <w:r w:rsidR="00E63F44">
        <w:t>B</w:t>
      </w:r>
      <w:r w:rsidRPr="008A6B79">
        <w:t xml:space="preserve">) </w:t>
      </w:r>
      <w:r>
        <w:t>compares the ratings between 2011 and 2012</w:t>
      </w:r>
      <w:r w:rsidR="00751F70">
        <w:t>,</w:t>
      </w:r>
      <w:r>
        <w:t xml:space="preserve"> </w:t>
      </w:r>
      <w:r w:rsidR="00750548">
        <w:t>identif</w:t>
      </w:r>
      <w:r w:rsidR="00751F70">
        <w:t>ies</w:t>
      </w:r>
      <w:r w:rsidR="00750548">
        <w:t xml:space="preserve"> </w:t>
      </w:r>
      <w:r>
        <w:t>trends and the opportunity to address constraints.</w:t>
      </w:r>
      <w:r w:rsidR="00A51D8D">
        <w:t xml:space="preserve"> </w:t>
      </w:r>
      <w:r w:rsidR="00A51D8D" w:rsidRPr="00C74E11">
        <w:t>For ease of reference</w:t>
      </w:r>
      <w:r w:rsidR="005C7E9C">
        <w:t>,</w:t>
      </w:r>
      <w:r w:rsidR="00A51D8D" w:rsidRPr="00C74E11">
        <w:t xml:space="preserve"> </w:t>
      </w:r>
      <w:r w:rsidR="005C7E9C">
        <w:t>c</w:t>
      </w:r>
      <w:r w:rsidR="00A51D8D" w:rsidRPr="00C74E11">
        <w:t xml:space="preserve">limate </w:t>
      </w:r>
      <w:r w:rsidR="005C7E9C">
        <w:t>c</w:t>
      </w:r>
      <w:r w:rsidR="00A51D8D" w:rsidRPr="00C74E11">
        <w:t xml:space="preserve">hange and </w:t>
      </w:r>
      <w:r w:rsidR="005C7E9C">
        <w:t>d</w:t>
      </w:r>
      <w:r w:rsidR="00A51D8D" w:rsidRPr="00C74E11">
        <w:t xml:space="preserve">isaster </w:t>
      </w:r>
      <w:r w:rsidR="005C7E9C">
        <w:t>r</w:t>
      </w:r>
      <w:r w:rsidR="00A51D8D" w:rsidRPr="00C74E11">
        <w:t xml:space="preserve">isk </w:t>
      </w:r>
      <w:r w:rsidR="005C7E9C">
        <w:t>r</w:t>
      </w:r>
      <w:r w:rsidR="00A51D8D" w:rsidRPr="00C74E11">
        <w:t>eduction</w:t>
      </w:r>
      <w:r w:rsidR="005C7E9C">
        <w:t xml:space="preserve"> initiatives</w:t>
      </w:r>
      <w:r w:rsidR="00A51D8D" w:rsidRPr="00C74E11">
        <w:t xml:space="preserve"> </w:t>
      </w:r>
      <w:r w:rsidR="005C7E9C">
        <w:t>are</w:t>
      </w:r>
      <w:r w:rsidR="005C7E9C" w:rsidRPr="00C74E11">
        <w:t xml:space="preserve"> </w:t>
      </w:r>
      <w:r w:rsidR="00A51D8D" w:rsidRPr="00C74E11">
        <w:t>referred to</w:t>
      </w:r>
      <w:r w:rsidR="005C7E9C">
        <w:t xml:space="preserve"> in this section</w:t>
      </w:r>
      <w:r w:rsidR="00A51D8D" w:rsidRPr="00C74E11">
        <w:t xml:space="preserve"> as CC&amp;DRR</w:t>
      </w:r>
      <w:r w:rsidR="005C7E9C">
        <w:t>; e</w:t>
      </w:r>
      <w:r w:rsidR="00A51D8D" w:rsidRPr="00C74E11">
        <w:t xml:space="preserve">conomic </w:t>
      </w:r>
      <w:r w:rsidR="008E1145">
        <w:t>r</w:t>
      </w:r>
      <w:r w:rsidR="008E1145" w:rsidRPr="00C74E11">
        <w:t xml:space="preserve">esilience </w:t>
      </w:r>
      <w:r w:rsidR="008E1145">
        <w:t>as</w:t>
      </w:r>
      <w:r w:rsidR="005C7E9C">
        <w:t xml:space="preserve"> </w:t>
      </w:r>
      <w:r w:rsidR="00A51D8D" w:rsidRPr="00C74E11">
        <w:t xml:space="preserve">ER and </w:t>
      </w:r>
      <w:r w:rsidR="005C7E9C">
        <w:t>p</w:t>
      </w:r>
      <w:r w:rsidR="00A51D8D" w:rsidRPr="00C74E11">
        <w:t>eople-to-</w:t>
      </w:r>
      <w:r w:rsidR="005C7E9C">
        <w:t>p</w:t>
      </w:r>
      <w:r w:rsidR="00A51D8D" w:rsidRPr="00C74E11">
        <w:t>eople</w:t>
      </w:r>
      <w:r w:rsidR="005C7E9C">
        <w:t xml:space="preserve"> and institutional </w:t>
      </w:r>
      <w:r w:rsidR="008E1145">
        <w:t>links</w:t>
      </w:r>
      <w:r w:rsidR="008E1145" w:rsidRPr="00C74E11">
        <w:t xml:space="preserve"> as</w:t>
      </w:r>
      <w:r w:rsidR="00A51D8D" w:rsidRPr="00C74E11">
        <w:t xml:space="preserve"> P2P</w:t>
      </w:r>
      <w:r w:rsidR="00A51D8D" w:rsidRPr="00A51D8D">
        <w:rPr>
          <w:i/>
        </w:rPr>
        <w:t>.</w:t>
      </w:r>
      <w:r w:rsidR="00F15CF8">
        <w:rPr>
          <w:i/>
        </w:rPr>
        <w:t xml:space="preserve"> </w:t>
      </w:r>
    </w:p>
    <w:p w:rsidR="004A2049" w:rsidRDefault="00F15CF8" w:rsidP="00443945">
      <w:pPr>
        <w:pStyle w:val="BodyText"/>
      </w:pPr>
      <w:r>
        <w:t xml:space="preserve">The </w:t>
      </w:r>
      <w:r w:rsidR="00E51733">
        <w:t>downward</w:t>
      </w:r>
      <w:r>
        <w:t xml:space="preserve"> trend</w:t>
      </w:r>
      <w:r w:rsidR="00E51733">
        <w:t xml:space="preserve"> in QAI scores across the </w:t>
      </w:r>
      <w:r w:rsidR="004A2049">
        <w:t xml:space="preserve">three </w:t>
      </w:r>
      <w:r w:rsidR="00E51733">
        <w:t xml:space="preserve">initiatives </w:t>
      </w:r>
      <w:r w:rsidR="005C7E9C">
        <w:t xml:space="preserve">does </w:t>
      </w:r>
      <w:r w:rsidR="00E51733">
        <w:t xml:space="preserve">not </w:t>
      </w:r>
      <w:r w:rsidR="00D55355">
        <w:t xml:space="preserve">necessarily </w:t>
      </w:r>
      <w:r w:rsidR="00272087">
        <w:t>reflect</w:t>
      </w:r>
      <w:r w:rsidR="00E51733">
        <w:t xml:space="preserve"> </w:t>
      </w:r>
      <w:r w:rsidR="00D55355">
        <w:t xml:space="preserve">overall </w:t>
      </w:r>
      <w:r w:rsidR="00E51733">
        <w:t xml:space="preserve">program </w:t>
      </w:r>
      <w:r w:rsidR="004A2049">
        <w:t xml:space="preserve">performance. </w:t>
      </w:r>
      <w:r w:rsidR="00272087">
        <w:t xml:space="preserve">QAI </w:t>
      </w:r>
      <w:r w:rsidR="004A2049">
        <w:t xml:space="preserve">results are influenced by </w:t>
      </w:r>
      <w:r w:rsidR="00272087">
        <w:t xml:space="preserve">a number of </w:t>
      </w:r>
      <w:r w:rsidR="004A2049">
        <w:t>factors</w:t>
      </w:r>
      <w:r w:rsidR="00272087">
        <w:t xml:space="preserve">. </w:t>
      </w:r>
      <w:r w:rsidR="005C7E9C">
        <w:t>With the Caribbean program, a</w:t>
      </w:r>
      <w:r w:rsidR="00272087">
        <w:t>ctivities within initiatives are performing at different rates, affecting overall score</w:t>
      </w:r>
      <w:r w:rsidR="005C7E9C">
        <w:t xml:space="preserve">s. </w:t>
      </w:r>
      <w:r w:rsidR="002E682E">
        <w:t>Our</w:t>
      </w:r>
      <w:r w:rsidR="00272087">
        <w:t xml:space="preserve"> </w:t>
      </w:r>
      <w:r w:rsidR="004A2049">
        <w:t>assessment process</w:t>
      </w:r>
      <w:r w:rsidR="00272087">
        <w:t xml:space="preserve"> has</w:t>
      </w:r>
      <w:r w:rsidR="004A2049">
        <w:t xml:space="preserve"> becom</w:t>
      </w:r>
      <w:r w:rsidR="00272087">
        <w:t>e more rigorous with a results focus.</w:t>
      </w:r>
    </w:p>
    <w:p w:rsidR="00751F70" w:rsidRDefault="00A75BC7" w:rsidP="00443945">
      <w:pPr>
        <w:pStyle w:val="Heading3"/>
      </w:pPr>
      <w:r>
        <w:t>R</w:t>
      </w:r>
      <w:r w:rsidR="00E02F43" w:rsidRPr="00927C71">
        <w:t>elevance</w:t>
      </w:r>
    </w:p>
    <w:p w:rsidR="00E02F43" w:rsidRDefault="00E63F44" w:rsidP="00443945">
      <w:pPr>
        <w:pStyle w:val="BodyText"/>
      </w:pPr>
      <w:r>
        <w:t>T</w:t>
      </w:r>
      <w:r w:rsidR="00E02F43">
        <w:t>h</w:t>
      </w:r>
      <w:r w:rsidR="00751F70">
        <w:t>is</w:t>
      </w:r>
      <w:r w:rsidR="00E02F43">
        <w:t xml:space="preserve"> rating maintained </w:t>
      </w:r>
      <w:r w:rsidR="005C7E9C">
        <w:t xml:space="preserve">a </w:t>
      </w:r>
      <w:r w:rsidR="00E02F43">
        <w:t>good quality (5)</w:t>
      </w:r>
      <w:r w:rsidR="005C7E9C">
        <w:t xml:space="preserve"> rating</w:t>
      </w:r>
      <w:r w:rsidR="00E02F43">
        <w:t xml:space="preserve"> across</w:t>
      </w:r>
      <w:r w:rsidR="005C7E9C">
        <w:t xml:space="preserve"> all three</w:t>
      </w:r>
      <w:r w:rsidR="00E02F43">
        <w:t xml:space="preserve"> initiatives, with </w:t>
      </w:r>
      <w:r w:rsidR="008E1145">
        <w:t>only P2P</w:t>
      </w:r>
      <w:r w:rsidR="00E02F43">
        <w:t xml:space="preserve"> dropping slightly (5 to 4) indicating it needs more work. </w:t>
      </w:r>
      <w:r w:rsidR="00751F70">
        <w:t xml:space="preserve">This </w:t>
      </w:r>
      <w:r w:rsidR="00E02F43">
        <w:t>rating reflected the weighted relevance of the activities, not the</w:t>
      </w:r>
      <w:r w:rsidR="005C7E9C">
        <w:t>ir</w:t>
      </w:r>
      <w:r w:rsidR="00E02F43">
        <w:t xml:space="preserve"> relevance in the region. </w:t>
      </w:r>
      <w:r w:rsidR="00A75BC7">
        <w:t>S</w:t>
      </w:r>
      <w:r w:rsidR="00E02F43">
        <w:t xml:space="preserve">ome activities met objectives </w:t>
      </w:r>
      <w:r w:rsidR="00751F70">
        <w:t>and some</w:t>
      </w:r>
      <w:r w:rsidR="00E02F43">
        <w:t xml:space="preserve"> </w:t>
      </w:r>
      <w:r w:rsidR="005C7E9C">
        <w:t>need to be improved</w:t>
      </w:r>
      <w:r w:rsidR="00E02F43">
        <w:t>.</w:t>
      </w:r>
    </w:p>
    <w:p w:rsidR="00751F70" w:rsidRPr="00927C71" w:rsidRDefault="00E02F43" w:rsidP="00443945">
      <w:pPr>
        <w:pStyle w:val="Heading3"/>
      </w:pPr>
      <w:r w:rsidRPr="00927C71">
        <w:t>Effectiveness</w:t>
      </w:r>
    </w:p>
    <w:p w:rsidR="00E02F43" w:rsidRDefault="00E63F44" w:rsidP="00443945">
      <w:pPr>
        <w:pStyle w:val="BodyText"/>
      </w:pPr>
      <w:r>
        <w:t xml:space="preserve">This rating </w:t>
      </w:r>
      <w:r w:rsidR="00E02F43" w:rsidRPr="00B716EA">
        <w:t xml:space="preserve">maintained </w:t>
      </w:r>
      <w:r>
        <w:t>a</w:t>
      </w:r>
      <w:r w:rsidR="005C7E9C">
        <w:t>n</w:t>
      </w:r>
      <w:r>
        <w:t xml:space="preserve"> </w:t>
      </w:r>
      <w:r w:rsidR="00E02F43" w:rsidRPr="00B716EA">
        <w:t>adequate</w:t>
      </w:r>
      <w:r w:rsidR="005C7E9C">
        <w:t xml:space="preserve"> rating</w:t>
      </w:r>
      <w:r w:rsidR="00E02F43" w:rsidRPr="00B716EA">
        <w:t xml:space="preserve"> </w:t>
      </w:r>
      <w:r>
        <w:t xml:space="preserve">with ER </w:t>
      </w:r>
      <w:r w:rsidR="00E02F43" w:rsidRPr="00B716EA">
        <w:t>(4)</w:t>
      </w:r>
      <w:r w:rsidR="00B716EA" w:rsidRPr="00927C71">
        <w:t xml:space="preserve"> and</w:t>
      </w:r>
      <w:r w:rsidR="00E02F43" w:rsidRPr="00B716EA">
        <w:t xml:space="preserve"> </w:t>
      </w:r>
      <w:r w:rsidR="005C7E9C">
        <w:t>dropped slightly</w:t>
      </w:r>
      <w:r>
        <w:t xml:space="preserve"> for </w:t>
      </w:r>
      <w:r w:rsidR="00E02F43" w:rsidRPr="00B716EA">
        <w:t xml:space="preserve">CC&amp;DRR </w:t>
      </w:r>
      <w:r>
        <w:t xml:space="preserve">(5 to 4) </w:t>
      </w:r>
      <w:r w:rsidR="004B4A72" w:rsidRPr="00B716EA">
        <w:t>and</w:t>
      </w:r>
      <w:r w:rsidR="00E02F43" w:rsidRPr="00B716EA">
        <w:t xml:space="preserve"> P2P</w:t>
      </w:r>
      <w:r>
        <w:t xml:space="preserve"> (4 to 3)</w:t>
      </w:r>
      <w:r w:rsidR="00E02F43" w:rsidRPr="00B716EA">
        <w:t xml:space="preserve">. </w:t>
      </w:r>
      <w:r w:rsidR="00100C70">
        <w:t>The</w:t>
      </w:r>
      <w:r w:rsidR="00100C70" w:rsidRPr="00B716EA">
        <w:t xml:space="preserve"> </w:t>
      </w:r>
      <w:r w:rsidR="00E02F43" w:rsidRPr="00B716EA">
        <w:t>CC&amp;DRR</w:t>
      </w:r>
      <w:r w:rsidR="00100C70">
        <w:t xml:space="preserve"> drop</w:t>
      </w:r>
      <w:r w:rsidR="00E02F43" w:rsidRPr="00B716EA">
        <w:t xml:space="preserve"> was due to CDEMA and some smaller activities </w:t>
      </w:r>
      <w:r w:rsidR="00E02F43" w:rsidRPr="00B716EA">
        <w:lastRenderedPageBreak/>
        <w:t xml:space="preserve">experiencing delays. </w:t>
      </w:r>
      <w:r w:rsidR="004B4A72" w:rsidRPr="00B716EA">
        <w:t xml:space="preserve">With </w:t>
      </w:r>
      <w:r w:rsidR="00E02F43" w:rsidRPr="00B716EA">
        <w:t xml:space="preserve">P2P, the </w:t>
      </w:r>
      <w:r>
        <w:t>mid-term review</w:t>
      </w:r>
      <w:r w:rsidR="00E02F43" w:rsidRPr="00B716EA">
        <w:t xml:space="preserve"> found that one activity did not </w:t>
      </w:r>
      <w:r w:rsidR="00A51D8D" w:rsidRPr="00B716EA">
        <w:t>have clear development objectives</w:t>
      </w:r>
      <w:r w:rsidR="00E02F43" w:rsidRPr="00B716EA">
        <w:t xml:space="preserve"> (Australia</w:t>
      </w:r>
      <w:r w:rsidR="00A51D8D" w:rsidRPr="00B716EA">
        <w:t>n</w:t>
      </w:r>
      <w:r w:rsidR="00E02F43" w:rsidRPr="00B716EA">
        <w:t xml:space="preserve"> Sports Outreach Program) an</w:t>
      </w:r>
      <w:r w:rsidR="00A51D8D" w:rsidRPr="00B716EA">
        <w:t>d one was not meeting targets (</w:t>
      </w:r>
      <w:r w:rsidR="004B4A72" w:rsidRPr="00B716EA">
        <w:t>v</w:t>
      </w:r>
      <w:r w:rsidR="00E02F43" w:rsidRPr="00B716EA">
        <w:t xml:space="preserve">olunteers). The rating for Australia Awards as a standalone activity </w:t>
      </w:r>
      <w:r>
        <w:t>c</w:t>
      </w:r>
      <w:r w:rsidR="00E02F43" w:rsidRPr="00B716EA">
        <w:t xml:space="preserve">ould </w:t>
      </w:r>
      <w:r>
        <w:t xml:space="preserve">have been </w:t>
      </w:r>
      <w:r w:rsidR="00E02F43" w:rsidRPr="00B716EA">
        <w:t>higher</w:t>
      </w:r>
      <w:r w:rsidR="00E02F43" w:rsidRPr="009E3E73">
        <w:t xml:space="preserve">, as it </w:t>
      </w:r>
      <w:r w:rsidR="00100C70">
        <w:t>was</w:t>
      </w:r>
      <w:r w:rsidR="00E02F43" w:rsidRPr="009E3E73">
        <w:t xml:space="preserve"> assessed as particularly effective</w:t>
      </w:r>
      <w:r w:rsidR="00E02F43">
        <w:t xml:space="preserve">. The </w:t>
      </w:r>
      <w:r w:rsidR="00A51D8D">
        <w:t>ER</w:t>
      </w:r>
      <w:r w:rsidR="00E02F43">
        <w:t xml:space="preserve"> rating </w:t>
      </w:r>
      <w:r w:rsidR="00543058">
        <w:t>indicated</w:t>
      </w:r>
      <w:r w:rsidR="00E02F43">
        <w:t xml:space="preserve"> good progress</w:t>
      </w:r>
      <w:r w:rsidR="004B4A72">
        <w:t xml:space="preserve">, </w:t>
      </w:r>
      <w:r w:rsidR="00E02F43">
        <w:t xml:space="preserve">but IFC and YUTE experienced start-up delays. </w:t>
      </w:r>
    </w:p>
    <w:p w:rsidR="004B4A72" w:rsidRPr="00927C71" w:rsidRDefault="00E02F43" w:rsidP="00443945">
      <w:pPr>
        <w:pStyle w:val="Heading3"/>
      </w:pPr>
      <w:r w:rsidRPr="00927C71">
        <w:t>Efficiency</w:t>
      </w:r>
    </w:p>
    <w:p w:rsidR="00E02F43" w:rsidRDefault="00100C70" w:rsidP="00443945">
      <w:pPr>
        <w:pStyle w:val="BodyText"/>
      </w:pPr>
      <w:r>
        <w:t>This rating was maintained across a</w:t>
      </w:r>
      <w:r w:rsidR="00E02F43">
        <w:t xml:space="preserve">ll three </w:t>
      </w:r>
      <w:r w:rsidR="00E63F44">
        <w:t>initiatives</w:t>
      </w:r>
      <w:r w:rsidR="009E3E73">
        <w:t>—</w:t>
      </w:r>
      <w:r w:rsidR="00E02F43">
        <w:t>CC&amp;DRR rated adequate (4)</w:t>
      </w:r>
      <w:r w:rsidR="009E3E73">
        <w:t>,</w:t>
      </w:r>
      <w:r w:rsidR="00E02F43">
        <w:t xml:space="preserve"> </w:t>
      </w:r>
      <w:r w:rsidR="00A51D8D">
        <w:t>ER</w:t>
      </w:r>
      <w:r w:rsidR="00E02F43">
        <w:t xml:space="preserve"> high (5)</w:t>
      </w:r>
      <w:r w:rsidR="009E3E73">
        <w:t xml:space="preserve"> and</w:t>
      </w:r>
      <w:r w:rsidR="00E02F43">
        <w:t xml:space="preserve"> P2P less than adequate (3). </w:t>
      </w:r>
      <w:r w:rsidR="00A51D8D">
        <w:t>ER’s</w:t>
      </w:r>
      <w:r w:rsidR="00E02F43">
        <w:t xml:space="preserve"> rating </w:t>
      </w:r>
      <w:r w:rsidR="00543058">
        <w:t>indicates</w:t>
      </w:r>
      <w:r w:rsidR="00E02F43">
        <w:t xml:space="preserve"> that th</w:t>
      </w:r>
      <w:r>
        <w:t>e</w:t>
      </w:r>
      <w:r w:rsidR="00E02F43">
        <w:t xml:space="preserve"> initiative is focused, with only three complementary activities. CARTAC and IFC are low maintenance partners, who are responsive </w:t>
      </w:r>
      <w:r w:rsidR="00543058">
        <w:t xml:space="preserve">and have </w:t>
      </w:r>
      <w:r w:rsidR="00E02F43">
        <w:t xml:space="preserve">strong administrative systems. P2P’s lower rating </w:t>
      </w:r>
      <w:r>
        <w:t>reflects</w:t>
      </w:r>
      <w:r w:rsidR="00E02F43">
        <w:t xml:space="preserve"> the resource</w:t>
      </w:r>
      <w:r>
        <w:t>-</w:t>
      </w:r>
      <w:r w:rsidR="00E02F43">
        <w:t>intensive nature of activities.</w:t>
      </w:r>
    </w:p>
    <w:p w:rsidR="00C56A4C" w:rsidRPr="00927C71" w:rsidRDefault="00E02F43" w:rsidP="00443945">
      <w:pPr>
        <w:pStyle w:val="Heading3"/>
      </w:pPr>
      <w:r w:rsidRPr="00927C71">
        <w:t xml:space="preserve">Monitoring </w:t>
      </w:r>
      <w:r w:rsidR="00C56A4C" w:rsidRPr="00927C71">
        <w:t>and e</w:t>
      </w:r>
      <w:r w:rsidRPr="00927C71">
        <w:t>valuation</w:t>
      </w:r>
    </w:p>
    <w:p w:rsidR="00E02F43" w:rsidRDefault="00100C70" w:rsidP="00443945">
      <w:pPr>
        <w:pStyle w:val="BodyText"/>
      </w:pPr>
      <w:r>
        <w:t xml:space="preserve">This rating was mixed across all three initiatives. </w:t>
      </w:r>
      <w:r w:rsidR="00E02F43">
        <w:t>CC&amp;DRR maintained an adequate rating (4)</w:t>
      </w:r>
      <w:r w:rsidR="009E3E73">
        <w:t xml:space="preserve">, </w:t>
      </w:r>
      <w:r w:rsidR="00A51D8D">
        <w:t>ER</w:t>
      </w:r>
      <w:r w:rsidR="00E02F43">
        <w:t xml:space="preserve"> experienced </w:t>
      </w:r>
      <w:r>
        <w:t>dropped</w:t>
      </w:r>
      <w:r w:rsidR="00E02F43">
        <w:t xml:space="preserve"> significant</w:t>
      </w:r>
      <w:r>
        <w:t>ly</w:t>
      </w:r>
      <w:r w:rsidR="00E02F43">
        <w:t xml:space="preserve"> (5 to 3) and P2P dropped (4 to 3). The </w:t>
      </w:r>
      <w:r w:rsidR="00A51D8D">
        <w:t>ER</w:t>
      </w:r>
      <w:r w:rsidR="00E63F44">
        <w:t xml:space="preserve"> </w:t>
      </w:r>
      <w:r>
        <w:t>and</w:t>
      </w:r>
      <w:r w:rsidR="00E63F44">
        <w:t xml:space="preserve"> P2P</w:t>
      </w:r>
      <w:r w:rsidR="00E02F43">
        <w:t xml:space="preserve"> fall was due to </w:t>
      </w:r>
      <w:r w:rsidR="00543058">
        <w:t>inadequate use of</w:t>
      </w:r>
      <w:r w:rsidR="00E02F43">
        <w:t xml:space="preserve"> corporate tools. </w:t>
      </w:r>
      <w:r>
        <w:t>Indeed, inadequate use of these tools</w:t>
      </w:r>
      <w:r w:rsidR="00E02F43">
        <w:t xml:space="preserve"> was relevant to </w:t>
      </w:r>
      <w:r>
        <w:t xml:space="preserve">all program </w:t>
      </w:r>
      <w:r w:rsidR="00E02F43">
        <w:t>activ</w:t>
      </w:r>
      <w:r w:rsidR="00F655C2">
        <w:t>ities and will be addressed by implementing</w:t>
      </w:r>
      <w:r w:rsidR="00E02F43">
        <w:t xml:space="preserve"> an improved quality and performance</w:t>
      </w:r>
      <w:r>
        <w:t xml:space="preserve"> system supported by</w:t>
      </w:r>
      <w:r w:rsidR="00F655C2">
        <w:t xml:space="preserve"> the </w:t>
      </w:r>
      <w:r w:rsidR="0029382B">
        <w:t>performance assessment framework</w:t>
      </w:r>
      <w:r w:rsidR="00543058">
        <w:t xml:space="preserve"> as</w:t>
      </w:r>
      <w:r>
        <w:t xml:space="preserve"> the</w:t>
      </w:r>
      <w:r w:rsidR="00543058">
        <w:t xml:space="preserve"> foundation</w:t>
      </w:r>
      <w:r w:rsidR="00E02F43">
        <w:t xml:space="preserve">. </w:t>
      </w:r>
      <w:r w:rsidR="009E3E73">
        <w:t>G</w:t>
      </w:r>
      <w:r w:rsidR="00E02F43">
        <w:t xml:space="preserve">ood partner </w:t>
      </w:r>
      <w:r w:rsidR="00543058">
        <w:t xml:space="preserve">monitoring and evaluations </w:t>
      </w:r>
      <w:r w:rsidR="00135F7D">
        <w:t>tools exist</w:t>
      </w:r>
      <w:r w:rsidR="00E02F43">
        <w:t xml:space="preserve"> although they are </w:t>
      </w:r>
      <w:r w:rsidR="00F655C2">
        <w:t>new</w:t>
      </w:r>
      <w:r w:rsidR="00E02F43">
        <w:t xml:space="preserve"> and data is not yet strong in many cases. The </w:t>
      </w:r>
      <w:r w:rsidR="0029382B">
        <w:t>QAI</w:t>
      </w:r>
      <w:r w:rsidR="00E63F44">
        <w:t xml:space="preserve"> report</w:t>
      </w:r>
      <w:r w:rsidR="00E02F43">
        <w:t xml:space="preserve"> noted that </w:t>
      </w:r>
      <w:r w:rsidR="002E682E">
        <w:t xml:space="preserve">we </w:t>
      </w:r>
      <w:r w:rsidR="00E02F43">
        <w:t xml:space="preserve">could draw more heavily on </w:t>
      </w:r>
      <w:r w:rsidR="00F655C2">
        <w:t>these</w:t>
      </w:r>
      <w:r w:rsidR="00E02F43">
        <w:t xml:space="preserve"> for </w:t>
      </w:r>
      <w:r w:rsidR="002E682E">
        <w:t>our</w:t>
      </w:r>
      <w:r w:rsidR="009E3E73">
        <w:t xml:space="preserve"> </w:t>
      </w:r>
      <w:r w:rsidR="00E02F43">
        <w:t xml:space="preserve">own purposes. </w:t>
      </w:r>
    </w:p>
    <w:p w:rsidR="00B716EA" w:rsidRPr="00927C71" w:rsidRDefault="00E02F43" w:rsidP="00443945">
      <w:pPr>
        <w:pStyle w:val="Heading3"/>
      </w:pPr>
      <w:r w:rsidRPr="00927C71">
        <w:t>Sustainability</w:t>
      </w:r>
    </w:p>
    <w:p w:rsidR="00E02F43" w:rsidRDefault="00100C70" w:rsidP="00443945">
      <w:pPr>
        <w:pStyle w:val="BodyText"/>
      </w:pPr>
      <w:r>
        <w:t xml:space="preserve">This rating was mixed across all three initiatives. </w:t>
      </w:r>
      <w:r w:rsidR="00E02F43">
        <w:t>CC&amp;DRR maintained an adequate rating (4)</w:t>
      </w:r>
      <w:r w:rsidR="009E3E73">
        <w:t>,</w:t>
      </w:r>
      <w:r w:rsidR="00E02F43">
        <w:t xml:space="preserve"> </w:t>
      </w:r>
      <w:r w:rsidR="00A51D8D">
        <w:t>ER</w:t>
      </w:r>
      <w:r w:rsidR="00E02F43">
        <w:t xml:space="preserve"> </w:t>
      </w:r>
      <w:r>
        <w:t>dropped</w:t>
      </w:r>
      <w:r w:rsidR="00E02F43">
        <w:t xml:space="preserve"> (5 to 4) and P2P dropped (4 to 3). The </w:t>
      </w:r>
      <w:r w:rsidR="00A51D8D">
        <w:t>ER</w:t>
      </w:r>
      <w:r w:rsidR="00E02F43">
        <w:t xml:space="preserve"> </w:t>
      </w:r>
      <w:r w:rsidR="009E3E73">
        <w:t xml:space="preserve">fall </w:t>
      </w:r>
      <w:r w:rsidR="00E02F43">
        <w:t>suggests activities are generally well</w:t>
      </w:r>
      <w:r w:rsidR="00E63F44">
        <w:t>-</w:t>
      </w:r>
      <w:r w:rsidR="00E02F43">
        <w:t xml:space="preserve">designed but sustainability is proving difficult to assess </w:t>
      </w:r>
      <w:r>
        <w:t xml:space="preserve">because of </w:t>
      </w:r>
      <w:r w:rsidR="00E02F43">
        <w:t>long-term challenges</w:t>
      </w:r>
      <w:r>
        <w:t>,</w:t>
      </w:r>
      <w:r w:rsidR="00E02F43">
        <w:t xml:space="preserve"> such as economic resilience, where </w:t>
      </w:r>
      <w:r w:rsidR="00EC3C1B">
        <w:t xml:space="preserve">Australian Government </w:t>
      </w:r>
      <w:r w:rsidR="00E02F43">
        <w:t xml:space="preserve">contribution is short-term and modest. </w:t>
      </w:r>
      <w:r w:rsidR="002E682E">
        <w:t>We are</w:t>
      </w:r>
      <w:r w:rsidR="009E3E73">
        <w:t xml:space="preserve"> limited on what </w:t>
      </w:r>
      <w:r w:rsidR="002E682E">
        <w:t xml:space="preserve">we </w:t>
      </w:r>
      <w:r w:rsidR="009E3E73">
        <w:t>can do to change this.</w:t>
      </w:r>
      <w:r w:rsidR="00E63F44">
        <w:t xml:space="preserve"> The P2P fall was largely due to the ASOP Caribbean </w:t>
      </w:r>
      <w:r>
        <w:t>P</w:t>
      </w:r>
      <w:r w:rsidR="00E63F44">
        <w:t>rogram not being designed to include sustainable development outcomes.</w:t>
      </w:r>
      <w:r w:rsidR="00E02F43">
        <w:t xml:space="preserve"> </w:t>
      </w:r>
    </w:p>
    <w:p w:rsidR="00B716EA" w:rsidRPr="00927C71" w:rsidRDefault="00E02F43" w:rsidP="00443945">
      <w:pPr>
        <w:pStyle w:val="Heading3"/>
      </w:pPr>
      <w:r w:rsidRPr="00927C71">
        <w:t xml:space="preserve">Gender </w:t>
      </w:r>
      <w:r w:rsidR="00B716EA" w:rsidRPr="00927C71">
        <w:t>e</w:t>
      </w:r>
      <w:r w:rsidRPr="00927C71">
        <w:t>quality</w:t>
      </w:r>
    </w:p>
    <w:p w:rsidR="001D78D9" w:rsidRDefault="00100C70" w:rsidP="00443945">
      <w:pPr>
        <w:pStyle w:val="BodyText"/>
      </w:pPr>
      <w:r>
        <w:t xml:space="preserve">This rating was mixed across all three initiatives. </w:t>
      </w:r>
      <w:r w:rsidR="00E02F43">
        <w:t>CC&amp;DRR maintained its poor quality rating (2)</w:t>
      </w:r>
      <w:r w:rsidR="009E3E73">
        <w:t>, ER</w:t>
      </w:r>
      <w:r w:rsidR="00E02F43">
        <w:t xml:space="preserve"> dropped (3 to 2) and P2P dropped (4 to 3). Partner action on integrating gender and disability into programs continues to be </w:t>
      </w:r>
      <w:r w:rsidR="00FE01CA">
        <w:t>deficient</w:t>
      </w:r>
      <w:r w:rsidR="00E02F43">
        <w:t xml:space="preserve">. Despite these poor ratings, </w:t>
      </w:r>
      <w:r w:rsidR="00301D0C">
        <w:t xml:space="preserve">gender equality </w:t>
      </w:r>
      <w:r w:rsidR="00E02F43">
        <w:t xml:space="preserve">awareness in the region is gradually increasing. </w:t>
      </w:r>
      <w:r>
        <w:t>Partners</w:t>
      </w:r>
      <w:r w:rsidR="00E02F43">
        <w:t xml:space="preserve"> general</w:t>
      </w:r>
      <w:r>
        <w:t>ly</w:t>
      </w:r>
      <w:r w:rsidR="00E02F43">
        <w:t xml:space="preserve"> recogni</w:t>
      </w:r>
      <w:r>
        <w:t>se</w:t>
      </w:r>
      <w:r w:rsidR="00E02F43">
        <w:t xml:space="preserve"> the need for </w:t>
      </w:r>
      <w:r w:rsidR="003F7868">
        <w:t>stronger focus</w:t>
      </w:r>
      <w:r w:rsidR="00E02F43">
        <w:t xml:space="preserve"> but</w:t>
      </w:r>
      <w:r>
        <w:t xml:space="preserve"> there is</w:t>
      </w:r>
      <w:r w:rsidR="00E02F43">
        <w:t xml:space="preserve"> no path forward to </w:t>
      </w:r>
      <w:r w:rsidR="009E3E73">
        <w:t>achi</w:t>
      </w:r>
      <w:r w:rsidR="00D56BBF">
        <w:t>e</w:t>
      </w:r>
      <w:r w:rsidR="009E3E73">
        <w:t xml:space="preserve">ve </w:t>
      </w:r>
      <w:r w:rsidR="00E02F43">
        <w:t>this. Some activities</w:t>
      </w:r>
      <w:r w:rsidR="009E3E73">
        <w:t>,</w:t>
      </w:r>
      <w:r w:rsidR="00E02F43">
        <w:t xml:space="preserve"> such as YUTE and </w:t>
      </w:r>
      <w:r>
        <w:t>ASOP Caribbean</w:t>
      </w:r>
      <w:r w:rsidR="009E3E73">
        <w:t>,</w:t>
      </w:r>
      <w:r w:rsidR="00E02F43">
        <w:t xml:space="preserve"> are developing formats to report qualitative and quantitative data on gender, with some programs explicitly addressing </w:t>
      </w:r>
      <w:r w:rsidR="003F7868">
        <w:t>disability and social inclusion.</w:t>
      </w:r>
      <w:r w:rsidR="00E02F43">
        <w:t xml:space="preserve"> </w:t>
      </w:r>
      <w:r w:rsidR="001D78D9">
        <w:t>In 2013</w:t>
      </w:r>
      <w:r w:rsidR="009E3E73">
        <w:t>–</w:t>
      </w:r>
      <w:r w:rsidR="001D78D9">
        <w:t>14</w:t>
      </w:r>
      <w:r w:rsidR="009E3E73">
        <w:t>,</w:t>
      </w:r>
      <w:r w:rsidR="001D78D9">
        <w:t xml:space="preserve"> the </w:t>
      </w:r>
      <w:r>
        <w:t xml:space="preserve">Caribbean </w:t>
      </w:r>
      <w:r w:rsidR="001D78D9">
        <w:t xml:space="preserve">program will work to improve performance against these </w:t>
      </w:r>
      <w:r w:rsidR="00C31933">
        <w:t>indicators</w:t>
      </w:r>
      <w:r>
        <w:t>. It will do so</w:t>
      </w:r>
      <w:r w:rsidR="00C31933">
        <w:t xml:space="preserve"> by</w:t>
      </w:r>
      <w:r w:rsidR="001D78D9">
        <w:t xml:space="preserve"> selectively targeting core programs for improvement</w:t>
      </w:r>
      <w:r w:rsidR="00FE01CA">
        <w:t xml:space="preserve"> and consider</w:t>
      </w:r>
      <w:r>
        <w:t>ing</w:t>
      </w:r>
      <w:r w:rsidR="00FE01CA">
        <w:t xml:space="preserve"> commissioning a gender assessment to better understand gender differentiation in the Caribbean</w:t>
      </w:r>
      <w:r w:rsidR="001D78D9">
        <w:t xml:space="preserve">. </w:t>
      </w:r>
    </w:p>
    <w:p w:rsidR="00730025" w:rsidRDefault="00730025">
      <w:pPr>
        <w:spacing w:after="200" w:line="276" w:lineRule="auto"/>
        <w:rPr>
          <w:rFonts w:ascii="Franklin Gothic Demi" w:eastAsia="Times New Roman" w:hAnsi="Franklin Gothic Demi" w:cs="Arial"/>
          <w:color w:val="AD495D"/>
          <w:kern w:val="28"/>
          <w:sz w:val="28"/>
          <w:szCs w:val="28"/>
        </w:rPr>
      </w:pPr>
      <w:r>
        <w:br w:type="page"/>
      </w:r>
    </w:p>
    <w:p w:rsidR="009C3270" w:rsidRPr="00180B19" w:rsidRDefault="009C3270" w:rsidP="009C3270">
      <w:pPr>
        <w:pStyle w:val="Heading1"/>
      </w:pPr>
      <w:r w:rsidRPr="00180B19">
        <w:lastRenderedPageBreak/>
        <w:t xml:space="preserve">Management </w:t>
      </w:r>
      <w:r w:rsidR="00301D0C">
        <w:t>c</w:t>
      </w:r>
      <w:r w:rsidRPr="00180B19">
        <w:t>onsequences</w:t>
      </w:r>
    </w:p>
    <w:p w:rsidR="001D78D9" w:rsidRPr="00B36BDB" w:rsidRDefault="001D78D9" w:rsidP="00443945">
      <w:pPr>
        <w:pStyle w:val="BodyText"/>
      </w:pPr>
      <w:r w:rsidRPr="00B36BDB">
        <w:t xml:space="preserve">The </w:t>
      </w:r>
      <w:r w:rsidR="00301D0C" w:rsidRPr="00B36BDB">
        <w:t xml:space="preserve">Caribbean </w:t>
      </w:r>
      <w:r w:rsidRPr="00B36BDB">
        <w:t>program has a clear path forward in 2013</w:t>
      </w:r>
      <w:r w:rsidR="00301D0C" w:rsidRPr="00B36BDB">
        <w:t>–</w:t>
      </w:r>
      <w:r w:rsidRPr="00B36BDB">
        <w:t>14</w:t>
      </w:r>
      <w:r w:rsidR="00262919" w:rsidRPr="00B36BDB">
        <w:t xml:space="preserve">. </w:t>
      </w:r>
      <w:r w:rsidRPr="00B36BDB">
        <w:t>The program will:</w:t>
      </w:r>
    </w:p>
    <w:p w:rsidR="00CC229F" w:rsidRPr="00A11616" w:rsidRDefault="001D78D9" w:rsidP="00443945">
      <w:pPr>
        <w:pStyle w:val="ListNumber"/>
        <w:numPr>
          <w:ilvl w:val="0"/>
          <w:numId w:val="52"/>
        </w:numPr>
      </w:pPr>
      <w:r w:rsidRPr="00384808">
        <w:t xml:space="preserve">Reduce </w:t>
      </w:r>
      <w:r w:rsidR="009C3270" w:rsidRPr="00384808">
        <w:t>fragmentation</w:t>
      </w:r>
    </w:p>
    <w:p w:rsidR="00B36BDB" w:rsidRDefault="00301D0C" w:rsidP="00443945">
      <w:pPr>
        <w:pStyle w:val="BodyText"/>
        <w:ind w:left="357"/>
      </w:pPr>
      <w:r>
        <w:t xml:space="preserve">This will be achieved </w:t>
      </w:r>
      <w:r w:rsidR="001D78D9">
        <w:t>by</w:t>
      </w:r>
      <w:r w:rsidR="00B36BDB">
        <w:t>:</w:t>
      </w:r>
    </w:p>
    <w:p w:rsidR="00B36BDB" w:rsidRDefault="001D78D9" w:rsidP="00443945">
      <w:pPr>
        <w:pStyle w:val="ListNumber2"/>
      </w:pPr>
      <w:r w:rsidRPr="00384808">
        <w:t>consolidating</w:t>
      </w:r>
      <w:r w:rsidR="009C3270" w:rsidRPr="00384808">
        <w:t xml:space="preserve"> </w:t>
      </w:r>
      <w:r w:rsidR="00384808" w:rsidRPr="00384808">
        <w:t xml:space="preserve">investments and </w:t>
      </w:r>
      <w:r w:rsidR="00CF7863">
        <w:t xml:space="preserve">increasing </w:t>
      </w:r>
      <w:r w:rsidR="00384808" w:rsidRPr="00384808">
        <w:t>management focus on the</w:t>
      </w:r>
      <w:r w:rsidR="00100C70">
        <w:t>se</w:t>
      </w:r>
      <w:r w:rsidR="00384808" w:rsidRPr="00384808">
        <w:t xml:space="preserve"> core objectives</w:t>
      </w:r>
      <w:r w:rsidR="00100C70">
        <w:t>:</w:t>
      </w:r>
      <w:r w:rsidR="00B36BDB">
        <w:t xml:space="preserve"> </w:t>
      </w:r>
      <w:proofErr w:type="spellStart"/>
      <w:r w:rsidR="00B36BDB">
        <w:t>i</w:t>
      </w:r>
      <w:proofErr w:type="spellEnd"/>
      <w:r w:rsidR="00B36BDB">
        <w:t>)</w:t>
      </w:r>
      <w:r w:rsidR="009C3270" w:rsidRPr="009C3270">
        <w:t xml:space="preserve"> building regional capacity to respond to the impacts of climate change and manage natural disaster risk</w:t>
      </w:r>
      <w:r w:rsidR="00301D0C">
        <w:t>;</w:t>
      </w:r>
      <w:r w:rsidR="00384808">
        <w:t xml:space="preserve"> </w:t>
      </w:r>
      <w:r w:rsidR="00B36BDB">
        <w:t>ii)</w:t>
      </w:r>
      <w:r w:rsidR="009C3270" w:rsidRPr="009C3270">
        <w:t xml:space="preserve"> building economic resilience</w:t>
      </w:r>
      <w:r w:rsidR="00301D0C">
        <w:t>;</w:t>
      </w:r>
      <w:r w:rsidR="009C3270" w:rsidRPr="009C3270">
        <w:t xml:space="preserve"> and </w:t>
      </w:r>
      <w:r w:rsidR="00B36BDB">
        <w:t>iii</w:t>
      </w:r>
      <w:r w:rsidR="00384808">
        <w:t xml:space="preserve">) </w:t>
      </w:r>
      <w:r w:rsidR="009C3270" w:rsidRPr="009C3270">
        <w:t>facilitating linkages and cooperation with the Pacific on common development challenges</w:t>
      </w:r>
      <w:r w:rsidR="00262919">
        <w:t xml:space="preserve"> </w:t>
      </w:r>
    </w:p>
    <w:p w:rsidR="009C3270" w:rsidRPr="009C3270" w:rsidRDefault="00384808" w:rsidP="00443945">
      <w:pPr>
        <w:pStyle w:val="ListNumber2"/>
      </w:pPr>
      <w:proofErr w:type="gramStart"/>
      <w:r>
        <w:t>p</w:t>
      </w:r>
      <w:r w:rsidR="009C3270" w:rsidRPr="009C3270">
        <w:t>has</w:t>
      </w:r>
      <w:r w:rsidR="00B36BDB">
        <w:t>ing</w:t>
      </w:r>
      <w:proofErr w:type="gramEnd"/>
      <w:r w:rsidR="009C3270" w:rsidRPr="009C3270">
        <w:t xml:space="preserve"> out</w:t>
      </w:r>
      <w:r w:rsidR="004A2049">
        <w:t>, complet</w:t>
      </w:r>
      <w:r w:rsidR="00B36BDB">
        <w:t>ing</w:t>
      </w:r>
      <w:r w:rsidR="004A2049">
        <w:t xml:space="preserve"> </w:t>
      </w:r>
      <w:r w:rsidR="003E6E72">
        <w:t>and clos</w:t>
      </w:r>
      <w:r w:rsidR="00B36BDB">
        <w:t>ing</w:t>
      </w:r>
      <w:r w:rsidR="003E6E72">
        <w:t xml:space="preserve"> </w:t>
      </w:r>
      <w:r w:rsidR="009C3270" w:rsidRPr="009C3270">
        <w:t>programs</w:t>
      </w:r>
      <w:r w:rsidR="00301D0C">
        <w:t xml:space="preserve"> that fall</w:t>
      </w:r>
      <w:r w:rsidR="009C3270" w:rsidRPr="009C3270">
        <w:t xml:space="preserve"> outside th</w:t>
      </w:r>
      <w:r w:rsidR="00301D0C">
        <w:t>ese</w:t>
      </w:r>
      <w:r w:rsidR="0009599A">
        <w:t xml:space="preserve"> core</w:t>
      </w:r>
      <w:r w:rsidR="00301D0C">
        <w:t xml:space="preserve"> objectives</w:t>
      </w:r>
      <w:r w:rsidR="009C3270" w:rsidRPr="009C3270">
        <w:t xml:space="preserve"> on</w:t>
      </w:r>
      <w:r w:rsidR="00B36BDB">
        <w:t>ce commitments are met and evaluations completed.</w:t>
      </w:r>
    </w:p>
    <w:p w:rsidR="00CC229F" w:rsidRPr="00A11616" w:rsidRDefault="009C3270" w:rsidP="00443945">
      <w:pPr>
        <w:pStyle w:val="ListNumber"/>
      </w:pPr>
      <w:r w:rsidRPr="00384808">
        <w:t>Manage for development results</w:t>
      </w:r>
    </w:p>
    <w:p w:rsidR="00B36BDB" w:rsidRDefault="007A54ED" w:rsidP="00443945">
      <w:pPr>
        <w:pStyle w:val="BodyText"/>
        <w:ind w:left="357"/>
      </w:pPr>
      <w:r>
        <w:t>As</w:t>
      </w:r>
      <w:r w:rsidRPr="001E7AD1">
        <w:t xml:space="preserve"> program </w:t>
      </w:r>
      <w:r>
        <w:t>investments are consolidated</w:t>
      </w:r>
      <w:r w:rsidR="0009599A">
        <w:t>, this will be achieved by</w:t>
      </w:r>
      <w:r w:rsidR="00B36BDB">
        <w:t>:</w:t>
      </w:r>
    </w:p>
    <w:p w:rsidR="00B36BDB" w:rsidRDefault="007A54ED" w:rsidP="00443945">
      <w:pPr>
        <w:pStyle w:val="ListNumber2"/>
        <w:numPr>
          <w:ilvl w:val="0"/>
          <w:numId w:val="53"/>
        </w:numPr>
      </w:pPr>
      <w:r w:rsidRPr="001E7AD1">
        <w:t>realign</w:t>
      </w:r>
      <w:r w:rsidR="0009599A">
        <w:t>ing</w:t>
      </w:r>
      <w:r w:rsidRPr="001E7AD1">
        <w:t xml:space="preserve"> management </w:t>
      </w:r>
      <w:r w:rsidR="00CF7863">
        <w:t>focus</w:t>
      </w:r>
      <w:r w:rsidRPr="001E7AD1">
        <w:t xml:space="preserve"> </w:t>
      </w:r>
      <w:r w:rsidR="00CF7863">
        <w:t>to deepen</w:t>
      </w:r>
      <w:r w:rsidRPr="001E7AD1">
        <w:t xml:space="preserve"> engagement with core programs and </w:t>
      </w:r>
      <w:r w:rsidR="001C7743">
        <w:t xml:space="preserve">core </w:t>
      </w:r>
      <w:r w:rsidR="00CF7863">
        <w:t>implementation institutions</w:t>
      </w:r>
      <w:r w:rsidRPr="001E7AD1">
        <w:t xml:space="preserve">,  in particular the </w:t>
      </w:r>
      <w:r w:rsidR="00CC229F">
        <w:t>5Cs</w:t>
      </w:r>
      <w:r w:rsidRPr="001E7AD1">
        <w:t xml:space="preserve">, </w:t>
      </w:r>
      <w:r w:rsidR="00CF7863">
        <w:t>CDEMA and CARTAC</w:t>
      </w:r>
    </w:p>
    <w:p w:rsidR="00B36BDB" w:rsidRDefault="00CF7863" w:rsidP="00443945">
      <w:pPr>
        <w:pStyle w:val="ListNumber2"/>
      </w:pPr>
      <w:r>
        <w:t>work</w:t>
      </w:r>
      <w:r w:rsidR="0009599A">
        <w:t>ing</w:t>
      </w:r>
      <w:r>
        <w:t xml:space="preserve"> with partners to realign investment objectives to maximise development outcomes</w:t>
      </w:r>
    </w:p>
    <w:p w:rsidR="007A54ED" w:rsidRPr="001E7AD1" w:rsidRDefault="001C7743" w:rsidP="00443945">
      <w:pPr>
        <w:pStyle w:val="ListNumber2"/>
      </w:pPr>
      <w:proofErr w:type="gramStart"/>
      <w:r>
        <w:t>shift</w:t>
      </w:r>
      <w:r w:rsidR="0009599A">
        <w:t>ing</w:t>
      </w:r>
      <w:proofErr w:type="gramEnd"/>
      <w:r>
        <w:t xml:space="preserve"> </w:t>
      </w:r>
      <w:r w:rsidR="00CF7863">
        <w:t>management</w:t>
      </w:r>
      <w:r w:rsidR="00B36BDB">
        <w:t xml:space="preserve"> </w:t>
      </w:r>
      <w:r w:rsidR="00272087">
        <w:t>focus</w:t>
      </w:r>
      <w:r w:rsidR="00CF7863">
        <w:t xml:space="preserve"> </w:t>
      </w:r>
      <w:r>
        <w:t xml:space="preserve">from relationship and partnership building to a </w:t>
      </w:r>
      <w:r w:rsidR="00CF7863">
        <w:t xml:space="preserve">stronger </w:t>
      </w:r>
      <w:r>
        <w:t>results focus.</w:t>
      </w:r>
    </w:p>
    <w:p w:rsidR="00CC229F" w:rsidRPr="00A11616" w:rsidRDefault="001E7AD1" w:rsidP="00443945">
      <w:pPr>
        <w:pStyle w:val="ListNumber"/>
      </w:pPr>
      <w:r w:rsidRPr="001E7AD1">
        <w:t xml:space="preserve">Continue to improve policy </w:t>
      </w:r>
      <w:r w:rsidR="0009599A">
        <w:t>discussion</w:t>
      </w:r>
      <w:r w:rsidR="0009599A" w:rsidRPr="001E7AD1">
        <w:t xml:space="preserve"> </w:t>
      </w:r>
      <w:r w:rsidRPr="001E7AD1">
        <w:t xml:space="preserve">and partnership with the CARICOM </w:t>
      </w:r>
      <w:r w:rsidRPr="0073699F">
        <w:t>Secretariat</w:t>
      </w:r>
    </w:p>
    <w:p w:rsidR="00B36BDB" w:rsidRDefault="00301D0C" w:rsidP="00443945">
      <w:pPr>
        <w:pStyle w:val="BodyText"/>
        <w:ind w:left="357"/>
      </w:pPr>
      <w:r>
        <w:t>This will be achieved</w:t>
      </w:r>
      <w:r w:rsidR="001E7AD1" w:rsidRPr="00CC229F">
        <w:rPr>
          <w:b/>
        </w:rPr>
        <w:t xml:space="preserve"> </w:t>
      </w:r>
      <w:r w:rsidR="0009599A">
        <w:t>by</w:t>
      </w:r>
      <w:r w:rsidR="00B36BDB">
        <w:t>:</w:t>
      </w:r>
    </w:p>
    <w:p w:rsidR="00B36BDB" w:rsidRDefault="000908B9" w:rsidP="00443945">
      <w:pPr>
        <w:pStyle w:val="ListNumber2"/>
        <w:numPr>
          <w:ilvl w:val="0"/>
          <w:numId w:val="54"/>
        </w:numPr>
      </w:pPr>
      <w:r>
        <w:t>h</w:t>
      </w:r>
      <w:r w:rsidR="0009599A">
        <w:t xml:space="preserve">olding </w:t>
      </w:r>
      <w:r w:rsidR="001E7AD1" w:rsidRPr="001E7AD1">
        <w:t>joint qua</w:t>
      </w:r>
      <w:r w:rsidR="00CF7863">
        <w:t>rterly meetings and the annual Senior Offic</w:t>
      </w:r>
      <w:r w:rsidR="0073699F">
        <w:t>ials</w:t>
      </w:r>
      <w:r w:rsidR="00CF7863">
        <w:t xml:space="preserve"> M</w:t>
      </w:r>
      <w:r w:rsidR="001E7AD1" w:rsidRPr="001E7AD1">
        <w:t>eeting</w:t>
      </w:r>
    </w:p>
    <w:p w:rsidR="001E7AD1" w:rsidRPr="001E7AD1" w:rsidRDefault="00B36BDB" w:rsidP="00443945">
      <w:pPr>
        <w:pStyle w:val="ListNumber2"/>
        <w:numPr>
          <w:ilvl w:val="0"/>
          <w:numId w:val="54"/>
        </w:numPr>
      </w:pPr>
      <w:proofErr w:type="gramStart"/>
      <w:r>
        <w:t>maintaining</w:t>
      </w:r>
      <w:proofErr w:type="gramEnd"/>
      <w:r>
        <w:t xml:space="preserve"> and strengthening t</w:t>
      </w:r>
      <w:r w:rsidR="00301D0C">
        <w:t>he e</w:t>
      </w:r>
      <w:r w:rsidR="001E7AD1">
        <w:t>xisting mechanism for policy d</w:t>
      </w:r>
      <w:r>
        <w:t>iscussions, including</w:t>
      </w:r>
      <w:r w:rsidR="001E7AD1">
        <w:t xml:space="preserve"> regular </w:t>
      </w:r>
      <w:r w:rsidR="00C31933">
        <w:t>liaison</w:t>
      </w:r>
      <w:r w:rsidR="001E7AD1">
        <w:t xml:space="preserve"> betwe</w:t>
      </w:r>
      <w:r w:rsidR="00CF7863">
        <w:t xml:space="preserve">en </w:t>
      </w:r>
      <w:r w:rsidR="006A17B8">
        <w:t xml:space="preserve">DFAT’s </w:t>
      </w:r>
      <w:r w:rsidR="00CF7863">
        <w:t xml:space="preserve">senior officer </w:t>
      </w:r>
      <w:r>
        <w:t>in the Caribbean</w:t>
      </w:r>
      <w:r w:rsidR="00CF7863">
        <w:t xml:space="preserve"> and the CARICOM Secretariat.</w:t>
      </w:r>
    </w:p>
    <w:p w:rsidR="00CC229F" w:rsidRPr="00A11616" w:rsidRDefault="004D32F2" w:rsidP="00443945">
      <w:pPr>
        <w:pStyle w:val="ListNumber"/>
      </w:pPr>
      <w:r>
        <w:t>Redefine</w:t>
      </w:r>
      <w:r w:rsidR="00CF7863" w:rsidRPr="0073699F">
        <w:t xml:space="preserve"> roles and responsibilities of </w:t>
      </w:r>
      <w:r>
        <w:t xml:space="preserve">the new </w:t>
      </w:r>
      <w:r w:rsidR="006A17B8">
        <w:t xml:space="preserve">DFAT </w:t>
      </w:r>
      <w:r w:rsidR="00191BB1">
        <w:t>Canberra and Port of Spain</w:t>
      </w:r>
      <w:r>
        <w:t xml:space="preserve"> team</w:t>
      </w:r>
    </w:p>
    <w:p w:rsidR="00B36BDB" w:rsidRDefault="00CC229F" w:rsidP="00443945">
      <w:pPr>
        <w:pStyle w:val="BodyText"/>
        <w:ind w:left="357"/>
      </w:pPr>
      <w:r w:rsidRPr="00780A6E">
        <w:t>R</w:t>
      </w:r>
      <w:r w:rsidR="00CF7863">
        <w:t>oles and responsibilities are being reviewed</w:t>
      </w:r>
      <w:r w:rsidR="00301D0C">
        <w:t xml:space="preserve"> and are</w:t>
      </w:r>
      <w:r w:rsidR="00CF7863">
        <w:t xml:space="preserve"> to be confirmed in June 2013. </w:t>
      </w:r>
      <w:r w:rsidR="0009599A">
        <w:t>Redefining these will be achieved by:</w:t>
      </w:r>
    </w:p>
    <w:p w:rsidR="00B36BDB" w:rsidRDefault="0009599A" w:rsidP="00443945">
      <w:pPr>
        <w:pStyle w:val="ListNumber2"/>
        <w:numPr>
          <w:ilvl w:val="0"/>
          <w:numId w:val="55"/>
        </w:numPr>
      </w:pPr>
      <w:r>
        <w:t>strengthening s</w:t>
      </w:r>
      <w:r w:rsidR="00CF7863">
        <w:t xml:space="preserve">taff capabilities </w:t>
      </w:r>
      <w:r w:rsidR="00A62F57">
        <w:t xml:space="preserve">in </w:t>
      </w:r>
      <w:r>
        <w:t xml:space="preserve">line </w:t>
      </w:r>
      <w:r w:rsidR="00A62F57">
        <w:t>with changed</w:t>
      </w:r>
      <w:r w:rsidR="00CF7863">
        <w:t xml:space="preserve"> roles and a commitment to staff development</w:t>
      </w:r>
    </w:p>
    <w:p w:rsidR="00CF7863" w:rsidRDefault="0009599A" w:rsidP="00443945">
      <w:pPr>
        <w:pStyle w:val="ListNumber2"/>
        <w:numPr>
          <w:ilvl w:val="0"/>
          <w:numId w:val="55"/>
        </w:numPr>
      </w:pPr>
      <w:proofErr w:type="gramStart"/>
      <w:r>
        <w:t>ensuring</w:t>
      </w:r>
      <w:proofErr w:type="gramEnd"/>
      <w:r w:rsidR="00B36BDB">
        <w:t xml:space="preserve"> </w:t>
      </w:r>
      <w:r w:rsidR="0004302C">
        <w:t xml:space="preserve">the departments </w:t>
      </w:r>
      <w:r w:rsidR="00B36BDB">
        <w:t>staff working in the Caribbean</w:t>
      </w:r>
      <w:r>
        <w:t xml:space="preserve"> focus on developing</w:t>
      </w:r>
      <w:r w:rsidR="00CF7863">
        <w:t xml:space="preserve"> a</w:t>
      </w:r>
      <w:r w:rsidR="00CF7863" w:rsidRPr="009C3270">
        <w:t xml:space="preserve">dvanced program management </w:t>
      </w:r>
      <w:r w:rsidR="00A62F57">
        <w:t>skills</w:t>
      </w:r>
      <w:r w:rsidR="00301D0C">
        <w:t xml:space="preserve"> (</w:t>
      </w:r>
      <w:r w:rsidR="00A62F57">
        <w:t xml:space="preserve">including </w:t>
      </w:r>
      <w:r w:rsidR="00301D0C">
        <w:t xml:space="preserve">with </w:t>
      </w:r>
      <w:r w:rsidR="00A62F57">
        <w:t>monitoring</w:t>
      </w:r>
      <w:r w:rsidR="00543058">
        <w:t>,</w:t>
      </w:r>
      <w:r w:rsidR="000E3F55">
        <w:t xml:space="preserve"> </w:t>
      </w:r>
      <w:r w:rsidR="00A62F57">
        <w:t>reporting and</w:t>
      </w:r>
      <w:r w:rsidR="00CF7863" w:rsidRPr="009C3270">
        <w:t xml:space="preserve"> negotiating</w:t>
      </w:r>
      <w:r w:rsidR="00301D0C">
        <w:t>)</w:t>
      </w:r>
      <w:r>
        <w:t>, which</w:t>
      </w:r>
      <w:r w:rsidR="00CF7863" w:rsidRPr="009C3270">
        <w:t xml:space="preserve"> are paramount </w:t>
      </w:r>
      <w:r w:rsidR="00301D0C">
        <w:t>for</w:t>
      </w:r>
      <w:r>
        <w:t xml:space="preserve"> results</w:t>
      </w:r>
      <w:r w:rsidR="00CF7863" w:rsidRPr="009C3270">
        <w:t xml:space="preserve"> delivery</w:t>
      </w:r>
      <w:r w:rsidR="00CF7863">
        <w:t xml:space="preserve">. </w:t>
      </w:r>
    </w:p>
    <w:p w:rsidR="00CC229F" w:rsidRPr="00A11616" w:rsidRDefault="005776C3" w:rsidP="00443945">
      <w:pPr>
        <w:pStyle w:val="ListNumber"/>
      </w:pPr>
      <w:r w:rsidRPr="00C31933">
        <w:t xml:space="preserve">Implement an improved </w:t>
      </w:r>
      <w:r w:rsidR="001E7AD1" w:rsidRPr="00C31933">
        <w:t>quality assurance and reporting</w:t>
      </w:r>
      <w:r w:rsidRPr="00C31933">
        <w:t xml:space="preserve"> schedule</w:t>
      </w:r>
    </w:p>
    <w:p w:rsidR="00B36BDB" w:rsidRDefault="00301D0C" w:rsidP="00443945">
      <w:pPr>
        <w:pStyle w:val="BodyText"/>
        <w:ind w:left="357"/>
      </w:pPr>
      <w:r>
        <w:t xml:space="preserve">This </w:t>
      </w:r>
      <w:r w:rsidR="0009599A">
        <w:t>will be achieved</w:t>
      </w:r>
      <w:r>
        <w:t xml:space="preserve"> </w:t>
      </w:r>
      <w:r w:rsidR="001E7AD1" w:rsidRPr="001E7AD1">
        <w:t>giving due consideration to</w:t>
      </w:r>
      <w:r w:rsidR="00B36BDB">
        <w:t>:</w:t>
      </w:r>
    </w:p>
    <w:p w:rsidR="00B36BDB" w:rsidRDefault="001E7AD1" w:rsidP="00443945">
      <w:pPr>
        <w:pStyle w:val="ListNumber2"/>
        <w:numPr>
          <w:ilvl w:val="0"/>
          <w:numId w:val="56"/>
        </w:numPr>
      </w:pPr>
      <w:r w:rsidRPr="001E7AD1">
        <w:t>the siz</w:t>
      </w:r>
      <w:r w:rsidR="005776C3">
        <w:t>e and nature of the program</w:t>
      </w:r>
    </w:p>
    <w:p w:rsidR="00B36BDB" w:rsidRDefault="005776C3" w:rsidP="00443945">
      <w:pPr>
        <w:pStyle w:val="ListNumber2"/>
      </w:pPr>
      <w:r>
        <w:t>corporate performance and quality requirements</w:t>
      </w:r>
    </w:p>
    <w:p w:rsidR="00B36BDB" w:rsidRDefault="00B36BDB" w:rsidP="00443945">
      <w:pPr>
        <w:pStyle w:val="ListNumber2"/>
      </w:pPr>
      <w:r>
        <w:t xml:space="preserve">the performance assessment framework as </w:t>
      </w:r>
      <w:r w:rsidR="0009599A">
        <w:t>the foundation</w:t>
      </w:r>
      <w:r>
        <w:t xml:space="preserve"> for performance measurement and reporting</w:t>
      </w:r>
    </w:p>
    <w:p w:rsidR="009C3270" w:rsidRPr="001E7AD1" w:rsidRDefault="009C3270" w:rsidP="00443945">
      <w:pPr>
        <w:pStyle w:val="ListNumber2"/>
      </w:pPr>
      <w:proofErr w:type="gramStart"/>
      <w:r w:rsidRPr="00CF7863">
        <w:t>gender</w:t>
      </w:r>
      <w:proofErr w:type="gramEnd"/>
      <w:r w:rsidRPr="00CF7863">
        <w:t xml:space="preserve"> equality and disability</w:t>
      </w:r>
      <w:r w:rsidRPr="001E7AD1">
        <w:t xml:space="preserve"> inclusion</w:t>
      </w:r>
      <w:r w:rsidR="0009599A">
        <w:t xml:space="preserve"> improvement</w:t>
      </w:r>
      <w:r w:rsidRPr="001E7AD1">
        <w:t xml:space="preserve"> in </w:t>
      </w:r>
      <w:r w:rsidR="00A62F57">
        <w:t>selected</w:t>
      </w:r>
      <w:r w:rsidRPr="001E7AD1">
        <w:t xml:space="preserve"> programs</w:t>
      </w:r>
      <w:r w:rsidR="0009599A">
        <w:t>,</w:t>
      </w:r>
      <w:r w:rsidRPr="001E7AD1">
        <w:t xml:space="preserve"> </w:t>
      </w:r>
      <w:r w:rsidR="00B36BDB">
        <w:t>to</w:t>
      </w:r>
      <w:r w:rsidR="00C31933">
        <w:t xml:space="preserve"> </w:t>
      </w:r>
      <w:r w:rsidRPr="001E7AD1">
        <w:t xml:space="preserve">improve </w:t>
      </w:r>
      <w:r w:rsidR="00A62F57">
        <w:t>results</w:t>
      </w:r>
      <w:r w:rsidRPr="001E7AD1">
        <w:t xml:space="preserve"> against these</w:t>
      </w:r>
      <w:r w:rsidR="0009599A">
        <w:t xml:space="preserve"> two</w:t>
      </w:r>
      <w:r w:rsidRPr="001E7AD1">
        <w:t xml:space="preserve"> crosscutting priorities.</w:t>
      </w:r>
    </w:p>
    <w:p w:rsidR="008A1684" w:rsidRPr="008A1684" w:rsidRDefault="0009599A" w:rsidP="00443945">
      <w:pPr>
        <w:pStyle w:val="BodyText"/>
      </w:pPr>
      <w:r>
        <w:lastRenderedPageBreak/>
        <w:t xml:space="preserve">Table 4 lists the most significant risks associated with the program and associated management actions. </w:t>
      </w:r>
      <w:r w:rsidRPr="00927C71">
        <w:t xml:space="preserve">Annex </w:t>
      </w:r>
      <w:proofErr w:type="gramStart"/>
      <w:r>
        <w:t>A</w:t>
      </w:r>
      <w:proofErr w:type="gramEnd"/>
      <w:r w:rsidRPr="008A1684">
        <w:t xml:space="preserve"> </w:t>
      </w:r>
      <w:r>
        <w:t>outlines</w:t>
      </w:r>
      <w:r w:rsidRPr="008A1684">
        <w:t xml:space="preserve"> </w:t>
      </w:r>
      <w:r>
        <w:t>progress in addressing management consequences from the 2011 APPR.</w:t>
      </w:r>
    </w:p>
    <w:p w:rsidR="009C3270" w:rsidRPr="002C32E1" w:rsidRDefault="009C3270" w:rsidP="006A00A2">
      <w:pPr>
        <w:pStyle w:val="Caption"/>
      </w:pPr>
      <w:r w:rsidRPr="009C3270">
        <w:t xml:space="preserve">Table </w:t>
      </w:r>
      <w:r w:rsidR="002C32E1">
        <w:t xml:space="preserve">4 </w:t>
      </w:r>
      <w:r w:rsidRPr="009C3270">
        <w:t>Risks associated with the program and management actions</w:t>
      </w:r>
    </w:p>
    <w:tbl>
      <w:tblPr>
        <w:tblStyle w:val="APPR"/>
        <w:tblW w:w="5000" w:type="pct"/>
        <w:tblLook w:val="0600" w:firstRow="0" w:lastRow="0" w:firstColumn="0" w:lastColumn="0" w:noHBand="1" w:noVBand="1"/>
      </w:tblPr>
      <w:tblGrid>
        <w:gridCol w:w="4434"/>
        <w:gridCol w:w="4172"/>
      </w:tblGrid>
      <w:tr w:rsidR="009C3270" w:rsidRPr="009C3270" w:rsidTr="002A5CDA">
        <w:tc>
          <w:tcPr>
            <w:tcW w:w="4363" w:type="dxa"/>
            <w:hideMark/>
          </w:tcPr>
          <w:p w:rsidR="009C3270" w:rsidRPr="009C3270" w:rsidRDefault="009C3270" w:rsidP="002A5CDA">
            <w:pPr>
              <w:pStyle w:val="TableTextColumnHeading"/>
            </w:pPr>
            <w:r w:rsidRPr="009C3270">
              <w:t>Most significant risks</w:t>
            </w:r>
          </w:p>
        </w:tc>
        <w:tc>
          <w:tcPr>
            <w:tcW w:w="4103" w:type="dxa"/>
          </w:tcPr>
          <w:p w:rsidR="009C3270" w:rsidRPr="009C3270" w:rsidRDefault="009C3270" w:rsidP="0009599A">
            <w:pPr>
              <w:pStyle w:val="TableTextColumnHeading"/>
            </w:pPr>
            <w:r w:rsidRPr="009C3270">
              <w:t xml:space="preserve">Management </w:t>
            </w:r>
            <w:r w:rsidR="00301D0C">
              <w:t>r</w:t>
            </w:r>
            <w:r w:rsidRPr="009C3270">
              <w:t>esponse</w:t>
            </w:r>
            <w:r w:rsidR="0009599A">
              <w:t>—</w:t>
            </w:r>
            <w:r w:rsidRPr="009C3270">
              <w:t xml:space="preserve">What? Who? How? When? </w:t>
            </w:r>
          </w:p>
        </w:tc>
      </w:tr>
      <w:tr w:rsidR="009C3270" w:rsidRPr="009C3270" w:rsidTr="002A5CDA">
        <w:tc>
          <w:tcPr>
            <w:tcW w:w="4363" w:type="dxa"/>
            <w:hideMark/>
          </w:tcPr>
          <w:p w:rsidR="009C3270" w:rsidRPr="009C3270" w:rsidRDefault="009C3270" w:rsidP="002A5CDA">
            <w:pPr>
              <w:pStyle w:val="TableTextEntries"/>
            </w:pPr>
            <w:r w:rsidRPr="009C3270">
              <w:t>Diverse and geographically dispersed region resulting in continued fragmentation and less effective program</w:t>
            </w:r>
          </w:p>
        </w:tc>
        <w:tc>
          <w:tcPr>
            <w:tcW w:w="4103" w:type="dxa"/>
          </w:tcPr>
          <w:p w:rsidR="009C3270" w:rsidRPr="009C3270" w:rsidRDefault="006A17B8" w:rsidP="002E682E">
            <w:pPr>
              <w:pStyle w:val="TableTextEntries"/>
            </w:pPr>
            <w:r>
              <w:t>DFAT</w:t>
            </w:r>
            <w:r w:rsidRPr="009C3270">
              <w:t xml:space="preserve"> </w:t>
            </w:r>
            <w:r w:rsidR="009C3270" w:rsidRPr="009C3270">
              <w:t xml:space="preserve">will </w:t>
            </w:r>
            <w:r w:rsidR="00301D0C">
              <w:t>focus</w:t>
            </w:r>
            <w:r w:rsidR="00301D0C" w:rsidRPr="009C3270">
              <w:t xml:space="preserve"> </w:t>
            </w:r>
            <w:r w:rsidR="009C3270" w:rsidRPr="009C3270">
              <w:t xml:space="preserve">the Caribbean </w:t>
            </w:r>
            <w:r w:rsidR="00200E29">
              <w:t>p</w:t>
            </w:r>
            <w:r w:rsidR="009C3270" w:rsidRPr="009C3270">
              <w:t xml:space="preserve">rogram on its three </w:t>
            </w:r>
            <w:r w:rsidR="00EE13DA">
              <w:t>objectives</w:t>
            </w:r>
            <w:r w:rsidR="009C3270" w:rsidRPr="009C3270">
              <w:t xml:space="preserve">, in line with Australia’s expertise and capacity and key issues identified in the region. Programming will remain focused primarily on regional outcomes and avoid small </w:t>
            </w:r>
            <w:r w:rsidR="00301D0C">
              <w:t>and resource</w:t>
            </w:r>
            <w:r w:rsidR="00200E29">
              <w:t>-</w:t>
            </w:r>
            <w:r w:rsidR="00301D0C">
              <w:t xml:space="preserve">intensive </w:t>
            </w:r>
            <w:r w:rsidR="009C3270" w:rsidRPr="009C3270">
              <w:t xml:space="preserve">project activities to manage and dilute overall impact. </w:t>
            </w:r>
            <w:r w:rsidR="002E682E">
              <w:t>We</w:t>
            </w:r>
            <w:r w:rsidR="002E682E" w:rsidRPr="009C3270">
              <w:t xml:space="preserve"> </w:t>
            </w:r>
            <w:r w:rsidR="009C3270" w:rsidRPr="009C3270">
              <w:t xml:space="preserve">will use strong relationships built to ensure ongoing relevance of Australia’s </w:t>
            </w:r>
            <w:r w:rsidR="00200E29">
              <w:t xml:space="preserve">aid </w:t>
            </w:r>
            <w:r w:rsidR="009C3270" w:rsidRPr="009C3270">
              <w:t>contribution, and support better coordination with development partners.</w:t>
            </w:r>
          </w:p>
        </w:tc>
      </w:tr>
      <w:tr w:rsidR="009C3270" w:rsidRPr="009C3270" w:rsidTr="002A5CDA">
        <w:tc>
          <w:tcPr>
            <w:tcW w:w="4363" w:type="dxa"/>
          </w:tcPr>
          <w:p w:rsidR="009C3270" w:rsidRPr="009C3270" w:rsidRDefault="008B6B32" w:rsidP="008B6B32">
            <w:pPr>
              <w:pStyle w:val="TableTextEntries"/>
            </w:pPr>
            <w:r>
              <w:t xml:space="preserve">The department’s </w:t>
            </w:r>
            <w:r w:rsidR="009C3270" w:rsidRPr="009C3270">
              <w:t>knowledge and experience in the region</w:t>
            </w:r>
          </w:p>
        </w:tc>
        <w:tc>
          <w:tcPr>
            <w:tcW w:w="4103" w:type="dxa"/>
          </w:tcPr>
          <w:p w:rsidR="009C3270" w:rsidRPr="009C3270" w:rsidRDefault="006A17B8" w:rsidP="00301D0C">
            <w:pPr>
              <w:pStyle w:val="TableTextEntries"/>
            </w:pPr>
            <w:r>
              <w:t>DFAT</w:t>
            </w:r>
            <w:r w:rsidRPr="009C3270">
              <w:t xml:space="preserve"> </w:t>
            </w:r>
            <w:r w:rsidR="009C3270" w:rsidRPr="009C3270">
              <w:t>will share the results of its work and experience in the region with other regional partners and donors. We will continue to make connections with Australia’s domestic agencies where they can add value</w:t>
            </w:r>
            <w:r w:rsidR="00262919">
              <w:t xml:space="preserve">. </w:t>
            </w:r>
            <w:r w:rsidR="009C3270" w:rsidRPr="009C3270">
              <w:t xml:space="preserve">Australia will continue to use its experience with the </w:t>
            </w:r>
            <w:r w:rsidR="00543058">
              <w:t>S</w:t>
            </w:r>
            <w:r w:rsidR="00301D0C">
              <w:t>IDS</w:t>
            </w:r>
            <w:r w:rsidR="00EE13DA">
              <w:t xml:space="preserve"> </w:t>
            </w:r>
            <w:r w:rsidR="009C3270" w:rsidRPr="009C3270">
              <w:t>of the Pacific to inform its Caribbean engagement.</w:t>
            </w:r>
          </w:p>
        </w:tc>
      </w:tr>
      <w:tr w:rsidR="009C3270" w:rsidRPr="009C3270" w:rsidTr="002A5CDA">
        <w:tc>
          <w:tcPr>
            <w:tcW w:w="4363" w:type="dxa"/>
          </w:tcPr>
          <w:p w:rsidR="009C3270" w:rsidRPr="009C3270" w:rsidRDefault="009C3270" w:rsidP="00200E29">
            <w:pPr>
              <w:pStyle w:val="TableTextEntries"/>
            </w:pPr>
            <w:r w:rsidRPr="009C3270">
              <w:t>Balancing a regional approach with achieving national</w:t>
            </w:r>
            <w:r w:rsidR="00200E29">
              <w:t xml:space="preserve"> and </w:t>
            </w:r>
            <w:r w:rsidRPr="009C3270">
              <w:t>community</w:t>
            </w:r>
            <w:r w:rsidR="00200E29">
              <w:t>-</w:t>
            </w:r>
            <w:r w:rsidRPr="009C3270">
              <w:t>level results</w:t>
            </w:r>
          </w:p>
        </w:tc>
        <w:tc>
          <w:tcPr>
            <w:tcW w:w="4103" w:type="dxa"/>
          </w:tcPr>
          <w:p w:rsidR="009C3270" w:rsidRPr="009C3270" w:rsidRDefault="009C3270" w:rsidP="00200E29">
            <w:pPr>
              <w:pStyle w:val="TableTextEntries"/>
            </w:pPr>
            <w:r w:rsidRPr="009C3270">
              <w:t>Careful choice of partners and design of activities, with appropriate monitoring</w:t>
            </w:r>
            <w:r w:rsidR="00301D0C">
              <w:t>,</w:t>
            </w:r>
            <w:r w:rsidRPr="009C3270">
              <w:t xml:space="preserve"> will help ensure regional activities can demonstrate tangible results for individual countries and communities. This will be supported by regular </w:t>
            </w:r>
            <w:r w:rsidR="00200E29">
              <w:t>discussion</w:t>
            </w:r>
            <w:r w:rsidR="00200E29" w:rsidRPr="009C3270">
              <w:t xml:space="preserve"> </w:t>
            </w:r>
            <w:r w:rsidRPr="009C3270">
              <w:t>with implementing partners</w:t>
            </w:r>
            <w:r w:rsidR="00200E29">
              <w:t>,</w:t>
            </w:r>
            <w:r w:rsidRPr="009C3270">
              <w:t xml:space="preserve"> consistent with the </w:t>
            </w:r>
            <w:r w:rsidR="00200E29">
              <w:t>performance assessment framework</w:t>
            </w:r>
            <w:r w:rsidRPr="009C3270">
              <w:t>.</w:t>
            </w:r>
          </w:p>
        </w:tc>
      </w:tr>
      <w:tr w:rsidR="009C3270" w:rsidRPr="00180B19" w:rsidTr="002A5CDA">
        <w:tc>
          <w:tcPr>
            <w:tcW w:w="4363" w:type="dxa"/>
          </w:tcPr>
          <w:p w:rsidR="009C3270" w:rsidRPr="009C3270" w:rsidRDefault="009C3270" w:rsidP="002A5CDA">
            <w:pPr>
              <w:pStyle w:val="TableTextEntries"/>
            </w:pPr>
            <w:r w:rsidRPr="009C3270">
              <w:t>Capacity of local regional partners</w:t>
            </w:r>
          </w:p>
        </w:tc>
        <w:tc>
          <w:tcPr>
            <w:tcW w:w="4103" w:type="dxa"/>
          </w:tcPr>
          <w:p w:rsidR="009C3270" w:rsidRPr="004C4A3E" w:rsidRDefault="006A17B8" w:rsidP="00200E29">
            <w:pPr>
              <w:pStyle w:val="TableTextEntries"/>
            </w:pPr>
            <w:r>
              <w:t>DFAT</w:t>
            </w:r>
            <w:r w:rsidRPr="009C3270">
              <w:t xml:space="preserve">’s </w:t>
            </w:r>
            <w:r w:rsidR="009C3270" w:rsidRPr="009C3270">
              <w:t xml:space="preserve">increasing experience </w:t>
            </w:r>
            <w:r w:rsidR="00301D0C">
              <w:t>in</w:t>
            </w:r>
            <w:r w:rsidR="00301D0C" w:rsidRPr="009C3270">
              <w:t xml:space="preserve"> </w:t>
            </w:r>
            <w:r w:rsidR="009C3270" w:rsidRPr="009C3270">
              <w:t>the region enables realistic expectations about what can be achieved and how to support our investments. Our efforts to improve development coordination aim to reduce the resource burden for local partners managing the interface and maximise efficiencies. The Caribbean program aims to</w:t>
            </w:r>
            <w:r w:rsidR="00272087">
              <w:t xml:space="preserve"> eliminate</w:t>
            </w:r>
            <w:r w:rsidR="00EE13DA">
              <w:t xml:space="preserve"> t</w:t>
            </w:r>
            <w:r w:rsidR="009C3270" w:rsidRPr="009C3270">
              <w:t>hese constraints by contributing to the region’s human resource capacity and governance as well as its resilience to climate, disaster-related and economic stresses.</w:t>
            </w:r>
          </w:p>
        </w:tc>
      </w:tr>
    </w:tbl>
    <w:p w:rsidR="009C3270" w:rsidRDefault="009C3270" w:rsidP="009C3270">
      <w:pPr>
        <w:pStyle w:val="BodyText"/>
        <w:sectPr w:rsidR="009C3270" w:rsidSect="007D3225">
          <w:headerReference w:type="default" r:id="rId12"/>
          <w:footerReference w:type="default" r:id="rId13"/>
          <w:headerReference w:type="first" r:id="rId14"/>
          <w:footerReference w:type="first" r:id="rId15"/>
          <w:pgSz w:w="11906" w:h="16838" w:code="9"/>
          <w:pgMar w:top="2268" w:right="1701" w:bottom="907" w:left="1871" w:header="709" w:footer="454" w:gutter="0"/>
          <w:cols w:space="708"/>
          <w:titlePg/>
          <w:docGrid w:linePitch="360"/>
        </w:sectPr>
      </w:pPr>
    </w:p>
    <w:p w:rsidR="00E02F43" w:rsidRPr="00FE4491" w:rsidRDefault="00A75BC7" w:rsidP="00E02F43">
      <w:pPr>
        <w:pStyle w:val="Heading1"/>
      </w:pPr>
      <w:r>
        <w:lastRenderedPageBreak/>
        <w:t>A</w:t>
      </w:r>
      <w:r w:rsidR="00E02F43">
        <w:t xml:space="preserve">nnex </w:t>
      </w:r>
      <w:r w:rsidR="00EE13DA">
        <w:t>A</w:t>
      </w:r>
      <w:r w:rsidR="00E02F43" w:rsidRPr="00FE4491">
        <w:t xml:space="preserve"> </w:t>
      </w:r>
    </w:p>
    <w:p w:rsidR="00E02F43" w:rsidRPr="00EB50D0" w:rsidRDefault="00E02F43" w:rsidP="00E02F43">
      <w:pPr>
        <w:pStyle w:val="Heading2"/>
        <w:rPr>
          <w:b/>
        </w:rPr>
      </w:pPr>
      <w:r w:rsidRPr="00EB50D0">
        <w:rPr>
          <w:b/>
        </w:rPr>
        <w:t>Progress in addressing 2011 management consequences</w:t>
      </w:r>
    </w:p>
    <w:tbl>
      <w:tblPr>
        <w:tblStyle w:val="APPR"/>
        <w:tblpPr w:leftFromText="180" w:rightFromText="180" w:vertAnchor="text" w:tblpY="1"/>
        <w:tblW w:w="5000" w:type="pct"/>
        <w:tblLayout w:type="fixed"/>
        <w:tblLook w:val="0000" w:firstRow="0" w:lastRow="0" w:firstColumn="0" w:lastColumn="0" w:noHBand="0" w:noVBand="0"/>
      </w:tblPr>
      <w:tblGrid>
        <w:gridCol w:w="9208"/>
        <w:gridCol w:w="1418"/>
        <w:gridCol w:w="3309"/>
      </w:tblGrid>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180B19" w:rsidRDefault="00E02F43" w:rsidP="00A30593">
            <w:pPr>
              <w:pStyle w:val="TableTextColumnHeading"/>
            </w:pPr>
            <w:r w:rsidRPr="00FE4491">
              <w:t>Management consequences identified in 2011 APPR</w:t>
            </w:r>
            <w:r>
              <w:tab/>
            </w:r>
          </w:p>
        </w:tc>
        <w:tc>
          <w:tcPr>
            <w:tcW w:w="1390" w:type="dxa"/>
          </w:tcPr>
          <w:p w:rsidR="00E02F43" w:rsidRPr="00180B19" w:rsidRDefault="00E02F43" w:rsidP="00A30593">
            <w:pPr>
              <w:pStyle w:val="TableTextColumnHeading"/>
            </w:pPr>
            <w:r w:rsidRPr="00FE4491">
              <w:t>Rating</w:t>
            </w:r>
          </w:p>
        </w:tc>
        <w:tc>
          <w:tcPr>
            <w:tcW w:w="3267" w:type="dxa"/>
          </w:tcPr>
          <w:p w:rsidR="00E02F43" w:rsidRPr="00180B19" w:rsidRDefault="00E02F43" w:rsidP="00A30593">
            <w:pPr>
              <w:pStyle w:val="TableTextColumnHeading"/>
            </w:pPr>
            <w:r w:rsidRPr="00FE4491">
              <w:t>Progress made in 2012</w:t>
            </w:r>
            <w:r w:rsidR="003C281D">
              <w:t>–</w:t>
            </w:r>
            <w:r w:rsidRPr="00FE4491">
              <w:t>13</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 xml:space="preserve">Finalise the </w:t>
            </w:r>
            <w:r w:rsidR="00200E29" w:rsidRPr="00730025">
              <w:t>performance assessment framework</w:t>
            </w:r>
            <w:r w:rsidRPr="00730025">
              <w:t>.</w:t>
            </w:r>
          </w:p>
        </w:tc>
        <w:tc>
          <w:tcPr>
            <w:tcW w:w="1390" w:type="dxa"/>
            <w:shd w:val="clear" w:color="auto" w:fill="92D050"/>
          </w:tcPr>
          <w:p w:rsidR="00E02F43" w:rsidRPr="00730025" w:rsidRDefault="00E02F43" w:rsidP="00730025">
            <w:pPr>
              <w:pStyle w:val="TableTextEntries"/>
            </w:pPr>
            <w:r w:rsidRPr="00730025">
              <w:t>Green</w:t>
            </w:r>
          </w:p>
        </w:tc>
        <w:tc>
          <w:tcPr>
            <w:tcW w:w="3267" w:type="dxa"/>
          </w:tcPr>
          <w:p w:rsidR="00E02F43" w:rsidRPr="00730025" w:rsidRDefault="00E02F43" w:rsidP="00730025">
            <w:pPr>
              <w:pStyle w:val="TableTextEntries"/>
            </w:pPr>
            <w:r w:rsidRPr="00730025">
              <w:t>Completed</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 xml:space="preserve">Undertake </w:t>
            </w:r>
            <w:r w:rsidR="0029382B" w:rsidRPr="00730025">
              <w:t>mid-term review</w:t>
            </w:r>
            <w:r w:rsidRPr="00730025">
              <w:t xml:space="preserve"> of the Caribbean program.</w:t>
            </w:r>
          </w:p>
        </w:tc>
        <w:tc>
          <w:tcPr>
            <w:tcW w:w="1390" w:type="dxa"/>
            <w:shd w:val="clear" w:color="auto" w:fill="92D050"/>
          </w:tcPr>
          <w:p w:rsidR="00E02F43" w:rsidRPr="00730025" w:rsidRDefault="00E02F43" w:rsidP="00730025">
            <w:pPr>
              <w:pStyle w:val="TableTextEntries"/>
            </w:pPr>
            <w:r w:rsidRPr="00730025">
              <w:t>Green</w:t>
            </w:r>
            <w:r w:rsidRPr="00730025">
              <w:fldChar w:fldCharType="begin"/>
            </w:r>
            <w:r w:rsidRPr="00730025">
              <w:instrText xml:space="preserve"> AUTOTEXTLIST  \s "Rating bullet"\t "Right click to choose a rating" \* MERGEFORMAT </w:instrText>
            </w:r>
            <w:r w:rsidRPr="00730025">
              <w:fldChar w:fldCharType="end"/>
            </w:r>
          </w:p>
        </w:tc>
        <w:tc>
          <w:tcPr>
            <w:tcW w:w="3267" w:type="dxa"/>
          </w:tcPr>
          <w:p w:rsidR="00E02F43" w:rsidRPr="00730025" w:rsidRDefault="00E02F43" w:rsidP="00730025">
            <w:pPr>
              <w:pStyle w:val="TableTextEntries"/>
            </w:pPr>
            <w:r w:rsidRPr="00730025">
              <w:t>Completed</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Review the efficiency of the Caribbean Australia Awards program</w:t>
            </w:r>
            <w:r w:rsidR="00200E29" w:rsidRPr="00730025">
              <w:t>,</w:t>
            </w:r>
            <w:r w:rsidRPr="00730025">
              <w:t xml:space="preserve"> including promotion and selection process, and resource requirements</w:t>
            </w:r>
            <w:r w:rsidR="00200E29" w:rsidRPr="00730025">
              <w:t>.</w:t>
            </w:r>
          </w:p>
        </w:tc>
        <w:tc>
          <w:tcPr>
            <w:tcW w:w="1390" w:type="dxa"/>
            <w:shd w:val="clear" w:color="auto" w:fill="F79646" w:themeFill="accent6"/>
          </w:tcPr>
          <w:p w:rsidR="00E02F43" w:rsidRPr="00730025" w:rsidRDefault="00E02F43" w:rsidP="00730025">
            <w:pPr>
              <w:pStyle w:val="TableTextEntries"/>
            </w:pPr>
            <w:r w:rsidRPr="00730025">
              <w:t>Amber</w:t>
            </w:r>
          </w:p>
        </w:tc>
        <w:tc>
          <w:tcPr>
            <w:tcW w:w="3267" w:type="dxa"/>
          </w:tcPr>
          <w:p w:rsidR="00E02F43" w:rsidRPr="00730025" w:rsidRDefault="00E02F43" w:rsidP="00730025">
            <w:pPr>
              <w:pStyle w:val="TableTextEntries"/>
            </w:pPr>
            <w:r w:rsidRPr="00730025">
              <w:t>On track</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Identify risk</w:t>
            </w:r>
            <w:r w:rsidR="000D017B" w:rsidRPr="00730025">
              <w:t>s</w:t>
            </w:r>
            <w:r w:rsidRPr="00730025">
              <w:t xml:space="preserve"> to the program</w:t>
            </w:r>
            <w:r w:rsidR="000D017B" w:rsidRPr="00730025">
              <w:t>,</w:t>
            </w:r>
            <w:r w:rsidRPr="00730025">
              <w:t xml:space="preserve"> including obtaining a better understand of partner risks and how risk may impact on achievement of objectives.</w:t>
            </w:r>
          </w:p>
        </w:tc>
        <w:tc>
          <w:tcPr>
            <w:tcW w:w="1390" w:type="dxa"/>
            <w:shd w:val="clear" w:color="auto" w:fill="92D050"/>
          </w:tcPr>
          <w:p w:rsidR="00E02F43" w:rsidRPr="00730025" w:rsidRDefault="00E02F43" w:rsidP="00730025">
            <w:pPr>
              <w:pStyle w:val="TableTextEntries"/>
            </w:pPr>
            <w:r w:rsidRPr="00730025">
              <w:t>Green</w:t>
            </w:r>
          </w:p>
        </w:tc>
        <w:tc>
          <w:tcPr>
            <w:tcW w:w="3267" w:type="dxa"/>
          </w:tcPr>
          <w:p w:rsidR="00E02F43" w:rsidRPr="00730025" w:rsidRDefault="00E02F43" w:rsidP="00730025">
            <w:pPr>
              <w:pStyle w:val="TableTextEntries"/>
            </w:pPr>
            <w:r w:rsidRPr="00730025">
              <w:t>Completed</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Complete the program’s operational architecture, including a regional program strategy, ensuring it is in place by mid-2013.</w:t>
            </w:r>
          </w:p>
        </w:tc>
        <w:tc>
          <w:tcPr>
            <w:tcW w:w="1390" w:type="dxa"/>
            <w:shd w:val="clear" w:color="auto" w:fill="92D050"/>
          </w:tcPr>
          <w:p w:rsidR="00E02F43" w:rsidRPr="00730025" w:rsidRDefault="00E02F43" w:rsidP="00730025">
            <w:pPr>
              <w:pStyle w:val="TableTextEntries"/>
            </w:pPr>
            <w:r w:rsidRPr="00730025">
              <w:t>Green</w:t>
            </w:r>
          </w:p>
        </w:tc>
        <w:tc>
          <w:tcPr>
            <w:tcW w:w="3267" w:type="dxa"/>
          </w:tcPr>
          <w:p w:rsidR="00E02F43" w:rsidRPr="00730025" w:rsidRDefault="00E02F43" w:rsidP="00730025">
            <w:pPr>
              <w:pStyle w:val="TableTextEntries"/>
            </w:pPr>
            <w:r w:rsidRPr="00730025">
              <w:t>Completed</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Rationalise and consolidate activities, including small direct assistance activities, to develop a plan and set indicative targets for the number of activities to be reduced.</w:t>
            </w:r>
          </w:p>
        </w:tc>
        <w:tc>
          <w:tcPr>
            <w:tcW w:w="1390" w:type="dxa"/>
            <w:shd w:val="clear" w:color="auto" w:fill="92D050"/>
          </w:tcPr>
          <w:p w:rsidR="00E02F43" w:rsidRPr="00730025" w:rsidRDefault="00E02F43" w:rsidP="00730025">
            <w:pPr>
              <w:pStyle w:val="TableTextEntries"/>
            </w:pPr>
            <w:r w:rsidRPr="00730025">
              <w:t>Green</w:t>
            </w:r>
          </w:p>
        </w:tc>
        <w:tc>
          <w:tcPr>
            <w:tcW w:w="3267" w:type="dxa"/>
          </w:tcPr>
          <w:p w:rsidR="00E02F43" w:rsidRPr="00730025" w:rsidRDefault="00E02F43" w:rsidP="00730025">
            <w:pPr>
              <w:pStyle w:val="TableTextEntries"/>
            </w:pPr>
            <w:r w:rsidRPr="00730025">
              <w:t>Completed</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 xml:space="preserve">Refine roles between </w:t>
            </w:r>
            <w:r w:rsidR="00B87812" w:rsidRPr="00730025">
              <w:t xml:space="preserve">DFAT’s </w:t>
            </w:r>
            <w:r w:rsidR="00191BB1" w:rsidRPr="00730025">
              <w:t xml:space="preserve">Canberra and Port of Spain </w:t>
            </w:r>
            <w:r w:rsidR="00621EB1" w:rsidRPr="00730025">
              <w:t>offices</w:t>
            </w:r>
            <w:r w:rsidRPr="00730025">
              <w:t xml:space="preserve"> to work more effectively, including developing staff expertise in monitoring and supervision. Continue to look for innovative and non-face</w:t>
            </w:r>
            <w:r w:rsidR="00200E29" w:rsidRPr="00730025">
              <w:t>-</w:t>
            </w:r>
            <w:r w:rsidRPr="00730025">
              <w:t>to face</w:t>
            </w:r>
            <w:r w:rsidR="00200E29" w:rsidRPr="00730025">
              <w:t>-</w:t>
            </w:r>
            <w:r w:rsidRPr="00730025">
              <w:t xml:space="preserve">ways to monitor activity progress remotely such as making better use of the reporting of trusted partners, </w:t>
            </w:r>
            <w:r w:rsidR="00B87812" w:rsidRPr="00730025">
              <w:t xml:space="preserve">Australian Government </w:t>
            </w:r>
            <w:r w:rsidRPr="00730025">
              <w:t>advisers and external expertise.</w:t>
            </w:r>
          </w:p>
        </w:tc>
        <w:tc>
          <w:tcPr>
            <w:tcW w:w="1390" w:type="dxa"/>
            <w:shd w:val="clear" w:color="auto" w:fill="F79646" w:themeFill="accent6"/>
          </w:tcPr>
          <w:p w:rsidR="00E02F43" w:rsidRPr="00730025" w:rsidRDefault="00E02F43" w:rsidP="00730025">
            <w:pPr>
              <w:pStyle w:val="TableTextEntries"/>
            </w:pPr>
            <w:r w:rsidRPr="00730025">
              <w:t>Amber</w:t>
            </w:r>
          </w:p>
        </w:tc>
        <w:tc>
          <w:tcPr>
            <w:tcW w:w="3267" w:type="dxa"/>
          </w:tcPr>
          <w:p w:rsidR="00E02F43" w:rsidRPr="00730025" w:rsidRDefault="00E02F43" w:rsidP="00730025">
            <w:pPr>
              <w:pStyle w:val="TableTextEntries"/>
            </w:pPr>
            <w:r w:rsidRPr="00730025">
              <w:t>On track</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 xml:space="preserve">Explicitly address gender equality and disability within the program, being selective to ensure impact. Identify ways to do this during the </w:t>
            </w:r>
            <w:r w:rsidR="0029382B" w:rsidRPr="00730025">
              <w:t>mid-term review</w:t>
            </w:r>
            <w:r w:rsidRPr="00730025">
              <w:t xml:space="preserve"> and in future programming.</w:t>
            </w:r>
          </w:p>
        </w:tc>
        <w:tc>
          <w:tcPr>
            <w:tcW w:w="1390" w:type="dxa"/>
            <w:shd w:val="clear" w:color="auto" w:fill="F79646" w:themeFill="accent6"/>
          </w:tcPr>
          <w:p w:rsidR="00E02F43" w:rsidRPr="00730025" w:rsidRDefault="00E02F43" w:rsidP="00730025">
            <w:pPr>
              <w:pStyle w:val="TableTextEntries"/>
            </w:pPr>
            <w:r w:rsidRPr="00730025">
              <w:t>Amber</w:t>
            </w:r>
          </w:p>
        </w:tc>
        <w:tc>
          <w:tcPr>
            <w:tcW w:w="3267" w:type="dxa"/>
          </w:tcPr>
          <w:p w:rsidR="00E02F43" w:rsidRPr="00730025" w:rsidRDefault="00E02F43" w:rsidP="00730025">
            <w:pPr>
              <w:pStyle w:val="TableTextEntries"/>
            </w:pPr>
            <w:r w:rsidRPr="00730025">
              <w:t>On track</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Regularise and streamline consultations with partners. CARICOM Secretariat and key donors and disseminate information.</w:t>
            </w:r>
          </w:p>
        </w:tc>
        <w:tc>
          <w:tcPr>
            <w:tcW w:w="1390" w:type="dxa"/>
            <w:shd w:val="clear" w:color="auto" w:fill="92D050"/>
          </w:tcPr>
          <w:p w:rsidR="00E02F43" w:rsidRPr="00730025" w:rsidRDefault="00E02F43" w:rsidP="00730025">
            <w:pPr>
              <w:pStyle w:val="TableTextEntries"/>
            </w:pPr>
            <w:r w:rsidRPr="00730025">
              <w:t>Green</w:t>
            </w:r>
          </w:p>
        </w:tc>
        <w:tc>
          <w:tcPr>
            <w:tcW w:w="3267" w:type="dxa"/>
          </w:tcPr>
          <w:p w:rsidR="00E02F43" w:rsidRPr="00730025" w:rsidRDefault="00E02F43" w:rsidP="00730025">
            <w:pPr>
              <w:pStyle w:val="TableTextEntries"/>
            </w:pPr>
            <w:r w:rsidRPr="00730025">
              <w:t>Completed</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Maintain working relationships between Caribbean and Pacific program areas to exchange information and continue to build stronger links between regions considered as SIDS.</w:t>
            </w:r>
          </w:p>
        </w:tc>
        <w:tc>
          <w:tcPr>
            <w:tcW w:w="1390" w:type="dxa"/>
            <w:shd w:val="clear" w:color="auto" w:fill="F79646" w:themeFill="accent6"/>
          </w:tcPr>
          <w:p w:rsidR="00E02F43" w:rsidRPr="00730025" w:rsidRDefault="00E02F43" w:rsidP="00730025">
            <w:pPr>
              <w:pStyle w:val="TableTextEntries"/>
            </w:pPr>
            <w:r w:rsidRPr="00730025">
              <w:t>Amber</w:t>
            </w:r>
          </w:p>
        </w:tc>
        <w:tc>
          <w:tcPr>
            <w:tcW w:w="3267" w:type="dxa"/>
          </w:tcPr>
          <w:p w:rsidR="00E02F43" w:rsidRPr="00730025" w:rsidRDefault="00E02F43" w:rsidP="00730025">
            <w:pPr>
              <w:pStyle w:val="TableTextEntries"/>
            </w:pPr>
            <w:r w:rsidRPr="00730025">
              <w:t>On track</w:t>
            </w:r>
          </w:p>
        </w:tc>
      </w:tr>
      <w:tr w:rsidR="00E02F43" w:rsidRPr="00180B19" w:rsidTr="00730025">
        <w:trPr>
          <w:cnfStyle w:val="000000010000" w:firstRow="0" w:lastRow="0" w:firstColumn="0" w:lastColumn="0" w:oddVBand="0" w:evenVBand="0" w:oddHBand="0" w:evenHBand="1" w:firstRowFirstColumn="0" w:firstRowLastColumn="0" w:lastRowFirstColumn="0" w:lastRowLastColumn="0"/>
        </w:trPr>
        <w:tc>
          <w:tcPr>
            <w:tcW w:w="9166" w:type="dxa"/>
          </w:tcPr>
          <w:p w:rsidR="00E02F43" w:rsidRPr="00730025" w:rsidRDefault="00E02F43" w:rsidP="00730025">
            <w:pPr>
              <w:pStyle w:val="TableTextEntries"/>
            </w:pPr>
            <w:r w:rsidRPr="00730025">
              <w:t xml:space="preserve">Include a combined </w:t>
            </w:r>
            <w:r w:rsidR="00200E29" w:rsidRPr="00730025">
              <w:t>official development assistance</w:t>
            </w:r>
            <w:r w:rsidRPr="00730025">
              <w:t xml:space="preserve"> discussion in future </w:t>
            </w:r>
            <w:r w:rsidR="00DC6E1E">
              <w:t>APPR</w:t>
            </w:r>
            <w:r w:rsidRPr="00730025">
              <w:t>s with Australian Government agencies.</w:t>
            </w:r>
          </w:p>
        </w:tc>
        <w:tc>
          <w:tcPr>
            <w:tcW w:w="1390" w:type="dxa"/>
            <w:shd w:val="clear" w:color="auto" w:fill="92D050"/>
          </w:tcPr>
          <w:p w:rsidR="00E02F43" w:rsidRPr="00730025" w:rsidRDefault="00E02F43" w:rsidP="00730025">
            <w:pPr>
              <w:pStyle w:val="TableTextEntries"/>
            </w:pPr>
            <w:r w:rsidRPr="00730025">
              <w:t>Green</w:t>
            </w:r>
          </w:p>
        </w:tc>
        <w:tc>
          <w:tcPr>
            <w:tcW w:w="3267" w:type="dxa"/>
          </w:tcPr>
          <w:p w:rsidR="00E02F43" w:rsidRPr="00730025" w:rsidRDefault="00E02F43" w:rsidP="00730025">
            <w:pPr>
              <w:pStyle w:val="TableTextEntries"/>
            </w:pPr>
            <w:r w:rsidRPr="00730025">
              <w:t>Completed</w:t>
            </w:r>
          </w:p>
        </w:tc>
      </w:tr>
    </w:tbl>
    <w:p w:rsidR="00E02F43" w:rsidRPr="00FE4491" w:rsidRDefault="00E02F43" w:rsidP="00E02F43">
      <w:pPr>
        <w:pStyle w:val="Note"/>
      </w:pPr>
      <w:r w:rsidRPr="00FE4491">
        <w:t xml:space="preserve">Note: </w:t>
      </w:r>
    </w:p>
    <w:p w:rsidR="00E02F43" w:rsidRPr="00FE4491" w:rsidRDefault="00E02F43" w:rsidP="00E02F43">
      <w:pPr>
        <w:pStyle w:val="Note"/>
      </w:pPr>
      <w:r w:rsidRPr="00FE4491">
        <w:rPr>
          <w:color w:val="92D050"/>
        </w:rPr>
        <w:sym w:font="Webdings" w:char="F067"/>
      </w:r>
      <w:r w:rsidRPr="00FE4491">
        <w:t> </w:t>
      </w:r>
      <w:r w:rsidRPr="00FE4491">
        <w:t xml:space="preserve"> </w:t>
      </w:r>
      <w:proofErr w:type="gramStart"/>
      <w:r>
        <w:t>Green.</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E02F43" w:rsidRDefault="00E02F43" w:rsidP="00E02F43">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E02F43" w:rsidRDefault="00E02F43" w:rsidP="00E02F43">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E02F43" w:rsidRDefault="00E02F43" w:rsidP="00E02F43">
      <w:pPr>
        <w:sectPr w:rsidR="00E02F43" w:rsidSect="007D3225">
          <w:headerReference w:type="default" r:id="rId16"/>
          <w:footerReference w:type="default" r:id="rId17"/>
          <w:headerReference w:type="first" r:id="rId18"/>
          <w:pgSz w:w="16838" w:h="11906" w:orient="landscape" w:code="9"/>
          <w:pgMar w:top="1871" w:right="2268" w:bottom="1134" w:left="907" w:header="709" w:footer="454" w:gutter="0"/>
          <w:cols w:space="708"/>
          <w:docGrid w:linePitch="360"/>
        </w:sectPr>
      </w:pPr>
    </w:p>
    <w:p w:rsidR="00A75BC7" w:rsidRPr="00FE4491" w:rsidRDefault="00A75BC7" w:rsidP="00A75BC7">
      <w:pPr>
        <w:pStyle w:val="Heading1"/>
      </w:pPr>
      <w:r w:rsidRPr="00FE4491">
        <w:lastRenderedPageBreak/>
        <w:t xml:space="preserve">Annex </w:t>
      </w:r>
      <w:r>
        <w:t>B</w:t>
      </w:r>
      <w:r w:rsidRPr="00FE4491">
        <w:t xml:space="preserve"> </w:t>
      </w:r>
    </w:p>
    <w:p w:rsidR="00A75BC7" w:rsidRPr="00FE4491" w:rsidRDefault="00A75BC7" w:rsidP="00A75BC7">
      <w:pPr>
        <w:pStyle w:val="Heading2"/>
      </w:pPr>
      <w:r w:rsidRPr="00FE4491">
        <w:t>Quality at Implementation ratings</w:t>
      </w:r>
    </w:p>
    <w:tbl>
      <w:tblPr>
        <w:tblStyle w:val="APPR"/>
        <w:tblW w:w="4617" w:type="pct"/>
        <w:tblLayout w:type="fixed"/>
        <w:tblLook w:val="0000" w:firstRow="0" w:lastRow="0" w:firstColumn="0" w:lastColumn="0" w:noHBand="0" w:noVBand="0"/>
      </w:tblPr>
      <w:tblGrid>
        <w:gridCol w:w="1482"/>
        <w:gridCol w:w="351"/>
        <w:gridCol w:w="695"/>
        <w:gridCol w:w="87"/>
        <w:gridCol w:w="696"/>
        <w:gridCol w:w="28"/>
        <w:gridCol w:w="698"/>
        <w:gridCol w:w="75"/>
        <w:gridCol w:w="570"/>
        <w:gridCol w:w="69"/>
        <w:gridCol w:w="576"/>
        <w:gridCol w:w="63"/>
        <w:gridCol w:w="617"/>
        <w:gridCol w:w="57"/>
        <w:gridCol w:w="542"/>
        <w:gridCol w:w="52"/>
        <w:gridCol w:w="596"/>
        <w:gridCol w:w="43"/>
        <w:gridCol w:w="599"/>
        <w:gridCol w:w="51"/>
      </w:tblGrid>
      <w:tr w:rsidR="00A75BC7" w:rsidRPr="009D53C4" w:rsidTr="00A75BC7">
        <w:trPr>
          <w:cnfStyle w:val="000000010000" w:firstRow="0" w:lastRow="0" w:firstColumn="0" w:lastColumn="0" w:oddVBand="0" w:evenVBand="0" w:oddHBand="0" w:evenHBand="1" w:firstRowFirstColumn="0" w:firstRowLastColumn="0" w:lastRowFirstColumn="0" w:lastRowLastColumn="0"/>
          <w:trHeight w:val="1413"/>
        </w:trPr>
        <w:tc>
          <w:tcPr>
            <w:tcW w:w="941" w:type="pct"/>
          </w:tcPr>
          <w:p w:rsidR="00A75BC7" w:rsidRPr="00FE4491" w:rsidRDefault="00A75BC7" w:rsidP="00A75BC7">
            <w:pPr>
              <w:pStyle w:val="TableTextColumnHeading"/>
            </w:pPr>
            <w:r w:rsidRPr="00FE4491">
              <w:rPr>
                <w:noProof/>
                <w:lang w:eastAsia="en-AU"/>
              </w:rPr>
              <w:drawing>
                <wp:anchor distT="0" distB="0" distL="114300" distR="114300" simplePos="0" relativeHeight="251671552" behindDoc="0" locked="0" layoutInCell="1" allowOverlap="1" wp14:anchorId="337A47BE" wp14:editId="751F111F">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685" w:type="pct"/>
            <w:gridSpan w:val="3"/>
            <w:textDirection w:val="btLr"/>
          </w:tcPr>
          <w:p w:rsidR="00A75BC7" w:rsidRPr="00FE4491" w:rsidRDefault="00A75BC7" w:rsidP="00A75BC7">
            <w:pPr>
              <w:pStyle w:val="TableTextColumnHeading"/>
            </w:pPr>
            <w:r w:rsidRPr="00FE4491">
              <w:t>Approved budget and duration</w:t>
            </w:r>
          </w:p>
        </w:tc>
        <w:tc>
          <w:tcPr>
            <w:tcW w:w="432" w:type="pct"/>
            <w:gridSpan w:val="2"/>
            <w:textDirection w:val="btLr"/>
          </w:tcPr>
          <w:p w:rsidR="00A75BC7" w:rsidRPr="00FE4491" w:rsidRDefault="00A75BC7" w:rsidP="00A75BC7">
            <w:pPr>
              <w:pStyle w:val="TableTextColumnHeading"/>
            </w:pPr>
            <w:proofErr w:type="spellStart"/>
            <w:r w:rsidRPr="00FE4491">
              <w:t>QaI</w:t>
            </w:r>
            <w:proofErr w:type="spellEnd"/>
            <w:r w:rsidRPr="00FE4491">
              <w:t xml:space="preserve"> year</w:t>
            </w:r>
          </w:p>
        </w:tc>
        <w:tc>
          <w:tcPr>
            <w:tcW w:w="469" w:type="pct"/>
            <w:gridSpan w:val="2"/>
            <w:textDirection w:val="btLr"/>
          </w:tcPr>
          <w:p w:rsidR="00A75BC7" w:rsidRPr="00FE4491" w:rsidRDefault="00A75BC7" w:rsidP="00A75BC7">
            <w:pPr>
              <w:pStyle w:val="TableTextColumnHeading"/>
            </w:pPr>
            <w:r w:rsidRPr="00FE4491">
              <w:t>Relevance</w:t>
            </w:r>
          </w:p>
        </w:tc>
        <w:tc>
          <w:tcPr>
            <w:tcW w:w="381" w:type="pct"/>
            <w:gridSpan w:val="2"/>
            <w:textDirection w:val="btLr"/>
          </w:tcPr>
          <w:p w:rsidR="00A75BC7" w:rsidRPr="00FE4491" w:rsidRDefault="00A75BC7" w:rsidP="00A75BC7">
            <w:pPr>
              <w:pStyle w:val="TableTextColumnHeading"/>
            </w:pPr>
            <w:r w:rsidRPr="00FE4491">
              <w:t>Effectiveness</w:t>
            </w:r>
          </w:p>
        </w:tc>
        <w:tc>
          <w:tcPr>
            <w:tcW w:w="381" w:type="pct"/>
            <w:gridSpan w:val="2"/>
            <w:textDirection w:val="btLr"/>
          </w:tcPr>
          <w:p w:rsidR="00A75BC7" w:rsidRPr="00FE4491" w:rsidRDefault="00A75BC7" w:rsidP="00A75BC7">
            <w:pPr>
              <w:pStyle w:val="TableTextColumnHeading"/>
            </w:pPr>
            <w:r w:rsidRPr="00FE4491">
              <w:t>Efficiency</w:t>
            </w:r>
          </w:p>
        </w:tc>
        <w:tc>
          <w:tcPr>
            <w:tcW w:w="404" w:type="pct"/>
            <w:gridSpan w:val="2"/>
            <w:textDirection w:val="btLr"/>
          </w:tcPr>
          <w:p w:rsidR="00A75BC7" w:rsidRPr="00FE4491" w:rsidRDefault="00A75BC7" w:rsidP="00A75BC7">
            <w:pPr>
              <w:pStyle w:val="TableTextColumnHeading"/>
            </w:pPr>
            <w:r w:rsidRPr="00FE4491">
              <w:t xml:space="preserve">Monitoring and </w:t>
            </w:r>
            <w:r>
              <w:t>e</w:t>
            </w:r>
            <w:r w:rsidRPr="00FE4491">
              <w:t>valuation</w:t>
            </w:r>
          </w:p>
        </w:tc>
        <w:tc>
          <w:tcPr>
            <w:tcW w:w="351" w:type="pct"/>
            <w:gridSpan w:val="2"/>
            <w:textDirection w:val="btLr"/>
          </w:tcPr>
          <w:p w:rsidR="00A75BC7" w:rsidRPr="00FE4491" w:rsidRDefault="00A75BC7" w:rsidP="00A75BC7">
            <w:pPr>
              <w:pStyle w:val="TableTextColumnHeading"/>
            </w:pPr>
            <w:r w:rsidRPr="00FE4491">
              <w:t>Sustainability</w:t>
            </w:r>
          </w:p>
        </w:tc>
        <w:tc>
          <w:tcPr>
            <w:tcW w:w="381" w:type="pct"/>
            <w:gridSpan w:val="2"/>
            <w:textDirection w:val="btLr"/>
          </w:tcPr>
          <w:p w:rsidR="00A75BC7" w:rsidRPr="00FE4491" w:rsidRDefault="00A75BC7" w:rsidP="00A75BC7">
            <w:pPr>
              <w:pStyle w:val="TableTextColumnHeading"/>
            </w:pPr>
            <w:r w:rsidRPr="00FE4491">
              <w:t>Gender equality</w:t>
            </w:r>
          </w:p>
        </w:tc>
        <w:tc>
          <w:tcPr>
            <w:tcW w:w="379" w:type="pct"/>
            <w:gridSpan w:val="2"/>
            <w:textDirection w:val="btLr"/>
          </w:tcPr>
          <w:p w:rsidR="00A75BC7" w:rsidRPr="00FE4491" w:rsidRDefault="00A75BC7" w:rsidP="00A75BC7">
            <w:pPr>
              <w:pStyle w:val="TableTextColumnHeading"/>
            </w:pPr>
            <w:r w:rsidRPr="00FE4491">
              <w:t xml:space="preserve">Risk </w:t>
            </w:r>
            <w:r>
              <w:t>m</w:t>
            </w:r>
            <w:r w:rsidRPr="00FE4491">
              <w:t>anagement</w:t>
            </w:r>
          </w:p>
        </w:tc>
      </w:tr>
      <w:tr w:rsidR="00A75BC7" w:rsidRPr="009D53C4" w:rsidTr="00A75BC7">
        <w:trPr>
          <w:gridAfter w:val="1"/>
          <w:cnfStyle w:val="000000010000" w:firstRow="0" w:lastRow="0" w:firstColumn="0" w:lastColumn="0" w:oddVBand="0" w:evenVBand="0" w:oddHBand="0" w:evenHBand="1" w:firstRowFirstColumn="0" w:firstRowLastColumn="0" w:lastRowFirstColumn="0" w:lastRowLastColumn="0"/>
          <w:wAfter w:w="56" w:type="dxa"/>
          <w:trHeight w:val="284"/>
        </w:trPr>
        <w:tc>
          <w:tcPr>
            <w:tcW w:w="1152" w:type="pct"/>
            <w:gridSpan w:val="2"/>
            <w:vMerge w:val="restart"/>
          </w:tcPr>
          <w:p w:rsidR="00A75BC7" w:rsidRPr="000D017B" w:rsidRDefault="00A75BC7" w:rsidP="00200E29">
            <w:pPr>
              <w:pStyle w:val="TableTextEntries"/>
            </w:pPr>
            <w:r w:rsidRPr="000D017B">
              <w:t xml:space="preserve">Climate </w:t>
            </w:r>
            <w:r w:rsidR="00200E29">
              <w:t>c</w:t>
            </w:r>
            <w:r w:rsidRPr="000D017B">
              <w:t xml:space="preserve">hange and </w:t>
            </w:r>
            <w:r w:rsidR="00200E29">
              <w:t>disaster risk reduction</w:t>
            </w:r>
            <w:r w:rsidRPr="000D017B">
              <w:t xml:space="preserve"> (CC&amp;DRR)</w:t>
            </w:r>
          </w:p>
        </w:tc>
        <w:tc>
          <w:tcPr>
            <w:tcW w:w="436" w:type="pct"/>
            <w:vMerge w:val="restart"/>
          </w:tcPr>
          <w:p w:rsidR="00A75BC7" w:rsidRPr="00FE4491" w:rsidRDefault="00A75BC7" w:rsidP="00A75BC7">
            <w:pPr>
              <w:pStyle w:val="TableTextEntries"/>
            </w:pPr>
          </w:p>
        </w:tc>
        <w:tc>
          <w:tcPr>
            <w:tcW w:w="475" w:type="pct"/>
            <w:gridSpan w:val="2"/>
          </w:tcPr>
          <w:p w:rsidR="00A75BC7" w:rsidRPr="00FE4491" w:rsidRDefault="00A75BC7" w:rsidP="00A75BC7">
            <w:pPr>
              <w:pStyle w:val="TableTextEntries"/>
            </w:pPr>
            <w:r w:rsidRPr="00FE4491">
              <w:t>2012</w:t>
            </w:r>
          </w:p>
        </w:tc>
        <w:tc>
          <w:tcPr>
            <w:tcW w:w="438" w:type="pct"/>
            <w:gridSpan w:val="2"/>
            <w:tcBorders>
              <w:top w:val="single" w:sz="12" w:space="0" w:color="000000" w:themeColor="text1"/>
            </w:tcBorders>
            <w:shd w:val="clear" w:color="auto" w:fill="92D050"/>
            <w:noWrap/>
          </w:tcPr>
          <w:p w:rsidR="00A75BC7" w:rsidRPr="00FE4491" w:rsidRDefault="00A75BC7" w:rsidP="00A75BC7">
            <w:pPr>
              <w:pStyle w:val="TableTextEntries"/>
              <w:jc w:val="center"/>
            </w:pPr>
            <w:r w:rsidRPr="00FE4491">
              <w:t>5</w:t>
            </w:r>
          </w:p>
        </w:tc>
        <w:tc>
          <w:tcPr>
            <w:tcW w:w="385" w:type="pct"/>
            <w:gridSpan w:val="2"/>
            <w:tcBorders>
              <w:top w:val="single" w:sz="12" w:space="0" w:color="000000" w:themeColor="text1"/>
            </w:tcBorders>
            <w:shd w:val="clear" w:color="auto" w:fill="FFFF00"/>
            <w:noWrap/>
          </w:tcPr>
          <w:p w:rsidR="00A75BC7" w:rsidRPr="00FE4491" w:rsidRDefault="00A75BC7" w:rsidP="00A75BC7">
            <w:pPr>
              <w:pStyle w:val="TableTextEntries"/>
              <w:jc w:val="center"/>
            </w:pPr>
            <w:r>
              <w:t>4</w:t>
            </w:r>
          </w:p>
        </w:tc>
        <w:tc>
          <w:tcPr>
            <w:tcW w:w="385" w:type="pct"/>
            <w:gridSpan w:val="2"/>
            <w:tcBorders>
              <w:top w:val="single" w:sz="12" w:space="0" w:color="000000" w:themeColor="text1"/>
            </w:tcBorders>
            <w:shd w:val="clear" w:color="auto" w:fill="FFFF00"/>
            <w:noWrap/>
          </w:tcPr>
          <w:p w:rsidR="00A75BC7" w:rsidRPr="00FE4491" w:rsidRDefault="00A75BC7" w:rsidP="00A75BC7">
            <w:pPr>
              <w:pStyle w:val="TableTextEntries"/>
              <w:jc w:val="center"/>
            </w:pPr>
            <w:r w:rsidRPr="00FE4491">
              <w:t>4</w:t>
            </w:r>
          </w:p>
        </w:tc>
        <w:tc>
          <w:tcPr>
            <w:tcW w:w="408" w:type="pct"/>
            <w:gridSpan w:val="2"/>
            <w:tcBorders>
              <w:top w:val="single" w:sz="12" w:space="0" w:color="000000" w:themeColor="text1"/>
            </w:tcBorders>
            <w:shd w:val="clear" w:color="auto" w:fill="FFFF00"/>
            <w:noWrap/>
          </w:tcPr>
          <w:p w:rsidR="00A75BC7" w:rsidRPr="00FE4491" w:rsidRDefault="00A75BC7" w:rsidP="00A75BC7">
            <w:pPr>
              <w:pStyle w:val="TableTextEntries"/>
              <w:jc w:val="center"/>
            </w:pPr>
            <w:r>
              <w:t>4</w:t>
            </w:r>
          </w:p>
        </w:tc>
        <w:tc>
          <w:tcPr>
            <w:tcW w:w="355" w:type="pct"/>
            <w:gridSpan w:val="2"/>
            <w:tcBorders>
              <w:top w:val="single" w:sz="12" w:space="0" w:color="000000" w:themeColor="text1"/>
            </w:tcBorders>
            <w:shd w:val="clear" w:color="auto" w:fill="FFFF00"/>
            <w:noWrap/>
          </w:tcPr>
          <w:p w:rsidR="00A75BC7" w:rsidRPr="00FE4491" w:rsidRDefault="00A75BC7" w:rsidP="00A75BC7">
            <w:pPr>
              <w:pStyle w:val="TableTextEntries"/>
              <w:jc w:val="center"/>
            </w:pPr>
            <w:r>
              <w:t>4</w:t>
            </w:r>
          </w:p>
        </w:tc>
        <w:tc>
          <w:tcPr>
            <w:tcW w:w="386" w:type="pct"/>
            <w:gridSpan w:val="2"/>
            <w:tcBorders>
              <w:top w:val="single" w:sz="12" w:space="0" w:color="000000" w:themeColor="text1"/>
            </w:tcBorders>
            <w:shd w:val="clear" w:color="auto" w:fill="FF0000"/>
            <w:noWrap/>
          </w:tcPr>
          <w:p w:rsidR="00A75BC7" w:rsidRPr="00FE4491" w:rsidRDefault="00A75BC7" w:rsidP="00A75BC7">
            <w:pPr>
              <w:pStyle w:val="TableTextEntries"/>
              <w:jc w:val="center"/>
            </w:pPr>
            <w:r>
              <w:t>2</w:t>
            </w:r>
          </w:p>
        </w:tc>
        <w:tc>
          <w:tcPr>
            <w:tcW w:w="383" w:type="pct"/>
            <w:gridSpan w:val="2"/>
            <w:tcBorders>
              <w:top w:val="single" w:sz="12" w:space="0" w:color="000000" w:themeColor="text1"/>
            </w:tcBorders>
            <w:shd w:val="clear" w:color="auto" w:fill="FFC000"/>
            <w:noWrap/>
          </w:tcPr>
          <w:p w:rsidR="00A75BC7" w:rsidRPr="00FE4491" w:rsidRDefault="00A75BC7" w:rsidP="00A75BC7">
            <w:pPr>
              <w:pStyle w:val="TableTextEntries"/>
              <w:jc w:val="center"/>
            </w:pPr>
            <w:r>
              <w:t>I</w:t>
            </w:r>
          </w:p>
        </w:tc>
      </w:tr>
      <w:tr w:rsidR="00A75BC7" w:rsidRPr="009D53C4" w:rsidTr="00A75BC7">
        <w:trPr>
          <w:gridAfter w:val="1"/>
          <w:cnfStyle w:val="000000010000" w:firstRow="0" w:lastRow="0" w:firstColumn="0" w:lastColumn="0" w:oddVBand="0" w:evenVBand="0" w:oddHBand="0" w:evenHBand="1" w:firstRowFirstColumn="0" w:firstRowLastColumn="0" w:lastRowFirstColumn="0" w:lastRowLastColumn="0"/>
          <w:wAfter w:w="56" w:type="dxa"/>
          <w:trHeight w:val="284"/>
        </w:trPr>
        <w:tc>
          <w:tcPr>
            <w:tcW w:w="1152" w:type="pct"/>
            <w:gridSpan w:val="2"/>
            <w:vMerge/>
          </w:tcPr>
          <w:p w:rsidR="00A75BC7" w:rsidRPr="000D017B" w:rsidRDefault="00A75BC7" w:rsidP="00A75BC7">
            <w:pPr>
              <w:pStyle w:val="TableTextEntries"/>
            </w:pPr>
          </w:p>
        </w:tc>
        <w:tc>
          <w:tcPr>
            <w:tcW w:w="436" w:type="pct"/>
            <w:vMerge/>
          </w:tcPr>
          <w:p w:rsidR="00A75BC7" w:rsidRPr="00FE4491" w:rsidRDefault="00A75BC7" w:rsidP="00A75BC7">
            <w:pPr>
              <w:pStyle w:val="TableTextEntries"/>
            </w:pPr>
          </w:p>
        </w:tc>
        <w:tc>
          <w:tcPr>
            <w:tcW w:w="475" w:type="pct"/>
            <w:gridSpan w:val="2"/>
          </w:tcPr>
          <w:p w:rsidR="00A75BC7" w:rsidRPr="00FE4491" w:rsidRDefault="00A75BC7" w:rsidP="00A75BC7">
            <w:pPr>
              <w:pStyle w:val="TableTextEntries"/>
            </w:pPr>
            <w:r w:rsidRPr="00FE4491">
              <w:t>2011</w:t>
            </w:r>
          </w:p>
        </w:tc>
        <w:tc>
          <w:tcPr>
            <w:tcW w:w="438" w:type="pct"/>
            <w:gridSpan w:val="2"/>
            <w:shd w:val="clear" w:color="auto" w:fill="92D050"/>
            <w:noWrap/>
          </w:tcPr>
          <w:p w:rsidR="00A75BC7" w:rsidRPr="00FE4491" w:rsidRDefault="00A75BC7" w:rsidP="00A75BC7">
            <w:pPr>
              <w:pStyle w:val="TableTextEntries"/>
              <w:jc w:val="center"/>
            </w:pPr>
            <w:r w:rsidRPr="00FE4491">
              <w:t>5</w:t>
            </w:r>
          </w:p>
        </w:tc>
        <w:tc>
          <w:tcPr>
            <w:tcW w:w="385" w:type="pct"/>
            <w:gridSpan w:val="2"/>
            <w:shd w:val="clear" w:color="auto" w:fill="92D050"/>
            <w:noWrap/>
          </w:tcPr>
          <w:p w:rsidR="00A75BC7" w:rsidRPr="00FE4491" w:rsidRDefault="00A75BC7" w:rsidP="00A75BC7">
            <w:pPr>
              <w:pStyle w:val="TableTextEntries"/>
              <w:jc w:val="center"/>
            </w:pPr>
            <w:r>
              <w:t>5</w:t>
            </w:r>
          </w:p>
        </w:tc>
        <w:tc>
          <w:tcPr>
            <w:tcW w:w="385" w:type="pct"/>
            <w:gridSpan w:val="2"/>
            <w:shd w:val="clear" w:color="auto" w:fill="FFFF00"/>
            <w:noWrap/>
          </w:tcPr>
          <w:p w:rsidR="00A75BC7" w:rsidRPr="00FE4491" w:rsidRDefault="00A75BC7" w:rsidP="00A75BC7">
            <w:pPr>
              <w:pStyle w:val="TableTextEntries"/>
              <w:jc w:val="center"/>
            </w:pPr>
            <w:r w:rsidRPr="00FE4491">
              <w:t>4</w:t>
            </w:r>
          </w:p>
        </w:tc>
        <w:tc>
          <w:tcPr>
            <w:tcW w:w="408" w:type="pct"/>
            <w:gridSpan w:val="2"/>
            <w:shd w:val="clear" w:color="auto" w:fill="FFFF00"/>
            <w:noWrap/>
          </w:tcPr>
          <w:p w:rsidR="00A75BC7" w:rsidRPr="00FE4491" w:rsidRDefault="00A75BC7" w:rsidP="00A75BC7">
            <w:pPr>
              <w:pStyle w:val="TableTextEntries"/>
              <w:jc w:val="center"/>
            </w:pPr>
            <w:r>
              <w:t>4</w:t>
            </w:r>
          </w:p>
        </w:tc>
        <w:tc>
          <w:tcPr>
            <w:tcW w:w="355" w:type="pct"/>
            <w:gridSpan w:val="2"/>
            <w:shd w:val="clear" w:color="auto" w:fill="FFFF00"/>
            <w:noWrap/>
          </w:tcPr>
          <w:p w:rsidR="00A75BC7" w:rsidRPr="00FE4491" w:rsidRDefault="00A75BC7" w:rsidP="00A75BC7">
            <w:pPr>
              <w:pStyle w:val="TableTextEntries"/>
              <w:jc w:val="center"/>
            </w:pPr>
            <w:r>
              <w:t>4</w:t>
            </w:r>
          </w:p>
        </w:tc>
        <w:tc>
          <w:tcPr>
            <w:tcW w:w="386" w:type="pct"/>
            <w:gridSpan w:val="2"/>
            <w:shd w:val="clear" w:color="auto" w:fill="FF0000"/>
            <w:noWrap/>
          </w:tcPr>
          <w:p w:rsidR="00A75BC7" w:rsidRPr="00FE4491" w:rsidRDefault="00A75BC7" w:rsidP="00A75BC7">
            <w:pPr>
              <w:pStyle w:val="TableTextEntries"/>
              <w:jc w:val="center"/>
            </w:pPr>
            <w:r>
              <w:t>2</w:t>
            </w:r>
          </w:p>
        </w:tc>
        <w:tc>
          <w:tcPr>
            <w:tcW w:w="383" w:type="pct"/>
            <w:gridSpan w:val="2"/>
            <w:shd w:val="clear" w:color="auto" w:fill="FFC000"/>
            <w:noWrap/>
          </w:tcPr>
          <w:p w:rsidR="00A75BC7" w:rsidRPr="00FE4491" w:rsidRDefault="00A75BC7" w:rsidP="00A75BC7">
            <w:pPr>
              <w:pStyle w:val="TableTextEntries"/>
              <w:jc w:val="center"/>
            </w:pPr>
            <w:r>
              <w:t>I</w:t>
            </w:r>
          </w:p>
        </w:tc>
      </w:tr>
      <w:tr w:rsidR="00A75BC7" w:rsidRPr="009D53C4" w:rsidTr="00A75BC7">
        <w:trPr>
          <w:gridAfter w:val="1"/>
          <w:cnfStyle w:val="000000010000" w:firstRow="0" w:lastRow="0" w:firstColumn="0" w:lastColumn="0" w:oddVBand="0" w:evenVBand="0" w:oddHBand="0" w:evenHBand="1" w:firstRowFirstColumn="0" w:firstRowLastColumn="0" w:lastRowFirstColumn="0" w:lastRowLastColumn="0"/>
          <w:wAfter w:w="56" w:type="dxa"/>
          <w:trHeight w:val="284"/>
        </w:trPr>
        <w:tc>
          <w:tcPr>
            <w:tcW w:w="1152" w:type="pct"/>
            <w:gridSpan w:val="2"/>
            <w:vMerge w:val="restart"/>
          </w:tcPr>
          <w:p w:rsidR="00A75BC7" w:rsidRPr="000D017B" w:rsidRDefault="00A75BC7" w:rsidP="00200E29">
            <w:pPr>
              <w:pStyle w:val="TableTextEntries"/>
            </w:pPr>
            <w:r w:rsidRPr="000D017B">
              <w:t xml:space="preserve">Economic </w:t>
            </w:r>
            <w:r w:rsidR="00200E29">
              <w:t>r</w:t>
            </w:r>
            <w:r w:rsidRPr="000D017B">
              <w:t>esilience (ER)</w:t>
            </w:r>
          </w:p>
        </w:tc>
        <w:tc>
          <w:tcPr>
            <w:tcW w:w="436" w:type="pct"/>
            <w:vMerge w:val="restart"/>
          </w:tcPr>
          <w:p w:rsidR="00A75BC7" w:rsidRPr="00FE4491" w:rsidRDefault="00A75BC7" w:rsidP="00A75BC7">
            <w:pPr>
              <w:pStyle w:val="TableTextEntries"/>
            </w:pPr>
          </w:p>
        </w:tc>
        <w:tc>
          <w:tcPr>
            <w:tcW w:w="475" w:type="pct"/>
            <w:gridSpan w:val="2"/>
          </w:tcPr>
          <w:p w:rsidR="00A75BC7" w:rsidRPr="00FE4491" w:rsidRDefault="00A75BC7" w:rsidP="00A75BC7">
            <w:pPr>
              <w:pStyle w:val="TableTextEntries"/>
            </w:pPr>
            <w:r w:rsidRPr="00FE4491">
              <w:t>2012</w:t>
            </w:r>
          </w:p>
        </w:tc>
        <w:tc>
          <w:tcPr>
            <w:tcW w:w="438" w:type="pct"/>
            <w:gridSpan w:val="2"/>
            <w:shd w:val="clear" w:color="auto" w:fill="92D050"/>
            <w:noWrap/>
          </w:tcPr>
          <w:p w:rsidR="00A75BC7" w:rsidRPr="00FE4491" w:rsidRDefault="00A75BC7" w:rsidP="00A75BC7">
            <w:pPr>
              <w:pStyle w:val="TableTextEntries"/>
              <w:jc w:val="center"/>
            </w:pPr>
            <w:r w:rsidRPr="00FE4491">
              <w:t>5</w:t>
            </w:r>
          </w:p>
        </w:tc>
        <w:tc>
          <w:tcPr>
            <w:tcW w:w="385" w:type="pct"/>
            <w:gridSpan w:val="2"/>
            <w:shd w:val="clear" w:color="auto" w:fill="FFFF00"/>
            <w:noWrap/>
          </w:tcPr>
          <w:p w:rsidR="00A75BC7" w:rsidRPr="00FE4491" w:rsidRDefault="00A75BC7" w:rsidP="00A75BC7">
            <w:pPr>
              <w:pStyle w:val="TableTextEntries"/>
              <w:jc w:val="center"/>
            </w:pPr>
            <w:r>
              <w:t>4</w:t>
            </w:r>
          </w:p>
        </w:tc>
        <w:tc>
          <w:tcPr>
            <w:tcW w:w="385" w:type="pct"/>
            <w:gridSpan w:val="2"/>
            <w:shd w:val="clear" w:color="auto" w:fill="92D050"/>
            <w:noWrap/>
          </w:tcPr>
          <w:p w:rsidR="00A75BC7" w:rsidRPr="00FE4491" w:rsidRDefault="00A75BC7" w:rsidP="00A75BC7">
            <w:pPr>
              <w:pStyle w:val="TableTextEntries"/>
              <w:jc w:val="center"/>
            </w:pPr>
            <w:r>
              <w:t>5</w:t>
            </w:r>
          </w:p>
        </w:tc>
        <w:tc>
          <w:tcPr>
            <w:tcW w:w="408" w:type="pct"/>
            <w:gridSpan w:val="2"/>
            <w:shd w:val="clear" w:color="auto" w:fill="FFC000"/>
            <w:noWrap/>
          </w:tcPr>
          <w:p w:rsidR="00A75BC7" w:rsidRPr="00FE4491" w:rsidRDefault="00A75BC7" w:rsidP="00A75BC7">
            <w:pPr>
              <w:pStyle w:val="TableTextEntries"/>
              <w:jc w:val="center"/>
            </w:pPr>
            <w:r>
              <w:t>3</w:t>
            </w:r>
          </w:p>
        </w:tc>
        <w:tc>
          <w:tcPr>
            <w:tcW w:w="355" w:type="pct"/>
            <w:gridSpan w:val="2"/>
            <w:shd w:val="clear" w:color="auto" w:fill="FFFF00"/>
            <w:noWrap/>
          </w:tcPr>
          <w:p w:rsidR="00A75BC7" w:rsidRPr="00FE4491" w:rsidRDefault="00A75BC7" w:rsidP="00A75BC7">
            <w:pPr>
              <w:pStyle w:val="TableTextEntries"/>
              <w:jc w:val="center"/>
            </w:pPr>
            <w:r>
              <w:t>4</w:t>
            </w:r>
          </w:p>
        </w:tc>
        <w:tc>
          <w:tcPr>
            <w:tcW w:w="386" w:type="pct"/>
            <w:gridSpan w:val="2"/>
            <w:shd w:val="clear" w:color="auto" w:fill="FF0000"/>
            <w:noWrap/>
          </w:tcPr>
          <w:p w:rsidR="00A75BC7" w:rsidRPr="00FE4491" w:rsidRDefault="00A75BC7" w:rsidP="00A75BC7">
            <w:pPr>
              <w:pStyle w:val="TableTextEntries"/>
              <w:jc w:val="center"/>
            </w:pPr>
            <w:r>
              <w:t>2</w:t>
            </w:r>
          </w:p>
        </w:tc>
        <w:tc>
          <w:tcPr>
            <w:tcW w:w="383" w:type="pct"/>
            <w:gridSpan w:val="2"/>
            <w:shd w:val="clear" w:color="auto" w:fill="FFC000"/>
            <w:noWrap/>
          </w:tcPr>
          <w:p w:rsidR="00A75BC7" w:rsidRPr="00FE4491" w:rsidRDefault="00A75BC7" w:rsidP="00A75BC7">
            <w:pPr>
              <w:pStyle w:val="TableTextEntries"/>
              <w:jc w:val="center"/>
            </w:pPr>
            <w:r>
              <w:t>I</w:t>
            </w:r>
          </w:p>
        </w:tc>
      </w:tr>
      <w:tr w:rsidR="00A75BC7" w:rsidRPr="009D53C4" w:rsidTr="00A75BC7">
        <w:trPr>
          <w:gridAfter w:val="1"/>
          <w:cnfStyle w:val="000000010000" w:firstRow="0" w:lastRow="0" w:firstColumn="0" w:lastColumn="0" w:oddVBand="0" w:evenVBand="0" w:oddHBand="0" w:evenHBand="1" w:firstRowFirstColumn="0" w:firstRowLastColumn="0" w:lastRowFirstColumn="0" w:lastRowLastColumn="0"/>
          <w:wAfter w:w="56" w:type="dxa"/>
          <w:trHeight w:val="284"/>
        </w:trPr>
        <w:tc>
          <w:tcPr>
            <w:tcW w:w="1152" w:type="pct"/>
            <w:gridSpan w:val="2"/>
            <w:vMerge/>
          </w:tcPr>
          <w:p w:rsidR="00A75BC7" w:rsidRPr="00FE4491" w:rsidRDefault="00A75BC7" w:rsidP="00A75BC7">
            <w:pPr>
              <w:pStyle w:val="TableTextEntries"/>
            </w:pPr>
          </w:p>
        </w:tc>
        <w:tc>
          <w:tcPr>
            <w:tcW w:w="436" w:type="pct"/>
            <w:vMerge/>
          </w:tcPr>
          <w:p w:rsidR="00A75BC7" w:rsidRPr="00FE4491" w:rsidRDefault="00A75BC7" w:rsidP="00A75BC7">
            <w:pPr>
              <w:pStyle w:val="TableTextEntries"/>
            </w:pPr>
          </w:p>
        </w:tc>
        <w:tc>
          <w:tcPr>
            <w:tcW w:w="475" w:type="pct"/>
            <w:gridSpan w:val="2"/>
          </w:tcPr>
          <w:p w:rsidR="00A75BC7" w:rsidRPr="00FE4491" w:rsidRDefault="00A75BC7" w:rsidP="00A75BC7">
            <w:pPr>
              <w:pStyle w:val="TableTextEntries"/>
            </w:pPr>
            <w:r w:rsidRPr="00FE4491">
              <w:t>2011</w:t>
            </w:r>
          </w:p>
        </w:tc>
        <w:tc>
          <w:tcPr>
            <w:tcW w:w="438" w:type="pct"/>
            <w:gridSpan w:val="2"/>
            <w:shd w:val="clear" w:color="auto" w:fill="92D050"/>
            <w:noWrap/>
          </w:tcPr>
          <w:p w:rsidR="00A75BC7" w:rsidRPr="00FE4491" w:rsidRDefault="00A75BC7" w:rsidP="00A75BC7">
            <w:pPr>
              <w:pStyle w:val="TableTextEntries"/>
              <w:jc w:val="center"/>
            </w:pPr>
            <w:r w:rsidRPr="00FE4491">
              <w:t>5</w:t>
            </w:r>
          </w:p>
        </w:tc>
        <w:tc>
          <w:tcPr>
            <w:tcW w:w="385" w:type="pct"/>
            <w:gridSpan w:val="2"/>
            <w:shd w:val="clear" w:color="auto" w:fill="FFFF00"/>
            <w:noWrap/>
          </w:tcPr>
          <w:p w:rsidR="00A75BC7" w:rsidRPr="00FE4491" w:rsidRDefault="00A75BC7" w:rsidP="00A75BC7">
            <w:pPr>
              <w:pStyle w:val="TableTextEntries"/>
              <w:jc w:val="center"/>
            </w:pPr>
            <w:r>
              <w:t>4</w:t>
            </w:r>
          </w:p>
        </w:tc>
        <w:tc>
          <w:tcPr>
            <w:tcW w:w="385" w:type="pct"/>
            <w:gridSpan w:val="2"/>
            <w:shd w:val="clear" w:color="auto" w:fill="92D050"/>
            <w:noWrap/>
          </w:tcPr>
          <w:p w:rsidR="00A75BC7" w:rsidRPr="00FE4491" w:rsidRDefault="00A75BC7" w:rsidP="00A75BC7">
            <w:pPr>
              <w:pStyle w:val="TableTextEntries"/>
              <w:jc w:val="center"/>
            </w:pPr>
            <w:r>
              <w:t>5</w:t>
            </w:r>
          </w:p>
        </w:tc>
        <w:tc>
          <w:tcPr>
            <w:tcW w:w="408" w:type="pct"/>
            <w:gridSpan w:val="2"/>
            <w:shd w:val="clear" w:color="auto" w:fill="92D050"/>
            <w:noWrap/>
          </w:tcPr>
          <w:p w:rsidR="00A75BC7" w:rsidRPr="00FE4491" w:rsidRDefault="00A75BC7" w:rsidP="00A75BC7">
            <w:pPr>
              <w:pStyle w:val="TableTextEntries"/>
              <w:jc w:val="center"/>
            </w:pPr>
            <w:r>
              <w:t>5</w:t>
            </w:r>
          </w:p>
        </w:tc>
        <w:tc>
          <w:tcPr>
            <w:tcW w:w="355" w:type="pct"/>
            <w:gridSpan w:val="2"/>
            <w:shd w:val="clear" w:color="auto" w:fill="92D050"/>
            <w:noWrap/>
          </w:tcPr>
          <w:p w:rsidR="00A75BC7" w:rsidRPr="00FE4491" w:rsidRDefault="00A75BC7" w:rsidP="00A75BC7">
            <w:pPr>
              <w:pStyle w:val="TableTextEntries"/>
              <w:jc w:val="center"/>
            </w:pPr>
            <w:r>
              <w:t>5</w:t>
            </w:r>
          </w:p>
        </w:tc>
        <w:tc>
          <w:tcPr>
            <w:tcW w:w="386" w:type="pct"/>
            <w:gridSpan w:val="2"/>
            <w:shd w:val="clear" w:color="auto" w:fill="FFC000"/>
            <w:noWrap/>
          </w:tcPr>
          <w:p w:rsidR="00A75BC7" w:rsidRPr="00FE4491" w:rsidRDefault="00A75BC7" w:rsidP="00A75BC7">
            <w:pPr>
              <w:pStyle w:val="TableTextEntries"/>
              <w:jc w:val="center"/>
            </w:pPr>
            <w:r>
              <w:t>3</w:t>
            </w:r>
          </w:p>
        </w:tc>
        <w:tc>
          <w:tcPr>
            <w:tcW w:w="383" w:type="pct"/>
            <w:gridSpan w:val="2"/>
            <w:shd w:val="clear" w:color="auto" w:fill="FFC000"/>
            <w:noWrap/>
          </w:tcPr>
          <w:p w:rsidR="00A75BC7" w:rsidRPr="00FE4491" w:rsidRDefault="00A75BC7" w:rsidP="00A75BC7">
            <w:pPr>
              <w:pStyle w:val="TableTextEntries"/>
              <w:jc w:val="center"/>
            </w:pPr>
            <w:r>
              <w:t>I</w:t>
            </w:r>
          </w:p>
        </w:tc>
      </w:tr>
      <w:tr w:rsidR="00A75BC7" w:rsidRPr="009D53C4" w:rsidTr="00A75BC7">
        <w:trPr>
          <w:gridAfter w:val="1"/>
          <w:cnfStyle w:val="000000010000" w:firstRow="0" w:lastRow="0" w:firstColumn="0" w:lastColumn="0" w:oddVBand="0" w:evenVBand="0" w:oddHBand="0" w:evenHBand="1" w:firstRowFirstColumn="0" w:firstRowLastColumn="0" w:lastRowFirstColumn="0" w:lastRowLastColumn="0"/>
          <w:wAfter w:w="56" w:type="dxa"/>
          <w:trHeight w:val="284"/>
        </w:trPr>
        <w:tc>
          <w:tcPr>
            <w:tcW w:w="1152" w:type="pct"/>
            <w:gridSpan w:val="2"/>
            <w:vMerge w:val="restart"/>
          </w:tcPr>
          <w:p w:rsidR="00A75BC7" w:rsidRPr="00FE4491" w:rsidRDefault="00A75BC7" w:rsidP="00200E29">
            <w:pPr>
              <w:pStyle w:val="TableTextEntries"/>
            </w:pPr>
            <w:r>
              <w:t>People-to-</w:t>
            </w:r>
            <w:r w:rsidR="00200E29">
              <w:t>p</w:t>
            </w:r>
            <w:r>
              <w:t xml:space="preserve">eople </w:t>
            </w:r>
            <w:r w:rsidR="00200E29">
              <w:t>and i</w:t>
            </w:r>
            <w:r>
              <w:t xml:space="preserve">nstitutional </w:t>
            </w:r>
            <w:r w:rsidR="00200E29">
              <w:t>l</w:t>
            </w:r>
            <w:r>
              <w:t>inks (P2P)</w:t>
            </w:r>
          </w:p>
        </w:tc>
        <w:tc>
          <w:tcPr>
            <w:tcW w:w="436" w:type="pct"/>
          </w:tcPr>
          <w:p w:rsidR="00A75BC7" w:rsidRPr="00FE4491" w:rsidRDefault="00A75BC7" w:rsidP="00A75BC7">
            <w:pPr>
              <w:pStyle w:val="TableTextEntries"/>
            </w:pPr>
          </w:p>
        </w:tc>
        <w:tc>
          <w:tcPr>
            <w:tcW w:w="475" w:type="pct"/>
            <w:gridSpan w:val="2"/>
          </w:tcPr>
          <w:p w:rsidR="00A75BC7" w:rsidRPr="00FE4491" w:rsidRDefault="00A75BC7" w:rsidP="00A75BC7">
            <w:pPr>
              <w:pStyle w:val="TableTextEntries"/>
            </w:pPr>
            <w:r w:rsidRPr="00FE4491">
              <w:t>2012</w:t>
            </w:r>
          </w:p>
        </w:tc>
        <w:tc>
          <w:tcPr>
            <w:tcW w:w="438" w:type="pct"/>
            <w:gridSpan w:val="2"/>
            <w:shd w:val="clear" w:color="auto" w:fill="FFFF00"/>
            <w:noWrap/>
          </w:tcPr>
          <w:p w:rsidR="00A75BC7" w:rsidRPr="00FE4491" w:rsidRDefault="00A75BC7" w:rsidP="00A75BC7">
            <w:pPr>
              <w:pStyle w:val="TableTextEntries"/>
              <w:jc w:val="center"/>
            </w:pPr>
            <w:r>
              <w:t>4</w:t>
            </w:r>
          </w:p>
        </w:tc>
        <w:tc>
          <w:tcPr>
            <w:tcW w:w="385" w:type="pct"/>
            <w:gridSpan w:val="2"/>
            <w:shd w:val="clear" w:color="auto" w:fill="FFC000"/>
            <w:noWrap/>
          </w:tcPr>
          <w:p w:rsidR="00A75BC7" w:rsidRPr="00FE4491" w:rsidRDefault="00A75BC7" w:rsidP="00A75BC7">
            <w:pPr>
              <w:pStyle w:val="TableTextEntries"/>
              <w:jc w:val="center"/>
            </w:pPr>
            <w:r w:rsidRPr="00FE4491">
              <w:t>3</w:t>
            </w:r>
          </w:p>
        </w:tc>
        <w:tc>
          <w:tcPr>
            <w:tcW w:w="385" w:type="pct"/>
            <w:gridSpan w:val="2"/>
            <w:shd w:val="clear" w:color="auto" w:fill="FFC000"/>
            <w:noWrap/>
          </w:tcPr>
          <w:p w:rsidR="00A75BC7" w:rsidRPr="00FE4491" w:rsidRDefault="00A75BC7" w:rsidP="00A75BC7">
            <w:pPr>
              <w:pStyle w:val="TableTextEntries"/>
              <w:jc w:val="center"/>
            </w:pPr>
            <w:r>
              <w:t>3</w:t>
            </w:r>
          </w:p>
        </w:tc>
        <w:tc>
          <w:tcPr>
            <w:tcW w:w="408" w:type="pct"/>
            <w:gridSpan w:val="2"/>
            <w:shd w:val="clear" w:color="auto" w:fill="FFC000"/>
            <w:noWrap/>
          </w:tcPr>
          <w:p w:rsidR="00A75BC7" w:rsidRPr="00FE4491" w:rsidRDefault="00A75BC7" w:rsidP="00A75BC7">
            <w:pPr>
              <w:pStyle w:val="TableTextEntries"/>
              <w:jc w:val="center"/>
            </w:pPr>
            <w:r>
              <w:t>3</w:t>
            </w:r>
          </w:p>
        </w:tc>
        <w:tc>
          <w:tcPr>
            <w:tcW w:w="355" w:type="pct"/>
            <w:gridSpan w:val="2"/>
            <w:shd w:val="clear" w:color="auto" w:fill="FFC000"/>
            <w:noWrap/>
          </w:tcPr>
          <w:p w:rsidR="00A75BC7" w:rsidRPr="00FE4491" w:rsidRDefault="00A75BC7" w:rsidP="00A75BC7">
            <w:pPr>
              <w:pStyle w:val="TableTextEntries"/>
              <w:jc w:val="center"/>
            </w:pPr>
            <w:r>
              <w:t>3</w:t>
            </w:r>
          </w:p>
        </w:tc>
        <w:tc>
          <w:tcPr>
            <w:tcW w:w="386" w:type="pct"/>
            <w:gridSpan w:val="2"/>
            <w:shd w:val="clear" w:color="auto" w:fill="FFC000"/>
            <w:noWrap/>
          </w:tcPr>
          <w:p w:rsidR="00A75BC7" w:rsidRPr="00FE4491" w:rsidRDefault="00A75BC7" w:rsidP="00A75BC7">
            <w:pPr>
              <w:pStyle w:val="TableTextEntries"/>
              <w:jc w:val="center"/>
            </w:pPr>
            <w:r>
              <w:t>3</w:t>
            </w:r>
          </w:p>
        </w:tc>
        <w:tc>
          <w:tcPr>
            <w:tcW w:w="383" w:type="pct"/>
            <w:gridSpan w:val="2"/>
            <w:shd w:val="clear" w:color="auto" w:fill="FFC000"/>
            <w:noWrap/>
          </w:tcPr>
          <w:p w:rsidR="00A75BC7" w:rsidRPr="00FE4491" w:rsidRDefault="00A75BC7" w:rsidP="00A75BC7">
            <w:pPr>
              <w:pStyle w:val="TableTextEntries"/>
              <w:jc w:val="center"/>
            </w:pPr>
            <w:r>
              <w:t>I</w:t>
            </w:r>
          </w:p>
        </w:tc>
      </w:tr>
      <w:tr w:rsidR="00A75BC7" w:rsidRPr="009D53C4" w:rsidTr="00730025">
        <w:trPr>
          <w:gridAfter w:val="1"/>
          <w:cnfStyle w:val="000000010000" w:firstRow="0" w:lastRow="0" w:firstColumn="0" w:lastColumn="0" w:oddVBand="0" w:evenVBand="0" w:oddHBand="0" w:evenHBand="1" w:firstRowFirstColumn="0" w:firstRowLastColumn="0" w:lastRowFirstColumn="0" w:lastRowLastColumn="0"/>
          <w:wAfter w:w="56" w:type="dxa"/>
          <w:trHeight w:val="284"/>
        </w:trPr>
        <w:tc>
          <w:tcPr>
            <w:tcW w:w="1152" w:type="pct"/>
            <w:gridSpan w:val="2"/>
            <w:vMerge/>
          </w:tcPr>
          <w:p w:rsidR="00A75BC7" w:rsidRPr="00FE4491" w:rsidRDefault="00A75BC7" w:rsidP="00A75BC7">
            <w:pPr>
              <w:pStyle w:val="TableTextEntries"/>
            </w:pPr>
          </w:p>
        </w:tc>
        <w:tc>
          <w:tcPr>
            <w:tcW w:w="436" w:type="pct"/>
          </w:tcPr>
          <w:p w:rsidR="00A75BC7" w:rsidRPr="00FE4491" w:rsidRDefault="00A75BC7" w:rsidP="00A75BC7">
            <w:pPr>
              <w:pStyle w:val="TableTextEntries"/>
            </w:pPr>
          </w:p>
        </w:tc>
        <w:tc>
          <w:tcPr>
            <w:tcW w:w="475" w:type="pct"/>
            <w:gridSpan w:val="2"/>
          </w:tcPr>
          <w:p w:rsidR="00A75BC7" w:rsidRPr="00FE4491" w:rsidRDefault="00A75BC7" w:rsidP="00A75BC7">
            <w:pPr>
              <w:pStyle w:val="TableTextEntries"/>
            </w:pPr>
            <w:r w:rsidRPr="00FE4491">
              <w:t>2011</w:t>
            </w:r>
          </w:p>
        </w:tc>
        <w:tc>
          <w:tcPr>
            <w:tcW w:w="438" w:type="pct"/>
            <w:gridSpan w:val="2"/>
            <w:shd w:val="clear" w:color="auto" w:fill="92D050"/>
            <w:noWrap/>
          </w:tcPr>
          <w:p w:rsidR="00A75BC7" w:rsidRPr="00FE4491" w:rsidRDefault="00A75BC7" w:rsidP="00A75BC7">
            <w:pPr>
              <w:pStyle w:val="TableTextEntries"/>
              <w:jc w:val="center"/>
            </w:pPr>
            <w:r w:rsidRPr="00FE4491">
              <w:t>5</w:t>
            </w:r>
          </w:p>
        </w:tc>
        <w:tc>
          <w:tcPr>
            <w:tcW w:w="385" w:type="pct"/>
            <w:gridSpan w:val="2"/>
            <w:shd w:val="clear" w:color="auto" w:fill="FFFF00"/>
            <w:noWrap/>
          </w:tcPr>
          <w:p w:rsidR="00A75BC7" w:rsidRPr="00FE4491" w:rsidRDefault="00A75BC7" w:rsidP="00A75BC7">
            <w:pPr>
              <w:pStyle w:val="TableTextEntries"/>
              <w:jc w:val="center"/>
            </w:pPr>
            <w:r>
              <w:t>4</w:t>
            </w:r>
          </w:p>
        </w:tc>
        <w:tc>
          <w:tcPr>
            <w:tcW w:w="385" w:type="pct"/>
            <w:gridSpan w:val="2"/>
            <w:shd w:val="clear" w:color="auto" w:fill="FFC000"/>
            <w:noWrap/>
          </w:tcPr>
          <w:p w:rsidR="00A75BC7" w:rsidRPr="00FE4491" w:rsidRDefault="00A75BC7" w:rsidP="00A75BC7">
            <w:pPr>
              <w:pStyle w:val="TableTextEntries"/>
              <w:jc w:val="center"/>
            </w:pPr>
            <w:r>
              <w:t>3</w:t>
            </w:r>
          </w:p>
        </w:tc>
        <w:tc>
          <w:tcPr>
            <w:tcW w:w="408" w:type="pct"/>
            <w:gridSpan w:val="2"/>
            <w:shd w:val="clear" w:color="auto" w:fill="FFFF00"/>
            <w:noWrap/>
          </w:tcPr>
          <w:p w:rsidR="00A75BC7" w:rsidRPr="00FE4491" w:rsidRDefault="00A75BC7" w:rsidP="00A75BC7">
            <w:pPr>
              <w:pStyle w:val="TableTextEntries"/>
              <w:jc w:val="center"/>
            </w:pPr>
            <w:r>
              <w:t>4</w:t>
            </w:r>
          </w:p>
        </w:tc>
        <w:tc>
          <w:tcPr>
            <w:tcW w:w="355" w:type="pct"/>
            <w:gridSpan w:val="2"/>
            <w:shd w:val="clear" w:color="auto" w:fill="FFFF00"/>
            <w:noWrap/>
          </w:tcPr>
          <w:p w:rsidR="00A75BC7" w:rsidRPr="00FE4491" w:rsidRDefault="00A75BC7" w:rsidP="00A75BC7">
            <w:pPr>
              <w:pStyle w:val="TableTextEntries"/>
              <w:jc w:val="center"/>
            </w:pPr>
            <w:r>
              <w:t>4</w:t>
            </w:r>
          </w:p>
        </w:tc>
        <w:tc>
          <w:tcPr>
            <w:tcW w:w="386" w:type="pct"/>
            <w:gridSpan w:val="2"/>
            <w:shd w:val="clear" w:color="auto" w:fill="FFFF00"/>
            <w:noWrap/>
          </w:tcPr>
          <w:p w:rsidR="00A75BC7" w:rsidRPr="00FE4491" w:rsidRDefault="00A75BC7" w:rsidP="00A75BC7">
            <w:pPr>
              <w:pStyle w:val="TableTextEntries"/>
              <w:jc w:val="center"/>
            </w:pPr>
            <w:r>
              <w:t>4</w:t>
            </w:r>
          </w:p>
        </w:tc>
        <w:tc>
          <w:tcPr>
            <w:tcW w:w="383" w:type="pct"/>
            <w:gridSpan w:val="2"/>
            <w:shd w:val="clear" w:color="auto" w:fill="FFC000"/>
            <w:noWrap/>
          </w:tcPr>
          <w:p w:rsidR="00A75BC7" w:rsidRPr="00FE4491" w:rsidRDefault="00A75BC7" w:rsidP="00A75BC7">
            <w:pPr>
              <w:pStyle w:val="TableTextEntries"/>
              <w:jc w:val="center"/>
            </w:pPr>
            <w:r>
              <w:t>I</w:t>
            </w:r>
          </w:p>
        </w:tc>
      </w:tr>
    </w:tbl>
    <w:p w:rsidR="00A75BC7" w:rsidRDefault="00A75BC7" w:rsidP="00A75BC7">
      <w:pPr>
        <w:pStyle w:val="Note"/>
      </w:pPr>
      <w:r>
        <w:t>Definitions of rating scale:</w:t>
      </w:r>
      <w:r>
        <w:tab/>
      </w:r>
    </w:p>
    <w:p w:rsidR="00A75BC7" w:rsidRDefault="00A75BC7" w:rsidP="00A75BC7">
      <w:pPr>
        <w:pStyle w:val="Note"/>
      </w:pPr>
      <w:r>
        <w:t>Satisfactory (4, 5 and 6)</w:t>
      </w:r>
    </w:p>
    <w:p w:rsidR="00A75BC7" w:rsidRDefault="00A75BC7" w:rsidP="00A75BC7">
      <w:pPr>
        <w:pStyle w:val="Note"/>
      </w:pPr>
      <w:r w:rsidRPr="00FE4491">
        <w:rPr>
          <w:color w:val="92D050"/>
        </w:rPr>
        <w:sym w:font="Webdings" w:char="F067"/>
      </w:r>
      <w:r>
        <w:t xml:space="preserve"> = 6 = Very high quality</w:t>
      </w:r>
    </w:p>
    <w:p w:rsidR="00A75BC7" w:rsidRDefault="00A75BC7" w:rsidP="00A75BC7">
      <w:pPr>
        <w:pStyle w:val="Note"/>
      </w:pPr>
      <w:r w:rsidRPr="00FE4491">
        <w:rPr>
          <w:color w:val="92D050"/>
        </w:rPr>
        <w:sym w:font="Webdings" w:char="F067"/>
      </w:r>
      <w:r>
        <w:t xml:space="preserve"> = 5 = Good quality</w:t>
      </w:r>
    </w:p>
    <w:p w:rsidR="00A75BC7" w:rsidRDefault="00A75BC7" w:rsidP="00A75BC7">
      <w:pPr>
        <w:pStyle w:val="Note"/>
      </w:pPr>
      <w:r w:rsidRPr="000774FD">
        <w:rPr>
          <w:color w:val="FFFF00"/>
        </w:rPr>
        <w:sym w:font="Webdings" w:char="F067"/>
      </w:r>
      <w:r>
        <w:t xml:space="preserve"> = 4 = Adequate quality, needs some work</w:t>
      </w:r>
    </w:p>
    <w:p w:rsidR="00A75BC7" w:rsidRDefault="00A75BC7" w:rsidP="00A75BC7">
      <w:pPr>
        <w:pStyle w:val="Note"/>
      </w:pPr>
      <w:r>
        <w:t>Less than satisfactory (1, 2 and 3)</w:t>
      </w:r>
    </w:p>
    <w:p w:rsidR="00A75BC7" w:rsidRDefault="00A75BC7" w:rsidP="00A75BC7">
      <w:pPr>
        <w:pStyle w:val="Note"/>
      </w:pPr>
      <w:r w:rsidRPr="00FD710F">
        <w:rPr>
          <w:color w:val="F79646"/>
        </w:rPr>
        <w:sym w:font="Webdings" w:char="F067"/>
      </w:r>
      <w:r>
        <w:t xml:space="preserve"> = 3 = Less than adequate quality; needs significant work</w:t>
      </w:r>
    </w:p>
    <w:p w:rsidR="00A75BC7" w:rsidRDefault="00A75BC7" w:rsidP="00A75BC7">
      <w:pPr>
        <w:pStyle w:val="Note"/>
      </w:pPr>
      <w:r w:rsidRPr="000774FD">
        <w:rPr>
          <w:color w:val="FF0000"/>
        </w:rPr>
        <w:sym w:font="Webdings" w:char="F067"/>
      </w:r>
      <w:r>
        <w:t xml:space="preserve"> = 2 = Poor quality; needs major work to improve</w:t>
      </w:r>
    </w:p>
    <w:p w:rsidR="00A75BC7" w:rsidRDefault="00A75BC7" w:rsidP="00A75BC7">
      <w:pPr>
        <w:pStyle w:val="Note"/>
      </w:pPr>
      <w:r w:rsidRPr="000774FD">
        <w:rPr>
          <w:color w:val="FF0000"/>
        </w:rPr>
        <w:sym w:font="Webdings" w:char="F067"/>
      </w:r>
      <w:r>
        <w:t xml:space="preserve"> = 1 = Very poor quality; needs major overhaul</w:t>
      </w:r>
    </w:p>
    <w:p w:rsidR="00A75BC7" w:rsidRDefault="00A75BC7" w:rsidP="00A75BC7">
      <w:pPr>
        <w:pStyle w:val="Note"/>
      </w:pPr>
    </w:p>
    <w:p w:rsidR="00A75BC7" w:rsidRDefault="00A75BC7" w:rsidP="00A75BC7">
      <w:pPr>
        <w:pStyle w:val="Note"/>
      </w:pPr>
      <w:r>
        <w:t>Risk Management scale:</w:t>
      </w:r>
    </w:p>
    <w:p w:rsidR="00A75BC7" w:rsidRDefault="00A75BC7" w:rsidP="00A75BC7">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rsidR="00A75BC7" w:rsidRDefault="00A75BC7" w:rsidP="00A75BC7">
      <w:pPr>
        <w:pStyle w:val="Note"/>
      </w:pPr>
      <w:r w:rsidRPr="00FD710F">
        <w:rPr>
          <w:color w:val="F79646"/>
        </w:rPr>
        <w:sym w:font="Webdings" w:char="F067"/>
      </w:r>
      <w:r>
        <w:t xml:space="preserve">  Intermediate (I). Indicates the initiative manager conducts ad-hoc risk discussion and updates the risk register occasionally. </w:t>
      </w:r>
    </w:p>
    <w:p w:rsidR="00A75BC7" w:rsidRDefault="00A75BC7" w:rsidP="00A75BC7">
      <w:pPr>
        <w:pStyle w:val="Note"/>
      </w:pPr>
      <w:r w:rsidRPr="000774FD">
        <w:rPr>
          <w:color w:val="FF0000"/>
        </w:rPr>
        <w:sym w:font="Webdings" w:char="F067"/>
      </w:r>
      <w:r>
        <w:t xml:space="preserve">  </w:t>
      </w:r>
      <w:proofErr w:type="gramStart"/>
      <w:r>
        <w:t>Basic (B).</w:t>
      </w:r>
      <w:proofErr w:type="gramEnd"/>
      <w:r>
        <w:t xml:space="preserve"> Indicates there are limited or few risk discussions and the risk register has not been updated in the past 12 months.</w:t>
      </w:r>
    </w:p>
    <w:p w:rsidR="00A75BC7" w:rsidRDefault="00A75BC7" w:rsidP="00A75BC7"/>
    <w:p w:rsidR="00A75BC7" w:rsidRDefault="00A75BC7" w:rsidP="00A75BC7">
      <w:pPr>
        <w:rPr>
          <w:sz w:val="18"/>
          <w:szCs w:val="18"/>
        </w:rPr>
      </w:pPr>
    </w:p>
    <w:p w:rsidR="00A75BC7" w:rsidRDefault="00A75BC7" w:rsidP="00A75BC7">
      <w:pPr>
        <w:rPr>
          <w:sz w:val="18"/>
          <w:szCs w:val="18"/>
        </w:rPr>
      </w:pPr>
    </w:p>
    <w:p w:rsidR="00A75BC7" w:rsidRDefault="00A75BC7">
      <w:pPr>
        <w:spacing w:after="200" w:line="276" w:lineRule="auto"/>
        <w:rPr>
          <w:sz w:val="18"/>
          <w:szCs w:val="18"/>
        </w:rPr>
      </w:pPr>
    </w:p>
    <w:p w:rsidR="00A75BC7" w:rsidRDefault="00A75BC7">
      <w:pPr>
        <w:spacing w:after="200" w:line="276" w:lineRule="auto"/>
        <w:rPr>
          <w:sz w:val="18"/>
          <w:szCs w:val="18"/>
        </w:rPr>
      </w:pPr>
      <w:r>
        <w:rPr>
          <w:sz w:val="18"/>
          <w:szCs w:val="18"/>
        </w:rPr>
        <w:br w:type="page"/>
      </w:r>
    </w:p>
    <w:p w:rsidR="00A75BC7" w:rsidRPr="00C74E11" w:rsidRDefault="00A75BC7" w:rsidP="00A75BC7">
      <w:pPr>
        <w:rPr>
          <w:sz w:val="18"/>
          <w:szCs w:val="18"/>
        </w:rPr>
        <w:sectPr w:rsidR="00A75BC7" w:rsidRPr="00C74E11" w:rsidSect="007D3225">
          <w:headerReference w:type="default" r:id="rId19"/>
          <w:footerReference w:type="default" r:id="rId20"/>
          <w:pgSz w:w="11906" w:h="16838" w:code="9"/>
          <w:pgMar w:top="2268" w:right="1701" w:bottom="907" w:left="1871" w:header="709" w:footer="454" w:gutter="0"/>
          <w:cols w:space="708"/>
          <w:docGrid w:linePitch="360"/>
        </w:sectPr>
      </w:pPr>
    </w:p>
    <w:p w:rsidR="00E02F43" w:rsidRPr="00071B95" w:rsidRDefault="00E02F43" w:rsidP="00E02F43">
      <w:pPr>
        <w:pStyle w:val="Heading1"/>
      </w:pPr>
      <w:r w:rsidRPr="00071B95">
        <w:lastRenderedPageBreak/>
        <w:t xml:space="preserve">Annex </w:t>
      </w:r>
      <w:r w:rsidR="00650B3E">
        <w:t>C</w:t>
      </w:r>
    </w:p>
    <w:p w:rsidR="00E02F43" w:rsidRPr="00071B95" w:rsidRDefault="00E02F43" w:rsidP="00E02F43">
      <w:pPr>
        <w:pStyle w:val="Heading2"/>
      </w:pPr>
      <w:r w:rsidRPr="00071B95">
        <w:t xml:space="preserve">Evaluation and </w:t>
      </w:r>
      <w:r w:rsidR="003C281D">
        <w:t>r</w:t>
      </w:r>
      <w:r w:rsidRPr="00071B95">
        <w:t xml:space="preserve">eview </w:t>
      </w:r>
      <w:r w:rsidR="003C281D">
        <w:t>p</w:t>
      </w:r>
      <w:r w:rsidRPr="00071B95">
        <w:t xml:space="preserve">ipeline </w:t>
      </w:r>
      <w:r w:rsidR="003C281D">
        <w:t>p</w:t>
      </w:r>
      <w:r w:rsidRPr="00071B95">
        <w:t>lanning</w:t>
      </w:r>
    </w:p>
    <w:p w:rsidR="00E02F43" w:rsidRPr="00071B95" w:rsidRDefault="00E02F43" w:rsidP="006A00A2">
      <w:pPr>
        <w:pStyle w:val="Caption"/>
      </w:pPr>
      <w:r w:rsidRPr="00071B95">
        <w:t xml:space="preserve">List of </w:t>
      </w:r>
      <w:r w:rsidR="003C281D">
        <w:t>e</w:t>
      </w:r>
      <w:r w:rsidRPr="00071B95">
        <w:t>valuations completed</w:t>
      </w:r>
      <w:r w:rsidRPr="00071B95">
        <w:rPr>
          <w:vertAlign w:val="superscript"/>
        </w:rPr>
        <w:footnoteReference w:id="29"/>
      </w:r>
      <w:r w:rsidRPr="00071B95">
        <w:t xml:space="preserve"> in the reporting period </w:t>
      </w:r>
    </w:p>
    <w:tbl>
      <w:tblPr>
        <w:tblStyle w:val="APPR"/>
        <w:tblW w:w="0" w:type="auto"/>
        <w:tblLook w:val="04A0" w:firstRow="1" w:lastRow="0" w:firstColumn="1" w:lastColumn="0" w:noHBand="0" w:noVBand="1"/>
      </w:tblPr>
      <w:tblGrid>
        <w:gridCol w:w="1110"/>
        <w:gridCol w:w="28"/>
        <w:gridCol w:w="1134"/>
        <w:gridCol w:w="28"/>
        <w:gridCol w:w="1304"/>
        <w:gridCol w:w="28"/>
        <w:gridCol w:w="1182"/>
        <w:gridCol w:w="28"/>
        <w:gridCol w:w="1178"/>
        <w:gridCol w:w="28"/>
        <w:gridCol w:w="959"/>
        <w:gridCol w:w="501"/>
        <w:gridCol w:w="75"/>
        <w:gridCol w:w="1024"/>
      </w:tblGrid>
      <w:tr w:rsidR="00E02F43" w:rsidRPr="00071B95" w:rsidTr="00A30593">
        <w:trPr>
          <w:cnfStyle w:val="100000000000" w:firstRow="1" w:lastRow="0" w:firstColumn="0" w:lastColumn="0" w:oddVBand="0" w:evenVBand="0" w:oddHBand="0" w:evenHBand="0" w:firstRowFirstColumn="0" w:firstRowLastColumn="0" w:lastRowFirstColumn="0" w:lastRowLastColumn="0"/>
        </w:trPr>
        <w:tc>
          <w:tcPr>
            <w:tcW w:w="1902" w:type="dxa"/>
          </w:tcPr>
          <w:p w:rsidR="00E02F43" w:rsidRPr="00071B95" w:rsidRDefault="00E02F43" w:rsidP="00A30593">
            <w:pPr>
              <w:pStyle w:val="TableTextColumnHeading"/>
              <w:rPr>
                <w:b/>
              </w:rPr>
            </w:pPr>
            <w:r w:rsidRPr="00071B95">
              <w:rPr>
                <w:b/>
              </w:rPr>
              <w:t xml:space="preserve">Name of </w:t>
            </w:r>
            <w:r w:rsidR="003C281D">
              <w:rPr>
                <w:b/>
              </w:rPr>
              <w:t>i</w:t>
            </w:r>
            <w:r w:rsidRPr="00071B95">
              <w:rPr>
                <w:b/>
              </w:rPr>
              <w:t>nitiative</w:t>
            </w:r>
          </w:p>
        </w:tc>
        <w:tc>
          <w:tcPr>
            <w:tcW w:w="1933" w:type="dxa"/>
            <w:gridSpan w:val="2"/>
          </w:tcPr>
          <w:p w:rsidR="00E02F43" w:rsidRPr="00071B95" w:rsidRDefault="00610849" w:rsidP="00A30593">
            <w:pPr>
              <w:pStyle w:val="TableTextColumnHeading"/>
              <w:rPr>
                <w:b/>
              </w:rPr>
            </w:pPr>
            <w:r w:rsidRPr="00071B95">
              <w:rPr>
                <w:b/>
              </w:rPr>
              <w:t>Aid</w:t>
            </w:r>
            <w:r>
              <w:rPr>
                <w:b/>
              </w:rPr>
              <w:t>W</w:t>
            </w:r>
            <w:r w:rsidRPr="00071B95">
              <w:rPr>
                <w:b/>
              </w:rPr>
              <w:t>orks</w:t>
            </w:r>
            <w:r w:rsidR="00E02F43" w:rsidRPr="00071B95">
              <w:rPr>
                <w:b/>
              </w:rPr>
              <w:t xml:space="preserve"> number</w:t>
            </w:r>
          </w:p>
        </w:tc>
        <w:tc>
          <w:tcPr>
            <w:tcW w:w="2031" w:type="dxa"/>
            <w:gridSpan w:val="2"/>
          </w:tcPr>
          <w:p w:rsidR="00E02F43" w:rsidRPr="00071B95" w:rsidRDefault="00E02F43" w:rsidP="00A30593">
            <w:pPr>
              <w:pStyle w:val="TableTextColumnHeading"/>
              <w:rPr>
                <w:b/>
              </w:rPr>
            </w:pPr>
            <w:r w:rsidRPr="00071B95">
              <w:rPr>
                <w:b/>
              </w:rPr>
              <w:t>Type of evaluation</w:t>
            </w:r>
            <w:r w:rsidRPr="00071B95">
              <w:rPr>
                <w:b/>
                <w:vertAlign w:val="superscript"/>
              </w:rPr>
              <w:footnoteReference w:id="30"/>
            </w:r>
          </w:p>
        </w:tc>
        <w:tc>
          <w:tcPr>
            <w:tcW w:w="1939" w:type="dxa"/>
            <w:gridSpan w:val="2"/>
          </w:tcPr>
          <w:p w:rsidR="00E02F43" w:rsidRPr="00071B95" w:rsidRDefault="00E02F43" w:rsidP="003C281D">
            <w:pPr>
              <w:pStyle w:val="TableTextColumnHeading"/>
              <w:rPr>
                <w:b/>
              </w:rPr>
            </w:pPr>
            <w:r w:rsidRPr="00071B95">
              <w:rPr>
                <w:b/>
              </w:rPr>
              <w:t xml:space="preserve">Date </w:t>
            </w:r>
            <w:r w:rsidR="003C281D">
              <w:rPr>
                <w:b/>
              </w:rPr>
              <w:t>e</w:t>
            </w:r>
            <w:r w:rsidRPr="00071B95">
              <w:rPr>
                <w:b/>
              </w:rPr>
              <w:t>valuation report received</w:t>
            </w:r>
          </w:p>
        </w:tc>
        <w:tc>
          <w:tcPr>
            <w:tcW w:w="1921" w:type="dxa"/>
            <w:gridSpan w:val="2"/>
          </w:tcPr>
          <w:p w:rsidR="00E02F43" w:rsidRPr="00071B95" w:rsidRDefault="00E02F43" w:rsidP="003C281D">
            <w:pPr>
              <w:pStyle w:val="TableTextColumnHeading"/>
              <w:rPr>
                <w:b/>
              </w:rPr>
            </w:pPr>
            <w:r w:rsidRPr="00071B95">
              <w:rPr>
                <w:b/>
              </w:rPr>
              <w:t xml:space="preserve">Date </w:t>
            </w:r>
            <w:r w:rsidR="003C281D">
              <w:rPr>
                <w:b/>
              </w:rPr>
              <w:t>e</w:t>
            </w:r>
            <w:r w:rsidRPr="00071B95">
              <w:rPr>
                <w:b/>
              </w:rPr>
              <w:t xml:space="preserve">valuation report </w:t>
            </w:r>
            <w:r w:rsidR="003C281D">
              <w:rPr>
                <w:b/>
              </w:rPr>
              <w:t>u</w:t>
            </w:r>
            <w:r w:rsidRPr="00071B95">
              <w:rPr>
                <w:b/>
              </w:rPr>
              <w:t xml:space="preserve">ploaded into </w:t>
            </w:r>
            <w:r w:rsidR="00610849">
              <w:rPr>
                <w:b/>
              </w:rPr>
              <w:t>AidW</w:t>
            </w:r>
            <w:r w:rsidR="00610849" w:rsidRPr="00071B95">
              <w:rPr>
                <w:b/>
              </w:rPr>
              <w:t>orks</w:t>
            </w:r>
          </w:p>
        </w:tc>
        <w:tc>
          <w:tcPr>
            <w:tcW w:w="1743" w:type="dxa"/>
            <w:gridSpan w:val="3"/>
          </w:tcPr>
          <w:p w:rsidR="00E02F43" w:rsidRPr="00071B95" w:rsidRDefault="00E02F43" w:rsidP="003C281D">
            <w:pPr>
              <w:pStyle w:val="TableTextColumnHeading"/>
              <w:rPr>
                <w:b/>
              </w:rPr>
            </w:pPr>
            <w:r w:rsidRPr="00071B95">
              <w:rPr>
                <w:b/>
              </w:rPr>
              <w:t xml:space="preserve">Date </w:t>
            </w:r>
            <w:r w:rsidR="003C281D">
              <w:rPr>
                <w:b/>
              </w:rPr>
              <w:t>m</w:t>
            </w:r>
            <w:r w:rsidRPr="00071B95">
              <w:rPr>
                <w:b/>
              </w:rPr>
              <w:t xml:space="preserve">anagement response uploaded into </w:t>
            </w:r>
            <w:r w:rsidR="00610849">
              <w:rPr>
                <w:b/>
              </w:rPr>
              <w:t>AidW</w:t>
            </w:r>
            <w:r w:rsidR="00610849" w:rsidRPr="00071B95">
              <w:rPr>
                <w:b/>
              </w:rPr>
              <w:t>orks</w:t>
            </w:r>
          </w:p>
        </w:tc>
        <w:tc>
          <w:tcPr>
            <w:tcW w:w="1503" w:type="dxa"/>
            <w:gridSpan w:val="2"/>
          </w:tcPr>
          <w:p w:rsidR="00E02F43" w:rsidRPr="00071B95" w:rsidRDefault="00E02F43" w:rsidP="00A30593">
            <w:pPr>
              <w:pStyle w:val="TableTextColumnHeading"/>
              <w:rPr>
                <w:b/>
              </w:rPr>
            </w:pPr>
            <w:r w:rsidRPr="00071B95">
              <w:rPr>
                <w:b/>
              </w:rPr>
              <w:t>Published on website</w:t>
            </w:r>
          </w:p>
        </w:tc>
      </w:tr>
      <w:tr w:rsidR="00200E29" w:rsidRPr="00786B5A" w:rsidTr="00095269">
        <w:trPr>
          <w:gridAfter w:val="1"/>
          <w:cnfStyle w:val="100000000000" w:firstRow="1" w:lastRow="0" w:firstColumn="0" w:lastColumn="0" w:oddVBand="0" w:evenVBand="0" w:oddHBand="0" w:evenHBand="0" w:firstRowFirstColumn="0" w:firstRowLastColumn="0" w:lastRowFirstColumn="0" w:lastRowLastColumn="0"/>
          <w:wAfter w:w="355" w:type="dxa"/>
        </w:trPr>
        <w:tc>
          <w:tcPr>
            <w:tcW w:w="1406" w:type="dxa"/>
            <w:gridSpan w:val="2"/>
          </w:tcPr>
          <w:p w:rsidR="00E02F43" w:rsidRPr="00786B5A" w:rsidRDefault="00A45756" w:rsidP="00A45756">
            <w:pPr>
              <w:pStyle w:val="TableTextEntries"/>
              <w:rPr>
                <w:b w:val="0"/>
              </w:rPr>
            </w:pPr>
            <w:r>
              <w:rPr>
                <w:b w:val="0"/>
              </w:rPr>
              <w:t xml:space="preserve">2011 </w:t>
            </w:r>
            <w:r w:rsidR="00E02F43" w:rsidRPr="00786B5A">
              <w:rPr>
                <w:b w:val="0"/>
              </w:rPr>
              <w:t xml:space="preserve">APPR </w:t>
            </w:r>
          </w:p>
        </w:tc>
        <w:tc>
          <w:tcPr>
            <w:tcW w:w="998" w:type="dxa"/>
            <w:gridSpan w:val="2"/>
          </w:tcPr>
          <w:p w:rsidR="00E02F43" w:rsidRPr="00786B5A" w:rsidRDefault="00E02F43" w:rsidP="00A30593">
            <w:pPr>
              <w:pStyle w:val="TableTextEntries"/>
              <w:rPr>
                <w:b w:val="0"/>
              </w:rPr>
            </w:pPr>
            <w:r w:rsidRPr="00786B5A">
              <w:rPr>
                <w:b w:val="0"/>
              </w:rPr>
              <w:t>N/A</w:t>
            </w:r>
          </w:p>
        </w:tc>
        <w:tc>
          <w:tcPr>
            <w:tcW w:w="1450" w:type="dxa"/>
            <w:gridSpan w:val="2"/>
          </w:tcPr>
          <w:p w:rsidR="00E02F43" w:rsidRPr="00786B5A" w:rsidRDefault="00E02F43" w:rsidP="00A30593">
            <w:pPr>
              <w:pStyle w:val="TableTextEntries"/>
              <w:rPr>
                <w:b w:val="0"/>
              </w:rPr>
            </w:pPr>
            <w:r>
              <w:rPr>
                <w:b w:val="0"/>
              </w:rPr>
              <w:t>APPR</w:t>
            </w:r>
          </w:p>
        </w:tc>
        <w:tc>
          <w:tcPr>
            <w:tcW w:w="1299" w:type="dxa"/>
            <w:gridSpan w:val="2"/>
          </w:tcPr>
          <w:p w:rsidR="00E02F43" w:rsidRPr="00786B5A" w:rsidRDefault="00E02F43" w:rsidP="00A30593">
            <w:pPr>
              <w:pStyle w:val="TableTextEntries"/>
              <w:rPr>
                <w:b w:val="0"/>
              </w:rPr>
            </w:pPr>
            <w:r>
              <w:rPr>
                <w:b w:val="0"/>
              </w:rPr>
              <w:t>October 2012</w:t>
            </w:r>
          </w:p>
        </w:tc>
        <w:tc>
          <w:tcPr>
            <w:tcW w:w="1071" w:type="dxa"/>
            <w:gridSpan w:val="2"/>
          </w:tcPr>
          <w:p w:rsidR="00E02F43" w:rsidRPr="00786B5A" w:rsidRDefault="00E02F43" w:rsidP="00A30593">
            <w:pPr>
              <w:pStyle w:val="TableTextEntries"/>
              <w:rPr>
                <w:b w:val="0"/>
              </w:rPr>
            </w:pPr>
            <w:r w:rsidRPr="00786B5A">
              <w:rPr>
                <w:b w:val="0"/>
              </w:rPr>
              <w:t>May 2013</w:t>
            </w:r>
          </w:p>
        </w:tc>
        <w:tc>
          <w:tcPr>
            <w:tcW w:w="931" w:type="dxa"/>
          </w:tcPr>
          <w:p w:rsidR="00E02F43" w:rsidRPr="00786B5A" w:rsidRDefault="00E02F43" w:rsidP="00A30593">
            <w:pPr>
              <w:pStyle w:val="TableTextEntries"/>
              <w:rPr>
                <w:b w:val="0"/>
              </w:rPr>
            </w:pPr>
            <w:r w:rsidRPr="00786B5A">
              <w:rPr>
                <w:b w:val="0"/>
              </w:rPr>
              <w:t>N/A</w:t>
            </w:r>
          </w:p>
        </w:tc>
        <w:tc>
          <w:tcPr>
            <w:tcW w:w="831" w:type="dxa"/>
            <w:gridSpan w:val="2"/>
          </w:tcPr>
          <w:p w:rsidR="00E02F43" w:rsidRPr="00786B5A" w:rsidRDefault="00E02F43" w:rsidP="00A30593">
            <w:pPr>
              <w:pStyle w:val="TableTextEntries"/>
              <w:rPr>
                <w:b w:val="0"/>
              </w:rPr>
            </w:pPr>
            <w:r w:rsidRPr="00786B5A">
              <w:rPr>
                <w:b w:val="0"/>
              </w:rPr>
              <w:t>Yes</w:t>
            </w:r>
          </w:p>
        </w:tc>
      </w:tr>
      <w:tr w:rsidR="00200E29" w:rsidRPr="00071B95" w:rsidTr="00095269">
        <w:trPr>
          <w:gridAfter w:val="1"/>
          <w:cnfStyle w:val="100000000000" w:firstRow="1" w:lastRow="0" w:firstColumn="0" w:lastColumn="0" w:oddVBand="0" w:evenVBand="0" w:oddHBand="0" w:evenHBand="0" w:firstRowFirstColumn="0" w:firstRowLastColumn="0" w:lastRowFirstColumn="0" w:lastRowLastColumn="0"/>
          <w:wAfter w:w="355" w:type="dxa"/>
        </w:trPr>
        <w:tc>
          <w:tcPr>
            <w:tcW w:w="1406" w:type="dxa"/>
            <w:gridSpan w:val="2"/>
          </w:tcPr>
          <w:p w:rsidR="00E02F43" w:rsidRPr="001F5685" w:rsidRDefault="00E02F43" w:rsidP="00200E29">
            <w:pPr>
              <w:pStyle w:val="TableTextEntries"/>
              <w:rPr>
                <w:b w:val="0"/>
              </w:rPr>
            </w:pPr>
            <w:r w:rsidRPr="001F5685">
              <w:rPr>
                <w:b w:val="0"/>
              </w:rPr>
              <w:t>M</w:t>
            </w:r>
            <w:r w:rsidR="00200E29">
              <w:rPr>
                <w:b w:val="0"/>
              </w:rPr>
              <w:t>id-term review</w:t>
            </w:r>
          </w:p>
        </w:tc>
        <w:tc>
          <w:tcPr>
            <w:tcW w:w="998" w:type="dxa"/>
            <w:gridSpan w:val="2"/>
          </w:tcPr>
          <w:p w:rsidR="00E02F43" w:rsidRPr="001F5685" w:rsidRDefault="00E02F43" w:rsidP="00A30593">
            <w:pPr>
              <w:pStyle w:val="TableTextEntries"/>
              <w:rPr>
                <w:b w:val="0"/>
              </w:rPr>
            </w:pPr>
            <w:r w:rsidRPr="001F5685">
              <w:rPr>
                <w:b w:val="0"/>
              </w:rPr>
              <w:t>N/A</w:t>
            </w:r>
          </w:p>
        </w:tc>
        <w:tc>
          <w:tcPr>
            <w:tcW w:w="1450" w:type="dxa"/>
            <w:gridSpan w:val="2"/>
          </w:tcPr>
          <w:p w:rsidR="00E02F43" w:rsidRPr="001F5685" w:rsidRDefault="00650B3E" w:rsidP="00A30593">
            <w:pPr>
              <w:pStyle w:val="TableTextEntries"/>
              <w:rPr>
                <w:b w:val="0"/>
              </w:rPr>
            </w:pPr>
            <w:r>
              <w:rPr>
                <w:b w:val="0"/>
              </w:rPr>
              <w:t>Mid-term r</w:t>
            </w:r>
            <w:r w:rsidR="00E02F43" w:rsidRPr="001F5685">
              <w:rPr>
                <w:b w:val="0"/>
              </w:rPr>
              <w:t>eview</w:t>
            </w:r>
          </w:p>
        </w:tc>
        <w:tc>
          <w:tcPr>
            <w:tcW w:w="1299" w:type="dxa"/>
            <w:gridSpan w:val="2"/>
          </w:tcPr>
          <w:p w:rsidR="00E02F43" w:rsidRPr="001F5685" w:rsidRDefault="00E02F43" w:rsidP="00A30593">
            <w:pPr>
              <w:pStyle w:val="TableTextEntries"/>
              <w:rPr>
                <w:b w:val="0"/>
              </w:rPr>
            </w:pPr>
            <w:r>
              <w:rPr>
                <w:b w:val="0"/>
              </w:rPr>
              <w:t>19 November 2012</w:t>
            </w:r>
          </w:p>
        </w:tc>
        <w:tc>
          <w:tcPr>
            <w:tcW w:w="1071" w:type="dxa"/>
            <w:gridSpan w:val="2"/>
          </w:tcPr>
          <w:p w:rsidR="00E02F43" w:rsidRPr="001F5685" w:rsidRDefault="00E02F43" w:rsidP="00A30593">
            <w:pPr>
              <w:pStyle w:val="TableTextEntries"/>
              <w:rPr>
                <w:b w:val="0"/>
              </w:rPr>
            </w:pPr>
            <w:r>
              <w:rPr>
                <w:b w:val="0"/>
              </w:rPr>
              <w:t>May 2</w:t>
            </w:r>
            <w:r w:rsidRPr="001F5685">
              <w:rPr>
                <w:b w:val="0"/>
              </w:rPr>
              <w:t>013</w:t>
            </w:r>
          </w:p>
        </w:tc>
        <w:tc>
          <w:tcPr>
            <w:tcW w:w="931" w:type="dxa"/>
          </w:tcPr>
          <w:p w:rsidR="00E02F43" w:rsidRPr="001F5685" w:rsidRDefault="00E02F43" w:rsidP="00A30593">
            <w:pPr>
              <w:pStyle w:val="TableTextEntries"/>
              <w:rPr>
                <w:b w:val="0"/>
              </w:rPr>
            </w:pPr>
            <w:r w:rsidRPr="001F5685">
              <w:rPr>
                <w:b w:val="0"/>
              </w:rPr>
              <w:t>N/A</w:t>
            </w:r>
          </w:p>
        </w:tc>
        <w:tc>
          <w:tcPr>
            <w:tcW w:w="831" w:type="dxa"/>
            <w:gridSpan w:val="2"/>
          </w:tcPr>
          <w:p w:rsidR="00E02F43" w:rsidRPr="001F5685" w:rsidRDefault="00457E51" w:rsidP="00A30593">
            <w:pPr>
              <w:pStyle w:val="TableTextEntries"/>
              <w:rPr>
                <w:b w:val="0"/>
              </w:rPr>
            </w:pPr>
            <w:r>
              <w:rPr>
                <w:b w:val="0"/>
              </w:rPr>
              <w:t>No</w:t>
            </w:r>
          </w:p>
        </w:tc>
      </w:tr>
      <w:tr w:rsidR="00200E29" w:rsidRPr="0003292C" w:rsidTr="00095269">
        <w:trPr>
          <w:gridAfter w:val="1"/>
          <w:cnfStyle w:val="100000000000" w:firstRow="1" w:lastRow="0" w:firstColumn="0" w:lastColumn="0" w:oddVBand="0" w:evenVBand="0" w:oddHBand="0" w:evenHBand="0" w:firstRowFirstColumn="0" w:firstRowLastColumn="0" w:lastRowFirstColumn="0" w:lastRowLastColumn="0"/>
          <w:wAfter w:w="355" w:type="dxa"/>
        </w:trPr>
        <w:tc>
          <w:tcPr>
            <w:tcW w:w="1406" w:type="dxa"/>
            <w:gridSpan w:val="2"/>
          </w:tcPr>
          <w:p w:rsidR="00E02F43" w:rsidRPr="0003292C" w:rsidRDefault="00E02F43" w:rsidP="00200E29">
            <w:pPr>
              <w:pStyle w:val="TableTextEntries"/>
              <w:rPr>
                <w:b w:val="0"/>
              </w:rPr>
            </w:pPr>
            <w:r w:rsidRPr="0003292C">
              <w:rPr>
                <w:b w:val="0"/>
              </w:rPr>
              <w:t xml:space="preserve">Regional </w:t>
            </w:r>
            <w:r w:rsidR="00200E29">
              <w:rPr>
                <w:b w:val="0"/>
              </w:rPr>
              <w:t>p</w:t>
            </w:r>
            <w:r w:rsidRPr="0003292C">
              <w:rPr>
                <w:b w:val="0"/>
              </w:rPr>
              <w:t xml:space="preserve">rogram </w:t>
            </w:r>
            <w:r w:rsidR="00200E29">
              <w:rPr>
                <w:b w:val="0"/>
              </w:rPr>
              <w:t>s</w:t>
            </w:r>
            <w:r w:rsidRPr="0003292C">
              <w:rPr>
                <w:b w:val="0"/>
              </w:rPr>
              <w:t>trategy</w:t>
            </w:r>
          </w:p>
        </w:tc>
        <w:tc>
          <w:tcPr>
            <w:tcW w:w="998" w:type="dxa"/>
            <w:gridSpan w:val="2"/>
          </w:tcPr>
          <w:p w:rsidR="00E02F43" w:rsidRPr="0003292C" w:rsidRDefault="00E02F43" w:rsidP="00A30593">
            <w:pPr>
              <w:pStyle w:val="TableTextEntries"/>
              <w:rPr>
                <w:b w:val="0"/>
              </w:rPr>
            </w:pPr>
            <w:r w:rsidRPr="0003292C">
              <w:rPr>
                <w:b w:val="0"/>
              </w:rPr>
              <w:t>N/A</w:t>
            </w:r>
          </w:p>
        </w:tc>
        <w:tc>
          <w:tcPr>
            <w:tcW w:w="1450" w:type="dxa"/>
            <w:gridSpan w:val="2"/>
          </w:tcPr>
          <w:p w:rsidR="00E02F43" w:rsidRPr="0003292C" w:rsidRDefault="00E02F43" w:rsidP="00A30593">
            <w:pPr>
              <w:pStyle w:val="TableTextEntries"/>
              <w:rPr>
                <w:b w:val="0"/>
              </w:rPr>
            </w:pPr>
            <w:r w:rsidRPr="0003292C">
              <w:rPr>
                <w:b w:val="0"/>
              </w:rPr>
              <w:t>Strategy</w:t>
            </w:r>
          </w:p>
        </w:tc>
        <w:tc>
          <w:tcPr>
            <w:tcW w:w="1299" w:type="dxa"/>
            <w:gridSpan w:val="2"/>
          </w:tcPr>
          <w:p w:rsidR="00E02F43" w:rsidRPr="0003292C" w:rsidRDefault="00E02F43" w:rsidP="00A30593">
            <w:pPr>
              <w:pStyle w:val="TableTextEntries"/>
              <w:rPr>
                <w:b w:val="0"/>
              </w:rPr>
            </w:pPr>
            <w:r>
              <w:rPr>
                <w:b w:val="0"/>
              </w:rPr>
              <w:t>March 2013</w:t>
            </w:r>
          </w:p>
        </w:tc>
        <w:tc>
          <w:tcPr>
            <w:tcW w:w="1071" w:type="dxa"/>
            <w:gridSpan w:val="2"/>
          </w:tcPr>
          <w:p w:rsidR="00E02F43" w:rsidRPr="0003292C" w:rsidRDefault="00E02F43" w:rsidP="00A30593">
            <w:pPr>
              <w:pStyle w:val="TableTextEntries"/>
              <w:rPr>
                <w:b w:val="0"/>
              </w:rPr>
            </w:pPr>
            <w:r w:rsidRPr="0003292C">
              <w:rPr>
                <w:b w:val="0"/>
              </w:rPr>
              <w:t>May 2013</w:t>
            </w:r>
          </w:p>
        </w:tc>
        <w:tc>
          <w:tcPr>
            <w:tcW w:w="931" w:type="dxa"/>
          </w:tcPr>
          <w:p w:rsidR="00E02F43" w:rsidRPr="0003292C" w:rsidRDefault="00E02F43" w:rsidP="00A30593">
            <w:pPr>
              <w:pStyle w:val="TableTextEntries"/>
              <w:rPr>
                <w:b w:val="0"/>
              </w:rPr>
            </w:pPr>
            <w:r w:rsidRPr="0003292C">
              <w:rPr>
                <w:b w:val="0"/>
              </w:rPr>
              <w:t>N/A</w:t>
            </w:r>
          </w:p>
        </w:tc>
        <w:tc>
          <w:tcPr>
            <w:tcW w:w="831" w:type="dxa"/>
            <w:gridSpan w:val="2"/>
          </w:tcPr>
          <w:p w:rsidR="00E02F43" w:rsidRPr="0003292C" w:rsidRDefault="00E02F43" w:rsidP="00A30593">
            <w:pPr>
              <w:pStyle w:val="TableTextEntries"/>
              <w:rPr>
                <w:b w:val="0"/>
              </w:rPr>
            </w:pPr>
            <w:r w:rsidRPr="0003292C">
              <w:rPr>
                <w:b w:val="0"/>
              </w:rPr>
              <w:t>Yes</w:t>
            </w:r>
          </w:p>
        </w:tc>
      </w:tr>
    </w:tbl>
    <w:p w:rsidR="00E02F43" w:rsidRPr="00071B95" w:rsidRDefault="00E02F43" w:rsidP="00E02F43">
      <w:pPr>
        <w:rPr>
          <w:b/>
        </w:rPr>
      </w:pPr>
    </w:p>
    <w:p w:rsidR="00E02F43" w:rsidRPr="00071B95" w:rsidRDefault="00E02F43" w:rsidP="006A00A2">
      <w:pPr>
        <w:pStyle w:val="Caption"/>
      </w:pPr>
      <w:r w:rsidRPr="00071B95">
        <w:t xml:space="preserve">List of evaluations planned in the next 12 months </w:t>
      </w:r>
    </w:p>
    <w:tbl>
      <w:tblPr>
        <w:tblStyle w:val="APPR"/>
        <w:tblW w:w="0" w:type="auto"/>
        <w:tblLook w:val="0600" w:firstRow="0" w:lastRow="0" w:firstColumn="0" w:lastColumn="0" w:noHBand="1" w:noVBand="1"/>
      </w:tblPr>
      <w:tblGrid>
        <w:gridCol w:w="1658"/>
        <w:gridCol w:w="28"/>
        <w:gridCol w:w="1624"/>
        <w:gridCol w:w="28"/>
        <w:gridCol w:w="1693"/>
        <w:gridCol w:w="28"/>
        <w:gridCol w:w="1766"/>
        <w:gridCol w:w="28"/>
        <w:gridCol w:w="1754"/>
      </w:tblGrid>
      <w:tr w:rsidR="00E02F43" w:rsidRPr="00071B95" w:rsidTr="00A30593">
        <w:tc>
          <w:tcPr>
            <w:tcW w:w="2601" w:type="dxa"/>
          </w:tcPr>
          <w:p w:rsidR="00E02F43" w:rsidRPr="00071B95" w:rsidRDefault="00E02F43" w:rsidP="00A30593">
            <w:pPr>
              <w:pStyle w:val="TableTextColumnHeading"/>
            </w:pPr>
            <w:r w:rsidRPr="00071B95">
              <w:t>Name of Initiative</w:t>
            </w:r>
          </w:p>
        </w:tc>
        <w:tc>
          <w:tcPr>
            <w:tcW w:w="2530" w:type="dxa"/>
            <w:gridSpan w:val="2"/>
          </w:tcPr>
          <w:p w:rsidR="00E02F43" w:rsidRPr="00071B95" w:rsidRDefault="00610849" w:rsidP="00A30593">
            <w:pPr>
              <w:pStyle w:val="TableTextColumnHeading"/>
            </w:pPr>
            <w:r>
              <w:t>AidW</w:t>
            </w:r>
            <w:r w:rsidRPr="00071B95">
              <w:t>orks</w:t>
            </w:r>
            <w:r w:rsidR="00E02F43" w:rsidRPr="00071B95">
              <w:t xml:space="preserve"> number</w:t>
            </w:r>
          </w:p>
        </w:tc>
        <w:tc>
          <w:tcPr>
            <w:tcW w:w="2612" w:type="dxa"/>
            <w:gridSpan w:val="2"/>
          </w:tcPr>
          <w:p w:rsidR="00E02F43" w:rsidRPr="00071B95" w:rsidRDefault="00E02F43" w:rsidP="00A30593">
            <w:pPr>
              <w:pStyle w:val="TableTextColumnHeading"/>
            </w:pPr>
            <w:r w:rsidRPr="00071B95">
              <w:t>Type of evaluation</w:t>
            </w:r>
          </w:p>
        </w:tc>
        <w:tc>
          <w:tcPr>
            <w:tcW w:w="2612" w:type="dxa"/>
            <w:gridSpan w:val="2"/>
          </w:tcPr>
          <w:p w:rsidR="00E02F43" w:rsidRPr="00071B95" w:rsidRDefault="00E02F43" w:rsidP="00A30593">
            <w:pPr>
              <w:pStyle w:val="TableTextColumnHeading"/>
            </w:pPr>
            <w:r w:rsidRPr="00071B95">
              <w:t>Purpose of evaluation</w:t>
            </w:r>
            <w:r w:rsidRPr="00071B95">
              <w:rPr>
                <w:vertAlign w:val="superscript"/>
              </w:rPr>
              <w:footnoteReference w:id="31"/>
            </w:r>
          </w:p>
        </w:tc>
        <w:tc>
          <w:tcPr>
            <w:tcW w:w="2617" w:type="dxa"/>
            <w:gridSpan w:val="2"/>
          </w:tcPr>
          <w:p w:rsidR="00E02F43" w:rsidRPr="00071B95" w:rsidRDefault="00E02F43" w:rsidP="00A30593">
            <w:pPr>
              <w:pStyle w:val="TableTextColumnHeading"/>
            </w:pPr>
            <w:r w:rsidRPr="00071B95">
              <w:t>Expected completion date</w:t>
            </w:r>
          </w:p>
        </w:tc>
      </w:tr>
      <w:tr w:rsidR="00E02F43" w:rsidRPr="00071B95" w:rsidTr="00A30593">
        <w:tc>
          <w:tcPr>
            <w:tcW w:w="2601" w:type="dxa"/>
            <w:gridSpan w:val="2"/>
          </w:tcPr>
          <w:p w:rsidR="00E02F43" w:rsidRPr="00071B95" w:rsidRDefault="00E02F43" w:rsidP="00A30593">
            <w:pPr>
              <w:pStyle w:val="TableTextEntries"/>
            </w:pPr>
          </w:p>
        </w:tc>
        <w:tc>
          <w:tcPr>
            <w:tcW w:w="2530" w:type="dxa"/>
            <w:gridSpan w:val="2"/>
          </w:tcPr>
          <w:p w:rsidR="00E02F43" w:rsidRPr="00071B95" w:rsidRDefault="00E02F43" w:rsidP="00A30593">
            <w:pPr>
              <w:pStyle w:val="TableTextEntries"/>
            </w:pPr>
          </w:p>
        </w:tc>
        <w:tc>
          <w:tcPr>
            <w:tcW w:w="2612" w:type="dxa"/>
            <w:gridSpan w:val="2"/>
          </w:tcPr>
          <w:p w:rsidR="00E02F43" w:rsidRPr="00071B95" w:rsidRDefault="00E02F43" w:rsidP="00A30593">
            <w:pPr>
              <w:pStyle w:val="TableTextEntries"/>
            </w:pPr>
          </w:p>
        </w:tc>
        <w:tc>
          <w:tcPr>
            <w:tcW w:w="2612" w:type="dxa"/>
            <w:gridSpan w:val="2"/>
          </w:tcPr>
          <w:p w:rsidR="00E02F43" w:rsidRPr="00071B95" w:rsidRDefault="00E02F43" w:rsidP="00A30593">
            <w:pPr>
              <w:pStyle w:val="TableTextEntries"/>
            </w:pPr>
          </w:p>
        </w:tc>
        <w:tc>
          <w:tcPr>
            <w:tcW w:w="2617" w:type="dxa"/>
          </w:tcPr>
          <w:p w:rsidR="00E02F43" w:rsidRPr="00071B95" w:rsidRDefault="00E02F43" w:rsidP="00A30593">
            <w:pPr>
              <w:pStyle w:val="TableTextEntries"/>
            </w:pPr>
          </w:p>
        </w:tc>
      </w:tr>
    </w:tbl>
    <w:p w:rsidR="00E02F43" w:rsidRDefault="00E02F43" w:rsidP="00E02F43">
      <w:pPr>
        <w:rPr>
          <w:b/>
        </w:rPr>
      </w:pPr>
    </w:p>
    <w:p w:rsidR="00384DEC" w:rsidRDefault="00384DEC">
      <w:pPr>
        <w:spacing w:after="200" w:line="276" w:lineRule="auto"/>
        <w:rPr>
          <w:b/>
        </w:rPr>
        <w:sectPr w:rsidR="00384DEC" w:rsidSect="007D3225">
          <w:headerReference w:type="first" r:id="rId21"/>
          <w:footerReference w:type="first" r:id="rId22"/>
          <w:pgSz w:w="11907" w:h="16840" w:code="9"/>
          <w:pgMar w:top="2268" w:right="1701" w:bottom="907" w:left="1871" w:header="851" w:footer="454" w:gutter="0"/>
          <w:cols w:space="720"/>
          <w:docGrid w:linePitch="272"/>
        </w:sectPr>
      </w:pPr>
    </w:p>
    <w:p w:rsidR="002C32E1" w:rsidRPr="00FE4491" w:rsidRDefault="002C32E1" w:rsidP="002C32E1">
      <w:pPr>
        <w:pStyle w:val="Heading1"/>
      </w:pPr>
      <w:r w:rsidRPr="00FE4491">
        <w:lastRenderedPageBreak/>
        <w:t xml:space="preserve">Annex </w:t>
      </w:r>
      <w:r w:rsidR="00384DEC">
        <w:t>D</w:t>
      </w:r>
      <w:r w:rsidRPr="00FE4491">
        <w:t xml:space="preserve"> </w:t>
      </w:r>
    </w:p>
    <w:p w:rsidR="002C32E1" w:rsidRPr="00071B95" w:rsidRDefault="002C32E1" w:rsidP="002C32E1">
      <w:pPr>
        <w:pStyle w:val="Heading2"/>
      </w:pPr>
      <w:r>
        <w:t xml:space="preserve">The Human Development Index </w:t>
      </w:r>
    </w:p>
    <w:p w:rsidR="002C32E1" w:rsidRDefault="002C32E1" w:rsidP="00730025">
      <w:pPr>
        <w:pStyle w:val="BodyText"/>
        <w:rPr>
          <w:lang w:val="en"/>
        </w:rPr>
      </w:pPr>
      <w:r w:rsidRPr="002C1463">
        <w:rPr>
          <w:lang w:val="en"/>
        </w:rPr>
        <w:t xml:space="preserve">The </w:t>
      </w:r>
      <w:r>
        <w:rPr>
          <w:lang w:val="en"/>
        </w:rPr>
        <w:t>H</w:t>
      </w:r>
      <w:r w:rsidR="00F52598">
        <w:rPr>
          <w:lang w:val="en"/>
        </w:rPr>
        <w:t>uman Development Index (H</w:t>
      </w:r>
      <w:r>
        <w:rPr>
          <w:lang w:val="en"/>
        </w:rPr>
        <w:t>DI</w:t>
      </w:r>
      <w:r w:rsidR="00F52598">
        <w:rPr>
          <w:lang w:val="en"/>
        </w:rPr>
        <w:t>)</w:t>
      </w:r>
      <w:r>
        <w:rPr>
          <w:lang w:val="en"/>
        </w:rPr>
        <w:t xml:space="preserve"> represents </w:t>
      </w:r>
      <w:r w:rsidRPr="002C1463">
        <w:rPr>
          <w:lang w:val="en"/>
        </w:rPr>
        <w:t>a broader definition of wellbeing and provides a composite measure of three basic dimensions of human development</w:t>
      </w:r>
      <w:r w:rsidR="00F52598">
        <w:rPr>
          <w:lang w:val="en"/>
        </w:rPr>
        <w:t>—</w:t>
      </w:r>
      <w:r w:rsidRPr="002C1463">
        <w:rPr>
          <w:lang w:val="en"/>
        </w:rPr>
        <w:t>health, education</w:t>
      </w:r>
      <w:r>
        <w:rPr>
          <w:lang w:val="en"/>
        </w:rPr>
        <w:t xml:space="preserve"> and </w:t>
      </w:r>
      <w:r w:rsidRPr="002C1463">
        <w:rPr>
          <w:lang w:val="en"/>
        </w:rPr>
        <w:t xml:space="preserve">income. </w:t>
      </w:r>
      <w:r w:rsidR="00F52598">
        <w:rPr>
          <w:lang w:val="en"/>
        </w:rPr>
        <w:t>This annex provides a detailed country snapshot of Haiti and provides the 2012 HDI ranks (where data exists) for the 15 countries for which Australia provides development assistance.</w:t>
      </w:r>
    </w:p>
    <w:p w:rsidR="00F52598" w:rsidRDefault="00F52598" w:rsidP="00730025">
      <w:pPr>
        <w:pStyle w:val="BodyText"/>
        <w:rPr>
          <w:lang w:val="en"/>
        </w:rPr>
      </w:pPr>
      <w:r>
        <w:rPr>
          <w:b/>
          <w:lang w:val="en"/>
        </w:rPr>
        <w:t>Haiti c</w:t>
      </w:r>
      <w:r w:rsidR="002C32E1" w:rsidRPr="005D579F">
        <w:rPr>
          <w:b/>
          <w:lang w:val="en"/>
        </w:rPr>
        <w:t>ountry snapshot</w:t>
      </w:r>
      <w:r w:rsidR="007043C1">
        <w:rPr>
          <w:b/>
          <w:lang w:val="en"/>
        </w:rPr>
        <w:t xml:space="preserve">. </w:t>
      </w:r>
      <w:r w:rsidR="002C32E1" w:rsidRPr="002C1463">
        <w:rPr>
          <w:lang w:val="en"/>
        </w:rPr>
        <w:t>Between 1980 and 2012 Haiti's</w:t>
      </w:r>
      <w:r w:rsidR="002C32E1">
        <w:rPr>
          <w:lang w:val="en"/>
        </w:rPr>
        <w:t xml:space="preserve"> HDI rose by 1.8</w:t>
      </w:r>
      <w:r>
        <w:rPr>
          <w:lang w:val="en"/>
        </w:rPr>
        <w:t xml:space="preserve"> per cent a year</w:t>
      </w:r>
      <w:r w:rsidR="002C32E1">
        <w:rPr>
          <w:lang w:val="en"/>
        </w:rPr>
        <w:t xml:space="preserve"> from 0.335 to 0.456, which g</w:t>
      </w:r>
      <w:r w:rsidR="001267B5">
        <w:rPr>
          <w:lang w:val="en"/>
        </w:rPr>
        <w:t>a</w:t>
      </w:r>
      <w:r w:rsidR="002C32E1">
        <w:rPr>
          <w:lang w:val="en"/>
        </w:rPr>
        <w:t>ve</w:t>
      </w:r>
      <w:r w:rsidR="001267B5">
        <w:rPr>
          <w:lang w:val="en"/>
        </w:rPr>
        <w:t xml:space="preserve"> Haiti</w:t>
      </w:r>
      <w:r w:rsidR="002C32E1">
        <w:rPr>
          <w:lang w:val="en"/>
        </w:rPr>
        <w:t xml:space="preserve"> </w:t>
      </w:r>
      <w:r w:rsidR="001267B5">
        <w:rPr>
          <w:lang w:val="en"/>
        </w:rPr>
        <w:t xml:space="preserve">a </w:t>
      </w:r>
      <w:r w:rsidR="002C32E1">
        <w:rPr>
          <w:lang w:val="en"/>
        </w:rPr>
        <w:t xml:space="preserve">ranking of 161 out of 187 countries. </w:t>
      </w:r>
      <w:r w:rsidR="007043C1">
        <w:rPr>
          <w:lang w:val="en"/>
        </w:rPr>
        <w:t xml:space="preserve">Although </w:t>
      </w:r>
      <w:r w:rsidR="002C32E1">
        <w:rPr>
          <w:lang w:val="en"/>
        </w:rPr>
        <w:t xml:space="preserve">Haiti’s ranking in 2012 </w:t>
      </w:r>
      <w:r>
        <w:rPr>
          <w:lang w:val="en"/>
        </w:rPr>
        <w:t>rose</w:t>
      </w:r>
      <w:r w:rsidR="002C32E1">
        <w:rPr>
          <w:lang w:val="en"/>
        </w:rPr>
        <w:t xml:space="preserve"> by one (ranked 162 in 2011</w:t>
      </w:r>
      <w:r w:rsidR="007043C1">
        <w:rPr>
          <w:lang w:val="en"/>
        </w:rPr>
        <w:t>,</w:t>
      </w:r>
      <w:r w:rsidR="002C32E1">
        <w:rPr>
          <w:lang w:val="en"/>
        </w:rPr>
        <w:t xml:space="preserve"> other countries are making better progress on the HDI than Haiti</w:t>
      </w:r>
      <w:r w:rsidR="007043C1">
        <w:rPr>
          <w:lang w:val="en"/>
        </w:rPr>
        <w:t xml:space="preserve">, and </w:t>
      </w:r>
      <w:r w:rsidR="002C32E1">
        <w:rPr>
          <w:lang w:val="en"/>
        </w:rPr>
        <w:t xml:space="preserve">Haiti remains in the Low Human Development category. </w:t>
      </w:r>
    </w:p>
    <w:p w:rsidR="00730025" w:rsidRDefault="00730025" w:rsidP="00730025">
      <w:pPr>
        <w:pStyle w:val="BodyText"/>
        <w:rPr>
          <w:lang w:val="en"/>
        </w:rPr>
      </w:pPr>
      <w:r>
        <w:rPr>
          <w:lang w:val="en"/>
        </w:rPr>
        <w:t xml:space="preserve">This table presents the </w:t>
      </w:r>
      <w:r w:rsidRPr="00F46D07">
        <w:rPr>
          <w:lang w:val="en"/>
        </w:rPr>
        <w:t>2012 HDI ranks</w:t>
      </w:r>
      <w:r>
        <w:rPr>
          <w:lang w:val="en"/>
        </w:rPr>
        <w:t xml:space="preserve"> for the 15 countries for which Australia provides development assistance in the Caribbean, as well as a comparison to the ranking of 2011. The rankings are for countries where data exists. The ranking is out of 187 countries. </w:t>
      </w:r>
    </w:p>
    <w:p w:rsidR="006C4432" w:rsidRPr="00730025" w:rsidRDefault="00F52598" w:rsidP="00730025">
      <w:pPr>
        <w:pStyle w:val="Caption"/>
      </w:pPr>
      <w:r w:rsidRPr="007043C1">
        <w:t>Table 1 2012 HDI ranking compared to 2011 HDI rank</w:t>
      </w:r>
      <w:r w:rsidR="00730025">
        <w:t>ings for 15 Caribbean countries</w:t>
      </w:r>
    </w:p>
    <w:tbl>
      <w:tblPr>
        <w:tblStyle w:val="APPR"/>
        <w:tblW w:w="0" w:type="auto"/>
        <w:tblLook w:val="04A0" w:firstRow="1" w:lastRow="0" w:firstColumn="1" w:lastColumn="0" w:noHBand="0" w:noVBand="1"/>
      </w:tblPr>
      <w:tblGrid>
        <w:gridCol w:w="3019"/>
        <w:gridCol w:w="1871"/>
        <w:gridCol w:w="3019"/>
      </w:tblGrid>
      <w:tr w:rsidR="00F52598" w:rsidRPr="000908B9"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52598" w:rsidRPr="00730025" w:rsidRDefault="00F52598" w:rsidP="00730025">
            <w:pPr>
              <w:pStyle w:val="TableTextColumnHeading"/>
              <w:rPr>
                <w:b/>
              </w:rPr>
            </w:pPr>
            <w:r w:rsidRPr="00730025">
              <w:rPr>
                <w:b/>
              </w:rPr>
              <w:t>Country</w:t>
            </w:r>
          </w:p>
        </w:tc>
        <w:tc>
          <w:tcPr>
            <w:tcW w:w="1843" w:type="dxa"/>
          </w:tcPr>
          <w:p w:rsidR="00F52598" w:rsidRPr="00730025" w:rsidRDefault="00F52598" w:rsidP="00730025">
            <w:pPr>
              <w:pStyle w:val="TableTextColumnHeading"/>
              <w:rPr>
                <w:b/>
              </w:rPr>
            </w:pPr>
            <w:r w:rsidRPr="00730025">
              <w:rPr>
                <w:b/>
              </w:rPr>
              <w:t>2012 HDI ranking</w:t>
            </w:r>
          </w:p>
        </w:tc>
        <w:tc>
          <w:tcPr>
            <w:tcW w:w="2977" w:type="dxa"/>
          </w:tcPr>
          <w:p w:rsidR="00F52598" w:rsidRPr="00730025" w:rsidRDefault="00F52598" w:rsidP="00730025">
            <w:pPr>
              <w:pStyle w:val="TableTextColumnHeading"/>
              <w:rPr>
                <w:b/>
              </w:rPr>
            </w:pPr>
            <w:r w:rsidRPr="00730025">
              <w:rPr>
                <w:b/>
              </w:rPr>
              <w:t>Change from 2011 HDI ranking</w:t>
            </w:r>
          </w:p>
        </w:tc>
      </w:tr>
      <w:tr w:rsidR="00F66001" w:rsidRPr="005D579F"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Haiti</w:t>
            </w:r>
          </w:p>
        </w:tc>
        <w:tc>
          <w:tcPr>
            <w:tcW w:w="1843" w:type="dxa"/>
          </w:tcPr>
          <w:p w:rsidR="00F66001" w:rsidRPr="00730025" w:rsidRDefault="00F66001" w:rsidP="00730025">
            <w:pPr>
              <w:pStyle w:val="TableTextEntries"/>
              <w:rPr>
                <w:b w:val="0"/>
              </w:rPr>
            </w:pPr>
            <w:r w:rsidRPr="00730025">
              <w:rPr>
                <w:b w:val="0"/>
              </w:rPr>
              <w:t>161</w:t>
            </w:r>
          </w:p>
        </w:tc>
        <w:tc>
          <w:tcPr>
            <w:tcW w:w="2977" w:type="dxa"/>
          </w:tcPr>
          <w:p w:rsidR="00F66001" w:rsidRPr="00730025" w:rsidRDefault="00F66001" w:rsidP="00730025">
            <w:pPr>
              <w:pStyle w:val="TableTextEntries"/>
              <w:rPr>
                <w:b w:val="0"/>
              </w:rPr>
            </w:pPr>
            <w:r w:rsidRPr="00730025">
              <w:rPr>
                <w:b w:val="0"/>
              </w:rPr>
              <w:t>1 place up</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Suriname</w:t>
            </w:r>
          </w:p>
        </w:tc>
        <w:tc>
          <w:tcPr>
            <w:tcW w:w="1843" w:type="dxa"/>
          </w:tcPr>
          <w:p w:rsidR="00F66001" w:rsidRPr="00730025" w:rsidRDefault="00F66001" w:rsidP="00730025">
            <w:pPr>
              <w:pStyle w:val="TableTextEntries"/>
              <w:rPr>
                <w:b w:val="0"/>
              </w:rPr>
            </w:pPr>
            <w:r w:rsidRPr="00730025">
              <w:rPr>
                <w:b w:val="0"/>
              </w:rPr>
              <w:t>105</w:t>
            </w:r>
          </w:p>
        </w:tc>
        <w:tc>
          <w:tcPr>
            <w:tcW w:w="2977" w:type="dxa"/>
          </w:tcPr>
          <w:p w:rsidR="00F66001" w:rsidRPr="00730025" w:rsidRDefault="00F66001" w:rsidP="00730025">
            <w:pPr>
              <w:pStyle w:val="TableTextEntries"/>
              <w:rPr>
                <w:b w:val="0"/>
              </w:rPr>
            </w:pPr>
            <w:r w:rsidRPr="00730025">
              <w:rPr>
                <w:b w:val="0"/>
              </w:rPr>
              <w:t>Unchanged</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Guyana</w:t>
            </w:r>
          </w:p>
        </w:tc>
        <w:tc>
          <w:tcPr>
            <w:tcW w:w="1843" w:type="dxa"/>
          </w:tcPr>
          <w:p w:rsidR="00F66001" w:rsidRPr="00730025" w:rsidRDefault="00F66001" w:rsidP="00730025">
            <w:pPr>
              <w:pStyle w:val="TableTextEntries"/>
              <w:rPr>
                <w:b w:val="0"/>
              </w:rPr>
            </w:pPr>
            <w:r w:rsidRPr="00730025">
              <w:rPr>
                <w:b w:val="0"/>
              </w:rPr>
              <w:t>118</w:t>
            </w:r>
          </w:p>
        </w:tc>
        <w:tc>
          <w:tcPr>
            <w:tcW w:w="2977" w:type="dxa"/>
          </w:tcPr>
          <w:p w:rsidR="00F66001" w:rsidRPr="00730025" w:rsidRDefault="00F66001" w:rsidP="00730025">
            <w:pPr>
              <w:pStyle w:val="TableTextEntries"/>
              <w:rPr>
                <w:b w:val="0"/>
              </w:rPr>
            </w:pPr>
            <w:r w:rsidRPr="00730025">
              <w:rPr>
                <w:b w:val="0"/>
              </w:rPr>
              <w:t>1 place up</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Dominican Republic</w:t>
            </w:r>
          </w:p>
        </w:tc>
        <w:tc>
          <w:tcPr>
            <w:tcW w:w="1843" w:type="dxa"/>
          </w:tcPr>
          <w:p w:rsidR="00F66001" w:rsidRPr="00730025" w:rsidRDefault="00F66001" w:rsidP="00730025">
            <w:pPr>
              <w:pStyle w:val="TableTextEntries"/>
              <w:rPr>
                <w:b w:val="0"/>
              </w:rPr>
            </w:pPr>
            <w:r w:rsidRPr="00730025">
              <w:rPr>
                <w:b w:val="0"/>
              </w:rPr>
              <w:t>92</w:t>
            </w:r>
          </w:p>
        </w:tc>
        <w:tc>
          <w:tcPr>
            <w:tcW w:w="2977" w:type="dxa"/>
          </w:tcPr>
          <w:p w:rsidR="00F66001" w:rsidRPr="00730025" w:rsidRDefault="00F66001" w:rsidP="00730025">
            <w:pPr>
              <w:pStyle w:val="TableTextEntries"/>
              <w:rPr>
                <w:b w:val="0"/>
              </w:rPr>
            </w:pPr>
            <w:r w:rsidRPr="00730025">
              <w:rPr>
                <w:b w:val="0"/>
              </w:rPr>
              <w:t>2 places up</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Belize</w:t>
            </w:r>
          </w:p>
        </w:tc>
        <w:tc>
          <w:tcPr>
            <w:tcW w:w="1843" w:type="dxa"/>
          </w:tcPr>
          <w:p w:rsidR="00F66001" w:rsidRPr="00730025" w:rsidRDefault="00F66001" w:rsidP="00730025">
            <w:pPr>
              <w:pStyle w:val="TableTextEntries"/>
              <w:rPr>
                <w:b w:val="0"/>
              </w:rPr>
            </w:pPr>
            <w:r w:rsidRPr="00730025">
              <w:rPr>
                <w:b w:val="0"/>
              </w:rPr>
              <w:t>96</w:t>
            </w:r>
          </w:p>
        </w:tc>
        <w:tc>
          <w:tcPr>
            <w:tcW w:w="2977" w:type="dxa"/>
          </w:tcPr>
          <w:p w:rsidR="00F66001" w:rsidRPr="00730025" w:rsidRDefault="00F66001" w:rsidP="00730025">
            <w:pPr>
              <w:pStyle w:val="TableTextEntries"/>
              <w:rPr>
                <w:b w:val="0"/>
              </w:rPr>
            </w:pPr>
            <w:r w:rsidRPr="00730025">
              <w:rPr>
                <w:b w:val="0"/>
              </w:rPr>
              <w:t>Unchanged</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Saint Lucia</w:t>
            </w:r>
          </w:p>
        </w:tc>
        <w:tc>
          <w:tcPr>
            <w:tcW w:w="1843" w:type="dxa"/>
          </w:tcPr>
          <w:p w:rsidR="00F66001" w:rsidRPr="00730025" w:rsidRDefault="00F66001" w:rsidP="00730025">
            <w:pPr>
              <w:pStyle w:val="TableTextEntries"/>
              <w:rPr>
                <w:b w:val="0"/>
              </w:rPr>
            </w:pPr>
            <w:r w:rsidRPr="00730025">
              <w:rPr>
                <w:b w:val="0"/>
              </w:rPr>
              <w:t>88</w:t>
            </w:r>
          </w:p>
        </w:tc>
        <w:tc>
          <w:tcPr>
            <w:tcW w:w="2977" w:type="dxa"/>
          </w:tcPr>
          <w:p w:rsidR="00F66001" w:rsidRPr="00730025" w:rsidRDefault="00F66001" w:rsidP="00730025">
            <w:pPr>
              <w:pStyle w:val="TableTextEntries"/>
              <w:rPr>
                <w:b w:val="0"/>
              </w:rPr>
            </w:pPr>
            <w:r w:rsidRPr="00730025">
              <w:rPr>
                <w:b w:val="0"/>
              </w:rPr>
              <w:t>Unchanged</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Jamaica</w:t>
            </w:r>
          </w:p>
        </w:tc>
        <w:tc>
          <w:tcPr>
            <w:tcW w:w="1843" w:type="dxa"/>
          </w:tcPr>
          <w:p w:rsidR="00F66001" w:rsidRPr="00730025" w:rsidRDefault="00F66001" w:rsidP="00730025">
            <w:pPr>
              <w:pStyle w:val="TableTextEntries"/>
              <w:rPr>
                <w:b w:val="0"/>
              </w:rPr>
            </w:pPr>
            <w:r w:rsidRPr="00730025">
              <w:rPr>
                <w:b w:val="0"/>
              </w:rPr>
              <w:t>85</w:t>
            </w:r>
          </w:p>
        </w:tc>
        <w:tc>
          <w:tcPr>
            <w:tcW w:w="2977" w:type="dxa"/>
          </w:tcPr>
          <w:p w:rsidR="00F66001" w:rsidRPr="00730025" w:rsidRDefault="00F66001" w:rsidP="00730025">
            <w:pPr>
              <w:pStyle w:val="TableTextEntries"/>
              <w:rPr>
                <w:b w:val="0"/>
              </w:rPr>
            </w:pPr>
            <w:r w:rsidRPr="00730025">
              <w:rPr>
                <w:b w:val="0"/>
              </w:rPr>
              <w:t>2 places down</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Saint Vincent and the Grenadines</w:t>
            </w:r>
          </w:p>
        </w:tc>
        <w:tc>
          <w:tcPr>
            <w:tcW w:w="1843" w:type="dxa"/>
          </w:tcPr>
          <w:p w:rsidR="00F66001" w:rsidRPr="00730025" w:rsidRDefault="00F66001" w:rsidP="00730025">
            <w:pPr>
              <w:pStyle w:val="TableTextEntries"/>
              <w:rPr>
                <w:b w:val="0"/>
              </w:rPr>
            </w:pPr>
            <w:r w:rsidRPr="00730025">
              <w:rPr>
                <w:b w:val="0"/>
              </w:rPr>
              <w:t>83</w:t>
            </w:r>
          </w:p>
        </w:tc>
        <w:tc>
          <w:tcPr>
            <w:tcW w:w="2977" w:type="dxa"/>
          </w:tcPr>
          <w:p w:rsidR="00F66001" w:rsidRPr="00730025" w:rsidRDefault="00F66001" w:rsidP="00730025">
            <w:pPr>
              <w:pStyle w:val="TableTextEntries"/>
              <w:rPr>
                <w:b w:val="0"/>
              </w:rPr>
            </w:pPr>
            <w:r w:rsidRPr="00730025">
              <w:rPr>
                <w:b w:val="0"/>
              </w:rPr>
              <w:t>2 places down</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Saint Kitts and Nevis</w:t>
            </w:r>
          </w:p>
        </w:tc>
        <w:tc>
          <w:tcPr>
            <w:tcW w:w="1843" w:type="dxa"/>
          </w:tcPr>
          <w:p w:rsidR="00F66001" w:rsidRPr="00730025" w:rsidRDefault="00F66001" w:rsidP="00730025">
            <w:pPr>
              <w:pStyle w:val="TableTextEntries"/>
              <w:rPr>
                <w:b w:val="0"/>
              </w:rPr>
            </w:pPr>
            <w:r w:rsidRPr="00730025">
              <w:rPr>
                <w:b w:val="0"/>
              </w:rPr>
              <w:t>72</w:t>
            </w:r>
          </w:p>
        </w:tc>
        <w:tc>
          <w:tcPr>
            <w:tcW w:w="2977" w:type="dxa"/>
          </w:tcPr>
          <w:p w:rsidR="00F66001" w:rsidRPr="00730025" w:rsidRDefault="00F66001" w:rsidP="00730025">
            <w:pPr>
              <w:pStyle w:val="TableTextEntries"/>
              <w:rPr>
                <w:b w:val="0"/>
              </w:rPr>
            </w:pPr>
            <w:r w:rsidRPr="00730025">
              <w:rPr>
                <w:b w:val="0"/>
              </w:rPr>
              <w:t>1 place down</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Dominica</w:t>
            </w:r>
          </w:p>
        </w:tc>
        <w:tc>
          <w:tcPr>
            <w:tcW w:w="1843" w:type="dxa"/>
          </w:tcPr>
          <w:p w:rsidR="00F66001" w:rsidRPr="00730025" w:rsidRDefault="00F66001" w:rsidP="00730025">
            <w:pPr>
              <w:pStyle w:val="TableTextEntries"/>
              <w:rPr>
                <w:b w:val="0"/>
              </w:rPr>
            </w:pPr>
            <w:r w:rsidRPr="00730025">
              <w:rPr>
                <w:b w:val="0"/>
              </w:rPr>
              <w:t>72</w:t>
            </w:r>
          </w:p>
        </w:tc>
        <w:tc>
          <w:tcPr>
            <w:tcW w:w="2977" w:type="dxa"/>
          </w:tcPr>
          <w:p w:rsidR="00F66001" w:rsidRPr="00730025" w:rsidRDefault="00F66001" w:rsidP="00730025">
            <w:pPr>
              <w:pStyle w:val="TableTextEntries"/>
              <w:rPr>
                <w:b w:val="0"/>
              </w:rPr>
            </w:pPr>
            <w:r w:rsidRPr="00730025">
              <w:rPr>
                <w:b w:val="0"/>
              </w:rPr>
              <w:t>Unchanged</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Antigua and Barbuda</w:t>
            </w:r>
          </w:p>
        </w:tc>
        <w:tc>
          <w:tcPr>
            <w:tcW w:w="1843" w:type="dxa"/>
          </w:tcPr>
          <w:p w:rsidR="00F66001" w:rsidRPr="00730025" w:rsidRDefault="00F66001" w:rsidP="00730025">
            <w:pPr>
              <w:pStyle w:val="TableTextEntries"/>
              <w:rPr>
                <w:b w:val="0"/>
              </w:rPr>
            </w:pPr>
            <w:r w:rsidRPr="00730025">
              <w:rPr>
                <w:b w:val="0"/>
              </w:rPr>
              <w:t>67</w:t>
            </w:r>
          </w:p>
        </w:tc>
        <w:tc>
          <w:tcPr>
            <w:tcW w:w="2977" w:type="dxa"/>
          </w:tcPr>
          <w:p w:rsidR="00F66001" w:rsidRPr="00730025" w:rsidRDefault="00F66001" w:rsidP="00730025">
            <w:pPr>
              <w:pStyle w:val="TableTextEntries"/>
              <w:rPr>
                <w:b w:val="0"/>
              </w:rPr>
            </w:pPr>
            <w:r w:rsidRPr="00730025">
              <w:rPr>
                <w:b w:val="0"/>
              </w:rPr>
              <w:t>1 place down</w:t>
            </w:r>
          </w:p>
        </w:tc>
      </w:tr>
      <w:tr w:rsidR="00F66001"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 xml:space="preserve">Grenada </w:t>
            </w:r>
          </w:p>
        </w:tc>
        <w:tc>
          <w:tcPr>
            <w:tcW w:w="1843" w:type="dxa"/>
          </w:tcPr>
          <w:p w:rsidR="00F66001" w:rsidRPr="00730025" w:rsidRDefault="00F66001" w:rsidP="00730025">
            <w:pPr>
              <w:pStyle w:val="TableTextEntries"/>
              <w:rPr>
                <w:b w:val="0"/>
              </w:rPr>
            </w:pPr>
            <w:r w:rsidRPr="00730025">
              <w:rPr>
                <w:b w:val="0"/>
              </w:rPr>
              <w:t>63</w:t>
            </w:r>
          </w:p>
        </w:tc>
        <w:tc>
          <w:tcPr>
            <w:tcW w:w="2977" w:type="dxa"/>
          </w:tcPr>
          <w:p w:rsidR="00F66001" w:rsidRPr="00730025" w:rsidRDefault="00F66001" w:rsidP="00730025">
            <w:pPr>
              <w:pStyle w:val="TableTextEntries"/>
              <w:rPr>
                <w:b w:val="0"/>
              </w:rPr>
            </w:pPr>
            <w:r w:rsidRPr="00730025">
              <w:rPr>
                <w:b w:val="0"/>
              </w:rPr>
              <w:t>1 place down</w:t>
            </w:r>
          </w:p>
        </w:tc>
      </w:tr>
      <w:tr w:rsidR="00F66001" w:rsidRPr="005D579F" w:rsidTr="00730025">
        <w:trPr>
          <w:cnfStyle w:val="100000000000" w:firstRow="1" w:lastRow="0" w:firstColumn="0" w:lastColumn="0" w:oddVBand="0" w:evenVBand="0" w:oddHBand="0" w:evenHBand="0" w:firstRowFirstColumn="0" w:firstRowLastColumn="0" w:lastRowFirstColumn="0" w:lastRowLastColumn="0"/>
        </w:trPr>
        <w:tc>
          <w:tcPr>
            <w:tcW w:w="2977" w:type="dxa"/>
          </w:tcPr>
          <w:p w:rsidR="00F66001" w:rsidRPr="00730025" w:rsidRDefault="00F66001" w:rsidP="00730025">
            <w:pPr>
              <w:pStyle w:val="TableTextEntries"/>
              <w:rPr>
                <w:b w:val="0"/>
              </w:rPr>
            </w:pPr>
            <w:r w:rsidRPr="00730025">
              <w:rPr>
                <w:b w:val="0"/>
              </w:rPr>
              <w:t>Cuba</w:t>
            </w:r>
          </w:p>
        </w:tc>
        <w:tc>
          <w:tcPr>
            <w:tcW w:w="1843" w:type="dxa"/>
          </w:tcPr>
          <w:p w:rsidR="00F66001" w:rsidRPr="00730025" w:rsidRDefault="00F66001" w:rsidP="00730025">
            <w:pPr>
              <w:pStyle w:val="TableTextEntries"/>
              <w:rPr>
                <w:b w:val="0"/>
              </w:rPr>
            </w:pPr>
            <w:r w:rsidRPr="00730025">
              <w:rPr>
                <w:b w:val="0"/>
              </w:rPr>
              <w:t>59</w:t>
            </w:r>
          </w:p>
        </w:tc>
        <w:tc>
          <w:tcPr>
            <w:tcW w:w="2977" w:type="dxa"/>
          </w:tcPr>
          <w:p w:rsidR="00F66001" w:rsidRPr="00730025" w:rsidRDefault="00F66001" w:rsidP="00730025">
            <w:pPr>
              <w:pStyle w:val="TableTextEntries"/>
              <w:rPr>
                <w:b w:val="0"/>
              </w:rPr>
            </w:pPr>
            <w:r w:rsidRPr="00730025">
              <w:rPr>
                <w:b w:val="0"/>
              </w:rPr>
              <w:t>Unchanged</w:t>
            </w:r>
          </w:p>
        </w:tc>
      </w:tr>
    </w:tbl>
    <w:p w:rsidR="002C32E1" w:rsidRPr="000E4688" w:rsidRDefault="002C32E1" w:rsidP="002C32E1">
      <w:pPr>
        <w:rPr>
          <w:sz w:val="16"/>
          <w:szCs w:val="16"/>
        </w:rPr>
      </w:pPr>
    </w:p>
    <w:p w:rsidR="002C32E1" w:rsidRDefault="002C32E1" w:rsidP="002C32E1">
      <w:r>
        <w:rPr>
          <w:noProof/>
        </w:rPr>
        <w:lastRenderedPageBreak/>
        <w:drawing>
          <wp:inline distT="0" distB="0" distL="0" distR="0" wp14:anchorId="187D30E4" wp14:editId="15C94A30">
            <wp:extent cx="4262400" cy="2941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 Development Index, Caribbean 2012.PNG"/>
                    <pic:cNvPicPr/>
                  </pic:nvPicPr>
                  <pic:blipFill>
                    <a:blip r:embed="rId23">
                      <a:extLst>
                        <a:ext uri="{28A0092B-C50C-407E-A947-70E740481C1C}">
                          <a14:useLocalDpi xmlns:a14="http://schemas.microsoft.com/office/drawing/2010/main" val="0"/>
                        </a:ext>
                      </a:extLst>
                    </a:blip>
                    <a:stretch>
                      <a:fillRect/>
                    </a:stretch>
                  </pic:blipFill>
                  <pic:spPr>
                    <a:xfrm>
                      <a:off x="0" y="0"/>
                      <a:ext cx="4262400" cy="2941200"/>
                    </a:xfrm>
                    <a:prstGeom prst="rect">
                      <a:avLst/>
                    </a:prstGeom>
                  </pic:spPr>
                </pic:pic>
              </a:graphicData>
            </a:graphic>
          </wp:inline>
        </w:drawing>
      </w:r>
    </w:p>
    <w:p w:rsidR="001139B3" w:rsidRPr="00730025" w:rsidRDefault="002C32E1" w:rsidP="00730025">
      <w:pPr>
        <w:pStyle w:val="Note"/>
        <w:rPr>
          <w:rStyle w:val="Hyperlink"/>
          <w:color w:val="auto"/>
          <w:sz w:val="14"/>
          <w:szCs w:val="14"/>
        </w:rPr>
      </w:pPr>
      <w:r w:rsidRPr="00730025">
        <w:t>Source: International H</w:t>
      </w:r>
      <w:r w:rsidR="000908B9" w:rsidRPr="00730025">
        <w:t>DIs</w:t>
      </w:r>
      <w:r w:rsidRPr="00730025">
        <w:t xml:space="preserve">: </w:t>
      </w:r>
      <w:hyperlink r:id="rId24" w:history="1">
        <w:r w:rsidRPr="00730025">
          <w:rPr>
            <w:rStyle w:val="Hyperlink"/>
            <w:color w:val="auto"/>
            <w:sz w:val="14"/>
            <w:szCs w:val="14"/>
          </w:rPr>
          <w:t>http://hdr.undp.org/en/data/map/</w:t>
        </w:r>
      </w:hyperlink>
    </w:p>
    <w:p w:rsidR="000E4688" w:rsidRDefault="000E4688" w:rsidP="005E4C64">
      <w:pPr>
        <w:pStyle w:val="BodyText"/>
        <w:sectPr w:rsidR="000E4688" w:rsidSect="007D3225">
          <w:footerReference w:type="default" r:id="rId25"/>
          <w:pgSz w:w="11907" w:h="16840" w:code="9"/>
          <w:pgMar w:top="2268" w:right="1701" w:bottom="907" w:left="1871" w:header="851" w:footer="454" w:gutter="0"/>
          <w:cols w:space="720"/>
          <w:docGrid w:linePitch="272"/>
        </w:sectPr>
      </w:pPr>
    </w:p>
    <w:p w:rsidR="001139B3" w:rsidRPr="00F75E3D" w:rsidRDefault="001139B3" w:rsidP="000E4688">
      <w:pPr>
        <w:pStyle w:val="Heading2"/>
        <w:tabs>
          <w:tab w:val="left" w:pos="0"/>
        </w:tabs>
        <w:spacing w:before="0"/>
        <w:ind w:right="0"/>
      </w:pPr>
      <w:r>
        <w:lastRenderedPageBreak/>
        <w:t>Annex E: Caribbean</w:t>
      </w:r>
      <w:r w:rsidR="005E4C64">
        <w:t xml:space="preserve"> progress towards Millennium Development </w:t>
      </w:r>
      <w:r w:rsidRPr="00F75E3D">
        <w:t xml:space="preserve">Goals </w:t>
      </w:r>
    </w:p>
    <w:tbl>
      <w:tblPr>
        <w:tblW w:w="14142" w:type="dxa"/>
        <w:tblLayout w:type="fixed"/>
        <w:tblCellMar>
          <w:left w:w="0" w:type="dxa"/>
          <w:right w:w="0" w:type="dxa"/>
        </w:tblCellMar>
        <w:tblLook w:val="04A0" w:firstRow="1" w:lastRow="0" w:firstColumn="1" w:lastColumn="0" w:noHBand="0" w:noVBand="1"/>
      </w:tblPr>
      <w:tblGrid>
        <w:gridCol w:w="1261"/>
        <w:gridCol w:w="1115"/>
        <w:gridCol w:w="1134"/>
        <w:gridCol w:w="1276"/>
        <w:gridCol w:w="1418"/>
        <w:gridCol w:w="1559"/>
        <w:gridCol w:w="1417"/>
        <w:gridCol w:w="1134"/>
        <w:gridCol w:w="1276"/>
        <w:gridCol w:w="1276"/>
        <w:gridCol w:w="1276"/>
      </w:tblGrid>
      <w:tr w:rsidR="005E4C64" w:rsidRPr="0062271C" w:rsidTr="005E4C64">
        <w:trPr>
          <w:cantSplit/>
          <w:trHeight w:val="719"/>
        </w:trPr>
        <w:tc>
          <w:tcPr>
            <w:tcW w:w="1261"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b/>
                <w:bCs/>
                <w:color w:val="000000"/>
                <w:kern w:val="28"/>
                <w:sz w:val="14"/>
                <w:szCs w:val="14"/>
              </w:rPr>
              <w:t>Caribbean</w:t>
            </w:r>
            <w:r w:rsidRPr="0062271C">
              <w:rPr>
                <w:rFonts w:ascii="Arial Narrow" w:eastAsia="Times New Roman" w:hAnsi="Arial Narrow" w:cs="Arial"/>
                <w:b/>
                <w:bCs/>
                <w:color w:val="000000"/>
                <w:kern w:val="28"/>
                <w:sz w:val="14"/>
                <w:szCs w:val="14"/>
              </w:rPr>
              <w:t xml:space="preserve"> MDG progress</w:t>
            </w:r>
            <w:r w:rsidRPr="0062271C">
              <w:rPr>
                <w:rStyle w:val="EndnoteReference"/>
                <w:rFonts w:ascii="Arial Narrow" w:hAnsi="Arial Narrow" w:cs="Arial"/>
                <w:bCs/>
                <w:color w:val="000000"/>
                <w:sz w:val="14"/>
                <w:szCs w:val="14"/>
              </w:rPr>
              <w:endnoteReference w:id="1"/>
            </w:r>
          </w:p>
        </w:tc>
        <w:tc>
          <w:tcPr>
            <w:tcW w:w="2249" w:type="dxa"/>
            <w:gridSpan w:val="2"/>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1</w:t>
            </w:r>
          </w:p>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color w:val="000000"/>
                <w:kern w:val="28"/>
                <w:sz w:val="14"/>
                <w:szCs w:val="14"/>
              </w:rPr>
              <w:t xml:space="preserve">Eliminate </w:t>
            </w:r>
            <w:r>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 xml:space="preserve">xtreme </w:t>
            </w:r>
            <w:r>
              <w:rPr>
                <w:rFonts w:ascii="Arial Narrow" w:eastAsia="Times New Roman" w:hAnsi="Arial Narrow" w:cs="Arial"/>
                <w:color w:val="000000"/>
                <w:kern w:val="28"/>
                <w:sz w:val="14"/>
                <w:szCs w:val="14"/>
              </w:rPr>
              <w:t>p</w:t>
            </w:r>
            <w:r w:rsidRPr="0062271C">
              <w:rPr>
                <w:rFonts w:ascii="Arial Narrow" w:eastAsia="Times New Roman" w:hAnsi="Arial Narrow" w:cs="Arial"/>
                <w:color w:val="000000"/>
                <w:kern w:val="28"/>
                <w:sz w:val="14"/>
                <w:szCs w:val="14"/>
              </w:rPr>
              <w:t xml:space="preserve">overty and </w:t>
            </w:r>
            <w:r>
              <w:rPr>
                <w:rFonts w:ascii="Arial Narrow" w:eastAsia="Times New Roman" w:hAnsi="Arial Narrow" w:cs="Arial"/>
                <w:color w:val="000000"/>
                <w:kern w:val="28"/>
                <w:sz w:val="14"/>
                <w:szCs w:val="14"/>
              </w:rPr>
              <w:t>h</w:t>
            </w:r>
            <w:r w:rsidRPr="0062271C">
              <w:rPr>
                <w:rFonts w:ascii="Arial Narrow" w:eastAsia="Times New Roman" w:hAnsi="Arial Narrow" w:cs="Arial"/>
                <w:color w:val="000000"/>
                <w:kern w:val="28"/>
                <w:sz w:val="14"/>
                <w:szCs w:val="14"/>
              </w:rPr>
              <w:t>unger</w:t>
            </w:r>
          </w:p>
        </w:tc>
        <w:tc>
          <w:tcPr>
            <w:tcW w:w="1276"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2</w:t>
            </w:r>
          </w:p>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Achieve </w:t>
            </w:r>
            <w:r>
              <w:rPr>
                <w:rFonts w:ascii="Arial Narrow" w:eastAsia="Times New Roman" w:hAnsi="Arial Narrow" w:cs="Arial"/>
                <w:color w:val="000000"/>
                <w:kern w:val="28"/>
                <w:sz w:val="14"/>
                <w:szCs w:val="14"/>
              </w:rPr>
              <w:t>u</w:t>
            </w:r>
            <w:r w:rsidRPr="0062271C">
              <w:rPr>
                <w:rFonts w:ascii="Arial Narrow" w:eastAsia="Times New Roman" w:hAnsi="Arial Narrow" w:cs="Arial"/>
                <w:color w:val="000000"/>
                <w:kern w:val="28"/>
                <w:sz w:val="14"/>
                <w:szCs w:val="14"/>
              </w:rPr>
              <w:t xml:space="preserve">niversal </w:t>
            </w:r>
            <w:r>
              <w:rPr>
                <w:rFonts w:ascii="Arial Narrow" w:eastAsia="Times New Roman" w:hAnsi="Arial Narrow" w:cs="Arial"/>
                <w:color w:val="000000"/>
                <w:kern w:val="28"/>
                <w:sz w:val="14"/>
                <w:szCs w:val="14"/>
              </w:rPr>
              <w:t>p</w:t>
            </w:r>
            <w:r w:rsidRPr="0062271C">
              <w:rPr>
                <w:rFonts w:ascii="Arial Narrow" w:eastAsia="Times New Roman" w:hAnsi="Arial Narrow" w:cs="Arial"/>
                <w:color w:val="000000"/>
                <w:kern w:val="28"/>
                <w:sz w:val="14"/>
                <w:szCs w:val="14"/>
              </w:rPr>
              <w:t xml:space="preserve">rimary </w:t>
            </w:r>
            <w:r>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ducation</w:t>
            </w:r>
          </w:p>
        </w:tc>
        <w:tc>
          <w:tcPr>
            <w:tcW w:w="1418"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3</w:t>
            </w:r>
          </w:p>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Promote </w:t>
            </w:r>
            <w:r>
              <w:rPr>
                <w:rFonts w:ascii="Arial Narrow" w:eastAsia="Times New Roman" w:hAnsi="Arial Narrow" w:cs="Arial"/>
                <w:color w:val="000000"/>
                <w:kern w:val="28"/>
                <w:sz w:val="14"/>
                <w:szCs w:val="14"/>
              </w:rPr>
              <w:t>g</w:t>
            </w:r>
            <w:r w:rsidRPr="0062271C">
              <w:rPr>
                <w:rFonts w:ascii="Arial Narrow" w:eastAsia="Times New Roman" w:hAnsi="Arial Narrow" w:cs="Arial"/>
                <w:color w:val="000000"/>
                <w:kern w:val="28"/>
                <w:sz w:val="14"/>
                <w:szCs w:val="14"/>
              </w:rPr>
              <w:t xml:space="preserve">ender </w:t>
            </w:r>
            <w:r>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 xml:space="preserve">quality and </w:t>
            </w:r>
            <w:r>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 xml:space="preserve">mpower </w:t>
            </w:r>
            <w:r>
              <w:rPr>
                <w:rFonts w:ascii="Arial Narrow" w:eastAsia="Times New Roman" w:hAnsi="Arial Narrow" w:cs="Arial"/>
                <w:color w:val="000000"/>
                <w:kern w:val="28"/>
                <w:sz w:val="14"/>
                <w:szCs w:val="14"/>
              </w:rPr>
              <w:t>w</w:t>
            </w:r>
            <w:r w:rsidRPr="0062271C">
              <w:rPr>
                <w:rFonts w:ascii="Arial Narrow" w:eastAsia="Times New Roman" w:hAnsi="Arial Narrow" w:cs="Arial"/>
                <w:color w:val="000000"/>
                <w:kern w:val="28"/>
                <w:sz w:val="14"/>
                <w:szCs w:val="14"/>
              </w:rPr>
              <w:t>omen</w:t>
            </w:r>
          </w:p>
        </w:tc>
        <w:tc>
          <w:tcPr>
            <w:tcW w:w="1559"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4</w:t>
            </w:r>
          </w:p>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Reduce </w:t>
            </w:r>
            <w:r>
              <w:rPr>
                <w:rFonts w:ascii="Arial Narrow" w:eastAsia="Times New Roman" w:hAnsi="Arial Narrow" w:cs="Arial"/>
                <w:color w:val="000000"/>
                <w:kern w:val="28"/>
                <w:sz w:val="14"/>
                <w:szCs w:val="14"/>
              </w:rPr>
              <w:t>c</w:t>
            </w:r>
            <w:r w:rsidRPr="0062271C">
              <w:rPr>
                <w:rFonts w:ascii="Arial Narrow" w:eastAsia="Times New Roman" w:hAnsi="Arial Narrow" w:cs="Arial"/>
                <w:color w:val="000000"/>
                <w:kern w:val="28"/>
                <w:sz w:val="14"/>
                <w:szCs w:val="14"/>
              </w:rPr>
              <w:t xml:space="preserve">hild </w:t>
            </w:r>
            <w:r>
              <w:rPr>
                <w:rFonts w:ascii="Arial Narrow" w:eastAsia="Times New Roman" w:hAnsi="Arial Narrow" w:cs="Arial"/>
                <w:color w:val="000000"/>
                <w:kern w:val="28"/>
                <w:sz w:val="14"/>
                <w:szCs w:val="14"/>
              </w:rPr>
              <w:t>m</w:t>
            </w:r>
            <w:r w:rsidRPr="0062271C">
              <w:rPr>
                <w:rFonts w:ascii="Arial Narrow" w:eastAsia="Times New Roman" w:hAnsi="Arial Narrow" w:cs="Arial"/>
                <w:color w:val="000000"/>
                <w:kern w:val="28"/>
                <w:sz w:val="14"/>
                <w:szCs w:val="14"/>
              </w:rPr>
              <w:t>ortality</w:t>
            </w:r>
          </w:p>
        </w:tc>
        <w:tc>
          <w:tcPr>
            <w:tcW w:w="1417"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5</w:t>
            </w:r>
          </w:p>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Improve </w:t>
            </w:r>
            <w:r>
              <w:rPr>
                <w:rFonts w:ascii="Arial Narrow" w:eastAsia="Times New Roman" w:hAnsi="Arial Narrow" w:cs="Arial"/>
                <w:color w:val="000000"/>
                <w:kern w:val="28"/>
                <w:sz w:val="14"/>
                <w:szCs w:val="14"/>
              </w:rPr>
              <w:t>m</w:t>
            </w:r>
            <w:r w:rsidRPr="0062271C">
              <w:rPr>
                <w:rFonts w:ascii="Arial Narrow" w:eastAsia="Times New Roman" w:hAnsi="Arial Narrow" w:cs="Arial"/>
                <w:color w:val="000000"/>
                <w:kern w:val="28"/>
                <w:sz w:val="14"/>
                <w:szCs w:val="14"/>
              </w:rPr>
              <w:t xml:space="preserve">aternal </w:t>
            </w:r>
            <w:r>
              <w:rPr>
                <w:rFonts w:ascii="Arial Narrow" w:eastAsia="Times New Roman" w:hAnsi="Arial Narrow" w:cs="Arial"/>
                <w:color w:val="000000"/>
                <w:kern w:val="28"/>
                <w:sz w:val="14"/>
                <w:szCs w:val="14"/>
              </w:rPr>
              <w:t>h</w:t>
            </w:r>
            <w:r w:rsidRPr="0062271C">
              <w:rPr>
                <w:rFonts w:ascii="Arial Narrow" w:eastAsia="Times New Roman" w:hAnsi="Arial Narrow" w:cs="Arial"/>
                <w:color w:val="000000"/>
                <w:kern w:val="28"/>
                <w:sz w:val="14"/>
                <w:szCs w:val="14"/>
              </w:rPr>
              <w:t>ealth</w:t>
            </w:r>
          </w:p>
        </w:tc>
        <w:tc>
          <w:tcPr>
            <w:tcW w:w="1134"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6</w:t>
            </w:r>
          </w:p>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Combat HIV/AIDS</w:t>
            </w:r>
            <w:r>
              <w:rPr>
                <w:rFonts w:ascii="Arial Narrow" w:eastAsia="Times New Roman" w:hAnsi="Arial Narrow" w:cs="Arial"/>
                <w:color w:val="000000"/>
                <w:kern w:val="28"/>
                <w:sz w:val="14"/>
                <w:szCs w:val="14"/>
              </w:rPr>
              <w:t>, malaria</w:t>
            </w:r>
            <w:r w:rsidRPr="0062271C">
              <w:rPr>
                <w:rFonts w:ascii="Arial Narrow" w:eastAsia="Times New Roman" w:hAnsi="Arial Narrow" w:cs="Arial"/>
                <w:color w:val="000000"/>
                <w:kern w:val="28"/>
                <w:sz w:val="14"/>
                <w:szCs w:val="14"/>
              </w:rPr>
              <w:t xml:space="preserve"> and </w:t>
            </w:r>
            <w:r>
              <w:rPr>
                <w:rFonts w:ascii="Arial Narrow" w:eastAsia="Times New Roman" w:hAnsi="Arial Narrow" w:cs="Arial"/>
                <w:color w:val="000000"/>
                <w:kern w:val="28"/>
                <w:sz w:val="14"/>
                <w:szCs w:val="14"/>
              </w:rPr>
              <w:t>o</w:t>
            </w:r>
            <w:r w:rsidRPr="0062271C">
              <w:rPr>
                <w:rFonts w:ascii="Arial Narrow" w:eastAsia="Times New Roman" w:hAnsi="Arial Narrow" w:cs="Arial"/>
                <w:color w:val="000000"/>
                <w:kern w:val="28"/>
                <w:sz w:val="14"/>
                <w:szCs w:val="14"/>
              </w:rPr>
              <w:t xml:space="preserve">ther </w:t>
            </w:r>
            <w:r>
              <w:rPr>
                <w:rFonts w:ascii="Arial Narrow" w:eastAsia="Times New Roman" w:hAnsi="Arial Narrow" w:cs="Arial"/>
                <w:color w:val="000000"/>
                <w:kern w:val="28"/>
                <w:sz w:val="14"/>
                <w:szCs w:val="14"/>
              </w:rPr>
              <w:t>d</w:t>
            </w:r>
            <w:r w:rsidRPr="0062271C">
              <w:rPr>
                <w:rFonts w:ascii="Arial Narrow" w:eastAsia="Times New Roman" w:hAnsi="Arial Narrow" w:cs="Arial"/>
                <w:color w:val="000000"/>
                <w:kern w:val="28"/>
                <w:sz w:val="14"/>
                <w:szCs w:val="14"/>
              </w:rPr>
              <w:t>iseases</w:t>
            </w:r>
          </w:p>
        </w:tc>
        <w:tc>
          <w:tcPr>
            <w:tcW w:w="2552" w:type="dxa"/>
            <w:gridSpan w:val="2"/>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7</w:t>
            </w:r>
          </w:p>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color w:val="000000"/>
                <w:kern w:val="28"/>
                <w:sz w:val="14"/>
                <w:szCs w:val="14"/>
              </w:rPr>
              <w:t xml:space="preserve">Ensure </w:t>
            </w:r>
            <w:r>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 xml:space="preserve">nvironmental </w:t>
            </w:r>
            <w:r>
              <w:rPr>
                <w:rFonts w:ascii="Arial Narrow" w:eastAsia="Times New Roman" w:hAnsi="Arial Narrow" w:cs="Arial"/>
                <w:color w:val="000000"/>
                <w:kern w:val="28"/>
                <w:sz w:val="14"/>
                <w:szCs w:val="14"/>
              </w:rPr>
              <w:t>s</w:t>
            </w:r>
            <w:r w:rsidRPr="0062271C">
              <w:rPr>
                <w:rFonts w:ascii="Arial Narrow" w:eastAsia="Times New Roman" w:hAnsi="Arial Narrow" w:cs="Arial"/>
                <w:color w:val="000000"/>
                <w:kern w:val="28"/>
                <w:sz w:val="14"/>
                <w:szCs w:val="14"/>
              </w:rPr>
              <w:t>ustainability</w:t>
            </w:r>
          </w:p>
        </w:tc>
        <w:tc>
          <w:tcPr>
            <w:tcW w:w="1276"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8</w:t>
            </w:r>
          </w:p>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Develop a </w:t>
            </w:r>
            <w:r>
              <w:rPr>
                <w:rFonts w:ascii="Arial Narrow" w:eastAsia="Times New Roman" w:hAnsi="Arial Narrow" w:cs="Arial"/>
                <w:color w:val="000000"/>
                <w:kern w:val="28"/>
                <w:sz w:val="14"/>
                <w:szCs w:val="14"/>
              </w:rPr>
              <w:t>g</w:t>
            </w:r>
            <w:r w:rsidRPr="0062271C">
              <w:rPr>
                <w:rFonts w:ascii="Arial Narrow" w:eastAsia="Times New Roman" w:hAnsi="Arial Narrow" w:cs="Arial"/>
                <w:color w:val="000000"/>
                <w:kern w:val="28"/>
                <w:sz w:val="14"/>
                <w:szCs w:val="14"/>
              </w:rPr>
              <w:t xml:space="preserve">lobal </w:t>
            </w:r>
            <w:r>
              <w:rPr>
                <w:rFonts w:ascii="Arial Narrow" w:eastAsia="Times New Roman" w:hAnsi="Arial Narrow" w:cs="Arial"/>
                <w:color w:val="000000"/>
                <w:kern w:val="28"/>
                <w:sz w:val="14"/>
                <w:szCs w:val="14"/>
              </w:rPr>
              <w:t>p</w:t>
            </w:r>
            <w:r w:rsidRPr="0062271C">
              <w:rPr>
                <w:rFonts w:ascii="Arial Narrow" w:eastAsia="Times New Roman" w:hAnsi="Arial Narrow" w:cs="Arial"/>
                <w:color w:val="000000"/>
                <w:kern w:val="28"/>
                <w:sz w:val="14"/>
                <w:szCs w:val="14"/>
              </w:rPr>
              <w:t xml:space="preserve">artnership for </w:t>
            </w:r>
            <w:r>
              <w:rPr>
                <w:rFonts w:ascii="Arial Narrow" w:eastAsia="Times New Roman" w:hAnsi="Arial Narrow" w:cs="Arial"/>
                <w:color w:val="000000"/>
                <w:kern w:val="28"/>
                <w:sz w:val="14"/>
                <w:szCs w:val="14"/>
              </w:rPr>
              <w:t>d</w:t>
            </w:r>
            <w:r w:rsidRPr="0062271C">
              <w:rPr>
                <w:rFonts w:ascii="Arial Narrow" w:eastAsia="Times New Roman" w:hAnsi="Arial Narrow" w:cs="Arial"/>
                <w:color w:val="000000"/>
                <w:kern w:val="28"/>
                <w:sz w:val="14"/>
                <w:szCs w:val="14"/>
              </w:rPr>
              <w:t>evelopment</w:t>
            </w:r>
          </w:p>
        </w:tc>
      </w:tr>
      <w:tr w:rsidR="005E4C64" w:rsidRPr="0062271C" w:rsidTr="005E4C64">
        <w:trPr>
          <w:cantSplit/>
          <w:trHeight w:val="461"/>
        </w:trPr>
        <w:tc>
          <w:tcPr>
            <w:tcW w:w="126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p>
        </w:tc>
        <w:tc>
          <w:tcPr>
            <w:tcW w:w="11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 xml:space="preserve">Extreme </w:t>
            </w:r>
            <w:r>
              <w:rPr>
                <w:rFonts w:ascii="Arial Narrow" w:eastAsia="Times New Roman" w:hAnsi="Arial Narrow" w:cs="Arial"/>
                <w:b/>
                <w:bCs/>
                <w:color w:val="000000"/>
                <w:kern w:val="28"/>
                <w:sz w:val="14"/>
                <w:szCs w:val="14"/>
              </w:rPr>
              <w:t>p</w:t>
            </w:r>
            <w:r w:rsidRPr="0062271C">
              <w:rPr>
                <w:rFonts w:ascii="Arial Narrow" w:eastAsia="Times New Roman" w:hAnsi="Arial Narrow" w:cs="Arial"/>
                <w:b/>
                <w:bCs/>
                <w:color w:val="000000"/>
                <w:kern w:val="28"/>
                <w:sz w:val="14"/>
                <w:szCs w:val="14"/>
              </w:rPr>
              <w:t>overty</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Hunger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Completion of primary education</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Women in national parliaments</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Child mortality</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Maternal mortality</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Combat HIV/AIDS</w:t>
            </w:r>
            <w:r>
              <w:rPr>
                <w:rFonts w:ascii="Arial Narrow" w:eastAsia="Times New Roman" w:hAnsi="Arial Narrow" w:cs="Arial"/>
                <w:b/>
                <w:bCs/>
                <w:color w:val="000000"/>
                <w:kern w:val="28"/>
                <w:sz w:val="14"/>
                <w:szCs w:val="14"/>
              </w:rPr>
              <w:t>, malaria</w:t>
            </w:r>
            <w:r w:rsidRPr="0062271C">
              <w:rPr>
                <w:rFonts w:ascii="Arial Narrow" w:eastAsia="Times New Roman" w:hAnsi="Arial Narrow" w:cs="Arial"/>
                <w:b/>
                <w:bCs/>
                <w:color w:val="000000"/>
                <w:kern w:val="28"/>
                <w:sz w:val="14"/>
                <w:szCs w:val="14"/>
              </w:rPr>
              <w:t xml:space="preserve"> and </w:t>
            </w:r>
            <w:r>
              <w:rPr>
                <w:rFonts w:ascii="Arial Narrow" w:eastAsia="Times New Roman" w:hAnsi="Arial Narrow" w:cs="Arial"/>
                <w:b/>
                <w:bCs/>
                <w:color w:val="000000"/>
                <w:kern w:val="28"/>
                <w:sz w:val="14"/>
                <w:szCs w:val="14"/>
              </w:rPr>
              <w:t>o</w:t>
            </w:r>
            <w:r w:rsidRPr="0062271C">
              <w:rPr>
                <w:rFonts w:ascii="Arial Narrow" w:eastAsia="Times New Roman" w:hAnsi="Arial Narrow" w:cs="Arial"/>
                <w:b/>
                <w:bCs/>
                <w:color w:val="000000"/>
                <w:kern w:val="28"/>
                <w:sz w:val="14"/>
                <w:szCs w:val="14"/>
              </w:rPr>
              <w:t xml:space="preserve">ther </w:t>
            </w:r>
            <w:r>
              <w:rPr>
                <w:rFonts w:ascii="Arial Narrow" w:eastAsia="Times New Roman" w:hAnsi="Arial Narrow" w:cs="Arial"/>
                <w:b/>
                <w:bCs/>
                <w:color w:val="000000"/>
                <w:kern w:val="28"/>
                <w:sz w:val="14"/>
                <w:szCs w:val="14"/>
              </w:rPr>
              <w:t>d</w:t>
            </w:r>
            <w:r w:rsidRPr="0062271C">
              <w:rPr>
                <w:rFonts w:ascii="Arial Narrow" w:eastAsia="Times New Roman" w:hAnsi="Arial Narrow" w:cs="Arial"/>
                <w:b/>
                <w:bCs/>
                <w:color w:val="000000"/>
                <w:kern w:val="28"/>
                <w:sz w:val="14"/>
                <w:szCs w:val="14"/>
              </w:rPr>
              <w:t>iseases</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Access to safe drinking water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Access to sanitation</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Internet users</w:t>
            </w:r>
          </w:p>
        </w:tc>
      </w:tr>
      <w:tr w:rsidR="005E4C64" w:rsidRPr="0062271C" w:rsidTr="005E4C64">
        <w:trPr>
          <w:cantSplit/>
          <w:trHeight w:val="126"/>
        </w:trPr>
        <w:tc>
          <w:tcPr>
            <w:tcW w:w="1261" w:type="dxa"/>
            <w:tcBorders>
              <w:top w:val="single" w:sz="4" w:space="0" w:color="auto"/>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b/>
                <w:bCs/>
                <w:color w:val="000000"/>
                <w:kern w:val="28"/>
                <w:sz w:val="14"/>
                <w:szCs w:val="14"/>
              </w:rPr>
              <w:t xml:space="preserve">Antigua and </w:t>
            </w:r>
            <w:proofErr w:type="spellStart"/>
            <w:r>
              <w:rPr>
                <w:rFonts w:ascii="Arial Narrow" w:eastAsia="Times New Roman" w:hAnsi="Arial Narrow" w:cs="Arial"/>
                <w:b/>
                <w:bCs/>
                <w:color w:val="000000"/>
                <w:kern w:val="28"/>
                <w:sz w:val="14"/>
                <w:szCs w:val="14"/>
              </w:rPr>
              <w:t>Babuda</w:t>
            </w:r>
            <w:proofErr w:type="spellEnd"/>
          </w:p>
        </w:tc>
        <w:tc>
          <w:tcPr>
            <w:tcW w:w="1115" w:type="dxa"/>
            <w:tcBorders>
              <w:top w:val="single" w:sz="4" w:space="0" w:color="auto"/>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4" w:space="0" w:color="auto"/>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4" w:space="0" w:color="auto"/>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418" w:type="dxa"/>
            <w:tcBorders>
              <w:top w:val="single" w:sz="4" w:space="0" w:color="auto"/>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 </w:t>
            </w:r>
          </w:p>
        </w:tc>
        <w:tc>
          <w:tcPr>
            <w:tcW w:w="1559"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p>
        </w:tc>
        <w:tc>
          <w:tcPr>
            <w:tcW w:w="1417"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p>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4" w:space="0" w:color="auto"/>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121"/>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b/>
                <w:bCs/>
                <w:color w:val="000000"/>
                <w:kern w:val="28"/>
                <w:sz w:val="14"/>
                <w:szCs w:val="14"/>
              </w:rPr>
              <w:t>Belize</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On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Default="005E4C64" w:rsidP="005E4C64">
            <w:pPr>
              <w:jc w:val="center"/>
            </w:pPr>
            <w:r w:rsidRPr="00FF54CB">
              <w:rPr>
                <w:rFonts w:ascii="Arial Narrow" w:eastAsia="Times New Roman" w:hAnsi="Arial Narrow" w:cs="Arial"/>
                <w:color w:val="000000"/>
                <w:kern w:val="28"/>
                <w:sz w:val="14"/>
                <w:szCs w:val="14"/>
              </w:rPr>
              <w:t xml:space="preserve">On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 track</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 xml:space="preserve">Off </w:t>
            </w:r>
            <w:r w:rsidRPr="0062271C">
              <w:rPr>
                <w:rFonts w:ascii="Arial Narrow" w:eastAsia="Times New Roman" w:hAnsi="Arial Narrow" w:cs="Arial"/>
                <w:color w:val="000000"/>
                <w:kern w:val="28"/>
                <w:sz w:val="14"/>
                <w:szCs w:val="14"/>
              </w:rPr>
              <w:t>track</w:t>
            </w:r>
          </w:p>
        </w:tc>
      </w:tr>
      <w:tr w:rsidR="005E4C64" w:rsidRPr="0062271C" w:rsidTr="005E4C64">
        <w:trPr>
          <w:cantSplit/>
          <w:trHeight w:val="80"/>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b/>
                <w:bCs/>
                <w:color w:val="000000"/>
                <w:kern w:val="28"/>
                <w:sz w:val="14"/>
                <w:szCs w:val="14"/>
              </w:rPr>
            </w:pPr>
            <w:r>
              <w:rPr>
                <w:rFonts w:ascii="Arial Narrow" w:eastAsia="Times New Roman" w:hAnsi="Arial Narrow" w:cs="Arial"/>
                <w:b/>
                <w:bCs/>
                <w:color w:val="000000"/>
                <w:kern w:val="28"/>
                <w:sz w:val="14"/>
                <w:szCs w:val="14"/>
              </w:rPr>
              <w:t>Cuba</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On track</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On track</w:t>
            </w:r>
          </w:p>
        </w:tc>
        <w:tc>
          <w:tcPr>
            <w:tcW w:w="1559"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Default="005E4C64" w:rsidP="005E4C64">
            <w:pPr>
              <w:jc w:val="center"/>
            </w:pPr>
            <w:r w:rsidRPr="00FF54CB">
              <w:rPr>
                <w:rFonts w:ascii="Arial Narrow" w:eastAsia="Times New Roman" w:hAnsi="Arial Narrow" w:cs="Arial"/>
                <w:color w:val="000000"/>
                <w:kern w:val="28"/>
                <w:sz w:val="14"/>
                <w:szCs w:val="14"/>
              </w:rPr>
              <w:t xml:space="preserve">On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On track</w:t>
            </w:r>
          </w:p>
        </w:tc>
      </w:tr>
      <w:tr w:rsidR="005E4C64" w:rsidRPr="0062271C" w:rsidTr="005E4C64">
        <w:trPr>
          <w:cantSplit/>
          <w:trHeight w:val="137"/>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Dominica</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On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Default="005E4C64" w:rsidP="005E4C64">
            <w:pPr>
              <w:jc w:val="center"/>
            </w:pPr>
            <w:r>
              <w:rPr>
                <w:rFonts w:ascii="Arial Narrow" w:eastAsia="Times New Roman" w:hAnsi="Arial Narrow" w:cs="Arial"/>
                <w:color w:val="000000"/>
                <w:kern w:val="28"/>
                <w:sz w:val="14"/>
                <w:szCs w:val="14"/>
              </w:rPr>
              <w:t>Off</w:t>
            </w:r>
            <w:r w:rsidRPr="00FF54CB">
              <w:rPr>
                <w:rFonts w:ascii="Arial Narrow" w:eastAsia="Times New Roman" w:hAnsi="Arial Narrow" w:cs="Arial"/>
                <w:color w:val="000000"/>
                <w:kern w:val="28"/>
                <w:sz w:val="14"/>
                <w:szCs w:val="14"/>
              </w:rPr>
              <w:t xml:space="preserve"> track </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w:t>
            </w:r>
          </w:p>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195"/>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Dominican Republic</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On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Default="005E4C64" w:rsidP="005E4C64">
            <w:pPr>
              <w:jc w:val="center"/>
            </w:pPr>
            <w:r>
              <w:rPr>
                <w:rFonts w:ascii="Arial Narrow" w:eastAsia="Times New Roman" w:hAnsi="Arial Narrow" w:cs="Arial"/>
                <w:color w:val="000000"/>
                <w:kern w:val="28"/>
                <w:sz w:val="14"/>
                <w:szCs w:val="14"/>
              </w:rPr>
              <w:t>Off track</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 track</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157"/>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Grenada</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On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003D3655">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Default="005E4C64" w:rsidP="005E4C64">
            <w:pPr>
              <w:jc w:val="center"/>
            </w:pPr>
            <w:r>
              <w:rPr>
                <w:rFonts w:ascii="Arial Narrow" w:eastAsia="Times New Roman" w:hAnsi="Arial Narrow" w:cs="Arial"/>
                <w:color w:val="000000"/>
                <w:kern w:val="28"/>
                <w:sz w:val="14"/>
                <w:szCs w:val="14"/>
              </w:rPr>
              <w:t>Off</w:t>
            </w:r>
            <w:r w:rsidRPr="00991317">
              <w:rPr>
                <w:rFonts w:ascii="Arial Narrow" w:eastAsia="Times New Roman" w:hAnsi="Arial Narrow" w:cs="Arial"/>
                <w:color w:val="000000"/>
                <w:kern w:val="28"/>
                <w:sz w:val="14"/>
                <w:szCs w:val="14"/>
              </w:rPr>
              <w:t xml:space="preserve">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 track</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64"/>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Guyana</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Off track</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On track</w:t>
            </w:r>
          </w:p>
        </w:tc>
        <w:tc>
          <w:tcPr>
            <w:tcW w:w="1559"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Default="005E4C64" w:rsidP="005E4C64">
            <w:pPr>
              <w:jc w:val="center"/>
            </w:pPr>
            <w:r>
              <w:rPr>
                <w:rFonts w:ascii="Arial Narrow" w:eastAsia="Times New Roman" w:hAnsi="Arial Narrow" w:cs="Arial"/>
                <w:color w:val="000000"/>
                <w:kern w:val="28"/>
                <w:sz w:val="14"/>
                <w:szCs w:val="14"/>
              </w:rPr>
              <w:t>Off</w:t>
            </w:r>
            <w:r w:rsidRPr="00991317">
              <w:rPr>
                <w:rFonts w:ascii="Arial Narrow" w:eastAsia="Times New Roman" w:hAnsi="Arial Narrow" w:cs="Arial"/>
                <w:color w:val="000000"/>
                <w:kern w:val="28"/>
                <w:sz w:val="14"/>
                <w:szCs w:val="14"/>
              </w:rPr>
              <w:t xml:space="preserve">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 track</w:t>
            </w:r>
            <w:r w:rsidRPr="0062271C">
              <w:rPr>
                <w:rFonts w:ascii="Arial Narrow" w:eastAsia="Times New Roman" w:hAnsi="Arial Narrow" w:cs="Arial"/>
                <w:color w:val="000000"/>
                <w:kern w:val="28"/>
                <w:sz w:val="14"/>
                <w:szCs w:val="1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76"/>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Haiti</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Mixed</w:t>
            </w:r>
            <w:r w:rsidRPr="0062271C">
              <w:rPr>
                <w:rFonts w:ascii="Arial Narrow" w:eastAsia="Times New Roman" w:hAnsi="Arial Narrow" w:cs="Arial"/>
                <w:color w:val="000000"/>
                <w:kern w:val="28"/>
                <w:sz w:val="14"/>
                <w:szCs w:val="1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 track</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Off track</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Off track</w:t>
            </w:r>
          </w:p>
        </w:tc>
      </w:tr>
      <w:tr w:rsidR="005E4C64" w:rsidRPr="0062271C" w:rsidTr="005E4C64">
        <w:trPr>
          <w:cantSplit/>
          <w:trHeight w:val="179"/>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Jamaica</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Off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Default="005E4C64" w:rsidP="005E4C64">
            <w:pPr>
              <w:jc w:val="center"/>
            </w:pPr>
            <w:r w:rsidRPr="008A597B">
              <w:rPr>
                <w:rFonts w:ascii="Arial Narrow" w:eastAsia="Times New Roman" w:hAnsi="Arial Narrow" w:cs="Arial"/>
                <w:color w:val="000000"/>
                <w:kern w:val="28"/>
                <w:sz w:val="14"/>
                <w:szCs w:val="14"/>
              </w:rPr>
              <w:t xml:space="preserve">On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 track</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196"/>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Saint Kitts and Nevis</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Off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Default="005E4C64" w:rsidP="005E4C64">
            <w:pPr>
              <w:jc w:val="center"/>
            </w:pPr>
            <w:r w:rsidRPr="008A597B">
              <w:rPr>
                <w:rFonts w:ascii="Arial Narrow" w:eastAsia="Times New Roman" w:hAnsi="Arial Narrow" w:cs="Arial"/>
                <w:color w:val="000000"/>
                <w:kern w:val="28"/>
                <w:sz w:val="14"/>
                <w:szCs w:val="14"/>
              </w:rPr>
              <w:t xml:space="preserve">On track </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w:t>
            </w:r>
          </w:p>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64"/>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Saint Lucia</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Off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Default="005E4C64" w:rsidP="005E4C64">
            <w:pPr>
              <w:jc w:val="center"/>
            </w:pPr>
            <w:r w:rsidRPr="008A597B">
              <w:rPr>
                <w:rFonts w:ascii="Arial Narrow" w:eastAsia="Times New Roman" w:hAnsi="Arial Narrow" w:cs="Arial"/>
                <w:color w:val="000000"/>
                <w:kern w:val="28"/>
                <w:sz w:val="14"/>
                <w:szCs w:val="14"/>
              </w:rPr>
              <w:t>O</w:t>
            </w:r>
            <w:r>
              <w:rPr>
                <w:rFonts w:ascii="Arial Narrow" w:eastAsia="Times New Roman" w:hAnsi="Arial Narrow" w:cs="Arial"/>
                <w:color w:val="000000"/>
                <w:kern w:val="28"/>
                <w:sz w:val="14"/>
                <w:szCs w:val="14"/>
              </w:rPr>
              <w:t>ff</w:t>
            </w:r>
            <w:r w:rsidRPr="008A597B">
              <w:rPr>
                <w:rFonts w:ascii="Arial Narrow" w:eastAsia="Times New Roman" w:hAnsi="Arial Narrow" w:cs="Arial"/>
                <w:color w:val="000000"/>
                <w:kern w:val="28"/>
                <w:sz w:val="14"/>
                <w:szCs w:val="14"/>
              </w:rPr>
              <w:t xml:space="preserve">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 xml:space="preserve">Off </w:t>
            </w:r>
            <w:r w:rsidRPr="0062271C">
              <w:rPr>
                <w:rFonts w:ascii="Arial Narrow" w:eastAsia="Times New Roman" w:hAnsi="Arial Narrow" w:cs="Arial"/>
                <w:color w:val="000000"/>
                <w:kern w:val="28"/>
                <w:sz w:val="14"/>
                <w:szCs w:val="14"/>
              </w:rPr>
              <w:t xml:space="preserve">track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Off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64"/>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Saint Vincent and Grenadines</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On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Default="005E4C64" w:rsidP="005E4C64">
            <w:pPr>
              <w:jc w:val="center"/>
            </w:pPr>
            <w:r>
              <w:rPr>
                <w:rFonts w:ascii="Arial Narrow" w:eastAsia="Times New Roman" w:hAnsi="Arial Narrow" w:cs="Arial"/>
                <w:color w:val="000000"/>
                <w:kern w:val="28"/>
                <w:sz w:val="14"/>
                <w:szCs w:val="14"/>
              </w:rPr>
              <w:t>Off</w:t>
            </w:r>
            <w:r w:rsidRPr="00E53773">
              <w:rPr>
                <w:rFonts w:ascii="Arial Narrow" w:eastAsia="Times New Roman" w:hAnsi="Arial Narrow" w:cs="Arial"/>
                <w:color w:val="000000"/>
                <w:kern w:val="28"/>
                <w:sz w:val="14"/>
                <w:szCs w:val="14"/>
              </w:rPr>
              <w:t xml:space="preserve">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E4C64"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w:t>
            </w:r>
          </w:p>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 </w:t>
            </w:r>
            <w:r>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r w:rsidR="005E4C64" w:rsidRPr="0062271C" w:rsidTr="005E4C64">
        <w:trPr>
          <w:cantSplit/>
          <w:trHeight w:val="118"/>
        </w:trPr>
        <w:tc>
          <w:tcPr>
            <w:tcW w:w="12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Suriname</w:t>
            </w:r>
          </w:p>
        </w:tc>
        <w:tc>
          <w:tcPr>
            <w:tcW w:w="111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Insufficient 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Insufficient information</w:t>
            </w:r>
            <w:r w:rsidRPr="0062271C">
              <w:rPr>
                <w:rFonts w:ascii="Arial Narrow" w:eastAsia="Times New Roman" w:hAnsi="Arial Narrow" w:cs="Arial"/>
                <w:color w:val="000000"/>
                <w:kern w:val="28"/>
                <w:sz w:val="14"/>
                <w:szCs w:val="1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olor w:val="000000"/>
                <w:kern w:val="28"/>
                <w:sz w:val="14"/>
                <w:szCs w:val="14"/>
              </w:rPr>
              <w:t>Off track</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w:t>
            </w:r>
            <w:r w:rsidRPr="0062271C">
              <w:rPr>
                <w:rFonts w:ascii="Arial Narrow" w:eastAsia="Times New Roman" w:hAnsi="Arial Narrow" w:cs="Arial"/>
                <w:color w:val="000000"/>
                <w:kern w:val="28"/>
                <w:sz w:val="14"/>
                <w:szCs w:val="14"/>
              </w:rPr>
              <w:t xml:space="preserve"> track</w:t>
            </w:r>
          </w:p>
        </w:tc>
        <w:tc>
          <w:tcPr>
            <w:tcW w:w="1559"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Default="005E4C64" w:rsidP="005E4C64">
            <w:pPr>
              <w:jc w:val="center"/>
            </w:pPr>
            <w:r>
              <w:rPr>
                <w:rFonts w:ascii="Arial Narrow" w:eastAsia="Times New Roman" w:hAnsi="Arial Narrow" w:cs="Arial"/>
                <w:color w:val="000000"/>
                <w:kern w:val="28"/>
                <w:sz w:val="14"/>
                <w:szCs w:val="14"/>
              </w:rPr>
              <w:t>Off</w:t>
            </w:r>
            <w:r w:rsidRPr="00E53773">
              <w:rPr>
                <w:rFonts w:ascii="Arial Narrow" w:eastAsia="Times New Roman" w:hAnsi="Arial Narrow" w:cs="Arial"/>
                <w:color w:val="000000"/>
                <w:kern w:val="28"/>
                <w:sz w:val="14"/>
                <w:szCs w:val="14"/>
              </w:rPr>
              <w:t xml:space="preserve"> track </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Off track</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5E4C64" w:rsidRPr="0062271C" w:rsidRDefault="005E4C64" w:rsidP="005E4C64">
            <w:pPr>
              <w:jc w:val="center"/>
              <w:rPr>
                <w:rFonts w:ascii="Arial Narrow" w:eastAsia="Times New Roman" w:hAnsi="Arial Narrow"/>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5E4C64" w:rsidRPr="0062271C" w:rsidRDefault="005E4C64" w:rsidP="005E4C64">
            <w:pPr>
              <w:jc w:val="center"/>
              <w:rPr>
                <w:rFonts w:ascii="Arial Narrow" w:eastAsia="Times New Roman" w:hAnsi="Arial Narrow" w:cs="Arial"/>
                <w:color w:val="000000"/>
                <w:kern w:val="28"/>
                <w:sz w:val="14"/>
                <w:szCs w:val="14"/>
              </w:rPr>
            </w:pPr>
            <w:r>
              <w:rPr>
                <w:rFonts w:ascii="Arial Narrow" w:eastAsia="Times New Roman" w:hAnsi="Arial Narrow" w:cs="Arial"/>
                <w:color w:val="000000"/>
                <w:kern w:val="28"/>
                <w:sz w:val="14"/>
                <w:szCs w:val="14"/>
              </w:rPr>
              <w:t>On track</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5E4C64" w:rsidRPr="0062271C" w:rsidRDefault="005E4C64" w:rsidP="005E4C64">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On track</w:t>
            </w:r>
          </w:p>
        </w:tc>
      </w:tr>
    </w:tbl>
    <w:p w:rsidR="001139B3" w:rsidRPr="005E4C64" w:rsidRDefault="001139B3" w:rsidP="005E4C64">
      <w:pPr>
        <w:rPr>
          <w:sz w:val="16"/>
          <w:szCs w:val="16"/>
        </w:rPr>
      </w:pPr>
    </w:p>
    <w:sectPr w:rsidR="001139B3" w:rsidRPr="005E4C64" w:rsidSect="007D3225">
      <w:headerReference w:type="default" r:id="rId26"/>
      <w:footerReference w:type="default" r:id="rId27"/>
      <w:pgSz w:w="16838" w:h="11906" w:orient="landscape"/>
      <w:pgMar w:top="1871" w:right="2268" w:bottom="1134" w:left="90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25" w:rsidRDefault="00730025" w:rsidP="00E02F43">
      <w:r>
        <w:separator/>
      </w:r>
    </w:p>
  </w:endnote>
  <w:endnote w:type="continuationSeparator" w:id="0">
    <w:p w:rsidR="00730025" w:rsidRDefault="00730025" w:rsidP="00E02F43">
      <w:r>
        <w:continuationSeparator/>
      </w:r>
    </w:p>
  </w:endnote>
  <w:endnote w:id="1">
    <w:p w:rsidR="00730025" w:rsidRPr="000C15C5" w:rsidRDefault="00730025" w:rsidP="005E4C64">
      <w:pPr>
        <w:autoSpaceDE w:val="0"/>
        <w:autoSpaceDN w:val="0"/>
        <w:adjustRightInd w:val="0"/>
        <w:rPr>
          <w:rFonts w:ascii="Calibri" w:eastAsiaTheme="minorHAnsi" w:hAnsi="Calibri" w:cs="Calibri"/>
          <w:sz w:val="16"/>
          <w:szCs w:val="16"/>
          <w:lang w:eastAsia="en-US"/>
        </w:rPr>
      </w:pPr>
      <w:r>
        <w:rPr>
          <w:rStyle w:val="EndnoteReference"/>
        </w:rPr>
        <w:endnoteRef/>
      </w:r>
      <w:r>
        <w:t xml:space="preserve"> </w:t>
      </w:r>
      <w:r w:rsidRPr="000C15C5">
        <w:rPr>
          <w:rFonts w:ascii="Calibri" w:eastAsiaTheme="minorHAnsi" w:hAnsi="Calibri" w:cs="Calibri"/>
          <w:sz w:val="16"/>
          <w:szCs w:val="16"/>
          <w:lang w:eastAsia="en-US"/>
        </w:rPr>
        <w:t xml:space="preserve">MDG </w:t>
      </w:r>
      <w:r>
        <w:rPr>
          <w:rFonts w:ascii="Calibri" w:eastAsiaTheme="minorHAnsi" w:hAnsi="Calibri" w:cs="Calibri"/>
          <w:sz w:val="16"/>
          <w:szCs w:val="16"/>
          <w:lang w:eastAsia="en-US"/>
        </w:rPr>
        <w:t>c</w:t>
      </w:r>
      <w:r w:rsidRPr="000C15C5">
        <w:rPr>
          <w:rFonts w:ascii="Calibri" w:eastAsiaTheme="minorHAnsi" w:hAnsi="Calibri" w:cs="Calibri"/>
          <w:sz w:val="16"/>
          <w:szCs w:val="16"/>
          <w:lang w:eastAsia="en-US"/>
        </w:rPr>
        <w:t xml:space="preserve">ountry </w:t>
      </w:r>
      <w:r>
        <w:rPr>
          <w:rFonts w:ascii="Calibri" w:eastAsiaTheme="minorHAnsi" w:hAnsi="Calibri" w:cs="Calibri"/>
          <w:sz w:val="16"/>
          <w:szCs w:val="16"/>
          <w:lang w:eastAsia="en-US"/>
        </w:rPr>
        <w:t>pr</w:t>
      </w:r>
      <w:r w:rsidRPr="000C15C5">
        <w:rPr>
          <w:rFonts w:ascii="Calibri" w:eastAsiaTheme="minorHAnsi" w:hAnsi="Calibri" w:cs="Calibri"/>
          <w:sz w:val="16"/>
          <w:szCs w:val="16"/>
          <w:lang w:eastAsia="en-US"/>
        </w:rPr>
        <w:t xml:space="preserve">ogress </w:t>
      </w:r>
      <w:r>
        <w:rPr>
          <w:rFonts w:ascii="Calibri" w:eastAsiaTheme="minorHAnsi" w:hAnsi="Calibri" w:cs="Calibri"/>
          <w:sz w:val="16"/>
          <w:szCs w:val="16"/>
          <w:lang w:eastAsia="en-US"/>
        </w:rPr>
        <w:t>s</w:t>
      </w:r>
      <w:r w:rsidRPr="000C15C5">
        <w:rPr>
          <w:rFonts w:ascii="Calibri" w:eastAsiaTheme="minorHAnsi" w:hAnsi="Calibri" w:cs="Calibri"/>
          <w:sz w:val="16"/>
          <w:szCs w:val="16"/>
          <w:lang w:eastAsia="en-US"/>
        </w:rPr>
        <w:t>napshot</w:t>
      </w:r>
      <w:r w:rsidRPr="000C15C5">
        <w:rPr>
          <w:rFonts w:ascii="Calibri-Bold" w:eastAsiaTheme="minorHAnsi" w:hAnsi="Calibri-Bold" w:cs="Calibri-Bold"/>
          <w:b/>
          <w:bCs/>
          <w:sz w:val="16"/>
          <w:szCs w:val="16"/>
          <w:lang w:eastAsia="en-US"/>
        </w:rPr>
        <w:t xml:space="preserve"> </w:t>
      </w:r>
      <w:r w:rsidRPr="000C15C5">
        <w:rPr>
          <w:rFonts w:ascii="Calibri" w:eastAsiaTheme="minorHAnsi" w:hAnsi="Calibri" w:cs="Calibri"/>
          <w:sz w:val="16"/>
          <w:szCs w:val="16"/>
          <w:lang w:eastAsia="en-US"/>
        </w:rPr>
        <w:t>provides an overview of the progress achieved at country level since 1990 towards the M</w:t>
      </w:r>
      <w:r>
        <w:rPr>
          <w:rFonts w:ascii="Calibri" w:eastAsiaTheme="minorHAnsi" w:hAnsi="Calibri" w:cs="Calibri"/>
          <w:sz w:val="16"/>
          <w:szCs w:val="16"/>
          <w:lang w:eastAsia="en-US"/>
        </w:rPr>
        <w:t>DGs for the 15 Caribbean countries for which Australia provides aid in the Caribbean region</w:t>
      </w:r>
      <w:r w:rsidRPr="000C15C5">
        <w:rPr>
          <w:rFonts w:ascii="Calibri" w:eastAsiaTheme="minorHAnsi" w:hAnsi="Calibri" w:cs="Calibri"/>
          <w:sz w:val="16"/>
          <w:szCs w:val="16"/>
          <w:lang w:eastAsia="en-US"/>
        </w:rPr>
        <w:t xml:space="preserve">. </w:t>
      </w:r>
      <w:proofErr w:type="spellStart"/>
      <w:r w:rsidRPr="000C15C5">
        <w:rPr>
          <w:rFonts w:ascii="Calibri" w:eastAsiaTheme="minorHAnsi" w:hAnsi="Calibri" w:cs="Calibri"/>
          <w:sz w:val="16"/>
          <w:szCs w:val="16"/>
          <w:lang w:eastAsia="en-US"/>
        </w:rPr>
        <w:t>Thesnapshot</w:t>
      </w:r>
      <w:proofErr w:type="spellEnd"/>
      <w:r w:rsidRPr="000C15C5">
        <w:rPr>
          <w:rFonts w:ascii="Calibri" w:eastAsiaTheme="minorHAnsi" w:hAnsi="Calibri" w:cs="Calibri"/>
          <w:sz w:val="16"/>
          <w:szCs w:val="16"/>
          <w:lang w:eastAsia="en-US"/>
        </w:rPr>
        <w:t xml:space="preserve"> is intended mainly to provide the international community </w:t>
      </w:r>
      <w:r>
        <w:rPr>
          <w:rFonts w:ascii="Calibri" w:eastAsiaTheme="minorHAnsi" w:hAnsi="Calibri" w:cs="Calibri"/>
          <w:sz w:val="16"/>
          <w:szCs w:val="16"/>
          <w:lang w:eastAsia="en-US"/>
        </w:rPr>
        <w:t xml:space="preserve">with </w:t>
      </w:r>
      <w:r w:rsidRPr="000C15C5">
        <w:rPr>
          <w:rFonts w:ascii="Calibri" w:eastAsiaTheme="minorHAnsi" w:hAnsi="Calibri" w:cs="Calibri"/>
          <w:sz w:val="16"/>
          <w:szCs w:val="16"/>
          <w:lang w:eastAsia="en-US"/>
        </w:rPr>
        <w:t>easy access to information</w:t>
      </w:r>
      <w:r>
        <w:rPr>
          <w:rFonts w:ascii="Calibri" w:eastAsiaTheme="minorHAnsi" w:hAnsi="Calibri" w:cs="Calibri"/>
          <w:sz w:val="16"/>
          <w:szCs w:val="16"/>
          <w:lang w:eastAsia="en-US"/>
        </w:rPr>
        <w:t>. It is</w:t>
      </w:r>
      <w:r w:rsidRPr="000C15C5">
        <w:rPr>
          <w:rFonts w:ascii="Calibri" w:eastAsiaTheme="minorHAnsi" w:hAnsi="Calibri" w:cs="Calibri"/>
          <w:sz w:val="16"/>
          <w:szCs w:val="16"/>
          <w:lang w:eastAsia="en-US"/>
        </w:rPr>
        <w:t xml:space="preserve"> not meant to replace</w:t>
      </w:r>
      <w:r>
        <w:rPr>
          <w:rFonts w:ascii="Calibri" w:eastAsiaTheme="minorHAnsi" w:hAnsi="Calibri" w:cs="Calibri"/>
          <w:sz w:val="16"/>
          <w:szCs w:val="16"/>
          <w:lang w:eastAsia="en-US"/>
        </w:rPr>
        <w:t>—</w:t>
      </w:r>
      <w:r w:rsidRPr="000C15C5">
        <w:rPr>
          <w:rFonts w:ascii="Calibri" w:eastAsiaTheme="minorHAnsi" w:hAnsi="Calibri" w:cs="Calibri"/>
          <w:sz w:val="16"/>
          <w:szCs w:val="16"/>
          <w:lang w:eastAsia="en-US"/>
        </w:rPr>
        <w:t>in any way</w:t>
      </w:r>
      <w:r>
        <w:rPr>
          <w:rFonts w:ascii="Calibri" w:eastAsiaTheme="minorHAnsi" w:hAnsi="Calibri" w:cs="Calibri"/>
          <w:sz w:val="16"/>
          <w:szCs w:val="16"/>
          <w:lang w:eastAsia="en-US"/>
        </w:rPr>
        <w:t>—</w:t>
      </w:r>
      <w:r w:rsidRPr="000C15C5">
        <w:rPr>
          <w:rFonts w:ascii="Calibri" w:eastAsiaTheme="minorHAnsi" w:hAnsi="Calibri" w:cs="Calibri"/>
          <w:sz w:val="16"/>
          <w:szCs w:val="16"/>
          <w:lang w:eastAsia="en-US"/>
        </w:rPr>
        <w:t xml:space="preserve">the </w:t>
      </w:r>
      <w:r>
        <w:rPr>
          <w:rFonts w:ascii="Calibri" w:eastAsiaTheme="minorHAnsi" w:hAnsi="Calibri" w:cs="Calibri"/>
          <w:sz w:val="16"/>
          <w:szCs w:val="16"/>
          <w:lang w:eastAsia="en-US"/>
        </w:rPr>
        <w:t xml:space="preserve">individual </w:t>
      </w:r>
      <w:r w:rsidRPr="000C15C5">
        <w:rPr>
          <w:rFonts w:ascii="Calibri" w:eastAsiaTheme="minorHAnsi" w:hAnsi="Calibri" w:cs="Calibri"/>
          <w:sz w:val="16"/>
          <w:szCs w:val="16"/>
          <w:lang w:eastAsia="en-US"/>
        </w:rPr>
        <w:t>country profiles</w:t>
      </w:r>
    </w:p>
    <w:p w:rsidR="00730025" w:rsidRPr="000C15C5" w:rsidRDefault="00730025" w:rsidP="005E4C64">
      <w:pPr>
        <w:autoSpaceDE w:val="0"/>
        <w:autoSpaceDN w:val="0"/>
        <w:adjustRightInd w:val="0"/>
        <w:rPr>
          <w:rFonts w:ascii="Calibri" w:eastAsiaTheme="minorHAnsi" w:hAnsi="Calibri" w:cs="Calibri"/>
          <w:sz w:val="16"/>
          <w:szCs w:val="16"/>
          <w:lang w:eastAsia="en-US"/>
        </w:rPr>
      </w:pPr>
      <w:proofErr w:type="gramStart"/>
      <w:r w:rsidRPr="000C15C5">
        <w:rPr>
          <w:rFonts w:ascii="Calibri" w:eastAsiaTheme="minorHAnsi" w:hAnsi="Calibri" w:cs="Calibri"/>
          <w:sz w:val="16"/>
          <w:szCs w:val="16"/>
          <w:lang w:eastAsia="en-US"/>
        </w:rPr>
        <w:t>produced</w:t>
      </w:r>
      <w:proofErr w:type="gramEnd"/>
      <w:r w:rsidRPr="000C15C5">
        <w:rPr>
          <w:rFonts w:ascii="Calibri" w:eastAsiaTheme="minorHAnsi" w:hAnsi="Calibri" w:cs="Calibri"/>
          <w:sz w:val="16"/>
          <w:szCs w:val="16"/>
          <w:lang w:eastAsia="en-US"/>
        </w:rPr>
        <w:t xml:space="preserve"> at national level in several</w:t>
      </w:r>
      <w:r>
        <w:rPr>
          <w:rFonts w:ascii="Calibri" w:eastAsiaTheme="minorHAnsi" w:hAnsi="Calibri" w:cs="Calibri"/>
          <w:sz w:val="16"/>
          <w:szCs w:val="16"/>
          <w:lang w:eastAsia="en-US"/>
        </w:rPr>
        <w:t xml:space="preserve"> of these</w:t>
      </w:r>
      <w:r w:rsidRPr="000C15C5">
        <w:rPr>
          <w:rFonts w:ascii="Calibri" w:eastAsiaTheme="minorHAnsi" w:hAnsi="Calibri" w:cs="Calibri"/>
          <w:sz w:val="16"/>
          <w:szCs w:val="16"/>
          <w:lang w:eastAsia="en-US"/>
        </w:rPr>
        <w:t xml:space="preserve"> countries. The</w:t>
      </w:r>
      <w:r>
        <w:rPr>
          <w:rFonts w:ascii="Calibri" w:eastAsiaTheme="minorHAnsi" w:hAnsi="Calibri" w:cs="Calibri"/>
          <w:sz w:val="16"/>
          <w:szCs w:val="16"/>
          <w:lang w:eastAsia="en-US"/>
        </w:rPr>
        <w:t xml:space="preserve"> snapshot is</w:t>
      </w:r>
      <w:r w:rsidRPr="000C15C5">
        <w:rPr>
          <w:rFonts w:ascii="Calibri" w:eastAsiaTheme="minorHAnsi" w:hAnsi="Calibri" w:cs="Calibri"/>
          <w:sz w:val="16"/>
          <w:szCs w:val="16"/>
          <w:lang w:eastAsia="en-US"/>
        </w:rPr>
        <w:t xml:space="preserve"> also meant to reflect the contribution of country‐level progress to global and regional trends on</w:t>
      </w:r>
    </w:p>
    <w:p w:rsidR="00730025" w:rsidRPr="008514B7" w:rsidRDefault="00730025" w:rsidP="005E4C64">
      <w:pPr>
        <w:autoSpaceDE w:val="0"/>
        <w:autoSpaceDN w:val="0"/>
        <w:adjustRightInd w:val="0"/>
        <w:rPr>
          <w:rFonts w:ascii="Calibri" w:eastAsiaTheme="minorHAnsi" w:hAnsi="Calibri" w:cs="Calibri"/>
          <w:sz w:val="16"/>
          <w:szCs w:val="16"/>
          <w:lang w:eastAsia="en-US"/>
        </w:rPr>
      </w:pPr>
      <w:proofErr w:type="gramStart"/>
      <w:r w:rsidRPr="000C15C5">
        <w:rPr>
          <w:rFonts w:ascii="Calibri" w:eastAsiaTheme="minorHAnsi" w:hAnsi="Calibri" w:cs="Calibri"/>
          <w:sz w:val="16"/>
          <w:szCs w:val="16"/>
          <w:lang w:eastAsia="en-US"/>
        </w:rPr>
        <w:t>progress</w:t>
      </w:r>
      <w:proofErr w:type="gramEnd"/>
      <w:r w:rsidRPr="000C15C5">
        <w:rPr>
          <w:rFonts w:ascii="Calibri" w:eastAsiaTheme="minorHAnsi" w:hAnsi="Calibri" w:cs="Calibri"/>
          <w:sz w:val="16"/>
          <w:szCs w:val="16"/>
          <w:lang w:eastAsia="en-US"/>
        </w:rPr>
        <w:t xml:space="preserve"> towards the MDGs. The data used in the snapshot are from the MDG global database (</w:t>
      </w:r>
      <w:hyperlink r:id="rId1" w:history="1">
        <w:r w:rsidRPr="008514B7">
          <w:rPr>
            <w:lang w:eastAsia="en-US"/>
          </w:rPr>
          <w:t>http://mdgs.un.org/unsd/mdg/Data.aspx</w:t>
        </w:r>
      </w:hyperlink>
      <w:r w:rsidRPr="000C15C5">
        <w:rPr>
          <w:rFonts w:ascii="Calibri" w:eastAsiaTheme="minorHAnsi" w:hAnsi="Calibri" w:cs="Calibri"/>
          <w:sz w:val="16"/>
          <w:szCs w:val="16"/>
          <w:lang w:eastAsia="en-US"/>
        </w:rPr>
        <w:t>)</w:t>
      </w:r>
      <w:r>
        <w:rPr>
          <w:rFonts w:ascii="Calibri" w:eastAsiaTheme="minorHAnsi" w:hAnsi="Calibri" w:cs="Calibri"/>
          <w:sz w:val="16"/>
          <w:szCs w:val="16"/>
          <w:lang w:eastAsia="en-US"/>
        </w:rPr>
        <w:t>, a</w:t>
      </w:r>
      <w:r w:rsidRPr="00F41DCB">
        <w:rPr>
          <w:rFonts w:ascii="Calibri" w:eastAsiaTheme="minorHAnsi" w:hAnsi="Calibri" w:cs="Calibri"/>
          <w:sz w:val="16"/>
          <w:szCs w:val="16"/>
          <w:lang w:eastAsia="en-US"/>
        </w:rPr>
        <w:t>ccessed 15 April 2013</w:t>
      </w:r>
      <w:r>
        <w:rPr>
          <w:rFonts w:ascii="Calibri" w:eastAsiaTheme="minorHAnsi" w:hAnsi="Calibri" w:cs="Calibri"/>
          <w:sz w:val="16"/>
          <w:szCs w:val="16"/>
          <w:lang w:eastAsia="en-US"/>
        </w:rPr>
        <w:t>, and</w:t>
      </w:r>
    </w:p>
    <w:p w:rsidR="00730025" w:rsidRPr="00F41DCB" w:rsidRDefault="00730025" w:rsidP="005E4C64">
      <w:pPr>
        <w:autoSpaceDE w:val="0"/>
        <w:autoSpaceDN w:val="0"/>
        <w:adjustRightInd w:val="0"/>
        <w:rPr>
          <w:i/>
          <w:sz w:val="16"/>
          <w:szCs w:val="16"/>
        </w:rPr>
      </w:pPr>
      <w:r w:rsidRPr="008514B7">
        <w:rPr>
          <w:rFonts w:ascii="Calibri" w:eastAsiaTheme="minorHAnsi" w:hAnsi="Calibri" w:cs="Calibri"/>
          <w:sz w:val="16"/>
          <w:szCs w:val="16"/>
          <w:lang w:eastAsia="en-US"/>
        </w:rPr>
        <w:t xml:space="preserve">UNDP 2010, “Achieving the Millennium Development Goals with equality in Latin America and the Caribbean: Progress and Challenges”, p.345, </w:t>
      </w:r>
      <w:hyperlink r:id="rId2" w:history="1">
        <w:r w:rsidRPr="008514B7">
          <w:rPr>
            <w:rFonts w:ascii="Calibri" w:eastAsiaTheme="minorHAnsi" w:hAnsi="Calibri" w:cs="Calibri"/>
            <w:sz w:val="16"/>
            <w:szCs w:val="16"/>
            <w:lang w:eastAsia="en-US"/>
          </w:rPr>
          <w:t>http://www.undp.org/content/dam/undp/library/MDG/english/MDG%20Regional%20Reports/LAC-Regional%20MDG%20Report%202010.pdf</w:t>
        </w:r>
      </w:hyperlink>
      <w:r w:rsidRPr="008514B7">
        <w:rPr>
          <w:rFonts w:ascii="Calibri" w:eastAsiaTheme="minorHAnsi" w:hAnsi="Calibri" w:cs="Calibri"/>
          <w:sz w:val="16"/>
          <w:szCs w:val="16"/>
          <w:lang w:eastAsia="en-US"/>
        </w:rPr>
        <w:t>, accessed 28 April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Pr="007D3225" w:rsidRDefault="00730025" w:rsidP="007D3225">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Aid Program Performance Report 2012−13 The Caribbean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0528" behindDoc="1" locked="0" layoutInCell="1" allowOverlap="1" wp14:anchorId="2E17F8C0" wp14:editId="68AEB471">
              <wp:simplePos x="0" y="0"/>
              <wp:positionH relativeFrom="column">
                <wp:posOffset>0</wp:posOffset>
              </wp:positionH>
              <wp:positionV relativeFrom="paragraph">
                <wp:posOffset>8498840</wp:posOffset>
              </wp:positionV>
              <wp:extent cx="7379970" cy="2181860"/>
              <wp:effectExtent l="0" t="2540" r="1905" b="0"/>
              <wp:wrapNone/>
              <wp:docPr id="1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Ry5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TTB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jkcua&#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69504" behindDoc="1" locked="0" layoutInCell="1" allowOverlap="1" wp14:anchorId="114D32F6" wp14:editId="59A8CE06">
              <wp:simplePos x="0" y="0"/>
              <wp:positionH relativeFrom="column">
                <wp:posOffset>0</wp:posOffset>
              </wp:positionH>
              <wp:positionV relativeFrom="paragraph">
                <wp:posOffset>8498840</wp:posOffset>
              </wp:positionV>
              <wp:extent cx="7379970" cy="2181860"/>
              <wp:effectExtent l="0" t="2540" r="1905" b="0"/>
              <wp:wrapNone/>
              <wp:docPr id="1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gnd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YMYJ3&#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Pr="007D3225" w:rsidRDefault="00730025" w:rsidP="007D3225">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Aid Program Performance Report 2012−13 The Caribbean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3600" behindDoc="1" locked="0" layoutInCell="1" allowOverlap="1" wp14:anchorId="54C9D5BA" wp14:editId="5E191F81">
              <wp:simplePos x="0" y="0"/>
              <wp:positionH relativeFrom="column">
                <wp:posOffset>0</wp:posOffset>
              </wp:positionH>
              <wp:positionV relativeFrom="paragraph">
                <wp:posOffset>8498840</wp:posOffset>
              </wp:positionV>
              <wp:extent cx="7379970" cy="2181860"/>
              <wp:effectExtent l="0" t="2540" r="1905" b="0"/>
              <wp:wrapNone/>
              <wp:docPr id="1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ik/d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TTF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LYpP3&#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2576" behindDoc="1" locked="0" layoutInCell="1" allowOverlap="1" wp14:anchorId="04DA7707" wp14:editId="4C14EEE1">
              <wp:simplePos x="0" y="0"/>
              <wp:positionH relativeFrom="column">
                <wp:posOffset>0</wp:posOffset>
              </wp:positionH>
              <wp:positionV relativeFrom="paragraph">
                <wp:posOffset>8498840</wp:posOffset>
              </wp:positionV>
              <wp:extent cx="7379970" cy="2181860"/>
              <wp:effectExtent l="0" t="2540" r="1905" b="0"/>
              <wp:wrapNone/>
              <wp:docPr id="1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U5Z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78ZT&#10;l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Pr="00730025" w:rsidRDefault="00730025" w:rsidP="00730025">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Aid Program Performance Report 2012−13 The Caribbean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21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0224" behindDoc="1" locked="0" layoutInCell="1" allowOverlap="1" wp14:anchorId="1004F66C" wp14:editId="296E3612">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9200" behindDoc="1" locked="0" layoutInCell="1" allowOverlap="1" wp14:anchorId="041D2A28" wp14:editId="6DE6FD4C">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Pr="00730025" w:rsidRDefault="00730025" w:rsidP="00730025">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Aid Program Performance Report 2012−13 The Caribbean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23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7152" behindDoc="1" locked="0" layoutInCell="1" allowOverlap="1" wp14:anchorId="5ACFA155" wp14:editId="6A6D17D6">
              <wp:simplePos x="0" y="0"/>
              <wp:positionH relativeFrom="column">
                <wp:posOffset>0</wp:posOffset>
              </wp:positionH>
              <wp:positionV relativeFrom="paragraph">
                <wp:posOffset>8498840</wp:posOffset>
              </wp:positionV>
              <wp:extent cx="7379970" cy="2181860"/>
              <wp:effectExtent l="0" t="2540" r="1905" b="0"/>
              <wp:wrapNone/>
              <wp:docPr id="4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9d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N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j5X&#10;1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6128" behindDoc="1" locked="0" layoutInCell="1" allowOverlap="1" wp14:anchorId="76386466" wp14:editId="6C70A054">
              <wp:simplePos x="0" y="0"/>
              <wp:positionH relativeFrom="column">
                <wp:posOffset>0</wp:posOffset>
              </wp:positionH>
              <wp:positionV relativeFrom="paragraph">
                <wp:posOffset>8498840</wp:posOffset>
              </wp:positionV>
              <wp:extent cx="7379970" cy="2181860"/>
              <wp:effectExtent l="0" t="2540" r="1905" b="0"/>
              <wp:wrapNone/>
              <wp:docPr id="4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9GdJ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Cz0Z&#10;0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Pr="004C4A3E" w:rsidRDefault="00730025" w:rsidP="00A30593">
    <w:pPr>
      <w:tabs>
        <w:tab w:val="left" w:pos="0"/>
        <w:tab w:val="left" w:pos="13325"/>
      </w:tabs>
      <w:spacing w:line="180" w:lineRule="exact"/>
      <w:ind w:right="-1136"/>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Caribbean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25</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53120" behindDoc="1" locked="0" layoutInCell="1" allowOverlap="1" wp14:anchorId="11202A43" wp14:editId="1A01F87A">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2096" behindDoc="1" locked="0" layoutInCell="1" allowOverlap="1" wp14:anchorId="58A61345" wp14:editId="763E2BAF">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Pr="007D3225" w:rsidRDefault="00730025" w:rsidP="00730025">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Aid Program Performance Report 2012−13 The Caribbean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25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1008" behindDoc="1" locked="0" layoutInCell="1" allowOverlap="1" wp14:anchorId="67406FFC" wp14:editId="2E14FC4D">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9984" behindDoc="1" locked="0" layoutInCell="1" allowOverlap="1" wp14:anchorId="761FE312" wp14:editId="40572638">
              <wp:simplePos x="0" y="0"/>
              <wp:positionH relativeFrom="column">
                <wp:posOffset>0</wp:posOffset>
              </wp:positionH>
              <wp:positionV relativeFrom="paragraph">
                <wp:posOffset>8498840</wp:posOffset>
              </wp:positionV>
              <wp:extent cx="7379970" cy="2181860"/>
              <wp:effectExtent l="0" t="2540" r="1905" b="0"/>
              <wp:wrapNone/>
              <wp:docPr id="4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9egV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F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Lv16&#10;B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7936" behindDoc="1" locked="0" layoutInCell="1" allowOverlap="1" wp14:anchorId="4FEA2831" wp14:editId="6514C2C7">
              <wp:simplePos x="0" y="0"/>
              <wp:positionH relativeFrom="column">
                <wp:posOffset>0</wp:posOffset>
              </wp:positionH>
              <wp:positionV relativeFrom="paragraph">
                <wp:posOffset>8498840</wp:posOffset>
              </wp:positionV>
              <wp:extent cx="7379970" cy="2181860"/>
              <wp:effectExtent l="0" t="2540" r="1905" b="0"/>
              <wp:wrapNone/>
              <wp:docPr id="3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50H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6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MDnQ&#10;c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6912" behindDoc="1" locked="0" layoutInCell="1" allowOverlap="1" wp14:anchorId="68814A78" wp14:editId="4312D94D">
              <wp:simplePos x="0" y="0"/>
              <wp:positionH relativeFrom="column">
                <wp:posOffset>0</wp:posOffset>
              </wp:positionH>
              <wp:positionV relativeFrom="paragraph">
                <wp:posOffset>8498840</wp:posOffset>
              </wp:positionV>
              <wp:extent cx="7379970" cy="2181860"/>
              <wp:effectExtent l="0" t="2540" r="1905" b="0"/>
              <wp:wrapNone/>
              <wp:docPr id="3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MD5t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p0wP&#10;m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5888" behindDoc="1" locked="0" layoutInCell="1" allowOverlap="1" wp14:anchorId="4527348A" wp14:editId="0C177C9C">
              <wp:simplePos x="0" y="0"/>
              <wp:positionH relativeFrom="column">
                <wp:posOffset>0</wp:posOffset>
              </wp:positionH>
              <wp:positionV relativeFrom="paragraph">
                <wp:posOffset>8498840</wp:posOffset>
              </wp:positionV>
              <wp:extent cx="7379970" cy="2181860"/>
              <wp:effectExtent l="0" t="2540" r="1905" b="0"/>
              <wp:wrapNone/>
              <wp:docPr id="3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DVhp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4NW&#10;G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4864" behindDoc="1" locked="0" layoutInCell="1" allowOverlap="1" wp14:anchorId="7C14246A" wp14:editId="2BC5FC1B">
              <wp:simplePos x="0" y="0"/>
              <wp:positionH relativeFrom="column">
                <wp:posOffset>0</wp:posOffset>
              </wp:positionH>
              <wp:positionV relativeFrom="paragraph">
                <wp:posOffset>8498840</wp:posOffset>
              </wp:positionV>
              <wp:extent cx="7379970" cy="2181860"/>
              <wp:effectExtent l="0" t="2540" r="1905" b="0"/>
              <wp:wrapNone/>
              <wp:docPr id="3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p079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tMJ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u2nT&#10;v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Pr="007D3225" w:rsidRDefault="00730025" w:rsidP="007D3225">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Aid Program Performance Report 2012−13 The Caribbean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C6E1E">
      <w:rPr>
        <w:rFonts w:ascii="Franklin Gothic Medium" w:eastAsia="Times New Roman" w:hAnsi="Franklin Gothic Medium"/>
        <w:noProof/>
        <w:sz w:val="14"/>
        <w:szCs w:val="14"/>
      </w:rPr>
      <w:t>26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82816" behindDoc="1" locked="0" layoutInCell="1" allowOverlap="1" wp14:anchorId="1E5E2A1A" wp14:editId="1D81F78C">
              <wp:simplePos x="0" y="0"/>
              <wp:positionH relativeFrom="column">
                <wp:posOffset>0</wp:posOffset>
              </wp:positionH>
              <wp:positionV relativeFrom="paragraph">
                <wp:posOffset>8498840</wp:posOffset>
              </wp:positionV>
              <wp:extent cx="7379970" cy="2181860"/>
              <wp:effectExtent l="0" t="2540" r="1905" b="0"/>
              <wp:wrapNone/>
              <wp:docPr id="3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nK6t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NMd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aecr&#10;q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1792" behindDoc="1" locked="0" layoutInCell="1" allowOverlap="1" wp14:anchorId="1E027002" wp14:editId="5E8FAE67">
              <wp:simplePos x="0" y="0"/>
              <wp:positionH relativeFrom="column">
                <wp:posOffset>0</wp:posOffset>
              </wp:positionH>
              <wp:positionV relativeFrom="paragraph">
                <wp:posOffset>8498840</wp:posOffset>
              </wp:positionV>
              <wp:extent cx="7379970" cy="2181860"/>
              <wp:effectExtent l="0" t="2540" r="1905" b="0"/>
              <wp:wrapNone/>
              <wp:docPr id="3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9aA9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K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z1o&#10;D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25" w:rsidRDefault="00730025" w:rsidP="00E02F43">
      <w:r>
        <w:separator/>
      </w:r>
    </w:p>
  </w:footnote>
  <w:footnote w:type="continuationSeparator" w:id="0">
    <w:p w:rsidR="00730025" w:rsidRDefault="00730025" w:rsidP="00E02F43">
      <w:r>
        <w:continuationSeparator/>
      </w:r>
    </w:p>
  </w:footnote>
  <w:footnote w:id="1">
    <w:p w:rsidR="00730025" w:rsidRDefault="00730025" w:rsidP="0043046D">
      <w:pPr>
        <w:pStyle w:val="FootnoteText"/>
      </w:pPr>
      <w:r>
        <w:rPr>
          <w:rStyle w:val="FootnoteReference"/>
        </w:rPr>
        <w:footnoteRef/>
      </w:r>
      <w:r>
        <w:t xml:space="preserve"> Australia has provided aid to 15 ODA-</w:t>
      </w:r>
      <w:r w:rsidRPr="000D017B">
        <w:t>eligible</w:t>
      </w:r>
      <w:r>
        <w:t xml:space="preserve"> </w:t>
      </w:r>
      <w:r w:rsidRPr="00927C71">
        <w:t xml:space="preserve">countries in the Caribbean region. This includes 13 CARICOM members, plus Cuba and the Dominican Republic which are not in CARICOM. The Bahamas has not been ODA-eligible since 2005, and Montserrat is a British Territory. From 2012, Trinidad </w:t>
      </w:r>
      <w:r>
        <w:t>and</w:t>
      </w:r>
      <w:r w:rsidRPr="00927C71">
        <w:t xml:space="preserve"> Tobago and Barbados were not ODA-eligible. CARICOM members are: Antigua and Barbuda, The Bahamas, Barbados, Belize, Dominica, Grenada, Guyana, Haiti, Jamaica, Montserrat, Saint Lucia, Saint Kitts and Nevis, Saint Vincent and the Grenadines, Suriname and Trinidad and Tobago. </w:t>
      </w:r>
    </w:p>
  </w:footnote>
  <w:footnote w:id="2">
    <w:p w:rsidR="00730025" w:rsidRPr="008B4075" w:rsidRDefault="00730025" w:rsidP="008B4075">
      <w:pPr>
        <w:rPr>
          <w:rFonts w:eastAsia="Times New Roman"/>
          <w:sz w:val="14"/>
          <w:szCs w:val="20"/>
        </w:rPr>
      </w:pPr>
      <w:r>
        <w:rPr>
          <w:rStyle w:val="FootnoteReference"/>
        </w:rPr>
        <w:footnoteRef/>
      </w:r>
      <w:r>
        <w:t xml:space="preserve"> </w:t>
      </w:r>
      <w:r w:rsidRPr="007E2FD9">
        <w:rPr>
          <w:rFonts w:eastAsia="Times New Roman"/>
          <w:sz w:val="14"/>
          <w:szCs w:val="20"/>
        </w:rPr>
        <w:t xml:space="preserve">Source: Women in </w:t>
      </w:r>
      <w:r w:rsidRPr="000D017B">
        <w:rPr>
          <w:rFonts w:eastAsia="Times New Roman"/>
          <w:sz w:val="14"/>
          <w:szCs w:val="20"/>
        </w:rPr>
        <w:t xml:space="preserve">Parliament; 2011. </w:t>
      </w:r>
      <w:r>
        <w:rPr>
          <w:rFonts w:eastAsia="Times New Roman"/>
          <w:sz w:val="14"/>
          <w:szCs w:val="20"/>
        </w:rPr>
        <w:t xml:space="preserve">The </w:t>
      </w:r>
      <w:proofErr w:type="spellStart"/>
      <w:r w:rsidRPr="008B4075">
        <w:rPr>
          <w:rFonts w:eastAsia="Times New Roman"/>
          <w:sz w:val="14"/>
          <w:szCs w:val="20"/>
        </w:rPr>
        <w:t>Comisión</w:t>
      </w:r>
      <w:proofErr w:type="spellEnd"/>
      <w:r w:rsidRPr="008B4075">
        <w:rPr>
          <w:rFonts w:eastAsia="Times New Roman"/>
          <w:sz w:val="14"/>
          <w:szCs w:val="20"/>
        </w:rPr>
        <w:t xml:space="preserve"> </w:t>
      </w:r>
      <w:proofErr w:type="spellStart"/>
      <w:r w:rsidRPr="008B4075">
        <w:rPr>
          <w:rFonts w:eastAsia="Times New Roman"/>
          <w:sz w:val="14"/>
          <w:szCs w:val="20"/>
        </w:rPr>
        <w:t>Económica</w:t>
      </w:r>
      <w:proofErr w:type="spellEnd"/>
      <w:r w:rsidRPr="008B4075">
        <w:rPr>
          <w:rFonts w:eastAsia="Times New Roman"/>
          <w:sz w:val="14"/>
          <w:szCs w:val="20"/>
        </w:rPr>
        <w:t xml:space="preserve"> </w:t>
      </w:r>
      <w:proofErr w:type="spellStart"/>
      <w:r w:rsidRPr="008B4075">
        <w:rPr>
          <w:rFonts w:eastAsia="Times New Roman"/>
          <w:sz w:val="14"/>
          <w:szCs w:val="20"/>
        </w:rPr>
        <w:t>para</w:t>
      </w:r>
      <w:proofErr w:type="spellEnd"/>
      <w:r w:rsidRPr="008B4075">
        <w:rPr>
          <w:rFonts w:eastAsia="Times New Roman"/>
          <w:sz w:val="14"/>
          <w:szCs w:val="20"/>
        </w:rPr>
        <w:t xml:space="preserve"> </w:t>
      </w:r>
      <w:proofErr w:type="spellStart"/>
      <w:r w:rsidRPr="008B4075">
        <w:rPr>
          <w:rFonts w:eastAsia="Times New Roman"/>
          <w:sz w:val="14"/>
          <w:szCs w:val="20"/>
        </w:rPr>
        <w:t>América</w:t>
      </w:r>
      <w:proofErr w:type="spellEnd"/>
      <w:r w:rsidRPr="008B4075">
        <w:rPr>
          <w:rFonts w:eastAsia="Times New Roman"/>
          <w:sz w:val="14"/>
          <w:szCs w:val="20"/>
        </w:rPr>
        <w:t xml:space="preserve"> Latina y el Caribe </w:t>
      </w:r>
    </w:p>
    <w:p w:rsidR="00730025" w:rsidRPr="000D017B" w:rsidRDefault="00730025" w:rsidP="0043046D">
      <w:pPr>
        <w:pStyle w:val="Default"/>
      </w:pPr>
      <w:r>
        <w:rPr>
          <w:rFonts w:ascii="Times New Roman" w:eastAsia="Times New Roman" w:hAnsi="Times New Roman" w:cs="Times New Roman"/>
          <w:color w:val="auto"/>
          <w:sz w:val="14"/>
          <w:szCs w:val="20"/>
          <w:lang w:eastAsia="en-AU"/>
        </w:rPr>
        <w:t xml:space="preserve"> </w:t>
      </w:r>
      <w:proofErr w:type="gramStart"/>
      <w:r w:rsidRPr="000D017B">
        <w:rPr>
          <w:rFonts w:ascii="Times New Roman" w:eastAsia="Times New Roman" w:hAnsi="Times New Roman" w:cs="Times New Roman"/>
          <w:color w:val="auto"/>
          <w:sz w:val="14"/>
          <w:szCs w:val="20"/>
          <w:lang w:eastAsia="en-AU"/>
        </w:rPr>
        <w:t>C</w:t>
      </w:r>
      <w:r w:rsidRPr="008B4075">
        <w:rPr>
          <w:rFonts w:ascii="Times New Roman" w:eastAsia="Times New Roman" w:hAnsi="Times New Roman" w:cs="Times New Roman"/>
          <w:color w:val="auto"/>
          <w:sz w:val="14"/>
          <w:szCs w:val="20"/>
          <w:lang w:eastAsia="en-AU"/>
        </w:rPr>
        <w:t>EPALSTA</w:t>
      </w:r>
      <w:r w:rsidRPr="000D017B">
        <w:rPr>
          <w:rFonts w:ascii="Times New Roman" w:eastAsia="Times New Roman" w:hAnsi="Times New Roman" w:cs="Times New Roman"/>
          <w:color w:val="auto"/>
          <w:sz w:val="14"/>
          <w:szCs w:val="20"/>
          <w:lang w:eastAsia="en-AU"/>
        </w:rPr>
        <w:t>T</w:t>
      </w:r>
      <w:r>
        <w:rPr>
          <w:rFonts w:ascii="Times New Roman" w:eastAsia="Times New Roman" w:hAnsi="Times New Roman" w:cs="Times New Roman"/>
          <w:color w:val="auto"/>
          <w:sz w:val="14"/>
          <w:szCs w:val="20"/>
          <w:lang w:eastAsia="en-AU"/>
        </w:rPr>
        <w:t xml:space="preserve"> (database) </w:t>
      </w:r>
      <w:r w:rsidRPr="000D017B">
        <w:rPr>
          <w:rFonts w:ascii="Times New Roman" w:eastAsia="Times New Roman" w:hAnsi="Times New Roman" w:cs="Times New Roman"/>
          <w:color w:val="auto"/>
          <w:sz w:val="14"/>
          <w:szCs w:val="20"/>
          <w:lang w:eastAsia="en-AU"/>
        </w:rPr>
        <w:t xml:space="preserve">on the basis of the </w:t>
      </w:r>
      <w:proofErr w:type="spellStart"/>
      <w:r w:rsidRPr="000D017B">
        <w:rPr>
          <w:rFonts w:ascii="Times New Roman" w:eastAsia="Times New Roman" w:hAnsi="Times New Roman" w:cs="Times New Roman"/>
          <w:color w:val="auto"/>
          <w:sz w:val="14"/>
          <w:szCs w:val="20"/>
          <w:lang w:eastAsia="en-AU"/>
        </w:rPr>
        <w:t>Interparliament</w:t>
      </w:r>
      <w:proofErr w:type="spellEnd"/>
      <w:r>
        <w:rPr>
          <w:rFonts w:ascii="Times New Roman" w:eastAsia="Times New Roman" w:hAnsi="Times New Roman" w:cs="Times New Roman"/>
          <w:color w:val="auto"/>
          <w:sz w:val="14"/>
          <w:szCs w:val="20"/>
          <w:lang w:eastAsia="en-AU"/>
        </w:rPr>
        <w:t xml:space="preserve"> </w:t>
      </w:r>
      <w:r w:rsidRPr="000D017B">
        <w:rPr>
          <w:rFonts w:ascii="Times New Roman" w:eastAsia="Times New Roman" w:hAnsi="Times New Roman" w:cs="Times New Roman"/>
          <w:color w:val="auto"/>
          <w:sz w:val="14"/>
          <w:szCs w:val="20"/>
          <w:lang w:eastAsia="en-AU"/>
        </w:rPr>
        <w:t>Union.</w:t>
      </w:r>
      <w:proofErr w:type="gramEnd"/>
      <w:r>
        <w:rPr>
          <w:rFonts w:ascii="Times New Roman" w:eastAsia="Times New Roman" w:hAnsi="Times New Roman" w:cs="Times New Roman"/>
          <w:color w:val="auto"/>
          <w:sz w:val="14"/>
          <w:szCs w:val="20"/>
          <w:lang w:eastAsia="en-AU"/>
        </w:rPr>
        <w:t xml:space="preserve">  </w:t>
      </w:r>
    </w:p>
  </w:footnote>
  <w:footnote w:id="3">
    <w:p w:rsidR="00730025" w:rsidRDefault="00730025" w:rsidP="008F3607">
      <w:r w:rsidRPr="000D017B">
        <w:rPr>
          <w:rStyle w:val="FootnoteReference"/>
        </w:rPr>
        <w:footnoteRef/>
      </w:r>
      <w:r w:rsidRPr="000D017B">
        <w:t xml:space="preserve"> </w:t>
      </w:r>
      <w:r w:rsidRPr="000D017B">
        <w:rPr>
          <w:rFonts w:eastAsia="Times New Roman"/>
          <w:sz w:val="14"/>
          <w:szCs w:val="20"/>
        </w:rPr>
        <w:t>MDG Statistical Program</w:t>
      </w:r>
      <w:r>
        <w:rPr>
          <w:rFonts w:eastAsia="Times New Roman"/>
          <w:sz w:val="14"/>
          <w:szCs w:val="20"/>
        </w:rPr>
        <w:t xml:space="preserve">, </w:t>
      </w:r>
      <w:r w:rsidRPr="000D017B">
        <w:rPr>
          <w:rFonts w:eastAsia="Times New Roman"/>
          <w:sz w:val="14"/>
          <w:szCs w:val="20"/>
        </w:rPr>
        <w:t>Statistics Divisi</w:t>
      </w:r>
      <w:r w:rsidRPr="00EF61F4">
        <w:rPr>
          <w:rFonts w:eastAsia="Times New Roman"/>
          <w:sz w:val="14"/>
          <w:szCs w:val="20"/>
        </w:rPr>
        <w:t>on</w:t>
      </w:r>
      <w:r>
        <w:rPr>
          <w:rFonts w:eastAsia="Times New Roman"/>
          <w:sz w:val="14"/>
          <w:szCs w:val="20"/>
        </w:rPr>
        <w:t xml:space="preserve">, </w:t>
      </w:r>
      <w:r w:rsidRPr="00EF61F4">
        <w:rPr>
          <w:rFonts w:eastAsia="Times New Roman"/>
          <w:sz w:val="14"/>
          <w:szCs w:val="20"/>
        </w:rPr>
        <w:t xml:space="preserve">Economic Commission for Latin America and the Caribbean. Data available at </w:t>
      </w:r>
      <w:hyperlink r:id="rId1" w:history="1">
        <w:r w:rsidRPr="00EF61F4">
          <w:rPr>
            <w:rFonts w:eastAsia="Times New Roman"/>
            <w:sz w:val="14"/>
            <w:szCs w:val="20"/>
          </w:rPr>
          <w:t>www.cepal.org/estadisticas/</w:t>
        </w:r>
      </w:hyperlink>
    </w:p>
  </w:footnote>
  <w:footnote w:id="4">
    <w:p w:rsidR="00730025" w:rsidRPr="000D017B" w:rsidRDefault="00730025" w:rsidP="008F3607">
      <w:pPr>
        <w:pStyle w:val="FootnoteText"/>
      </w:pPr>
      <w:r w:rsidRPr="000D017B">
        <w:rPr>
          <w:rStyle w:val="FootnoteReference"/>
        </w:rPr>
        <w:footnoteRef/>
      </w:r>
      <w:r w:rsidRPr="000D017B">
        <w:t xml:space="preserve"> </w:t>
      </w:r>
      <w:proofErr w:type="gramStart"/>
      <w:r w:rsidRPr="000D017B">
        <w:t>CEPALSTAT, on the basis of the Maternal Mortality Estimation Interagency Group, United Nations.</w:t>
      </w:r>
      <w:proofErr w:type="gramEnd"/>
    </w:p>
  </w:footnote>
  <w:footnote w:id="5">
    <w:p w:rsidR="00DC6E1E" w:rsidRDefault="00DC6E1E">
      <w:pPr>
        <w:pStyle w:val="FootnoteText"/>
      </w:pPr>
      <w:r>
        <w:rPr>
          <w:rStyle w:val="FootnoteReference"/>
        </w:rPr>
        <w:footnoteRef/>
      </w:r>
      <w:r>
        <w:t xml:space="preserve"> </w:t>
      </w:r>
      <w:r w:rsidRPr="00DC6E1E">
        <w:t>Prior to 2012-13 Aid Program Performance Reports were called Annual Program Performance Reports</w:t>
      </w:r>
      <w:r>
        <w:t>.</w:t>
      </w:r>
      <w:bookmarkStart w:id="0" w:name="_GoBack"/>
      <w:bookmarkEnd w:id="0"/>
    </w:p>
  </w:footnote>
  <w:footnote w:id="6">
    <w:p w:rsidR="00730025" w:rsidRDefault="00730025">
      <w:pPr>
        <w:pStyle w:val="FootnoteText"/>
      </w:pPr>
      <w:r>
        <w:rPr>
          <w:rStyle w:val="FootnoteReference"/>
        </w:rPr>
        <w:footnoteRef/>
      </w:r>
      <w:r>
        <w:t xml:space="preserve"> Millennium Development Goals Indicators, The Official United Nations site for MDG Indicators, http://mdgs.un.org/unsd/mdg/data.aspx</w:t>
      </w:r>
    </w:p>
  </w:footnote>
  <w:footnote w:id="7">
    <w:p w:rsidR="00730025" w:rsidRDefault="00730025" w:rsidP="0043046D">
      <w:pPr>
        <w:pStyle w:val="FootnoteText"/>
      </w:pPr>
      <w:r>
        <w:rPr>
          <w:rStyle w:val="FootnoteReference"/>
        </w:rPr>
        <w:footnoteRef/>
      </w:r>
      <w:r>
        <w:t xml:space="preserve"> International Monetary Fund (2013), </w:t>
      </w:r>
      <w:r w:rsidRPr="006B7039">
        <w:rPr>
          <w:i/>
        </w:rPr>
        <w:t>Caribbean small states: challenges of high debt and low growth</w:t>
      </w:r>
      <w:r w:rsidRPr="006B7039">
        <w:t xml:space="preserve">. </w:t>
      </w:r>
      <w:proofErr w:type="gramStart"/>
      <w:r w:rsidRPr="006B7039">
        <w:t>International Monetary Fund, Washington DC, U</w:t>
      </w:r>
      <w:r>
        <w:t>nited States</w:t>
      </w:r>
      <w:r w:rsidRPr="006B7039">
        <w:t>.</w:t>
      </w:r>
      <w:proofErr w:type="gramEnd"/>
    </w:p>
  </w:footnote>
  <w:footnote w:id="8">
    <w:p w:rsidR="00730025" w:rsidRDefault="00730025">
      <w:pPr>
        <w:pStyle w:val="FootnoteText"/>
      </w:pPr>
      <w:r>
        <w:rPr>
          <w:rStyle w:val="FootnoteReference"/>
        </w:rPr>
        <w:footnoteRef/>
      </w:r>
      <w:r>
        <w:t xml:space="preserve"> Leading donors as a percentage of total ODA in 2011 include the United States (25%), European Union (13%), Inter-American Development Bank (13%) and Canada (11%). Only Australia and Canada increased ODA —Australia up from 0.5 per cent to 0.7 per cent, and Canada up from 10 per cent to 11 per cent.</w:t>
      </w:r>
      <w:r w:rsidRPr="00927C71">
        <w:rPr>
          <w:color w:val="FF0000"/>
          <w:highlight w:val="yellow"/>
        </w:rPr>
        <w:t xml:space="preserve"> </w:t>
      </w:r>
    </w:p>
  </w:footnote>
  <w:footnote w:id="9">
    <w:p w:rsidR="00730025" w:rsidRDefault="00730025">
      <w:pPr>
        <w:pStyle w:val="FootnoteText"/>
      </w:pPr>
      <w:r>
        <w:rPr>
          <w:rStyle w:val="FootnoteReference"/>
        </w:rPr>
        <w:footnoteRef/>
      </w:r>
      <w:r>
        <w:t xml:space="preserve"> </w:t>
      </w:r>
      <w:proofErr w:type="gramStart"/>
      <w:r>
        <w:t xml:space="preserve">Progress Evaluation of Australian Program of </w:t>
      </w:r>
      <w:r w:rsidRPr="000D017B">
        <w:t>Support to the Caribbean, 23 May 2013</w:t>
      </w:r>
      <w:r>
        <w:t xml:space="preserve"> (MTR).</w:t>
      </w:r>
      <w:proofErr w:type="gramEnd"/>
    </w:p>
  </w:footnote>
  <w:footnote w:id="10">
    <w:p w:rsidR="00730025" w:rsidRDefault="00730025" w:rsidP="00D536CE">
      <w:pPr>
        <w:pStyle w:val="FootnoteText"/>
      </w:pPr>
      <w:r>
        <w:rPr>
          <w:rStyle w:val="FootnoteReference"/>
        </w:rPr>
        <w:footnoteRef/>
      </w:r>
      <w:r>
        <w:t xml:space="preserve"> Verbal comments by the CARICOM Secretariat delegation that met with DFAT’s mid-term review team in Georgetown, Guyana, October 2012.</w:t>
      </w:r>
    </w:p>
  </w:footnote>
  <w:footnote w:id="11">
    <w:p w:rsidR="00730025" w:rsidRDefault="00730025">
      <w:pPr>
        <w:pStyle w:val="FootnoteText"/>
      </w:pPr>
      <w:r>
        <w:rPr>
          <w:rStyle w:val="FootnoteReference"/>
        </w:rPr>
        <w:footnoteRef/>
      </w:r>
      <w:r>
        <w:t xml:space="preserve"> Case study—Institutional Capacity Strengthening of the 5Cs, March 2012.</w:t>
      </w:r>
    </w:p>
  </w:footnote>
  <w:footnote w:id="12">
    <w:p w:rsidR="00730025" w:rsidRDefault="00730025">
      <w:pPr>
        <w:pStyle w:val="FootnoteText"/>
      </w:pPr>
      <w:r>
        <w:rPr>
          <w:rStyle w:val="FootnoteReference"/>
        </w:rPr>
        <w:footnoteRef/>
      </w:r>
      <w:r>
        <w:t xml:space="preserve"> Comprehensive Disaster Management—Harmonised Improvement Program: Phase 1, Year 4, Annual Progress Report, </w:t>
      </w:r>
      <w:proofErr w:type="gramStart"/>
      <w:r>
        <w:t>April</w:t>
      </w:r>
      <w:proofErr w:type="gramEnd"/>
      <w:r>
        <w:t xml:space="preserve"> 2011 to March 2012.</w:t>
      </w:r>
    </w:p>
  </w:footnote>
  <w:footnote w:id="13">
    <w:p w:rsidR="00730025" w:rsidRDefault="00730025">
      <w:pPr>
        <w:pStyle w:val="FootnoteText"/>
      </w:pPr>
      <w:r>
        <w:rPr>
          <w:rStyle w:val="FootnoteReference"/>
        </w:rPr>
        <w:footnoteRef/>
      </w:r>
      <w:r>
        <w:t xml:space="preserve"> </w:t>
      </w:r>
      <w:proofErr w:type="gramStart"/>
      <w:r>
        <w:t>Ibid.:</w:t>
      </w:r>
      <w:proofErr w:type="gramEnd"/>
      <w:r>
        <w:t xml:space="preserve"> Phase 1, Year 5 Six Monthly Progress Report, April 2012 to September 2012, October 2012.</w:t>
      </w:r>
    </w:p>
  </w:footnote>
  <w:footnote w:id="14">
    <w:p w:rsidR="00730025" w:rsidRDefault="00730025" w:rsidP="00DC36A0">
      <w:pPr>
        <w:pStyle w:val="FootnoteText"/>
      </w:pPr>
      <w:r>
        <w:rPr>
          <w:rStyle w:val="FootnoteReference"/>
        </w:rPr>
        <w:footnoteRef/>
      </w:r>
      <w:r>
        <w:t xml:space="preserve"> </w:t>
      </w:r>
      <w:r w:rsidRPr="00A11616">
        <w:rPr>
          <w:i/>
        </w:rPr>
        <w:t>Quality at Implementation Report for Caribbean Climate Change and Disaster Risk Reduction</w:t>
      </w:r>
      <w:r>
        <w:t>, March 2013.</w:t>
      </w:r>
    </w:p>
  </w:footnote>
  <w:footnote w:id="15">
    <w:p w:rsidR="00730025" w:rsidRDefault="00730025" w:rsidP="00E02F43">
      <w:pPr>
        <w:pStyle w:val="Default"/>
      </w:pPr>
      <w:r>
        <w:rPr>
          <w:rStyle w:val="FootnoteReference"/>
        </w:rPr>
        <w:footnoteRef/>
      </w:r>
      <w:r>
        <w:t xml:space="preserve"> </w:t>
      </w:r>
      <w:r w:rsidRPr="00C21F84">
        <w:rPr>
          <w:rFonts w:ascii="Times New Roman" w:eastAsia="Times New Roman" w:hAnsi="Times New Roman" w:cs="Times New Roman"/>
          <w:color w:val="auto"/>
          <w:sz w:val="14"/>
          <w:szCs w:val="20"/>
          <w:lang w:eastAsia="en-AU"/>
        </w:rPr>
        <w:t>Report of the 6th Meeting of the Comprehensive Disaster Management Harmonised Implementation Program Management Advisory Committee, 16 November 2012</w:t>
      </w:r>
      <w:r>
        <w:rPr>
          <w:rFonts w:ascii="Times New Roman" w:eastAsia="Times New Roman" w:hAnsi="Times New Roman" w:cs="Times New Roman"/>
          <w:color w:val="auto"/>
          <w:sz w:val="14"/>
          <w:szCs w:val="20"/>
          <w:lang w:eastAsia="en-AU"/>
        </w:rPr>
        <w:t>.</w:t>
      </w:r>
    </w:p>
  </w:footnote>
  <w:footnote w:id="16">
    <w:p w:rsidR="00730025" w:rsidRDefault="00730025">
      <w:pPr>
        <w:pStyle w:val="FootnoteText"/>
      </w:pPr>
      <w:r>
        <w:rPr>
          <w:rStyle w:val="FootnoteReference"/>
        </w:rPr>
        <w:footnoteRef/>
      </w:r>
      <w:r>
        <w:t xml:space="preserve"> United Nations Economic Commission for Latin America and the Caribbean mid-term report, 30 April 2012.</w:t>
      </w:r>
    </w:p>
  </w:footnote>
  <w:footnote w:id="17">
    <w:p w:rsidR="00730025" w:rsidRDefault="00730025">
      <w:pPr>
        <w:pStyle w:val="FootnoteText"/>
      </w:pPr>
      <w:r>
        <w:rPr>
          <w:rStyle w:val="FootnoteReference"/>
        </w:rPr>
        <w:footnoteRef/>
      </w:r>
      <w:r>
        <w:t xml:space="preserve"> University of West Indies, </w:t>
      </w:r>
      <w:r w:rsidRPr="0085230F">
        <w:t xml:space="preserve">Centre for Resource Management </w:t>
      </w:r>
      <w:r>
        <w:t>and</w:t>
      </w:r>
      <w:r w:rsidRPr="0085230F">
        <w:t xml:space="preserve"> Environmental </w:t>
      </w:r>
      <w:proofErr w:type="gramStart"/>
      <w:r w:rsidRPr="0085230F">
        <w:t xml:space="preserve">Studies </w:t>
      </w:r>
      <w:r>
        <w:t xml:space="preserve"> –</w:t>
      </w:r>
      <w:proofErr w:type="gramEnd"/>
      <w:r>
        <w:t xml:space="preserve"> </w:t>
      </w:r>
      <w:r w:rsidRPr="00DF579A">
        <w:rPr>
          <w:i/>
        </w:rPr>
        <w:t>Australian Aid Programme 2011 Annual Program Report to 31 March 2013</w:t>
      </w:r>
      <w:r>
        <w:t xml:space="preserve">. </w:t>
      </w:r>
    </w:p>
  </w:footnote>
  <w:footnote w:id="18">
    <w:p w:rsidR="00730025" w:rsidRDefault="00730025" w:rsidP="00E02F43">
      <w:pPr>
        <w:pStyle w:val="FootnoteText"/>
      </w:pPr>
      <w:r w:rsidRPr="00BA41F4">
        <w:rPr>
          <w:rStyle w:val="FootnoteReference"/>
          <w:szCs w:val="16"/>
        </w:rPr>
        <w:footnoteRef/>
      </w:r>
      <w:r w:rsidRPr="00BA41F4">
        <w:rPr>
          <w:rStyle w:val="FootnoteReference"/>
          <w:szCs w:val="16"/>
        </w:rPr>
        <w:t xml:space="preserve"> Austral</w:t>
      </w:r>
      <w:r>
        <w:rPr>
          <w:rStyle w:val="FootnoteReference"/>
          <w:szCs w:val="16"/>
        </w:rPr>
        <w:t>i</w:t>
      </w:r>
      <w:r w:rsidRPr="00BA41F4">
        <w:rPr>
          <w:rStyle w:val="FootnoteReference"/>
          <w:szCs w:val="16"/>
        </w:rPr>
        <w:t>a</w:t>
      </w:r>
      <w:r>
        <w:rPr>
          <w:rStyle w:val="FootnoteReference"/>
          <w:szCs w:val="16"/>
        </w:rPr>
        <w:t xml:space="preserve"> </w:t>
      </w:r>
      <w:r>
        <w:rPr>
          <w:rStyle w:val="FootnoteReference"/>
          <w:szCs w:val="16"/>
        </w:rPr>
        <w:softHyphen/>
        <w:t>-</w:t>
      </w:r>
      <w:r>
        <w:rPr>
          <w:szCs w:val="16"/>
        </w:rPr>
        <w:t xml:space="preserve"> </w:t>
      </w:r>
      <w:r w:rsidRPr="00BA41F4">
        <w:rPr>
          <w:rStyle w:val="FootnoteReference"/>
          <w:szCs w:val="16"/>
        </w:rPr>
        <w:t xml:space="preserve">Caribbean Coral Reef Collaboration. Brief overview of project progress as input to </w:t>
      </w:r>
      <w:r>
        <w:rPr>
          <w:rStyle w:val="FootnoteReference"/>
          <w:szCs w:val="16"/>
        </w:rPr>
        <w:t>the MTR</w:t>
      </w:r>
      <w:r>
        <w:rPr>
          <w:szCs w:val="16"/>
        </w:rPr>
        <w:t>.</w:t>
      </w:r>
    </w:p>
  </w:footnote>
  <w:footnote w:id="19">
    <w:p w:rsidR="00730025" w:rsidRDefault="00730025" w:rsidP="009832E6">
      <w:pPr>
        <w:pStyle w:val="FootnoteText"/>
      </w:pPr>
      <w:r>
        <w:rPr>
          <w:rStyle w:val="FootnoteReference"/>
        </w:rPr>
        <w:footnoteRef/>
      </w:r>
      <w:r>
        <w:t xml:space="preserve"> </w:t>
      </w:r>
      <w:proofErr w:type="gramStart"/>
      <w:r w:rsidRPr="00110511">
        <w:t xml:space="preserve">CARTAC </w:t>
      </w:r>
      <w:r>
        <w:t>annual report 2011–12.</w:t>
      </w:r>
      <w:proofErr w:type="gramEnd"/>
    </w:p>
  </w:footnote>
  <w:footnote w:id="20">
    <w:p w:rsidR="00730025" w:rsidRDefault="00730025">
      <w:pPr>
        <w:pStyle w:val="FootnoteText"/>
      </w:pPr>
      <w:r>
        <w:rPr>
          <w:rStyle w:val="FootnoteReference"/>
        </w:rPr>
        <w:footnoteRef/>
      </w:r>
      <w:r>
        <w:t xml:space="preserve"> </w:t>
      </w:r>
      <w:r w:rsidRPr="00A11616">
        <w:rPr>
          <w:i/>
        </w:rPr>
        <w:t>Quality at Implementation Report for Economic Resilience – Caribbean</w:t>
      </w:r>
      <w:r>
        <w:t>, 11 March 2013.</w:t>
      </w:r>
    </w:p>
  </w:footnote>
  <w:footnote w:id="21">
    <w:p w:rsidR="00730025" w:rsidRDefault="00730025">
      <w:pPr>
        <w:pStyle w:val="FootnoteText"/>
      </w:pPr>
      <w:r>
        <w:rPr>
          <w:rStyle w:val="FootnoteReference"/>
        </w:rPr>
        <w:footnoteRef/>
      </w:r>
      <w:r>
        <w:t xml:space="preserve"> CARTAC Steering Committee meeting, 29 May 2013.</w:t>
      </w:r>
    </w:p>
  </w:footnote>
  <w:footnote w:id="22">
    <w:p w:rsidR="00730025" w:rsidRDefault="00730025">
      <w:pPr>
        <w:pStyle w:val="FootnoteText"/>
      </w:pPr>
      <w:r>
        <w:rPr>
          <w:rStyle w:val="FootnoteReference"/>
        </w:rPr>
        <w:footnoteRef/>
      </w:r>
      <w:r>
        <w:t xml:space="preserve"> </w:t>
      </w:r>
      <w:proofErr w:type="gramStart"/>
      <w:r>
        <w:t>Mid-term review, Aide Memoire, p. 2, October 2012.</w:t>
      </w:r>
      <w:proofErr w:type="gramEnd"/>
    </w:p>
  </w:footnote>
  <w:footnote w:id="23">
    <w:p w:rsidR="00730025" w:rsidRDefault="00730025">
      <w:pPr>
        <w:pStyle w:val="FootnoteText"/>
      </w:pPr>
      <w:r>
        <w:rPr>
          <w:rStyle w:val="FootnoteReference"/>
        </w:rPr>
        <w:footnoteRef/>
      </w:r>
      <w:r>
        <w:t xml:space="preserve"> IFC Progress Report, June 2012.</w:t>
      </w:r>
    </w:p>
  </w:footnote>
  <w:footnote w:id="24">
    <w:p w:rsidR="00730025" w:rsidRPr="00443945" w:rsidRDefault="00730025" w:rsidP="00443945">
      <w:pPr>
        <w:autoSpaceDE w:val="0"/>
        <w:autoSpaceDN w:val="0"/>
        <w:adjustRightInd w:val="0"/>
        <w:jc w:val="both"/>
        <w:rPr>
          <w:sz w:val="16"/>
          <w:szCs w:val="20"/>
        </w:rPr>
      </w:pPr>
      <w:r>
        <w:rPr>
          <w:rStyle w:val="FootnoteReference"/>
        </w:rPr>
        <w:footnoteRef/>
      </w:r>
      <w:r>
        <w:t xml:space="preserve"> </w:t>
      </w:r>
      <w:r w:rsidRPr="00443945">
        <w:rPr>
          <w:rStyle w:val="FootnoteTextChar"/>
          <w:rFonts w:eastAsia="SimSun"/>
        </w:rPr>
        <w:t>Press release: IFC Helps OECS [Organization of Eastern Caribbean States] Bureaus of Standards Improve and Simplify Trade Logistics Procedure, 7 May 2013.</w:t>
      </w:r>
    </w:p>
  </w:footnote>
  <w:footnote w:id="25">
    <w:p w:rsidR="00730025" w:rsidRDefault="00730025" w:rsidP="00E02F43">
      <w:pPr>
        <w:pStyle w:val="FootnoteText"/>
      </w:pPr>
      <w:r>
        <w:rPr>
          <w:rStyle w:val="FootnoteReference"/>
        </w:rPr>
        <w:footnoteRef/>
      </w:r>
      <w:r>
        <w:t xml:space="preserve"> YUTE Progress Report, 25 March 2013.</w:t>
      </w:r>
    </w:p>
  </w:footnote>
  <w:footnote w:id="26">
    <w:p w:rsidR="00730025" w:rsidRDefault="00730025">
      <w:pPr>
        <w:pStyle w:val="FootnoteText"/>
      </w:pPr>
      <w:r>
        <w:rPr>
          <w:rStyle w:val="FootnoteReference"/>
        </w:rPr>
        <w:footnoteRef/>
      </w:r>
      <w:r>
        <w:t xml:space="preserve"> This feedback was provided to the Australian National University through the questionnaires completed and submitted by participants after</w:t>
      </w:r>
      <w:r w:rsidRPr="00822351">
        <w:t xml:space="preserve"> </w:t>
      </w:r>
      <w:r>
        <w:t xml:space="preserve">the </w:t>
      </w:r>
      <w:r w:rsidRPr="00822351">
        <w:t>August 2012</w:t>
      </w:r>
      <w:r>
        <w:t xml:space="preserve"> training.</w:t>
      </w:r>
    </w:p>
  </w:footnote>
  <w:footnote w:id="27">
    <w:p w:rsidR="00730025" w:rsidRDefault="00730025">
      <w:pPr>
        <w:pStyle w:val="FootnoteText"/>
      </w:pPr>
      <w:r>
        <w:rPr>
          <w:rStyle w:val="FootnoteReference"/>
        </w:rPr>
        <w:footnoteRef/>
      </w:r>
      <w:r>
        <w:t xml:space="preserve"> This recommendation was provided in the </w:t>
      </w:r>
      <w:r w:rsidRPr="00FD7616">
        <w:rPr>
          <w:i/>
        </w:rPr>
        <w:t>QAI Report for (Caribbean People-to-People)</w:t>
      </w:r>
      <w:r>
        <w:t xml:space="preserve"> finalised in April 201</w:t>
      </w:r>
      <w:r w:rsidRPr="00FD7616">
        <w:t>3.</w:t>
      </w:r>
    </w:p>
  </w:footnote>
  <w:footnote w:id="28">
    <w:p w:rsidR="00730025" w:rsidRDefault="00730025" w:rsidP="00BD4D7D">
      <w:pPr>
        <w:pStyle w:val="FootnoteText"/>
      </w:pPr>
      <w:r>
        <w:rPr>
          <w:rStyle w:val="FootnoteReference"/>
        </w:rPr>
        <w:footnoteRef/>
      </w:r>
      <w:r>
        <w:t xml:space="preserve"> </w:t>
      </w:r>
      <w:proofErr w:type="gramStart"/>
      <w:r>
        <w:t>Mid-term review, 23 May 2013.</w:t>
      </w:r>
      <w:proofErr w:type="gramEnd"/>
    </w:p>
  </w:footnote>
  <w:footnote w:id="29">
    <w:p w:rsidR="00730025" w:rsidRPr="00071B95" w:rsidRDefault="00730025" w:rsidP="00E02F43">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30">
    <w:p w:rsidR="00730025" w:rsidRPr="00071B95" w:rsidRDefault="00730025" w:rsidP="00E02F43">
      <w:pPr>
        <w:pStyle w:val="FootnoteText"/>
      </w:pPr>
      <w:r w:rsidRPr="00F77E6A">
        <w:rPr>
          <w:rStyle w:val="FootnoteReference"/>
        </w:rPr>
        <w:footnoteRef/>
      </w:r>
      <w:proofErr w:type="gramStart"/>
      <w:r w:rsidRPr="00071B95">
        <w:t xml:space="preserve">Mid-term review, </w:t>
      </w:r>
      <w:r>
        <w:t>c</w:t>
      </w:r>
      <w:r w:rsidRPr="00071B95">
        <w:t>ompletion report, partner-led evaluation, joint evaluation</w:t>
      </w:r>
      <w:r>
        <w:t>.</w:t>
      </w:r>
      <w:proofErr w:type="gramEnd"/>
    </w:p>
  </w:footnote>
  <w:footnote w:id="31">
    <w:p w:rsidR="00730025" w:rsidRPr="00551C11" w:rsidRDefault="00730025" w:rsidP="00E02F43">
      <w:pPr>
        <w:pStyle w:val="FootnoteText"/>
      </w:pPr>
      <w:r w:rsidRPr="00F77E6A">
        <w:rPr>
          <w:rStyle w:val="FootnoteReference"/>
        </w:rPr>
        <w:footnoteRef/>
      </w:r>
      <w:r w:rsidRPr="00071B95">
        <w:t>To inform a future phase of program, improve existing program;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Default="00730025">
    <w:pPr>
      <w:pStyle w:val="Header"/>
    </w:pPr>
  </w:p>
  <w:p w:rsidR="00730025" w:rsidRDefault="00730025">
    <w:r>
      <w:rPr>
        <w:noProof/>
      </w:rPr>
      <w:drawing>
        <wp:anchor distT="0" distB="0" distL="114300" distR="114300" simplePos="0" relativeHeight="251663360" behindDoc="0" locked="0" layoutInCell="1" allowOverlap="1" wp14:anchorId="3801EE11" wp14:editId="3D16C889">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Default="00730025">
    <w:pPr>
      <w:pStyle w:val="Header"/>
    </w:pPr>
    <w:r>
      <w:rPr>
        <w:noProof/>
      </w:rPr>
      <w:drawing>
        <wp:anchor distT="0" distB="0" distL="114300" distR="114300" simplePos="0" relativeHeight="251665408" behindDoc="0" locked="0" layoutInCell="1" allowOverlap="1" wp14:anchorId="3BF4A109" wp14:editId="32D29C7A">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Default="00730025">
    <w:pPr>
      <w:pStyle w:val="Header"/>
    </w:pPr>
  </w:p>
  <w:p w:rsidR="00730025" w:rsidRDefault="007300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Default="007300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Default="00730025">
    <w:pPr>
      <w:pStyle w:val="Header"/>
    </w:pPr>
    <w:r>
      <w:rPr>
        <w:noProof/>
      </w:rPr>
      <w:drawing>
        <wp:anchor distT="0" distB="0" distL="114300" distR="114300" simplePos="0" relativeHeight="251667456" behindDoc="0" locked="0" layoutInCell="1" allowOverlap="1" wp14:anchorId="35A30A79" wp14:editId="4AD5A164">
          <wp:simplePos x="0" y="0"/>
          <wp:positionH relativeFrom="page">
            <wp:align>left</wp:align>
          </wp:positionH>
          <wp:positionV relativeFrom="page">
            <wp:align>top</wp:align>
          </wp:positionV>
          <wp:extent cx="7560000" cy="1440000"/>
          <wp:effectExtent l="0" t="0" r="3175"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rsidR="00730025" w:rsidRDefault="0073002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Default="007300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5" w:rsidRDefault="00730025">
    <w:pPr>
      <w:pStyle w:val="Header"/>
    </w:pPr>
  </w:p>
  <w:p w:rsidR="00730025" w:rsidRDefault="007300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1542D94"/>
    <w:multiLevelType w:val="hybridMultilevel"/>
    <w:tmpl w:val="67A82B6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nsid w:val="05221956"/>
    <w:multiLevelType w:val="hybridMultilevel"/>
    <w:tmpl w:val="4FDE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B40BC1"/>
    <w:multiLevelType w:val="hybridMultilevel"/>
    <w:tmpl w:val="5B6CD5E0"/>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0D0936"/>
    <w:multiLevelType w:val="hybridMultilevel"/>
    <w:tmpl w:val="26E46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376BC9"/>
    <w:multiLevelType w:val="hybridMultilevel"/>
    <w:tmpl w:val="AC20CD5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nsid w:val="13B37695"/>
    <w:multiLevelType w:val="hybridMultilevel"/>
    <w:tmpl w:val="F81E3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9522662"/>
    <w:multiLevelType w:val="hybridMultilevel"/>
    <w:tmpl w:val="645CB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8102E9"/>
    <w:multiLevelType w:val="hybridMultilevel"/>
    <w:tmpl w:val="8C6A3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2B798C"/>
    <w:multiLevelType w:val="hybridMultilevel"/>
    <w:tmpl w:val="2BA47A1A"/>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4">
    <w:nsid w:val="24C601CB"/>
    <w:multiLevelType w:val="hybridMultilevel"/>
    <w:tmpl w:val="D700CFD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
    <w:nsid w:val="256C59DB"/>
    <w:multiLevelType w:val="hybridMultilevel"/>
    <w:tmpl w:val="2ECA62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DB0EE2"/>
    <w:multiLevelType w:val="hybridMultilevel"/>
    <w:tmpl w:val="739C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293397"/>
    <w:multiLevelType w:val="hybridMultilevel"/>
    <w:tmpl w:val="C6A2D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077DC3"/>
    <w:multiLevelType w:val="hybridMultilevel"/>
    <w:tmpl w:val="0F9C4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F850D2"/>
    <w:multiLevelType w:val="hybridMultilevel"/>
    <w:tmpl w:val="913E5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3190E53"/>
    <w:multiLevelType w:val="hybridMultilevel"/>
    <w:tmpl w:val="73D0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2532C"/>
    <w:multiLevelType w:val="hybridMultilevel"/>
    <w:tmpl w:val="298C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585D66"/>
    <w:multiLevelType w:val="hybridMultilevel"/>
    <w:tmpl w:val="AE88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3403EB"/>
    <w:multiLevelType w:val="hybridMultilevel"/>
    <w:tmpl w:val="005E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7431BF1"/>
    <w:multiLevelType w:val="hybridMultilevel"/>
    <w:tmpl w:val="6B144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EF35C5"/>
    <w:multiLevelType w:val="hybridMultilevel"/>
    <w:tmpl w:val="25B62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5D3543"/>
    <w:multiLevelType w:val="hybridMultilevel"/>
    <w:tmpl w:val="EE6088D2"/>
    <w:lvl w:ilvl="0" w:tplc="2E746F3A">
      <w:start w:val="1"/>
      <w:numFmt w:val="decimal"/>
      <w:pStyle w:val="List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7F93B35"/>
    <w:multiLevelType w:val="hybridMultilevel"/>
    <w:tmpl w:val="4F12D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796377F"/>
    <w:multiLevelType w:val="hybridMultilevel"/>
    <w:tmpl w:val="70D4E5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2E376B"/>
    <w:multiLevelType w:val="hybridMultilevel"/>
    <w:tmpl w:val="60B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44041"/>
    <w:multiLevelType w:val="hybridMultilevel"/>
    <w:tmpl w:val="42844390"/>
    <w:lvl w:ilvl="0" w:tplc="2D3EFFA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AE7CCC"/>
    <w:multiLevelType w:val="hybridMultilevel"/>
    <w:tmpl w:val="4A76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770704"/>
    <w:multiLevelType w:val="hybridMultilevel"/>
    <w:tmpl w:val="C6DE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2AB6992"/>
    <w:multiLevelType w:val="hybridMultilevel"/>
    <w:tmpl w:val="36444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51C03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7CE7851"/>
    <w:multiLevelType w:val="hybridMultilevel"/>
    <w:tmpl w:val="19621AB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6">
    <w:nsid w:val="79E1124E"/>
    <w:multiLevelType w:val="hybridMultilevel"/>
    <w:tmpl w:val="34588188"/>
    <w:lvl w:ilvl="0" w:tplc="20CCB2EA">
      <w:start w:val="1"/>
      <w:numFmt w:val="lowerLetter"/>
      <w:pStyle w:val="ListNumber2"/>
      <w:lvlText w:val="%1)"/>
      <w:lvlJc w:val="left"/>
      <w:pPr>
        <w:ind w:left="717" w:hanging="360"/>
      </w:pPr>
      <w:rPr>
        <w:rFonts w:hint="default"/>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47">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8"/>
  </w:num>
  <w:num w:numId="3">
    <w:abstractNumId w:val="12"/>
  </w:num>
  <w:num w:numId="4">
    <w:abstractNumId w:val="33"/>
  </w:num>
  <w:num w:numId="5">
    <w:abstractNumId w:val="9"/>
  </w:num>
  <w:num w:numId="6">
    <w:abstractNumId w:val="31"/>
  </w:num>
  <w:num w:numId="7">
    <w:abstractNumId w:val="26"/>
  </w:num>
  <w:num w:numId="8">
    <w:abstractNumId w:val="22"/>
  </w:num>
  <w:num w:numId="9">
    <w:abstractNumId w:val="35"/>
  </w:num>
  <w:num w:numId="10">
    <w:abstractNumId w:val="8"/>
  </w:num>
  <w:num w:numId="11">
    <w:abstractNumId w:val="30"/>
  </w:num>
  <w:num w:numId="12">
    <w:abstractNumId w:val="39"/>
  </w:num>
  <w:num w:numId="13">
    <w:abstractNumId w:val="13"/>
  </w:num>
  <w:num w:numId="14">
    <w:abstractNumId w:val="46"/>
  </w:num>
  <w:num w:numId="15">
    <w:abstractNumId w:val="47"/>
  </w:num>
  <w:num w:numId="16">
    <w:abstractNumId w:val="20"/>
  </w:num>
  <w:num w:numId="17">
    <w:abstractNumId w:val="0"/>
  </w:num>
  <w:num w:numId="18">
    <w:abstractNumId w:val="4"/>
  </w:num>
  <w:num w:numId="19">
    <w:abstractNumId w:val="3"/>
  </w:num>
  <w:num w:numId="20">
    <w:abstractNumId w:val="28"/>
  </w:num>
  <w:num w:numId="21">
    <w:abstractNumId w:val="32"/>
  </w:num>
  <w:num w:numId="22">
    <w:abstractNumId w:val="37"/>
  </w:num>
  <w:num w:numId="23">
    <w:abstractNumId w:val="41"/>
  </w:num>
  <w:num w:numId="24">
    <w:abstractNumId w:val="15"/>
  </w:num>
  <w:num w:numId="25">
    <w:abstractNumId w:val="45"/>
  </w:num>
  <w:num w:numId="26">
    <w:abstractNumId w:val="1"/>
  </w:num>
  <w:num w:numId="27">
    <w:abstractNumId w:val="6"/>
  </w:num>
  <w:num w:numId="28">
    <w:abstractNumId w:val="14"/>
  </w:num>
  <w:num w:numId="29">
    <w:abstractNumId w:val="10"/>
  </w:num>
  <w:num w:numId="30">
    <w:abstractNumId w:val="40"/>
  </w:num>
  <w:num w:numId="31">
    <w:abstractNumId w:val="16"/>
  </w:num>
  <w:num w:numId="32">
    <w:abstractNumId w:val="36"/>
  </w:num>
  <w:num w:numId="33">
    <w:abstractNumId w:val="17"/>
  </w:num>
  <w:num w:numId="34">
    <w:abstractNumId w:val="25"/>
  </w:num>
  <w:num w:numId="35">
    <w:abstractNumId w:val="23"/>
  </w:num>
  <w:num w:numId="36">
    <w:abstractNumId w:val="27"/>
  </w:num>
  <w:num w:numId="37">
    <w:abstractNumId w:val="5"/>
  </w:num>
  <w:num w:numId="38">
    <w:abstractNumId w:val="24"/>
  </w:num>
  <w:num w:numId="39">
    <w:abstractNumId w:val="11"/>
  </w:num>
  <w:num w:numId="40">
    <w:abstractNumId w:val="19"/>
  </w:num>
  <w:num w:numId="41">
    <w:abstractNumId w:val="2"/>
  </w:num>
  <w:num w:numId="42">
    <w:abstractNumId w:val="42"/>
  </w:num>
  <w:num w:numId="43">
    <w:abstractNumId w:val="7"/>
  </w:num>
  <w:num w:numId="44">
    <w:abstractNumId w:val="21"/>
  </w:num>
  <w:num w:numId="45">
    <w:abstractNumId w:val="43"/>
  </w:num>
  <w:num w:numId="46">
    <w:abstractNumId w:val="44"/>
  </w:num>
  <w:num w:numId="47">
    <w:abstractNumId w:val="12"/>
  </w:num>
  <w:num w:numId="48">
    <w:abstractNumId w:val="12"/>
  </w:num>
  <w:num w:numId="49">
    <w:abstractNumId w:val="18"/>
  </w:num>
  <w:num w:numId="50">
    <w:abstractNumId w:val="33"/>
    <w:lvlOverride w:ilvl="0">
      <w:startOverride w:val="1"/>
    </w:lvlOverride>
  </w:num>
  <w:num w:numId="51">
    <w:abstractNumId w:val="29"/>
  </w:num>
  <w:num w:numId="52">
    <w:abstractNumId w:val="29"/>
    <w:lvlOverride w:ilvl="0">
      <w:startOverride w:val="1"/>
    </w:lvlOverride>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46"/>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43"/>
    <w:rsid w:val="00015751"/>
    <w:rsid w:val="00033C93"/>
    <w:rsid w:val="0004302C"/>
    <w:rsid w:val="00046BDD"/>
    <w:rsid w:val="00051653"/>
    <w:rsid w:val="00052B2D"/>
    <w:rsid w:val="00053B8C"/>
    <w:rsid w:val="00057184"/>
    <w:rsid w:val="00057917"/>
    <w:rsid w:val="00061AAF"/>
    <w:rsid w:val="00064269"/>
    <w:rsid w:val="000648D2"/>
    <w:rsid w:val="0006728D"/>
    <w:rsid w:val="00072F5D"/>
    <w:rsid w:val="00076184"/>
    <w:rsid w:val="000772A5"/>
    <w:rsid w:val="000806D9"/>
    <w:rsid w:val="000864B9"/>
    <w:rsid w:val="000908B9"/>
    <w:rsid w:val="00090A64"/>
    <w:rsid w:val="00095269"/>
    <w:rsid w:val="0009599A"/>
    <w:rsid w:val="000A7B57"/>
    <w:rsid w:val="000B7884"/>
    <w:rsid w:val="000C0B76"/>
    <w:rsid w:val="000C6E31"/>
    <w:rsid w:val="000D017B"/>
    <w:rsid w:val="000D0825"/>
    <w:rsid w:val="000D3EF8"/>
    <w:rsid w:val="000D4770"/>
    <w:rsid w:val="000E2CF7"/>
    <w:rsid w:val="000E3F55"/>
    <w:rsid w:val="000E3FA9"/>
    <w:rsid w:val="000E43B3"/>
    <w:rsid w:val="000E4688"/>
    <w:rsid w:val="000E517F"/>
    <w:rsid w:val="000F4086"/>
    <w:rsid w:val="00100C70"/>
    <w:rsid w:val="0010360A"/>
    <w:rsid w:val="00110511"/>
    <w:rsid w:val="001139B3"/>
    <w:rsid w:val="0011547C"/>
    <w:rsid w:val="00116AEF"/>
    <w:rsid w:val="001267B5"/>
    <w:rsid w:val="00133622"/>
    <w:rsid w:val="00135F7D"/>
    <w:rsid w:val="001373D8"/>
    <w:rsid w:val="00143F13"/>
    <w:rsid w:val="00160D2E"/>
    <w:rsid w:val="00163828"/>
    <w:rsid w:val="00174AA5"/>
    <w:rsid w:val="001833D7"/>
    <w:rsid w:val="00183C5F"/>
    <w:rsid w:val="00186CFA"/>
    <w:rsid w:val="001904B6"/>
    <w:rsid w:val="00191BB1"/>
    <w:rsid w:val="00193686"/>
    <w:rsid w:val="00196A2A"/>
    <w:rsid w:val="001A01CD"/>
    <w:rsid w:val="001A22EF"/>
    <w:rsid w:val="001A3883"/>
    <w:rsid w:val="001A573B"/>
    <w:rsid w:val="001B6E10"/>
    <w:rsid w:val="001B7976"/>
    <w:rsid w:val="001C0574"/>
    <w:rsid w:val="001C65C4"/>
    <w:rsid w:val="001C7743"/>
    <w:rsid w:val="001D2AD2"/>
    <w:rsid w:val="001D78D9"/>
    <w:rsid w:val="001E5B34"/>
    <w:rsid w:val="001E7822"/>
    <w:rsid w:val="001E7AD1"/>
    <w:rsid w:val="001F4B65"/>
    <w:rsid w:val="00200E29"/>
    <w:rsid w:val="0020514C"/>
    <w:rsid w:val="00205830"/>
    <w:rsid w:val="00206B20"/>
    <w:rsid w:val="00207DEA"/>
    <w:rsid w:val="002149E0"/>
    <w:rsid w:val="00216EE7"/>
    <w:rsid w:val="00224612"/>
    <w:rsid w:val="00226E23"/>
    <w:rsid w:val="002270EF"/>
    <w:rsid w:val="002507D0"/>
    <w:rsid w:val="00252C4E"/>
    <w:rsid w:val="00252C81"/>
    <w:rsid w:val="002563DC"/>
    <w:rsid w:val="0026098D"/>
    <w:rsid w:val="00262919"/>
    <w:rsid w:val="00262B11"/>
    <w:rsid w:val="00272087"/>
    <w:rsid w:val="002870B1"/>
    <w:rsid w:val="00290D9F"/>
    <w:rsid w:val="00291EA7"/>
    <w:rsid w:val="0029382B"/>
    <w:rsid w:val="00297FC3"/>
    <w:rsid w:val="002A3EBB"/>
    <w:rsid w:val="002A536E"/>
    <w:rsid w:val="002A5CDA"/>
    <w:rsid w:val="002A7C5D"/>
    <w:rsid w:val="002B01B4"/>
    <w:rsid w:val="002C32E1"/>
    <w:rsid w:val="002D4851"/>
    <w:rsid w:val="002E1F83"/>
    <w:rsid w:val="002E3D10"/>
    <w:rsid w:val="002E64A2"/>
    <w:rsid w:val="002E682E"/>
    <w:rsid w:val="002F12B9"/>
    <w:rsid w:val="002F4872"/>
    <w:rsid w:val="002F5016"/>
    <w:rsid w:val="00301D0C"/>
    <w:rsid w:val="003048FF"/>
    <w:rsid w:val="00305A44"/>
    <w:rsid w:val="003111DF"/>
    <w:rsid w:val="00344179"/>
    <w:rsid w:val="003465FD"/>
    <w:rsid w:val="003529CC"/>
    <w:rsid w:val="003614D0"/>
    <w:rsid w:val="0037181B"/>
    <w:rsid w:val="0038224D"/>
    <w:rsid w:val="00384808"/>
    <w:rsid w:val="00384DEC"/>
    <w:rsid w:val="003923E8"/>
    <w:rsid w:val="003A2D39"/>
    <w:rsid w:val="003A6631"/>
    <w:rsid w:val="003B1486"/>
    <w:rsid w:val="003C145A"/>
    <w:rsid w:val="003C281D"/>
    <w:rsid w:val="003D0216"/>
    <w:rsid w:val="003D3655"/>
    <w:rsid w:val="003D4A78"/>
    <w:rsid w:val="003E4E70"/>
    <w:rsid w:val="003E6E72"/>
    <w:rsid w:val="003F77F8"/>
    <w:rsid w:val="003F7868"/>
    <w:rsid w:val="003F7BB3"/>
    <w:rsid w:val="0040154A"/>
    <w:rsid w:val="0040312E"/>
    <w:rsid w:val="004035F4"/>
    <w:rsid w:val="004108B9"/>
    <w:rsid w:val="00411EB3"/>
    <w:rsid w:val="00413622"/>
    <w:rsid w:val="00414ED1"/>
    <w:rsid w:val="00416969"/>
    <w:rsid w:val="0042264A"/>
    <w:rsid w:val="0043046D"/>
    <w:rsid w:val="004330C7"/>
    <w:rsid w:val="004339A1"/>
    <w:rsid w:val="004365B2"/>
    <w:rsid w:val="004428E6"/>
    <w:rsid w:val="00443945"/>
    <w:rsid w:val="00444081"/>
    <w:rsid w:val="00446601"/>
    <w:rsid w:val="004516F9"/>
    <w:rsid w:val="00452C87"/>
    <w:rsid w:val="004536ED"/>
    <w:rsid w:val="00457E51"/>
    <w:rsid w:val="004671D8"/>
    <w:rsid w:val="0047197E"/>
    <w:rsid w:val="00472BE7"/>
    <w:rsid w:val="00472D3A"/>
    <w:rsid w:val="004808CF"/>
    <w:rsid w:val="00491AE7"/>
    <w:rsid w:val="004A2049"/>
    <w:rsid w:val="004B1D6E"/>
    <w:rsid w:val="004B4A72"/>
    <w:rsid w:val="004B5455"/>
    <w:rsid w:val="004B7C4B"/>
    <w:rsid w:val="004C1D77"/>
    <w:rsid w:val="004C6DEA"/>
    <w:rsid w:val="004D0922"/>
    <w:rsid w:val="004D32F2"/>
    <w:rsid w:val="004E4F15"/>
    <w:rsid w:val="004E6F08"/>
    <w:rsid w:val="004F0972"/>
    <w:rsid w:val="004F6604"/>
    <w:rsid w:val="0050039C"/>
    <w:rsid w:val="005122A9"/>
    <w:rsid w:val="0052053C"/>
    <w:rsid w:val="00520A51"/>
    <w:rsid w:val="005252AF"/>
    <w:rsid w:val="005252C0"/>
    <w:rsid w:val="00527523"/>
    <w:rsid w:val="005339E8"/>
    <w:rsid w:val="00541949"/>
    <w:rsid w:val="00541C0B"/>
    <w:rsid w:val="00542125"/>
    <w:rsid w:val="00543058"/>
    <w:rsid w:val="00543423"/>
    <w:rsid w:val="00553AF6"/>
    <w:rsid w:val="0055413E"/>
    <w:rsid w:val="0055428E"/>
    <w:rsid w:val="0056247F"/>
    <w:rsid w:val="00563205"/>
    <w:rsid w:val="00567AB1"/>
    <w:rsid w:val="00567E3E"/>
    <w:rsid w:val="005776C3"/>
    <w:rsid w:val="0058293B"/>
    <w:rsid w:val="0058444A"/>
    <w:rsid w:val="00585631"/>
    <w:rsid w:val="005868DF"/>
    <w:rsid w:val="005929F9"/>
    <w:rsid w:val="005952EA"/>
    <w:rsid w:val="00595FA8"/>
    <w:rsid w:val="005A044D"/>
    <w:rsid w:val="005A0528"/>
    <w:rsid w:val="005B4C4E"/>
    <w:rsid w:val="005B51F1"/>
    <w:rsid w:val="005B5E87"/>
    <w:rsid w:val="005B7C52"/>
    <w:rsid w:val="005C0E66"/>
    <w:rsid w:val="005C7141"/>
    <w:rsid w:val="005C7E9C"/>
    <w:rsid w:val="005D71E7"/>
    <w:rsid w:val="005E0BD0"/>
    <w:rsid w:val="005E0C56"/>
    <w:rsid w:val="005E4C64"/>
    <w:rsid w:val="005E5D60"/>
    <w:rsid w:val="005E6716"/>
    <w:rsid w:val="005F0728"/>
    <w:rsid w:val="005F4E89"/>
    <w:rsid w:val="005F59B1"/>
    <w:rsid w:val="00610849"/>
    <w:rsid w:val="006117CD"/>
    <w:rsid w:val="006134A3"/>
    <w:rsid w:val="00621EB1"/>
    <w:rsid w:val="00622C70"/>
    <w:rsid w:val="00623DE5"/>
    <w:rsid w:val="00641A72"/>
    <w:rsid w:val="006505E1"/>
    <w:rsid w:val="00650B3E"/>
    <w:rsid w:val="00660ACB"/>
    <w:rsid w:val="00663EE0"/>
    <w:rsid w:val="0067375E"/>
    <w:rsid w:val="00675CDC"/>
    <w:rsid w:val="00676F8B"/>
    <w:rsid w:val="00681B7D"/>
    <w:rsid w:val="00683EF9"/>
    <w:rsid w:val="006855C4"/>
    <w:rsid w:val="00685BD6"/>
    <w:rsid w:val="00690FB1"/>
    <w:rsid w:val="006A00A2"/>
    <w:rsid w:val="006A1097"/>
    <w:rsid w:val="006A17B8"/>
    <w:rsid w:val="006B0399"/>
    <w:rsid w:val="006B2D81"/>
    <w:rsid w:val="006B3EED"/>
    <w:rsid w:val="006B53EE"/>
    <w:rsid w:val="006C0CEB"/>
    <w:rsid w:val="006C3EC3"/>
    <w:rsid w:val="006C4432"/>
    <w:rsid w:val="006C4831"/>
    <w:rsid w:val="006C5D2F"/>
    <w:rsid w:val="006D0B40"/>
    <w:rsid w:val="006D2149"/>
    <w:rsid w:val="006D4A20"/>
    <w:rsid w:val="006D5C09"/>
    <w:rsid w:val="006E4B94"/>
    <w:rsid w:val="007043C1"/>
    <w:rsid w:val="007045F4"/>
    <w:rsid w:val="00712902"/>
    <w:rsid w:val="0071725D"/>
    <w:rsid w:val="00725037"/>
    <w:rsid w:val="00730025"/>
    <w:rsid w:val="0073070B"/>
    <w:rsid w:val="00736297"/>
    <w:rsid w:val="0073699F"/>
    <w:rsid w:val="00750548"/>
    <w:rsid w:val="00751B48"/>
    <w:rsid w:val="00751F70"/>
    <w:rsid w:val="007531FB"/>
    <w:rsid w:val="00766B32"/>
    <w:rsid w:val="00780A6E"/>
    <w:rsid w:val="0078276B"/>
    <w:rsid w:val="00782DCC"/>
    <w:rsid w:val="0078693A"/>
    <w:rsid w:val="00786F9E"/>
    <w:rsid w:val="007A54ED"/>
    <w:rsid w:val="007A55BC"/>
    <w:rsid w:val="007A7BFB"/>
    <w:rsid w:val="007B6A9C"/>
    <w:rsid w:val="007B7748"/>
    <w:rsid w:val="007C2001"/>
    <w:rsid w:val="007C7CF1"/>
    <w:rsid w:val="007D3225"/>
    <w:rsid w:val="007E34A5"/>
    <w:rsid w:val="007F4F54"/>
    <w:rsid w:val="007F5CB7"/>
    <w:rsid w:val="008000ED"/>
    <w:rsid w:val="0080274D"/>
    <w:rsid w:val="00802A16"/>
    <w:rsid w:val="008040FD"/>
    <w:rsid w:val="008222A6"/>
    <w:rsid w:val="00822351"/>
    <w:rsid w:val="00831A24"/>
    <w:rsid w:val="00831E0F"/>
    <w:rsid w:val="00832807"/>
    <w:rsid w:val="008337E2"/>
    <w:rsid w:val="00833D23"/>
    <w:rsid w:val="00836852"/>
    <w:rsid w:val="0083703E"/>
    <w:rsid w:val="008370F8"/>
    <w:rsid w:val="00847BCD"/>
    <w:rsid w:val="0085131D"/>
    <w:rsid w:val="008514B7"/>
    <w:rsid w:val="008553BB"/>
    <w:rsid w:val="008675AF"/>
    <w:rsid w:val="00876BE9"/>
    <w:rsid w:val="00892599"/>
    <w:rsid w:val="008A0F20"/>
    <w:rsid w:val="008A1684"/>
    <w:rsid w:val="008A28AF"/>
    <w:rsid w:val="008A6B79"/>
    <w:rsid w:val="008B06A2"/>
    <w:rsid w:val="008B4075"/>
    <w:rsid w:val="008B4645"/>
    <w:rsid w:val="008B6B32"/>
    <w:rsid w:val="008C5B22"/>
    <w:rsid w:val="008D3AFD"/>
    <w:rsid w:val="008E1145"/>
    <w:rsid w:val="008F3607"/>
    <w:rsid w:val="009031C5"/>
    <w:rsid w:val="00915E29"/>
    <w:rsid w:val="00923979"/>
    <w:rsid w:val="0092446F"/>
    <w:rsid w:val="00927C71"/>
    <w:rsid w:val="0093308F"/>
    <w:rsid w:val="00935383"/>
    <w:rsid w:val="009520EE"/>
    <w:rsid w:val="0095689E"/>
    <w:rsid w:val="00964A52"/>
    <w:rsid w:val="0096621E"/>
    <w:rsid w:val="00971F7B"/>
    <w:rsid w:val="009737DA"/>
    <w:rsid w:val="00973A74"/>
    <w:rsid w:val="00980946"/>
    <w:rsid w:val="009823C3"/>
    <w:rsid w:val="009832E6"/>
    <w:rsid w:val="009978C4"/>
    <w:rsid w:val="009A0EC0"/>
    <w:rsid w:val="009C0650"/>
    <w:rsid w:val="009C3270"/>
    <w:rsid w:val="009D2381"/>
    <w:rsid w:val="009D6D51"/>
    <w:rsid w:val="009E3E73"/>
    <w:rsid w:val="009F4836"/>
    <w:rsid w:val="00A0163E"/>
    <w:rsid w:val="00A026A0"/>
    <w:rsid w:val="00A11616"/>
    <w:rsid w:val="00A1491C"/>
    <w:rsid w:val="00A15480"/>
    <w:rsid w:val="00A226AF"/>
    <w:rsid w:val="00A228A4"/>
    <w:rsid w:val="00A23204"/>
    <w:rsid w:val="00A2525D"/>
    <w:rsid w:val="00A25641"/>
    <w:rsid w:val="00A30593"/>
    <w:rsid w:val="00A319F0"/>
    <w:rsid w:val="00A425C1"/>
    <w:rsid w:val="00A45756"/>
    <w:rsid w:val="00A51C0C"/>
    <w:rsid w:val="00A51D8D"/>
    <w:rsid w:val="00A62F57"/>
    <w:rsid w:val="00A66D2F"/>
    <w:rsid w:val="00A72130"/>
    <w:rsid w:val="00A72C73"/>
    <w:rsid w:val="00A75BC7"/>
    <w:rsid w:val="00A92AEE"/>
    <w:rsid w:val="00AA447F"/>
    <w:rsid w:val="00AB15C3"/>
    <w:rsid w:val="00AC4B14"/>
    <w:rsid w:val="00AC6A57"/>
    <w:rsid w:val="00AE447F"/>
    <w:rsid w:val="00AF5956"/>
    <w:rsid w:val="00B14404"/>
    <w:rsid w:val="00B170E8"/>
    <w:rsid w:val="00B36BDB"/>
    <w:rsid w:val="00B36E0B"/>
    <w:rsid w:val="00B43864"/>
    <w:rsid w:val="00B47FD3"/>
    <w:rsid w:val="00B716EA"/>
    <w:rsid w:val="00B85B1A"/>
    <w:rsid w:val="00B85F21"/>
    <w:rsid w:val="00B87812"/>
    <w:rsid w:val="00B95E7E"/>
    <w:rsid w:val="00B967D1"/>
    <w:rsid w:val="00BB212F"/>
    <w:rsid w:val="00BD47D2"/>
    <w:rsid w:val="00BD4D7D"/>
    <w:rsid w:val="00BD5D5D"/>
    <w:rsid w:val="00BE39B6"/>
    <w:rsid w:val="00BF2FAB"/>
    <w:rsid w:val="00BF5A11"/>
    <w:rsid w:val="00C113BD"/>
    <w:rsid w:val="00C12651"/>
    <w:rsid w:val="00C14129"/>
    <w:rsid w:val="00C17F27"/>
    <w:rsid w:val="00C2543C"/>
    <w:rsid w:val="00C27D0F"/>
    <w:rsid w:val="00C31933"/>
    <w:rsid w:val="00C33D85"/>
    <w:rsid w:val="00C53A66"/>
    <w:rsid w:val="00C5470C"/>
    <w:rsid w:val="00C55FD7"/>
    <w:rsid w:val="00C56A4C"/>
    <w:rsid w:val="00C65241"/>
    <w:rsid w:val="00C67AF4"/>
    <w:rsid w:val="00C726BB"/>
    <w:rsid w:val="00C7361C"/>
    <w:rsid w:val="00C74E11"/>
    <w:rsid w:val="00C810FA"/>
    <w:rsid w:val="00C814BE"/>
    <w:rsid w:val="00C84675"/>
    <w:rsid w:val="00C8680B"/>
    <w:rsid w:val="00CA1C75"/>
    <w:rsid w:val="00CB1370"/>
    <w:rsid w:val="00CB71AF"/>
    <w:rsid w:val="00CC0050"/>
    <w:rsid w:val="00CC229F"/>
    <w:rsid w:val="00CD1D9D"/>
    <w:rsid w:val="00CD6372"/>
    <w:rsid w:val="00CE1B6B"/>
    <w:rsid w:val="00CE1EC1"/>
    <w:rsid w:val="00CE3AA0"/>
    <w:rsid w:val="00CE69C6"/>
    <w:rsid w:val="00CF34E8"/>
    <w:rsid w:val="00CF5C4B"/>
    <w:rsid w:val="00CF7863"/>
    <w:rsid w:val="00D05CDC"/>
    <w:rsid w:val="00D06CBE"/>
    <w:rsid w:val="00D106E7"/>
    <w:rsid w:val="00D12B2D"/>
    <w:rsid w:val="00D20E02"/>
    <w:rsid w:val="00D21FC9"/>
    <w:rsid w:val="00D25683"/>
    <w:rsid w:val="00D270A2"/>
    <w:rsid w:val="00D30C43"/>
    <w:rsid w:val="00D375B2"/>
    <w:rsid w:val="00D516EF"/>
    <w:rsid w:val="00D52FEF"/>
    <w:rsid w:val="00D536CE"/>
    <w:rsid w:val="00D55355"/>
    <w:rsid w:val="00D56BBF"/>
    <w:rsid w:val="00D574D0"/>
    <w:rsid w:val="00D617A3"/>
    <w:rsid w:val="00D76863"/>
    <w:rsid w:val="00D84CE2"/>
    <w:rsid w:val="00D87F81"/>
    <w:rsid w:val="00D918F3"/>
    <w:rsid w:val="00D9566E"/>
    <w:rsid w:val="00DA5A5B"/>
    <w:rsid w:val="00DA65F6"/>
    <w:rsid w:val="00DB4EF8"/>
    <w:rsid w:val="00DC1D78"/>
    <w:rsid w:val="00DC36A0"/>
    <w:rsid w:val="00DC4141"/>
    <w:rsid w:val="00DC6E1E"/>
    <w:rsid w:val="00DD100C"/>
    <w:rsid w:val="00DD1C31"/>
    <w:rsid w:val="00DD2CE4"/>
    <w:rsid w:val="00DE3A7E"/>
    <w:rsid w:val="00DE497E"/>
    <w:rsid w:val="00DE6133"/>
    <w:rsid w:val="00DF24BA"/>
    <w:rsid w:val="00DF5275"/>
    <w:rsid w:val="00DF52E5"/>
    <w:rsid w:val="00DF579A"/>
    <w:rsid w:val="00DF5D2F"/>
    <w:rsid w:val="00E02F43"/>
    <w:rsid w:val="00E150E3"/>
    <w:rsid w:val="00E272C5"/>
    <w:rsid w:val="00E3269D"/>
    <w:rsid w:val="00E33782"/>
    <w:rsid w:val="00E33E31"/>
    <w:rsid w:val="00E40969"/>
    <w:rsid w:val="00E41AAE"/>
    <w:rsid w:val="00E47881"/>
    <w:rsid w:val="00E5111E"/>
    <w:rsid w:val="00E51733"/>
    <w:rsid w:val="00E60C38"/>
    <w:rsid w:val="00E63F44"/>
    <w:rsid w:val="00E827F5"/>
    <w:rsid w:val="00E82B6D"/>
    <w:rsid w:val="00E85497"/>
    <w:rsid w:val="00E87656"/>
    <w:rsid w:val="00E87825"/>
    <w:rsid w:val="00E913EE"/>
    <w:rsid w:val="00E92752"/>
    <w:rsid w:val="00EA4DBA"/>
    <w:rsid w:val="00EB6B9C"/>
    <w:rsid w:val="00EC3C1B"/>
    <w:rsid w:val="00ED4949"/>
    <w:rsid w:val="00ED4B24"/>
    <w:rsid w:val="00ED5175"/>
    <w:rsid w:val="00EE117B"/>
    <w:rsid w:val="00EE13DA"/>
    <w:rsid w:val="00EE28E5"/>
    <w:rsid w:val="00EF11D9"/>
    <w:rsid w:val="00EF31AD"/>
    <w:rsid w:val="00F036AF"/>
    <w:rsid w:val="00F068EB"/>
    <w:rsid w:val="00F15CF8"/>
    <w:rsid w:val="00F17DA0"/>
    <w:rsid w:val="00F23CBC"/>
    <w:rsid w:val="00F25692"/>
    <w:rsid w:val="00F3537B"/>
    <w:rsid w:val="00F41DCB"/>
    <w:rsid w:val="00F4579D"/>
    <w:rsid w:val="00F46822"/>
    <w:rsid w:val="00F52598"/>
    <w:rsid w:val="00F5786E"/>
    <w:rsid w:val="00F64760"/>
    <w:rsid w:val="00F655C2"/>
    <w:rsid w:val="00F66001"/>
    <w:rsid w:val="00F749DD"/>
    <w:rsid w:val="00F7532D"/>
    <w:rsid w:val="00F8029C"/>
    <w:rsid w:val="00F853F7"/>
    <w:rsid w:val="00F92364"/>
    <w:rsid w:val="00FB0944"/>
    <w:rsid w:val="00FC1EC5"/>
    <w:rsid w:val="00FC48BD"/>
    <w:rsid w:val="00FC51CF"/>
    <w:rsid w:val="00FD478A"/>
    <w:rsid w:val="00FD5083"/>
    <w:rsid w:val="00FD7616"/>
    <w:rsid w:val="00FE01CA"/>
    <w:rsid w:val="00FE053C"/>
    <w:rsid w:val="00FE3AC5"/>
    <w:rsid w:val="00FF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43"/>
    <w:pPr>
      <w:spacing w:after="0" w:line="240" w:lineRule="auto"/>
    </w:pPr>
    <w:rPr>
      <w:rFonts w:ascii="Times New Roman" w:eastAsia="SimSun" w:hAnsi="Times New Roman" w:cs="Times New Roman"/>
      <w:sz w:val="20"/>
      <w:szCs w:val="24"/>
      <w:lang w:eastAsia="en-AU"/>
    </w:rPr>
  </w:style>
  <w:style w:type="paragraph" w:styleId="Heading1">
    <w:name w:val="heading 1"/>
    <w:basedOn w:val="Normal"/>
    <w:next w:val="Normal"/>
    <w:link w:val="Heading1Char"/>
    <w:qFormat/>
    <w:rsid w:val="00E02F43"/>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E02F43"/>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DF5275"/>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E02F43"/>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E02F43"/>
    <w:pPr>
      <w:keepNext/>
      <w:numPr>
        <w:ilvl w:val="4"/>
        <w:numId w:val="1"/>
      </w:numPr>
      <w:spacing w:before="320" w:after="0"/>
      <w:outlineLvl w:val="4"/>
    </w:pPr>
    <w:rPr>
      <w:b/>
      <w:color w:val="54534A"/>
    </w:rPr>
  </w:style>
  <w:style w:type="paragraph" w:styleId="Heading6">
    <w:name w:val="heading 6"/>
    <w:basedOn w:val="Heading1"/>
    <w:next w:val="BodyText"/>
    <w:link w:val="Heading6Char"/>
    <w:rsid w:val="00E02F43"/>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E02F43"/>
    <w:pPr>
      <w:numPr>
        <w:ilvl w:val="6"/>
      </w:numPr>
      <w:outlineLvl w:val="6"/>
    </w:pPr>
    <w:rPr>
      <w:sz w:val="28"/>
    </w:rPr>
  </w:style>
  <w:style w:type="paragraph" w:styleId="Heading8">
    <w:name w:val="heading 8"/>
    <w:basedOn w:val="Heading3"/>
    <w:next w:val="BodyText"/>
    <w:link w:val="Heading8Char"/>
    <w:rsid w:val="00E02F43"/>
    <w:pPr>
      <w:numPr>
        <w:ilvl w:val="7"/>
      </w:numPr>
      <w:outlineLvl w:val="7"/>
    </w:pPr>
  </w:style>
  <w:style w:type="paragraph" w:styleId="Heading9">
    <w:name w:val="heading 9"/>
    <w:basedOn w:val="Heading4"/>
    <w:next w:val="BodyText"/>
    <w:link w:val="Heading9Char"/>
    <w:rsid w:val="00E02F4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F43"/>
    <w:rPr>
      <w:rFonts w:ascii="Franklin Gothic Demi" w:eastAsia="Times New Roman" w:hAnsi="Franklin Gothic Demi" w:cs="Arial"/>
      <w:color w:val="AD495D"/>
      <w:kern w:val="28"/>
      <w:sz w:val="28"/>
      <w:szCs w:val="28"/>
      <w:lang w:eastAsia="en-AU"/>
    </w:rPr>
  </w:style>
  <w:style w:type="character" w:customStyle="1" w:styleId="Heading2Char">
    <w:name w:val="Heading 2 Char"/>
    <w:basedOn w:val="DefaultParagraphFont"/>
    <w:link w:val="Heading2"/>
    <w:rsid w:val="00E02F43"/>
    <w:rPr>
      <w:rFonts w:ascii="Franklin Gothic Demi" w:eastAsia="Times New Roman" w:hAnsi="Franklin Gothic Demi" w:cs="Arial"/>
      <w:color w:val="AD495D"/>
      <w:kern w:val="28"/>
      <w:sz w:val="24"/>
      <w:szCs w:val="28"/>
      <w:lang w:eastAsia="en-AU"/>
    </w:rPr>
  </w:style>
  <w:style w:type="character" w:customStyle="1" w:styleId="Heading3Char">
    <w:name w:val="Heading 3 Char"/>
    <w:basedOn w:val="DefaultParagraphFont"/>
    <w:link w:val="Heading3"/>
    <w:rsid w:val="00DF5275"/>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E02F43"/>
    <w:rPr>
      <w:rFonts w:ascii="Times New Roman" w:eastAsia="Times New Roman" w:hAnsi="Times New Roman" w:cs="Times New Roman"/>
      <w:b/>
      <w:color w:val="54534A"/>
      <w:lang w:eastAsia="en-AU"/>
    </w:rPr>
  </w:style>
  <w:style w:type="character" w:customStyle="1" w:styleId="Heading5Char">
    <w:name w:val="Heading 5 Char"/>
    <w:basedOn w:val="DefaultParagraphFont"/>
    <w:link w:val="Heading5"/>
    <w:rsid w:val="00E02F43"/>
    <w:rPr>
      <w:rFonts w:ascii="Times New Roman" w:eastAsia="Times New Roman" w:hAnsi="Times New Roman" w:cs="Times New Roman"/>
      <w:b/>
      <w:color w:val="54534A"/>
      <w:szCs w:val="24"/>
      <w:lang w:eastAsia="en-AU"/>
    </w:rPr>
  </w:style>
  <w:style w:type="character" w:customStyle="1" w:styleId="Heading6Char">
    <w:name w:val="Heading 6 Char"/>
    <w:basedOn w:val="DefaultParagraphFont"/>
    <w:link w:val="Heading6"/>
    <w:rsid w:val="00E02F43"/>
    <w:rPr>
      <w:rFonts w:ascii="Times New Roman" w:eastAsia="Times New Roman" w:hAnsi="Times New Roman" w:cs="Times New Roman"/>
      <w:b/>
      <w:kern w:val="28"/>
      <w:sz w:val="24"/>
      <w:szCs w:val="19"/>
      <w:lang w:eastAsia="en-AU"/>
    </w:rPr>
  </w:style>
  <w:style w:type="character" w:customStyle="1" w:styleId="Heading7Char">
    <w:name w:val="Heading 7 Char"/>
    <w:basedOn w:val="DefaultParagraphFont"/>
    <w:link w:val="Heading7"/>
    <w:rsid w:val="00E02F43"/>
    <w:rPr>
      <w:rFonts w:ascii="Franklin Gothic Demi" w:eastAsia="Times New Roman" w:hAnsi="Franklin Gothic Demi" w:cs="Arial"/>
      <w:color w:val="AD495D"/>
      <w:kern w:val="28"/>
      <w:sz w:val="28"/>
      <w:szCs w:val="28"/>
      <w:lang w:eastAsia="en-AU"/>
    </w:rPr>
  </w:style>
  <w:style w:type="character" w:customStyle="1" w:styleId="Heading8Char">
    <w:name w:val="Heading 8 Char"/>
    <w:basedOn w:val="DefaultParagraphFont"/>
    <w:link w:val="Heading8"/>
    <w:rsid w:val="00E02F43"/>
    <w:rPr>
      <w:rFonts w:ascii="Franklin Gothic Demi" w:eastAsia="Times New Roman" w:hAnsi="Franklin Gothic Demi" w:cs="Arial"/>
      <w:color w:val="54534A"/>
      <w:kern w:val="28"/>
      <w:lang w:eastAsia="zh-CN"/>
    </w:rPr>
  </w:style>
  <w:style w:type="character" w:customStyle="1" w:styleId="Heading9Char">
    <w:name w:val="Heading 9 Char"/>
    <w:basedOn w:val="DefaultParagraphFont"/>
    <w:link w:val="Heading9"/>
    <w:rsid w:val="00E02F43"/>
    <w:rPr>
      <w:rFonts w:ascii="Times New Roman" w:eastAsia="Times New Roman" w:hAnsi="Times New Roman" w:cs="Times New Roman"/>
      <w:b/>
      <w:color w:val="54534A"/>
      <w:lang w:eastAsia="en-AU"/>
    </w:rPr>
  </w:style>
  <w:style w:type="paragraph" w:styleId="BodyText">
    <w:name w:val="Body Text"/>
    <w:basedOn w:val="Normal"/>
    <w:link w:val="BodyTextChar"/>
    <w:uiPriority w:val="99"/>
    <w:qFormat/>
    <w:rsid w:val="00E02F43"/>
    <w:pPr>
      <w:spacing w:after="120"/>
    </w:pPr>
    <w:rPr>
      <w:rFonts w:eastAsia="Times New Roman"/>
      <w:sz w:val="22"/>
    </w:rPr>
  </w:style>
  <w:style w:type="character" w:customStyle="1" w:styleId="BodyTextChar">
    <w:name w:val="Body Text Char"/>
    <w:basedOn w:val="DefaultParagraphFont"/>
    <w:link w:val="BodyText"/>
    <w:uiPriority w:val="99"/>
    <w:rsid w:val="00E02F43"/>
    <w:rPr>
      <w:rFonts w:ascii="Times New Roman" w:eastAsia="Times New Roman" w:hAnsi="Times New Roman" w:cs="Times New Roman"/>
      <w:szCs w:val="24"/>
      <w:lang w:eastAsia="en-AU"/>
    </w:rPr>
  </w:style>
  <w:style w:type="paragraph" w:styleId="Date">
    <w:name w:val="Date"/>
    <w:basedOn w:val="Normal"/>
    <w:next w:val="BodyText"/>
    <w:link w:val="DateChar"/>
    <w:semiHidden/>
    <w:qFormat/>
    <w:rsid w:val="00E02F43"/>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semiHidden/>
    <w:rsid w:val="00E02F43"/>
    <w:rPr>
      <w:rFonts w:ascii="Franklin Gothic Book" w:eastAsia="Times New Roman" w:hAnsi="Franklin Gothic Book" w:cs="Times New Roman"/>
      <w:color w:val="FFFFFF"/>
      <w:spacing w:val="-10"/>
      <w:kern w:val="28"/>
      <w:sz w:val="24"/>
      <w:szCs w:val="24"/>
      <w:lang w:eastAsia="en-AU"/>
    </w:rPr>
  </w:style>
  <w:style w:type="paragraph" w:customStyle="1" w:styleId="PublicationDate">
    <w:name w:val="Publication Date"/>
    <w:basedOn w:val="Date"/>
    <w:qFormat/>
    <w:rsid w:val="006A00A2"/>
    <w:pPr>
      <w:spacing w:after="480"/>
    </w:pPr>
    <w:rPr>
      <w:rFonts w:ascii="Arial" w:hAnsi="Arial"/>
      <w:color w:val="auto"/>
    </w:rPr>
  </w:style>
  <w:style w:type="paragraph" w:customStyle="1" w:styleId="DocStatus">
    <w:name w:val="DocStatus"/>
    <w:basedOn w:val="Normal"/>
    <w:rsid w:val="00E02F43"/>
    <w:pPr>
      <w:spacing w:before="120" w:after="60"/>
      <w:jc w:val="center"/>
    </w:pPr>
    <w:rPr>
      <w:rFonts w:ascii="Arial" w:eastAsia="Times New Roman" w:hAnsi="Arial"/>
      <w:b/>
      <w:sz w:val="22"/>
      <w:lang w:eastAsia="en-US"/>
    </w:rPr>
  </w:style>
  <w:style w:type="paragraph" w:styleId="Title">
    <w:name w:val="Title"/>
    <w:basedOn w:val="Normal"/>
    <w:next w:val="Normal"/>
    <w:link w:val="TitleChar"/>
    <w:qFormat/>
    <w:rsid w:val="00541C0B"/>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541C0B"/>
    <w:rPr>
      <w:rFonts w:ascii="Arial" w:eastAsia="Times New Roman" w:hAnsi="Arial" w:cs="Times New Roman"/>
      <w:color w:val="AD495D"/>
      <w:spacing w:val="-10"/>
      <w:kern w:val="28"/>
      <w:sz w:val="40"/>
      <w:szCs w:val="20"/>
      <w:lang w:eastAsia="en-AU"/>
    </w:rPr>
  </w:style>
  <w:style w:type="paragraph" w:styleId="Header">
    <w:name w:val="header"/>
    <w:basedOn w:val="Normal"/>
    <w:link w:val="HeaderChar"/>
    <w:uiPriority w:val="99"/>
    <w:unhideWhenUsed/>
    <w:rsid w:val="00E02F43"/>
    <w:pPr>
      <w:tabs>
        <w:tab w:val="center" w:pos="4513"/>
        <w:tab w:val="right" w:pos="9026"/>
      </w:tabs>
    </w:pPr>
  </w:style>
  <w:style w:type="character" w:customStyle="1" w:styleId="HeaderChar">
    <w:name w:val="Header Char"/>
    <w:basedOn w:val="DefaultParagraphFont"/>
    <w:link w:val="Header"/>
    <w:uiPriority w:val="99"/>
    <w:rsid w:val="00E02F43"/>
    <w:rPr>
      <w:rFonts w:ascii="Times New Roman" w:eastAsia="SimSun" w:hAnsi="Times New Roman" w:cs="Times New Roman"/>
      <w:sz w:val="20"/>
      <w:szCs w:val="24"/>
      <w:lang w:eastAsia="en-AU"/>
    </w:rPr>
  </w:style>
  <w:style w:type="paragraph" w:styleId="Footer">
    <w:name w:val="footer"/>
    <w:basedOn w:val="Normal"/>
    <w:link w:val="FooterChar"/>
    <w:unhideWhenUsed/>
    <w:rsid w:val="00E02F43"/>
    <w:pPr>
      <w:tabs>
        <w:tab w:val="center" w:pos="4513"/>
        <w:tab w:val="right" w:pos="9026"/>
      </w:tabs>
    </w:pPr>
  </w:style>
  <w:style w:type="character" w:customStyle="1" w:styleId="FooterChar">
    <w:name w:val="Footer Char"/>
    <w:basedOn w:val="DefaultParagraphFont"/>
    <w:link w:val="Footer"/>
    <w:rsid w:val="00E02F43"/>
    <w:rPr>
      <w:rFonts w:ascii="Times New Roman" w:eastAsia="SimSun" w:hAnsi="Times New Roman" w:cs="Times New Roman"/>
      <w:sz w:val="20"/>
      <w:szCs w:val="24"/>
      <w:lang w:eastAsia="en-AU"/>
    </w:rPr>
  </w:style>
  <w:style w:type="paragraph" w:styleId="Caption">
    <w:name w:val="caption"/>
    <w:basedOn w:val="Normal"/>
    <w:next w:val="BodyText"/>
    <w:link w:val="CaptionChar"/>
    <w:autoRedefine/>
    <w:qFormat/>
    <w:rsid w:val="006A00A2"/>
    <w:pPr>
      <w:keepLines/>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730025"/>
    <w:pPr>
      <w:keepNext/>
      <w:spacing w:before="20" w:after="20" w:line="180" w:lineRule="atLeast"/>
    </w:pPr>
    <w:rPr>
      <w:iCs/>
      <w:sz w:val="14"/>
      <w:szCs w:val="14"/>
      <w:lang w:eastAsia="en-AU"/>
    </w:rPr>
  </w:style>
  <w:style w:type="paragraph" w:customStyle="1" w:styleId="TableTextEntries">
    <w:name w:val="Table Text Entries"/>
    <w:basedOn w:val="Normal"/>
    <w:rsid w:val="00E02F43"/>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730025"/>
    <w:rPr>
      <w:rFonts w:ascii="Franklin Gothic Book" w:eastAsia="Times New Roman" w:hAnsi="Franklin Gothic Book" w:cs="Times New Roman"/>
      <w:iCs/>
      <w:sz w:val="14"/>
      <w:szCs w:val="14"/>
      <w:lang w:eastAsia="en-AU"/>
    </w:rPr>
  </w:style>
  <w:style w:type="paragraph" w:customStyle="1" w:styleId="TableDataEntries">
    <w:name w:val="Table Data Entries"/>
    <w:basedOn w:val="TableTextEntries"/>
    <w:rsid w:val="00E02F43"/>
    <w:pPr>
      <w:jc w:val="right"/>
    </w:pPr>
  </w:style>
  <w:style w:type="paragraph" w:customStyle="1" w:styleId="TableDataColumnHeading">
    <w:name w:val="Table Data Column Heading"/>
    <w:basedOn w:val="TableDataEntries"/>
    <w:rsid w:val="004E4F15"/>
    <w:pPr>
      <w:framePr w:wrap="notBeside" w:vAnchor="text" w:hAnchor="text" w:y="1"/>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E4F15"/>
    <w:pPr>
      <w:framePr w:wrap="auto" w:vAnchor="margin" w:yAlign="inline"/>
      <w:jc w:val="left"/>
    </w:pPr>
    <w:rPr>
      <w:b/>
    </w:rPr>
  </w:style>
  <w:style w:type="paragraph" w:customStyle="1" w:styleId="NoteNumber">
    <w:name w:val="Note Number"/>
    <w:basedOn w:val="TableTextEntries"/>
    <w:link w:val="NoteNumberCharChar"/>
    <w:rsid w:val="00E02F43"/>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E02F43"/>
    <w:rPr>
      <w:rFonts w:ascii="Times New Roman" w:eastAsia="Times New Roman" w:hAnsi="Times New Roman" w:cs="Times New Roman"/>
      <w:sz w:val="14"/>
      <w:szCs w:val="14"/>
    </w:rPr>
  </w:style>
  <w:style w:type="paragraph" w:customStyle="1" w:styleId="Ratingbullet">
    <w:name w:val="Rating bullet"/>
    <w:basedOn w:val="TableTextEntries"/>
    <w:semiHidden/>
    <w:rsid w:val="00E02F43"/>
    <w:pPr>
      <w:jc w:val="center"/>
    </w:pPr>
    <w:rPr>
      <w:sz w:val="22"/>
      <w:szCs w:val="22"/>
    </w:rPr>
  </w:style>
  <w:style w:type="paragraph" w:styleId="ListParagraph">
    <w:name w:val="List Paragraph"/>
    <w:basedOn w:val="BodyText"/>
    <w:qFormat/>
    <w:rsid w:val="00E02F43"/>
    <w:pPr>
      <w:numPr>
        <w:numId w:val="3"/>
      </w:numPr>
    </w:pPr>
  </w:style>
  <w:style w:type="character" w:customStyle="1" w:styleId="DraftingNote">
    <w:name w:val="Drafting Note"/>
    <w:semiHidden/>
    <w:rsid w:val="00E02F43"/>
    <w:rPr>
      <w:rFonts w:ascii="Georgia" w:hAnsi="Georgia"/>
      <w:b/>
      <w:color w:val="FF0000"/>
      <w:sz w:val="19"/>
      <w:szCs w:val="19"/>
      <w:u w:val="dotted"/>
    </w:rPr>
  </w:style>
  <w:style w:type="paragraph" w:customStyle="1" w:styleId="Abbreviation">
    <w:name w:val="Abbreviation"/>
    <w:basedOn w:val="BodyText"/>
    <w:rsid w:val="00E02F43"/>
    <w:pPr>
      <w:ind w:left="1418" w:hanging="1418"/>
    </w:pPr>
  </w:style>
  <w:style w:type="paragraph" w:customStyle="1" w:styleId="Ratingamber">
    <w:name w:val="Rating amber"/>
    <w:basedOn w:val="Normal"/>
    <w:semiHidden/>
    <w:rsid w:val="00E02F43"/>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E02F43"/>
    <w:pPr>
      <w:numPr>
        <w:numId w:val="15"/>
      </w:numPr>
    </w:pPr>
  </w:style>
  <w:style w:type="paragraph" w:styleId="ListBullet2">
    <w:name w:val="List Bullet 2"/>
    <w:basedOn w:val="ListBullet"/>
    <w:rsid w:val="00E02F43"/>
    <w:pPr>
      <w:numPr>
        <w:numId w:val="13"/>
      </w:numPr>
      <w:ind w:left="568" w:hanging="284"/>
    </w:pPr>
  </w:style>
  <w:style w:type="paragraph" w:styleId="ListNumber">
    <w:name w:val="List Number"/>
    <w:basedOn w:val="ListBullet"/>
    <w:rsid w:val="006A00A2"/>
    <w:pPr>
      <w:numPr>
        <w:numId w:val="51"/>
      </w:numPr>
      <w:tabs>
        <w:tab w:val="left" w:pos="357"/>
      </w:tabs>
      <w:ind w:left="357" w:hanging="357"/>
    </w:pPr>
  </w:style>
  <w:style w:type="paragraph" w:styleId="ListNumber2">
    <w:name w:val="List Number 2"/>
    <w:basedOn w:val="ListNumber"/>
    <w:rsid w:val="006A00A2"/>
    <w:pPr>
      <w:numPr>
        <w:numId w:val="14"/>
      </w:numPr>
      <w:ind w:left="714" w:hanging="357"/>
    </w:pPr>
  </w:style>
  <w:style w:type="paragraph" w:customStyle="1" w:styleId="Ratinggreen">
    <w:name w:val="Rating green"/>
    <w:basedOn w:val="Ratingamber"/>
    <w:semiHidden/>
    <w:rsid w:val="00E02F43"/>
    <w:pPr>
      <w:numPr>
        <w:numId w:val="12"/>
      </w:numPr>
    </w:pPr>
  </w:style>
  <w:style w:type="paragraph" w:customStyle="1" w:styleId="Reference">
    <w:name w:val="Reference"/>
    <w:basedOn w:val="BodyText"/>
    <w:semiHidden/>
    <w:rsid w:val="00E02F43"/>
    <w:pPr>
      <w:keepLines/>
      <w:spacing w:before="60" w:after="60" w:line="260" w:lineRule="atLeast"/>
      <w:ind w:left="284" w:hanging="284"/>
    </w:pPr>
    <w:rPr>
      <w:sz w:val="17"/>
      <w:szCs w:val="17"/>
    </w:rPr>
  </w:style>
  <w:style w:type="paragraph" w:customStyle="1" w:styleId="Contents">
    <w:name w:val="Contents"/>
    <w:basedOn w:val="Normal"/>
    <w:next w:val="BodyText"/>
    <w:semiHidden/>
    <w:rsid w:val="00E02F43"/>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E02F43"/>
    <w:rPr>
      <w:rFonts w:ascii="Franklin Gothic Medium" w:hAnsi="Franklin Gothic Medium"/>
      <w:color w:val="54534A"/>
      <w:sz w:val="14"/>
      <w:szCs w:val="14"/>
    </w:rPr>
  </w:style>
  <w:style w:type="paragraph" w:styleId="TOC1">
    <w:name w:val="toc 1"/>
    <w:basedOn w:val="BodyText"/>
    <w:next w:val="BodyText"/>
    <w:semiHidden/>
    <w:rsid w:val="00E02F43"/>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E02F43"/>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E02F43"/>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E02F43"/>
    <w:rPr>
      <w:rFonts w:ascii="Franklin Gothic Book" w:hAnsi="Franklin Gothic Book"/>
      <w:color w:val="auto"/>
      <w:sz w:val="17"/>
      <w:szCs w:val="17"/>
    </w:rPr>
  </w:style>
  <w:style w:type="paragraph" w:customStyle="1" w:styleId="Invisiblepara">
    <w:name w:val="Invisible para"/>
    <w:basedOn w:val="Normal"/>
    <w:semiHidden/>
    <w:rsid w:val="00E02F43"/>
    <w:pPr>
      <w:keepNext/>
      <w:spacing w:before="320" w:line="80" w:lineRule="exact"/>
    </w:pPr>
    <w:rPr>
      <w:rFonts w:eastAsia="Times New Roman"/>
      <w:sz w:val="21"/>
      <w:szCs w:val="20"/>
    </w:rPr>
  </w:style>
  <w:style w:type="paragraph" w:customStyle="1" w:styleId="BoxListBullet">
    <w:name w:val="Box List Bullet"/>
    <w:basedOn w:val="BoxText"/>
    <w:rsid w:val="00E02F43"/>
    <w:pPr>
      <w:keepLines/>
      <w:numPr>
        <w:numId w:val="7"/>
      </w:numPr>
      <w:tabs>
        <w:tab w:val="clear" w:pos="284"/>
        <w:tab w:val="num" w:pos="360"/>
        <w:tab w:val="num" w:pos="454"/>
      </w:tabs>
      <w:spacing w:before="0"/>
      <w:ind w:left="454" w:hanging="227"/>
    </w:pPr>
    <w:rPr>
      <w:szCs w:val="20"/>
    </w:rPr>
  </w:style>
  <w:style w:type="paragraph" w:customStyle="1" w:styleId="BoxText">
    <w:name w:val="Box Text"/>
    <w:basedOn w:val="Normal"/>
    <w:link w:val="BoxTextChar"/>
    <w:autoRedefine/>
    <w:qFormat/>
    <w:rsid w:val="00E02F43"/>
    <w:pPr>
      <w:spacing w:before="80" w:after="80" w:line="280" w:lineRule="atLeast"/>
    </w:pPr>
    <w:rPr>
      <w:rFonts w:eastAsia="Times New Roman"/>
      <w:iCs/>
      <w:sz w:val="22"/>
      <w:szCs w:val="22"/>
    </w:rPr>
  </w:style>
  <w:style w:type="character" w:customStyle="1" w:styleId="BoxTextChar">
    <w:name w:val="Box Text Char"/>
    <w:link w:val="BoxText"/>
    <w:rsid w:val="00E02F43"/>
    <w:rPr>
      <w:rFonts w:ascii="Times New Roman" w:eastAsia="Times New Roman" w:hAnsi="Times New Roman" w:cs="Times New Roman"/>
      <w:iCs/>
      <w:lang w:eastAsia="en-AU"/>
    </w:rPr>
  </w:style>
  <w:style w:type="character" w:customStyle="1" w:styleId="NoteLabel">
    <w:name w:val="Note Label"/>
    <w:rsid w:val="00E02F43"/>
    <w:rPr>
      <w:rFonts w:ascii="Times New Roman" w:hAnsi="Times New Roman"/>
      <w:color w:val="auto"/>
      <w:position w:val="4"/>
      <w:sz w:val="14"/>
      <w:szCs w:val="14"/>
    </w:rPr>
  </w:style>
  <w:style w:type="paragraph" w:customStyle="1" w:styleId="Source">
    <w:name w:val="Source"/>
    <w:basedOn w:val="Note"/>
    <w:next w:val="BodyText"/>
    <w:rsid w:val="00E02F43"/>
    <w:pPr>
      <w:spacing w:after="240"/>
    </w:pPr>
  </w:style>
  <w:style w:type="paragraph" w:customStyle="1" w:styleId="BoxHeading1">
    <w:name w:val="Box Heading 1"/>
    <w:basedOn w:val="BoxText"/>
    <w:next w:val="BoxText"/>
    <w:rsid w:val="00E02F43"/>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E02F43"/>
    <w:pPr>
      <w:spacing w:before="140"/>
    </w:pPr>
    <w:rPr>
      <w:rFonts w:ascii="Franklin Gothic Book" w:hAnsi="Franklin Gothic Book"/>
      <w:i/>
      <w:color w:val="auto"/>
    </w:rPr>
  </w:style>
  <w:style w:type="paragraph" w:customStyle="1" w:styleId="TableListBullet">
    <w:name w:val="Table List Bullet"/>
    <w:basedOn w:val="TableTextEntries"/>
    <w:rsid w:val="00E02F43"/>
    <w:pPr>
      <w:numPr>
        <w:numId w:val="9"/>
      </w:numPr>
    </w:pPr>
  </w:style>
  <w:style w:type="paragraph" w:styleId="TableofFigures">
    <w:name w:val="table of figures"/>
    <w:basedOn w:val="BodyText"/>
    <w:next w:val="BodyText"/>
    <w:semiHidden/>
    <w:rsid w:val="00E02F43"/>
    <w:pPr>
      <w:tabs>
        <w:tab w:val="left" w:pos="1077"/>
        <w:tab w:val="right" w:pos="8505"/>
      </w:tabs>
      <w:spacing w:before="60" w:line="260" w:lineRule="atLeast"/>
      <w:ind w:left="1077" w:right="567" w:hanging="1077"/>
    </w:pPr>
  </w:style>
  <w:style w:type="paragraph" w:styleId="TOC3">
    <w:name w:val="toc 3"/>
    <w:basedOn w:val="TOC2"/>
    <w:next w:val="BodyText"/>
    <w:semiHidden/>
    <w:rsid w:val="00E02F43"/>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E02F43"/>
    <w:pPr>
      <w:jc w:val="right"/>
    </w:pPr>
  </w:style>
  <w:style w:type="paragraph" w:customStyle="1" w:styleId="Recommendation">
    <w:name w:val="Recommendation"/>
    <w:basedOn w:val="BodyText"/>
    <w:next w:val="BodyText"/>
    <w:semiHidden/>
    <w:rsid w:val="00E02F43"/>
    <w:pPr>
      <w:tabs>
        <w:tab w:val="left" w:pos="284"/>
      </w:tabs>
      <w:ind w:left="284" w:hanging="284"/>
    </w:pPr>
    <w:rPr>
      <w:rFonts w:eastAsia="MS Mincho" w:cs="MS Mincho"/>
      <w:b/>
    </w:rPr>
  </w:style>
  <w:style w:type="paragraph" w:styleId="TOC6">
    <w:name w:val="toc 6"/>
    <w:basedOn w:val="BodyText"/>
    <w:next w:val="BodyText"/>
    <w:semiHidden/>
    <w:rsid w:val="00E02F43"/>
    <w:pPr>
      <w:tabs>
        <w:tab w:val="left" w:pos="284"/>
        <w:tab w:val="right" w:pos="8222"/>
      </w:tabs>
      <w:ind w:left="284" w:right="567" w:hanging="284"/>
    </w:pPr>
  </w:style>
  <w:style w:type="character" w:styleId="CommentReference">
    <w:name w:val="annotation reference"/>
    <w:semiHidden/>
    <w:rsid w:val="00E02F43"/>
    <w:rPr>
      <w:rFonts w:ascii="Franklin Gothic Medium" w:hAnsi="Franklin Gothic Medium"/>
      <w:vanish/>
      <w:color w:val="FF00FF"/>
      <w:sz w:val="16"/>
      <w:szCs w:val="16"/>
    </w:rPr>
  </w:style>
  <w:style w:type="paragraph" w:styleId="CommentText">
    <w:name w:val="annotation text"/>
    <w:basedOn w:val="BodyText"/>
    <w:link w:val="CommentTextChar"/>
    <w:semiHidden/>
    <w:rsid w:val="00E02F43"/>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E02F43"/>
    <w:rPr>
      <w:rFonts w:ascii="Calibri" w:eastAsia="Times New Roman" w:hAnsi="Calibri" w:cs="Times New Roman"/>
      <w:sz w:val="18"/>
      <w:szCs w:val="18"/>
      <w:lang w:eastAsia="en-AU"/>
    </w:rPr>
  </w:style>
  <w:style w:type="character" w:styleId="Hyperlink">
    <w:name w:val="Hyperlink"/>
    <w:rsid w:val="00E02F43"/>
    <w:rPr>
      <w:color w:val="00467F"/>
      <w:sz w:val="20"/>
      <w:szCs w:val="20"/>
      <w:u w:val="none"/>
    </w:rPr>
  </w:style>
  <w:style w:type="paragraph" w:customStyle="1" w:styleId="ChartText">
    <w:name w:val="Chart Text"/>
    <w:basedOn w:val="BodyText"/>
    <w:semiHidden/>
    <w:rsid w:val="00E02F43"/>
    <w:pPr>
      <w:spacing w:before="100" w:line="190" w:lineRule="exact"/>
    </w:pPr>
    <w:rPr>
      <w:rFonts w:ascii="Arial" w:hAnsi="Arial"/>
      <w:sz w:val="17"/>
    </w:rPr>
  </w:style>
  <w:style w:type="paragraph" w:customStyle="1" w:styleId="ChartBoldText">
    <w:name w:val="Chart Bold Text"/>
    <w:basedOn w:val="ChartText"/>
    <w:next w:val="ChartText"/>
    <w:semiHidden/>
    <w:rsid w:val="00E02F43"/>
    <w:pPr>
      <w:spacing w:before="0"/>
      <w:jc w:val="center"/>
    </w:pPr>
    <w:rPr>
      <w:rFonts w:ascii="Arial Bold" w:hAnsi="Arial Bold"/>
      <w:b/>
      <w:color w:val="073771"/>
      <w:szCs w:val="17"/>
    </w:rPr>
  </w:style>
  <w:style w:type="paragraph" w:customStyle="1" w:styleId="ChartHighlight">
    <w:name w:val="Chart Highlight"/>
    <w:basedOn w:val="ChartBoldText"/>
    <w:semiHidden/>
    <w:rsid w:val="00E02F43"/>
    <w:pPr>
      <w:spacing w:line="210" w:lineRule="exact"/>
    </w:pPr>
    <w:rPr>
      <w:caps/>
      <w:sz w:val="19"/>
    </w:rPr>
  </w:style>
  <w:style w:type="paragraph" w:customStyle="1" w:styleId="ChartListBullet">
    <w:name w:val="Chart List Bullet"/>
    <w:basedOn w:val="TableListBullet"/>
    <w:semiHidden/>
    <w:rsid w:val="00E02F43"/>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E02F43"/>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E02F43"/>
    <w:pPr>
      <w:tabs>
        <w:tab w:val="num" w:pos="227"/>
      </w:tabs>
      <w:spacing w:before="60"/>
      <w:ind w:left="227" w:hanging="227"/>
    </w:pPr>
  </w:style>
  <w:style w:type="paragraph" w:styleId="TOC7">
    <w:name w:val="toc 7"/>
    <w:basedOn w:val="TOC1"/>
    <w:next w:val="TOC1"/>
    <w:semiHidden/>
    <w:rsid w:val="00E02F43"/>
    <w:pPr>
      <w:tabs>
        <w:tab w:val="left" w:pos="1418"/>
      </w:tabs>
      <w:ind w:left="1418" w:hanging="1418"/>
    </w:pPr>
  </w:style>
  <w:style w:type="paragraph" w:customStyle="1" w:styleId="Author">
    <w:name w:val="Author"/>
    <w:basedOn w:val="Date"/>
    <w:next w:val="Position"/>
    <w:link w:val="AuthorCharChar"/>
    <w:semiHidden/>
    <w:rsid w:val="00E02F43"/>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E02F43"/>
    <w:pPr>
      <w:spacing w:before="0"/>
    </w:pPr>
    <w:rPr>
      <w:rFonts w:ascii="Franklin Gothic Book" w:hAnsi="Franklin Gothic Book"/>
    </w:rPr>
  </w:style>
  <w:style w:type="character" w:customStyle="1" w:styleId="PositionCharChar">
    <w:name w:val="Position Char Char"/>
    <w:link w:val="Position"/>
    <w:semiHidden/>
    <w:rsid w:val="00E02F43"/>
    <w:rPr>
      <w:rFonts w:ascii="Franklin Gothic Book" w:eastAsia="Times New Roman" w:hAnsi="Franklin Gothic Book" w:cs="Times New Roman"/>
      <w:spacing w:val="-2"/>
      <w:kern w:val="28"/>
      <w:sz w:val="20"/>
      <w:szCs w:val="20"/>
      <w:lang w:eastAsia="en-AU"/>
    </w:rPr>
  </w:style>
  <w:style w:type="character" w:customStyle="1" w:styleId="AuthorCharChar">
    <w:name w:val="Author Char Char"/>
    <w:link w:val="Author"/>
    <w:semiHidden/>
    <w:rsid w:val="00E02F43"/>
    <w:rPr>
      <w:rFonts w:ascii="Franklin Gothic Medium" w:eastAsia="Times New Roman" w:hAnsi="Franklin Gothic Medium" w:cs="Times New Roman"/>
      <w:spacing w:val="-2"/>
      <w:kern w:val="28"/>
      <w:sz w:val="20"/>
      <w:szCs w:val="20"/>
      <w:lang w:eastAsia="en-AU"/>
    </w:rPr>
  </w:style>
  <w:style w:type="paragraph" w:customStyle="1" w:styleId="Client">
    <w:name w:val="Client"/>
    <w:basedOn w:val="Author"/>
    <w:semiHidden/>
    <w:rsid w:val="00E02F43"/>
  </w:style>
  <w:style w:type="paragraph" w:customStyle="1" w:styleId="TableHeading1">
    <w:name w:val="Table Heading 1"/>
    <w:basedOn w:val="TableTextEntries"/>
    <w:next w:val="TableTextEntries"/>
    <w:rsid w:val="00E02F43"/>
    <w:pPr>
      <w:spacing w:before="80" w:after="80"/>
    </w:pPr>
    <w:rPr>
      <w:rFonts w:ascii="Franklin Gothic Medium" w:hAnsi="Franklin Gothic Medium"/>
    </w:rPr>
  </w:style>
  <w:style w:type="paragraph" w:customStyle="1" w:styleId="TableHeading2">
    <w:name w:val="Table Heading 2"/>
    <w:basedOn w:val="TableHeading1"/>
    <w:next w:val="TableTextEntries"/>
    <w:rsid w:val="00E02F4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E02F43"/>
    <w:pPr>
      <w:numPr>
        <w:numId w:val="10"/>
      </w:numPr>
    </w:pPr>
  </w:style>
  <w:style w:type="character" w:customStyle="1" w:styleId="TableListBullet2CharChar">
    <w:name w:val="Table List Bullet 2 Char Char"/>
    <w:link w:val="TableListBullet2"/>
    <w:rsid w:val="00E02F43"/>
    <w:rPr>
      <w:rFonts w:ascii="Franklin Gothic Book" w:eastAsia="Times New Roman" w:hAnsi="Franklin Gothic Book" w:cs="Times New Roman"/>
      <w:sz w:val="17"/>
      <w:szCs w:val="17"/>
    </w:rPr>
  </w:style>
  <w:style w:type="paragraph" w:customStyle="1" w:styleId="TableListNumber">
    <w:name w:val="Table List Number"/>
    <w:basedOn w:val="TableTextEntries"/>
    <w:rsid w:val="00E02F43"/>
    <w:pPr>
      <w:numPr>
        <w:numId w:val="4"/>
      </w:numPr>
    </w:pPr>
  </w:style>
  <w:style w:type="paragraph" w:customStyle="1" w:styleId="TableListNumber2">
    <w:name w:val="Table List Number 2"/>
    <w:basedOn w:val="TableListNumber"/>
    <w:rsid w:val="00E02F43"/>
    <w:pPr>
      <w:numPr>
        <w:numId w:val="5"/>
      </w:numPr>
    </w:pPr>
  </w:style>
  <w:style w:type="paragraph" w:customStyle="1" w:styleId="TableUnit">
    <w:name w:val="Table Unit"/>
    <w:basedOn w:val="TableDataColumnHeading"/>
    <w:next w:val="TableDataEntries"/>
    <w:semiHidden/>
    <w:rsid w:val="00E02F43"/>
    <w:pPr>
      <w:keepNext/>
      <w:framePr w:wrap="notBeside"/>
    </w:pPr>
    <w:rPr>
      <w:rFonts w:ascii="Franklin Gothic Book" w:hAnsi="Franklin Gothic Book"/>
    </w:rPr>
  </w:style>
  <w:style w:type="character" w:styleId="FollowedHyperlink">
    <w:name w:val="FollowedHyperlink"/>
    <w:semiHidden/>
    <w:rsid w:val="00E02F43"/>
    <w:rPr>
      <w:color w:val="333399"/>
      <w:u w:val="none"/>
    </w:rPr>
  </w:style>
  <w:style w:type="paragraph" w:customStyle="1" w:styleId="Blurb">
    <w:name w:val="Blurb"/>
    <w:basedOn w:val="Caption"/>
    <w:semiHidden/>
    <w:rsid w:val="00E02F43"/>
    <w:pPr>
      <w:spacing w:before="180" w:after="0"/>
    </w:pPr>
    <w:rPr>
      <w:color w:val="FFFFFF"/>
    </w:rPr>
  </w:style>
  <w:style w:type="paragraph" w:customStyle="1" w:styleId="Figure">
    <w:name w:val="Figure"/>
    <w:basedOn w:val="BodyText"/>
    <w:next w:val="BodyText"/>
    <w:semiHidden/>
    <w:rsid w:val="00E02F43"/>
    <w:pPr>
      <w:spacing w:line="200" w:lineRule="atLeast"/>
    </w:pPr>
    <w:rPr>
      <w:sz w:val="18"/>
      <w:szCs w:val="18"/>
    </w:rPr>
  </w:style>
  <w:style w:type="paragraph" w:customStyle="1" w:styleId="BoxListBullet2">
    <w:name w:val="Box List Bullet 2"/>
    <w:basedOn w:val="BoxListBullet"/>
    <w:rsid w:val="00E02F43"/>
    <w:pPr>
      <w:numPr>
        <w:numId w:val="6"/>
      </w:numPr>
      <w:tabs>
        <w:tab w:val="clear" w:pos="567"/>
        <w:tab w:val="num" w:pos="227"/>
      </w:tabs>
      <w:ind w:left="227" w:hanging="227"/>
    </w:pPr>
    <w:rPr>
      <w:szCs w:val="18"/>
    </w:rPr>
  </w:style>
  <w:style w:type="paragraph" w:customStyle="1" w:styleId="BoxListNumber">
    <w:name w:val="Box List Number"/>
    <w:basedOn w:val="BoxText"/>
    <w:rsid w:val="00E02F43"/>
    <w:pPr>
      <w:numPr>
        <w:numId w:val="8"/>
      </w:numPr>
      <w:tabs>
        <w:tab w:val="clear" w:pos="284"/>
        <w:tab w:val="num" w:pos="567"/>
      </w:tabs>
      <w:spacing w:before="0"/>
      <w:ind w:left="567" w:hanging="283"/>
    </w:pPr>
  </w:style>
  <w:style w:type="paragraph" w:customStyle="1" w:styleId="BoxListNumber2">
    <w:name w:val="Box List Number 2"/>
    <w:basedOn w:val="BoxListNumber"/>
    <w:rsid w:val="00E02F43"/>
    <w:pPr>
      <w:tabs>
        <w:tab w:val="clear" w:pos="567"/>
      </w:tabs>
      <w:ind w:left="68" w:hanging="360"/>
    </w:pPr>
  </w:style>
  <w:style w:type="paragraph" w:customStyle="1" w:styleId="BoxNoteSource">
    <w:name w:val="Box Note/Source"/>
    <w:basedOn w:val="BoxText"/>
    <w:rsid w:val="00E02F43"/>
    <w:pPr>
      <w:spacing w:before="100" w:after="100" w:line="180" w:lineRule="atLeast"/>
    </w:pPr>
    <w:rPr>
      <w:sz w:val="14"/>
      <w:szCs w:val="14"/>
    </w:rPr>
  </w:style>
  <w:style w:type="paragraph" w:customStyle="1" w:styleId="BoxQuote">
    <w:name w:val="Box Quote"/>
    <w:basedOn w:val="BoxText"/>
    <w:next w:val="BoxText"/>
    <w:rsid w:val="00E02F43"/>
    <w:pPr>
      <w:spacing w:before="0" w:line="240" w:lineRule="atLeast"/>
      <w:ind w:left="284"/>
    </w:pPr>
    <w:rPr>
      <w:sz w:val="16"/>
      <w:szCs w:val="16"/>
    </w:rPr>
  </w:style>
  <w:style w:type="paragraph" w:customStyle="1" w:styleId="Appendix">
    <w:name w:val="Appendix"/>
    <w:basedOn w:val="Normal"/>
    <w:semiHidden/>
    <w:rsid w:val="00E02F43"/>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E02F43"/>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E02F4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E02F43"/>
  </w:style>
  <w:style w:type="paragraph" w:styleId="CommentSubject">
    <w:name w:val="annotation subject"/>
    <w:basedOn w:val="CommentText"/>
    <w:next w:val="CommentText"/>
    <w:link w:val="CommentSubjectChar"/>
    <w:semiHidden/>
    <w:rsid w:val="00E02F43"/>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E02F43"/>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rsid w:val="00E02F4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02F43"/>
    <w:rPr>
      <w:rFonts w:ascii="Tahoma" w:eastAsia="Times New Roman" w:hAnsi="Tahoma" w:cs="Tahoma"/>
      <w:sz w:val="16"/>
      <w:szCs w:val="16"/>
      <w:lang w:eastAsia="en-AU"/>
    </w:rPr>
  </w:style>
  <w:style w:type="paragraph" w:customStyle="1" w:styleId="Rating">
    <w:name w:val="Rating"/>
    <w:basedOn w:val="BodyText"/>
    <w:next w:val="BodyText"/>
    <w:semiHidden/>
    <w:rsid w:val="00E02F43"/>
    <w:pPr>
      <w:tabs>
        <w:tab w:val="left" w:pos="567"/>
      </w:tabs>
    </w:pPr>
  </w:style>
  <w:style w:type="paragraph" w:customStyle="1" w:styleId="GuidanceText">
    <w:name w:val="Guidance Text"/>
    <w:basedOn w:val="BodyText"/>
    <w:rsid w:val="00E02F43"/>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E02F43"/>
    <w:pPr>
      <w:spacing w:before="120"/>
    </w:pPr>
    <w:rPr>
      <w:rFonts w:ascii="Arial" w:eastAsia="Times New Roman" w:hAnsi="Arial" w:cs="Arial"/>
      <w:lang w:eastAsia="en-US"/>
    </w:rPr>
  </w:style>
  <w:style w:type="character" w:customStyle="1" w:styleId="List-bullet-1Char">
    <w:name w:val="List-bullet-1 Char"/>
    <w:link w:val="List-bullet-1"/>
    <w:rsid w:val="00E02F43"/>
    <w:rPr>
      <w:rFonts w:ascii="Arial" w:eastAsia="Times New Roman" w:hAnsi="Arial" w:cs="Arial"/>
      <w:sz w:val="20"/>
      <w:szCs w:val="24"/>
    </w:rPr>
  </w:style>
  <w:style w:type="table" w:styleId="MediumGrid2-Accent2">
    <w:name w:val="Medium Grid 2 Accent 2"/>
    <w:basedOn w:val="TableNormal"/>
    <w:uiPriority w:val="68"/>
    <w:rsid w:val="00E02F43"/>
    <w:pPr>
      <w:spacing w:after="0" w:line="240" w:lineRule="auto"/>
    </w:pPr>
    <w:rPr>
      <w:rFonts w:asciiTheme="majorHAnsi" w:eastAsiaTheme="majorEastAsia" w:hAnsiTheme="majorHAnsi" w:cstheme="majorBidi"/>
      <w:color w:val="000000" w:themeColor="text1"/>
      <w:lang w:eastAsia="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E02F43"/>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lbertus Extra Bold" w:hAnsi="Albertus Extra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E02F43"/>
    <w:pPr>
      <w:spacing w:after="0" w:line="240" w:lineRule="auto"/>
    </w:pPr>
    <w:rPr>
      <w:color w:val="000000" w:themeColor="text1" w:themeShade="BF"/>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E02F43"/>
    <w:pPr>
      <w:spacing w:after="0" w:line="240" w:lineRule="auto"/>
    </w:pPr>
    <w:rPr>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02F43"/>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E02F43"/>
    <w:pPr>
      <w:spacing w:after="0" w:line="240" w:lineRule="auto"/>
    </w:pPr>
    <w:rPr>
      <w:rFonts w:ascii="Times New Roman" w:eastAsia="Times New Roman" w:hAnsi="Times New Roman" w:cs="Times New Roman"/>
      <w:sz w:val="20"/>
      <w:szCs w:val="24"/>
      <w:lang w:eastAsia="en-AU"/>
    </w:rPr>
  </w:style>
  <w:style w:type="paragraph" w:styleId="Quote">
    <w:name w:val="Quote"/>
    <w:basedOn w:val="BodyText"/>
    <w:next w:val="BodyText"/>
    <w:link w:val="QuoteChar"/>
    <w:qFormat/>
    <w:rsid w:val="00E02F43"/>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E02F43"/>
    <w:rPr>
      <w:rFonts w:ascii="Georgia" w:eastAsia="Times New Roman" w:hAnsi="Georgia" w:cs="Times New Roman"/>
      <w:sz w:val="17"/>
      <w:szCs w:val="17"/>
      <w:lang w:eastAsia="en-AU"/>
    </w:rPr>
  </w:style>
  <w:style w:type="paragraph" w:customStyle="1" w:styleId="List-number-2">
    <w:name w:val="List-number-2"/>
    <w:basedOn w:val="Normal"/>
    <w:rsid w:val="00E02F43"/>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E02F43"/>
    <w:pPr>
      <w:numPr>
        <w:numId w:val="16"/>
      </w:numPr>
      <w:spacing w:before="120"/>
    </w:pPr>
    <w:rPr>
      <w:rFonts w:ascii="Arial" w:eastAsia="Times New Roman" w:hAnsi="Arial"/>
      <w:lang w:eastAsia="en-US"/>
    </w:rPr>
  </w:style>
  <w:style w:type="character" w:customStyle="1" w:styleId="List-number-1Char">
    <w:name w:val="List-number-1 Char"/>
    <w:link w:val="List-number-1"/>
    <w:rsid w:val="00E02F43"/>
    <w:rPr>
      <w:rFonts w:ascii="Arial" w:eastAsia="Times New Roman" w:hAnsi="Arial" w:cs="Times New Roman"/>
      <w:sz w:val="20"/>
      <w:szCs w:val="24"/>
    </w:rPr>
  </w:style>
  <w:style w:type="paragraph" w:styleId="ListNumber3">
    <w:name w:val="List Number 3"/>
    <w:basedOn w:val="Normal"/>
    <w:rsid w:val="00E02F43"/>
    <w:pPr>
      <w:numPr>
        <w:numId w:val="17"/>
      </w:numPr>
      <w:spacing w:after="120" w:line="220" w:lineRule="exact"/>
    </w:pPr>
    <w:rPr>
      <w:rFonts w:ascii="Arial" w:eastAsia="Times New Roman" w:hAnsi="Arial"/>
      <w:sz w:val="18"/>
    </w:rPr>
  </w:style>
  <w:style w:type="paragraph" w:customStyle="1" w:styleId="Issue">
    <w:name w:val="Issue"/>
    <w:basedOn w:val="Normal"/>
    <w:rsid w:val="00E02F43"/>
    <w:pPr>
      <w:spacing w:before="120" w:after="100" w:afterAutospacing="1"/>
    </w:pPr>
    <w:rPr>
      <w:rFonts w:eastAsia="Times New Roman"/>
      <w:i/>
      <w:sz w:val="24"/>
      <w:lang w:val="en-GB" w:eastAsia="zh-CN"/>
    </w:rPr>
  </w:style>
  <w:style w:type="paragraph" w:styleId="EndnoteText">
    <w:name w:val="endnote text"/>
    <w:basedOn w:val="Normal"/>
    <w:link w:val="EndnoteTextChar"/>
    <w:rsid w:val="00E02F43"/>
    <w:rPr>
      <w:rFonts w:eastAsia="Times New Roman"/>
      <w:szCs w:val="20"/>
    </w:rPr>
  </w:style>
  <w:style w:type="character" w:customStyle="1" w:styleId="EndnoteTextChar">
    <w:name w:val="Endnote Text Char"/>
    <w:basedOn w:val="DefaultParagraphFont"/>
    <w:link w:val="EndnoteText"/>
    <w:rsid w:val="00E02F43"/>
    <w:rPr>
      <w:rFonts w:ascii="Times New Roman" w:eastAsia="Times New Roman" w:hAnsi="Times New Roman" w:cs="Times New Roman"/>
      <w:sz w:val="20"/>
      <w:szCs w:val="20"/>
      <w:lang w:eastAsia="en-AU"/>
    </w:rPr>
  </w:style>
  <w:style w:type="character" w:styleId="EndnoteReference">
    <w:name w:val="endnote reference"/>
    <w:uiPriority w:val="99"/>
    <w:rsid w:val="00E02F43"/>
    <w:rPr>
      <w:vertAlign w:val="superscript"/>
    </w:rPr>
  </w:style>
  <w:style w:type="numbering" w:customStyle="1" w:styleId="StyleBulletedSymbolsymbol95ptLeft063cmHanging">
    <w:name w:val="Style Bulleted Symbol (symbol) 9.5 pt Left:  0.63 cm Hanging:  ..."/>
    <w:basedOn w:val="NoList"/>
    <w:rsid w:val="00E02F43"/>
    <w:pPr>
      <w:numPr>
        <w:numId w:val="18"/>
      </w:numPr>
    </w:pPr>
  </w:style>
  <w:style w:type="character" w:customStyle="1" w:styleId="CaptionChar">
    <w:name w:val="Caption Char"/>
    <w:link w:val="Caption"/>
    <w:locked/>
    <w:rsid w:val="006A00A2"/>
    <w:rPr>
      <w:rFonts w:ascii="Arial" w:eastAsia="Times New Roman" w:hAnsi="Arial" w:cs="Arial"/>
      <w:color w:val="7E6D5F"/>
      <w:sz w:val="20"/>
      <w:szCs w:val="19"/>
      <w:lang w:eastAsia="en-AU"/>
    </w:rPr>
  </w:style>
  <w:style w:type="paragraph" w:customStyle="1" w:styleId="list-number-10">
    <w:name w:val="list-number-1"/>
    <w:basedOn w:val="Normal"/>
    <w:rsid w:val="00E02F43"/>
    <w:pPr>
      <w:tabs>
        <w:tab w:val="num" w:pos="360"/>
      </w:tabs>
      <w:spacing w:before="160"/>
      <w:ind w:left="360" w:hanging="360"/>
    </w:pPr>
    <w:rPr>
      <w:rFonts w:ascii="Arial" w:eastAsia="Times New Roman" w:hAnsi="Arial" w:cs="Arial"/>
      <w:sz w:val="18"/>
      <w:szCs w:val="18"/>
    </w:rPr>
  </w:style>
  <w:style w:type="paragraph" w:styleId="FootnoteText">
    <w:name w:val="footnote text"/>
    <w:aliases w:val="Char Char,Char,ft,single space,footnote text,fn,Footnote Text Char Char Char Char,FOOTNOTES"/>
    <w:basedOn w:val="BodyText"/>
    <w:link w:val="FootnoteTextChar"/>
    <w:unhideWhenUsed/>
    <w:qFormat/>
    <w:rsid w:val="006A00A2"/>
    <w:pPr>
      <w:spacing w:after="0"/>
      <w:contextualSpacing/>
    </w:pPr>
    <w:rPr>
      <w:sz w:val="16"/>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rsid w:val="006A00A2"/>
    <w:rPr>
      <w:rFonts w:ascii="Times New Roman" w:eastAsia="Times New Roman" w:hAnsi="Times New Roman" w:cs="Times New Roman"/>
      <w:sz w:val="16"/>
      <w:szCs w:val="20"/>
      <w:lang w:eastAsia="en-AU"/>
    </w:rPr>
  </w:style>
  <w:style w:type="character" w:styleId="FootnoteReference">
    <w:name w:val="footnote reference"/>
    <w:aliases w:val="ftref"/>
    <w:rsid w:val="00E02F43"/>
    <w:rPr>
      <w:rFonts w:ascii="Times New Roman" w:hAnsi="Times New Roman"/>
      <w:w w:val="100"/>
      <w:position w:val="6"/>
      <w:sz w:val="16"/>
      <w:szCs w:val="12"/>
      <w:vertAlign w:val="baseline"/>
    </w:rPr>
  </w:style>
  <w:style w:type="paragraph" w:customStyle="1" w:styleId="Default">
    <w:name w:val="Default"/>
    <w:rsid w:val="00E02F43"/>
    <w:pPr>
      <w:autoSpaceDE w:val="0"/>
      <w:autoSpaceDN w:val="0"/>
      <w:adjustRightInd w:val="0"/>
      <w:spacing w:after="0" w:line="240" w:lineRule="auto"/>
    </w:pPr>
    <w:rPr>
      <w:rFonts w:ascii="Impact" w:hAnsi="Impact" w:cs="Impact"/>
      <w:color w:val="000000"/>
      <w:sz w:val="24"/>
      <w:szCs w:val="24"/>
    </w:rPr>
  </w:style>
  <w:style w:type="character" w:customStyle="1" w:styleId="A17">
    <w:name w:val="A17"/>
    <w:uiPriority w:val="99"/>
    <w:rsid w:val="00E02F43"/>
    <w:rPr>
      <w:rFonts w:ascii="Impact" w:hAnsi="Impact" w:cs="Impact" w:hint="default"/>
      <w:color w:val="000000"/>
      <w:sz w:val="112"/>
      <w:szCs w:val="112"/>
    </w:rPr>
  </w:style>
  <w:style w:type="character" w:customStyle="1" w:styleId="A2">
    <w:name w:val="A2"/>
    <w:uiPriority w:val="99"/>
    <w:rsid w:val="00E02F43"/>
    <w:rPr>
      <w:rFonts w:ascii="Tw Cen MT" w:hAnsi="Tw Cen MT" w:cs="Tw Cen MT" w:hint="default"/>
      <w:b/>
      <w:bCs/>
      <w:color w:val="000000"/>
      <w:sz w:val="70"/>
      <w:szCs w:val="70"/>
    </w:rPr>
  </w:style>
  <w:style w:type="character" w:customStyle="1" w:styleId="A6">
    <w:name w:val="A6"/>
    <w:uiPriority w:val="99"/>
    <w:rsid w:val="00E02F43"/>
    <w:rPr>
      <w:rFonts w:ascii="Impact" w:hAnsi="Impact" w:cs="Impact" w:hint="default"/>
      <w:color w:val="000000"/>
      <w:sz w:val="96"/>
      <w:szCs w:val="96"/>
    </w:rPr>
  </w:style>
  <w:style w:type="character" w:customStyle="1" w:styleId="A0">
    <w:name w:val="A0"/>
    <w:uiPriority w:val="99"/>
    <w:rsid w:val="00E02F43"/>
    <w:rPr>
      <w:rFonts w:ascii="Impact" w:hAnsi="Impact" w:cs="Impact" w:hint="default"/>
      <w:color w:val="000000"/>
      <w:sz w:val="192"/>
      <w:szCs w:val="192"/>
    </w:rPr>
  </w:style>
  <w:style w:type="paragraph" w:styleId="NormalWeb">
    <w:name w:val="Normal (Web)"/>
    <w:basedOn w:val="Normal"/>
    <w:uiPriority w:val="99"/>
    <w:unhideWhenUsed/>
    <w:rsid w:val="00E02F43"/>
    <w:pPr>
      <w:spacing w:before="100" w:beforeAutospacing="1" w:after="100" w:afterAutospacing="1"/>
    </w:pPr>
    <w:rPr>
      <w:rFonts w:eastAsia="Times New Roman"/>
      <w:sz w:val="24"/>
    </w:rPr>
  </w:style>
  <w:style w:type="character" w:customStyle="1" w:styleId="yshortcuts">
    <w:name w:val="yshortcuts"/>
    <w:basedOn w:val="DefaultParagraphFont"/>
    <w:rsid w:val="00E02F43"/>
    <w:rPr>
      <w:rFonts w:cs="Times New Roman"/>
    </w:rPr>
  </w:style>
  <w:style w:type="paragraph" w:customStyle="1" w:styleId="Normal1">
    <w:name w:val="Normal1"/>
    <w:basedOn w:val="Normal"/>
    <w:rsid w:val="00E02F43"/>
    <w:pPr>
      <w:spacing w:before="100" w:beforeAutospacing="1" w:after="100" w:afterAutospacing="1"/>
    </w:pPr>
    <w:rPr>
      <w:rFonts w:eastAsia="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43"/>
    <w:pPr>
      <w:spacing w:after="0" w:line="240" w:lineRule="auto"/>
    </w:pPr>
    <w:rPr>
      <w:rFonts w:ascii="Times New Roman" w:eastAsia="SimSun" w:hAnsi="Times New Roman" w:cs="Times New Roman"/>
      <w:sz w:val="20"/>
      <w:szCs w:val="24"/>
      <w:lang w:eastAsia="en-AU"/>
    </w:rPr>
  </w:style>
  <w:style w:type="paragraph" w:styleId="Heading1">
    <w:name w:val="heading 1"/>
    <w:basedOn w:val="Normal"/>
    <w:next w:val="Normal"/>
    <w:link w:val="Heading1Char"/>
    <w:qFormat/>
    <w:rsid w:val="00E02F43"/>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E02F43"/>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DF5275"/>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E02F43"/>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E02F43"/>
    <w:pPr>
      <w:keepNext/>
      <w:numPr>
        <w:ilvl w:val="4"/>
        <w:numId w:val="1"/>
      </w:numPr>
      <w:spacing w:before="320" w:after="0"/>
      <w:outlineLvl w:val="4"/>
    </w:pPr>
    <w:rPr>
      <w:b/>
      <w:color w:val="54534A"/>
    </w:rPr>
  </w:style>
  <w:style w:type="paragraph" w:styleId="Heading6">
    <w:name w:val="heading 6"/>
    <w:basedOn w:val="Heading1"/>
    <w:next w:val="BodyText"/>
    <w:link w:val="Heading6Char"/>
    <w:rsid w:val="00E02F43"/>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E02F43"/>
    <w:pPr>
      <w:numPr>
        <w:ilvl w:val="6"/>
      </w:numPr>
      <w:outlineLvl w:val="6"/>
    </w:pPr>
    <w:rPr>
      <w:sz w:val="28"/>
    </w:rPr>
  </w:style>
  <w:style w:type="paragraph" w:styleId="Heading8">
    <w:name w:val="heading 8"/>
    <w:basedOn w:val="Heading3"/>
    <w:next w:val="BodyText"/>
    <w:link w:val="Heading8Char"/>
    <w:rsid w:val="00E02F43"/>
    <w:pPr>
      <w:numPr>
        <w:ilvl w:val="7"/>
      </w:numPr>
      <w:outlineLvl w:val="7"/>
    </w:pPr>
  </w:style>
  <w:style w:type="paragraph" w:styleId="Heading9">
    <w:name w:val="heading 9"/>
    <w:basedOn w:val="Heading4"/>
    <w:next w:val="BodyText"/>
    <w:link w:val="Heading9Char"/>
    <w:rsid w:val="00E02F4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F43"/>
    <w:rPr>
      <w:rFonts w:ascii="Franklin Gothic Demi" w:eastAsia="Times New Roman" w:hAnsi="Franklin Gothic Demi" w:cs="Arial"/>
      <w:color w:val="AD495D"/>
      <w:kern w:val="28"/>
      <w:sz w:val="28"/>
      <w:szCs w:val="28"/>
      <w:lang w:eastAsia="en-AU"/>
    </w:rPr>
  </w:style>
  <w:style w:type="character" w:customStyle="1" w:styleId="Heading2Char">
    <w:name w:val="Heading 2 Char"/>
    <w:basedOn w:val="DefaultParagraphFont"/>
    <w:link w:val="Heading2"/>
    <w:rsid w:val="00E02F43"/>
    <w:rPr>
      <w:rFonts w:ascii="Franklin Gothic Demi" w:eastAsia="Times New Roman" w:hAnsi="Franklin Gothic Demi" w:cs="Arial"/>
      <w:color w:val="AD495D"/>
      <w:kern w:val="28"/>
      <w:sz w:val="24"/>
      <w:szCs w:val="28"/>
      <w:lang w:eastAsia="en-AU"/>
    </w:rPr>
  </w:style>
  <w:style w:type="character" w:customStyle="1" w:styleId="Heading3Char">
    <w:name w:val="Heading 3 Char"/>
    <w:basedOn w:val="DefaultParagraphFont"/>
    <w:link w:val="Heading3"/>
    <w:rsid w:val="00DF5275"/>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E02F43"/>
    <w:rPr>
      <w:rFonts w:ascii="Times New Roman" w:eastAsia="Times New Roman" w:hAnsi="Times New Roman" w:cs="Times New Roman"/>
      <w:b/>
      <w:color w:val="54534A"/>
      <w:lang w:eastAsia="en-AU"/>
    </w:rPr>
  </w:style>
  <w:style w:type="character" w:customStyle="1" w:styleId="Heading5Char">
    <w:name w:val="Heading 5 Char"/>
    <w:basedOn w:val="DefaultParagraphFont"/>
    <w:link w:val="Heading5"/>
    <w:rsid w:val="00E02F43"/>
    <w:rPr>
      <w:rFonts w:ascii="Times New Roman" w:eastAsia="Times New Roman" w:hAnsi="Times New Roman" w:cs="Times New Roman"/>
      <w:b/>
      <w:color w:val="54534A"/>
      <w:szCs w:val="24"/>
      <w:lang w:eastAsia="en-AU"/>
    </w:rPr>
  </w:style>
  <w:style w:type="character" w:customStyle="1" w:styleId="Heading6Char">
    <w:name w:val="Heading 6 Char"/>
    <w:basedOn w:val="DefaultParagraphFont"/>
    <w:link w:val="Heading6"/>
    <w:rsid w:val="00E02F43"/>
    <w:rPr>
      <w:rFonts w:ascii="Times New Roman" w:eastAsia="Times New Roman" w:hAnsi="Times New Roman" w:cs="Times New Roman"/>
      <w:b/>
      <w:kern w:val="28"/>
      <w:sz w:val="24"/>
      <w:szCs w:val="19"/>
      <w:lang w:eastAsia="en-AU"/>
    </w:rPr>
  </w:style>
  <w:style w:type="character" w:customStyle="1" w:styleId="Heading7Char">
    <w:name w:val="Heading 7 Char"/>
    <w:basedOn w:val="DefaultParagraphFont"/>
    <w:link w:val="Heading7"/>
    <w:rsid w:val="00E02F43"/>
    <w:rPr>
      <w:rFonts w:ascii="Franklin Gothic Demi" w:eastAsia="Times New Roman" w:hAnsi="Franklin Gothic Demi" w:cs="Arial"/>
      <w:color w:val="AD495D"/>
      <w:kern w:val="28"/>
      <w:sz w:val="28"/>
      <w:szCs w:val="28"/>
      <w:lang w:eastAsia="en-AU"/>
    </w:rPr>
  </w:style>
  <w:style w:type="character" w:customStyle="1" w:styleId="Heading8Char">
    <w:name w:val="Heading 8 Char"/>
    <w:basedOn w:val="DefaultParagraphFont"/>
    <w:link w:val="Heading8"/>
    <w:rsid w:val="00E02F43"/>
    <w:rPr>
      <w:rFonts w:ascii="Franklin Gothic Demi" w:eastAsia="Times New Roman" w:hAnsi="Franklin Gothic Demi" w:cs="Arial"/>
      <w:color w:val="54534A"/>
      <w:kern w:val="28"/>
      <w:lang w:eastAsia="zh-CN"/>
    </w:rPr>
  </w:style>
  <w:style w:type="character" w:customStyle="1" w:styleId="Heading9Char">
    <w:name w:val="Heading 9 Char"/>
    <w:basedOn w:val="DefaultParagraphFont"/>
    <w:link w:val="Heading9"/>
    <w:rsid w:val="00E02F43"/>
    <w:rPr>
      <w:rFonts w:ascii="Times New Roman" w:eastAsia="Times New Roman" w:hAnsi="Times New Roman" w:cs="Times New Roman"/>
      <w:b/>
      <w:color w:val="54534A"/>
      <w:lang w:eastAsia="en-AU"/>
    </w:rPr>
  </w:style>
  <w:style w:type="paragraph" w:styleId="BodyText">
    <w:name w:val="Body Text"/>
    <w:basedOn w:val="Normal"/>
    <w:link w:val="BodyTextChar"/>
    <w:uiPriority w:val="99"/>
    <w:qFormat/>
    <w:rsid w:val="00E02F43"/>
    <w:pPr>
      <w:spacing w:after="120"/>
    </w:pPr>
    <w:rPr>
      <w:rFonts w:eastAsia="Times New Roman"/>
      <w:sz w:val="22"/>
    </w:rPr>
  </w:style>
  <w:style w:type="character" w:customStyle="1" w:styleId="BodyTextChar">
    <w:name w:val="Body Text Char"/>
    <w:basedOn w:val="DefaultParagraphFont"/>
    <w:link w:val="BodyText"/>
    <w:uiPriority w:val="99"/>
    <w:rsid w:val="00E02F43"/>
    <w:rPr>
      <w:rFonts w:ascii="Times New Roman" w:eastAsia="Times New Roman" w:hAnsi="Times New Roman" w:cs="Times New Roman"/>
      <w:szCs w:val="24"/>
      <w:lang w:eastAsia="en-AU"/>
    </w:rPr>
  </w:style>
  <w:style w:type="paragraph" w:styleId="Date">
    <w:name w:val="Date"/>
    <w:basedOn w:val="Normal"/>
    <w:next w:val="BodyText"/>
    <w:link w:val="DateChar"/>
    <w:semiHidden/>
    <w:qFormat/>
    <w:rsid w:val="00E02F43"/>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semiHidden/>
    <w:rsid w:val="00E02F43"/>
    <w:rPr>
      <w:rFonts w:ascii="Franklin Gothic Book" w:eastAsia="Times New Roman" w:hAnsi="Franklin Gothic Book" w:cs="Times New Roman"/>
      <w:color w:val="FFFFFF"/>
      <w:spacing w:val="-10"/>
      <w:kern w:val="28"/>
      <w:sz w:val="24"/>
      <w:szCs w:val="24"/>
      <w:lang w:eastAsia="en-AU"/>
    </w:rPr>
  </w:style>
  <w:style w:type="paragraph" w:customStyle="1" w:styleId="PublicationDate">
    <w:name w:val="Publication Date"/>
    <w:basedOn w:val="Date"/>
    <w:qFormat/>
    <w:rsid w:val="006A00A2"/>
    <w:pPr>
      <w:spacing w:after="480"/>
    </w:pPr>
    <w:rPr>
      <w:rFonts w:ascii="Arial" w:hAnsi="Arial"/>
      <w:color w:val="auto"/>
    </w:rPr>
  </w:style>
  <w:style w:type="paragraph" w:customStyle="1" w:styleId="DocStatus">
    <w:name w:val="DocStatus"/>
    <w:basedOn w:val="Normal"/>
    <w:rsid w:val="00E02F43"/>
    <w:pPr>
      <w:spacing w:before="120" w:after="60"/>
      <w:jc w:val="center"/>
    </w:pPr>
    <w:rPr>
      <w:rFonts w:ascii="Arial" w:eastAsia="Times New Roman" w:hAnsi="Arial"/>
      <w:b/>
      <w:sz w:val="22"/>
      <w:lang w:eastAsia="en-US"/>
    </w:rPr>
  </w:style>
  <w:style w:type="paragraph" w:styleId="Title">
    <w:name w:val="Title"/>
    <w:basedOn w:val="Normal"/>
    <w:next w:val="Normal"/>
    <w:link w:val="TitleChar"/>
    <w:qFormat/>
    <w:rsid w:val="00541C0B"/>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541C0B"/>
    <w:rPr>
      <w:rFonts w:ascii="Arial" w:eastAsia="Times New Roman" w:hAnsi="Arial" w:cs="Times New Roman"/>
      <w:color w:val="AD495D"/>
      <w:spacing w:val="-10"/>
      <w:kern w:val="28"/>
      <w:sz w:val="40"/>
      <w:szCs w:val="20"/>
      <w:lang w:eastAsia="en-AU"/>
    </w:rPr>
  </w:style>
  <w:style w:type="paragraph" w:styleId="Header">
    <w:name w:val="header"/>
    <w:basedOn w:val="Normal"/>
    <w:link w:val="HeaderChar"/>
    <w:uiPriority w:val="99"/>
    <w:unhideWhenUsed/>
    <w:rsid w:val="00E02F43"/>
    <w:pPr>
      <w:tabs>
        <w:tab w:val="center" w:pos="4513"/>
        <w:tab w:val="right" w:pos="9026"/>
      </w:tabs>
    </w:pPr>
  </w:style>
  <w:style w:type="character" w:customStyle="1" w:styleId="HeaderChar">
    <w:name w:val="Header Char"/>
    <w:basedOn w:val="DefaultParagraphFont"/>
    <w:link w:val="Header"/>
    <w:uiPriority w:val="99"/>
    <w:rsid w:val="00E02F43"/>
    <w:rPr>
      <w:rFonts w:ascii="Times New Roman" w:eastAsia="SimSun" w:hAnsi="Times New Roman" w:cs="Times New Roman"/>
      <w:sz w:val="20"/>
      <w:szCs w:val="24"/>
      <w:lang w:eastAsia="en-AU"/>
    </w:rPr>
  </w:style>
  <w:style w:type="paragraph" w:styleId="Footer">
    <w:name w:val="footer"/>
    <w:basedOn w:val="Normal"/>
    <w:link w:val="FooterChar"/>
    <w:unhideWhenUsed/>
    <w:rsid w:val="00E02F43"/>
    <w:pPr>
      <w:tabs>
        <w:tab w:val="center" w:pos="4513"/>
        <w:tab w:val="right" w:pos="9026"/>
      </w:tabs>
    </w:pPr>
  </w:style>
  <w:style w:type="character" w:customStyle="1" w:styleId="FooterChar">
    <w:name w:val="Footer Char"/>
    <w:basedOn w:val="DefaultParagraphFont"/>
    <w:link w:val="Footer"/>
    <w:rsid w:val="00E02F43"/>
    <w:rPr>
      <w:rFonts w:ascii="Times New Roman" w:eastAsia="SimSun" w:hAnsi="Times New Roman" w:cs="Times New Roman"/>
      <w:sz w:val="20"/>
      <w:szCs w:val="24"/>
      <w:lang w:eastAsia="en-AU"/>
    </w:rPr>
  </w:style>
  <w:style w:type="paragraph" w:styleId="Caption">
    <w:name w:val="caption"/>
    <w:basedOn w:val="Normal"/>
    <w:next w:val="BodyText"/>
    <w:link w:val="CaptionChar"/>
    <w:autoRedefine/>
    <w:qFormat/>
    <w:rsid w:val="006A00A2"/>
    <w:pPr>
      <w:keepLines/>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730025"/>
    <w:pPr>
      <w:keepNext/>
      <w:spacing w:before="20" w:after="20" w:line="180" w:lineRule="atLeast"/>
    </w:pPr>
    <w:rPr>
      <w:iCs/>
      <w:sz w:val="14"/>
      <w:szCs w:val="14"/>
      <w:lang w:eastAsia="en-AU"/>
    </w:rPr>
  </w:style>
  <w:style w:type="paragraph" w:customStyle="1" w:styleId="TableTextEntries">
    <w:name w:val="Table Text Entries"/>
    <w:basedOn w:val="Normal"/>
    <w:rsid w:val="00E02F43"/>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730025"/>
    <w:rPr>
      <w:rFonts w:ascii="Franklin Gothic Book" w:eastAsia="Times New Roman" w:hAnsi="Franklin Gothic Book" w:cs="Times New Roman"/>
      <w:iCs/>
      <w:sz w:val="14"/>
      <w:szCs w:val="14"/>
      <w:lang w:eastAsia="en-AU"/>
    </w:rPr>
  </w:style>
  <w:style w:type="paragraph" w:customStyle="1" w:styleId="TableDataEntries">
    <w:name w:val="Table Data Entries"/>
    <w:basedOn w:val="TableTextEntries"/>
    <w:rsid w:val="00E02F43"/>
    <w:pPr>
      <w:jc w:val="right"/>
    </w:pPr>
  </w:style>
  <w:style w:type="paragraph" w:customStyle="1" w:styleId="TableDataColumnHeading">
    <w:name w:val="Table Data Column Heading"/>
    <w:basedOn w:val="TableDataEntries"/>
    <w:rsid w:val="004E4F15"/>
    <w:pPr>
      <w:framePr w:wrap="notBeside" w:vAnchor="text" w:hAnchor="text" w:y="1"/>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E4F15"/>
    <w:pPr>
      <w:framePr w:wrap="auto" w:vAnchor="margin" w:yAlign="inline"/>
      <w:jc w:val="left"/>
    </w:pPr>
    <w:rPr>
      <w:b/>
    </w:rPr>
  </w:style>
  <w:style w:type="paragraph" w:customStyle="1" w:styleId="NoteNumber">
    <w:name w:val="Note Number"/>
    <w:basedOn w:val="TableTextEntries"/>
    <w:link w:val="NoteNumberCharChar"/>
    <w:rsid w:val="00E02F43"/>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E02F43"/>
    <w:rPr>
      <w:rFonts w:ascii="Times New Roman" w:eastAsia="Times New Roman" w:hAnsi="Times New Roman" w:cs="Times New Roman"/>
      <w:sz w:val="14"/>
      <w:szCs w:val="14"/>
    </w:rPr>
  </w:style>
  <w:style w:type="paragraph" w:customStyle="1" w:styleId="Ratingbullet">
    <w:name w:val="Rating bullet"/>
    <w:basedOn w:val="TableTextEntries"/>
    <w:semiHidden/>
    <w:rsid w:val="00E02F43"/>
    <w:pPr>
      <w:jc w:val="center"/>
    </w:pPr>
    <w:rPr>
      <w:sz w:val="22"/>
      <w:szCs w:val="22"/>
    </w:rPr>
  </w:style>
  <w:style w:type="paragraph" w:styleId="ListParagraph">
    <w:name w:val="List Paragraph"/>
    <w:basedOn w:val="BodyText"/>
    <w:qFormat/>
    <w:rsid w:val="00E02F43"/>
    <w:pPr>
      <w:numPr>
        <w:numId w:val="3"/>
      </w:numPr>
    </w:pPr>
  </w:style>
  <w:style w:type="character" w:customStyle="1" w:styleId="DraftingNote">
    <w:name w:val="Drafting Note"/>
    <w:semiHidden/>
    <w:rsid w:val="00E02F43"/>
    <w:rPr>
      <w:rFonts w:ascii="Georgia" w:hAnsi="Georgia"/>
      <w:b/>
      <w:color w:val="FF0000"/>
      <w:sz w:val="19"/>
      <w:szCs w:val="19"/>
      <w:u w:val="dotted"/>
    </w:rPr>
  </w:style>
  <w:style w:type="paragraph" w:customStyle="1" w:styleId="Abbreviation">
    <w:name w:val="Abbreviation"/>
    <w:basedOn w:val="BodyText"/>
    <w:rsid w:val="00E02F43"/>
    <w:pPr>
      <w:ind w:left="1418" w:hanging="1418"/>
    </w:pPr>
  </w:style>
  <w:style w:type="paragraph" w:customStyle="1" w:styleId="Ratingamber">
    <w:name w:val="Rating amber"/>
    <w:basedOn w:val="Normal"/>
    <w:semiHidden/>
    <w:rsid w:val="00E02F43"/>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E02F43"/>
    <w:pPr>
      <w:numPr>
        <w:numId w:val="15"/>
      </w:numPr>
    </w:pPr>
  </w:style>
  <w:style w:type="paragraph" w:styleId="ListBullet2">
    <w:name w:val="List Bullet 2"/>
    <w:basedOn w:val="ListBullet"/>
    <w:rsid w:val="00E02F43"/>
    <w:pPr>
      <w:numPr>
        <w:numId w:val="13"/>
      </w:numPr>
      <w:ind w:left="568" w:hanging="284"/>
    </w:pPr>
  </w:style>
  <w:style w:type="paragraph" w:styleId="ListNumber">
    <w:name w:val="List Number"/>
    <w:basedOn w:val="ListBullet"/>
    <w:rsid w:val="006A00A2"/>
    <w:pPr>
      <w:numPr>
        <w:numId w:val="51"/>
      </w:numPr>
      <w:tabs>
        <w:tab w:val="left" w:pos="357"/>
      </w:tabs>
      <w:ind w:left="357" w:hanging="357"/>
    </w:pPr>
  </w:style>
  <w:style w:type="paragraph" w:styleId="ListNumber2">
    <w:name w:val="List Number 2"/>
    <w:basedOn w:val="ListNumber"/>
    <w:rsid w:val="006A00A2"/>
    <w:pPr>
      <w:numPr>
        <w:numId w:val="14"/>
      </w:numPr>
      <w:ind w:left="714" w:hanging="357"/>
    </w:pPr>
  </w:style>
  <w:style w:type="paragraph" w:customStyle="1" w:styleId="Ratinggreen">
    <w:name w:val="Rating green"/>
    <w:basedOn w:val="Ratingamber"/>
    <w:semiHidden/>
    <w:rsid w:val="00E02F43"/>
    <w:pPr>
      <w:numPr>
        <w:numId w:val="12"/>
      </w:numPr>
    </w:pPr>
  </w:style>
  <w:style w:type="paragraph" w:customStyle="1" w:styleId="Reference">
    <w:name w:val="Reference"/>
    <w:basedOn w:val="BodyText"/>
    <w:semiHidden/>
    <w:rsid w:val="00E02F43"/>
    <w:pPr>
      <w:keepLines/>
      <w:spacing w:before="60" w:after="60" w:line="260" w:lineRule="atLeast"/>
      <w:ind w:left="284" w:hanging="284"/>
    </w:pPr>
    <w:rPr>
      <w:sz w:val="17"/>
      <w:szCs w:val="17"/>
    </w:rPr>
  </w:style>
  <w:style w:type="paragraph" w:customStyle="1" w:styleId="Contents">
    <w:name w:val="Contents"/>
    <w:basedOn w:val="Normal"/>
    <w:next w:val="BodyText"/>
    <w:semiHidden/>
    <w:rsid w:val="00E02F43"/>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E02F43"/>
    <w:rPr>
      <w:rFonts w:ascii="Franklin Gothic Medium" w:hAnsi="Franklin Gothic Medium"/>
      <w:color w:val="54534A"/>
      <w:sz w:val="14"/>
      <w:szCs w:val="14"/>
    </w:rPr>
  </w:style>
  <w:style w:type="paragraph" w:styleId="TOC1">
    <w:name w:val="toc 1"/>
    <w:basedOn w:val="BodyText"/>
    <w:next w:val="BodyText"/>
    <w:semiHidden/>
    <w:rsid w:val="00E02F43"/>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E02F43"/>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E02F43"/>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E02F43"/>
    <w:rPr>
      <w:rFonts w:ascii="Franklin Gothic Book" w:hAnsi="Franklin Gothic Book"/>
      <w:color w:val="auto"/>
      <w:sz w:val="17"/>
      <w:szCs w:val="17"/>
    </w:rPr>
  </w:style>
  <w:style w:type="paragraph" w:customStyle="1" w:styleId="Invisiblepara">
    <w:name w:val="Invisible para"/>
    <w:basedOn w:val="Normal"/>
    <w:semiHidden/>
    <w:rsid w:val="00E02F43"/>
    <w:pPr>
      <w:keepNext/>
      <w:spacing w:before="320" w:line="80" w:lineRule="exact"/>
    </w:pPr>
    <w:rPr>
      <w:rFonts w:eastAsia="Times New Roman"/>
      <w:sz w:val="21"/>
      <w:szCs w:val="20"/>
    </w:rPr>
  </w:style>
  <w:style w:type="paragraph" w:customStyle="1" w:styleId="BoxListBullet">
    <w:name w:val="Box List Bullet"/>
    <w:basedOn w:val="BoxText"/>
    <w:rsid w:val="00E02F43"/>
    <w:pPr>
      <w:keepLines/>
      <w:numPr>
        <w:numId w:val="7"/>
      </w:numPr>
      <w:tabs>
        <w:tab w:val="clear" w:pos="284"/>
        <w:tab w:val="num" w:pos="360"/>
        <w:tab w:val="num" w:pos="454"/>
      </w:tabs>
      <w:spacing w:before="0"/>
      <w:ind w:left="454" w:hanging="227"/>
    </w:pPr>
    <w:rPr>
      <w:szCs w:val="20"/>
    </w:rPr>
  </w:style>
  <w:style w:type="paragraph" w:customStyle="1" w:styleId="BoxText">
    <w:name w:val="Box Text"/>
    <w:basedOn w:val="Normal"/>
    <w:link w:val="BoxTextChar"/>
    <w:autoRedefine/>
    <w:qFormat/>
    <w:rsid w:val="00E02F43"/>
    <w:pPr>
      <w:spacing w:before="80" w:after="80" w:line="280" w:lineRule="atLeast"/>
    </w:pPr>
    <w:rPr>
      <w:rFonts w:eastAsia="Times New Roman"/>
      <w:iCs/>
      <w:sz w:val="22"/>
      <w:szCs w:val="22"/>
    </w:rPr>
  </w:style>
  <w:style w:type="character" w:customStyle="1" w:styleId="BoxTextChar">
    <w:name w:val="Box Text Char"/>
    <w:link w:val="BoxText"/>
    <w:rsid w:val="00E02F43"/>
    <w:rPr>
      <w:rFonts w:ascii="Times New Roman" w:eastAsia="Times New Roman" w:hAnsi="Times New Roman" w:cs="Times New Roman"/>
      <w:iCs/>
      <w:lang w:eastAsia="en-AU"/>
    </w:rPr>
  </w:style>
  <w:style w:type="character" w:customStyle="1" w:styleId="NoteLabel">
    <w:name w:val="Note Label"/>
    <w:rsid w:val="00E02F43"/>
    <w:rPr>
      <w:rFonts w:ascii="Times New Roman" w:hAnsi="Times New Roman"/>
      <w:color w:val="auto"/>
      <w:position w:val="4"/>
      <w:sz w:val="14"/>
      <w:szCs w:val="14"/>
    </w:rPr>
  </w:style>
  <w:style w:type="paragraph" w:customStyle="1" w:styleId="Source">
    <w:name w:val="Source"/>
    <w:basedOn w:val="Note"/>
    <w:next w:val="BodyText"/>
    <w:rsid w:val="00E02F43"/>
    <w:pPr>
      <w:spacing w:after="240"/>
    </w:pPr>
  </w:style>
  <w:style w:type="paragraph" w:customStyle="1" w:styleId="BoxHeading1">
    <w:name w:val="Box Heading 1"/>
    <w:basedOn w:val="BoxText"/>
    <w:next w:val="BoxText"/>
    <w:rsid w:val="00E02F43"/>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E02F43"/>
    <w:pPr>
      <w:spacing w:before="140"/>
    </w:pPr>
    <w:rPr>
      <w:rFonts w:ascii="Franklin Gothic Book" w:hAnsi="Franklin Gothic Book"/>
      <w:i/>
      <w:color w:val="auto"/>
    </w:rPr>
  </w:style>
  <w:style w:type="paragraph" w:customStyle="1" w:styleId="TableListBullet">
    <w:name w:val="Table List Bullet"/>
    <w:basedOn w:val="TableTextEntries"/>
    <w:rsid w:val="00E02F43"/>
    <w:pPr>
      <w:numPr>
        <w:numId w:val="9"/>
      </w:numPr>
    </w:pPr>
  </w:style>
  <w:style w:type="paragraph" w:styleId="TableofFigures">
    <w:name w:val="table of figures"/>
    <w:basedOn w:val="BodyText"/>
    <w:next w:val="BodyText"/>
    <w:semiHidden/>
    <w:rsid w:val="00E02F43"/>
    <w:pPr>
      <w:tabs>
        <w:tab w:val="left" w:pos="1077"/>
        <w:tab w:val="right" w:pos="8505"/>
      </w:tabs>
      <w:spacing w:before="60" w:line="260" w:lineRule="atLeast"/>
      <w:ind w:left="1077" w:right="567" w:hanging="1077"/>
    </w:pPr>
  </w:style>
  <w:style w:type="paragraph" w:styleId="TOC3">
    <w:name w:val="toc 3"/>
    <w:basedOn w:val="TOC2"/>
    <w:next w:val="BodyText"/>
    <w:semiHidden/>
    <w:rsid w:val="00E02F43"/>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E02F43"/>
    <w:pPr>
      <w:jc w:val="right"/>
    </w:pPr>
  </w:style>
  <w:style w:type="paragraph" w:customStyle="1" w:styleId="Recommendation">
    <w:name w:val="Recommendation"/>
    <w:basedOn w:val="BodyText"/>
    <w:next w:val="BodyText"/>
    <w:semiHidden/>
    <w:rsid w:val="00E02F43"/>
    <w:pPr>
      <w:tabs>
        <w:tab w:val="left" w:pos="284"/>
      </w:tabs>
      <w:ind w:left="284" w:hanging="284"/>
    </w:pPr>
    <w:rPr>
      <w:rFonts w:eastAsia="MS Mincho" w:cs="MS Mincho"/>
      <w:b/>
    </w:rPr>
  </w:style>
  <w:style w:type="paragraph" w:styleId="TOC6">
    <w:name w:val="toc 6"/>
    <w:basedOn w:val="BodyText"/>
    <w:next w:val="BodyText"/>
    <w:semiHidden/>
    <w:rsid w:val="00E02F43"/>
    <w:pPr>
      <w:tabs>
        <w:tab w:val="left" w:pos="284"/>
        <w:tab w:val="right" w:pos="8222"/>
      </w:tabs>
      <w:ind w:left="284" w:right="567" w:hanging="284"/>
    </w:pPr>
  </w:style>
  <w:style w:type="character" w:styleId="CommentReference">
    <w:name w:val="annotation reference"/>
    <w:semiHidden/>
    <w:rsid w:val="00E02F43"/>
    <w:rPr>
      <w:rFonts w:ascii="Franklin Gothic Medium" w:hAnsi="Franklin Gothic Medium"/>
      <w:vanish/>
      <w:color w:val="FF00FF"/>
      <w:sz w:val="16"/>
      <w:szCs w:val="16"/>
    </w:rPr>
  </w:style>
  <w:style w:type="paragraph" w:styleId="CommentText">
    <w:name w:val="annotation text"/>
    <w:basedOn w:val="BodyText"/>
    <w:link w:val="CommentTextChar"/>
    <w:semiHidden/>
    <w:rsid w:val="00E02F43"/>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E02F43"/>
    <w:rPr>
      <w:rFonts w:ascii="Calibri" w:eastAsia="Times New Roman" w:hAnsi="Calibri" w:cs="Times New Roman"/>
      <w:sz w:val="18"/>
      <w:szCs w:val="18"/>
      <w:lang w:eastAsia="en-AU"/>
    </w:rPr>
  </w:style>
  <w:style w:type="character" w:styleId="Hyperlink">
    <w:name w:val="Hyperlink"/>
    <w:rsid w:val="00E02F43"/>
    <w:rPr>
      <w:color w:val="00467F"/>
      <w:sz w:val="20"/>
      <w:szCs w:val="20"/>
      <w:u w:val="none"/>
    </w:rPr>
  </w:style>
  <w:style w:type="paragraph" w:customStyle="1" w:styleId="ChartText">
    <w:name w:val="Chart Text"/>
    <w:basedOn w:val="BodyText"/>
    <w:semiHidden/>
    <w:rsid w:val="00E02F43"/>
    <w:pPr>
      <w:spacing w:before="100" w:line="190" w:lineRule="exact"/>
    </w:pPr>
    <w:rPr>
      <w:rFonts w:ascii="Arial" w:hAnsi="Arial"/>
      <w:sz w:val="17"/>
    </w:rPr>
  </w:style>
  <w:style w:type="paragraph" w:customStyle="1" w:styleId="ChartBoldText">
    <w:name w:val="Chart Bold Text"/>
    <w:basedOn w:val="ChartText"/>
    <w:next w:val="ChartText"/>
    <w:semiHidden/>
    <w:rsid w:val="00E02F43"/>
    <w:pPr>
      <w:spacing w:before="0"/>
      <w:jc w:val="center"/>
    </w:pPr>
    <w:rPr>
      <w:rFonts w:ascii="Arial Bold" w:hAnsi="Arial Bold"/>
      <w:b/>
      <w:color w:val="073771"/>
      <w:szCs w:val="17"/>
    </w:rPr>
  </w:style>
  <w:style w:type="paragraph" w:customStyle="1" w:styleId="ChartHighlight">
    <w:name w:val="Chart Highlight"/>
    <w:basedOn w:val="ChartBoldText"/>
    <w:semiHidden/>
    <w:rsid w:val="00E02F43"/>
    <w:pPr>
      <w:spacing w:line="210" w:lineRule="exact"/>
    </w:pPr>
    <w:rPr>
      <w:caps/>
      <w:sz w:val="19"/>
    </w:rPr>
  </w:style>
  <w:style w:type="paragraph" w:customStyle="1" w:styleId="ChartListBullet">
    <w:name w:val="Chart List Bullet"/>
    <w:basedOn w:val="TableListBullet"/>
    <w:semiHidden/>
    <w:rsid w:val="00E02F43"/>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E02F43"/>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E02F43"/>
    <w:pPr>
      <w:tabs>
        <w:tab w:val="num" w:pos="227"/>
      </w:tabs>
      <w:spacing w:before="60"/>
      <w:ind w:left="227" w:hanging="227"/>
    </w:pPr>
  </w:style>
  <w:style w:type="paragraph" w:styleId="TOC7">
    <w:name w:val="toc 7"/>
    <w:basedOn w:val="TOC1"/>
    <w:next w:val="TOC1"/>
    <w:semiHidden/>
    <w:rsid w:val="00E02F43"/>
    <w:pPr>
      <w:tabs>
        <w:tab w:val="left" w:pos="1418"/>
      </w:tabs>
      <w:ind w:left="1418" w:hanging="1418"/>
    </w:pPr>
  </w:style>
  <w:style w:type="paragraph" w:customStyle="1" w:styleId="Author">
    <w:name w:val="Author"/>
    <w:basedOn w:val="Date"/>
    <w:next w:val="Position"/>
    <w:link w:val="AuthorCharChar"/>
    <w:semiHidden/>
    <w:rsid w:val="00E02F43"/>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E02F43"/>
    <w:pPr>
      <w:spacing w:before="0"/>
    </w:pPr>
    <w:rPr>
      <w:rFonts w:ascii="Franklin Gothic Book" w:hAnsi="Franklin Gothic Book"/>
    </w:rPr>
  </w:style>
  <w:style w:type="character" w:customStyle="1" w:styleId="PositionCharChar">
    <w:name w:val="Position Char Char"/>
    <w:link w:val="Position"/>
    <w:semiHidden/>
    <w:rsid w:val="00E02F43"/>
    <w:rPr>
      <w:rFonts w:ascii="Franklin Gothic Book" w:eastAsia="Times New Roman" w:hAnsi="Franklin Gothic Book" w:cs="Times New Roman"/>
      <w:spacing w:val="-2"/>
      <w:kern w:val="28"/>
      <w:sz w:val="20"/>
      <w:szCs w:val="20"/>
      <w:lang w:eastAsia="en-AU"/>
    </w:rPr>
  </w:style>
  <w:style w:type="character" w:customStyle="1" w:styleId="AuthorCharChar">
    <w:name w:val="Author Char Char"/>
    <w:link w:val="Author"/>
    <w:semiHidden/>
    <w:rsid w:val="00E02F43"/>
    <w:rPr>
      <w:rFonts w:ascii="Franklin Gothic Medium" w:eastAsia="Times New Roman" w:hAnsi="Franklin Gothic Medium" w:cs="Times New Roman"/>
      <w:spacing w:val="-2"/>
      <w:kern w:val="28"/>
      <w:sz w:val="20"/>
      <w:szCs w:val="20"/>
      <w:lang w:eastAsia="en-AU"/>
    </w:rPr>
  </w:style>
  <w:style w:type="paragraph" w:customStyle="1" w:styleId="Client">
    <w:name w:val="Client"/>
    <w:basedOn w:val="Author"/>
    <w:semiHidden/>
    <w:rsid w:val="00E02F43"/>
  </w:style>
  <w:style w:type="paragraph" w:customStyle="1" w:styleId="TableHeading1">
    <w:name w:val="Table Heading 1"/>
    <w:basedOn w:val="TableTextEntries"/>
    <w:next w:val="TableTextEntries"/>
    <w:rsid w:val="00E02F43"/>
    <w:pPr>
      <w:spacing w:before="80" w:after="80"/>
    </w:pPr>
    <w:rPr>
      <w:rFonts w:ascii="Franklin Gothic Medium" w:hAnsi="Franklin Gothic Medium"/>
    </w:rPr>
  </w:style>
  <w:style w:type="paragraph" w:customStyle="1" w:styleId="TableHeading2">
    <w:name w:val="Table Heading 2"/>
    <w:basedOn w:val="TableHeading1"/>
    <w:next w:val="TableTextEntries"/>
    <w:rsid w:val="00E02F4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E02F43"/>
    <w:pPr>
      <w:numPr>
        <w:numId w:val="10"/>
      </w:numPr>
    </w:pPr>
  </w:style>
  <w:style w:type="character" w:customStyle="1" w:styleId="TableListBullet2CharChar">
    <w:name w:val="Table List Bullet 2 Char Char"/>
    <w:link w:val="TableListBullet2"/>
    <w:rsid w:val="00E02F43"/>
    <w:rPr>
      <w:rFonts w:ascii="Franklin Gothic Book" w:eastAsia="Times New Roman" w:hAnsi="Franklin Gothic Book" w:cs="Times New Roman"/>
      <w:sz w:val="17"/>
      <w:szCs w:val="17"/>
    </w:rPr>
  </w:style>
  <w:style w:type="paragraph" w:customStyle="1" w:styleId="TableListNumber">
    <w:name w:val="Table List Number"/>
    <w:basedOn w:val="TableTextEntries"/>
    <w:rsid w:val="00E02F43"/>
    <w:pPr>
      <w:numPr>
        <w:numId w:val="4"/>
      </w:numPr>
    </w:pPr>
  </w:style>
  <w:style w:type="paragraph" w:customStyle="1" w:styleId="TableListNumber2">
    <w:name w:val="Table List Number 2"/>
    <w:basedOn w:val="TableListNumber"/>
    <w:rsid w:val="00E02F43"/>
    <w:pPr>
      <w:numPr>
        <w:numId w:val="5"/>
      </w:numPr>
    </w:pPr>
  </w:style>
  <w:style w:type="paragraph" w:customStyle="1" w:styleId="TableUnit">
    <w:name w:val="Table Unit"/>
    <w:basedOn w:val="TableDataColumnHeading"/>
    <w:next w:val="TableDataEntries"/>
    <w:semiHidden/>
    <w:rsid w:val="00E02F43"/>
    <w:pPr>
      <w:keepNext/>
      <w:framePr w:wrap="notBeside"/>
    </w:pPr>
    <w:rPr>
      <w:rFonts w:ascii="Franklin Gothic Book" w:hAnsi="Franklin Gothic Book"/>
    </w:rPr>
  </w:style>
  <w:style w:type="character" w:styleId="FollowedHyperlink">
    <w:name w:val="FollowedHyperlink"/>
    <w:semiHidden/>
    <w:rsid w:val="00E02F43"/>
    <w:rPr>
      <w:color w:val="333399"/>
      <w:u w:val="none"/>
    </w:rPr>
  </w:style>
  <w:style w:type="paragraph" w:customStyle="1" w:styleId="Blurb">
    <w:name w:val="Blurb"/>
    <w:basedOn w:val="Caption"/>
    <w:semiHidden/>
    <w:rsid w:val="00E02F43"/>
    <w:pPr>
      <w:spacing w:before="180" w:after="0"/>
    </w:pPr>
    <w:rPr>
      <w:color w:val="FFFFFF"/>
    </w:rPr>
  </w:style>
  <w:style w:type="paragraph" w:customStyle="1" w:styleId="Figure">
    <w:name w:val="Figure"/>
    <w:basedOn w:val="BodyText"/>
    <w:next w:val="BodyText"/>
    <w:semiHidden/>
    <w:rsid w:val="00E02F43"/>
    <w:pPr>
      <w:spacing w:line="200" w:lineRule="atLeast"/>
    </w:pPr>
    <w:rPr>
      <w:sz w:val="18"/>
      <w:szCs w:val="18"/>
    </w:rPr>
  </w:style>
  <w:style w:type="paragraph" w:customStyle="1" w:styleId="BoxListBullet2">
    <w:name w:val="Box List Bullet 2"/>
    <w:basedOn w:val="BoxListBullet"/>
    <w:rsid w:val="00E02F43"/>
    <w:pPr>
      <w:numPr>
        <w:numId w:val="6"/>
      </w:numPr>
      <w:tabs>
        <w:tab w:val="clear" w:pos="567"/>
        <w:tab w:val="num" w:pos="227"/>
      </w:tabs>
      <w:ind w:left="227" w:hanging="227"/>
    </w:pPr>
    <w:rPr>
      <w:szCs w:val="18"/>
    </w:rPr>
  </w:style>
  <w:style w:type="paragraph" w:customStyle="1" w:styleId="BoxListNumber">
    <w:name w:val="Box List Number"/>
    <w:basedOn w:val="BoxText"/>
    <w:rsid w:val="00E02F43"/>
    <w:pPr>
      <w:numPr>
        <w:numId w:val="8"/>
      </w:numPr>
      <w:tabs>
        <w:tab w:val="clear" w:pos="284"/>
        <w:tab w:val="num" w:pos="567"/>
      </w:tabs>
      <w:spacing w:before="0"/>
      <w:ind w:left="567" w:hanging="283"/>
    </w:pPr>
  </w:style>
  <w:style w:type="paragraph" w:customStyle="1" w:styleId="BoxListNumber2">
    <w:name w:val="Box List Number 2"/>
    <w:basedOn w:val="BoxListNumber"/>
    <w:rsid w:val="00E02F43"/>
    <w:pPr>
      <w:tabs>
        <w:tab w:val="clear" w:pos="567"/>
      </w:tabs>
      <w:ind w:left="68" w:hanging="360"/>
    </w:pPr>
  </w:style>
  <w:style w:type="paragraph" w:customStyle="1" w:styleId="BoxNoteSource">
    <w:name w:val="Box Note/Source"/>
    <w:basedOn w:val="BoxText"/>
    <w:rsid w:val="00E02F43"/>
    <w:pPr>
      <w:spacing w:before="100" w:after="100" w:line="180" w:lineRule="atLeast"/>
    </w:pPr>
    <w:rPr>
      <w:sz w:val="14"/>
      <w:szCs w:val="14"/>
    </w:rPr>
  </w:style>
  <w:style w:type="paragraph" w:customStyle="1" w:styleId="BoxQuote">
    <w:name w:val="Box Quote"/>
    <w:basedOn w:val="BoxText"/>
    <w:next w:val="BoxText"/>
    <w:rsid w:val="00E02F43"/>
    <w:pPr>
      <w:spacing w:before="0" w:line="240" w:lineRule="atLeast"/>
      <w:ind w:left="284"/>
    </w:pPr>
    <w:rPr>
      <w:sz w:val="16"/>
      <w:szCs w:val="16"/>
    </w:rPr>
  </w:style>
  <w:style w:type="paragraph" w:customStyle="1" w:styleId="Appendix">
    <w:name w:val="Appendix"/>
    <w:basedOn w:val="Normal"/>
    <w:semiHidden/>
    <w:rsid w:val="00E02F43"/>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E02F43"/>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E02F4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E02F43"/>
  </w:style>
  <w:style w:type="paragraph" w:styleId="CommentSubject">
    <w:name w:val="annotation subject"/>
    <w:basedOn w:val="CommentText"/>
    <w:next w:val="CommentText"/>
    <w:link w:val="CommentSubjectChar"/>
    <w:semiHidden/>
    <w:rsid w:val="00E02F43"/>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E02F43"/>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rsid w:val="00E02F4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02F43"/>
    <w:rPr>
      <w:rFonts w:ascii="Tahoma" w:eastAsia="Times New Roman" w:hAnsi="Tahoma" w:cs="Tahoma"/>
      <w:sz w:val="16"/>
      <w:szCs w:val="16"/>
      <w:lang w:eastAsia="en-AU"/>
    </w:rPr>
  </w:style>
  <w:style w:type="paragraph" w:customStyle="1" w:styleId="Rating">
    <w:name w:val="Rating"/>
    <w:basedOn w:val="BodyText"/>
    <w:next w:val="BodyText"/>
    <w:semiHidden/>
    <w:rsid w:val="00E02F43"/>
    <w:pPr>
      <w:tabs>
        <w:tab w:val="left" w:pos="567"/>
      </w:tabs>
    </w:pPr>
  </w:style>
  <w:style w:type="paragraph" w:customStyle="1" w:styleId="GuidanceText">
    <w:name w:val="Guidance Text"/>
    <w:basedOn w:val="BodyText"/>
    <w:rsid w:val="00E02F43"/>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E02F43"/>
    <w:pPr>
      <w:spacing w:before="120"/>
    </w:pPr>
    <w:rPr>
      <w:rFonts w:ascii="Arial" w:eastAsia="Times New Roman" w:hAnsi="Arial" w:cs="Arial"/>
      <w:lang w:eastAsia="en-US"/>
    </w:rPr>
  </w:style>
  <w:style w:type="character" w:customStyle="1" w:styleId="List-bullet-1Char">
    <w:name w:val="List-bullet-1 Char"/>
    <w:link w:val="List-bullet-1"/>
    <w:rsid w:val="00E02F43"/>
    <w:rPr>
      <w:rFonts w:ascii="Arial" w:eastAsia="Times New Roman" w:hAnsi="Arial" w:cs="Arial"/>
      <w:sz w:val="20"/>
      <w:szCs w:val="24"/>
    </w:rPr>
  </w:style>
  <w:style w:type="table" w:styleId="MediumGrid2-Accent2">
    <w:name w:val="Medium Grid 2 Accent 2"/>
    <w:basedOn w:val="TableNormal"/>
    <w:uiPriority w:val="68"/>
    <w:rsid w:val="00E02F43"/>
    <w:pPr>
      <w:spacing w:after="0" w:line="240" w:lineRule="auto"/>
    </w:pPr>
    <w:rPr>
      <w:rFonts w:asciiTheme="majorHAnsi" w:eastAsiaTheme="majorEastAsia" w:hAnsiTheme="majorHAnsi" w:cstheme="majorBidi"/>
      <w:color w:val="000000" w:themeColor="text1"/>
      <w:lang w:eastAsia="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E02F43"/>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lbertus Extra Bold" w:hAnsi="Albertus Extra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E02F43"/>
    <w:pPr>
      <w:spacing w:after="0" w:line="240" w:lineRule="auto"/>
    </w:pPr>
    <w:rPr>
      <w:color w:val="000000" w:themeColor="text1" w:themeShade="BF"/>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E02F43"/>
    <w:pPr>
      <w:spacing w:after="0" w:line="240" w:lineRule="auto"/>
    </w:pPr>
    <w:rPr>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02F43"/>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E02F43"/>
    <w:pPr>
      <w:spacing w:after="0" w:line="240" w:lineRule="auto"/>
    </w:pPr>
    <w:rPr>
      <w:rFonts w:ascii="Times New Roman" w:eastAsia="Times New Roman" w:hAnsi="Times New Roman" w:cs="Times New Roman"/>
      <w:sz w:val="20"/>
      <w:szCs w:val="24"/>
      <w:lang w:eastAsia="en-AU"/>
    </w:rPr>
  </w:style>
  <w:style w:type="paragraph" w:styleId="Quote">
    <w:name w:val="Quote"/>
    <w:basedOn w:val="BodyText"/>
    <w:next w:val="BodyText"/>
    <w:link w:val="QuoteChar"/>
    <w:qFormat/>
    <w:rsid w:val="00E02F43"/>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E02F43"/>
    <w:rPr>
      <w:rFonts w:ascii="Georgia" w:eastAsia="Times New Roman" w:hAnsi="Georgia" w:cs="Times New Roman"/>
      <w:sz w:val="17"/>
      <w:szCs w:val="17"/>
      <w:lang w:eastAsia="en-AU"/>
    </w:rPr>
  </w:style>
  <w:style w:type="paragraph" w:customStyle="1" w:styleId="List-number-2">
    <w:name w:val="List-number-2"/>
    <w:basedOn w:val="Normal"/>
    <w:rsid w:val="00E02F43"/>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E02F43"/>
    <w:pPr>
      <w:numPr>
        <w:numId w:val="16"/>
      </w:numPr>
      <w:spacing w:before="120"/>
    </w:pPr>
    <w:rPr>
      <w:rFonts w:ascii="Arial" w:eastAsia="Times New Roman" w:hAnsi="Arial"/>
      <w:lang w:eastAsia="en-US"/>
    </w:rPr>
  </w:style>
  <w:style w:type="character" w:customStyle="1" w:styleId="List-number-1Char">
    <w:name w:val="List-number-1 Char"/>
    <w:link w:val="List-number-1"/>
    <w:rsid w:val="00E02F43"/>
    <w:rPr>
      <w:rFonts w:ascii="Arial" w:eastAsia="Times New Roman" w:hAnsi="Arial" w:cs="Times New Roman"/>
      <w:sz w:val="20"/>
      <w:szCs w:val="24"/>
    </w:rPr>
  </w:style>
  <w:style w:type="paragraph" w:styleId="ListNumber3">
    <w:name w:val="List Number 3"/>
    <w:basedOn w:val="Normal"/>
    <w:rsid w:val="00E02F43"/>
    <w:pPr>
      <w:numPr>
        <w:numId w:val="17"/>
      </w:numPr>
      <w:spacing w:after="120" w:line="220" w:lineRule="exact"/>
    </w:pPr>
    <w:rPr>
      <w:rFonts w:ascii="Arial" w:eastAsia="Times New Roman" w:hAnsi="Arial"/>
      <w:sz w:val="18"/>
    </w:rPr>
  </w:style>
  <w:style w:type="paragraph" w:customStyle="1" w:styleId="Issue">
    <w:name w:val="Issue"/>
    <w:basedOn w:val="Normal"/>
    <w:rsid w:val="00E02F43"/>
    <w:pPr>
      <w:spacing w:before="120" w:after="100" w:afterAutospacing="1"/>
    </w:pPr>
    <w:rPr>
      <w:rFonts w:eastAsia="Times New Roman"/>
      <w:i/>
      <w:sz w:val="24"/>
      <w:lang w:val="en-GB" w:eastAsia="zh-CN"/>
    </w:rPr>
  </w:style>
  <w:style w:type="paragraph" w:styleId="EndnoteText">
    <w:name w:val="endnote text"/>
    <w:basedOn w:val="Normal"/>
    <w:link w:val="EndnoteTextChar"/>
    <w:rsid w:val="00E02F43"/>
    <w:rPr>
      <w:rFonts w:eastAsia="Times New Roman"/>
      <w:szCs w:val="20"/>
    </w:rPr>
  </w:style>
  <w:style w:type="character" w:customStyle="1" w:styleId="EndnoteTextChar">
    <w:name w:val="Endnote Text Char"/>
    <w:basedOn w:val="DefaultParagraphFont"/>
    <w:link w:val="EndnoteText"/>
    <w:rsid w:val="00E02F43"/>
    <w:rPr>
      <w:rFonts w:ascii="Times New Roman" w:eastAsia="Times New Roman" w:hAnsi="Times New Roman" w:cs="Times New Roman"/>
      <w:sz w:val="20"/>
      <w:szCs w:val="20"/>
      <w:lang w:eastAsia="en-AU"/>
    </w:rPr>
  </w:style>
  <w:style w:type="character" w:styleId="EndnoteReference">
    <w:name w:val="endnote reference"/>
    <w:uiPriority w:val="99"/>
    <w:rsid w:val="00E02F43"/>
    <w:rPr>
      <w:vertAlign w:val="superscript"/>
    </w:rPr>
  </w:style>
  <w:style w:type="numbering" w:customStyle="1" w:styleId="StyleBulletedSymbolsymbol95ptLeft063cmHanging">
    <w:name w:val="Style Bulleted Symbol (symbol) 9.5 pt Left:  0.63 cm Hanging:  ..."/>
    <w:basedOn w:val="NoList"/>
    <w:rsid w:val="00E02F43"/>
    <w:pPr>
      <w:numPr>
        <w:numId w:val="18"/>
      </w:numPr>
    </w:pPr>
  </w:style>
  <w:style w:type="character" w:customStyle="1" w:styleId="CaptionChar">
    <w:name w:val="Caption Char"/>
    <w:link w:val="Caption"/>
    <w:locked/>
    <w:rsid w:val="006A00A2"/>
    <w:rPr>
      <w:rFonts w:ascii="Arial" w:eastAsia="Times New Roman" w:hAnsi="Arial" w:cs="Arial"/>
      <w:color w:val="7E6D5F"/>
      <w:sz w:val="20"/>
      <w:szCs w:val="19"/>
      <w:lang w:eastAsia="en-AU"/>
    </w:rPr>
  </w:style>
  <w:style w:type="paragraph" w:customStyle="1" w:styleId="list-number-10">
    <w:name w:val="list-number-1"/>
    <w:basedOn w:val="Normal"/>
    <w:rsid w:val="00E02F43"/>
    <w:pPr>
      <w:tabs>
        <w:tab w:val="num" w:pos="360"/>
      </w:tabs>
      <w:spacing w:before="160"/>
      <w:ind w:left="360" w:hanging="360"/>
    </w:pPr>
    <w:rPr>
      <w:rFonts w:ascii="Arial" w:eastAsia="Times New Roman" w:hAnsi="Arial" w:cs="Arial"/>
      <w:sz w:val="18"/>
      <w:szCs w:val="18"/>
    </w:rPr>
  </w:style>
  <w:style w:type="paragraph" w:styleId="FootnoteText">
    <w:name w:val="footnote text"/>
    <w:aliases w:val="Char Char,Char,ft,single space,footnote text,fn,Footnote Text Char Char Char Char,FOOTNOTES"/>
    <w:basedOn w:val="BodyText"/>
    <w:link w:val="FootnoteTextChar"/>
    <w:unhideWhenUsed/>
    <w:qFormat/>
    <w:rsid w:val="006A00A2"/>
    <w:pPr>
      <w:spacing w:after="0"/>
      <w:contextualSpacing/>
    </w:pPr>
    <w:rPr>
      <w:sz w:val="16"/>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rsid w:val="006A00A2"/>
    <w:rPr>
      <w:rFonts w:ascii="Times New Roman" w:eastAsia="Times New Roman" w:hAnsi="Times New Roman" w:cs="Times New Roman"/>
      <w:sz w:val="16"/>
      <w:szCs w:val="20"/>
      <w:lang w:eastAsia="en-AU"/>
    </w:rPr>
  </w:style>
  <w:style w:type="character" w:styleId="FootnoteReference">
    <w:name w:val="footnote reference"/>
    <w:aliases w:val="ftref"/>
    <w:rsid w:val="00E02F43"/>
    <w:rPr>
      <w:rFonts w:ascii="Times New Roman" w:hAnsi="Times New Roman"/>
      <w:w w:val="100"/>
      <w:position w:val="6"/>
      <w:sz w:val="16"/>
      <w:szCs w:val="12"/>
      <w:vertAlign w:val="baseline"/>
    </w:rPr>
  </w:style>
  <w:style w:type="paragraph" w:customStyle="1" w:styleId="Default">
    <w:name w:val="Default"/>
    <w:rsid w:val="00E02F43"/>
    <w:pPr>
      <w:autoSpaceDE w:val="0"/>
      <w:autoSpaceDN w:val="0"/>
      <w:adjustRightInd w:val="0"/>
      <w:spacing w:after="0" w:line="240" w:lineRule="auto"/>
    </w:pPr>
    <w:rPr>
      <w:rFonts w:ascii="Impact" w:hAnsi="Impact" w:cs="Impact"/>
      <w:color w:val="000000"/>
      <w:sz w:val="24"/>
      <w:szCs w:val="24"/>
    </w:rPr>
  </w:style>
  <w:style w:type="character" w:customStyle="1" w:styleId="A17">
    <w:name w:val="A17"/>
    <w:uiPriority w:val="99"/>
    <w:rsid w:val="00E02F43"/>
    <w:rPr>
      <w:rFonts w:ascii="Impact" w:hAnsi="Impact" w:cs="Impact" w:hint="default"/>
      <w:color w:val="000000"/>
      <w:sz w:val="112"/>
      <w:szCs w:val="112"/>
    </w:rPr>
  </w:style>
  <w:style w:type="character" w:customStyle="1" w:styleId="A2">
    <w:name w:val="A2"/>
    <w:uiPriority w:val="99"/>
    <w:rsid w:val="00E02F43"/>
    <w:rPr>
      <w:rFonts w:ascii="Tw Cen MT" w:hAnsi="Tw Cen MT" w:cs="Tw Cen MT" w:hint="default"/>
      <w:b/>
      <w:bCs/>
      <w:color w:val="000000"/>
      <w:sz w:val="70"/>
      <w:szCs w:val="70"/>
    </w:rPr>
  </w:style>
  <w:style w:type="character" w:customStyle="1" w:styleId="A6">
    <w:name w:val="A6"/>
    <w:uiPriority w:val="99"/>
    <w:rsid w:val="00E02F43"/>
    <w:rPr>
      <w:rFonts w:ascii="Impact" w:hAnsi="Impact" w:cs="Impact" w:hint="default"/>
      <w:color w:val="000000"/>
      <w:sz w:val="96"/>
      <w:szCs w:val="96"/>
    </w:rPr>
  </w:style>
  <w:style w:type="character" w:customStyle="1" w:styleId="A0">
    <w:name w:val="A0"/>
    <w:uiPriority w:val="99"/>
    <w:rsid w:val="00E02F43"/>
    <w:rPr>
      <w:rFonts w:ascii="Impact" w:hAnsi="Impact" w:cs="Impact" w:hint="default"/>
      <w:color w:val="000000"/>
      <w:sz w:val="192"/>
      <w:szCs w:val="192"/>
    </w:rPr>
  </w:style>
  <w:style w:type="paragraph" w:styleId="NormalWeb">
    <w:name w:val="Normal (Web)"/>
    <w:basedOn w:val="Normal"/>
    <w:uiPriority w:val="99"/>
    <w:unhideWhenUsed/>
    <w:rsid w:val="00E02F43"/>
    <w:pPr>
      <w:spacing w:before="100" w:beforeAutospacing="1" w:after="100" w:afterAutospacing="1"/>
    </w:pPr>
    <w:rPr>
      <w:rFonts w:eastAsia="Times New Roman"/>
      <w:sz w:val="24"/>
    </w:rPr>
  </w:style>
  <w:style w:type="character" w:customStyle="1" w:styleId="yshortcuts">
    <w:name w:val="yshortcuts"/>
    <w:basedOn w:val="DefaultParagraphFont"/>
    <w:rsid w:val="00E02F43"/>
    <w:rPr>
      <w:rFonts w:cs="Times New Roman"/>
    </w:rPr>
  </w:style>
  <w:style w:type="paragraph" w:customStyle="1" w:styleId="Normal1">
    <w:name w:val="Normal1"/>
    <w:basedOn w:val="Normal"/>
    <w:rsid w:val="00E02F43"/>
    <w:pPr>
      <w:spacing w:before="100" w:beforeAutospacing="1" w:after="100" w:afterAutospacing="1"/>
    </w:pPr>
    <w:rPr>
      <w:rFonts w:eastAsia="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435">
      <w:bodyDiv w:val="1"/>
      <w:marLeft w:val="0"/>
      <w:marRight w:val="0"/>
      <w:marTop w:val="0"/>
      <w:marBottom w:val="0"/>
      <w:divBdr>
        <w:top w:val="none" w:sz="0" w:space="0" w:color="auto"/>
        <w:left w:val="none" w:sz="0" w:space="0" w:color="auto"/>
        <w:bottom w:val="none" w:sz="0" w:space="0" w:color="auto"/>
        <w:right w:val="none" w:sz="0" w:space="0" w:color="auto"/>
      </w:divBdr>
    </w:div>
    <w:div w:id="1497452616">
      <w:bodyDiv w:val="1"/>
      <w:marLeft w:val="0"/>
      <w:marRight w:val="0"/>
      <w:marTop w:val="0"/>
      <w:marBottom w:val="0"/>
      <w:divBdr>
        <w:top w:val="none" w:sz="0" w:space="0" w:color="auto"/>
        <w:left w:val="none" w:sz="0" w:space="0" w:color="auto"/>
        <w:bottom w:val="none" w:sz="0" w:space="0" w:color="auto"/>
        <w:right w:val="none" w:sz="0" w:space="0" w:color="auto"/>
      </w:divBdr>
    </w:div>
    <w:div w:id="1650787835">
      <w:bodyDiv w:val="1"/>
      <w:marLeft w:val="0"/>
      <w:marRight w:val="0"/>
      <w:marTop w:val="0"/>
      <w:marBottom w:val="0"/>
      <w:divBdr>
        <w:top w:val="none" w:sz="0" w:space="0" w:color="auto"/>
        <w:left w:val="none" w:sz="0" w:space="0" w:color="auto"/>
        <w:bottom w:val="none" w:sz="0" w:space="0" w:color="auto"/>
        <w:right w:val="none" w:sz="0" w:space="0" w:color="auto"/>
      </w:divBdr>
    </w:div>
    <w:div w:id="1660497109">
      <w:bodyDiv w:val="1"/>
      <w:marLeft w:val="0"/>
      <w:marRight w:val="0"/>
      <w:marTop w:val="0"/>
      <w:marBottom w:val="0"/>
      <w:divBdr>
        <w:top w:val="none" w:sz="0" w:space="0" w:color="auto"/>
        <w:left w:val="none" w:sz="0" w:space="0" w:color="auto"/>
        <w:bottom w:val="none" w:sz="0" w:space="0" w:color="auto"/>
        <w:right w:val="none" w:sz="0" w:space="0" w:color="auto"/>
      </w:divBdr>
    </w:div>
    <w:div w:id="1818108302">
      <w:bodyDiv w:val="1"/>
      <w:marLeft w:val="0"/>
      <w:marRight w:val="0"/>
      <w:marTop w:val="0"/>
      <w:marBottom w:val="0"/>
      <w:divBdr>
        <w:top w:val="none" w:sz="0" w:space="0" w:color="auto"/>
        <w:left w:val="none" w:sz="0" w:space="0" w:color="auto"/>
        <w:bottom w:val="none" w:sz="0" w:space="0" w:color="auto"/>
        <w:right w:val="none" w:sz="0" w:space="0" w:color="auto"/>
      </w:divBdr>
    </w:div>
    <w:div w:id="1969313720">
      <w:bodyDiv w:val="1"/>
      <w:marLeft w:val="0"/>
      <w:marRight w:val="0"/>
      <w:marTop w:val="0"/>
      <w:marBottom w:val="0"/>
      <w:divBdr>
        <w:top w:val="none" w:sz="0" w:space="0" w:color="auto"/>
        <w:left w:val="none" w:sz="0" w:space="0" w:color="auto"/>
        <w:bottom w:val="none" w:sz="0" w:space="0" w:color="auto"/>
        <w:right w:val="none" w:sz="0" w:space="0" w:color="auto"/>
      </w:divBdr>
      <w:divsChild>
        <w:div w:id="1134325878">
          <w:marLeft w:val="0"/>
          <w:marRight w:val="0"/>
          <w:marTop w:val="0"/>
          <w:marBottom w:val="0"/>
          <w:divBdr>
            <w:top w:val="none" w:sz="0" w:space="0" w:color="auto"/>
            <w:left w:val="none" w:sz="0" w:space="0" w:color="auto"/>
            <w:bottom w:val="none" w:sz="0" w:space="0" w:color="auto"/>
            <w:right w:val="none" w:sz="0" w:space="0" w:color="auto"/>
          </w:divBdr>
          <w:divsChild>
            <w:div w:id="1260748010">
              <w:marLeft w:val="0"/>
              <w:marRight w:val="0"/>
              <w:marTop w:val="0"/>
              <w:marBottom w:val="0"/>
              <w:divBdr>
                <w:top w:val="none" w:sz="0" w:space="0" w:color="auto"/>
                <w:left w:val="none" w:sz="0" w:space="0" w:color="auto"/>
                <w:bottom w:val="none" w:sz="0" w:space="0" w:color="auto"/>
                <w:right w:val="none" w:sz="0" w:space="0" w:color="auto"/>
              </w:divBdr>
              <w:divsChild>
                <w:div w:id="737896487">
                  <w:marLeft w:val="-15"/>
                  <w:marRight w:val="0"/>
                  <w:marTop w:val="0"/>
                  <w:marBottom w:val="0"/>
                  <w:divBdr>
                    <w:top w:val="none" w:sz="0" w:space="0" w:color="auto"/>
                    <w:left w:val="single" w:sz="6" w:space="0" w:color="919B9C"/>
                    <w:bottom w:val="single" w:sz="6" w:space="15" w:color="919B9C"/>
                    <w:right w:val="none" w:sz="0" w:space="0" w:color="auto"/>
                  </w:divBdr>
                  <w:divsChild>
                    <w:div w:id="1904439548">
                      <w:marLeft w:val="0"/>
                      <w:marRight w:val="0"/>
                      <w:marTop w:val="0"/>
                      <w:marBottom w:val="0"/>
                      <w:divBdr>
                        <w:top w:val="single" w:sz="6" w:space="6" w:color="919B9C"/>
                        <w:left w:val="single" w:sz="6" w:space="6" w:color="919B9C"/>
                        <w:bottom w:val="single" w:sz="6" w:space="6" w:color="919B9C"/>
                        <w:right w:val="single" w:sz="6" w:space="0" w:color="919B9C"/>
                      </w:divBdr>
                    </w:div>
                  </w:divsChild>
                </w:div>
              </w:divsChild>
            </w:div>
          </w:divsChild>
        </w:div>
      </w:divsChild>
    </w:div>
    <w:div w:id="21280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hdr.undp.org/en/data/map/"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customXml" Target="../customXml/item2.xml"/></Relationships>
</file>

<file path=word/_rels/endnotes.xml.rels><?xml version="1.0" encoding="UTF-8" standalone="yes"?>
<Relationships xmlns="http://schemas.openxmlformats.org/package/2006/relationships"><Relationship Id="rId2" Type="http://schemas.openxmlformats.org/officeDocument/2006/relationships/hyperlink" Target="http://www.undp.org/content/dam/undp/library/MDG/english/MDG%20Regional%20Reports/LAC-Regional%20MDG%20Report%202010.pdf" TargetMode="External"/><Relationship Id="rId1" Type="http://schemas.openxmlformats.org/officeDocument/2006/relationships/hyperlink" Target="http://mdgs.un.org/unsd/mdg/Data.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cepal.org/estadisti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F84255-8AC3-4863-9F36-6479091AAA4F}"/>
</file>

<file path=customXml/itemProps2.xml><?xml version="1.0" encoding="utf-8"?>
<ds:datastoreItem xmlns:ds="http://schemas.openxmlformats.org/officeDocument/2006/customXml" ds:itemID="{F0CE1D0C-7D27-440F-AE68-72F1FF3921D2}"/>
</file>

<file path=customXml/itemProps3.xml><?xml version="1.0" encoding="utf-8"?>
<ds:datastoreItem xmlns:ds="http://schemas.openxmlformats.org/officeDocument/2006/customXml" ds:itemID="{CDF02A0A-3101-4E45-8DFA-D1B27ABD0317}"/>
</file>

<file path=customXml/itemProps4.xml><?xml version="1.0" encoding="utf-8"?>
<ds:datastoreItem xmlns:ds="http://schemas.openxmlformats.org/officeDocument/2006/customXml" ds:itemID="{EC61010D-02F2-47AC-9370-A039389C2A21}"/>
</file>

<file path=docProps/app.xml><?xml version="1.0" encoding="utf-8"?>
<Properties xmlns="http://schemas.openxmlformats.org/officeDocument/2006/extended-properties" xmlns:vt="http://schemas.openxmlformats.org/officeDocument/2006/docPropsVTypes">
  <Template>Normal.dotm</Template>
  <TotalTime>0</TotalTime>
  <Pages>26</Pages>
  <Words>9146</Words>
  <Characters>52134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2013-12-05T05:28:00Z</dcterms:created>
  <dcterms:modified xsi:type="dcterms:W3CDTF">2014-01-29T05:24:00Z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315300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