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81FE1" w14:textId="77777777" w:rsidR="003604B4" w:rsidRPr="0012389B" w:rsidRDefault="003604B4" w:rsidP="00791619">
      <w:pPr>
        <w:pStyle w:val="Title"/>
        <w:jc w:val="both"/>
      </w:pPr>
    </w:p>
    <w:p w14:paraId="102BE6CA" w14:textId="77777777" w:rsidR="003604B4" w:rsidRPr="0012389B" w:rsidRDefault="003604B4" w:rsidP="00791619">
      <w:pPr>
        <w:pStyle w:val="Title"/>
        <w:jc w:val="both"/>
      </w:pPr>
    </w:p>
    <w:p w14:paraId="7F419265" w14:textId="77777777" w:rsidR="003604B4" w:rsidRPr="0012389B" w:rsidRDefault="003604B4" w:rsidP="00791619">
      <w:pPr>
        <w:pStyle w:val="Title"/>
        <w:jc w:val="both"/>
      </w:pPr>
    </w:p>
    <w:p w14:paraId="271A030A" w14:textId="4ABE8327" w:rsidR="00FE245F" w:rsidRPr="0012389B" w:rsidRDefault="00FE245F" w:rsidP="00791619">
      <w:pPr>
        <w:pStyle w:val="Title"/>
        <w:jc w:val="both"/>
      </w:pPr>
    </w:p>
    <w:p w14:paraId="498E10A8" w14:textId="77777777" w:rsidR="0024229A" w:rsidRPr="0024229A" w:rsidRDefault="003604B4" w:rsidP="008217BC">
      <w:pPr>
        <w:pStyle w:val="Title"/>
        <w:rPr>
          <w:sz w:val="36"/>
          <w:szCs w:val="36"/>
        </w:rPr>
      </w:pPr>
      <w:r w:rsidRPr="0012389B">
        <w:rPr>
          <w:b/>
          <w:bCs/>
          <w:sz w:val="72"/>
          <w:szCs w:val="72"/>
        </w:rPr>
        <w:t>Church Partnership Program</w:t>
      </w:r>
      <w:r w:rsidRPr="0012389B">
        <w:t xml:space="preserve"> </w:t>
      </w:r>
      <w:r w:rsidR="00531A37" w:rsidRPr="0012389B">
        <w:br/>
      </w:r>
      <w:r w:rsidR="00531A37" w:rsidRPr="0024229A">
        <w:rPr>
          <w:sz w:val="36"/>
          <w:szCs w:val="36"/>
        </w:rPr>
        <w:t xml:space="preserve">Phase </w:t>
      </w:r>
      <w:r w:rsidR="0024229A" w:rsidRPr="0024229A">
        <w:rPr>
          <w:sz w:val="36"/>
          <w:szCs w:val="36"/>
        </w:rPr>
        <w:t>4.1</w:t>
      </w:r>
      <w:r w:rsidR="00531A37" w:rsidRPr="0024229A">
        <w:rPr>
          <w:sz w:val="36"/>
          <w:szCs w:val="36"/>
        </w:rPr>
        <w:t xml:space="preserve">: July 2022 to </w:t>
      </w:r>
      <w:r w:rsidR="00F50250" w:rsidRPr="0024229A">
        <w:rPr>
          <w:sz w:val="36"/>
          <w:szCs w:val="36"/>
        </w:rPr>
        <w:t>December</w:t>
      </w:r>
      <w:r w:rsidR="00531A37" w:rsidRPr="0024229A">
        <w:rPr>
          <w:sz w:val="36"/>
          <w:szCs w:val="36"/>
        </w:rPr>
        <w:t xml:space="preserve"> 20</w:t>
      </w:r>
      <w:r w:rsidR="0024229A" w:rsidRPr="0024229A">
        <w:rPr>
          <w:sz w:val="36"/>
          <w:szCs w:val="36"/>
        </w:rPr>
        <w:t xml:space="preserve">25 &amp; </w:t>
      </w:r>
    </w:p>
    <w:p w14:paraId="15E2F813" w14:textId="475F82BC" w:rsidR="00F50250" w:rsidRPr="0024229A" w:rsidRDefault="0024229A" w:rsidP="008217BC">
      <w:pPr>
        <w:pStyle w:val="Title"/>
        <w:rPr>
          <w:sz w:val="36"/>
          <w:szCs w:val="36"/>
        </w:rPr>
      </w:pPr>
      <w:r w:rsidRPr="0024229A">
        <w:rPr>
          <w:sz w:val="36"/>
          <w:szCs w:val="36"/>
        </w:rPr>
        <w:t>Phase 4.2: January 2026 to December 20</w:t>
      </w:r>
      <w:r w:rsidR="00F22992">
        <w:rPr>
          <w:sz w:val="36"/>
          <w:szCs w:val="36"/>
        </w:rPr>
        <w:t>29</w:t>
      </w:r>
    </w:p>
    <w:p w14:paraId="7134AB30" w14:textId="2FD17F03" w:rsidR="00531A37" w:rsidRPr="0024229A" w:rsidRDefault="00F50250" w:rsidP="008217BC">
      <w:pPr>
        <w:pStyle w:val="Title"/>
        <w:rPr>
          <w:sz w:val="36"/>
          <w:szCs w:val="36"/>
        </w:rPr>
      </w:pPr>
      <w:r w:rsidRPr="0024229A">
        <w:rPr>
          <w:sz w:val="36"/>
          <w:szCs w:val="36"/>
        </w:rPr>
        <w:t xml:space="preserve">Component 4: Building Community Engagement in Papua New Guinea </w:t>
      </w:r>
      <w:r w:rsidR="00552ACF">
        <w:rPr>
          <w:sz w:val="36"/>
          <w:szCs w:val="36"/>
        </w:rPr>
        <w:t xml:space="preserve">(BCEP) Program </w:t>
      </w:r>
      <w:r w:rsidR="00531A37" w:rsidRPr="0024229A">
        <w:rPr>
          <w:sz w:val="36"/>
          <w:szCs w:val="36"/>
        </w:rPr>
        <w:br/>
      </w:r>
    </w:p>
    <w:p w14:paraId="119A23AE" w14:textId="24B217C0" w:rsidR="003604B4" w:rsidRPr="00F50250" w:rsidRDefault="00436939" w:rsidP="00791619">
      <w:pPr>
        <w:pStyle w:val="Title"/>
        <w:jc w:val="both"/>
        <w:rPr>
          <w:b/>
          <w:bCs/>
          <w:sz w:val="28"/>
          <w:szCs w:val="28"/>
        </w:rPr>
      </w:pPr>
      <w:r>
        <w:rPr>
          <w:b/>
          <w:bCs/>
        </w:rPr>
        <w:t>Component</w:t>
      </w:r>
      <w:r w:rsidRPr="00F50250">
        <w:rPr>
          <w:b/>
          <w:bCs/>
        </w:rPr>
        <w:t xml:space="preserve"> </w:t>
      </w:r>
      <w:r w:rsidR="003604B4" w:rsidRPr="00F50250">
        <w:rPr>
          <w:b/>
          <w:bCs/>
        </w:rPr>
        <w:t xml:space="preserve">Design </w:t>
      </w:r>
      <w:r w:rsidR="00531A37" w:rsidRPr="00F50250">
        <w:rPr>
          <w:b/>
          <w:bCs/>
        </w:rPr>
        <w:t xml:space="preserve">Document </w:t>
      </w:r>
    </w:p>
    <w:p w14:paraId="61578EC5" w14:textId="507F1895" w:rsidR="003604B4" w:rsidRDefault="003604B4" w:rsidP="00791619">
      <w:pPr>
        <w:pStyle w:val="Subtitle"/>
        <w:jc w:val="both"/>
      </w:pPr>
      <w:r w:rsidRPr="0012389B">
        <w:t xml:space="preserve">Date: </w:t>
      </w:r>
      <w:r w:rsidR="00E6093B" w:rsidRPr="0012389B">
        <w:t xml:space="preserve">version </w:t>
      </w:r>
      <w:r w:rsidR="00201A30">
        <w:t>4</w:t>
      </w:r>
      <w:r w:rsidR="00552ACF">
        <w:t xml:space="preserve">, </w:t>
      </w:r>
      <w:r w:rsidR="00201A30">
        <w:t>17th</w:t>
      </w:r>
      <w:r w:rsidR="00552ACF">
        <w:t xml:space="preserve"> </w:t>
      </w:r>
      <w:proofErr w:type="gramStart"/>
      <w:r w:rsidR="00552ACF">
        <w:t>May</w:t>
      </w:r>
      <w:r w:rsidR="005B3267" w:rsidRPr="0012389B">
        <w:t>,</w:t>
      </w:r>
      <w:proofErr w:type="gramEnd"/>
      <w:r w:rsidR="005B3267" w:rsidRPr="0012389B">
        <w:t xml:space="preserve"> 2022 </w:t>
      </w:r>
    </w:p>
    <w:p w14:paraId="574B04C3" w14:textId="003B18B6" w:rsidR="002C46F5" w:rsidRPr="008D079B" w:rsidRDefault="002C46F5" w:rsidP="002C46F5">
      <w:pPr>
        <w:pBdr>
          <w:top w:val="single" w:sz="4" w:space="1" w:color="767171" w:themeColor="background2" w:themeShade="80"/>
          <w:left w:val="single" w:sz="4" w:space="4" w:color="767171" w:themeColor="background2" w:themeShade="80"/>
          <w:bottom w:val="single" w:sz="4" w:space="1" w:color="767171" w:themeColor="background2" w:themeShade="80"/>
          <w:right w:val="single" w:sz="4" w:space="4" w:color="767171" w:themeColor="background2" w:themeShade="80"/>
          <w:between w:val="single" w:sz="4" w:space="1" w:color="767171" w:themeColor="background2" w:themeShade="80"/>
          <w:bar w:val="single" w:sz="4" w:color="767171" w:themeColor="background2" w:themeShade="80"/>
        </w:pBdr>
        <w:shd w:val="clear" w:color="auto" w:fill="B4C6E7" w:themeFill="accent1" w:themeFillTint="66"/>
        <w:ind w:left="360"/>
        <w:rPr>
          <w:sz w:val="21"/>
          <w:szCs w:val="21"/>
        </w:rPr>
      </w:pPr>
      <w:r>
        <w:rPr>
          <w:b/>
          <w:sz w:val="21"/>
          <w:szCs w:val="21"/>
        </w:rPr>
        <w:t xml:space="preserve">Investment Design Title: </w:t>
      </w:r>
      <w:r w:rsidR="00552ACF" w:rsidRPr="00552ACF">
        <w:rPr>
          <w:b/>
          <w:sz w:val="21"/>
          <w:szCs w:val="21"/>
        </w:rPr>
        <w:t>Church Partnership Program</w:t>
      </w:r>
      <w:r w:rsidRPr="008D079B">
        <w:rPr>
          <w:b/>
          <w:sz w:val="21"/>
          <w:szCs w:val="21"/>
        </w:rPr>
        <w:tab/>
      </w:r>
      <w:r w:rsidR="00552ACF">
        <w:rPr>
          <w:b/>
          <w:sz w:val="21"/>
          <w:szCs w:val="21"/>
        </w:rPr>
        <w:t>Phase 4</w:t>
      </w:r>
    </w:p>
    <w:p w14:paraId="74029D61" w14:textId="37CB1D0A" w:rsidR="002C46F5" w:rsidRPr="008D079B" w:rsidRDefault="002C46F5" w:rsidP="002C46F5">
      <w:pPr>
        <w:pBdr>
          <w:top w:val="single" w:sz="4" w:space="1" w:color="767171" w:themeColor="background2" w:themeShade="80"/>
          <w:left w:val="single" w:sz="4" w:space="4" w:color="767171" w:themeColor="background2" w:themeShade="80"/>
          <w:bottom w:val="single" w:sz="4" w:space="1" w:color="767171" w:themeColor="background2" w:themeShade="80"/>
          <w:right w:val="single" w:sz="4" w:space="4" w:color="767171" w:themeColor="background2" w:themeShade="80"/>
          <w:between w:val="single" w:sz="4" w:space="1" w:color="767171" w:themeColor="background2" w:themeShade="80"/>
          <w:bar w:val="single" w:sz="4" w:color="767171" w:themeColor="background2" w:themeShade="80"/>
        </w:pBdr>
        <w:shd w:val="clear" w:color="auto" w:fill="B4C6E7" w:themeFill="accent1" w:themeFillTint="66"/>
        <w:ind w:left="360"/>
        <w:rPr>
          <w:sz w:val="21"/>
          <w:szCs w:val="21"/>
        </w:rPr>
      </w:pPr>
      <w:r>
        <w:rPr>
          <w:b/>
          <w:sz w:val="21"/>
          <w:szCs w:val="21"/>
        </w:rPr>
        <w:t>Start Date: 1 July 2022</w:t>
      </w:r>
      <w:r>
        <w:rPr>
          <w:b/>
          <w:sz w:val="21"/>
          <w:szCs w:val="21"/>
        </w:rPr>
        <w:tab/>
      </w:r>
      <w:r>
        <w:rPr>
          <w:b/>
          <w:sz w:val="21"/>
          <w:szCs w:val="21"/>
        </w:rPr>
        <w:tab/>
      </w:r>
      <w:r>
        <w:rPr>
          <w:b/>
          <w:sz w:val="21"/>
          <w:szCs w:val="21"/>
        </w:rPr>
        <w:tab/>
      </w:r>
      <w:r>
        <w:rPr>
          <w:b/>
          <w:sz w:val="21"/>
          <w:szCs w:val="21"/>
        </w:rPr>
        <w:tab/>
        <w:t>End Date: 31 December 2025</w:t>
      </w:r>
    </w:p>
    <w:p w14:paraId="235C8BB3" w14:textId="12FD4DF5" w:rsidR="002C46F5" w:rsidRPr="008D079B" w:rsidRDefault="002C46F5" w:rsidP="002C46F5">
      <w:pPr>
        <w:pBdr>
          <w:top w:val="single" w:sz="4" w:space="1" w:color="767171" w:themeColor="background2" w:themeShade="80"/>
          <w:left w:val="single" w:sz="4" w:space="4" w:color="767171" w:themeColor="background2" w:themeShade="80"/>
          <w:bottom w:val="single" w:sz="4" w:space="1" w:color="767171" w:themeColor="background2" w:themeShade="80"/>
          <w:right w:val="single" w:sz="4" w:space="4" w:color="767171" w:themeColor="background2" w:themeShade="80"/>
          <w:between w:val="single" w:sz="4" w:space="1" w:color="767171" w:themeColor="background2" w:themeShade="80"/>
          <w:bar w:val="single" w:sz="4" w:color="767171" w:themeColor="background2" w:themeShade="80"/>
        </w:pBdr>
        <w:shd w:val="clear" w:color="auto" w:fill="B4C6E7" w:themeFill="accent1" w:themeFillTint="66"/>
        <w:ind w:left="360"/>
        <w:rPr>
          <w:sz w:val="21"/>
          <w:szCs w:val="21"/>
        </w:rPr>
      </w:pPr>
      <w:r w:rsidRPr="008D079B">
        <w:rPr>
          <w:b/>
          <w:sz w:val="21"/>
          <w:szCs w:val="21"/>
        </w:rPr>
        <w:t>Total proposed DFAT funding:</w:t>
      </w:r>
      <w:r w:rsidR="0024229A">
        <w:rPr>
          <w:b/>
          <w:sz w:val="21"/>
          <w:szCs w:val="21"/>
        </w:rPr>
        <w:tab/>
      </w:r>
      <w:r w:rsidRPr="008D079B">
        <w:rPr>
          <w:b/>
          <w:sz w:val="21"/>
          <w:szCs w:val="21"/>
        </w:rPr>
        <w:tab/>
      </w:r>
      <w:r w:rsidRPr="008D079B">
        <w:rPr>
          <w:b/>
          <w:sz w:val="21"/>
          <w:szCs w:val="21"/>
        </w:rPr>
        <w:tab/>
        <w:t>Total proposed funding from all donor/s:</w:t>
      </w:r>
      <w:r w:rsidR="0024229A">
        <w:rPr>
          <w:b/>
          <w:sz w:val="21"/>
          <w:szCs w:val="21"/>
        </w:rPr>
        <w:t xml:space="preserve"> </w:t>
      </w:r>
      <w:r w:rsidR="0024229A" w:rsidRPr="0024229A">
        <w:rPr>
          <w:bCs/>
          <w:sz w:val="21"/>
          <w:szCs w:val="21"/>
        </w:rPr>
        <w:t>N/A</w:t>
      </w:r>
      <w:r w:rsidRPr="008D079B">
        <w:rPr>
          <w:b/>
          <w:sz w:val="21"/>
          <w:szCs w:val="21"/>
        </w:rPr>
        <w:t xml:space="preserve"> </w:t>
      </w:r>
      <w:r w:rsidRPr="002A31B8">
        <w:rPr>
          <w:sz w:val="21"/>
          <w:szCs w:val="21"/>
        </w:rPr>
        <w:t>AUD</w:t>
      </w:r>
      <w:r w:rsidR="0024229A">
        <w:rPr>
          <w:sz w:val="21"/>
          <w:szCs w:val="21"/>
        </w:rPr>
        <w:t xml:space="preserve"> 28</w:t>
      </w:r>
      <w:r>
        <w:rPr>
          <w:sz w:val="21"/>
          <w:szCs w:val="21"/>
        </w:rPr>
        <w:t xml:space="preserve">m for 3.5 years </w:t>
      </w:r>
      <w:r w:rsidR="0024229A">
        <w:rPr>
          <w:sz w:val="21"/>
          <w:szCs w:val="21"/>
        </w:rPr>
        <w:br/>
      </w:r>
      <w:r>
        <w:rPr>
          <w:sz w:val="21"/>
          <w:szCs w:val="21"/>
        </w:rPr>
        <w:t>(</w:t>
      </w:r>
      <w:r w:rsidR="0024229A">
        <w:rPr>
          <w:sz w:val="21"/>
          <w:szCs w:val="21"/>
        </w:rPr>
        <w:t xml:space="preserve">+ potential </w:t>
      </w:r>
      <w:proofErr w:type="gramStart"/>
      <w:r w:rsidR="0024229A">
        <w:rPr>
          <w:sz w:val="21"/>
          <w:szCs w:val="21"/>
        </w:rPr>
        <w:t>4 year</w:t>
      </w:r>
      <w:proofErr w:type="gramEnd"/>
      <w:r w:rsidR="0024229A">
        <w:rPr>
          <w:sz w:val="21"/>
          <w:szCs w:val="21"/>
        </w:rPr>
        <w:t xml:space="preserve"> extension for up to AUD 32m</w:t>
      </w:r>
      <w:r>
        <w:rPr>
          <w:sz w:val="21"/>
          <w:szCs w:val="21"/>
        </w:rPr>
        <w:t>)</w:t>
      </w:r>
      <w:r>
        <w:rPr>
          <w:sz w:val="21"/>
          <w:szCs w:val="21"/>
        </w:rPr>
        <w:tab/>
      </w:r>
      <w:r>
        <w:rPr>
          <w:sz w:val="21"/>
          <w:szCs w:val="21"/>
        </w:rPr>
        <w:tab/>
      </w:r>
      <w:r>
        <w:rPr>
          <w:sz w:val="21"/>
          <w:szCs w:val="21"/>
        </w:rPr>
        <w:tab/>
      </w:r>
      <w:r>
        <w:rPr>
          <w:sz w:val="21"/>
          <w:szCs w:val="21"/>
        </w:rPr>
        <w:tab/>
      </w:r>
    </w:p>
    <w:p w14:paraId="30681670" w14:textId="75F73336" w:rsidR="002C46F5" w:rsidRPr="008D079B" w:rsidRDefault="002C46F5" w:rsidP="002C46F5">
      <w:pPr>
        <w:pBdr>
          <w:top w:val="single" w:sz="4" w:space="1" w:color="767171" w:themeColor="background2" w:themeShade="80"/>
          <w:left w:val="single" w:sz="4" w:space="4" w:color="767171" w:themeColor="background2" w:themeShade="80"/>
          <w:bottom w:val="single" w:sz="4" w:space="1" w:color="767171" w:themeColor="background2" w:themeShade="80"/>
          <w:right w:val="single" w:sz="4" w:space="4" w:color="767171" w:themeColor="background2" w:themeShade="80"/>
          <w:between w:val="single" w:sz="4" w:space="1" w:color="767171" w:themeColor="background2" w:themeShade="80"/>
          <w:bar w:val="single" w:sz="4" w:color="767171" w:themeColor="background2" w:themeShade="80"/>
        </w:pBdr>
        <w:shd w:val="clear" w:color="auto" w:fill="B4C6E7" w:themeFill="accent1" w:themeFillTint="66"/>
        <w:ind w:left="360"/>
        <w:rPr>
          <w:sz w:val="21"/>
          <w:szCs w:val="21"/>
        </w:rPr>
      </w:pPr>
      <w:r w:rsidRPr="008D079B">
        <w:rPr>
          <w:rFonts w:cs="Arial"/>
          <w:b/>
          <w:sz w:val="21"/>
          <w:szCs w:val="21"/>
        </w:rPr>
        <w:t xml:space="preserve">Current program fund annual allocation: </w:t>
      </w:r>
      <w:r w:rsidR="0024229A" w:rsidRPr="0024229A">
        <w:rPr>
          <w:rFonts w:cs="Arial"/>
          <w:bCs/>
          <w:sz w:val="21"/>
          <w:szCs w:val="21"/>
        </w:rPr>
        <w:t>AUD</w:t>
      </w:r>
      <w:r w:rsidR="0024229A">
        <w:rPr>
          <w:rFonts w:cs="Arial"/>
          <w:b/>
          <w:sz w:val="21"/>
          <w:szCs w:val="21"/>
        </w:rPr>
        <w:t xml:space="preserve"> </w:t>
      </w:r>
      <w:r w:rsidR="0024229A">
        <w:rPr>
          <w:rFonts w:cs="Arial"/>
          <w:sz w:val="21"/>
          <w:szCs w:val="21"/>
        </w:rPr>
        <w:t>8m</w:t>
      </w:r>
      <w:r w:rsidRPr="008D079B">
        <w:rPr>
          <w:rFonts w:cs="Arial"/>
          <w:b/>
          <w:sz w:val="21"/>
          <w:szCs w:val="21"/>
        </w:rPr>
        <w:tab/>
      </w:r>
      <w:r w:rsidRPr="008D079B">
        <w:rPr>
          <w:b/>
          <w:sz w:val="21"/>
          <w:szCs w:val="21"/>
        </w:rPr>
        <w:t>Aid</w:t>
      </w:r>
      <w:r>
        <w:rPr>
          <w:b/>
          <w:sz w:val="21"/>
          <w:szCs w:val="21"/>
        </w:rPr>
        <w:t xml:space="preserve"> </w:t>
      </w:r>
      <w:r w:rsidRPr="008D079B">
        <w:rPr>
          <w:b/>
          <w:sz w:val="21"/>
          <w:szCs w:val="21"/>
        </w:rPr>
        <w:t>Works investment number:</w:t>
      </w:r>
      <w:r w:rsidRPr="008D079B">
        <w:rPr>
          <w:b/>
          <w:sz w:val="21"/>
          <w:szCs w:val="21"/>
        </w:rPr>
        <w:tab/>
      </w:r>
      <w:r>
        <w:rPr>
          <w:b/>
          <w:sz w:val="21"/>
          <w:szCs w:val="21"/>
        </w:rPr>
        <w:t>N/A</w:t>
      </w:r>
    </w:p>
    <w:p w14:paraId="24319A4F" w14:textId="77777777" w:rsidR="002C46F5" w:rsidRPr="008D079B" w:rsidRDefault="002C46F5" w:rsidP="002C46F5">
      <w:pPr>
        <w:pBdr>
          <w:top w:val="single" w:sz="4" w:space="1" w:color="767171" w:themeColor="background2" w:themeShade="80"/>
          <w:left w:val="single" w:sz="4" w:space="4" w:color="767171" w:themeColor="background2" w:themeShade="80"/>
          <w:bottom w:val="single" w:sz="4" w:space="1" w:color="767171" w:themeColor="background2" w:themeShade="80"/>
          <w:right w:val="single" w:sz="4" w:space="4" w:color="767171" w:themeColor="background2" w:themeShade="80"/>
          <w:between w:val="single" w:sz="4" w:space="1" w:color="767171" w:themeColor="background2" w:themeShade="80"/>
          <w:bar w:val="single" w:sz="4" w:color="767171" w:themeColor="background2" w:themeShade="80"/>
        </w:pBdr>
        <w:shd w:val="clear" w:color="auto" w:fill="B4C6E7" w:themeFill="accent1" w:themeFillTint="66"/>
        <w:ind w:left="360"/>
        <w:rPr>
          <w:b/>
          <w:sz w:val="21"/>
          <w:szCs w:val="21"/>
        </w:rPr>
      </w:pPr>
      <w:r w:rsidRPr="008D079B">
        <w:rPr>
          <w:b/>
          <w:sz w:val="21"/>
          <w:szCs w:val="21"/>
        </w:rPr>
        <w:t>Overall Risk Profile</w:t>
      </w:r>
      <w:r w:rsidRPr="008D079B">
        <w:rPr>
          <w:sz w:val="21"/>
          <w:szCs w:val="21"/>
        </w:rPr>
        <w:t xml:space="preserve">: </w:t>
      </w:r>
      <w:r w:rsidRPr="008D079B">
        <w:rPr>
          <w:i/>
          <w:sz w:val="21"/>
          <w:szCs w:val="21"/>
        </w:rPr>
        <w:t>high</w:t>
      </w:r>
      <w:r>
        <w:rPr>
          <w:i/>
          <w:sz w:val="21"/>
          <w:szCs w:val="21"/>
        </w:rPr>
        <w:tab/>
      </w:r>
      <w:r>
        <w:rPr>
          <w:i/>
          <w:sz w:val="21"/>
          <w:szCs w:val="21"/>
        </w:rPr>
        <w:tab/>
      </w:r>
      <w:r>
        <w:rPr>
          <w:i/>
          <w:sz w:val="21"/>
          <w:szCs w:val="21"/>
        </w:rPr>
        <w:tab/>
      </w:r>
      <w:r w:rsidRPr="008D079B">
        <w:rPr>
          <w:b/>
          <w:sz w:val="21"/>
          <w:szCs w:val="21"/>
        </w:rPr>
        <w:t xml:space="preserve">   </w:t>
      </w:r>
      <w:r>
        <w:rPr>
          <w:b/>
          <w:sz w:val="21"/>
          <w:szCs w:val="21"/>
        </w:rPr>
        <w:tab/>
      </w:r>
      <w:r w:rsidRPr="008D079B">
        <w:rPr>
          <w:b/>
          <w:sz w:val="21"/>
          <w:szCs w:val="21"/>
        </w:rPr>
        <w:t xml:space="preserve"> Risk</w:t>
      </w:r>
      <w:r>
        <w:rPr>
          <w:b/>
          <w:sz w:val="21"/>
          <w:szCs w:val="21"/>
        </w:rPr>
        <w:t>:</w:t>
      </w:r>
      <w:r w:rsidRPr="008D079B">
        <w:rPr>
          <w:b/>
          <w:sz w:val="21"/>
          <w:szCs w:val="21"/>
        </w:rPr>
        <w:t xml:space="preserve"> </w:t>
      </w:r>
      <w:r>
        <w:rPr>
          <w:i/>
          <w:sz w:val="21"/>
          <w:szCs w:val="21"/>
        </w:rPr>
        <w:t>high</w:t>
      </w:r>
      <w:r>
        <w:rPr>
          <w:b/>
          <w:sz w:val="21"/>
          <w:szCs w:val="21"/>
        </w:rPr>
        <w:br/>
      </w:r>
      <w:r w:rsidRPr="008D079B">
        <w:rPr>
          <w:b/>
          <w:sz w:val="21"/>
          <w:szCs w:val="21"/>
        </w:rPr>
        <w:t>Value</w:t>
      </w:r>
      <w:r w:rsidRPr="008D079B">
        <w:rPr>
          <w:b/>
          <w:sz w:val="21"/>
          <w:szCs w:val="21"/>
        </w:rPr>
        <w:tab/>
      </w:r>
    </w:p>
    <w:p w14:paraId="1DF99774" w14:textId="5B1BBE9E" w:rsidR="002C46F5" w:rsidRPr="009101C8" w:rsidRDefault="006042FE" w:rsidP="002C46F5">
      <w:pPr>
        <w:pBdr>
          <w:top w:val="single" w:sz="4" w:space="1" w:color="767171" w:themeColor="background2" w:themeShade="80"/>
          <w:left w:val="single" w:sz="4" w:space="4" w:color="767171" w:themeColor="background2" w:themeShade="80"/>
          <w:bottom w:val="single" w:sz="4" w:space="1" w:color="767171" w:themeColor="background2" w:themeShade="80"/>
          <w:right w:val="single" w:sz="4" w:space="4" w:color="767171" w:themeColor="background2" w:themeShade="80"/>
          <w:between w:val="single" w:sz="4" w:space="1" w:color="767171" w:themeColor="background2" w:themeShade="80"/>
          <w:bar w:val="single" w:sz="4" w:color="767171" w:themeColor="background2" w:themeShade="80"/>
        </w:pBdr>
        <w:shd w:val="clear" w:color="auto" w:fill="B4C6E7" w:themeFill="accent1" w:themeFillTint="66"/>
        <w:ind w:left="360"/>
        <w:rPr>
          <w:iCs/>
          <w:sz w:val="21"/>
          <w:szCs w:val="21"/>
        </w:rPr>
      </w:pPr>
      <w:r>
        <w:rPr>
          <w:b/>
          <w:sz w:val="21"/>
          <w:szCs w:val="21"/>
        </w:rPr>
        <w:t xml:space="preserve">BCEP </w:t>
      </w:r>
      <w:r w:rsidR="002C46F5" w:rsidRPr="008D079B">
        <w:rPr>
          <w:b/>
          <w:sz w:val="21"/>
          <w:szCs w:val="21"/>
        </w:rPr>
        <w:t>Con</w:t>
      </w:r>
      <w:r w:rsidR="002C46F5">
        <w:rPr>
          <w:b/>
          <w:sz w:val="21"/>
          <w:szCs w:val="21"/>
        </w:rPr>
        <w:t>cep</w:t>
      </w:r>
      <w:r w:rsidR="002C46F5" w:rsidRPr="008D079B">
        <w:rPr>
          <w:b/>
          <w:sz w:val="21"/>
          <w:szCs w:val="21"/>
        </w:rPr>
        <w:t xml:space="preserve">t approved by: </w:t>
      </w:r>
      <w:r w:rsidR="002C46F5">
        <w:rPr>
          <w:b/>
          <w:sz w:val="21"/>
          <w:szCs w:val="21"/>
        </w:rPr>
        <w:tab/>
      </w:r>
      <w:r w:rsidR="002C46F5">
        <w:rPr>
          <w:b/>
          <w:sz w:val="21"/>
          <w:szCs w:val="21"/>
        </w:rPr>
        <w:tab/>
      </w:r>
      <w:r w:rsidR="002C46F5">
        <w:rPr>
          <w:b/>
          <w:sz w:val="21"/>
          <w:szCs w:val="21"/>
        </w:rPr>
        <w:tab/>
      </w:r>
      <w:r w:rsidR="002C46F5">
        <w:rPr>
          <w:b/>
          <w:sz w:val="21"/>
          <w:szCs w:val="21"/>
        </w:rPr>
        <w:tab/>
      </w:r>
      <w:r>
        <w:rPr>
          <w:b/>
          <w:sz w:val="21"/>
          <w:szCs w:val="21"/>
        </w:rPr>
        <w:t xml:space="preserve">BCEP </w:t>
      </w:r>
      <w:r w:rsidR="002C46F5" w:rsidRPr="008D079B">
        <w:rPr>
          <w:b/>
          <w:sz w:val="21"/>
          <w:szCs w:val="21"/>
        </w:rPr>
        <w:t>Con</w:t>
      </w:r>
      <w:r w:rsidR="002C46F5">
        <w:rPr>
          <w:b/>
          <w:sz w:val="21"/>
          <w:szCs w:val="21"/>
        </w:rPr>
        <w:t>cep</w:t>
      </w:r>
      <w:r w:rsidR="002C46F5" w:rsidRPr="008D079B">
        <w:rPr>
          <w:b/>
          <w:sz w:val="21"/>
          <w:szCs w:val="21"/>
        </w:rPr>
        <w:t>t endorsed by AGB:</w:t>
      </w:r>
      <w:r w:rsidR="002C46F5">
        <w:rPr>
          <w:b/>
          <w:sz w:val="21"/>
          <w:szCs w:val="21"/>
        </w:rPr>
        <w:br/>
      </w:r>
      <w:r w:rsidR="002C46F5" w:rsidRPr="009101C8">
        <w:rPr>
          <w:rFonts w:asciiTheme="majorHAnsi" w:hAnsiTheme="majorHAnsi"/>
          <w:i/>
          <w:sz w:val="21"/>
          <w:szCs w:val="21"/>
        </w:rPr>
        <w:t>Bruce Davis,</w:t>
      </w:r>
      <w:r w:rsidR="002C46F5" w:rsidRPr="008D079B">
        <w:rPr>
          <w:rFonts w:asciiTheme="majorHAnsi" w:hAnsiTheme="majorHAnsi"/>
          <w:i/>
          <w:sz w:val="21"/>
          <w:szCs w:val="21"/>
        </w:rPr>
        <w:t xml:space="preserve"> High Commissioner, </w:t>
      </w:r>
      <w:r w:rsidR="002C46F5">
        <w:rPr>
          <w:rFonts w:asciiTheme="majorHAnsi" w:hAnsiTheme="majorHAnsi"/>
          <w:i/>
          <w:sz w:val="21"/>
          <w:szCs w:val="21"/>
        </w:rPr>
        <w:t>Port Moresby</w:t>
      </w:r>
      <w:r w:rsidR="002C46F5" w:rsidRPr="008D079B">
        <w:rPr>
          <w:rFonts w:ascii="Calibri Light" w:hAnsi="Calibri Light" w:cs="Calibri Light"/>
          <w:b/>
          <w:bCs/>
          <w:sz w:val="21"/>
          <w:szCs w:val="21"/>
        </w:rPr>
        <w:t>                 </w:t>
      </w:r>
      <w:r w:rsidR="002C46F5">
        <w:rPr>
          <w:iCs/>
          <w:sz w:val="21"/>
          <w:szCs w:val="21"/>
        </w:rPr>
        <w:t>3 March 2020</w:t>
      </w:r>
      <w:r w:rsidR="0024229A">
        <w:rPr>
          <w:iCs/>
          <w:sz w:val="21"/>
          <w:szCs w:val="21"/>
        </w:rPr>
        <w:t xml:space="preserve"> (as part of BCEP)</w:t>
      </w:r>
      <w:r w:rsidR="002C46F5">
        <w:rPr>
          <w:i/>
          <w:sz w:val="21"/>
          <w:szCs w:val="21"/>
        </w:rPr>
        <w:br/>
      </w:r>
      <w:r w:rsidR="002C46F5" w:rsidRPr="008D079B">
        <w:rPr>
          <w:i/>
          <w:sz w:val="21"/>
          <w:szCs w:val="21"/>
        </w:rPr>
        <w:t>Yes</w:t>
      </w:r>
      <w:r w:rsidR="002C46F5">
        <w:rPr>
          <w:i/>
          <w:sz w:val="21"/>
          <w:szCs w:val="21"/>
        </w:rPr>
        <w:tab/>
      </w:r>
      <w:r w:rsidR="002C46F5">
        <w:rPr>
          <w:i/>
          <w:sz w:val="21"/>
          <w:szCs w:val="21"/>
        </w:rPr>
        <w:tab/>
      </w:r>
      <w:r w:rsidR="002C46F5">
        <w:rPr>
          <w:i/>
          <w:sz w:val="21"/>
          <w:szCs w:val="21"/>
        </w:rPr>
        <w:tab/>
      </w:r>
      <w:r w:rsidR="002C46F5">
        <w:rPr>
          <w:i/>
          <w:sz w:val="21"/>
          <w:szCs w:val="21"/>
        </w:rPr>
        <w:tab/>
      </w:r>
      <w:r w:rsidR="002C46F5">
        <w:rPr>
          <w:i/>
          <w:sz w:val="21"/>
          <w:szCs w:val="21"/>
        </w:rPr>
        <w:tab/>
      </w:r>
    </w:p>
    <w:p w14:paraId="6215D568" w14:textId="265077DC" w:rsidR="002C46F5" w:rsidRPr="002A31B8" w:rsidRDefault="002C46F5" w:rsidP="002C46F5">
      <w:pPr>
        <w:pBdr>
          <w:top w:val="single" w:sz="4" w:space="1" w:color="767171" w:themeColor="background2" w:themeShade="80"/>
          <w:left w:val="single" w:sz="4" w:space="4" w:color="767171" w:themeColor="background2" w:themeShade="80"/>
          <w:bottom w:val="single" w:sz="4" w:space="1" w:color="767171" w:themeColor="background2" w:themeShade="80"/>
          <w:right w:val="single" w:sz="4" w:space="4" w:color="767171" w:themeColor="background2" w:themeShade="80"/>
          <w:between w:val="single" w:sz="4" w:space="1" w:color="767171" w:themeColor="background2" w:themeShade="80"/>
          <w:bar w:val="single" w:sz="4" w:color="767171" w:themeColor="background2" w:themeShade="80"/>
        </w:pBdr>
        <w:shd w:val="clear" w:color="auto" w:fill="B4C6E7" w:themeFill="accent1" w:themeFillTint="66"/>
        <w:ind w:left="360"/>
        <w:rPr>
          <w:bCs/>
          <w:i/>
          <w:iCs/>
          <w:sz w:val="21"/>
          <w:szCs w:val="21"/>
        </w:rPr>
      </w:pPr>
      <w:r w:rsidRPr="008D079B">
        <w:rPr>
          <w:b/>
          <w:sz w:val="21"/>
          <w:szCs w:val="21"/>
        </w:rPr>
        <w:t>Approval: Delegate at Post:</w:t>
      </w:r>
      <w:r>
        <w:rPr>
          <w:b/>
          <w:sz w:val="21"/>
          <w:szCs w:val="21"/>
        </w:rPr>
        <w:tab/>
      </w:r>
      <w:r>
        <w:rPr>
          <w:b/>
          <w:sz w:val="21"/>
          <w:szCs w:val="21"/>
        </w:rPr>
        <w:tab/>
      </w:r>
      <w:r>
        <w:rPr>
          <w:b/>
          <w:sz w:val="21"/>
          <w:szCs w:val="21"/>
        </w:rPr>
        <w:tab/>
      </w:r>
      <w:r>
        <w:rPr>
          <w:b/>
          <w:sz w:val="21"/>
          <w:szCs w:val="21"/>
        </w:rPr>
        <w:tab/>
      </w:r>
      <w:r>
        <w:rPr>
          <w:b/>
          <w:sz w:val="21"/>
          <w:szCs w:val="21"/>
        </w:rPr>
        <w:br/>
      </w:r>
      <w:r>
        <w:rPr>
          <w:rFonts w:asciiTheme="majorHAnsi" w:hAnsiTheme="majorHAnsi"/>
          <w:i/>
          <w:sz w:val="21"/>
          <w:szCs w:val="21"/>
        </w:rPr>
        <w:t>Jon Philp</w:t>
      </w:r>
      <w:r w:rsidRPr="008D079B">
        <w:rPr>
          <w:rFonts w:asciiTheme="majorHAnsi" w:hAnsiTheme="majorHAnsi"/>
          <w:i/>
          <w:sz w:val="21"/>
          <w:szCs w:val="21"/>
        </w:rPr>
        <w:t>, </w:t>
      </w:r>
      <w:r>
        <w:rPr>
          <w:rFonts w:asciiTheme="majorHAnsi" w:hAnsiTheme="majorHAnsi"/>
          <w:i/>
          <w:sz w:val="21"/>
          <w:szCs w:val="21"/>
        </w:rPr>
        <w:t>High Commissioner</w:t>
      </w:r>
      <w:r w:rsidRPr="002E5375">
        <w:rPr>
          <w:rFonts w:asciiTheme="majorHAnsi" w:hAnsiTheme="majorHAnsi"/>
          <w:i/>
          <w:sz w:val="21"/>
          <w:szCs w:val="21"/>
        </w:rPr>
        <w:t>, Port Moresby</w:t>
      </w:r>
      <w:r w:rsidRPr="008D079B">
        <w:rPr>
          <w:b/>
          <w:sz w:val="21"/>
          <w:szCs w:val="21"/>
        </w:rPr>
        <w:tab/>
      </w:r>
      <w:r>
        <w:rPr>
          <w:b/>
          <w:sz w:val="21"/>
          <w:szCs w:val="21"/>
        </w:rPr>
        <w:t xml:space="preserve">               </w:t>
      </w:r>
    </w:p>
    <w:p w14:paraId="2DE326B4" w14:textId="77777777" w:rsidR="002C46F5" w:rsidRPr="002C46F5" w:rsidRDefault="002C46F5" w:rsidP="002C46F5"/>
    <w:p w14:paraId="770CFD1F" w14:textId="77777777" w:rsidR="003604B4" w:rsidRPr="0012389B" w:rsidRDefault="003604B4" w:rsidP="00791619">
      <w:pPr>
        <w:jc w:val="both"/>
      </w:pPr>
      <w:r w:rsidRPr="0012389B">
        <w:br w:type="page"/>
      </w:r>
    </w:p>
    <w:p w14:paraId="638315ED" w14:textId="77777777" w:rsidR="003604B4" w:rsidRPr="0012389B" w:rsidRDefault="003604B4" w:rsidP="00791619">
      <w:pPr>
        <w:pStyle w:val="Heading1"/>
        <w:jc w:val="both"/>
        <w:rPr>
          <w:rFonts w:ascii="Arial" w:hAnsi="Arial" w:cs="Arial"/>
          <w:sz w:val="28"/>
          <w:szCs w:val="28"/>
        </w:rPr>
        <w:sectPr w:rsidR="003604B4" w:rsidRPr="0012389B">
          <w:footerReference w:type="default" r:id="rId8"/>
          <w:pgSz w:w="11906" w:h="16838"/>
          <w:pgMar w:top="1440" w:right="1440" w:bottom="1440" w:left="1440" w:header="708" w:footer="708" w:gutter="0"/>
          <w:cols w:space="708"/>
          <w:docGrid w:linePitch="360"/>
        </w:sectPr>
      </w:pPr>
    </w:p>
    <w:p w14:paraId="35CCF920" w14:textId="061C716D" w:rsidR="002871B2" w:rsidRPr="0012389B" w:rsidRDefault="00531A37" w:rsidP="00791619">
      <w:pPr>
        <w:pStyle w:val="Heading1"/>
        <w:jc w:val="both"/>
        <w:rPr>
          <w:rFonts w:ascii="Arial" w:hAnsi="Arial" w:cs="Arial"/>
          <w:sz w:val="28"/>
          <w:szCs w:val="28"/>
        </w:rPr>
      </w:pPr>
      <w:bookmarkStart w:id="0" w:name="_Toc87987268"/>
      <w:bookmarkStart w:id="1" w:name="_Toc97187803"/>
      <w:bookmarkStart w:id="2" w:name="_Toc97305447"/>
      <w:bookmarkStart w:id="3" w:name="_Toc99041645"/>
      <w:r w:rsidRPr="0012389B">
        <w:rPr>
          <w:rFonts w:ascii="Arial" w:hAnsi="Arial" w:cs="Arial"/>
          <w:sz w:val="28"/>
          <w:szCs w:val="28"/>
        </w:rPr>
        <w:lastRenderedPageBreak/>
        <w:t xml:space="preserve">Executive </w:t>
      </w:r>
      <w:r w:rsidR="00684F89" w:rsidRPr="0012389B">
        <w:rPr>
          <w:rFonts w:ascii="Arial" w:hAnsi="Arial" w:cs="Arial"/>
          <w:sz w:val="28"/>
          <w:szCs w:val="28"/>
        </w:rPr>
        <w:t>Summary</w:t>
      </w:r>
      <w:bookmarkEnd w:id="0"/>
      <w:bookmarkEnd w:id="1"/>
      <w:bookmarkEnd w:id="2"/>
      <w:bookmarkEnd w:id="3"/>
    </w:p>
    <w:p w14:paraId="7C788B0A" w14:textId="4E9EEF8D" w:rsidR="00AC6178" w:rsidRDefault="00662CEB" w:rsidP="00791619">
      <w:pPr>
        <w:jc w:val="both"/>
      </w:pPr>
      <w:r w:rsidRPr="0012389B">
        <w:t xml:space="preserve">Since 2004, </w:t>
      </w:r>
      <w:r w:rsidR="00D818CA">
        <w:t xml:space="preserve">the governments of Australia and Papua New Guinea (PNG) have worked in partnership with </w:t>
      </w:r>
      <w:r w:rsidR="00AC6178">
        <w:t xml:space="preserve">PNG’s </w:t>
      </w:r>
      <w:r w:rsidRPr="0012389B">
        <w:t>seven ‘mainline’ churches</w:t>
      </w:r>
      <w:r w:rsidR="00D818CA">
        <w:t xml:space="preserve"> to </w:t>
      </w:r>
      <w:r w:rsidR="00D818CA" w:rsidRPr="00D818CA">
        <w:t>promote ‘holistic, inclusive, and sustainable development’</w:t>
      </w:r>
      <w:r w:rsidR="00D818CA" w:rsidRPr="00D818CA">
        <w:rPr>
          <w:rStyle w:val="FootnoteReference"/>
        </w:rPr>
        <w:t xml:space="preserve"> </w:t>
      </w:r>
      <w:r w:rsidR="00D818CA" w:rsidRPr="00D818CA">
        <w:rPr>
          <w:rStyle w:val="FootnoteReference"/>
        </w:rPr>
        <w:footnoteReference w:id="2"/>
      </w:r>
      <w:r w:rsidR="008C730E">
        <w:t xml:space="preserve"> </w:t>
      </w:r>
      <w:r w:rsidR="00055048">
        <w:t xml:space="preserve">under the Church Partnership Program (CPP). </w:t>
      </w:r>
      <w:r w:rsidR="008C730E" w:rsidRPr="00552ACF">
        <w:t xml:space="preserve">Representing 71% of the country’s Christian population, these churches </w:t>
      </w:r>
      <w:r w:rsidR="00AC6178" w:rsidRPr="00552ACF">
        <w:t>wield</w:t>
      </w:r>
      <w:r w:rsidR="008C730E" w:rsidRPr="00552ACF">
        <w:t xml:space="preserve"> enormous social influence </w:t>
      </w:r>
      <w:r w:rsidR="00AC6178" w:rsidRPr="00552ACF">
        <w:t>and</w:t>
      </w:r>
      <w:r w:rsidR="008C730E" w:rsidRPr="00552ACF">
        <w:t xml:space="preserve"> deliver half the country’s health and education</w:t>
      </w:r>
      <w:r w:rsidR="00AC6178" w:rsidRPr="00552ACF">
        <w:t xml:space="preserve"> services</w:t>
      </w:r>
      <w:r w:rsidR="008C730E" w:rsidRPr="00552ACF">
        <w:t>, reaching many rural and remote areas where government services are limit</w:t>
      </w:r>
      <w:r w:rsidR="00AC6178" w:rsidRPr="00552ACF">
        <w:t>ed</w:t>
      </w:r>
      <w:r w:rsidR="0002526B" w:rsidRPr="00552ACF">
        <w:t>.</w:t>
      </w:r>
    </w:p>
    <w:p w14:paraId="639200C8" w14:textId="31923967" w:rsidR="00AC6178" w:rsidRPr="00EE6D33" w:rsidRDefault="00AC6178" w:rsidP="00791619">
      <w:pPr>
        <w:jc w:val="both"/>
      </w:pPr>
      <w:r>
        <w:t>The seven mainline churches</w:t>
      </w:r>
      <w:r w:rsidR="008C730E" w:rsidRPr="0012389B">
        <w:t xml:space="preserve"> are the Anglican Church, Baptist Union, Evangelical Lutheran Church, Roman Catholic Church, The Salvation Army, Seventh Day Adventist Church, and the United Church</w:t>
      </w:r>
      <w:r>
        <w:t xml:space="preserve">. </w:t>
      </w:r>
      <w:r w:rsidR="00055048" w:rsidRPr="0012389B">
        <w:t xml:space="preserve">They include PNG’s largest church, the Catholic Church, as well as </w:t>
      </w:r>
      <w:r w:rsidR="00055048">
        <w:t xml:space="preserve">one </w:t>
      </w:r>
      <w:r w:rsidR="00055048" w:rsidRPr="0012389B">
        <w:t>of its smalle</w:t>
      </w:r>
      <w:r w:rsidR="00055048">
        <w:t xml:space="preserve">r </w:t>
      </w:r>
      <w:r w:rsidR="006B5136">
        <w:t>churches</w:t>
      </w:r>
      <w:r w:rsidR="00055048" w:rsidRPr="0012389B">
        <w:t xml:space="preserve">, The Salvation Army. </w:t>
      </w:r>
      <w:r>
        <w:t xml:space="preserve">Over three </w:t>
      </w:r>
      <w:r w:rsidR="006B5136">
        <w:t xml:space="preserve">CPP </w:t>
      </w:r>
      <w:r>
        <w:t>phases, these churches have work</w:t>
      </w:r>
      <w:r w:rsidR="00055048">
        <w:t>ed</w:t>
      </w:r>
      <w:r>
        <w:t xml:space="preserve"> in partnership with </w:t>
      </w:r>
      <w:r w:rsidRPr="0012389B">
        <w:t xml:space="preserve">Australian non-government organisations (ANGOs) from their sister Australian churches; as well the mainline churches ‘peak’ body, the PNG Council of Churches (PNGCC), and governments from each country. All partners have committed to continue into </w:t>
      </w:r>
      <w:r>
        <w:t>a fourth</w:t>
      </w:r>
      <w:r w:rsidRPr="0012389B">
        <w:t xml:space="preserve"> phase of the </w:t>
      </w:r>
      <w:r w:rsidRPr="00EE6D33">
        <w:t xml:space="preserve">program. </w:t>
      </w:r>
    </w:p>
    <w:p w14:paraId="52FFAB04" w14:textId="7039E91F" w:rsidR="00055048" w:rsidRDefault="00AC6178" w:rsidP="00791619">
      <w:pPr>
        <w:jc w:val="both"/>
      </w:pPr>
      <w:r>
        <w:t xml:space="preserve">While identifying as PNG </w:t>
      </w:r>
      <w:r w:rsidR="00EE6D33">
        <w:t>‘</w:t>
      </w:r>
      <w:r>
        <w:t>mainline</w:t>
      </w:r>
      <w:r w:rsidR="00EE6D33">
        <w:t>’</w:t>
      </w:r>
      <w:r>
        <w:t xml:space="preserve"> churches, </w:t>
      </w:r>
      <w:r w:rsidR="00662CEB" w:rsidRPr="0012389B">
        <w:t xml:space="preserve">each has very different theological and organisational cultures and traditions (see section 2). </w:t>
      </w:r>
      <w:r w:rsidR="00055048">
        <w:t xml:space="preserve">Yet, through CPP, they have developed </w:t>
      </w:r>
      <w:r w:rsidR="00055048" w:rsidRPr="0012389B">
        <w:t xml:space="preserve">norms and processes for collaboration and shared learning. With the support of ANGO partners, they have produced joint theologically based approaches to development (2014) and gender equality (2015); and, through the current CPP Charter, solidified their common purpose for working together (most recently updated in July 2021). The development of this </w:t>
      </w:r>
      <w:r w:rsidR="007A45F8">
        <w:t>Component Design Document</w:t>
      </w:r>
      <w:r w:rsidR="00055048" w:rsidRPr="0012389B">
        <w:t xml:space="preserve"> </w:t>
      </w:r>
      <w:r w:rsidR="00055048">
        <w:t>(</w:t>
      </w:r>
      <w:r w:rsidR="007A45F8">
        <w:t>CDD</w:t>
      </w:r>
      <w:r w:rsidR="00055048">
        <w:t xml:space="preserve">) </w:t>
      </w:r>
      <w:r w:rsidR="00055048" w:rsidRPr="0012389B">
        <w:t xml:space="preserve">has benefited from these established </w:t>
      </w:r>
      <w:r w:rsidR="006B5136">
        <w:t>collaboration</w:t>
      </w:r>
      <w:r w:rsidR="00055048" w:rsidRPr="0012389B">
        <w:t xml:space="preserve"> processes. However, in the next phase, the continuation of the current high levels of </w:t>
      </w:r>
      <w:r w:rsidR="00EE6D33">
        <w:t xml:space="preserve">CPP </w:t>
      </w:r>
      <w:r w:rsidR="00055048" w:rsidRPr="0012389B">
        <w:t xml:space="preserve">partner collaboration cannot be assumed, rather, they must be carefully nurtured and guarded.  </w:t>
      </w:r>
    </w:p>
    <w:p w14:paraId="67ED15FF" w14:textId="4BEB4799" w:rsidR="00DE6A24" w:rsidRPr="0012389B" w:rsidRDefault="006B5136" w:rsidP="00791619">
      <w:pPr>
        <w:pStyle w:val="Heading3"/>
        <w:jc w:val="both"/>
        <w:rPr>
          <w:b/>
          <w:bCs/>
        </w:rPr>
      </w:pPr>
      <w:r>
        <w:rPr>
          <w:b/>
          <w:bCs/>
        </w:rPr>
        <w:t>Integrating the fourth phase of CPP</w:t>
      </w:r>
      <w:r w:rsidR="00DE6A24" w:rsidRPr="0012389B">
        <w:rPr>
          <w:b/>
          <w:bCs/>
        </w:rPr>
        <w:t xml:space="preserve"> under BCEP</w:t>
      </w:r>
    </w:p>
    <w:p w14:paraId="4FE76125" w14:textId="7A76A9F9" w:rsidR="00662CEB" w:rsidRPr="0012389B" w:rsidRDefault="00662CEB" w:rsidP="00791619">
      <w:pPr>
        <w:jc w:val="both"/>
      </w:pPr>
      <w:r w:rsidRPr="0012389B">
        <w:t xml:space="preserve">The </w:t>
      </w:r>
      <w:r w:rsidR="00D818CA">
        <w:t>fourth</w:t>
      </w:r>
      <w:r w:rsidRPr="0012389B">
        <w:t xml:space="preserve"> phase of CPP will be delivered under the major new Australia-PNG governance initiative, the Building Community Engagement in Papua New Guinea (BCEP) Program. The BCEP program brings together a diverse group of partners from PNG’s most influential state and non-state organisations, including civil society organisations, thinks-tanks, and the media. The long-term goal is to influence citizen-government interaction, which is currently weak, to become more constructive </w:t>
      </w:r>
      <w:r w:rsidRPr="0012389B">
        <w:rPr>
          <w:u w:val="single"/>
        </w:rPr>
        <w:t>and</w:t>
      </w:r>
      <w:r w:rsidRPr="0012389B">
        <w:t xml:space="preserve"> inclusive. To achieve this, BCEP </w:t>
      </w:r>
      <w:r w:rsidR="000D5D26">
        <w:t xml:space="preserve">will </w:t>
      </w:r>
      <w:r w:rsidR="003C04D7" w:rsidRPr="0012389B">
        <w:t xml:space="preserve">create a portfolio of interventions </w:t>
      </w:r>
      <w:r w:rsidR="000D5D26">
        <w:t>that promote</w:t>
      </w:r>
      <w:r w:rsidRPr="0012389B">
        <w:t xml:space="preserve"> constructive citizen-government engagement </w:t>
      </w:r>
      <w:r w:rsidR="000D5D26">
        <w:t>for</w:t>
      </w:r>
      <w:r w:rsidRPr="0012389B">
        <w:t xml:space="preserve"> jointly solv</w:t>
      </w:r>
      <w:r w:rsidR="000D5D26">
        <w:t>ing</w:t>
      </w:r>
      <w:r w:rsidRPr="0012389B">
        <w:t xml:space="preserve"> practical development problems, such as basic service delivery issues, that will benefit the whole community, including women</w:t>
      </w:r>
      <w:r w:rsidR="00552ACF">
        <w:t xml:space="preserve">, </w:t>
      </w:r>
      <w:r w:rsidRPr="0012389B">
        <w:t xml:space="preserve">marginalised and vulnerable groups. </w:t>
      </w:r>
    </w:p>
    <w:p w14:paraId="7A86A5E0" w14:textId="1D86D973" w:rsidR="00662CEB" w:rsidRPr="0012389B" w:rsidRDefault="00662CEB" w:rsidP="00791619">
      <w:pPr>
        <w:jc w:val="both"/>
      </w:pPr>
      <w:r w:rsidRPr="0012389B">
        <w:t xml:space="preserve">The next phase of CPP is designed as an integrated but distinct component of </w:t>
      </w:r>
      <w:r w:rsidR="00EC48DC">
        <w:t>the BCEP</w:t>
      </w:r>
      <w:r w:rsidRPr="0012389B">
        <w:t xml:space="preserve"> program. CPP’s end-of-program outcomes closely align with BCEP’s. CPP’s program logic identifies points for engagement with other BCEP partners. CPP’s management and implementation arrangements include processes for collaboration and learning with </w:t>
      </w:r>
      <w:r w:rsidR="000D5D26">
        <w:t xml:space="preserve">other </w:t>
      </w:r>
      <w:r w:rsidRPr="0012389B">
        <w:t xml:space="preserve">BCEP </w:t>
      </w:r>
      <w:r w:rsidR="000D5D26">
        <w:t>partners</w:t>
      </w:r>
      <w:r w:rsidRPr="0012389B">
        <w:t xml:space="preserve">. </w:t>
      </w:r>
      <w:r w:rsidR="000D5D26">
        <w:t>However</w:t>
      </w:r>
      <w:r w:rsidR="004F3334" w:rsidRPr="0012389B">
        <w:t>,</w:t>
      </w:r>
      <w:r w:rsidR="007D67C8" w:rsidRPr="0012389B">
        <w:t xml:space="preserve"> CPP will continue to be </w:t>
      </w:r>
      <w:r w:rsidR="004F3334" w:rsidRPr="0012389B">
        <w:t>led</w:t>
      </w:r>
      <w:r w:rsidR="007D67C8" w:rsidRPr="0012389B">
        <w:t xml:space="preserve"> by </w:t>
      </w:r>
      <w:r w:rsidR="000D5D26">
        <w:t>its own apex governance decision-making</w:t>
      </w:r>
      <w:r w:rsidR="00D77833">
        <w:t xml:space="preserve"> body comprised of</w:t>
      </w:r>
      <w:r w:rsidR="000D5D26">
        <w:t xml:space="preserve"> </w:t>
      </w:r>
      <w:r w:rsidR="007D67C8" w:rsidRPr="0012389B">
        <w:t xml:space="preserve">PNG church leaders, </w:t>
      </w:r>
      <w:r w:rsidR="00D77833">
        <w:t>with</w:t>
      </w:r>
      <w:r w:rsidR="007D67C8" w:rsidRPr="0012389B">
        <w:t xml:space="preserve"> </w:t>
      </w:r>
      <w:r w:rsidR="00E16D2F">
        <w:t xml:space="preserve">ANGO, </w:t>
      </w:r>
      <w:r w:rsidR="00D77833">
        <w:t xml:space="preserve">PNG and </w:t>
      </w:r>
      <w:r w:rsidR="007D67C8" w:rsidRPr="0012389B">
        <w:t>Australia</w:t>
      </w:r>
      <w:r w:rsidR="0002526B">
        <w:t xml:space="preserve">n </w:t>
      </w:r>
      <w:r w:rsidR="0002526B" w:rsidRPr="0012389B">
        <w:t>government representatives</w:t>
      </w:r>
      <w:r w:rsidR="007D67C8" w:rsidRPr="0012389B">
        <w:t>.</w:t>
      </w:r>
    </w:p>
    <w:p w14:paraId="034A01D6" w14:textId="24875C93" w:rsidR="003E2F62" w:rsidRPr="0012389B" w:rsidRDefault="003E2F62" w:rsidP="00791619">
      <w:pPr>
        <w:pStyle w:val="Heading3"/>
        <w:jc w:val="both"/>
        <w:rPr>
          <w:b/>
          <w:bCs/>
        </w:rPr>
      </w:pPr>
      <w:r w:rsidRPr="0012389B">
        <w:rPr>
          <w:b/>
          <w:bCs/>
        </w:rPr>
        <w:lastRenderedPageBreak/>
        <w:t>Lessons learned</w:t>
      </w:r>
    </w:p>
    <w:p w14:paraId="40414946" w14:textId="54758FB1" w:rsidR="00D77833" w:rsidRDefault="00D77833" w:rsidP="00791619">
      <w:pPr>
        <w:jc w:val="both"/>
      </w:pPr>
      <w:r w:rsidRPr="0012389B">
        <w:t xml:space="preserve">The </w:t>
      </w:r>
      <w:r w:rsidR="006B5136">
        <w:t>fourth</w:t>
      </w:r>
      <w:r w:rsidRPr="0012389B">
        <w:t xml:space="preserve"> phase of CPP </w:t>
      </w:r>
      <w:r>
        <w:t xml:space="preserve">builds on </w:t>
      </w:r>
      <w:r w:rsidR="006B5136">
        <w:t xml:space="preserve">the </w:t>
      </w:r>
      <w:r w:rsidRPr="0012389B">
        <w:t>foundations</w:t>
      </w:r>
      <w:r w:rsidR="006B5136">
        <w:t xml:space="preserve"> and learning from past phases</w:t>
      </w:r>
      <w:r>
        <w:t xml:space="preserve">, with </w:t>
      </w:r>
      <w:r w:rsidR="006B5136">
        <w:t>a focus on</w:t>
      </w:r>
      <w:r w:rsidR="00B21095">
        <w:t xml:space="preserve"> four areas of direct relevance to BCEP</w:t>
      </w:r>
      <w:r w:rsidR="00BD646C">
        <w:t xml:space="preserve">: </w:t>
      </w:r>
      <w:r>
        <w:t xml:space="preserve">policy engagement, </w:t>
      </w:r>
      <w:r w:rsidR="00BD646C">
        <w:t xml:space="preserve">social accountability, </w:t>
      </w:r>
      <w:r>
        <w:t xml:space="preserve">GEDSI and </w:t>
      </w:r>
      <w:r w:rsidR="00BD646C">
        <w:t xml:space="preserve">partner collaboration and </w:t>
      </w:r>
      <w:r>
        <w:t xml:space="preserve">localisation. </w:t>
      </w:r>
    </w:p>
    <w:p w14:paraId="1A9686A0" w14:textId="1C8BE6E6" w:rsidR="00662CEB" w:rsidRPr="0012389B" w:rsidRDefault="00B21095" w:rsidP="00791619">
      <w:pPr>
        <w:jc w:val="both"/>
      </w:pPr>
      <w:r>
        <w:t xml:space="preserve">The </w:t>
      </w:r>
      <w:r w:rsidR="007A45F8">
        <w:t>CDD</w:t>
      </w:r>
      <w:r w:rsidR="00662CEB" w:rsidRPr="0012389B">
        <w:t xml:space="preserve"> sets </w:t>
      </w:r>
      <w:r w:rsidR="00BD646C">
        <w:t xml:space="preserve">a </w:t>
      </w:r>
      <w:r w:rsidR="00662CEB" w:rsidRPr="0012389B">
        <w:t>program logic that bring</w:t>
      </w:r>
      <w:r w:rsidR="00BE4993" w:rsidRPr="0012389B">
        <w:t>s</w:t>
      </w:r>
      <w:r w:rsidR="00BD646C">
        <w:t xml:space="preserve"> these four areas together </w:t>
      </w:r>
      <w:r w:rsidR="00662CEB" w:rsidRPr="0012389B">
        <w:t xml:space="preserve">to achieve clear end of program outcomes. </w:t>
      </w:r>
      <w:r>
        <w:t>Learning from the last phase</w:t>
      </w:r>
      <w:r w:rsidR="00BE4993" w:rsidRPr="0012389B">
        <w:t>, t</w:t>
      </w:r>
      <w:r w:rsidR="00662CEB" w:rsidRPr="0012389B">
        <w:t xml:space="preserve">he design </w:t>
      </w:r>
      <w:r w:rsidR="00BD646C">
        <w:t>includes</w:t>
      </w:r>
      <w:r w:rsidR="00662CEB" w:rsidRPr="0012389B">
        <w:t xml:space="preserve"> significant investment in fit-for-purpose MEL system</w:t>
      </w:r>
      <w:r>
        <w:t>s</w:t>
      </w:r>
      <w:r w:rsidR="00662CEB" w:rsidRPr="0012389B">
        <w:t xml:space="preserve"> at program </w:t>
      </w:r>
      <w:r>
        <w:t xml:space="preserve">(CPPCO) </w:t>
      </w:r>
      <w:r w:rsidR="00662CEB" w:rsidRPr="0012389B">
        <w:t xml:space="preserve">and </w:t>
      </w:r>
      <w:r>
        <w:t xml:space="preserve">CPP </w:t>
      </w:r>
      <w:r w:rsidR="00662CEB" w:rsidRPr="0012389B">
        <w:t xml:space="preserve">partner levels, as the backbone of effective implementation. </w:t>
      </w:r>
      <w:r w:rsidR="00626B40" w:rsidRPr="0012389B">
        <w:t xml:space="preserve">Innovative MEL approaches which enable monitoring of CPP’s progress in promoting behaviour </w:t>
      </w:r>
      <w:r w:rsidR="00B528CA" w:rsidRPr="0012389B">
        <w:t xml:space="preserve">change </w:t>
      </w:r>
      <w:r w:rsidR="00626B40" w:rsidRPr="0012389B">
        <w:t>and are in alignment with BCEP’s approach are proposed (see section 6)</w:t>
      </w:r>
      <w:r w:rsidR="00B528CA" w:rsidRPr="0012389B">
        <w:t>.</w:t>
      </w:r>
    </w:p>
    <w:p w14:paraId="56551124" w14:textId="093CF52C" w:rsidR="00203E8B" w:rsidRDefault="00203E8B" w:rsidP="00791619">
      <w:pPr>
        <w:jc w:val="both"/>
      </w:pPr>
      <w:r>
        <w:t>P</w:t>
      </w:r>
      <w:r w:rsidR="00BD646C">
        <w:t xml:space="preserve">ast </w:t>
      </w:r>
      <w:r w:rsidR="00EE6D33">
        <w:t xml:space="preserve">CPP </w:t>
      </w:r>
      <w:r w:rsidR="00BD646C">
        <w:t xml:space="preserve">phases </w:t>
      </w:r>
      <w:r w:rsidR="00662CEB" w:rsidRPr="0012389B">
        <w:t xml:space="preserve">acknowledged the significant potential for </w:t>
      </w:r>
      <w:r w:rsidR="00BD646C">
        <w:t xml:space="preserve">CPP </w:t>
      </w:r>
      <w:r w:rsidR="00662CEB" w:rsidRPr="0012389B">
        <w:t>partners to have a positive influence on PNG public policy and</w:t>
      </w:r>
      <w:r w:rsidR="000A023D" w:rsidRPr="0012389B">
        <w:t xml:space="preserve"> the</w:t>
      </w:r>
      <w:r w:rsidR="00662CEB" w:rsidRPr="0012389B">
        <w:t xml:space="preserve"> importance of organisational capacity development for </w:t>
      </w:r>
      <w:r w:rsidR="007D67C8" w:rsidRPr="0012389B">
        <w:t>localisation</w:t>
      </w:r>
      <w:r w:rsidR="00662CEB" w:rsidRPr="0012389B">
        <w:t xml:space="preserve">, including </w:t>
      </w:r>
      <w:r w:rsidR="007D67C8" w:rsidRPr="0012389B">
        <w:t xml:space="preserve">PNG partners </w:t>
      </w:r>
      <w:r w:rsidR="00662CEB" w:rsidRPr="0012389B">
        <w:t xml:space="preserve">taking over leadership of grant arrangements from ANGOs. However, neither of these areas were actively supported </w:t>
      </w:r>
      <w:r w:rsidR="0083643D" w:rsidRPr="0012389B">
        <w:t xml:space="preserve">in the last phase </w:t>
      </w:r>
      <w:r w:rsidR="00662CEB" w:rsidRPr="0012389B">
        <w:t>and progress has been slow. Learning from this experience, the next phase dedicates significant program attention and resources to organisational development/localisation and policy engagement. The design proposes implementation pillar</w:t>
      </w:r>
      <w:r w:rsidR="00BE4993" w:rsidRPr="0012389B">
        <w:t>s</w:t>
      </w:r>
      <w:r w:rsidR="00662CEB" w:rsidRPr="0012389B">
        <w:t xml:space="preserve"> in each of these areas, with attached results to monitor progress (at output and intermediate outcome levels). </w:t>
      </w:r>
    </w:p>
    <w:p w14:paraId="7725895F" w14:textId="13C8AC5A" w:rsidR="00203E8B" w:rsidRDefault="00203E8B" w:rsidP="00791619">
      <w:pPr>
        <w:jc w:val="both"/>
      </w:pPr>
      <w:r>
        <w:t>P</w:t>
      </w:r>
      <w:r w:rsidRPr="0012389B">
        <w:t>olicy engagement remains a new area</w:t>
      </w:r>
      <w:r>
        <w:t xml:space="preserve"> for most partners.</w:t>
      </w:r>
      <w:r w:rsidRPr="00203E8B">
        <w:t xml:space="preserve"> </w:t>
      </w:r>
      <w:r>
        <w:t>However,</w:t>
      </w:r>
      <w:r w:rsidRPr="0012389B">
        <w:t xml:space="preserve"> in the current CPP Charter, all partners have committed to ‘strengthen their engagement, and advocacy with PNG government at all levels’.</w:t>
      </w:r>
      <w:r>
        <w:t xml:space="preserve"> </w:t>
      </w:r>
      <w:r w:rsidRPr="0012389B">
        <w:t xml:space="preserve">The integration of CPP into BCEP provides an opportunity for actively supporting PNG church partners’ policy engagement and influencing. BCEP is designed to support </w:t>
      </w:r>
      <w:r w:rsidR="00E91939">
        <w:t>evidence</w:t>
      </w:r>
      <w:r w:rsidRPr="0012389B">
        <w:t xml:space="preserve"> generation </w:t>
      </w:r>
      <w:r w:rsidR="00E91939">
        <w:t>for</w:t>
      </w:r>
      <w:r w:rsidRPr="0012389B">
        <w:t xml:space="preserve"> policy </w:t>
      </w:r>
      <w:r w:rsidR="00E91939">
        <w:t>influencing as well as diverse</w:t>
      </w:r>
      <w:r w:rsidRPr="0012389B">
        <w:t xml:space="preserve"> policy engagement processes, </w:t>
      </w:r>
      <w:r w:rsidR="00E91939">
        <w:t xml:space="preserve">including engaging the media and developing </w:t>
      </w:r>
      <w:r w:rsidRPr="0012389B">
        <w:t xml:space="preserve">coalitions for change. </w:t>
      </w:r>
    </w:p>
    <w:p w14:paraId="59B23336" w14:textId="3A1088ED" w:rsidR="00EE6D33" w:rsidRDefault="00EE6D33" w:rsidP="00791619">
      <w:pPr>
        <w:jc w:val="both"/>
      </w:pPr>
      <w:r>
        <w:t>The need for a dedicated focus on supporting and measuring</w:t>
      </w:r>
      <w:r w:rsidRPr="0012389B">
        <w:t xml:space="preserve"> organisational capacity </w:t>
      </w:r>
      <w:r>
        <w:t>development was a clear learning from the last phase. While all CPP PNG church partners require some organisational support,</w:t>
      </w:r>
      <w:r w:rsidRPr="0012389B">
        <w:t xml:space="preserve"> </w:t>
      </w:r>
      <w:r>
        <w:t>each</w:t>
      </w:r>
      <w:r w:rsidRPr="0012389B">
        <w:t xml:space="preserve"> </w:t>
      </w:r>
      <w:r>
        <w:t xml:space="preserve">is </w:t>
      </w:r>
      <w:r w:rsidRPr="0012389B">
        <w:t xml:space="preserve">at </w:t>
      </w:r>
      <w:r>
        <w:t xml:space="preserve">a </w:t>
      </w:r>
      <w:r w:rsidRPr="0012389B">
        <w:t>different level</w:t>
      </w:r>
      <w:r>
        <w:t xml:space="preserve"> </w:t>
      </w:r>
      <w:r w:rsidRPr="0012389B">
        <w:t xml:space="preserve">of readiness for localisation and will have flexibility to </w:t>
      </w:r>
      <w:r>
        <w:t>pursue this objective on an “opt-in”</w:t>
      </w:r>
      <w:r w:rsidRPr="0012389B">
        <w:t xml:space="preserve"> </w:t>
      </w:r>
      <w:r>
        <w:t>basis, consistent with the</w:t>
      </w:r>
      <w:r w:rsidR="00183812">
        <w:t xml:space="preserve"> CPP-3 Mid Term Review </w:t>
      </w:r>
      <w:r>
        <w:t>recommendation</w:t>
      </w:r>
      <w:r w:rsidR="00183812">
        <w:t xml:space="preserve"> (see Annex 5)</w:t>
      </w:r>
      <w:r w:rsidRPr="0012389B">
        <w:t xml:space="preserve">. </w:t>
      </w:r>
    </w:p>
    <w:p w14:paraId="3E7D384F" w14:textId="1DEDE12B" w:rsidR="00E91939" w:rsidRDefault="00EE6D33" w:rsidP="00791619">
      <w:pPr>
        <w:jc w:val="both"/>
      </w:pPr>
      <w:r>
        <w:t>Past CPP phase</w:t>
      </w:r>
      <w:r w:rsidR="00183812">
        <w:t>s</w:t>
      </w:r>
      <w:r>
        <w:t xml:space="preserve"> have laid the groundwork for significant progress on GEDSI and social accountability in the fourth phase. </w:t>
      </w:r>
      <w:r w:rsidR="00E91939">
        <w:t xml:space="preserve">At the end of phase 3, CPP partners worked with </w:t>
      </w:r>
      <w:r w:rsidR="009D02AB">
        <w:t>f</w:t>
      </w:r>
      <w:r w:rsidR="00E91939">
        <w:t>aith-based INGO (</w:t>
      </w:r>
      <w:r w:rsidR="0068229A">
        <w:t>Tearfund</w:t>
      </w:r>
      <w:r w:rsidR="00E91939">
        <w:t xml:space="preserve">) to design projects for the development of </w:t>
      </w:r>
      <w:r w:rsidR="00183812">
        <w:t xml:space="preserve">each PNG church partner organisation’s own </w:t>
      </w:r>
      <w:r w:rsidR="00E91939">
        <w:t>approach to</w:t>
      </w:r>
      <w:r w:rsidR="00203E8B" w:rsidRPr="0012389B">
        <w:t xml:space="preserve"> social accountability</w:t>
      </w:r>
      <w:r w:rsidR="00E91939">
        <w:t xml:space="preserve">. The </w:t>
      </w:r>
      <w:r w:rsidR="00183812">
        <w:t xml:space="preserve">essential first step is </w:t>
      </w:r>
      <w:r w:rsidR="00E91939">
        <w:t xml:space="preserve">embedding </w:t>
      </w:r>
      <w:r w:rsidR="00A3473A">
        <w:t>an understanding of</w:t>
      </w:r>
      <w:r w:rsidR="00E91939">
        <w:t xml:space="preserve"> accountability within each </w:t>
      </w:r>
      <w:r w:rsidR="00A3473A">
        <w:t xml:space="preserve">church </w:t>
      </w:r>
      <w:r w:rsidR="00E91939">
        <w:t>organisation</w:t>
      </w:r>
      <w:r w:rsidR="00A3473A">
        <w:t>.</w:t>
      </w:r>
    </w:p>
    <w:p w14:paraId="07DBA644" w14:textId="7E317AC5" w:rsidR="00A3473A" w:rsidRDefault="00A3473A" w:rsidP="00791619">
      <w:pPr>
        <w:jc w:val="both"/>
      </w:pPr>
      <w:r>
        <w:t>With the development of the “Gender equality Theology</w:t>
      </w:r>
      <w:r w:rsidR="005339EC">
        <w:t>,</w:t>
      </w:r>
      <w:r>
        <w:t>” CPP partners made significant progress</w:t>
      </w:r>
      <w:r w:rsidR="009D02AB">
        <w:t xml:space="preserve"> over the last phase</w:t>
      </w:r>
      <w:r>
        <w:t xml:space="preserve"> in building church acceptance of the importance of GEDSI and laying the foundations for influencing negative community attitudes. </w:t>
      </w:r>
      <w:r w:rsidR="00183812">
        <w:t xml:space="preserve">The effectiveness of this work can be improved with </w:t>
      </w:r>
      <w:r w:rsidR="005339EC">
        <w:t>better monitor</w:t>
      </w:r>
      <w:r w:rsidR="00183812">
        <w:t>ing of</w:t>
      </w:r>
      <w:r w:rsidR="005339EC">
        <w:t xml:space="preserve"> how attitudes are changing or not.  </w:t>
      </w:r>
    </w:p>
    <w:p w14:paraId="233B386F" w14:textId="573B0ED2" w:rsidR="007D06B5" w:rsidRPr="0012389B" w:rsidRDefault="007D06B5" w:rsidP="00791619">
      <w:pPr>
        <w:pStyle w:val="Heading3"/>
        <w:jc w:val="both"/>
        <w:rPr>
          <w:b/>
          <w:bCs/>
        </w:rPr>
      </w:pPr>
      <w:r w:rsidRPr="0012389B">
        <w:rPr>
          <w:b/>
          <w:bCs/>
        </w:rPr>
        <w:t>Program outcomes and logic</w:t>
      </w:r>
    </w:p>
    <w:p w14:paraId="5B970AAB" w14:textId="2548AF81" w:rsidR="003213C9" w:rsidRPr="0012389B" w:rsidRDefault="003213C9" w:rsidP="00791619">
      <w:pPr>
        <w:spacing w:after="120" w:line="240" w:lineRule="auto"/>
        <w:jc w:val="both"/>
        <w:rPr>
          <w:b/>
          <w:bCs/>
        </w:rPr>
      </w:pPr>
      <w:r w:rsidRPr="0012389B">
        <w:rPr>
          <w:b/>
          <w:bCs/>
        </w:rPr>
        <w:t>Goal and end of program outcomes</w:t>
      </w:r>
    </w:p>
    <w:p w14:paraId="73B5BE64" w14:textId="06782640" w:rsidR="00474744" w:rsidRDefault="00DA6B87" w:rsidP="00791619">
      <w:pPr>
        <w:jc w:val="both"/>
      </w:pPr>
      <w:r>
        <w:t xml:space="preserve">The long-term CPP-4 goal is: “to improve delivery of public services and goods to vulnerable and marginalised communities.” </w:t>
      </w:r>
      <w:r w:rsidR="0074794D">
        <w:t>‘V</w:t>
      </w:r>
      <w:r w:rsidR="0074794D" w:rsidRPr="002A2710">
        <w:t>ulnerable and marginalised communities</w:t>
      </w:r>
      <w:r w:rsidR="0074794D">
        <w:t>’ are defined as including</w:t>
      </w:r>
      <w:r w:rsidR="0074794D" w:rsidRPr="002A2710">
        <w:t xml:space="preserve"> women, people accused of sorcery, people living with disabilities, and people in rural and remote </w:t>
      </w:r>
      <w:r w:rsidR="0074794D" w:rsidRPr="002A2710">
        <w:lastRenderedPageBreak/>
        <w:t>communities.</w:t>
      </w:r>
      <w:r w:rsidR="0074794D">
        <w:t xml:space="preserve"> </w:t>
      </w:r>
      <w:r>
        <w:t>This</w:t>
      </w:r>
      <w:r w:rsidR="00474744">
        <w:t xml:space="preserve"> CPP goal</w:t>
      </w:r>
      <w:r>
        <w:t xml:space="preserve"> </w:t>
      </w:r>
      <w:r w:rsidR="00474744">
        <w:t>has the same focus on service delivery as</w:t>
      </w:r>
      <w:r>
        <w:t xml:space="preserve"> BCEP’s goal: “to strengthen citizen-government engagement for improved service delivery and provision of public goods.” </w:t>
      </w:r>
    </w:p>
    <w:p w14:paraId="39BCB666" w14:textId="6E34F596" w:rsidR="000A4898" w:rsidRDefault="00DA6B87" w:rsidP="00791619">
      <w:pPr>
        <w:jc w:val="both"/>
      </w:pPr>
      <w:r>
        <w:t>CPP’s end -o</w:t>
      </w:r>
      <w:r w:rsidR="000A4898">
        <w:t>f</w:t>
      </w:r>
      <w:r>
        <w:t xml:space="preserve">-program outcomes make clear that, like BCEP, CPP sees strengthening the interaction between </w:t>
      </w:r>
      <w:r w:rsidR="000A4898">
        <w:t xml:space="preserve">the community and </w:t>
      </w:r>
      <w:r>
        <w:t xml:space="preserve">public authorities as the means for improving the development and implementation of policies for the delivery of public services. </w:t>
      </w:r>
      <w:r w:rsidR="000A4898">
        <w:t>The</w:t>
      </w:r>
      <w:r>
        <w:t xml:space="preserve"> </w:t>
      </w:r>
      <w:r w:rsidR="000A4898">
        <w:t xml:space="preserve">term ‘public authorities’ is </w:t>
      </w:r>
      <w:proofErr w:type="gramStart"/>
      <w:r w:rsidR="009D02AB">
        <w:t>use</w:t>
      </w:r>
      <w:proofErr w:type="gramEnd"/>
      <w:r w:rsidR="009D02AB">
        <w:t xml:space="preserve"> </w:t>
      </w:r>
      <w:r w:rsidR="000A4898">
        <w:t xml:space="preserve">to cover </w:t>
      </w:r>
      <w:r w:rsidR="009D02AB">
        <w:t xml:space="preserve">not just ‘state authority’ but </w:t>
      </w:r>
      <w:r w:rsidR="000A4898">
        <w:t xml:space="preserve">the authority that churches </w:t>
      </w:r>
      <w:r w:rsidR="009D02AB">
        <w:t>have</w:t>
      </w:r>
      <w:r w:rsidR="000A4898">
        <w:t xml:space="preserve"> in providing services on behalf of the government. </w:t>
      </w:r>
      <w:r w:rsidR="00474744">
        <w:t xml:space="preserve">The CPP program will focus on engaging with and influencing </w:t>
      </w:r>
      <w:r w:rsidR="009D02AB">
        <w:t xml:space="preserve">both sets of public authorities. </w:t>
      </w:r>
      <w:r w:rsidR="00474744">
        <w:t xml:space="preserve"> </w:t>
      </w:r>
    </w:p>
    <w:p w14:paraId="26F1EB1A" w14:textId="63E8362C" w:rsidR="000A4898" w:rsidRDefault="000A4898" w:rsidP="00791619">
      <w:pPr>
        <w:jc w:val="both"/>
      </w:pPr>
      <w:r>
        <w:t xml:space="preserve">The CPP goal is </w:t>
      </w:r>
      <w:r w:rsidR="0074794D">
        <w:t xml:space="preserve">to be </w:t>
      </w:r>
      <w:r>
        <w:t>achieved through two end of program outcomes</w:t>
      </w:r>
      <w:r w:rsidR="0074794D">
        <w:t xml:space="preserve"> supported by four program pillars. The CPP outcomes </w:t>
      </w:r>
      <w:r>
        <w:t>also contribute to BCEP’s end of program outcomes</w:t>
      </w:r>
      <w:r w:rsidR="0074794D">
        <w:t>:</w:t>
      </w:r>
    </w:p>
    <w:p w14:paraId="1EB79834" w14:textId="77777777" w:rsidR="0074794D" w:rsidRDefault="000A4898" w:rsidP="00791619">
      <w:pPr>
        <w:pStyle w:val="ListParagraph"/>
        <w:numPr>
          <w:ilvl w:val="0"/>
          <w:numId w:val="49"/>
        </w:numPr>
        <w:jc w:val="both"/>
      </w:pPr>
      <w:r>
        <w:t>CPP contributes to BCEP EO1 “Selected state and non-state actors collaborate effectively to tackle targeted development problems” through the CPP EO1 “Government and Church communities constructively engage to deliver inclusive development outcomes.” Two CPP pillars will directly contribute to this end outcome: 1) information access and evidence generation; and 2) social accountability</w:t>
      </w:r>
      <w:r w:rsidR="0074794D">
        <w:t xml:space="preserve">. </w:t>
      </w:r>
    </w:p>
    <w:p w14:paraId="02BD735D" w14:textId="25642F0D" w:rsidR="000A4898" w:rsidRDefault="000A4898" w:rsidP="00791619">
      <w:pPr>
        <w:pStyle w:val="ListParagraph"/>
        <w:numPr>
          <w:ilvl w:val="0"/>
          <w:numId w:val="49"/>
        </w:numPr>
        <w:jc w:val="both"/>
      </w:pPr>
      <w:r>
        <w:t xml:space="preserve">CPP contributes to BCEP EO2 “Targeted PNG decision-makers explicitly integrate gender equality and inclusive social norms into efforts to tackle targeted development problems” through CPP EO2 “Government and Church decision-makers actively promote gender equality, disability, and social inclusion.” CPP pillar 3 </w:t>
      </w:r>
      <w:r w:rsidR="009D02AB">
        <w:t xml:space="preserve">will directly contribute to this end outcome through efforts </w:t>
      </w:r>
      <w:r w:rsidR="0074794D">
        <w:t xml:space="preserve">to </w:t>
      </w:r>
      <w:r w:rsidR="009D02AB">
        <w:t xml:space="preserve">use the Gender Equality Theology to </w:t>
      </w:r>
      <w:r w:rsidR="0074794D">
        <w:t>promote GEDSI</w:t>
      </w:r>
      <w:r w:rsidR="009D02AB">
        <w:t>.</w:t>
      </w:r>
      <w:r w:rsidR="0074794D">
        <w:t xml:space="preserve"> </w:t>
      </w:r>
    </w:p>
    <w:p w14:paraId="105BC121" w14:textId="0F6DC3B1" w:rsidR="000A4898" w:rsidRDefault="000A4898" w:rsidP="00791619">
      <w:pPr>
        <w:jc w:val="both"/>
      </w:pPr>
      <w:r>
        <w:t xml:space="preserve">CPP’s pillar 4 will maximise change on both CPP EOs through processes to support collaboration, learning and join actions among CPP and BCEP partners. </w:t>
      </w:r>
    </w:p>
    <w:p w14:paraId="62022ED0" w14:textId="4E22DF53" w:rsidR="00F855F6" w:rsidRDefault="00F855F6" w:rsidP="00791619">
      <w:pPr>
        <w:spacing w:after="120" w:line="240" w:lineRule="auto"/>
        <w:jc w:val="both"/>
        <w:rPr>
          <w:b/>
          <w:bCs/>
        </w:rPr>
      </w:pPr>
      <w:r w:rsidRPr="00F855F6">
        <w:rPr>
          <w:b/>
          <w:bCs/>
        </w:rPr>
        <w:t>Intermediate outcomes</w:t>
      </w:r>
    </w:p>
    <w:p w14:paraId="2ADE4473" w14:textId="0B91AF4D" w:rsidR="00A63CF9" w:rsidRPr="00F855F6" w:rsidRDefault="00A63CF9" w:rsidP="00791619">
      <w:pPr>
        <w:spacing w:after="120" w:line="240" w:lineRule="auto"/>
        <w:jc w:val="both"/>
        <w:rPr>
          <w:b/>
          <w:bCs/>
        </w:rPr>
      </w:pPr>
      <w:r w:rsidRPr="00A63CF9">
        <w:t xml:space="preserve">The CPP’s four program pillars will work together to achieve end of program outcomes through intermediate outcomes under </w:t>
      </w:r>
      <w:r w:rsidR="009D02AB">
        <w:t xml:space="preserve">each </w:t>
      </w:r>
      <w:r w:rsidRPr="00A63CF9">
        <w:t>pillar as follows</w:t>
      </w:r>
      <w:r>
        <w:rPr>
          <w:b/>
          <w:bCs/>
        </w:rPr>
        <w:t xml:space="preserve">: </w:t>
      </w:r>
    </w:p>
    <w:p w14:paraId="63AC297F" w14:textId="1B817D31" w:rsidR="006B0499" w:rsidRDefault="00A63CF9" w:rsidP="00791619">
      <w:pPr>
        <w:pStyle w:val="ListParagraph"/>
        <w:numPr>
          <w:ilvl w:val="0"/>
          <w:numId w:val="48"/>
        </w:numPr>
        <w:ind w:left="360"/>
        <w:jc w:val="both"/>
      </w:pPr>
      <w:r w:rsidRPr="00A63CF9">
        <w:rPr>
          <w:b/>
          <w:bCs/>
        </w:rPr>
        <w:t xml:space="preserve">Information </w:t>
      </w:r>
      <w:r>
        <w:rPr>
          <w:b/>
          <w:bCs/>
        </w:rPr>
        <w:t>a</w:t>
      </w:r>
      <w:r w:rsidRPr="00A63CF9">
        <w:rPr>
          <w:b/>
          <w:bCs/>
        </w:rPr>
        <w:t xml:space="preserve">ccess and evidence generation </w:t>
      </w:r>
      <w:r>
        <w:rPr>
          <w:b/>
          <w:bCs/>
        </w:rPr>
        <w:t>p</w:t>
      </w:r>
      <w:r w:rsidRPr="00A63CF9">
        <w:rPr>
          <w:b/>
          <w:bCs/>
        </w:rPr>
        <w:t>illar</w:t>
      </w:r>
      <w:r>
        <w:t xml:space="preserve"> will focus on ensuring that </w:t>
      </w:r>
      <w:r w:rsidR="006B0499" w:rsidRPr="006B0499">
        <w:t>a) communities have access to the information they need for constructive engagement with government and/or problem solving and b) evidence is generated from the</w:t>
      </w:r>
      <w:r w:rsidR="009D02AB">
        <w:t>ir church</w:t>
      </w:r>
      <w:r w:rsidR="006B0499" w:rsidRPr="006B0499">
        <w:t xml:space="preserve"> activities to inform </w:t>
      </w:r>
      <w:r w:rsidR="009D02AB">
        <w:t xml:space="preserve">CPP </w:t>
      </w:r>
      <w:r w:rsidR="006B0499" w:rsidRPr="006B0499">
        <w:t xml:space="preserve">partners </w:t>
      </w:r>
      <w:r w:rsidR="006B0499">
        <w:t xml:space="preserve">policy </w:t>
      </w:r>
      <w:r w:rsidR="006B0499" w:rsidRPr="006B0499">
        <w:t>dialogue with public authorities (government and church) leading to the making of better policies that achieve more inclusive development outcome.</w:t>
      </w:r>
      <w:r w:rsidR="006B0499">
        <w:t xml:space="preserve"> The intermediate outcomes are: </w:t>
      </w:r>
    </w:p>
    <w:p w14:paraId="5EC0D489" w14:textId="0F561CDB" w:rsidR="006B0499" w:rsidRDefault="006B0499" w:rsidP="00791619">
      <w:pPr>
        <w:pStyle w:val="ListParagraph"/>
        <w:ind w:left="1134" w:hanging="567"/>
        <w:jc w:val="both"/>
      </w:pPr>
      <w:r>
        <w:t xml:space="preserve">1.1 </w:t>
      </w:r>
      <w:r>
        <w:tab/>
        <w:t xml:space="preserve">CPP partners deliver selected services/activities </w:t>
      </w:r>
      <w:r w:rsidR="00080F83">
        <w:t xml:space="preserve">in thematic priority areas </w:t>
      </w:r>
      <w:r>
        <w:t>with improved monitoring &amp; evaluation for generating policy evidence</w:t>
      </w:r>
    </w:p>
    <w:p w14:paraId="26A67F16" w14:textId="139026A0" w:rsidR="006B0499" w:rsidRDefault="006B0499" w:rsidP="00791619">
      <w:pPr>
        <w:pStyle w:val="ListParagraph"/>
        <w:ind w:left="1134" w:hanging="567"/>
        <w:jc w:val="both"/>
      </w:pPr>
      <w:r>
        <w:t xml:space="preserve">1.2 </w:t>
      </w:r>
      <w:r w:rsidR="00495F94">
        <w:tab/>
      </w:r>
      <w:r>
        <w:t xml:space="preserve">CPP partners constructively engage with government in policy processes, individually and collectively (through the PNGCC and/or </w:t>
      </w:r>
      <w:r w:rsidR="00495F94">
        <w:t xml:space="preserve">BCEP </w:t>
      </w:r>
      <w:r>
        <w:t>coalitions for change)</w:t>
      </w:r>
      <w:r w:rsidR="00080F83">
        <w:t>, utilizing evidence as appropriate</w:t>
      </w:r>
    </w:p>
    <w:p w14:paraId="65CCAF1F" w14:textId="0EE16C45" w:rsidR="006B0499" w:rsidRDefault="006B0499" w:rsidP="00791619">
      <w:pPr>
        <w:pStyle w:val="ListParagraph"/>
        <w:ind w:left="1134" w:hanging="567"/>
        <w:jc w:val="both"/>
      </w:pPr>
      <w:r>
        <w:t xml:space="preserve">1.3 </w:t>
      </w:r>
      <w:r w:rsidR="00495F94">
        <w:tab/>
      </w:r>
      <w:r w:rsidR="009F27B8">
        <w:t>Church c</w:t>
      </w:r>
      <w:r>
        <w:t>ommunit</w:t>
      </w:r>
      <w:r w:rsidR="009F27B8">
        <w:t>y members</w:t>
      </w:r>
      <w:r>
        <w:t xml:space="preserve"> demonstrate increased awareness on selected public issues.</w:t>
      </w:r>
    </w:p>
    <w:p w14:paraId="5779179D" w14:textId="77777777" w:rsidR="00495F94" w:rsidRPr="006B0499" w:rsidRDefault="00495F94" w:rsidP="00791619">
      <w:pPr>
        <w:pStyle w:val="ListParagraph"/>
        <w:ind w:left="1134" w:hanging="567"/>
        <w:jc w:val="both"/>
      </w:pPr>
    </w:p>
    <w:p w14:paraId="5971CAA4" w14:textId="0456EA6A" w:rsidR="00495F94" w:rsidRPr="00495F94" w:rsidRDefault="006B0499" w:rsidP="00791619">
      <w:pPr>
        <w:pStyle w:val="ListParagraph"/>
        <w:numPr>
          <w:ilvl w:val="0"/>
          <w:numId w:val="48"/>
        </w:numPr>
        <w:spacing w:before="240"/>
        <w:ind w:left="360"/>
        <w:jc w:val="both"/>
      </w:pPr>
      <w:r w:rsidRPr="006B0499">
        <w:rPr>
          <w:b/>
          <w:bCs/>
        </w:rPr>
        <w:t xml:space="preserve">Social </w:t>
      </w:r>
      <w:r w:rsidR="00A63CF9">
        <w:rPr>
          <w:b/>
          <w:bCs/>
        </w:rPr>
        <w:t>a</w:t>
      </w:r>
      <w:r w:rsidRPr="006B0499">
        <w:rPr>
          <w:b/>
          <w:bCs/>
        </w:rPr>
        <w:t xml:space="preserve">ccountability </w:t>
      </w:r>
      <w:r w:rsidR="00A63CF9">
        <w:rPr>
          <w:b/>
          <w:bCs/>
        </w:rPr>
        <w:t>p</w:t>
      </w:r>
      <w:r w:rsidRPr="006B0499">
        <w:rPr>
          <w:b/>
          <w:bCs/>
        </w:rPr>
        <w:t xml:space="preserve">illar </w:t>
      </w:r>
      <w:r w:rsidRPr="006B0499">
        <w:t xml:space="preserve">involves developing CPP partners capacity to implement social accountability initiatives. The focus is on building the capacity of CPP partners to use social accountability approaches to facilitate constructive engagement between the community and public authorities (government and church). This is expected to lead to the solving of practical development problems, including in the delivery of basic services. Successful social accountability interventions rely on the work under pillar 1. Namely, the community requires access to </w:t>
      </w:r>
      <w:r w:rsidRPr="006B0499">
        <w:lastRenderedPageBreak/>
        <w:t>information on the problem and their rights, and the government needs policy solutions based on evidence.</w:t>
      </w:r>
      <w:r w:rsidRPr="006B0499">
        <w:rPr>
          <w:b/>
          <w:bCs/>
        </w:rPr>
        <w:t xml:space="preserve"> </w:t>
      </w:r>
      <w:r w:rsidR="00495F94" w:rsidRPr="00495F94">
        <w:t xml:space="preserve">The intermediate outcomes are: </w:t>
      </w:r>
    </w:p>
    <w:p w14:paraId="7D77E0CC" w14:textId="790358AC" w:rsidR="00495F94" w:rsidRPr="00495F94" w:rsidRDefault="00495F94" w:rsidP="00791619">
      <w:pPr>
        <w:pStyle w:val="ListParagraph"/>
        <w:ind w:left="1134" w:hanging="567"/>
        <w:jc w:val="both"/>
      </w:pPr>
      <w:r w:rsidRPr="00495F94">
        <w:t xml:space="preserve">2.1 </w:t>
      </w:r>
      <w:r>
        <w:tab/>
      </w:r>
      <w:r w:rsidRPr="00495F94">
        <w:t xml:space="preserve">CPP partners </w:t>
      </w:r>
      <w:r w:rsidR="009F27B8">
        <w:t>develop</w:t>
      </w:r>
      <w:r w:rsidRPr="00495F94">
        <w:t xml:space="preserve"> their own church social accountability approaches</w:t>
      </w:r>
    </w:p>
    <w:p w14:paraId="7AF7EF89" w14:textId="5BC0A88D" w:rsidR="00495F94" w:rsidRPr="00495F94" w:rsidRDefault="00495F94" w:rsidP="00791619">
      <w:pPr>
        <w:pStyle w:val="ListParagraph"/>
        <w:ind w:left="1134" w:hanging="567"/>
        <w:jc w:val="both"/>
      </w:pPr>
      <w:r w:rsidRPr="00495F94">
        <w:t xml:space="preserve">2.2 </w:t>
      </w:r>
      <w:r>
        <w:tab/>
      </w:r>
      <w:r w:rsidR="009F27B8">
        <w:t>CPP partner facilitate c</w:t>
      </w:r>
      <w:r w:rsidRPr="00495F94">
        <w:t xml:space="preserve">ommunity members </w:t>
      </w:r>
      <w:r w:rsidR="009F27B8">
        <w:t xml:space="preserve">to </w:t>
      </w:r>
      <w:r w:rsidRPr="00495F94">
        <w:t xml:space="preserve">constructively engage with government and/or church authorities in church accountability </w:t>
      </w:r>
      <w:r w:rsidR="009F27B8">
        <w:t xml:space="preserve">pilot </w:t>
      </w:r>
      <w:r w:rsidRPr="00495F94">
        <w:t>projects</w:t>
      </w:r>
    </w:p>
    <w:p w14:paraId="6F0D74B6" w14:textId="2BEE12AB" w:rsidR="00495F94" w:rsidRPr="00495F94" w:rsidRDefault="00495F94" w:rsidP="00791619">
      <w:pPr>
        <w:pStyle w:val="ListParagraph"/>
        <w:ind w:left="1134" w:hanging="567"/>
        <w:jc w:val="both"/>
      </w:pPr>
      <w:r w:rsidRPr="00495F94">
        <w:t xml:space="preserve">2.3 </w:t>
      </w:r>
      <w:r>
        <w:tab/>
      </w:r>
      <w:r w:rsidRPr="00495F94">
        <w:t>PNGCC facilitates the generation and sharing of CPP partner’s learning and evidence on social accountability</w:t>
      </w:r>
    </w:p>
    <w:p w14:paraId="5916A059" w14:textId="77777777" w:rsidR="00495F94" w:rsidRPr="006B0499" w:rsidRDefault="00495F94" w:rsidP="00791619">
      <w:pPr>
        <w:pStyle w:val="ListParagraph"/>
        <w:spacing w:before="240"/>
        <w:ind w:left="360"/>
        <w:jc w:val="both"/>
        <w:rPr>
          <w:b/>
          <w:bCs/>
        </w:rPr>
      </w:pPr>
    </w:p>
    <w:p w14:paraId="3B3042AE" w14:textId="2DA74AB4" w:rsidR="006B0499" w:rsidRDefault="006B0499" w:rsidP="00791619">
      <w:pPr>
        <w:pStyle w:val="ListParagraph"/>
        <w:numPr>
          <w:ilvl w:val="0"/>
          <w:numId w:val="48"/>
        </w:numPr>
        <w:ind w:left="360"/>
        <w:jc w:val="both"/>
        <w:rPr>
          <w:b/>
          <w:bCs/>
        </w:rPr>
      </w:pPr>
      <w:r w:rsidRPr="006B0499">
        <w:rPr>
          <w:b/>
          <w:bCs/>
        </w:rPr>
        <w:t xml:space="preserve">Gender Equality Theology and GEDSI Pillar </w:t>
      </w:r>
      <w:r w:rsidRPr="006B0499">
        <w:t>is focussed on changing negative gender and social attitudes that are commonly held in PNG towards women, people with disability and other socially excluded groups. The focus is on influencing change within church organisations by focussing on the attitudes of church leaders and ensuring church policies are inclusive; as well as seeking to directly influence the attitudes of community members. This pillar continues, with increased ambition, the significant work CPP partners have done in past phases to provide services to women and other vulnerable groups. Work in this pillar will leverage the CPP Gender Equality Theology. This pillar will also help to ensure that social accountability initiatives (pillar 2) as well as information access and evidence activities (pillar 1) are inclusive of women and other vulnerable groups.</w:t>
      </w:r>
      <w:r w:rsidRPr="006B0499">
        <w:rPr>
          <w:b/>
          <w:bCs/>
        </w:rPr>
        <w:t xml:space="preserve"> </w:t>
      </w:r>
      <w:r w:rsidR="00495F94" w:rsidRPr="00495F94">
        <w:t>The intermediate outcomes are:</w:t>
      </w:r>
    </w:p>
    <w:p w14:paraId="5458881D" w14:textId="0E2A8709" w:rsidR="00495F94" w:rsidRPr="00495F94" w:rsidRDefault="00495F94" w:rsidP="00791619">
      <w:pPr>
        <w:pStyle w:val="ListParagraph"/>
        <w:ind w:left="1134" w:hanging="567"/>
        <w:jc w:val="both"/>
      </w:pPr>
      <w:r w:rsidRPr="00495F94">
        <w:t>3.1</w:t>
      </w:r>
      <w:r w:rsidR="00600E01">
        <w:tab/>
      </w:r>
      <w:r w:rsidR="009F27B8">
        <w:t xml:space="preserve">Selected </w:t>
      </w:r>
      <w:r w:rsidRPr="00495F94">
        <w:t>Church leaders demonstrate gender equal and socially inclusive attitudes</w:t>
      </w:r>
    </w:p>
    <w:p w14:paraId="0D9A6A1A" w14:textId="0FBDBE33" w:rsidR="00600E01" w:rsidRDefault="00495F94" w:rsidP="00791619">
      <w:pPr>
        <w:pStyle w:val="ListParagraph"/>
        <w:ind w:left="1134" w:hanging="567"/>
        <w:jc w:val="both"/>
      </w:pPr>
      <w:r w:rsidRPr="00495F94">
        <w:t xml:space="preserve">3.2 </w:t>
      </w:r>
      <w:r w:rsidR="00600E01">
        <w:tab/>
      </w:r>
      <w:r w:rsidR="009F27B8">
        <w:t xml:space="preserve">Selected </w:t>
      </w:r>
      <w:r w:rsidRPr="00495F94">
        <w:t>Church policies are revised to align with the GET and GEDS</w:t>
      </w:r>
      <w:r w:rsidR="00600E01">
        <w:t>I</w:t>
      </w:r>
    </w:p>
    <w:p w14:paraId="07874AC1" w14:textId="5D7405A0" w:rsidR="00495F94" w:rsidRPr="00495F94" w:rsidRDefault="00600E01" w:rsidP="00791619">
      <w:pPr>
        <w:pStyle w:val="ListParagraph"/>
        <w:ind w:left="1134" w:hanging="567"/>
        <w:jc w:val="both"/>
      </w:pPr>
      <w:r>
        <w:t>3.3</w:t>
      </w:r>
      <w:r>
        <w:tab/>
      </w:r>
      <w:r w:rsidR="00495F94" w:rsidRPr="00495F94">
        <w:t>Community members demonstrate gender and socially inclusive attitudes</w:t>
      </w:r>
    </w:p>
    <w:p w14:paraId="5B07A0AE" w14:textId="77777777" w:rsidR="00495F94" w:rsidRPr="006B0499" w:rsidRDefault="00495F94" w:rsidP="00791619">
      <w:pPr>
        <w:pStyle w:val="ListParagraph"/>
        <w:ind w:left="360"/>
        <w:jc w:val="both"/>
        <w:rPr>
          <w:b/>
          <w:bCs/>
        </w:rPr>
      </w:pPr>
    </w:p>
    <w:p w14:paraId="686C415A" w14:textId="090F0563" w:rsidR="00600E01" w:rsidRDefault="006B0499" w:rsidP="00791619">
      <w:pPr>
        <w:pStyle w:val="ListParagraph"/>
        <w:numPr>
          <w:ilvl w:val="0"/>
          <w:numId w:val="48"/>
        </w:numPr>
        <w:ind w:left="360"/>
        <w:jc w:val="both"/>
      </w:pPr>
      <w:r w:rsidRPr="00495F94">
        <w:rPr>
          <w:b/>
          <w:bCs/>
        </w:rPr>
        <w:t xml:space="preserve">Partner Development and Collaboration Pillar </w:t>
      </w:r>
      <w:r w:rsidRPr="006B0499">
        <w:t xml:space="preserve">will underpin the work across all three pillars above. The first part of this pillar is focussed on building PNG church partners' organisational capacity and resilience, with the flexibility to pursue </w:t>
      </w:r>
      <w:r w:rsidR="00A201BB">
        <w:t>localisation</w:t>
      </w:r>
      <w:r w:rsidRPr="006B0499">
        <w:t xml:space="preserve"> on an 'opt-in' basis. </w:t>
      </w:r>
      <w:r w:rsidR="00495F94" w:rsidRPr="006B0499">
        <w:t>The CPP capacity development process will support CPP partners to assess needs, define capacity support and plan and measure gains made</w:t>
      </w:r>
      <w:r w:rsidR="00495F94">
        <w:t xml:space="preserve">, with a particular focus on </w:t>
      </w:r>
      <w:r w:rsidR="001931CA">
        <w:t xml:space="preserve">strengthening </w:t>
      </w:r>
      <w:r w:rsidR="00495F94" w:rsidRPr="006B0499">
        <w:t>GEDSI, MEL and financial management</w:t>
      </w:r>
      <w:r w:rsidR="001931CA">
        <w:t xml:space="preserve">. </w:t>
      </w:r>
      <w:r w:rsidRPr="006B0499">
        <w:t>The second part of this pillar is focussed on facilitating collaboration and learning between CPP partners to maximise their collective impact. To facilitate collaboration, CPP will build on the norms and processes developed in previous phases</w:t>
      </w:r>
      <w:r w:rsidR="001931CA">
        <w:t xml:space="preserve"> as well as broker engagement with other BCEP partners</w:t>
      </w:r>
      <w:r w:rsidRPr="006B0499">
        <w:t xml:space="preserve">. </w:t>
      </w:r>
      <w:r w:rsidR="001931CA">
        <w:t>The modality of</w:t>
      </w:r>
      <w:r w:rsidRPr="006B0499">
        <w:t xml:space="preserve"> thematic working group</w:t>
      </w:r>
      <w:r w:rsidR="001931CA">
        <w:t>, led by specific CPP partners, will continue; and a new modality of ‘standing committees’ devoted to sharing learning on common internal organisational development areas (MEL, financial management, GEDSI) will be created</w:t>
      </w:r>
      <w:r w:rsidRPr="006B0499">
        <w:t xml:space="preserve">. </w:t>
      </w:r>
      <w:r w:rsidR="00600E01">
        <w:t xml:space="preserve"> The intermediate outcomes are: </w:t>
      </w:r>
    </w:p>
    <w:p w14:paraId="1C141508" w14:textId="204E6A7A" w:rsidR="00600E01" w:rsidRDefault="00600E01" w:rsidP="00791619">
      <w:pPr>
        <w:pStyle w:val="ListParagraph"/>
        <w:ind w:left="1134" w:hanging="567"/>
        <w:jc w:val="both"/>
      </w:pPr>
      <w:r>
        <w:t>4.1</w:t>
      </w:r>
      <w:r>
        <w:tab/>
        <w:t xml:space="preserve">PNG Church partners have increased organizational capacity for </w:t>
      </w:r>
      <w:r w:rsidR="00A201BB">
        <w:t>localisation</w:t>
      </w:r>
    </w:p>
    <w:p w14:paraId="497786A2" w14:textId="7B57970B" w:rsidR="00600E01" w:rsidRDefault="00600E01" w:rsidP="00791619">
      <w:pPr>
        <w:pStyle w:val="ListParagraph"/>
        <w:ind w:left="1134" w:hanging="567"/>
        <w:jc w:val="both"/>
      </w:pPr>
      <w:r>
        <w:t>4.2</w:t>
      </w:r>
      <w:r>
        <w:tab/>
        <w:t xml:space="preserve">CPP partners collaborate for learning and </w:t>
      </w:r>
      <w:r w:rsidR="009F27B8">
        <w:t xml:space="preserve">produce </w:t>
      </w:r>
      <w:r>
        <w:t>common positions on selected issues</w:t>
      </w:r>
    </w:p>
    <w:p w14:paraId="226711B6" w14:textId="0974CD92" w:rsidR="00600E01" w:rsidRPr="006B0499" w:rsidRDefault="00600E01" w:rsidP="00791619">
      <w:pPr>
        <w:pStyle w:val="ListParagraph"/>
        <w:ind w:left="1134" w:hanging="567"/>
        <w:jc w:val="both"/>
      </w:pPr>
      <w:r>
        <w:t>4.3</w:t>
      </w:r>
      <w:r>
        <w:tab/>
        <w:t>CPP partners contribute to BCEP learning and participate in selected joint actions</w:t>
      </w:r>
    </w:p>
    <w:p w14:paraId="69821960" w14:textId="12A87CEF" w:rsidR="00F879D6" w:rsidRPr="0012389B" w:rsidRDefault="004A4FDA" w:rsidP="00791619">
      <w:pPr>
        <w:pStyle w:val="Heading3"/>
        <w:jc w:val="both"/>
        <w:rPr>
          <w:b/>
          <w:bCs/>
        </w:rPr>
      </w:pPr>
      <w:r w:rsidRPr="0012389B">
        <w:rPr>
          <w:b/>
          <w:bCs/>
        </w:rPr>
        <w:t>Management and governance arrangements</w:t>
      </w:r>
      <w:r w:rsidR="00F879D6" w:rsidRPr="0012389B">
        <w:rPr>
          <w:b/>
          <w:bCs/>
        </w:rPr>
        <w:t xml:space="preserve"> </w:t>
      </w:r>
    </w:p>
    <w:p w14:paraId="23B1AF7C" w14:textId="5417FCA1" w:rsidR="004A4FDA" w:rsidRPr="0012389B" w:rsidRDefault="004A4FDA" w:rsidP="00791619">
      <w:pPr>
        <w:jc w:val="both"/>
      </w:pPr>
      <w:r w:rsidRPr="0012389B">
        <w:t>The governance arrangements from the current phase ha</w:t>
      </w:r>
      <w:r w:rsidR="003213C9" w:rsidRPr="0012389B">
        <w:t>ve</w:t>
      </w:r>
      <w:r w:rsidRPr="0012389B">
        <w:t xml:space="preserve"> been streamlined to increase efficiency and maximise oversight</w:t>
      </w:r>
      <w:r w:rsidR="003213C9" w:rsidRPr="0012389B">
        <w:t xml:space="preserve"> </w:t>
      </w:r>
      <w:r w:rsidRPr="0012389B">
        <w:t>by church leaders, working with DFAT</w:t>
      </w:r>
      <w:r w:rsidR="004C7175">
        <w:t xml:space="preserve">, </w:t>
      </w:r>
      <w:proofErr w:type="spellStart"/>
      <w:r w:rsidRPr="0012389B">
        <w:t>GoPNG</w:t>
      </w:r>
      <w:proofErr w:type="spellEnd"/>
      <w:r w:rsidR="004C7175">
        <w:t xml:space="preserve"> and ANGO</w:t>
      </w:r>
      <w:r w:rsidRPr="0012389B">
        <w:t xml:space="preserve"> representatives</w:t>
      </w:r>
      <w:r w:rsidR="00030FB2" w:rsidRPr="0012389B">
        <w:t xml:space="preserve"> in the CPP apex governance body</w:t>
      </w:r>
      <w:r w:rsidRPr="0012389B">
        <w:t>.</w:t>
      </w:r>
    </w:p>
    <w:p w14:paraId="3614177D" w14:textId="1EFF8B88" w:rsidR="00626B40" w:rsidRPr="0012389B" w:rsidRDefault="004A4FDA" w:rsidP="00791619">
      <w:pPr>
        <w:jc w:val="both"/>
      </w:pPr>
      <w:r w:rsidRPr="0012389B">
        <w:t xml:space="preserve">The responsibility for the delivery of the program rests with the managing contractor DFAT has procured for BCEP. They will provide the team for the CPP Coordination Office (CPPCO) who will manage CPP under the guidance of DFAT and the CPP apex governance body. The current DFAT </w:t>
      </w:r>
      <w:r w:rsidR="001931CA">
        <w:t>Justice, Accountability and Subnational T</w:t>
      </w:r>
      <w:r w:rsidRPr="0012389B">
        <w:t xml:space="preserve">eam within the Australian High Commission will remain responsible for day-to-day program oversight, risk management and decision-making. </w:t>
      </w:r>
    </w:p>
    <w:p w14:paraId="54C84FB9" w14:textId="62BBF44A" w:rsidR="004A4FDA" w:rsidRPr="0012389B" w:rsidRDefault="004A4FDA" w:rsidP="00791619">
      <w:pPr>
        <w:jc w:val="both"/>
      </w:pPr>
      <w:r w:rsidRPr="0012389B">
        <w:lastRenderedPageBreak/>
        <w:t xml:space="preserve">The Strategic Development Team will continue into the next </w:t>
      </w:r>
      <w:r w:rsidR="00030FB2" w:rsidRPr="0012389B">
        <w:t>phase,</w:t>
      </w:r>
      <w:r w:rsidRPr="0012389B">
        <w:t xml:space="preserve"> </w:t>
      </w:r>
      <w:r w:rsidR="00626B40" w:rsidRPr="0012389B">
        <w:t>but they will have a more strategic role to conduct six monthly review and reflections of CPP performance against the program logic</w:t>
      </w:r>
      <w:r w:rsidR="009F27B8">
        <w:t>, and membership will be expanded in include all ANGO partners alongside their PNG Church colleagues</w:t>
      </w:r>
      <w:r w:rsidR="00626B40" w:rsidRPr="0012389B">
        <w:t>. The CPPCO will facilitate review and reflection exercise</w:t>
      </w:r>
      <w:r w:rsidR="003213C9" w:rsidRPr="0012389B">
        <w:t>s</w:t>
      </w:r>
      <w:r w:rsidR="00626B40" w:rsidRPr="0012389B">
        <w:t xml:space="preserve">, which will include DFAT and other key stakeholders. </w:t>
      </w:r>
    </w:p>
    <w:p w14:paraId="23A74A78" w14:textId="44A00BB7" w:rsidR="004A4FDA" w:rsidRPr="0012389B" w:rsidRDefault="00646787" w:rsidP="00791619">
      <w:pPr>
        <w:jc w:val="both"/>
      </w:pPr>
      <w:r>
        <w:rPr>
          <w:rFonts w:cstheme="minorHAnsi"/>
          <w:color w:val="000000" w:themeColor="text1"/>
        </w:rPr>
        <w:t>Compared with past phases, the role of the CPPCO goes beyond coordinating the program to include proactive engagement with CPP partners to adding value to their work</w:t>
      </w:r>
      <w:r>
        <w:t>. The CPPCO will</w:t>
      </w:r>
      <w:r w:rsidRPr="0012389B">
        <w:t xml:space="preserve"> provide </w:t>
      </w:r>
      <w:r>
        <w:t xml:space="preserve">regular </w:t>
      </w:r>
      <w:r w:rsidRPr="0012389B">
        <w:t xml:space="preserve">feedback to </w:t>
      </w:r>
      <w:r>
        <w:t xml:space="preserve">CPP </w:t>
      </w:r>
      <w:r w:rsidRPr="0012389B">
        <w:t>partners on their implementation progress, with suggestions for quality improvements</w:t>
      </w:r>
      <w:r>
        <w:t>.  I</w:t>
      </w:r>
      <w:r w:rsidR="004A4FDA" w:rsidRPr="0012389B">
        <w:t xml:space="preserve">ncreased resources </w:t>
      </w:r>
      <w:r>
        <w:t xml:space="preserve">for provision and measurement of CPP partners’ </w:t>
      </w:r>
      <w:r w:rsidR="004A4FDA" w:rsidRPr="0012389B">
        <w:t xml:space="preserve">capacity development </w:t>
      </w:r>
      <w:r>
        <w:t>are proposed</w:t>
      </w:r>
      <w:r w:rsidR="004A4FDA" w:rsidRPr="0012389B">
        <w:t>. The CPPCO will include long-term professional positions</w:t>
      </w:r>
      <w:r w:rsidR="00500BE0">
        <w:t xml:space="preserve"> </w:t>
      </w:r>
      <w:r w:rsidR="00F7160B">
        <w:t>to provide</w:t>
      </w:r>
      <w:r w:rsidR="004A4FDA" w:rsidRPr="0012389B">
        <w:t xml:space="preserve"> capacity development support</w:t>
      </w:r>
      <w:r w:rsidR="00500BE0">
        <w:t xml:space="preserve"> (with a focus on GEDSI and MEL)</w:t>
      </w:r>
      <w:r w:rsidR="004A4FDA" w:rsidRPr="0012389B">
        <w:t>, facilitat</w:t>
      </w:r>
      <w:r w:rsidR="00500BE0">
        <w:t>e</w:t>
      </w:r>
      <w:r w:rsidR="004A4FDA" w:rsidRPr="0012389B">
        <w:t xml:space="preserve"> learning, </w:t>
      </w:r>
      <w:r w:rsidR="00500BE0">
        <w:t>and manage</w:t>
      </w:r>
      <w:r w:rsidR="004A4FDA" w:rsidRPr="0012389B">
        <w:t xml:space="preserve"> reporting. National professionals are preferred for these positions. </w:t>
      </w:r>
    </w:p>
    <w:p w14:paraId="3F7E709E" w14:textId="46B52AFB" w:rsidR="004A4FDA" w:rsidRPr="0012389B" w:rsidRDefault="004A4FDA" w:rsidP="00791619">
      <w:pPr>
        <w:pStyle w:val="Heading3"/>
        <w:jc w:val="both"/>
        <w:rPr>
          <w:b/>
          <w:bCs/>
        </w:rPr>
      </w:pPr>
      <w:r w:rsidRPr="0012389B">
        <w:rPr>
          <w:b/>
          <w:bCs/>
        </w:rPr>
        <w:t>Delivery approach</w:t>
      </w:r>
    </w:p>
    <w:p w14:paraId="30D77015" w14:textId="5D947862" w:rsidR="00A63CF9" w:rsidRDefault="00A63CF9" w:rsidP="00791619">
      <w:pPr>
        <w:jc w:val="both"/>
      </w:pPr>
      <w:r>
        <w:t xml:space="preserve">The fourth phase of CPP is designed to achieve end of program outcomes at the end of 7.5 years of implementation. This phase will be delivered over following two stages: </w:t>
      </w:r>
    </w:p>
    <w:p w14:paraId="53F39697" w14:textId="2F7BC17E" w:rsidR="00A63CF9" w:rsidRDefault="00A63CF9" w:rsidP="00791619">
      <w:pPr>
        <w:pStyle w:val="ListParagraph"/>
        <w:numPr>
          <w:ilvl w:val="0"/>
          <w:numId w:val="49"/>
        </w:numPr>
        <w:jc w:val="both"/>
      </w:pPr>
      <w:r>
        <w:t>CPP 4.1 – from July 2022 to December 2025</w:t>
      </w:r>
    </w:p>
    <w:p w14:paraId="42E50B34" w14:textId="4B7765DC" w:rsidR="00A63CF9" w:rsidRDefault="00A63CF9" w:rsidP="00791619">
      <w:pPr>
        <w:pStyle w:val="ListParagraph"/>
        <w:numPr>
          <w:ilvl w:val="0"/>
          <w:numId w:val="49"/>
        </w:numPr>
        <w:jc w:val="both"/>
      </w:pPr>
      <w:r>
        <w:t>CPP 4.2 – from January 2026 to December 2029</w:t>
      </w:r>
    </w:p>
    <w:p w14:paraId="535BE61B" w14:textId="77777777" w:rsidR="00500BE0" w:rsidRDefault="00A63CF9" w:rsidP="00791619">
      <w:pPr>
        <w:jc w:val="both"/>
      </w:pPr>
      <w:r>
        <w:t xml:space="preserve">Continuation from the first stage (CPP 4.1) to the second (CPP 4.2) will be subject to adequate progress against intermediate and end of program outcomes, as assessed by an independent review. At the start of CPP 4.1, the full fourth phase will be set up in a six-month Inception Period (from July to December 2022). </w:t>
      </w:r>
    </w:p>
    <w:p w14:paraId="73F2D9E3" w14:textId="772E46D6" w:rsidR="002C46F1" w:rsidRPr="0012389B" w:rsidRDefault="00500BE0" w:rsidP="00791619">
      <w:pPr>
        <w:jc w:val="both"/>
      </w:pPr>
      <w:r>
        <w:t>Each CPP partner is at a different level of readiness to pursue the results outlined in the CPP program logic</w:t>
      </w:r>
      <w:r w:rsidR="00646787">
        <w:t xml:space="preserve">. </w:t>
      </w:r>
      <w:r>
        <w:t xml:space="preserve">For some partners, </w:t>
      </w:r>
      <w:r w:rsidR="00646787">
        <w:t>these results are</w:t>
      </w:r>
      <w:r>
        <w:t xml:space="preserve"> highly </w:t>
      </w:r>
      <w:proofErr w:type="gramStart"/>
      <w:r>
        <w:t>ambitious</w:t>
      </w:r>
      <w:proofErr w:type="gramEnd"/>
      <w:r>
        <w:t xml:space="preserve"> and they may need spend much </w:t>
      </w:r>
      <w:r w:rsidR="00646787">
        <w:t xml:space="preserve">of </w:t>
      </w:r>
      <w:r>
        <w:t xml:space="preserve">CPP 4.1 adapting their activities and developing the capacity required to implement new activities. The realistic progress that each partner can be expected </w:t>
      </w:r>
      <w:r w:rsidR="00646787">
        <w:t xml:space="preserve">to make will be determined in </w:t>
      </w:r>
      <w:r>
        <w:t xml:space="preserve">the Inception period </w:t>
      </w:r>
    </w:p>
    <w:p w14:paraId="130928EF" w14:textId="0D9E8254" w:rsidR="00CC648A" w:rsidRPr="00CC648A" w:rsidRDefault="00CC648A" w:rsidP="00791619">
      <w:pPr>
        <w:jc w:val="both"/>
        <w:rPr>
          <w:rFonts w:cstheme="minorHAnsi"/>
          <w:color w:val="000000" w:themeColor="text1"/>
        </w:rPr>
      </w:pPr>
      <w:r w:rsidRPr="00CC648A">
        <w:rPr>
          <w:rFonts w:cstheme="minorHAnsi"/>
          <w:color w:val="000000" w:themeColor="text1"/>
        </w:rPr>
        <w:t>DFAT has selected a Managing Contractor (MC) to manage the delivery of CPP as an integrated component of BCEP.</w:t>
      </w:r>
      <w:r w:rsidRPr="00CC648A">
        <w:rPr>
          <w:rStyle w:val="FootnoteReference"/>
          <w:rFonts w:cstheme="minorHAnsi"/>
          <w:color w:val="000000" w:themeColor="text1"/>
        </w:rPr>
        <w:t xml:space="preserve"> </w:t>
      </w:r>
      <w:r w:rsidRPr="00CC648A">
        <w:rPr>
          <w:rFonts w:cstheme="minorHAnsi"/>
          <w:color w:val="000000" w:themeColor="text1"/>
        </w:rPr>
        <w:t xml:space="preserve">The MC will perform these functions through a BCEP Program Management Team (PMT), and a CPP Coordination Office (CPPCO) (management arrangements are outlined in section 5).  </w:t>
      </w:r>
      <w:r w:rsidR="009623A3">
        <w:rPr>
          <w:lang w:eastAsia="en-AU"/>
        </w:rPr>
        <w:t xml:space="preserve">Compared w </w:t>
      </w:r>
      <w:r w:rsidR="009623A3" w:rsidRPr="0012389B">
        <w:rPr>
          <w:lang w:eastAsia="en-AU"/>
        </w:rPr>
        <w:t>CPPCO</w:t>
      </w:r>
      <w:r w:rsidR="009623A3">
        <w:rPr>
          <w:lang w:eastAsia="en-AU"/>
        </w:rPr>
        <w:t xml:space="preserve"> has a slightly different role from previous</w:t>
      </w:r>
      <w:r w:rsidR="009623A3" w:rsidRPr="0012389B">
        <w:rPr>
          <w:lang w:eastAsia="en-AU"/>
        </w:rPr>
        <w:t xml:space="preserve"> </w:t>
      </w:r>
      <w:r w:rsidR="009623A3">
        <w:rPr>
          <w:lang w:eastAsia="en-AU"/>
        </w:rPr>
        <w:t>is to have an enhanced role to</w:t>
      </w:r>
      <w:r w:rsidR="009623A3" w:rsidRPr="0012389B">
        <w:rPr>
          <w:lang w:eastAsia="en-AU"/>
        </w:rPr>
        <w:t xml:space="preserve"> support partners </w:t>
      </w:r>
      <w:r w:rsidR="009623A3">
        <w:rPr>
          <w:lang w:eastAsia="en-AU"/>
        </w:rPr>
        <w:t>a</w:t>
      </w:r>
      <w:r w:rsidR="009623A3" w:rsidRPr="0012389B">
        <w:rPr>
          <w:lang w:eastAsia="en-AU"/>
        </w:rPr>
        <w:t xml:space="preserve">s detailed in section 4.3.  </w:t>
      </w:r>
    </w:p>
    <w:p w14:paraId="6F9C96FB" w14:textId="655919BC" w:rsidR="009623A3" w:rsidRDefault="009623A3" w:rsidP="00791619">
      <w:pPr>
        <w:jc w:val="both"/>
        <w:rPr>
          <w:rFonts w:cstheme="minorHAnsi"/>
          <w:color w:val="000000" w:themeColor="text1"/>
        </w:rPr>
      </w:pPr>
      <w:r>
        <w:rPr>
          <w:rFonts w:cstheme="minorHAnsi"/>
          <w:color w:val="000000" w:themeColor="text1"/>
        </w:rPr>
        <w:t xml:space="preserve">In the Inception period, the MC will develop a delivery approach that build </w:t>
      </w:r>
      <w:r w:rsidR="00CC648A">
        <w:rPr>
          <w:rFonts w:cstheme="minorHAnsi"/>
          <w:color w:val="000000" w:themeColor="text1"/>
        </w:rPr>
        <w:t>mutually supportive linkages across three delivery levels</w:t>
      </w:r>
      <w:r>
        <w:rPr>
          <w:rFonts w:cstheme="minorHAnsi"/>
          <w:color w:val="000000" w:themeColor="text1"/>
        </w:rPr>
        <w:t>:</w:t>
      </w:r>
    </w:p>
    <w:p w14:paraId="4F5C82E6" w14:textId="77777777" w:rsidR="00AE04A5" w:rsidRDefault="00AE04A5" w:rsidP="00791619">
      <w:pPr>
        <w:pStyle w:val="ListParagraph"/>
        <w:numPr>
          <w:ilvl w:val="0"/>
          <w:numId w:val="50"/>
        </w:numPr>
        <w:jc w:val="both"/>
        <w:rPr>
          <w:rFonts w:cstheme="minorHAnsi"/>
          <w:color w:val="000000" w:themeColor="text1"/>
        </w:rPr>
      </w:pPr>
      <w:r>
        <w:rPr>
          <w:rFonts w:cstheme="minorHAnsi"/>
          <w:color w:val="000000" w:themeColor="text1"/>
        </w:rPr>
        <w:t>BCEP: for building coordination and synergies for BCEP outcomes</w:t>
      </w:r>
    </w:p>
    <w:p w14:paraId="7DEF2E5B" w14:textId="232547DD" w:rsidR="009623A3" w:rsidRDefault="009623A3" w:rsidP="00791619">
      <w:pPr>
        <w:pStyle w:val="ListParagraph"/>
        <w:numPr>
          <w:ilvl w:val="0"/>
          <w:numId w:val="50"/>
        </w:numPr>
        <w:jc w:val="both"/>
        <w:rPr>
          <w:rFonts w:cstheme="minorHAnsi"/>
          <w:color w:val="000000" w:themeColor="text1"/>
        </w:rPr>
      </w:pPr>
      <w:r>
        <w:rPr>
          <w:rFonts w:cstheme="minorHAnsi"/>
          <w:color w:val="000000" w:themeColor="text1"/>
        </w:rPr>
        <w:t xml:space="preserve">CPPCO: </w:t>
      </w:r>
      <w:r w:rsidR="00AE04A5">
        <w:rPr>
          <w:rFonts w:cstheme="minorHAnsi"/>
          <w:color w:val="000000" w:themeColor="text1"/>
        </w:rPr>
        <w:t>for</w:t>
      </w:r>
      <w:r>
        <w:rPr>
          <w:rFonts w:cstheme="minorHAnsi"/>
          <w:color w:val="000000" w:themeColor="text1"/>
        </w:rPr>
        <w:t xml:space="preserve"> </w:t>
      </w:r>
      <w:r w:rsidR="00AE04A5">
        <w:rPr>
          <w:rFonts w:cstheme="minorHAnsi"/>
          <w:color w:val="000000" w:themeColor="text1"/>
        </w:rPr>
        <w:t xml:space="preserve">partner capacity development support, shared </w:t>
      </w:r>
      <w:proofErr w:type="gramStart"/>
      <w:r w:rsidR="00AE04A5">
        <w:rPr>
          <w:rFonts w:cstheme="minorHAnsi"/>
          <w:color w:val="000000" w:themeColor="text1"/>
        </w:rPr>
        <w:t>learning</w:t>
      </w:r>
      <w:proofErr w:type="gramEnd"/>
      <w:r w:rsidR="00AE04A5">
        <w:rPr>
          <w:rFonts w:cstheme="minorHAnsi"/>
          <w:color w:val="000000" w:themeColor="text1"/>
        </w:rPr>
        <w:t xml:space="preserve"> and </w:t>
      </w:r>
      <w:r>
        <w:rPr>
          <w:rFonts w:cstheme="minorHAnsi"/>
          <w:color w:val="000000" w:themeColor="text1"/>
        </w:rPr>
        <w:t>programming</w:t>
      </w:r>
      <w:r w:rsidR="00AE04A5">
        <w:rPr>
          <w:rFonts w:cstheme="minorHAnsi"/>
          <w:color w:val="000000" w:themeColor="text1"/>
        </w:rPr>
        <w:t xml:space="preserve"> toward collective</w:t>
      </w:r>
    </w:p>
    <w:p w14:paraId="0F746281" w14:textId="6BDFF662" w:rsidR="00AE04A5" w:rsidRPr="00AE04A5" w:rsidRDefault="00AE04A5" w:rsidP="00791619">
      <w:pPr>
        <w:pStyle w:val="ListParagraph"/>
        <w:numPr>
          <w:ilvl w:val="0"/>
          <w:numId w:val="50"/>
        </w:numPr>
        <w:jc w:val="both"/>
        <w:rPr>
          <w:rFonts w:cstheme="minorHAnsi"/>
          <w:color w:val="000000" w:themeColor="text1"/>
        </w:rPr>
      </w:pPr>
      <w:r>
        <w:rPr>
          <w:rFonts w:cstheme="minorHAnsi"/>
          <w:color w:val="000000" w:themeColor="text1"/>
        </w:rPr>
        <w:t>CPP partners: for delivery of individual 3-year CPP partner plans to achieve outcomes</w:t>
      </w:r>
    </w:p>
    <w:p w14:paraId="2AB7B29C" w14:textId="1626A9BC" w:rsidR="00CC648A" w:rsidRDefault="009623A3" w:rsidP="00791619">
      <w:pPr>
        <w:jc w:val="both"/>
        <w:rPr>
          <w:rFonts w:cstheme="minorHAnsi"/>
          <w:color w:val="000000" w:themeColor="text1"/>
        </w:rPr>
      </w:pPr>
      <w:r>
        <w:rPr>
          <w:rFonts w:cstheme="minorHAnsi"/>
          <w:color w:val="000000" w:themeColor="text1"/>
        </w:rPr>
        <w:t>S</w:t>
      </w:r>
      <w:r w:rsidR="00CC648A">
        <w:rPr>
          <w:rFonts w:cstheme="minorHAnsi"/>
          <w:color w:val="000000" w:themeColor="text1"/>
        </w:rPr>
        <w:t xml:space="preserve">trategies, </w:t>
      </w:r>
      <w:r w:rsidR="00AE04A5">
        <w:rPr>
          <w:rFonts w:cstheme="minorHAnsi"/>
          <w:color w:val="000000" w:themeColor="text1"/>
        </w:rPr>
        <w:t>processes,</w:t>
      </w:r>
      <w:r w:rsidR="00CC648A">
        <w:rPr>
          <w:rFonts w:cstheme="minorHAnsi"/>
          <w:color w:val="000000" w:themeColor="text1"/>
        </w:rPr>
        <w:t xml:space="preserve"> and support will flow </w:t>
      </w:r>
      <w:r w:rsidR="00234C92">
        <w:rPr>
          <w:rFonts w:cstheme="minorHAnsi"/>
          <w:color w:val="000000" w:themeColor="text1"/>
        </w:rPr>
        <w:t xml:space="preserve">down </w:t>
      </w:r>
      <w:r w:rsidR="00CC648A">
        <w:rPr>
          <w:rFonts w:cstheme="minorHAnsi"/>
          <w:color w:val="000000" w:themeColor="text1"/>
        </w:rPr>
        <w:t>from the BCEP PMT through the CPPCO to CPP partners</w:t>
      </w:r>
      <w:r w:rsidR="00234C92">
        <w:rPr>
          <w:rFonts w:cstheme="minorHAnsi"/>
          <w:color w:val="000000" w:themeColor="text1"/>
        </w:rPr>
        <w:t xml:space="preserve">. Conversely, </w:t>
      </w:r>
      <w:r w:rsidR="00CC648A">
        <w:rPr>
          <w:rFonts w:cstheme="minorHAnsi"/>
          <w:color w:val="000000" w:themeColor="text1"/>
        </w:rPr>
        <w:t xml:space="preserve">results and learning will flow from the CPP partner level </w:t>
      </w:r>
      <w:r w:rsidR="00234C92">
        <w:rPr>
          <w:rFonts w:cstheme="minorHAnsi"/>
          <w:color w:val="000000" w:themeColor="text1"/>
        </w:rPr>
        <w:t>up</w:t>
      </w:r>
      <w:r w:rsidR="00CC648A">
        <w:rPr>
          <w:rFonts w:cstheme="minorHAnsi"/>
          <w:color w:val="000000" w:themeColor="text1"/>
        </w:rPr>
        <w:t xml:space="preserve"> through the CPPCO to the BCEP level. </w:t>
      </w:r>
    </w:p>
    <w:p w14:paraId="644BC26B" w14:textId="7EBBABB3" w:rsidR="00CC648A" w:rsidRDefault="00CC648A" w:rsidP="00791619">
      <w:pPr>
        <w:jc w:val="both"/>
        <w:rPr>
          <w:rFonts w:cstheme="minorHAnsi"/>
          <w:color w:val="000000" w:themeColor="text1"/>
        </w:rPr>
      </w:pPr>
      <w:r>
        <w:rPr>
          <w:rFonts w:cstheme="minorHAnsi"/>
          <w:color w:val="000000" w:themeColor="text1"/>
        </w:rPr>
        <w:t>The CPPCO is a crucial link in the delivery chain</w:t>
      </w:r>
      <w:r w:rsidR="00234C92">
        <w:rPr>
          <w:rFonts w:cstheme="minorHAnsi"/>
          <w:color w:val="000000" w:themeColor="text1"/>
        </w:rPr>
        <w:t>.</w:t>
      </w:r>
      <w:r>
        <w:rPr>
          <w:rFonts w:cstheme="minorHAnsi"/>
          <w:color w:val="000000" w:themeColor="text1"/>
        </w:rPr>
        <w:t xml:space="preserve"> </w:t>
      </w:r>
      <w:r w:rsidR="00234C92">
        <w:rPr>
          <w:rFonts w:cstheme="minorHAnsi"/>
          <w:color w:val="000000" w:themeColor="text1"/>
        </w:rPr>
        <w:t>The</w:t>
      </w:r>
      <w:r>
        <w:rPr>
          <w:rFonts w:cstheme="minorHAnsi"/>
          <w:color w:val="000000" w:themeColor="text1"/>
        </w:rPr>
        <w:t xml:space="preserve"> CPPCO</w:t>
      </w:r>
      <w:r w:rsidR="00234C92">
        <w:rPr>
          <w:rFonts w:cstheme="minorHAnsi"/>
          <w:color w:val="000000" w:themeColor="text1"/>
        </w:rPr>
        <w:t xml:space="preserve"> will</w:t>
      </w:r>
      <w:r>
        <w:rPr>
          <w:rFonts w:cstheme="minorHAnsi"/>
          <w:color w:val="000000" w:themeColor="text1"/>
        </w:rPr>
        <w:t xml:space="preserve"> </w:t>
      </w:r>
      <w:r w:rsidR="00234C92">
        <w:rPr>
          <w:rFonts w:cstheme="minorHAnsi"/>
          <w:color w:val="000000" w:themeColor="text1"/>
        </w:rPr>
        <w:t>work closely with the</w:t>
      </w:r>
      <w:r>
        <w:rPr>
          <w:rFonts w:cstheme="minorHAnsi"/>
          <w:color w:val="000000" w:themeColor="text1"/>
        </w:rPr>
        <w:t xml:space="preserve"> BCEP </w:t>
      </w:r>
      <w:r w:rsidR="00234C92">
        <w:rPr>
          <w:rFonts w:cstheme="minorHAnsi"/>
          <w:color w:val="000000" w:themeColor="text1"/>
        </w:rPr>
        <w:t xml:space="preserve">PMT to interpret and apply </w:t>
      </w:r>
      <w:r>
        <w:rPr>
          <w:rFonts w:cstheme="minorHAnsi"/>
          <w:color w:val="000000" w:themeColor="text1"/>
        </w:rPr>
        <w:t xml:space="preserve">strategies </w:t>
      </w:r>
      <w:r w:rsidR="00AE04A5">
        <w:rPr>
          <w:rFonts w:cstheme="minorHAnsi"/>
          <w:color w:val="000000" w:themeColor="text1"/>
        </w:rPr>
        <w:t xml:space="preserve">and </w:t>
      </w:r>
      <w:r w:rsidR="00234C92">
        <w:rPr>
          <w:rFonts w:cstheme="minorHAnsi"/>
          <w:color w:val="000000" w:themeColor="text1"/>
        </w:rPr>
        <w:t xml:space="preserve">processes </w:t>
      </w:r>
      <w:r>
        <w:rPr>
          <w:rFonts w:cstheme="minorHAnsi"/>
          <w:color w:val="000000" w:themeColor="text1"/>
        </w:rPr>
        <w:t>to CPP</w:t>
      </w:r>
      <w:r w:rsidR="00F7160B">
        <w:rPr>
          <w:rFonts w:cstheme="minorHAnsi"/>
          <w:color w:val="000000" w:themeColor="text1"/>
        </w:rPr>
        <w:t>, while working closely</w:t>
      </w:r>
      <w:r>
        <w:rPr>
          <w:rFonts w:cstheme="minorHAnsi"/>
          <w:color w:val="000000" w:themeColor="text1"/>
        </w:rPr>
        <w:t xml:space="preserve"> with CPP partners </w:t>
      </w:r>
      <w:r w:rsidR="00F7160B">
        <w:rPr>
          <w:rFonts w:cstheme="minorHAnsi"/>
          <w:color w:val="000000" w:themeColor="text1"/>
        </w:rPr>
        <w:t>to</w:t>
      </w:r>
      <w:r w:rsidR="00234C92">
        <w:rPr>
          <w:rFonts w:cstheme="minorHAnsi"/>
          <w:color w:val="000000" w:themeColor="text1"/>
        </w:rPr>
        <w:t xml:space="preserve"> </w:t>
      </w:r>
      <w:r w:rsidR="00234C92">
        <w:rPr>
          <w:rFonts w:cstheme="minorHAnsi"/>
          <w:color w:val="000000" w:themeColor="text1"/>
        </w:rPr>
        <w:lastRenderedPageBreak/>
        <w:t>provide capacity development support and help</w:t>
      </w:r>
      <w:r>
        <w:rPr>
          <w:rFonts w:cstheme="minorHAnsi"/>
          <w:color w:val="000000" w:themeColor="text1"/>
        </w:rPr>
        <w:t xml:space="preserve"> them implement their plans. </w:t>
      </w:r>
      <w:r w:rsidR="00AE04A5">
        <w:rPr>
          <w:rFonts w:cstheme="minorHAnsi"/>
          <w:color w:val="000000" w:themeColor="text1"/>
        </w:rPr>
        <w:t xml:space="preserve">The CPPCO will filter, aggregate, and analyse CPP partner results and facilitate collective forums to share and crystalise learning, leading to joint actions. </w:t>
      </w:r>
      <w:r>
        <w:rPr>
          <w:rFonts w:cstheme="minorHAnsi"/>
          <w:color w:val="000000" w:themeColor="text1"/>
        </w:rPr>
        <w:t xml:space="preserve">Most of the functions related to financial and risk management, DFAT compliance and performance management will be performed by the BCEP PMT enabling the CPPCO to focus on supporting CPP partners. </w:t>
      </w:r>
    </w:p>
    <w:p w14:paraId="7EC34998" w14:textId="78EB8B54" w:rsidR="000A023D" w:rsidRPr="0012389B" w:rsidRDefault="00DF7B3E" w:rsidP="00791619">
      <w:pPr>
        <w:jc w:val="both"/>
        <w:sectPr w:rsidR="000A023D" w:rsidRPr="0012389B" w:rsidSect="00A73864">
          <w:headerReference w:type="default" r:id="rId9"/>
          <w:pgSz w:w="11906" w:h="16838"/>
          <w:pgMar w:top="1440" w:right="1440" w:bottom="1440" w:left="1440" w:header="708" w:footer="708" w:gutter="0"/>
          <w:pgNumType w:fmt="lowerRoman" w:start="1"/>
          <w:cols w:space="708"/>
          <w:docGrid w:linePitch="360"/>
        </w:sectPr>
      </w:pPr>
      <w:r w:rsidRPr="0012389B">
        <w:t xml:space="preserve">CPP is a </w:t>
      </w:r>
      <w:r w:rsidR="00C836C6" w:rsidRPr="0012389B">
        <w:t xml:space="preserve">complex and </w:t>
      </w:r>
      <w:r w:rsidRPr="0012389B">
        <w:t xml:space="preserve">ambitious program working in </w:t>
      </w:r>
      <w:r w:rsidR="00C836C6" w:rsidRPr="0012389B">
        <w:t>high-risk</w:t>
      </w:r>
      <w:r w:rsidRPr="0012389B">
        <w:t xml:space="preserve"> operational environment and is rated a high-risk program against DFAT’s Risks and Safeguard Tool. The MC will put in place robust risk management processes in the Inception Period in accordance with DFAT policies</w:t>
      </w:r>
      <w:r w:rsidR="00AE4DEE" w:rsidRPr="0012389B">
        <w:t>, including fraud prevention</w:t>
      </w:r>
      <w:r w:rsidRPr="0012389B">
        <w:t>. These processes will provide the DFAT JAS Team with a clear line of sight over the CPP delivery chain and enabl</w:t>
      </w:r>
      <w:r w:rsidR="00AE4DEE" w:rsidRPr="0012389B">
        <w:t>e</w:t>
      </w:r>
      <w:r w:rsidRPr="0012389B">
        <w:t xml:space="preserve"> the proactive identification and avoidance or mitigation of risks. </w:t>
      </w:r>
    </w:p>
    <w:p w14:paraId="0F6449A9" w14:textId="31D1C627" w:rsidR="00A06D91" w:rsidRPr="0012389B" w:rsidRDefault="00A06D91" w:rsidP="00791619">
      <w:pPr>
        <w:pStyle w:val="Heading1"/>
        <w:jc w:val="both"/>
      </w:pPr>
      <w:bookmarkStart w:id="4" w:name="_Toc88047096"/>
      <w:bookmarkStart w:id="5" w:name="_Toc97187804"/>
      <w:bookmarkStart w:id="6" w:name="_Toc97305448"/>
      <w:bookmarkStart w:id="7" w:name="_Toc97731504"/>
      <w:bookmarkStart w:id="8" w:name="_Toc97731689"/>
      <w:bookmarkStart w:id="9" w:name="_Toc99041646"/>
      <w:r w:rsidRPr="0012389B">
        <w:rPr>
          <w:rFonts w:ascii="Arial" w:hAnsi="Arial" w:cs="Arial"/>
          <w:sz w:val="28"/>
          <w:szCs w:val="28"/>
        </w:rPr>
        <w:lastRenderedPageBreak/>
        <w:t>Contents</w:t>
      </w:r>
      <w:bookmarkEnd w:id="4"/>
      <w:bookmarkEnd w:id="5"/>
      <w:bookmarkEnd w:id="6"/>
      <w:bookmarkEnd w:id="7"/>
      <w:bookmarkEnd w:id="8"/>
      <w:bookmarkEnd w:id="9"/>
    </w:p>
    <w:sdt>
      <w:sdtPr>
        <w:rPr>
          <w:noProof w:val="0"/>
        </w:rPr>
        <w:id w:val="-115211891"/>
        <w:docPartObj>
          <w:docPartGallery w:val="Table of Contents"/>
          <w:docPartUnique/>
        </w:docPartObj>
      </w:sdtPr>
      <w:sdtEndPr>
        <w:rPr>
          <w:noProof/>
        </w:rPr>
      </w:sdtEndPr>
      <w:sdtContent>
        <w:p w14:paraId="0F2A5843" w14:textId="7A9FBDB5" w:rsidR="00344562" w:rsidRPr="00096436" w:rsidRDefault="00D1799B" w:rsidP="00791619">
          <w:pPr>
            <w:pStyle w:val="TOC1"/>
            <w:jc w:val="both"/>
            <w:rPr>
              <w:rFonts w:eastAsiaTheme="minorEastAsia"/>
              <w:b w:val="0"/>
              <w:bCs w:val="0"/>
              <w:lang w:eastAsia="en-AU"/>
            </w:rPr>
          </w:pPr>
          <w:r w:rsidRPr="00344562">
            <w:rPr>
              <w:noProof w:val="0"/>
            </w:rPr>
            <w:fldChar w:fldCharType="begin"/>
          </w:r>
          <w:r w:rsidRPr="00344562">
            <w:rPr>
              <w:noProof w:val="0"/>
            </w:rPr>
            <w:instrText xml:space="preserve"> TOC \o "1-2" \h \z \u </w:instrText>
          </w:r>
          <w:r w:rsidRPr="00344562">
            <w:rPr>
              <w:noProof w:val="0"/>
            </w:rPr>
            <w:fldChar w:fldCharType="separate"/>
          </w:r>
          <w:hyperlink w:anchor="_Toc99041645" w:history="1">
            <w:r w:rsidR="00344562" w:rsidRPr="00096436">
              <w:rPr>
                <w:rStyle w:val="Hyperlink"/>
                <w:b w:val="0"/>
                <w:bCs w:val="0"/>
              </w:rPr>
              <w:t>Executive Summary</w:t>
            </w:r>
            <w:r w:rsidR="00344562" w:rsidRPr="00096436">
              <w:rPr>
                <w:b w:val="0"/>
                <w:bCs w:val="0"/>
                <w:webHidden/>
              </w:rPr>
              <w:tab/>
            </w:r>
            <w:r w:rsidR="00344562" w:rsidRPr="00096436">
              <w:rPr>
                <w:b w:val="0"/>
                <w:bCs w:val="0"/>
                <w:webHidden/>
              </w:rPr>
              <w:fldChar w:fldCharType="begin"/>
            </w:r>
            <w:r w:rsidR="00344562" w:rsidRPr="00096436">
              <w:rPr>
                <w:b w:val="0"/>
                <w:bCs w:val="0"/>
                <w:webHidden/>
              </w:rPr>
              <w:instrText xml:space="preserve"> PAGEREF _Toc99041645 \h </w:instrText>
            </w:r>
            <w:r w:rsidR="00344562" w:rsidRPr="00096436">
              <w:rPr>
                <w:b w:val="0"/>
                <w:bCs w:val="0"/>
                <w:webHidden/>
              </w:rPr>
            </w:r>
            <w:r w:rsidR="00344562" w:rsidRPr="00096436">
              <w:rPr>
                <w:b w:val="0"/>
                <w:bCs w:val="0"/>
                <w:webHidden/>
              </w:rPr>
              <w:fldChar w:fldCharType="separate"/>
            </w:r>
            <w:r w:rsidR="00344562" w:rsidRPr="00096436">
              <w:rPr>
                <w:b w:val="0"/>
                <w:bCs w:val="0"/>
                <w:webHidden/>
              </w:rPr>
              <w:t>i</w:t>
            </w:r>
            <w:r w:rsidR="00344562" w:rsidRPr="00096436">
              <w:rPr>
                <w:b w:val="0"/>
                <w:bCs w:val="0"/>
                <w:webHidden/>
              </w:rPr>
              <w:fldChar w:fldCharType="end"/>
            </w:r>
          </w:hyperlink>
        </w:p>
        <w:p w14:paraId="240A77BD" w14:textId="3C344ECF" w:rsidR="00344562" w:rsidRPr="00096436" w:rsidRDefault="00D14E5B" w:rsidP="00791619">
          <w:pPr>
            <w:pStyle w:val="TOC1"/>
            <w:jc w:val="both"/>
            <w:rPr>
              <w:rFonts w:eastAsiaTheme="minorEastAsia"/>
              <w:b w:val="0"/>
              <w:bCs w:val="0"/>
              <w:lang w:eastAsia="en-AU"/>
            </w:rPr>
          </w:pPr>
          <w:hyperlink w:anchor="_Toc99041647" w:history="1">
            <w:r w:rsidR="00344562" w:rsidRPr="00096436">
              <w:rPr>
                <w:rStyle w:val="Hyperlink"/>
                <w:rFonts w:eastAsia="Calibri Light"/>
                <w:b w:val="0"/>
                <w:bCs w:val="0"/>
              </w:rPr>
              <w:t>CPP Partners and Stakeholders</w:t>
            </w:r>
            <w:r w:rsidR="00344562" w:rsidRPr="00096436">
              <w:rPr>
                <w:b w:val="0"/>
                <w:bCs w:val="0"/>
                <w:webHidden/>
              </w:rPr>
              <w:tab/>
            </w:r>
            <w:r w:rsidR="00344562" w:rsidRPr="00096436">
              <w:rPr>
                <w:b w:val="0"/>
                <w:bCs w:val="0"/>
                <w:webHidden/>
              </w:rPr>
              <w:fldChar w:fldCharType="begin"/>
            </w:r>
            <w:r w:rsidR="00344562" w:rsidRPr="00096436">
              <w:rPr>
                <w:b w:val="0"/>
                <w:bCs w:val="0"/>
                <w:webHidden/>
              </w:rPr>
              <w:instrText xml:space="preserve"> PAGEREF _Toc99041647 \h </w:instrText>
            </w:r>
            <w:r w:rsidR="00344562" w:rsidRPr="00096436">
              <w:rPr>
                <w:b w:val="0"/>
                <w:bCs w:val="0"/>
                <w:webHidden/>
              </w:rPr>
            </w:r>
            <w:r w:rsidR="00344562" w:rsidRPr="00096436">
              <w:rPr>
                <w:b w:val="0"/>
                <w:bCs w:val="0"/>
                <w:webHidden/>
              </w:rPr>
              <w:fldChar w:fldCharType="separate"/>
            </w:r>
            <w:r w:rsidR="00344562" w:rsidRPr="00096436">
              <w:rPr>
                <w:b w:val="0"/>
                <w:bCs w:val="0"/>
                <w:webHidden/>
              </w:rPr>
              <w:t>vii</w:t>
            </w:r>
            <w:r w:rsidR="00344562" w:rsidRPr="00096436">
              <w:rPr>
                <w:b w:val="0"/>
                <w:bCs w:val="0"/>
                <w:webHidden/>
              </w:rPr>
              <w:fldChar w:fldCharType="end"/>
            </w:r>
          </w:hyperlink>
        </w:p>
        <w:p w14:paraId="40A06327" w14:textId="74A834AC" w:rsidR="00344562" w:rsidRPr="00096436" w:rsidRDefault="00D14E5B" w:rsidP="00791619">
          <w:pPr>
            <w:pStyle w:val="TOC1"/>
            <w:jc w:val="both"/>
            <w:rPr>
              <w:rFonts w:eastAsiaTheme="minorEastAsia"/>
              <w:b w:val="0"/>
              <w:bCs w:val="0"/>
              <w:lang w:eastAsia="en-AU"/>
            </w:rPr>
          </w:pPr>
          <w:hyperlink w:anchor="_Toc99041648" w:history="1">
            <w:r w:rsidR="00344562" w:rsidRPr="00096436">
              <w:rPr>
                <w:rStyle w:val="Hyperlink"/>
                <w:rFonts w:eastAsia="Calibri Light"/>
                <w:b w:val="0"/>
                <w:bCs w:val="0"/>
              </w:rPr>
              <w:t>Acronym List</w:t>
            </w:r>
            <w:r w:rsidR="00344562" w:rsidRPr="00096436">
              <w:rPr>
                <w:b w:val="0"/>
                <w:bCs w:val="0"/>
                <w:webHidden/>
              </w:rPr>
              <w:tab/>
            </w:r>
            <w:r w:rsidR="00344562" w:rsidRPr="00096436">
              <w:rPr>
                <w:b w:val="0"/>
                <w:bCs w:val="0"/>
                <w:webHidden/>
              </w:rPr>
              <w:fldChar w:fldCharType="begin"/>
            </w:r>
            <w:r w:rsidR="00344562" w:rsidRPr="00096436">
              <w:rPr>
                <w:b w:val="0"/>
                <w:bCs w:val="0"/>
                <w:webHidden/>
              </w:rPr>
              <w:instrText xml:space="preserve"> PAGEREF _Toc99041648 \h </w:instrText>
            </w:r>
            <w:r w:rsidR="00344562" w:rsidRPr="00096436">
              <w:rPr>
                <w:b w:val="0"/>
                <w:bCs w:val="0"/>
                <w:webHidden/>
              </w:rPr>
            </w:r>
            <w:r w:rsidR="00344562" w:rsidRPr="00096436">
              <w:rPr>
                <w:b w:val="0"/>
                <w:bCs w:val="0"/>
                <w:webHidden/>
              </w:rPr>
              <w:fldChar w:fldCharType="separate"/>
            </w:r>
            <w:r w:rsidR="00344562" w:rsidRPr="00096436">
              <w:rPr>
                <w:b w:val="0"/>
                <w:bCs w:val="0"/>
                <w:webHidden/>
              </w:rPr>
              <w:t>viii</w:t>
            </w:r>
            <w:r w:rsidR="00344562" w:rsidRPr="00096436">
              <w:rPr>
                <w:b w:val="0"/>
                <w:bCs w:val="0"/>
                <w:webHidden/>
              </w:rPr>
              <w:fldChar w:fldCharType="end"/>
            </w:r>
          </w:hyperlink>
        </w:p>
        <w:p w14:paraId="6408B2AC" w14:textId="17DFB8D6" w:rsidR="00344562" w:rsidRPr="00344562" w:rsidRDefault="00D14E5B" w:rsidP="00791619">
          <w:pPr>
            <w:pStyle w:val="TOC1"/>
            <w:jc w:val="both"/>
            <w:rPr>
              <w:rFonts w:eastAsiaTheme="minorEastAsia"/>
              <w:lang w:eastAsia="en-AU"/>
            </w:rPr>
          </w:pPr>
          <w:hyperlink w:anchor="_Toc99041649" w:history="1">
            <w:r w:rsidR="00344562" w:rsidRPr="00096436">
              <w:rPr>
                <w:rStyle w:val="Hyperlink"/>
                <w:rFonts w:eastAsia="Calibri Light"/>
                <w:b w:val="0"/>
                <w:bCs w:val="0"/>
              </w:rPr>
              <w:t>Glossary of key concepts</w:t>
            </w:r>
            <w:r w:rsidR="00344562" w:rsidRPr="00096436">
              <w:rPr>
                <w:b w:val="0"/>
                <w:bCs w:val="0"/>
                <w:webHidden/>
              </w:rPr>
              <w:tab/>
            </w:r>
            <w:r w:rsidR="00344562" w:rsidRPr="00096436">
              <w:rPr>
                <w:b w:val="0"/>
                <w:bCs w:val="0"/>
                <w:webHidden/>
              </w:rPr>
              <w:fldChar w:fldCharType="begin"/>
            </w:r>
            <w:r w:rsidR="00344562" w:rsidRPr="00096436">
              <w:rPr>
                <w:b w:val="0"/>
                <w:bCs w:val="0"/>
                <w:webHidden/>
              </w:rPr>
              <w:instrText xml:space="preserve"> PAGEREF _Toc99041649 \h </w:instrText>
            </w:r>
            <w:r w:rsidR="00344562" w:rsidRPr="00096436">
              <w:rPr>
                <w:b w:val="0"/>
                <w:bCs w:val="0"/>
                <w:webHidden/>
              </w:rPr>
            </w:r>
            <w:r w:rsidR="00344562" w:rsidRPr="00096436">
              <w:rPr>
                <w:b w:val="0"/>
                <w:bCs w:val="0"/>
                <w:webHidden/>
              </w:rPr>
              <w:fldChar w:fldCharType="separate"/>
            </w:r>
            <w:r w:rsidR="00344562" w:rsidRPr="00096436">
              <w:rPr>
                <w:b w:val="0"/>
                <w:bCs w:val="0"/>
                <w:webHidden/>
              </w:rPr>
              <w:t>ix</w:t>
            </w:r>
            <w:r w:rsidR="00344562" w:rsidRPr="00096436">
              <w:rPr>
                <w:b w:val="0"/>
                <w:bCs w:val="0"/>
                <w:webHidden/>
              </w:rPr>
              <w:fldChar w:fldCharType="end"/>
            </w:r>
          </w:hyperlink>
        </w:p>
        <w:p w14:paraId="3CBB52B7" w14:textId="264CE09B" w:rsidR="00344562" w:rsidRPr="00344562" w:rsidRDefault="00D14E5B" w:rsidP="00791619">
          <w:pPr>
            <w:pStyle w:val="TOC1"/>
            <w:jc w:val="both"/>
            <w:rPr>
              <w:rFonts w:eastAsiaTheme="minorEastAsia"/>
              <w:lang w:eastAsia="en-AU"/>
            </w:rPr>
          </w:pPr>
          <w:hyperlink w:anchor="_Toc99041650" w:history="1">
            <w:r w:rsidR="00344562" w:rsidRPr="00344562">
              <w:rPr>
                <w:rStyle w:val="Hyperlink"/>
              </w:rPr>
              <w:t>1.</w:t>
            </w:r>
            <w:r w:rsidR="00344562" w:rsidRPr="00344562">
              <w:rPr>
                <w:rFonts w:eastAsiaTheme="minorEastAsia"/>
                <w:lang w:eastAsia="en-AU"/>
              </w:rPr>
              <w:tab/>
            </w:r>
            <w:r w:rsidR="00344562" w:rsidRPr="00344562">
              <w:rPr>
                <w:rStyle w:val="Hyperlink"/>
              </w:rPr>
              <w:t>Introduction</w:t>
            </w:r>
            <w:r w:rsidR="00344562" w:rsidRPr="00344562">
              <w:rPr>
                <w:webHidden/>
              </w:rPr>
              <w:tab/>
            </w:r>
            <w:r w:rsidR="00344562" w:rsidRPr="00344562">
              <w:rPr>
                <w:webHidden/>
              </w:rPr>
              <w:fldChar w:fldCharType="begin"/>
            </w:r>
            <w:r w:rsidR="00344562" w:rsidRPr="00344562">
              <w:rPr>
                <w:webHidden/>
              </w:rPr>
              <w:instrText xml:space="preserve"> PAGEREF _Toc99041650 \h </w:instrText>
            </w:r>
            <w:r w:rsidR="00344562" w:rsidRPr="00344562">
              <w:rPr>
                <w:webHidden/>
              </w:rPr>
            </w:r>
            <w:r w:rsidR="00344562" w:rsidRPr="00344562">
              <w:rPr>
                <w:webHidden/>
              </w:rPr>
              <w:fldChar w:fldCharType="separate"/>
            </w:r>
            <w:r w:rsidR="00344562" w:rsidRPr="00344562">
              <w:rPr>
                <w:webHidden/>
              </w:rPr>
              <w:t>1</w:t>
            </w:r>
            <w:r w:rsidR="00344562" w:rsidRPr="00344562">
              <w:rPr>
                <w:webHidden/>
              </w:rPr>
              <w:fldChar w:fldCharType="end"/>
            </w:r>
          </w:hyperlink>
        </w:p>
        <w:p w14:paraId="79611556" w14:textId="37755DFB" w:rsidR="00344562" w:rsidRPr="00344562" w:rsidRDefault="00D14E5B" w:rsidP="00791619">
          <w:pPr>
            <w:pStyle w:val="TOC2"/>
            <w:jc w:val="both"/>
            <w:rPr>
              <w:rFonts w:eastAsiaTheme="minorEastAsia" w:cstheme="minorHAnsi"/>
              <w:noProof/>
              <w:lang w:eastAsia="en-AU"/>
            </w:rPr>
          </w:pPr>
          <w:hyperlink w:anchor="_Toc99041651" w:history="1">
            <w:r w:rsidR="00344562" w:rsidRPr="00344562">
              <w:rPr>
                <w:rStyle w:val="Hyperlink"/>
                <w:rFonts w:cstheme="minorHAnsi"/>
                <w:noProof/>
              </w:rPr>
              <w:t>1.1</w:t>
            </w:r>
            <w:r w:rsidR="00344562" w:rsidRPr="00344562">
              <w:rPr>
                <w:rFonts w:eastAsiaTheme="minorEastAsia" w:cstheme="minorHAnsi"/>
                <w:noProof/>
                <w:lang w:eastAsia="en-AU"/>
              </w:rPr>
              <w:tab/>
            </w:r>
            <w:r w:rsidR="00344562" w:rsidRPr="00344562">
              <w:rPr>
                <w:rStyle w:val="Hyperlink"/>
                <w:rFonts w:cstheme="minorHAnsi"/>
                <w:noProof/>
              </w:rPr>
              <w:t>CPP’s Strategic rationale</w:t>
            </w:r>
            <w:r w:rsidR="00344562" w:rsidRPr="00344562">
              <w:rPr>
                <w:rFonts w:cstheme="minorHAnsi"/>
                <w:noProof/>
                <w:webHidden/>
              </w:rPr>
              <w:tab/>
            </w:r>
            <w:r w:rsidR="00344562" w:rsidRPr="00344562">
              <w:rPr>
                <w:rFonts w:cstheme="minorHAnsi"/>
                <w:noProof/>
                <w:webHidden/>
              </w:rPr>
              <w:fldChar w:fldCharType="begin"/>
            </w:r>
            <w:r w:rsidR="00344562" w:rsidRPr="00344562">
              <w:rPr>
                <w:rFonts w:cstheme="minorHAnsi"/>
                <w:noProof/>
                <w:webHidden/>
              </w:rPr>
              <w:instrText xml:space="preserve"> PAGEREF _Toc99041651 \h </w:instrText>
            </w:r>
            <w:r w:rsidR="00344562" w:rsidRPr="00344562">
              <w:rPr>
                <w:rFonts w:cstheme="minorHAnsi"/>
                <w:noProof/>
                <w:webHidden/>
              </w:rPr>
            </w:r>
            <w:r w:rsidR="00344562" w:rsidRPr="00344562">
              <w:rPr>
                <w:rFonts w:cstheme="minorHAnsi"/>
                <w:noProof/>
                <w:webHidden/>
              </w:rPr>
              <w:fldChar w:fldCharType="separate"/>
            </w:r>
            <w:r w:rsidR="00344562" w:rsidRPr="00344562">
              <w:rPr>
                <w:rFonts w:cstheme="minorHAnsi"/>
                <w:noProof/>
                <w:webHidden/>
              </w:rPr>
              <w:t>1</w:t>
            </w:r>
            <w:r w:rsidR="00344562" w:rsidRPr="00344562">
              <w:rPr>
                <w:rFonts w:cstheme="minorHAnsi"/>
                <w:noProof/>
                <w:webHidden/>
              </w:rPr>
              <w:fldChar w:fldCharType="end"/>
            </w:r>
          </w:hyperlink>
        </w:p>
        <w:p w14:paraId="1C7C82CC" w14:textId="40AC42F7" w:rsidR="00344562" w:rsidRPr="00344562" w:rsidRDefault="00D14E5B" w:rsidP="00791619">
          <w:pPr>
            <w:pStyle w:val="TOC2"/>
            <w:jc w:val="both"/>
            <w:rPr>
              <w:rFonts w:eastAsiaTheme="minorEastAsia" w:cstheme="minorHAnsi"/>
              <w:noProof/>
              <w:lang w:eastAsia="en-AU"/>
            </w:rPr>
          </w:pPr>
          <w:hyperlink w:anchor="_Toc99041652" w:history="1">
            <w:r w:rsidR="00344562" w:rsidRPr="00344562">
              <w:rPr>
                <w:rStyle w:val="Hyperlink"/>
                <w:rFonts w:cstheme="minorHAnsi"/>
                <w:noProof/>
              </w:rPr>
              <w:t>1.2</w:t>
            </w:r>
            <w:r w:rsidR="00344562" w:rsidRPr="00344562">
              <w:rPr>
                <w:rFonts w:eastAsiaTheme="minorEastAsia" w:cstheme="minorHAnsi"/>
                <w:noProof/>
                <w:lang w:eastAsia="en-AU"/>
              </w:rPr>
              <w:tab/>
            </w:r>
            <w:r w:rsidR="00344562" w:rsidRPr="00344562">
              <w:rPr>
                <w:rStyle w:val="Hyperlink"/>
                <w:rFonts w:cstheme="minorHAnsi"/>
                <w:noProof/>
              </w:rPr>
              <w:t>BCEP’s Objectives and approach</w:t>
            </w:r>
            <w:r w:rsidR="00344562" w:rsidRPr="00344562">
              <w:rPr>
                <w:rFonts w:cstheme="minorHAnsi"/>
                <w:noProof/>
                <w:webHidden/>
              </w:rPr>
              <w:tab/>
            </w:r>
            <w:r w:rsidR="00344562" w:rsidRPr="00344562">
              <w:rPr>
                <w:rFonts w:cstheme="minorHAnsi"/>
                <w:noProof/>
                <w:webHidden/>
              </w:rPr>
              <w:fldChar w:fldCharType="begin"/>
            </w:r>
            <w:r w:rsidR="00344562" w:rsidRPr="00344562">
              <w:rPr>
                <w:rFonts w:cstheme="minorHAnsi"/>
                <w:noProof/>
                <w:webHidden/>
              </w:rPr>
              <w:instrText xml:space="preserve"> PAGEREF _Toc99041652 \h </w:instrText>
            </w:r>
            <w:r w:rsidR="00344562" w:rsidRPr="00344562">
              <w:rPr>
                <w:rFonts w:cstheme="minorHAnsi"/>
                <w:noProof/>
                <w:webHidden/>
              </w:rPr>
            </w:r>
            <w:r w:rsidR="00344562" w:rsidRPr="00344562">
              <w:rPr>
                <w:rFonts w:cstheme="minorHAnsi"/>
                <w:noProof/>
                <w:webHidden/>
              </w:rPr>
              <w:fldChar w:fldCharType="separate"/>
            </w:r>
            <w:r w:rsidR="00344562" w:rsidRPr="00344562">
              <w:rPr>
                <w:rFonts w:cstheme="minorHAnsi"/>
                <w:noProof/>
                <w:webHidden/>
              </w:rPr>
              <w:t>2</w:t>
            </w:r>
            <w:r w:rsidR="00344562" w:rsidRPr="00344562">
              <w:rPr>
                <w:rFonts w:cstheme="minorHAnsi"/>
                <w:noProof/>
                <w:webHidden/>
              </w:rPr>
              <w:fldChar w:fldCharType="end"/>
            </w:r>
          </w:hyperlink>
        </w:p>
        <w:p w14:paraId="6FB29E01" w14:textId="73BD86E8" w:rsidR="00344562" w:rsidRPr="00344562" w:rsidRDefault="00D14E5B" w:rsidP="00791619">
          <w:pPr>
            <w:pStyle w:val="TOC2"/>
            <w:jc w:val="both"/>
            <w:rPr>
              <w:rFonts w:eastAsiaTheme="minorEastAsia" w:cstheme="minorHAnsi"/>
              <w:noProof/>
              <w:lang w:eastAsia="en-AU"/>
            </w:rPr>
          </w:pPr>
          <w:hyperlink w:anchor="_Toc99041653" w:history="1">
            <w:r w:rsidR="00344562" w:rsidRPr="00344562">
              <w:rPr>
                <w:rStyle w:val="Hyperlink"/>
                <w:rFonts w:cstheme="minorHAnsi"/>
                <w:noProof/>
              </w:rPr>
              <w:t>1.3</w:t>
            </w:r>
            <w:r w:rsidR="00344562" w:rsidRPr="00344562">
              <w:rPr>
                <w:rFonts w:eastAsiaTheme="minorEastAsia" w:cstheme="minorHAnsi"/>
                <w:noProof/>
                <w:lang w:eastAsia="en-AU"/>
              </w:rPr>
              <w:tab/>
            </w:r>
            <w:r w:rsidR="00344562" w:rsidRPr="00344562">
              <w:rPr>
                <w:rStyle w:val="Hyperlink"/>
                <w:rFonts w:cstheme="minorHAnsi"/>
                <w:noProof/>
              </w:rPr>
              <w:t>Design methodology</w:t>
            </w:r>
            <w:r w:rsidR="00344562" w:rsidRPr="00344562">
              <w:rPr>
                <w:rFonts w:cstheme="minorHAnsi"/>
                <w:noProof/>
                <w:webHidden/>
              </w:rPr>
              <w:tab/>
            </w:r>
            <w:r w:rsidR="00344562" w:rsidRPr="00344562">
              <w:rPr>
                <w:rFonts w:cstheme="minorHAnsi"/>
                <w:noProof/>
                <w:webHidden/>
              </w:rPr>
              <w:fldChar w:fldCharType="begin"/>
            </w:r>
            <w:r w:rsidR="00344562" w:rsidRPr="00344562">
              <w:rPr>
                <w:rFonts w:cstheme="minorHAnsi"/>
                <w:noProof/>
                <w:webHidden/>
              </w:rPr>
              <w:instrText xml:space="preserve"> PAGEREF _Toc99041653 \h </w:instrText>
            </w:r>
            <w:r w:rsidR="00344562" w:rsidRPr="00344562">
              <w:rPr>
                <w:rFonts w:cstheme="minorHAnsi"/>
                <w:noProof/>
                <w:webHidden/>
              </w:rPr>
            </w:r>
            <w:r w:rsidR="00344562" w:rsidRPr="00344562">
              <w:rPr>
                <w:rFonts w:cstheme="minorHAnsi"/>
                <w:noProof/>
                <w:webHidden/>
              </w:rPr>
              <w:fldChar w:fldCharType="separate"/>
            </w:r>
            <w:r w:rsidR="00344562" w:rsidRPr="00344562">
              <w:rPr>
                <w:rFonts w:cstheme="minorHAnsi"/>
                <w:noProof/>
                <w:webHidden/>
              </w:rPr>
              <w:t>3</w:t>
            </w:r>
            <w:r w:rsidR="00344562" w:rsidRPr="00344562">
              <w:rPr>
                <w:rFonts w:cstheme="minorHAnsi"/>
                <w:noProof/>
                <w:webHidden/>
              </w:rPr>
              <w:fldChar w:fldCharType="end"/>
            </w:r>
          </w:hyperlink>
        </w:p>
        <w:p w14:paraId="32647AA9" w14:textId="3E4812E2" w:rsidR="00344562" w:rsidRPr="00344562" w:rsidRDefault="00D14E5B" w:rsidP="00791619">
          <w:pPr>
            <w:pStyle w:val="TOC2"/>
            <w:jc w:val="both"/>
            <w:rPr>
              <w:rFonts w:eastAsiaTheme="minorEastAsia" w:cstheme="minorHAnsi"/>
              <w:noProof/>
              <w:lang w:eastAsia="en-AU"/>
            </w:rPr>
          </w:pPr>
          <w:hyperlink w:anchor="_Toc99041654" w:history="1">
            <w:r w:rsidR="00344562" w:rsidRPr="00344562">
              <w:rPr>
                <w:rStyle w:val="Hyperlink"/>
                <w:rFonts w:cstheme="minorHAnsi"/>
                <w:noProof/>
              </w:rPr>
              <w:t>1.4</w:t>
            </w:r>
            <w:r w:rsidR="00344562" w:rsidRPr="00344562">
              <w:rPr>
                <w:rFonts w:eastAsiaTheme="minorEastAsia" w:cstheme="minorHAnsi"/>
                <w:noProof/>
                <w:lang w:eastAsia="en-AU"/>
              </w:rPr>
              <w:tab/>
            </w:r>
            <w:r w:rsidR="00344562" w:rsidRPr="00344562">
              <w:rPr>
                <w:rStyle w:val="Hyperlink"/>
                <w:rFonts w:cstheme="minorHAnsi"/>
                <w:noProof/>
              </w:rPr>
              <w:t>Document Structure</w:t>
            </w:r>
            <w:r w:rsidR="00344562" w:rsidRPr="00344562">
              <w:rPr>
                <w:rFonts w:cstheme="minorHAnsi"/>
                <w:noProof/>
                <w:webHidden/>
              </w:rPr>
              <w:tab/>
            </w:r>
            <w:r w:rsidR="00344562" w:rsidRPr="00344562">
              <w:rPr>
                <w:rFonts w:cstheme="minorHAnsi"/>
                <w:noProof/>
                <w:webHidden/>
              </w:rPr>
              <w:fldChar w:fldCharType="begin"/>
            </w:r>
            <w:r w:rsidR="00344562" w:rsidRPr="00344562">
              <w:rPr>
                <w:rFonts w:cstheme="minorHAnsi"/>
                <w:noProof/>
                <w:webHidden/>
              </w:rPr>
              <w:instrText xml:space="preserve"> PAGEREF _Toc99041654 \h </w:instrText>
            </w:r>
            <w:r w:rsidR="00344562" w:rsidRPr="00344562">
              <w:rPr>
                <w:rFonts w:cstheme="minorHAnsi"/>
                <w:noProof/>
                <w:webHidden/>
              </w:rPr>
            </w:r>
            <w:r w:rsidR="00344562" w:rsidRPr="00344562">
              <w:rPr>
                <w:rFonts w:cstheme="minorHAnsi"/>
                <w:noProof/>
                <w:webHidden/>
              </w:rPr>
              <w:fldChar w:fldCharType="separate"/>
            </w:r>
            <w:r w:rsidR="00344562" w:rsidRPr="00344562">
              <w:rPr>
                <w:rFonts w:cstheme="minorHAnsi"/>
                <w:noProof/>
                <w:webHidden/>
              </w:rPr>
              <w:t>3</w:t>
            </w:r>
            <w:r w:rsidR="00344562" w:rsidRPr="00344562">
              <w:rPr>
                <w:rFonts w:cstheme="minorHAnsi"/>
                <w:noProof/>
                <w:webHidden/>
              </w:rPr>
              <w:fldChar w:fldCharType="end"/>
            </w:r>
          </w:hyperlink>
        </w:p>
        <w:p w14:paraId="53C26741" w14:textId="743C95C6" w:rsidR="00344562" w:rsidRPr="00344562" w:rsidRDefault="00D14E5B" w:rsidP="00791619">
          <w:pPr>
            <w:pStyle w:val="TOC1"/>
            <w:jc w:val="both"/>
            <w:rPr>
              <w:rFonts w:eastAsiaTheme="minorEastAsia"/>
              <w:lang w:eastAsia="en-AU"/>
            </w:rPr>
          </w:pPr>
          <w:hyperlink w:anchor="_Toc99041655" w:history="1">
            <w:r w:rsidR="00344562" w:rsidRPr="00344562">
              <w:rPr>
                <w:rStyle w:val="Hyperlink"/>
              </w:rPr>
              <w:t>2.</w:t>
            </w:r>
            <w:r w:rsidR="00344562" w:rsidRPr="00344562">
              <w:rPr>
                <w:rFonts w:eastAsiaTheme="minorEastAsia"/>
                <w:lang w:eastAsia="en-AU"/>
              </w:rPr>
              <w:tab/>
            </w:r>
            <w:r w:rsidR="00344562" w:rsidRPr="00344562">
              <w:rPr>
                <w:rStyle w:val="Hyperlink"/>
              </w:rPr>
              <w:t>Context and background</w:t>
            </w:r>
            <w:r w:rsidR="00344562" w:rsidRPr="00344562">
              <w:rPr>
                <w:webHidden/>
              </w:rPr>
              <w:tab/>
            </w:r>
            <w:r w:rsidR="00344562" w:rsidRPr="00344562">
              <w:rPr>
                <w:webHidden/>
              </w:rPr>
              <w:fldChar w:fldCharType="begin"/>
            </w:r>
            <w:r w:rsidR="00344562" w:rsidRPr="00344562">
              <w:rPr>
                <w:webHidden/>
              </w:rPr>
              <w:instrText xml:space="preserve"> PAGEREF _Toc99041655 \h </w:instrText>
            </w:r>
            <w:r w:rsidR="00344562" w:rsidRPr="00344562">
              <w:rPr>
                <w:webHidden/>
              </w:rPr>
            </w:r>
            <w:r w:rsidR="00344562" w:rsidRPr="00344562">
              <w:rPr>
                <w:webHidden/>
              </w:rPr>
              <w:fldChar w:fldCharType="separate"/>
            </w:r>
            <w:r w:rsidR="00344562" w:rsidRPr="00344562">
              <w:rPr>
                <w:webHidden/>
              </w:rPr>
              <w:t>1</w:t>
            </w:r>
            <w:r w:rsidR="00344562" w:rsidRPr="00344562">
              <w:rPr>
                <w:webHidden/>
              </w:rPr>
              <w:fldChar w:fldCharType="end"/>
            </w:r>
          </w:hyperlink>
        </w:p>
        <w:p w14:paraId="64001BDA" w14:textId="4C8402CA" w:rsidR="00344562" w:rsidRPr="00344562" w:rsidRDefault="00D14E5B" w:rsidP="00791619">
          <w:pPr>
            <w:pStyle w:val="TOC2"/>
            <w:jc w:val="both"/>
            <w:rPr>
              <w:rFonts w:eastAsiaTheme="minorEastAsia" w:cstheme="minorHAnsi"/>
              <w:noProof/>
              <w:lang w:eastAsia="en-AU"/>
            </w:rPr>
          </w:pPr>
          <w:hyperlink w:anchor="_Toc99041656" w:history="1">
            <w:r w:rsidR="00344562" w:rsidRPr="00344562">
              <w:rPr>
                <w:rStyle w:val="Hyperlink"/>
                <w:rFonts w:cstheme="minorHAnsi"/>
                <w:noProof/>
              </w:rPr>
              <w:t>2.1</w:t>
            </w:r>
            <w:r w:rsidR="00344562" w:rsidRPr="00344562">
              <w:rPr>
                <w:rFonts w:eastAsiaTheme="minorEastAsia" w:cstheme="minorHAnsi"/>
                <w:noProof/>
                <w:lang w:eastAsia="en-AU"/>
              </w:rPr>
              <w:tab/>
            </w:r>
            <w:r w:rsidR="00344562" w:rsidRPr="00344562">
              <w:rPr>
                <w:rStyle w:val="Hyperlink"/>
                <w:rFonts w:cstheme="minorHAnsi"/>
                <w:noProof/>
              </w:rPr>
              <w:t>Churches in the PNG Context</w:t>
            </w:r>
            <w:r w:rsidR="00344562" w:rsidRPr="00344562">
              <w:rPr>
                <w:rFonts w:cstheme="minorHAnsi"/>
                <w:noProof/>
                <w:webHidden/>
              </w:rPr>
              <w:tab/>
            </w:r>
            <w:r w:rsidR="00344562" w:rsidRPr="00344562">
              <w:rPr>
                <w:rFonts w:cstheme="minorHAnsi"/>
                <w:noProof/>
                <w:webHidden/>
              </w:rPr>
              <w:fldChar w:fldCharType="begin"/>
            </w:r>
            <w:r w:rsidR="00344562" w:rsidRPr="00344562">
              <w:rPr>
                <w:rFonts w:cstheme="minorHAnsi"/>
                <w:noProof/>
                <w:webHidden/>
              </w:rPr>
              <w:instrText xml:space="preserve"> PAGEREF _Toc99041656 \h </w:instrText>
            </w:r>
            <w:r w:rsidR="00344562" w:rsidRPr="00344562">
              <w:rPr>
                <w:rFonts w:cstheme="minorHAnsi"/>
                <w:noProof/>
                <w:webHidden/>
              </w:rPr>
            </w:r>
            <w:r w:rsidR="00344562" w:rsidRPr="00344562">
              <w:rPr>
                <w:rFonts w:cstheme="minorHAnsi"/>
                <w:noProof/>
                <w:webHidden/>
              </w:rPr>
              <w:fldChar w:fldCharType="separate"/>
            </w:r>
            <w:r w:rsidR="00344562" w:rsidRPr="00344562">
              <w:rPr>
                <w:rFonts w:cstheme="minorHAnsi"/>
                <w:noProof/>
                <w:webHidden/>
              </w:rPr>
              <w:t>1</w:t>
            </w:r>
            <w:r w:rsidR="00344562" w:rsidRPr="00344562">
              <w:rPr>
                <w:rFonts w:cstheme="minorHAnsi"/>
                <w:noProof/>
                <w:webHidden/>
              </w:rPr>
              <w:fldChar w:fldCharType="end"/>
            </w:r>
          </w:hyperlink>
        </w:p>
        <w:p w14:paraId="733961F8" w14:textId="52DADE06" w:rsidR="00344562" w:rsidRPr="00344562" w:rsidRDefault="00D14E5B" w:rsidP="00791619">
          <w:pPr>
            <w:pStyle w:val="TOC2"/>
            <w:jc w:val="both"/>
            <w:rPr>
              <w:rFonts w:eastAsiaTheme="minorEastAsia" w:cstheme="minorHAnsi"/>
              <w:noProof/>
              <w:lang w:eastAsia="en-AU"/>
            </w:rPr>
          </w:pPr>
          <w:hyperlink w:anchor="_Toc99041657" w:history="1">
            <w:r w:rsidR="00344562" w:rsidRPr="00344562">
              <w:rPr>
                <w:rStyle w:val="Hyperlink"/>
                <w:rFonts w:cstheme="minorHAnsi"/>
                <w:noProof/>
              </w:rPr>
              <w:t>2.2</w:t>
            </w:r>
            <w:r w:rsidR="00344562" w:rsidRPr="00344562">
              <w:rPr>
                <w:rFonts w:eastAsiaTheme="minorEastAsia" w:cstheme="minorHAnsi"/>
                <w:noProof/>
                <w:lang w:eastAsia="en-AU"/>
              </w:rPr>
              <w:tab/>
            </w:r>
            <w:r w:rsidR="00344562" w:rsidRPr="00344562">
              <w:rPr>
                <w:rStyle w:val="Hyperlink"/>
                <w:rFonts w:cstheme="minorHAnsi"/>
                <w:noProof/>
              </w:rPr>
              <w:t>Churches policy engagement potential</w:t>
            </w:r>
            <w:r w:rsidR="00344562" w:rsidRPr="00344562">
              <w:rPr>
                <w:rFonts w:cstheme="minorHAnsi"/>
                <w:noProof/>
                <w:webHidden/>
              </w:rPr>
              <w:tab/>
            </w:r>
            <w:r w:rsidR="00344562" w:rsidRPr="00344562">
              <w:rPr>
                <w:rFonts w:cstheme="minorHAnsi"/>
                <w:noProof/>
                <w:webHidden/>
              </w:rPr>
              <w:fldChar w:fldCharType="begin"/>
            </w:r>
            <w:r w:rsidR="00344562" w:rsidRPr="00344562">
              <w:rPr>
                <w:rFonts w:cstheme="minorHAnsi"/>
                <w:noProof/>
                <w:webHidden/>
              </w:rPr>
              <w:instrText xml:space="preserve"> PAGEREF _Toc99041657 \h </w:instrText>
            </w:r>
            <w:r w:rsidR="00344562" w:rsidRPr="00344562">
              <w:rPr>
                <w:rFonts w:cstheme="minorHAnsi"/>
                <w:noProof/>
                <w:webHidden/>
              </w:rPr>
            </w:r>
            <w:r w:rsidR="00344562" w:rsidRPr="00344562">
              <w:rPr>
                <w:rFonts w:cstheme="minorHAnsi"/>
                <w:noProof/>
                <w:webHidden/>
              </w:rPr>
              <w:fldChar w:fldCharType="separate"/>
            </w:r>
            <w:r w:rsidR="00344562" w:rsidRPr="00344562">
              <w:rPr>
                <w:rFonts w:cstheme="minorHAnsi"/>
                <w:noProof/>
                <w:webHidden/>
              </w:rPr>
              <w:t>3</w:t>
            </w:r>
            <w:r w:rsidR="00344562" w:rsidRPr="00344562">
              <w:rPr>
                <w:rFonts w:cstheme="minorHAnsi"/>
                <w:noProof/>
                <w:webHidden/>
              </w:rPr>
              <w:fldChar w:fldCharType="end"/>
            </w:r>
          </w:hyperlink>
        </w:p>
        <w:p w14:paraId="7B7056E2" w14:textId="44AE5ACC" w:rsidR="00344562" w:rsidRPr="00344562" w:rsidRDefault="00D14E5B" w:rsidP="00791619">
          <w:pPr>
            <w:pStyle w:val="TOC1"/>
            <w:jc w:val="both"/>
            <w:rPr>
              <w:rFonts w:eastAsiaTheme="minorEastAsia"/>
              <w:lang w:eastAsia="en-AU"/>
            </w:rPr>
          </w:pPr>
          <w:hyperlink w:anchor="_Toc99041658" w:history="1">
            <w:r w:rsidR="00344562" w:rsidRPr="00344562">
              <w:rPr>
                <w:rStyle w:val="Hyperlink"/>
              </w:rPr>
              <w:t>3.</w:t>
            </w:r>
            <w:r w:rsidR="00344562" w:rsidRPr="00344562">
              <w:rPr>
                <w:rFonts w:eastAsiaTheme="minorEastAsia"/>
                <w:lang w:eastAsia="en-AU"/>
              </w:rPr>
              <w:tab/>
            </w:r>
            <w:r w:rsidR="00344562" w:rsidRPr="00344562">
              <w:rPr>
                <w:rStyle w:val="Hyperlink"/>
              </w:rPr>
              <w:t>Lessons learned</w:t>
            </w:r>
            <w:r w:rsidR="00344562" w:rsidRPr="00344562">
              <w:rPr>
                <w:webHidden/>
              </w:rPr>
              <w:tab/>
            </w:r>
            <w:r w:rsidR="00344562" w:rsidRPr="00344562">
              <w:rPr>
                <w:webHidden/>
              </w:rPr>
              <w:fldChar w:fldCharType="begin"/>
            </w:r>
            <w:r w:rsidR="00344562" w:rsidRPr="00344562">
              <w:rPr>
                <w:webHidden/>
              </w:rPr>
              <w:instrText xml:space="preserve"> PAGEREF _Toc99041658 \h </w:instrText>
            </w:r>
            <w:r w:rsidR="00344562" w:rsidRPr="00344562">
              <w:rPr>
                <w:webHidden/>
              </w:rPr>
            </w:r>
            <w:r w:rsidR="00344562" w:rsidRPr="00344562">
              <w:rPr>
                <w:webHidden/>
              </w:rPr>
              <w:fldChar w:fldCharType="separate"/>
            </w:r>
            <w:r w:rsidR="00344562" w:rsidRPr="00344562">
              <w:rPr>
                <w:webHidden/>
              </w:rPr>
              <w:t>6</w:t>
            </w:r>
            <w:r w:rsidR="00344562" w:rsidRPr="00344562">
              <w:rPr>
                <w:webHidden/>
              </w:rPr>
              <w:fldChar w:fldCharType="end"/>
            </w:r>
          </w:hyperlink>
        </w:p>
        <w:p w14:paraId="1FC21C9B" w14:textId="3FE36E2A" w:rsidR="00344562" w:rsidRPr="00344562" w:rsidRDefault="00D14E5B" w:rsidP="00791619">
          <w:pPr>
            <w:pStyle w:val="TOC2"/>
            <w:jc w:val="both"/>
            <w:rPr>
              <w:rFonts w:eastAsiaTheme="minorEastAsia" w:cstheme="minorHAnsi"/>
              <w:noProof/>
              <w:lang w:eastAsia="en-AU"/>
            </w:rPr>
          </w:pPr>
          <w:hyperlink w:anchor="_Toc99041659" w:history="1">
            <w:r w:rsidR="00344562" w:rsidRPr="00344562">
              <w:rPr>
                <w:rStyle w:val="Hyperlink"/>
                <w:rFonts w:cstheme="minorHAnsi"/>
                <w:noProof/>
              </w:rPr>
              <w:t>3.1</w:t>
            </w:r>
            <w:r w:rsidR="00344562" w:rsidRPr="00344562">
              <w:rPr>
                <w:rFonts w:eastAsiaTheme="minorEastAsia" w:cstheme="minorHAnsi"/>
                <w:noProof/>
                <w:lang w:eastAsia="en-AU"/>
              </w:rPr>
              <w:tab/>
            </w:r>
            <w:r w:rsidR="00344562" w:rsidRPr="00344562">
              <w:rPr>
                <w:rStyle w:val="Hyperlink"/>
                <w:rFonts w:cstheme="minorHAnsi"/>
                <w:noProof/>
              </w:rPr>
              <w:t>Development effectiveness</w:t>
            </w:r>
            <w:r w:rsidR="00344562" w:rsidRPr="00344562">
              <w:rPr>
                <w:rFonts w:cstheme="minorHAnsi"/>
                <w:noProof/>
                <w:webHidden/>
              </w:rPr>
              <w:tab/>
            </w:r>
            <w:r w:rsidR="00344562" w:rsidRPr="00344562">
              <w:rPr>
                <w:rFonts w:cstheme="minorHAnsi"/>
                <w:noProof/>
                <w:webHidden/>
              </w:rPr>
              <w:fldChar w:fldCharType="begin"/>
            </w:r>
            <w:r w:rsidR="00344562" w:rsidRPr="00344562">
              <w:rPr>
                <w:rFonts w:cstheme="minorHAnsi"/>
                <w:noProof/>
                <w:webHidden/>
              </w:rPr>
              <w:instrText xml:space="preserve"> PAGEREF _Toc99041659 \h </w:instrText>
            </w:r>
            <w:r w:rsidR="00344562" w:rsidRPr="00344562">
              <w:rPr>
                <w:rFonts w:cstheme="minorHAnsi"/>
                <w:noProof/>
                <w:webHidden/>
              </w:rPr>
            </w:r>
            <w:r w:rsidR="00344562" w:rsidRPr="00344562">
              <w:rPr>
                <w:rFonts w:cstheme="minorHAnsi"/>
                <w:noProof/>
                <w:webHidden/>
              </w:rPr>
              <w:fldChar w:fldCharType="separate"/>
            </w:r>
            <w:r w:rsidR="00344562" w:rsidRPr="00344562">
              <w:rPr>
                <w:rFonts w:cstheme="minorHAnsi"/>
                <w:noProof/>
                <w:webHidden/>
              </w:rPr>
              <w:t>6</w:t>
            </w:r>
            <w:r w:rsidR="00344562" w:rsidRPr="00344562">
              <w:rPr>
                <w:rFonts w:cstheme="minorHAnsi"/>
                <w:noProof/>
                <w:webHidden/>
              </w:rPr>
              <w:fldChar w:fldCharType="end"/>
            </w:r>
          </w:hyperlink>
        </w:p>
        <w:p w14:paraId="74D02D90" w14:textId="3595C277" w:rsidR="00344562" w:rsidRPr="00344562" w:rsidRDefault="00D14E5B" w:rsidP="00791619">
          <w:pPr>
            <w:pStyle w:val="TOC2"/>
            <w:jc w:val="both"/>
            <w:rPr>
              <w:rFonts w:eastAsiaTheme="minorEastAsia" w:cstheme="minorHAnsi"/>
              <w:noProof/>
              <w:lang w:eastAsia="en-AU"/>
            </w:rPr>
          </w:pPr>
          <w:hyperlink w:anchor="_Toc99041660" w:history="1">
            <w:r w:rsidR="00344562" w:rsidRPr="00344562">
              <w:rPr>
                <w:rStyle w:val="Hyperlink"/>
                <w:rFonts w:cstheme="minorHAnsi"/>
                <w:noProof/>
              </w:rPr>
              <w:t>3.2</w:t>
            </w:r>
            <w:r w:rsidR="00344562" w:rsidRPr="00344562">
              <w:rPr>
                <w:rFonts w:eastAsiaTheme="minorEastAsia" w:cstheme="minorHAnsi"/>
                <w:noProof/>
                <w:lang w:eastAsia="en-AU"/>
              </w:rPr>
              <w:tab/>
            </w:r>
            <w:r w:rsidR="00344562" w:rsidRPr="00344562">
              <w:rPr>
                <w:rStyle w:val="Hyperlink"/>
                <w:rFonts w:cstheme="minorHAnsi"/>
                <w:noProof/>
              </w:rPr>
              <w:t>Policy engagement and social accountability</w:t>
            </w:r>
            <w:r w:rsidR="00344562" w:rsidRPr="00344562">
              <w:rPr>
                <w:rFonts w:cstheme="minorHAnsi"/>
                <w:noProof/>
                <w:webHidden/>
              </w:rPr>
              <w:tab/>
            </w:r>
            <w:r w:rsidR="00344562" w:rsidRPr="00344562">
              <w:rPr>
                <w:rFonts w:cstheme="minorHAnsi"/>
                <w:noProof/>
                <w:webHidden/>
              </w:rPr>
              <w:fldChar w:fldCharType="begin"/>
            </w:r>
            <w:r w:rsidR="00344562" w:rsidRPr="00344562">
              <w:rPr>
                <w:rFonts w:cstheme="minorHAnsi"/>
                <w:noProof/>
                <w:webHidden/>
              </w:rPr>
              <w:instrText xml:space="preserve"> PAGEREF _Toc99041660 \h </w:instrText>
            </w:r>
            <w:r w:rsidR="00344562" w:rsidRPr="00344562">
              <w:rPr>
                <w:rFonts w:cstheme="minorHAnsi"/>
                <w:noProof/>
                <w:webHidden/>
              </w:rPr>
            </w:r>
            <w:r w:rsidR="00344562" w:rsidRPr="00344562">
              <w:rPr>
                <w:rFonts w:cstheme="minorHAnsi"/>
                <w:noProof/>
                <w:webHidden/>
              </w:rPr>
              <w:fldChar w:fldCharType="separate"/>
            </w:r>
            <w:r w:rsidR="00344562" w:rsidRPr="00344562">
              <w:rPr>
                <w:rFonts w:cstheme="minorHAnsi"/>
                <w:noProof/>
                <w:webHidden/>
              </w:rPr>
              <w:t>7</w:t>
            </w:r>
            <w:r w:rsidR="00344562" w:rsidRPr="00344562">
              <w:rPr>
                <w:rFonts w:cstheme="minorHAnsi"/>
                <w:noProof/>
                <w:webHidden/>
              </w:rPr>
              <w:fldChar w:fldCharType="end"/>
            </w:r>
          </w:hyperlink>
        </w:p>
        <w:p w14:paraId="7170E38C" w14:textId="57B2612C" w:rsidR="00344562" w:rsidRPr="00344562" w:rsidRDefault="00D14E5B" w:rsidP="00791619">
          <w:pPr>
            <w:pStyle w:val="TOC2"/>
            <w:jc w:val="both"/>
            <w:rPr>
              <w:rFonts w:eastAsiaTheme="minorEastAsia" w:cstheme="minorHAnsi"/>
              <w:noProof/>
              <w:lang w:eastAsia="en-AU"/>
            </w:rPr>
          </w:pPr>
          <w:hyperlink w:anchor="_Toc99041661" w:history="1">
            <w:r w:rsidR="00344562" w:rsidRPr="00344562">
              <w:rPr>
                <w:rStyle w:val="Hyperlink"/>
                <w:rFonts w:cstheme="minorHAnsi"/>
                <w:noProof/>
              </w:rPr>
              <w:t>3.3</w:t>
            </w:r>
            <w:r w:rsidR="00344562" w:rsidRPr="00344562">
              <w:rPr>
                <w:rFonts w:eastAsiaTheme="minorEastAsia" w:cstheme="minorHAnsi"/>
                <w:noProof/>
                <w:lang w:eastAsia="en-AU"/>
              </w:rPr>
              <w:tab/>
            </w:r>
            <w:r w:rsidR="00344562" w:rsidRPr="00344562">
              <w:rPr>
                <w:rStyle w:val="Hyperlink"/>
                <w:rFonts w:cstheme="minorHAnsi"/>
                <w:noProof/>
              </w:rPr>
              <w:t>Gender, disability, and social inclusion</w:t>
            </w:r>
            <w:r w:rsidR="00344562" w:rsidRPr="00344562">
              <w:rPr>
                <w:rFonts w:cstheme="minorHAnsi"/>
                <w:noProof/>
                <w:webHidden/>
              </w:rPr>
              <w:tab/>
            </w:r>
            <w:r w:rsidR="00344562" w:rsidRPr="00344562">
              <w:rPr>
                <w:rFonts w:cstheme="minorHAnsi"/>
                <w:noProof/>
                <w:webHidden/>
              </w:rPr>
              <w:fldChar w:fldCharType="begin"/>
            </w:r>
            <w:r w:rsidR="00344562" w:rsidRPr="00344562">
              <w:rPr>
                <w:rFonts w:cstheme="minorHAnsi"/>
                <w:noProof/>
                <w:webHidden/>
              </w:rPr>
              <w:instrText xml:space="preserve"> PAGEREF _Toc99041661 \h </w:instrText>
            </w:r>
            <w:r w:rsidR="00344562" w:rsidRPr="00344562">
              <w:rPr>
                <w:rFonts w:cstheme="minorHAnsi"/>
                <w:noProof/>
                <w:webHidden/>
              </w:rPr>
            </w:r>
            <w:r w:rsidR="00344562" w:rsidRPr="00344562">
              <w:rPr>
                <w:rFonts w:cstheme="minorHAnsi"/>
                <w:noProof/>
                <w:webHidden/>
              </w:rPr>
              <w:fldChar w:fldCharType="separate"/>
            </w:r>
            <w:r w:rsidR="00344562" w:rsidRPr="00344562">
              <w:rPr>
                <w:rFonts w:cstheme="minorHAnsi"/>
                <w:noProof/>
                <w:webHidden/>
              </w:rPr>
              <w:t>9</w:t>
            </w:r>
            <w:r w:rsidR="00344562" w:rsidRPr="00344562">
              <w:rPr>
                <w:rFonts w:cstheme="minorHAnsi"/>
                <w:noProof/>
                <w:webHidden/>
              </w:rPr>
              <w:fldChar w:fldCharType="end"/>
            </w:r>
          </w:hyperlink>
        </w:p>
        <w:p w14:paraId="12D663FA" w14:textId="064F02A7" w:rsidR="00344562" w:rsidRPr="00344562" w:rsidRDefault="00D14E5B" w:rsidP="00791619">
          <w:pPr>
            <w:pStyle w:val="TOC2"/>
            <w:jc w:val="both"/>
            <w:rPr>
              <w:rFonts w:eastAsiaTheme="minorEastAsia" w:cstheme="minorHAnsi"/>
              <w:noProof/>
              <w:lang w:eastAsia="en-AU"/>
            </w:rPr>
          </w:pPr>
          <w:hyperlink w:anchor="_Toc99041662" w:history="1">
            <w:r w:rsidR="00344562" w:rsidRPr="00344562">
              <w:rPr>
                <w:rStyle w:val="Hyperlink"/>
                <w:rFonts w:cstheme="minorHAnsi"/>
                <w:noProof/>
              </w:rPr>
              <w:t>3.4</w:t>
            </w:r>
            <w:r w:rsidR="00344562" w:rsidRPr="00344562">
              <w:rPr>
                <w:rFonts w:eastAsiaTheme="minorEastAsia" w:cstheme="minorHAnsi"/>
                <w:noProof/>
                <w:lang w:eastAsia="en-AU"/>
              </w:rPr>
              <w:tab/>
            </w:r>
            <w:r w:rsidR="00344562" w:rsidRPr="00344562">
              <w:rPr>
                <w:rStyle w:val="Hyperlink"/>
                <w:rFonts w:cstheme="minorHAnsi"/>
                <w:noProof/>
              </w:rPr>
              <w:t>Partner organisational capacity development</w:t>
            </w:r>
            <w:r w:rsidR="00344562" w:rsidRPr="00344562">
              <w:rPr>
                <w:rFonts w:cstheme="minorHAnsi"/>
                <w:noProof/>
                <w:webHidden/>
              </w:rPr>
              <w:tab/>
            </w:r>
            <w:r w:rsidR="00344562" w:rsidRPr="00344562">
              <w:rPr>
                <w:rFonts w:cstheme="minorHAnsi"/>
                <w:noProof/>
                <w:webHidden/>
              </w:rPr>
              <w:fldChar w:fldCharType="begin"/>
            </w:r>
            <w:r w:rsidR="00344562" w:rsidRPr="00344562">
              <w:rPr>
                <w:rFonts w:cstheme="minorHAnsi"/>
                <w:noProof/>
                <w:webHidden/>
              </w:rPr>
              <w:instrText xml:space="preserve"> PAGEREF _Toc99041662 \h </w:instrText>
            </w:r>
            <w:r w:rsidR="00344562" w:rsidRPr="00344562">
              <w:rPr>
                <w:rFonts w:cstheme="minorHAnsi"/>
                <w:noProof/>
                <w:webHidden/>
              </w:rPr>
            </w:r>
            <w:r w:rsidR="00344562" w:rsidRPr="00344562">
              <w:rPr>
                <w:rFonts w:cstheme="minorHAnsi"/>
                <w:noProof/>
                <w:webHidden/>
              </w:rPr>
              <w:fldChar w:fldCharType="separate"/>
            </w:r>
            <w:r w:rsidR="00344562" w:rsidRPr="00344562">
              <w:rPr>
                <w:rFonts w:cstheme="minorHAnsi"/>
                <w:noProof/>
                <w:webHidden/>
              </w:rPr>
              <w:t>10</w:t>
            </w:r>
            <w:r w:rsidR="00344562" w:rsidRPr="00344562">
              <w:rPr>
                <w:rFonts w:cstheme="minorHAnsi"/>
                <w:noProof/>
                <w:webHidden/>
              </w:rPr>
              <w:fldChar w:fldCharType="end"/>
            </w:r>
          </w:hyperlink>
        </w:p>
        <w:p w14:paraId="45C639DF" w14:textId="2F5754AD" w:rsidR="00344562" w:rsidRPr="00344562" w:rsidRDefault="00D14E5B" w:rsidP="00791619">
          <w:pPr>
            <w:pStyle w:val="TOC1"/>
            <w:jc w:val="both"/>
            <w:rPr>
              <w:rFonts w:eastAsiaTheme="minorEastAsia"/>
              <w:lang w:eastAsia="en-AU"/>
            </w:rPr>
          </w:pPr>
          <w:hyperlink w:anchor="_Toc99041663" w:history="1">
            <w:r w:rsidR="00344562" w:rsidRPr="00344562">
              <w:rPr>
                <w:rStyle w:val="Hyperlink"/>
              </w:rPr>
              <w:t>4.</w:t>
            </w:r>
            <w:r w:rsidR="00344562" w:rsidRPr="00344562">
              <w:rPr>
                <w:rFonts w:eastAsiaTheme="minorEastAsia"/>
                <w:lang w:eastAsia="en-AU"/>
              </w:rPr>
              <w:tab/>
            </w:r>
            <w:r w:rsidR="00344562" w:rsidRPr="00344562">
              <w:rPr>
                <w:rStyle w:val="Hyperlink"/>
              </w:rPr>
              <w:t>Expected outcomes</w:t>
            </w:r>
            <w:r w:rsidR="00344562" w:rsidRPr="00344562">
              <w:rPr>
                <w:webHidden/>
              </w:rPr>
              <w:tab/>
            </w:r>
            <w:r w:rsidR="00344562" w:rsidRPr="00344562">
              <w:rPr>
                <w:webHidden/>
              </w:rPr>
              <w:fldChar w:fldCharType="begin"/>
            </w:r>
            <w:r w:rsidR="00344562" w:rsidRPr="00344562">
              <w:rPr>
                <w:webHidden/>
              </w:rPr>
              <w:instrText xml:space="preserve"> PAGEREF _Toc99041663 \h </w:instrText>
            </w:r>
            <w:r w:rsidR="00344562" w:rsidRPr="00344562">
              <w:rPr>
                <w:webHidden/>
              </w:rPr>
            </w:r>
            <w:r w:rsidR="00344562" w:rsidRPr="00344562">
              <w:rPr>
                <w:webHidden/>
              </w:rPr>
              <w:fldChar w:fldCharType="separate"/>
            </w:r>
            <w:r w:rsidR="00344562" w:rsidRPr="00344562">
              <w:rPr>
                <w:webHidden/>
              </w:rPr>
              <w:t>11</w:t>
            </w:r>
            <w:r w:rsidR="00344562" w:rsidRPr="00344562">
              <w:rPr>
                <w:webHidden/>
              </w:rPr>
              <w:fldChar w:fldCharType="end"/>
            </w:r>
          </w:hyperlink>
        </w:p>
        <w:p w14:paraId="60A707DC" w14:textId="05CEC5E5" w:rsidR="00344562" w:rsidRPr="00344562" w:rsidRDefault="00D14E5B" w:rsidP="00791619">
          <w:pPr>
            <w:pStyle w:val="TOC2"/>
            <w:jc w:val="both"/>
            <w:rPr>
              <w:rFonts w:eastAsiaTheme="minorEastAsia" w:cstheme="minorHAnsi"/>
              <w:noProof/>
              <w:lang w:eastAsia="en-AU"/>
            </w:rPr>
          </w:pPr>
          <w:hyperlink w:anchor="_Toc99041664" w:history="1">
            <w:r w:rsidR="00344562" w:rsidRPr="00344562">
              <w:rPr>
                <w:rStyle w:val="Hyperlink"/>
                <w:rFonts w:cstheme="minorHAnsi"/>
                <w:noProof/>
              </w:rPr>
              <w:t xml:space="preserve">4.1 </w:t>
            </w:r>
            <w:r w:rsidR="00344562" w:rsidRPr="00344562">
              <w:rPr>
                <w:rFonts w:eastAsiaTheme="minorEastAsia" w:cstheme="minorHAnsi"/>
                <w:noProof/>
                <w:lang w:eastAsia="en-AU"/>
              </w:rPr>
              <w:tab/>
            </w:r>
            <w:r w:rsidR="00344562" w:rsidRPr="00344562">
              <w:rPr>
                <w:rStyle w:val="Hyperlink"/>
                <w:rFonts w:cstheme="minorHAnsi"/>
                <w:noProof/>
              </w:rPr>
              <w:t>Program logic</w:t>
            </w:r>
            <w:r w:rsidR="00344562" w:rsidRPr="00344562">
              <w:rPr>
                <w:rFonts w:cstheme="minorHAnsi"/>
                <w:noProof/>
                <w:webHidden/>
              </w:rPr>
              <w:tab/>
            </w:r>
            <w:r w:rsidR="00344562" w:rsidRPr="00344562">
              <w:rPr>
                <w:rFonts w:cstheme="minorHAnsi"/>
                <w:noProof/>
                <w:webHidden/>
              </w:rPr>
              <w:fldChar w:fldCharType="begin"/>
            </w:r>
            <w:r w:rsidR="00344562" w:rsidRPr="00344562">
              <w:rPr>
                <w:rFonts w:cstheme="minorHAnsi"/>
                <w:noProof/>
                <w:webHidden/>
              </w:rPr>
              <w:instrText xml:space="preserve"> PAGEREF _Toc99041664 \h </w:instrText>
            </w:r>
            <w:r w:rsidR="00344562" w:rsidRPr="00344562">
              <w:rPr>
                <w:rFonts w:cstheme="minorHAnsi"/>
                <w:noProof/>
                <w:webHidden/>
              </w:rPr>
            </w:r>
            <w:r w:rsidR="00344562" w:rsidRPr="00344562">
              <w:rPr>
                <w:rFonts w:cstheme="minorHAnsi"/>
                <w:noProof/>
                <w:webHidden/>
              </w:rPr>
              <w:fldChar w:fldCharType="separate"/>
            </w:r>
            <w:r w:rsidR="00344562" w:rsidRPr="00344562">
              <w:rPr>
                <w:rFonts w:cstheme="minorHAnsi"/>
                <w:noProof/>
                <w:webHidden/>
              </w:rPr>
              <w:t>11</w:t>
            </w:r>
            <w:r w:rsidR="00344562" w:rsidRPr="00344562">
              <w:rPr>
                <w:rFonts w:cstheme="minorHAnsi"/>
                <w:noProof/>
                <w:webHidden/>
              </w:rPr>
              <w:fldChar w:fldCharType="end"/>
            </w:r>
          </w:hyperlink>
        </w:p>
        <w:p w14:paraId="02E579B0" w14:textId="18A7FA8D" w:rsidR="00344562" w:rsidRPr="00344562" w:rsidRDefault="00D14E5B" w:rsidP="00791619">
          <w:pPr>
            <w:pStyle w:val="TOC2"/>
            <w:jc w:val="both"/>
            <w:rPr>
              <w:rFonts w:eastAsiaTheme="minorEastAsia" w:cstheme="minorHAnsi"/>
              <w:noProof/>
              <w:lang w:eastAsia="en-AU"/>
            </w:rPr>
          </w:pPr>
          <w:hyperlink w:anchor="_Toc99041665" w:history="1">
            <w:r w:rsidR="00344562" w:rsidRPr="00344562">
              <w:rPr>
                <w:rStyle w:val="Hyperlink"/>
                <w:rFonts w:cstheme="minorHAnsi"/>
                <w:noProof/>
              </w:rPr>
              <w:t>4.2</w:t>
            </w:r>
            <w:r w:rsidR="00344562" w:rsidRPr="00344562">
              <w:rPr>
                <w:rFonts w:eastAsiaTheme="minorEastAsia" w:cstheme="minorHAnsi"/>
                <w:noProof/>
                <w:lang w:eastAsia="en-AU"/>
              </w:rPr>
              <w:tab/>
            </w:r>
            <w:r w:rsidR="00344562" w:rsidRPr="00344562">
              <w:rPr>
                <w:rStyle w:val="Hyperlink"/>
                <w:rFonts w:cstheme="minorHAnsi"/>
                <w:noProof/>
              </w:rPr>
              <w:t>Explanation of logic</w:t>
            </w:r>
            <w:r w:rsidR="00344562" w:rsidRPr="00344562">
              <w:rPr>
                <w:rFonts w:cstheme="minorHAnsi"/>
                <w:noProof/>
                <w:webHidden/>
              </w:rPr>
              <w:tab/>
            </w:r>
            <w:r w:rsidR="00344562" w:rsidRPr="00344562">
              <w:rPr>
                <w:rFonts w:cstheme="minorHAnsi"/>
                <w:noProof/>
                <w:webHidden/>
              </w:rPr>
              <w:fldChar w:fldCharType="begin"/>
            </w:r>
            <w:r w:rsidR="00344562" w:rsidRPr="00344562">
              <w:rPr>
                <w:rFonts w:cstheme="minorHAnsi"/>
                <w:noProof/>
                <w:webHidden/>
              </w:rPr>
              <w:instrText xml:space="preserve"> PAGEREF _Toc99041665 \h </w:instrText>
            </w:r>
            <w:r w:rsidR="00344562" w:rsidRPr="00344562">
              <w:rPr>
                <w:rFonts w:cstheme="minorHAnsi"/>
                <w:noProof/>
                <w:webHidden/>
              </w:rPr>
            </w:r>
            <w:r w:rsidR="00344562" w:rsidRPr="00344562">
              <w:rPr>
                <w:rFonts w:cstheme="minorHAnsi"/>
                <w:noProof/>
                <w:webHidden/>
              </w:rPr>
              <w:fldChar w:fldCharType="separate"/>
            </w:r>
            <w:r w:rsidR="00344562" w:rsidRPr="00344562">
              <w:rPr>
                <w:rFonts w:cstheme="minorHAnsi"/>
                <w:noProof/>
                <w:webHidden/>
              </w:rPr>
              <w:t>13</w:t>
            </w:r>
            <w:r w:rsidR="00344562" w:rsidRPr="00344562">
              <w:rPr>
                <w:rFonts w:cstheme="minorHAnsi"/>
                <w:noProof/>
                <w:webHidden/>
              </w:rPr>
              <w:fldChar w:fldCharType="end"/>
            </w:r>
          </w:hyperlink>
        </w:p>
        <w:p w14:paraId="387A0498" w14:textId="48F69185" w:rsidR="00344562" w:rsidRPr="00344562" w:rsidRDefault="00D14E5B" w:rsidP="00791619">
          <w:pPr>
            <w:pStyle w:val="TOC2"/>
            <w:jc w:val="both"/>
            <w:rPr>
              <w:rFonts w:eastAsiaTheme="minorEastAsia" w:cstheme="minorHAnsi"/>
              <w:noProof/>
              <w:lang w:eastAsia="en-AU"/>
            </w:rPr>
          </w:pPr>
          <w:hyperlink w:anchor="_Toc99041666" w:history="1">
            <w:r w:rsidR="00344562" w:rsidRPr="00344562">
              <w:rPr>
                <w:rStyle w:val="Hyperlink"/>
                <w:rFonts w:cstheme="minorHAnsi"/>
                <w:noProof/>
              </w:rPr>
              <w:t>4.3</w:t>
            </w:r>
            <w:r w:rsidR="00344562" w:rsidRPr="00344562">
              <w:rPr>
                <w:rFonts w:eastAsiaTheme="minorEastAsia" w:cstheme="minorHAnsi"/>
                <w:noProof/>
                <w:lang w:eastAsia="en-AU"/>
              </w:rPr>
              <w:tab/>
            </w:r>
            <w:r w:rsidR="00344562" w:rsidRPr="00344562">
              <w:rPr>
                <w:rStyle w:val="Hyperlink"/>
                <w:rFonts w:cstheme="minorHAnsi"/>
                <w:noProof/>
              </w:rPr>
              <w:t>Delivery approach</w:t>
            </w:r>
            <w:r w:rsidR="00344562" w:rsidRPr="00344562">
              <w:rPr>
                <w:rFonts w:cstheme="minorHAnsi"/>
                <w:noProof/>
                <w:webHidden/>
              </w:rPr>
              <w:tab/>
            </w:r>
            <w:r w:rsidR="00344562" w:rsidRPr="00344562">
              <w:rPr>
                <w:rFonts w:cstheme="minorHAnsi"/>
                <w:noProof/>
                <w:webHidden/>
              </w:rPr>
              <w:fldChar w:fldCharType="begin"/>
            </w:r>
            <w:r w:rsidR="00344562" w:rsidRPr="00344562">
              <w:rPr>
                <w:rFonts w:cstheme="minorHAnsi"/>
                <w:noProof/>
                <w:webHidden/>
              </w:rPr>
              <w:instrText xml:space="preserve"> PAGEREF _Toc99041666 \h </w:instrText>
            </w:r>
            <w:r w:rsidR="00344562" w:rsidRPr="00344562">
              <w:rPr>
                <w:rFonts w:cstheme="minorHAnsi"/>
                <w:noProof/>
                <w:webHidden/>
              </w:rPr>
            </w:r>
            <w:r w:rsidR="00344562" w:rsidRPr="00344562">
              <w:rPr>
                <w:rFonts w:cstheme="minorHAnsi"/>
                <w:noProof/>
                <w:webHidden/>
              </w:rPr>
              <w:fldChar w:fldCharType="separate"/>
            </w:r>
            <w:r w:rsidR="00344562" w:rsidRPr="00344562">
              <w:rPr>
                <w:rFonts w:cstheme="minorHAnsi"/>
                <w:noProof/>
                <w:webHidden/>
              </w:rPr>
              <w:t>19</w:t>
            </w:r>
            <w:r w:rsidR="00344562" w:rsidRPr="00344562">
              <w:rPr>
                <w:rFonts w:cstheme="minorHAnsi"/>
                <w:noProof/>
                <w:webHidden/>
              </w:rPr>
              <w:fldChar w:fldCharType="end"/>
            </w:r>
          </w:hyperlink>
        </w:p>
        <w:p w14:paraId="3C0F02C7" w14:textId="0D74ECB1" w:rsidR="00344562" w:rsidRPr="00344562" w:rsidRDefault="00D14E5B" w:rsidP="00791619">
          <w:pPr>
            <w:pStyle w:val="TOC1"/>
            <w:jc w:val="both"/>
            <w:rPr>
              <w:rFonts w:eastAsiaTheme="minorEastAsia"/>
              <w:lang w:eastAsia="en-AU"/>
            </w:rPr>
          </w:pPr>
          <w:hyperlink w:anchor="_Toc99041667" w:history="1">
            <w:r w:rsidR="00344562" w:rsidRPr="00344562">
              <w:rPr>
                <w:rStyle w:val="Hyperlink"/>
              </w:rPr>
              <w:t>5.</w:t>
            </w:r>
            <w:r w:rsidR="00344562" w:rsidRPr="00344562">
              <w:rPr>
                <w:rFonts w:eastAsiaTheme="minorEastAsia"/>
                <w:lang w:eastAsia="en-AU"/>
              </w:rPr>
              <w:tab/>
            </w:r>
            <w:r w:rsidR="00344562" w:rsidRPr="00344562">
              <w:rPr>
                <w:rStyle w:val="Hyperlink"/>
              </w:rPr>
              <w:t>Management and Governance</w:t>
            </w:r>
            <w:r w:rsidR="00344562" w:rsidRPr="00344562">
              <w:rPr>
                <w:webHidden/>
              </w:rPr>
              <w:tab/>
            </w:r>
            <w:r w:rsidR="00344562" w:rsidRPr="00344562">
              <w:rPr>
                <w:webHidden/>
              </w:rPr>
              <w:fldChar w:fldCharType="begin"/>
            </w:r>
            <w:r w:rsidR="00344562" w:rsidRPr="00344562">
              <w:rPr>
                <w:webHidden/>
              </w:rPr>
              <w:instrText xml:space="preserve"> PAGEREF _Toc99041667 \h </w:instrText>
            </w:r>
            <w:r w:rsidR="00344562" w:rsidRPr="00344562">
              <w:rPr>
                <w:webHidden/>
              </w:rPr>
            </w:r>
            <w:r w:rsidR="00344562" w:rsidRPr="00344562">
              <w:rPr>
                <w:webHidden/>
              </w:rPr>
              <w:fldChar w:fldCharType="separate"/>
            </w:r>
            <w:r w:rsidR="00344562" w:rsidRPr="00344562">
              <w:rPr>
                <w:webHidden/>
              </w:rPr>
              <w:t>25</w:t>
            </w:r>
            <w:r w:rsidR="00344562" w:rsidRPr="00344562">
              <w:rPr>
                <w:webHidden/>
              </w:rPr>
              <w:fldChar w:fldCharType="end"/>
            </w:r>
          </w:hyperlink>
        </w:p>
        <w:p w14:paraId="26EA68AE" w14:textId="3F4EB229" w:rsidR="00344562" w:rsidRPr="00344562" w:rsidRDefault="00D14E5B" w:rsidP="00791619">
          <w:pPr>
            <w:pStyle w:val="TOC2"/>
            <w:jc w:val="both"/>
            <w:rPr>
              <w:rFonts w:eastAsiaTheme="minorEastAsia" w:cstheme="minorHAnsi"/>
              <w:noProof/>
              <w:lang w:eastAsia="en-AU"/>
            </w:rPr>
          </w:pPr>
          <w:hyperlink w:anchor="_Toc99041668" w:history="1">
            <w:r w:rsidR="00344562" w:rsidRPr="00344562">
              <w:rPr>
                <w:rStyle w:val="Hyperlink"/>
                <w:rFonts w:cstheme="minorHAnsi"/>
                <w:noProof/>
              </w:rPr>
              <w:t>5.1</w:t>
            </w:r>
            <w:r w:rsidR="00344562" w:rsidRPr="00344562">
              <w:rPr>
                <w:rFonts w:eastAsiaTheme="minorEastAsia" w:cstheme="minorHAnsi"/>
                <w:noProof/>
                <w:lang w:eastAsia="en-AU"/>
              </w:rPr>
              <w:tab/>
            </w:r>
            <w:r w:rsidR="00344562" w:rsidRPr="00344562">
              <w:rPr>
                <w:rStyle w:val="Hyperlink"/>
                <w:rFonts w:cstheme="minorHAnsi"/>
                <w:noProof/>
              </w:rPr>
              <w:t>Structure</w:t>
            </w:r>
            <w:r w:rsidR="00344562" w:rsidRPr="00344562">
              <w:rPr>
                <w:rFonts w:cstheme="minorHAnsi"/>
                <w:noProof/>
                <w:webHidden/>
              </w:rPr>
              <w:tab/>
            </w:r>
            <w:r w:rsidR="00344562" w:rsidRPr="00344562">
              <w:rPr>
                <w:rFonts w:cstheme="minorHAnsi"/>
                <w:noProof/>
                <w:webHidden/>
              </w:rPr>
              <w:fldChar w:fldCharType="begin"/>
            </w:r>
            <w:r w:rsidR="00344562" w:rsidRPr="00344562">
              <w:rPr>
                <w:rFonts w:cstheme="minorHAnsi"/>
                <w:noProof/>
                <w:webHidden/>
              </w:rPr>
              <w:instrText xml:space="preserve"> PAGEREF _Toc99041668 \h </w:instrText>
            </w:r>
            <w:r w:rsidR="00344562" w:rsidRPr="00344562">
              <w:rPr>
                <w:rFonts w:cstheme="minorHAnsi"/>
                <w:noProof/>
                <w:webHidden/>
              </w:rPr>
            </w:r>
            <w:r w:rsidR="00344562" w:rsidRPr="00344562">
              <w:rPr>
                <w:rFonts w:cstheme="minorHAnsi"/>
                <w:noProof/>
                <w:webHidden/>
              </w:rPr>
              <w:fldChar w:fldCharType="separate"/>
            </w:r>
            <w:r w:rsidR="00344562" w:rsidRPr="00344562">
              <w:rPr>
                <w:rFonts w:cstheme="minorHAnsi"/>
                <w:noProof/>
                <w:webHidden/>
              </w:rPr>
              <w:t>25</w:t>
            </w:r>
            <w:r w:rsidR="00344562" w:rsidRPr="00344562">
              <w:rPr>
                <w:rFonts w:cstheme="minorHAnsi"/>
                <w:noProof/>
                <w:webHidden/>
              </w:rPr>
              <w:fldChar w:fldCharType="end"/>
            </w:r>
          </w:hyperlink>
        </w:p>
        <w:p w14:paraId="09BEB3A1" w14:textId="3F7896C7" w:rsidR="00344562" w:rsidRPr="00344562" w:rsidRDefault="00D14E5B" w:rsidP="00791619">
          <w:pPr>
            <w:pStyle w:val="TOC2"/>
            <w:jc w:val="both"/>
            <w:rPr>
              <w:rFonts w:eastAsiaTheme="minorEastAsia" w:cstheme="minorHAnsi"/>
              <w:noProof/>
              <w:lang w:eastAsia="en-AU"/>
            </w:rPr>
          </w:pPr>
          <w:hyperlink w:anchor="_Toc99041669" w:history="1">
            <w:r w:rsidR="00344562" w:rsidRPr="00344562">
              <w:rPr>
                <w:rStyle w:val="Hyperlink"/>
                <w:rFonts w:cstheme="minorHAnsi"/>
                <w:noProof/>
              </w:rPr>
              <w:t>5.2</w:t>
            </w:r>
            <w:r w:rsidR="00344562" w:rsidRPr="00344562">
              <w:rPr>
                <w:rFonts w:eastAsiaTheme="minorEastAsia" w:cstheme="minorHAnsi"/>
                <w:noProof/>
                <w:lang w:eastAsia="en-AU"/>
              </w:rPr>
              <w:tab/>
            </w:r>
            <w:r w:rsidR="00344562" w:rsidRPr="00344562">
              <w:rPr>
                <w:rStyle w:val="Hyperlink"/>
                <w:rFonts w:cstheme="minorHAnsi"/>
                <w:noProof/>
              </w:rPr>
              <w:t>Responsibilities</w:t>
            </w:r>
            <w:r w:rsidR="00344562" w:rsidRPr="00344562">
              <w:rPr>
                <w:rFonts w:cstheme="minorHAnsi"/>
                <w:noProof/>
                <w:webHidden/>
              </w:rPr>
              <w:tab/>
            </w:r>
            <w:r w:rsidR="00344562" w:rsidRPr="00344562">
              <w:rPr>
                <w:rFonts w:cstheme="minorHAnsi"/>
                <w:noProof/>
                <w:webHidden/>
              </w:rPr>
              <w:fldChar w:fldCharType="begin"/>
            </w:r>
            <w:r w:rsidR="00344562" w:rsidRPr="00344562">
              <w:rPr>
                <w:rFonts w:cstheme="minorHAnsi"/>
                <w:noProof/>
                <w:webHidden/>
              </w:rPr>
              <w:instrText xml:space="preserve"> PAGEREF _Toc99041669 \h </w:instrText>
            </w:r>
            <w:r w:rsidR="00344562" w:rsidRPr="00344562">
              <w:rPr>
                <w:rFonts w:cstheme="minorHAnsi"/>
                <w:noProof/>
                <w:webHidden/>
              </w:rPr>
            </w:r>
            <w:r w:rsidR="00344562" w:rsidRPr="00344562">
              <w:rPr>
                <w:rFonts w:cstheme="minorHAnsi"/>
                <w:noProof/>
                <w:webHidden/>
              </w:rPr>
              <w:fldChar w:fldCharType="separate"/>
            </w:r>
            <w:r w:rsidR="00344562" w:rsidRPr="00344562">
              <w:rPr>
                <w:rFonts w:cstheme="minorHAnsi"/>
                <w:noProof/>
                <w:webHidden/>
              </w:rPr>
              <w:t>25</w:t>
            </w:r>
            <w:r w:rsidR="00344562" w:rsidRPr="00344562">
              <w:rPr>
                <w:rFonts w:cstheme="minorHAnsi"/>
                <w:noProof/>
                <w:webHidden/>
              </w:rPr>
              <w:fldChar w:fldCharType="end"/>
            </w:r>
          </w:hyperlink>
        </w:p>
        <w:p w14:paraId="73FDE7D9" w14:textId="119AA800" w:rsidR="00344562" w:rsidRPr="00344562" w:rsidRDefault="00D14E5B" w:rsidP="00791619">
          <w:pPr>
            <w:pStyle w:val="TOC2"/>
            <w:jc w:val="both"/>
            <w:rPr>
              <w:rFonts w:eastAsiaTheme="minorEastAsia" w:cstheme="minorHAnsi"/>
              <w:noProof/>
              <w:lang w:eastAsia="en-AU"/>
            </w:rPr>
          </w:pPr>
          <w:hyperlink w:anchor="_Toc99041670" w:history="1">
            <w:r w:rsidR="00344562" w:rsidRPr="00344562">
              <w:rPr>
                <w:rStyle w:val="Hyperlink"/>
                <w:rFonts w:cstheme="minorHAnsi"/>
                <w:noProof/>
              </w:rPr>
              <w:t>5.3</w:t>
            </w:r>
            <w:r w:rsidR="00344562" w:rsidRPr="00344562">
              <w:rPr>
                <w:rFonts w:eastAsiaTheme="minorEastAsia" w:cstheme="minorHAnsi"/>
                <w:noProof/>
                <w:lang w:eastAsia="en-AU"/>
              </w:rPr>
              <w:tab/>
            </w:r>
            <w:r w:rsidR="00344562" w:rsidRPr="00344562">
              <w:rPr>
                <w:rStyle w:val="Hyperlink"/>
                <w:rFonts w:cstheme="minorHAnsi"/>
                <w:noProof/>
              </w:rPr>
              <w:t>Transition and Inception deliverables</w:t>
            </w:r>
            <w:r w:rsidR="00344562" w:rsidRPr="00344562">
              <w:rPr>
                <w:rFonts w:cstheme="minorHAnsi"/>
                <w:noProof/>
                <w:webHidden/>
              </w:rPr>
              <w:tab/>
            </w:r>
            <w:r w:rsidR="00344562" w:rsidRPr="00344562">
              <w:rPr>
                <w:rFonts w:cstheme="minorHAnsi"/>
                <w:noProof/>
                <w:webHidden/>
              </w:rPr>
              <w:fldChar w:fldCharType="begin"/>
            </w:r>
            <w:r w:rsidR="00344562" w:rsidRPr="00344562">
              <w:rPr>
                <w:rFonts w:cstheme="minorHAnsi"/>
                <w:noProof/>
                <w:webHidden/>
              </w:rPr>
              <w:instrText xml:space="preserve"> PAGEREF _Toc99041670 \h </w:instrText>
            </w:r>
            <w:r w:rsidR="00344562" w:rsidRPr="00344562">
              <w:rPr>
                <w:rFonts w:cstheme="minorHAnsi"/>
                <w:noProof/>
                <w:webHidden/>
              </w:rPr>
            </w:r>
            <w:r w:rsidR="00344562" w:rsidRPr="00344562">
              <w:rPr>
                <w:rFonts w:cstheme="minorHAnsi"/>
                <w:noProof/>
                <w:webHidden/>
              </w:rPr>
              <w:fldChar w:fldCharType="separate"/>
            </w:r>
            <w:r w:rsidR="00344562" w:rsidRPr="00344562">
              <w:rPr>
                <w:rFonts w:cstheme="minorHAnsi"/>
                <w:noProof/>
                <w:webHidden/>
              </w:rPr>
              <w:t>28</w:t>
            </w:r>
            <w:r w:rsidR="00344562" w:rsidRPr="00344562">
              <w:rPr>
                <w:rFonts w:cstheme="minorHAnsi"/>
                <w:noProof/>
                <w:webHidden/>
              </w:rPr>
              <w:fldChar w:fldCharType="end"/>
            </w:r>
          </w:hyperlink>
        </w:p>
        <w:p w14:paraId="6EB47128" w14:textId="5D8CC144" w:rsidR="00344562" w:rsidRPr="00344562" w:rsidRDefault="00D14E5B" w:rsidP="00791619">
          <w:pPr>
            <w:pStyle w:val="TOC1"/>
            <w:jc w:val="both"/>
            <w:rPr>
              <w:rFonts w:eastAsiaTheme="minorEastAsia"/>
              <w:lang w:eastAsia="en-AU"/>
            </w:rPr>
          </w:pPr>
          <w:hyperlink w:anchor="_Toc99041671" w:history="1">
            <w:r w:rsidR="00344562" w:rsidRPr="00344562">
              <w:rPr>
                <w:rStyle w:val="Hyperlink"/>
              </w:rPr>
              <w:t>6.</w:t>
            </w:r>
            <w:r w:rsidR="00344562" w:rsidRPr="00344562">
              <w:rPr>
                <w:rFonts w:eastAsiaTheme="minorEastAsia"/>
                <w:lang w:eastAsia="en-AU"/>
              </w:rPr>
              <w:tab/>
            </w:r>
            <w:r w:rsidR="00344562" w:rsidRPr="00344562">
              <w:rPr>
                <w:rStyle w:val="Hyperlink"/>
              </w:rPr>
              <w:t>Program monitoring, evaluation and learning</w:t>
            </w:r>
            <w:r w:rsidR="00344562" w:rsidRPr="00344562">
              <w:rPr>
                <w:webHidden/>
              </w:rPr>
              <w:tab/>
            </w:r>
            <w:r w:rsidR="00344562" w:rsidRPr="00344562">
              <w:rPr>
                <w:webHidden/>
              </w:rPr>
              <w:fldChar w:fldCharType="begin"/>
            </w:r>
            <w:r w:rsidR="00344562" w:rsidRPr="00344562">
              <w:rPr>
                <w:webHidden/>
              </w:rPr>
              <w:instrText xml:space="preserve"> PAGEREF _Toc99041671 \h </w:instrText>
            </w:r>
            <w:r w:rsidR="00344562" w:rsidRPr="00344562">
              <w:rPr>
                <w:webHidden/>
              </w:rPr>
            </w:r>
            <w:r w:rsidR="00344562" w:rsidRPr="00344562">
              <w:rPr>
                <w:webHidden/>
              </w:rPr>
              <w:fldChar w:fldCharType="separate"/>
            </w:r>
            <w:r w:rsidR="00344562" w:rsidRPr="00344562">
              <w:rPr>
                <w:webHidden/>
              </w:rPr>
              <w:t>28</w:t>
            </w:r>
            <w:r w:rsidR="00344562" w:rsidRPr="00344562">
              <w:rPr>
                <w:webHidden/>
              </w:rPr>
              <w:fldChar w:fldCharType="end"/>
            </w:r>
          </w:hyperlink>
        </w:p>
        <w:p w14:paraId="1B65F927" w14:textId="0A0EA14B" w:rsidR="00344562" w:rsidRPr="00344562" w:rsidRDefault="00D14E5B" w:rsidP="00791619">
          <w:pPr>
            <w:pStyle w:val="TOC2"/>
            <w:jc w:val="both"/>
            <w:rPr>
              <w:rFonts w:eastAsiaTheme="minorEastAsia" w:cstheme="minorHAnsi"/>
              <w:noProof/>
              <w:lang w:eastAsia="en-AU"/>
            </w:rPr>
          </w:pPr>
          <w:hyperlink w:anchor="_Toc99041672" w:history="1">
            <w:r w:rsidR="00344562" w:rsidRPr="00344562">
              <w:rPr>
                <w:rStyle w:val="Hyperlink"/>
                <w:rFonts w:cstheme="minorHAnsi"/>
                <w:noProof/>
              </w:rPr>
              <w:t>6.1</w:t>
            </w:r>
            <w:r w:rsidR="00344562" w:rsidRPr="00344562">
              <w:rPr>
                <w:rFonts w:eastAsiaTheme="minorEastAsia" w:cstheme="minorHAnsi"/>
                <w:noProof/>
                <w:lang w:eastAsia="en-AU"/>
              </w:rPr>
              <w:tab/>
            </w:r>
            <w:r w:rsidR="00344562" w:rsidRPr="00344562">
              <w:rPr>
                <w:rStyle w:val="Hyperlink"/>
                <w:rFonts w:cstheme="minorHAnsi"/>
                <w:noProof/>
              </w:rPr>
              <w:t>MEL Principles</w:t>
            </w:r>
            <w:r w:rsidR="00344562" w:rsidRPr="00344562">
              <w:rPr>
                <w:rFonts w:cstheme="minorHAnsi"/>
                <w:noProof/>
                <w:webHidden/>
              </w:rPr>
              <w:tab/>
            </w:r>
            <w:r w:rsidR="00344562" w:rsidRPr="00344562">
              <w:rPr>
                <w:rFonts w:cstheme="minorHAnsi"/>
                <w:noProof/>
                <w:webHidden/>
              </w:rPr>
              <w:fldChar w:fldCharType="begin"/>
            </w:r>
            <w:r w:rsidR="00344562" w:rsidRPr="00344562">
              <w:rPr>
                <w:rFonts w:cstheme="minorHAnsi"/>
                <w:noProof/>
                <w:webHidden/>
              </w:rPr>
              <w:instrText xml:space="preserve"> PAGEREF _Toc99041672 \h </w:instrText>
            </w:r>
            <w:r w:rsidR="00344562" w:rsidRPr="00344562">
              <w:rPr>
                <w:rFonts w:cstheme="minorHAnsi"/>
                <w:noProof/>
                <w:webHidden/>
              </w:rPr>
            </w:r>
            <w:r w:rsidR="00344562" w:rsidRPr="00344562">
              <w:rPr>
                <w:rFonts w:cstheme="minorHAnsi"/>
                <w:noProof/>
                <w:webHidden/>
              </w:rPr>
              <w:fldChar w:fldCharType="separate"/>
            </w:r>
            <w:r w:rsidR="00344562" w:rsidRPr="00344562">
              <w:rPr>
                <w:rFonts w:cstheme="minorHAnsi"/>
                <w:noProof/>
                <w:webHidden/>
              </w:rPr>
              <w:t>29</w:t>
            </w:r>
            <w:r w:rsidR="00344562" w:rsidRPr="00344562">
              <w:rPr>
                <w:rFonts w:cstheme="minorHAnsi"/>
                <w:noProof/>
                <w:webHidden/>
              </w:rPr>
              <w:fldChar w:fldCharType="end"/>
            </w:r>
          </w:hyperlink>
        </w:p>
        <w:p w14:paraId="32141D1E" w14:textId="75B4522D" w:rsidR="00344562" w:rsidRPr="00344562" w:rsidRDefault="00D14E5B" w:rsidP="00791619">
          <w:pPr>
            <w:pStyle w:val="TOC2"/>
            <w:jc w:val="both"/>
            <w:rPr>
              <w:rFonts w:eastAsiaTheme="minorEastAsia" w:cstheme="minorHAnsi"/>
              <w:noProof/>
              <w:lang w:eastAsia="en-AU"/>
            </w:rPr>
          </w:pPr>
          <w:hyperlink w:anchor="_Toc99041673" w:history="1">
            <w:r w:rsidR="00344562" w:rsidRPr="00344562">
              <w:rPr>
                <w:rStyle w:val="Hyperlink"/>
                <w:rFonts w:cstheme="minorHAnsi"/>
                <w:noProof/>
              </w:rPr>
              <w:t>6.2</w:t>
            </w:r>
            <w:r w:rsidR="00344562" w:rsidRPr="00344562">
              <w:rPr>
                <w:rFonts w:eastAsiaTheme="minorEastAsia" w:cstheme="minorHAnsi"/>
                <w:noProof/>
                <w:lang w:eastAsia="en-AU"/>
              </w:rPr>
              <w:tab/>
            </w:r>
            <w:r w:rsidR="00344562" w:rsidRPr="00344562">
              <w:rPr>
                <w:rStyle w:val="Hyperlink"/>
                <w:rFonts w:cstheme="minorHAnsi"/>
                <w:noProof/>
              </w:rPr>
              <w:t>Responsibility</w:t>
            </w:r>
            <w:r w:rsidR="00344562" w:rsidRPr="00344562">
              <w:rPr>
                <w:rFonts w:cstheme="minorHAnsi"/>
                <w:noProof/>
                <w:webHidden/>
              </w:rPr>
              <w:tab/>
            </w:r>
            <w:r w:rsidR="00344562" w:rsidRPr="00344562">
              <w:rPr>
                <w:rFonts w:cstheme="minorHAnsi"/>
                <w:noProof/>
                <w:webHidden/>
              </w:rPr>
              <w:fldChar w:fldCharType="begin"/>
            </w:r>
            <w:r w:rsidR="00344562" w:rsidRPr="00344562">
              <w:rPr>
                <w:rFonts w:cstheme="minorHAnsi"/>
                <w:noProof/>
                <w:webHidden/>
              </w:rPr>
              <w:instrText xml:space="preserve"> PAGEREF _Toc99041673 \h </w:instrText>
            </w:r>
            <w:r w:rsidR="00344562" w:rsidRPr="00344562">
              <w:rPr>
                <w:rFonts w:cstheme="minorHAnsi"/>
                <w:noProof/>
                <w:webHidden/>
              </w:rPr>
            </w:r>
            <w:r w:rsidR="00344562" w:rsidRPr="00344562">
              <w:rPr>
                <w:rFonts w:cstheme="minorHAnsi"/>
                <w:noProof/>
                <w:webHidden/>
              </w:rPr>
              <w:fldChar w:fldCharType="separate"/>
            </w:r>
            <w:r w:rsidR="00344562" w:rsidRPr="00344562">
              <w:rPr>
                <w:rFonts w:cstheme="minorHAnsi"/>
                <w:noProof/>
                <w:webHidden/>
              </w:rPr>
              <w:t>29</w:t>
            </w:r>
            <w:r w:rsidR="00344562" w:rsidRPr="00344562">
              <w:rPr>
                <w:rFonts w:cstheme="minorHAnsi"/>
                <w:noProof/>
                <w:webHidden/>
              </w:rPr>
              <w:fldChar w:fldCharType="end"/>
            </w:r>
          </w:hyperlink>
        </w:p>
        <w:p w14:paraId="48ADDA78" w14:textId="05D3C222" w:rsidR="00344562" w:rsidRPr="00344562" w:rsidRDefault="00D14E5B" w:rsidP="00791619">
          <w:pPr>
            <w:pStyle w:val="TOC2"/>
            <w:jc w:val="both"/>
            <w:rPr>
              <w:rFonts w:eastAsiaTheme="minorEastAsia" w:cstheme="minorHAnsi"/>
              <w:noProof/>
              <w:lang w:eastAsia="en-AU"/>
            </w:rPr>
          </w:pPr>
          <w:hyperlink w:anchor="_Toc99041674" w:history="1">
            <w:r w:rsidR="00344562" w:rsidRPr="00344562">
              <w:rPr>
                <w:rStyle w:val="Hyperlink"/>
                <w:rFonts w:cstheme="minorHAnsi"/>
                <w:noProof/>
              </w:rPr>
              <w:t>6.3</w:t>
            </w:r>
            <w:r w:rsidR="00344562" w:rsidRPr="00344562">
              <w:rPr>
                <w:rFonts w:eastAsiaTheme="minorEastAsia" w:cstheme="minorHAnsi"/>
                <w:noProof/>
                <w:lang w:eastAsia="en-AU"/>
              </w:rPr>
              <w:tab/>
            </w:r>
            <w:r w:rsidR="00344562" w:rsidRPr="00344562">
              <w:rPr>
                <w:rStyle w:val="Hyperlink"/>
                <w:rFonts w:cstheme="minorHAnsi"/>
                <w:noProof/>
              </w:rPr>
              <w:t>Implementation</w:t>
            </w:r>
            <w:r w:rsidR="00344562" w:rsidRPr="00344562">
              <w:rPr>
                <w:rFonts w:cstheme="minorHAnsi"/>
                <w:noProof/>
                <w:webHidden/>
              </w:rPr>
              <w:tab/>
            </w:r>
            <w:r w:rsidR="00344562" w:rsidRPr="00344562">
              <w:rPr>
                <w:rFonts w:cstheme="minorHAnsi"/>
                <w:noProof/>
                <w:webHidden/>
              </w:rPr>
              <w:fldChar w:fldCharType="begin"/>
            </w:r>
            <w:r w:rsidR="00344562" w:rsidRPr="00344562">
              <w:rPr>
                <w:rFonts w:cstheme="minorHAnsi"/>
                <w:noProof/>
                <w:webHidden/>
              </w:rPr>
              <w:instrText xml:space="preserve"> PAGEREF _Toc99041674 \h </w:instrText>
            </w:r>
            <w:r w:rsidR="00344562" w:rsidRPr="00344562">
              <w:rPr>
                <w:rFonts w:cstheme="minorHAnsi"/>
                <w:noProof/>
                <w:webHidden/>
              </w:rPr>
            </w:r>
            <w:r w:rsidR="00344562" w:rsidRPr="00344562">
              <w:rPr>
                <w:rFonts w:cstheme="minorHAnsi"/>
                <w:noProof/>
                <w:webHidden/>
              </w:rPr>
              <w:fldChar w:fldCharType="separate"/>
            </w:r>
            <w:r w:rsidR="00344562" w:rsidRPr="00344562">
              <w:rPr>
                <w:rFonts w:cstheme="minorHAnsi"/>
                <w:noProof/>
                <w:webHidden/>
              </w:rPr>
              <w:t>29</w:t>
            </w:r>
            <w:r w:rsidR="00344562" w:rsidRPr="00344562">
              <w:rPr>
                <w:rFonts w:cstheme="minorHAnsi"/>
                <w:noProof/>
                <w:webHidden/>
              </w:rPr>
              <w:fldChar w:fldCharType="end"/>
            </w:r>
          </w:hyperlink>
        </w:p>
        <w:p w14:paraId="50A30DE0" w14:textId="465A01BD" w:rsidR="00344562" w:rsidRPr="00344562" w:rsidRDefault="00D14E5B" w:rsidP="00791619">
          <w:pPr>
            <w:pStyle w:val="TOC2"/>
            <w:jc w:val="both"/>
            <w:rPr>
              <w:rFonts w:eastAsiaTheme="minorEastAsia" w:cstheme="minorHAnsi"/>
              <w:noProof/>
              <w:lang w:eastAsia="en-AU"/>
            </w:rPr>
          </w:pPr>
          <w:hyperlink w:anchor="_Toc99041675" w:history="1">
            <w:r w:rsidR="00344562" w:rsidRPr="00344562">
              <w:rPr>
                <w:rStyle w:val="Hyperlink"/>
                <w:rFonts w:cstheme="minorHAnsi"/>
                <w:noProof/>
              </w:rPr>
              <w:t>6.4</w:t>
            </w:r>
            <w:r w:rsidR="00344562" w:rsidRPr="00344562">
              <w:rPr>
                <w:rFonts w:eastAsiaTheme="minorEastAsia" w:cstheme="minorHAnsi"/>
                <w:noProof/>
                <w:lang w:eastAsia="en-AU"/>
              </w:rPr>
              <w:tab/>
            </w:r>
            <w:r w:rsidR="00344562" w:rsidRPr="00344562">
              <w:rPr>
                <w:rStyle w:val="Hyperlink"/>
                <w:rFonts w:cstheme="minorHAnsi"/>
                <w:noProof/>
              </w:rPr>
              <w:t>Data collection</w:t>
            </w:r>
            <w:r w:rsidR="00344562" w:rsidRPr="00344562">
              <w:rPr>
                <w:rFonts w:cstheme="minorHAnsi"/>
                <w:noProof/>
                <w:webHidden/>
              </w:rPr>
              <w:tab/>
            </w:r>
            <w:r w:rsidR="00344562" w:rsidRPr="00344562">
              <w:rPr>
                <w:rFonts w:cstheme="minorHAnsi"/>
                <w:noProof/>
                <w:webHidden/>
              </w:rPr>
              <w:fldChar w:fldCharType="begin"/>
            </w:r>
            <w:r w:rsidR="00344562" w:rsidRPr="00344562">
              <w:rPr>
                <w:rFonts w:cstheme="minorHAnsi"/>
                <w:noProof/>
                <w:webHidden/>
              </w:rPr>
              <w:instrText xml:space="preserve"> PAGEREF _Toc99041675 \h </w:instrText>
            </w:r>
            <w:r w:rsidR="00344562" w:rsidRPr="00344562">
              <w:rPr>
                <w:rFonts w:cstheme="minorHAnsi"/>
                <w:noProof/>
                <w:webHidden/>
              </w:rPr>
            </w:r>
            <w:r w:rsidR="00344562" w:rsidRPr="00344562">
              <w:rPr>
                <w:rFonts w:cstheme="minorHAnsi"/>
                <w:noProof/>
                <w:webHidden/>
              </w:rPr>
              <w:fldChar w:fldCharType="separate"/>
            </w:r>
            <w:r w:rsidR="00344562" w:rsidRPr="00344562">
              <w:rPr>
                <w:rFonts w:cstheme="minorHAnsi"/>
                <w:noProof/>
                <w:webHidden/>
              </w:rPr>
              <w:t>30</w:t>
            </w:r>
            <w:r w:rsidR="00344562" w:rsidRPr="00344562">
              <w:rPr>
                <w:rFonts w:cstheme="minorHAnsi"/>
                <w:noProof/>
                <w:webHidden/>
              </w:rPr>
              <w:fldChar w:fldCharType="end"/>
            </w:r>
          </w:hyperlink>
        </w:p>
        <w:p w14:paraId="1A5833E0" w14:textId="77918C96" w:rsidR="00344562" w:rsidRPr="00344562" w:rsidRDefault="00D14E5B" w:rsidP="00791619">
          <w:pPr>
            <w:pStyle w:val="TOC2"/>
            <w:jc w:val="both"/>
            <w:rPr>
              <w:rFonts w:eastAsiaTheme="minorEastAsia" w:cstheme="minorHAnsi"/>
              <w:noProof/>
              <w:lang w:eastAsia="en-AU"/>
            </w:rPr>
          </w:pPr>
          <w:hyperlink w:anchor="_Toc99041676" w:history="1">
            <w:r w:rsidR="00344562" w:rsidRPr="00344562">
              <w:rPr>
                <w:rStyle w:val="Hyperlink"/>
                <w:rFonts w:cstheme="minorHAnsi"/>
                <w:noProof/>
              </w:rPr>
              <w:t>6.4</w:t>
            </w:r>
            <w:r w:rsidR="00344562" w:rsidRPr="00344562">
              <w:rPr>
                <w:rFonts w:eastAsiaTheme="minorEastAsia" w:cstheme="minorHAnsi"/>
                <w:noProof/>
                <w:lang w:eastAsia="en-AU"/>
              </w:rPr>
              <w:tab/>
            </w:r>
            <w:r w:rsidR="00344562" w:rsidRPr="00344562">
              <w:rPr>
                <w:rStyle w:val="Hyperlink"/>
                <w:rFonts w:cstheme="minorHAnsi"/>
                <w:noProof/>
              </w:rPr>
              <w:t>Planning and Reporting Cycles</w:t>
            </w:r>
            <w:r w:rsidR="00344562" w:rsidRPr="00344562">
              <w:rPr>
                <w:rFonts w:cstheme="minorHAnsi"/>
                <w:noProof/>
                <w:webHidden/>
              </w:rPr>
              <w:tab/>
            </w:r>
            <w:r w:rsidR="00344562" w:rsidRPr="00344562">
              <w:rPr>
                <w:rFonts w:cstheme="minorHAnsi"/>
                <w:noProof/>
                <w:webHidden/>
              </w:rPr>
              <w:fldChar w:fldCharType="begin"/>
            </w:r>
            <w:r w:rsidR="00344562" w:rsidRPr="00344562">
              <w:rPr>
                <w:rFonts w:cstheme="minorHAnsi"/>
                <w:noProof/>
                <w:webHidden/>
              </w:rPr>
              <w:instrText xml:space="preserve"> PAGEREF _Toc99041676 \h </w:instrText>
            </w:r>
            <w:r w:rsidR="00344562" w:rsidRPr="00344562">
              <w:rPr>
                <w:rFonts w:cstheme="minorHAnsi"/>
                <w:noProof/>
                <w:webHidden/>
              </w:rPr>
            </w:r>
            <w:r w:rsidR="00344562" w:rsidRPr="00344562">
              <w:rPr>
                <w:rFonts w:cstheme="minorHAnsi"/>
                <w:noProof/>
                <w:webHidden/>
              </w:rPr>
              <w:fldChar w:fldCharType="separate"/>
            </w:r>
            <w:r w:rsidR="00344562" w:rsidRPr="00344562">
              <w:rPr>
                <w:rFonts w:cstheme="minorHAnsi"/>
                <w:noProof/>
                <w:webHidden/>
              </w:rPr>
              <w:t>30</w:t>
            </w:r>
            <w:r w:rsidR="00344562" w:rsidRPr="00344562">
              <w:rPr>
                <w:rFonts w:cstheme="minorHAnsi"/>
                <w:noProof/>
                <w:webHidden/>
              </w:rPr>
              <w:fldChar w:fldCharType="end"/>
            </w:r>
          </w:hyperlink>
        </w:p>
        <w:p w14:paraId="44CAE8A0" w14:textId="7568C21A" w:rsidR="00344562" w:rsidRPr="00344562" w:rsidRDefault="00D14E5B" w:rsidP="00791619">
          <w:pPr>
            <w:pStyle w:val="TOC2"/>
            <w:jc w:val="both"/>
            <w:rPr>
              <w:rFonts w:eastAsiaTheme="minorEastAsia" w:cstheme="minorHAnsi"/>
              <w:noProof/>
              <w:lang w:eastAsia="en-AU"/>
            </w:rPr>
          </w:pPr>
          <w:hyperlink w:anchor="_Toc99041677" w:history="1">
            <w:r w:rsidR="00344562" w:rsidRPr="00344562">
              <w:rPr>
                <w:rStyle w:val="Hyperlink"/>
                <w:rFonts w:cstheme="minorHAnsi"/>
                <w:noProof/>
              </w:rPr>
              <w:t>6.5</w:t>
            </w:r>
            <w:r w:rsidR="00344562" w:rsidRPr="00344562">
              <w:rPr>
                <w:rFonts w:eastAsiaTheme="minorEastAsia" w:cstheme="minorHAnsi"/>
                <w:noProof/>
                <w:lang w:eastAsia="en-AU"/>
              </w:rPr>
              <w:tab/>
            </w:r>
            <w:r w:rsidR="00344562" w:rsidRPr="00344562">
              <w:rPr>
                <w:rStyle w:val="Hyperlink"/>
                <w:rFonts w:cstheme="minorHAnsi"/>
                <w:noProof/>
              </w:rPr>
              <w:t>Learning Processes</w:t>
            </w:r>
            <w:r w:rsidR="00344562" w:rsidRPr="00344562">
              <w:rPr>
                <w:rFonts w:cstheme="minorHAnsi"/>
                <w:noProof/>
                <w:webHidden/>
              </w:rPr>
              <w:tab/>
            </w:r>
            <w:r w:rsidR="00344562" w:rsidRPr="00344562">
              <w:rPr>
                <w:rFonts w:cstheme="minorHAnsi"/>
                <w:noProof/>
                <w:webHidden/>
              </w:rPr>
              <w:fldChar w:fldCharType="begin"/>
            </w:r>
            <w:r w:rsidR="00344562" w:rsidRPr="00344562">
              <w:rPr>
                <w:rFonts w:cstheme="minorHAnsi"/>
                <w:noProof/>
                <w:webHidden/>
              </w:rPr>
              <w:instrText xml:space="preserve"> PAGEREF _Toc99041677 \h </w:instrText>
            </w:r>
            <w:r w:rsidR="00344562" w:rsidRPr="00344562">
              <w:rPr>
                <w:rFonts w:cstheme="minorHAnsi"/>
                <w:noProof/>
                <w:webHidden/>
              </w:rPr>
            </w:r>
            <w:r w:rsidR="00344562" w:rsidRPr="00344562">
              <w:rPr>
                <w:rFonts w:cstheme="minorHAnsi"/>
                <w:noProof/>
                <w:webHidden/>
              </w:rPr>
              <w:fldChar w:fldCharType="separate"/>
            </w:r>
            <w:r w:rsidR="00344562" w:rsidRPr="00344562">
              <w:rPr>
                <w:rFonts w:cstheme="minorHAnsi"/>
                <w:noProof/>
                <w:webHidden/>
              </w:rPr>
              <w:t>31</w:t>
            </w:r>
            <w:r w:rsidR="00344562" w:rsidRPr="00344562">
              <w:rPr>
                <w:rFonts w:cstheme="minorHAnsi"/>
                <w:noProof/>
                <w:webHidden/>
              </w:rPr>
              <w:fldChar w:fldCharType="end"/>
            </w:r>
          </w:hyperlink>
        </w:p>
        <w:p w14:paraId="374B0A35" w14:textId="3053451C" w:rsidR="00344562" w:rsidRPr="00344562" w:rsidRDefault="00D14E5B" w:rsidP="00791619">
          <w:pPr>
            <w:pStyle w:val="TOC2"/>
            <w:jc w:val="both"/>
            <w:rPr>
              <w:rFonts w:eastAsiaTheme="minorEastAsia" w:cstheme="minorHAnsi"/>
              <w:noProof/>
              <w:lang w:eastAsia="en-AU"/>
            </w:rPr>
          </w:pPr>
          <w:hyperlink w:anchor="_Toc99041678" w:history="1">
            <w:r w:rsidR="00344562" w:rsidRPr="00344562">
              <w:rPr>
                <w:rStyle w:val="Hyperlink"/>
                <w:rFonts w:cstheme="minorHAnsi"/>
                <w:noProof/>
              </w:rPr>
              <w:t xml:space="preserve">6.6 </w:t>
            </w:r>
            <w:r w:rsidR="00344562" w:rsidRPr="00344562">
              <w:rPr>
                <w:rFonts w:eastAsiaTheme="minorEastAsia" w:cstheme="minorHAnsi"/>
                <w:noProof/>
                <w:lang w:eastAsia="en-AU"/>
              </w:rPr>
              <w:tab/>
            </w:r>
            <w:r w:rsidR="00344562" w:rsidRPr="00344562">
              <w:rPr>
                <w:rStyle w:val="Hyperlink"/>
                <w:rFonts w:cstheme="minorHAnsi"/>
                <w:noProof/>
              </w:rPr>
              <w:t>Resources</w:t>
            </w:r>
            <w:r w:rsidR="00344562" w:rsidRPr="00344562">
              <w:rPr>
                <w:rFonts w:cstheme="minorHAnsi"/>
                <w:noProof/>
                <w:webHidden/>
              </w:rPr>
              <w:tab/>
            </w:r>
            <w:r w:rsidR="00344562" w:rsidRPr="00344562">
              <w:rPr>
                <w:rFonts w:cstheme="minorHAnsi"/>
                <w:noProof/>
                <w:webHidden/>
              </w:rPr>
              <w:fldChar w:fldCharType="begin"/>
            </w:r>
            <w:r w:rsidR="00344562" w:rsidRPr="00344562">
              <w:rPr>
                <w:rFonts w:cstheme="minorHAnsi"/>
                <w:noProof/>
                <w:webHidden/>
              </w:rPr>
              <w:instrText xml:space="preserve"> PAGEREF _Toc99041678 \h </w:instrText>
            </w:r>
            <w:r w:rsidR="00344562" w:rsidRPr="00344562">
              <w:rPr>
                <w:rFonts w:cstheme="minorHAnsi"/>
                <w:noProof/>
                <w:webHidden/>
              </w:rPr>
            </w:r>
            <w:r w:rsidR="00344562" w:rsidRPr="00344562">
              <w:rPr>
                <w:rFonts w:cstheme="minorHAnsi"/>
                <w:noProof/>
                <w:webHidden/>
              </w:rPr>
              <w:fldChar w:fldCharType="separate"/>
            </w:r>
            <w:r w:rsidR="00344562" w:rsidRPr="00344562">
              <w:rPr>
                <w:rFonts w:cstheme="minorHAnsi"/>
                <w:noProof/>
                <w:webHidden/>
              </w:rPr>
              <w:t>32</w:t>
            </w:r>
            <w:r w:rsidR="00344562" w:rsidRPr="00344562">
              <w:rPr>
                <w:rFonts w:cstheme="minorHAnsi"/>
                <w:noProof/>
                <w:webHidden/>
              </w:rPr>
              <w:fldChar w:fldCharType="end"/>
            </w:r>
          </w:hyperlink>
        </w:p>
        <w:p w14:paraId="54D3630D" w14:textId="624EC17A" w:rsidR="00344562" w:rsidRPr="00344562" w:rsidRDefault="00D14E5B" w:rsidP="00791619">
          <w:pPr>
            <w:pStyle w:val="TOC2"/>
            <w:jc w:val="both"/>
            <w:rPr>
              <w:rFonts w:eastAsiaTheme="minorEastAsia" w:cstheme="minorHAnsi"/>
              <w:noProof/>
              <w:lang w:eastAsia="en-AU"/>
            </w:rPr>
          </w:pPr>
          <w:hyperlink w:anchor="_Toc99041679" w:history="1">
            <w:r w:rsidR="00344562" w:rsidRPr="00344562">
              <w:rPr>
                <w:rStyle w:val="Hyperlink"/>
                <w:rFonts w:cstheme="minorHAnsi"/>
                <w:noProof/>
              </w:rPr>
              <w:t>6.6</w:t>
            </w:r>
            <w:r w:rsidR="00344562" w:rsidRPr="00344562">
              <w:rPr>
                <w:rFonts w:eastAsiaTheme="minorEastAsia" w:cstheme="minorHAnsi"/>
                <w:noProof/>
                <w:lang w:eastAsia="en-AU"/>
              </w:rPr>
              <w:tab/>
            </w:r>
            <w:r w:rsidR="00344562" w:rsidRPr="00344562">
              <w:rPr>
                <w:rStyle w:val="Hyperlink"/>
                <w:rFonts w:cstheme="minorHAnsi"/>
                <w:noProof/>
              </w:rPr>
              <w:t>Evaluation</w:t>
            </w:r>
            <w:r w:rsidR="00344562" w:rsidRPr="00344562">
              <w:rPr>
                <w:rFonts w:cstheme="minorHAnsi"/>
                <w:noProof/>
                <w:webHidden/>
              </w:rPr>
              <w:tab/>
            </w:r>
            <w:r w:rsidR="00344562" w:rsidRPr="00344562">
              <w:rPr>
                <w:rFonts w:cstheme="minorHAnsi"/>
                <w:noProof/>
                <w:webHidden/>
              </w:rPr>
              <w:fldChar w:fldCharType="begin"/>
            </w:r>
            <w:r w:rsidR="00344562" w:rsidRPr="00344562">
              <w:rPr>
                <w:rFonts w:cstheme="minorHAnsi"/>
                <w:noProof/>
                <w:webHidden/>
              </w:rPr>
              <w:instrText xml:space="preserve"> PAGEREF _Toc99041679 \h </w:instrText>
            </w:r>
            <w:r w:rsidR="00344562" w:rsidRPr="00344562">
              <w:rPr>
                <w:rFonts w:cstheme="minorHAnsi"/>
                <w:noProof/>
                <w:webHidden/>
              </w:rPr>
            </w:r>
            <w:r w:rsidR="00344562" w:rsidRPr="00344562">
              <w:rPr>
                <w:rFonts w:cstheme="minorHAnsi"/>
                <w:noProof/>
                <w:webHidden/>
              </w:rPr>
              <w:fldChar w:fldCharType="separate"/>
            </w:r>
            <w:r w:rsidR="00344562" w:rsidRPr="00344562">
              <w:rPr>
                <w:rFonts w:cstheme="minorHAnsi"/>
                <w:noProof/>
                <w:webHidden/>
              </w:rPr>
              <w:t>32</w:t>
            </w:r>
            <w:r w:rsidR="00344562" w:rsidRPr="00344562">
              <w:rPr>
                <w:rFonts w:cstheme="minorHAnsi"/>
                <w:noProof/>
                <w:webHidden/>
              </w:rPr>
              <w:fldChar w:fldCharType="end"/>
            </w:r>
          </w:hyperlink>
        </w:p>
        <w:p w14:paraId="4C8BD4B8" w14:textId="7A19FC9E" w:rsidR="00344562" w:rsidRPr="00344562" w:rsidRDefault="00D14E5B" w:rsidP="00791619">
          <w:pPr>
            <w:pStyle w:val="TOC1"/>
            <w:jc w:val="both"/>
            <w:rPr>
              <w:rFonts w:eastAsiaTheme="minorEastAsia"/>
              <w:lang w:eastAsia="en-AU"/>
            </w:rPr>
          </w:pPr>
          <w:hyperlink w:anchor="_Toc99041680" w:history="1">
            <w:r w:rsidR="00344562" w:rsidRPr="00344562">
              <w:rPr>
                <w:rStyle w:val="Hyperlink"/>
              </w:rPr>
              <w:t>7.</w:t>
            </w:r>
            <w:r w:rsidR="00344562" w:rsidRPr="00344562">
              <w:rPr>
                <w:rFonts w:eastAsiaTheme="minorEastAsia"/>
                <w:lang w:eastAsia="en-AU"/>
              </w:rPr>
              <w:tab/>
            </w:r>
            <w:r w:rsidR="00344562" w:rsidRPr="00344562">
              <w:rPr>
                <w:rStyle w:val="Hyperlink"/>
              </w:rPr>
              <w:t>Budget</w:t>
            </w:r>
            <w:r w:rsidR="00344562" w:rsidRPr="00344562">
              <w:rPr>
                <w:webHidden/>
              </w:rPr>
              <w:tab/>
            </w:r>
            <w:r w:rsidR="00344562" w:rsidRPr="00344562">
              <w:rPr>
                <w:webHidden/>
              </w:rPr>
              <w:fldChar w:fldCharType="begin"/>
            </w:r>
            <w:r w:rsidR="00344562" w:rsidRPr="00344562">
              <w:rPr>
                <w:webHidden/>
              </w:rPr>
              <w:instrText xml:space="preserve"> PAGEREF _Toc99041680 \h </w:instrText>
            </w:r>
            <w:r w:rsidR="00344562" w:rsidRPr="00344562">
              <w:rPr>
                <w:webHidden/>
              </w:rPr>
            </w:r>
            <w:r w:rsidR="00344562" w:rsidRPr="00344562">
              <w:rPr>
                <w:webHidden/>
              </w:rPr>
              <w:fldChar w:fldCharType="separate"/>
            </w:r>
            <w:r w:rsidR="00344562" w:rsidRPr="00344562">
              <w:rPr>
                <w:webHidden/>
              </w:rPr>
              <w:t>33</w:t>
            </w:r>
            <w:r w:rsidR="00344562" w:rsidRPr="00344562">
              <w:rPr>
                <w:webHidden/>
              </w:rPr>
              <w:fldChar w:fldCharType="end"/>
            </w:r>
          </w:hyperlink>
        </w:p>
        <w:p w14:paraId="2B6C7F5F" w14:textId="6477396C" w:rsidR="00344562" w:rsidRPr="00344562" w:rsidRDefault="00D14E5B" w:rsidP="00791619">
          <w:pPr>
            <w:pStyle w:val="TOC2"/>
            <w:jc w:val="both"/>
            <w:rPr>
              <w:rFonts w:eastAsiaTheme="minorEastAsia" w:cstheme="minorHAnsi"/>
              <w:noProof/>
              <w:lang w:eastAsia="en-AU"/>
            </w:rPr>
          </w:pPr>
          <w:hyperlink w:anchor="_Toc99041681" w:history="1">
            <w:r w:rsidR="00344562" w:rsidRPr="00344562">
              <w:rPr>
                <w:rStyle w:val="Hyperlink"/>
                <w:rFonts w:cstheme="minorHAnsi"/>
                <w:noProof/>
              </w:rPr>
              <w:t>7.1</w:t>
            </w:r>
            <w:r w:rsidR="00344562" w:rsidRPr="00344562">
              <w:rPr>
                <w:rFonts w:eastAsiaTheme="minorEastAsia" w:cstheme="minorHAnsi"/>
                <w:noProof/>
                <w:lang w:eastAsia="en-AU"/>
              </w:rPr>
              <w:tab/>
            </w:r>
            <w:r w:rsidR="00344562" w:rsidRPr="00344562">
              <w:rPr>
                <w:rStyle w:val="Hyperlink"/>
                <w:rFonts w:cstheme="minorHAnsi"/>
                <w:noProof/>
              </w:rPr>
              <w:t>High level Program budget breakdown</w:t>
            </w:r>
            <w:r w:rsidR="00344562" w:rsidRPr="00344562">
              <w:rPr>
                <w:rFonts w:cstheme="minorHAnsi"/>
                <w:noProof/>
                <w:webHidden/>
              </w:rPr>
              <w:tab/>
            </w:r>
            <w:r w:rsidR="00344562" w:rsidRPr="00344562">
              <w:rPr>
                <w:rFonts w:cstheme="minorHAnsi"/>
                <w:noProof/>
                <w:webHidden/>
              </w:rPr>
              <w:fldChar w:fldCharType="begin"/>
            </w:r>
            <w:r w:rsidR="00344562" w:rsidRPr="00344562">
              <w:rPr>
                <w:rFonts w:cstheme="minorHAnsi"/>
                <w:noProof/>
                <w:webHidden/>
              </w:rPr>
              <w:instrText xml:space="preserve"> PAGEREF _Toc99041681 \h </w:instrText>
            </w:r>
            <w:r w:rsidR="00344562" w:rsidRPr="00344562">
              <w:rPr>
                <w:rFonts w:cstheme="minorHAnsi"/>
                <w:noProof/>
                <w:webHidden/>
              </w:rPr>
            </w:r>
            <w:r w:rsidR="00344562" w:rsidRPr="00344562">
              <w:rPr>
                <w:rFonts w:cstheme="minorHAnsi"/>
                <w:noProof/>
                <w:webHidden/>
              </w:rPr>
              <w:fldChar w:fldCharType="separate"/>
            </w:r>
            <w:r w:rsidR="00344562" w:rsidRPr="00344562">
              <w:rPr>
                <w:rFonts w:cstheme="minorHAnsi"/>
                <w:noProof/>
                <w:webHidden/>
              </w:rPr>
              <w:t>33</w:t>
            </w:r>
            <w:r w:rsidR="00344562" w:rsidRPr="00344562">
              <w:rPr>
                <w:rFonts w:cstheme="minorHAnsi"/>
                <w:noProof/>
                <w:webHidden/>
              </w:rPr>
              <w:fldChar w:fldCharType="end"/>
            </w:r>
          </w:hyperlink>
        </w:p>
        <w:p w14:paraId="7C5F21E5" w14:textId="410CCFF3" w:rsidR="00344562" w:rsidRPr="00344562" w:rsidRDefault="00D14E5B" w:rsidP="00791619">
          <w:pPr>
            <w:pStyle w:val="TOC1"/>
            <w:jc w:val="both"/>
            <w:rPr>
              <w:rFonts w:eastAsiaTheme="minorEastAsia"/>
              <w:lang w:eastAsia="en-AU"/>
            </w:rPr>
          </w:pPr>
          <w:hyperlink w:anchor="_Toc99041682" w:history="1">
            <w:r w:rsidR="00344562" w:rsidRPr="00344562">
              <w:rPr>
                <w:rStyle w:val="Hyperlink"/>
              </w:rPr>
              <w:t>8.</w:t>
            </w:r>
            <w:r w:rsidR="00344562" w:rsidRPr="00344562">
              <w:rPr>
                <w:rFonts w:eastAsiaTheme="minorEastAsia"/>
                <w:lang w:eastAsia="en-AU"/>
              </w:rPr>
              <w:tab/>
            </w:r>
            <w:r w:rsidR="00344562" w:rsidRPr="00344562">
              <w:rPr>
                <w:rStyle w:val="Hyperlink"/>
              </w:rPr>
              <w:t>Risk management and safeguards</w:t>
            </w:r>
            <w:r w:rsidR="00344562" w:rsidRPr="00344562">
              <w:rPr>
                <w:webHidden/>
              </w:rPr>
              <w:tab/>
            </w:r>
            <w:r w:rsidR="00344562" w:rsidRPr="00344562">
              <w:rPr>
                <w:webHidden/>
              </w:rPr>
              <w:fldChar w:fldCharType="begin"/>
            </w:r>
            <w:r w:rsidR="00344562" w:rsidRPr="00344562">
              <w:rPr>
                <w:webHidden/>
              </w:rPr>
              <w:instrText xml:space="preserve"> PAGEREF _Toc99041682 \h </w:instrText>
            </w:r>
            <w:r w:rsidR="00344562" w:rsidRPr="00344562">
              <w:rPr>
                <w:webHidden/>
              </w:rPr>
            </w:r>
            <w:r w:rsidR="00344562" w:rsidRPr="00344562">
              <w:rPr>
                <w:webHidden/>
              </w:rPr>
              <w:fldChar w:fldCharType="separate"/>
            </w:r>
            <w:r w:rsidR="00344562" w:rsidRPr="00344562">
              <w:rPr>
                <w:webHidden/>
              </w:rPr>
              <w:t>34</w:t>
            </w:r>
            <w:r w:rsidR="00344562" w:rsidRPr="00344562">
              <w:rPr>
                <w:webHidden/>
              </w:rPr>
              <w:fldChar w:fldCharType="end"/>
            </w:r>
          </w:hyperlink>
        </w:p>
        <w:p w14:paraId="68A44BD8" w14:textId="157904E8" w:rsidR="00344562" w:rsidRPr="00344562" w:rsidRDefault="00D14E5B" w:rsidP="00791619">
          <w:pPr>
            <w:pStyle w:val="TOC2"/>
            <w:jc w:val="both"/>
            <w:rPr>
              <w:rFonts w:eastAsiaTheme="minorEastAsia" w:cstheme="minorHAnsi"/>
              <w:noProof/>
              <w:lang w:eastAsia="en-AU"/>
            </w:rPr>
          </w:pPr>
          <w:hyperlink w:anchor="_Toc99041683" w:history="1">
            <w:r w:rsidR="00344562" w:rsidRPr="00344562">
              <w:rPr>
                <w:rStyle w:val="Hyperlink"/>
                <w:rFonts w:cstheme="minorHAnsi"/>
                <w:noProof/>
              </w:rPr>
              <w:t>8.1</w:t>
            </w:r>
            <w:r w:rsidR="00344562" w:rsidRPr="00344562">
              <w:rPr>
                <w:rFonts w:eastAsiaTheme="minorEastAsia" w:cstheme="minorHAnsi"/>
                <w:noProof/>
                <w:lang w:eastAsia="en-AU"/>
              </w:rPr>
              <w:tab/>
            </w:r>
            <w:r w:rsidR="00344562" w:rsidRPr="00344562">
              <w:rPr>
                <w:rStyle w:val="Hyperlink"/>
                <w:rFonts w:cstheme="minorHAnsi"/>
                <w:noProof/>
              </w:rPr>
              <w:t>Key Risks and mitigation</w:t>
            </w:r>
            <w:r w:rsidR="00344562" w:rsidRPr="00344562">
              <w:rPr>
                <w:rFonts w:cstheme="minorHAnsi"/>
                <w:noProof/>
                <w:webHidden/>
              </w:rPr>
              <w:tab/>
            </w:r>
            <w:r w:rsidR="00344562" w:rsidRPr="00344562">
              <w:rPr>
                <w:rFonts w:cstheme="minorHAnsi"/>
                <w:noProof/>
                <w:webHidden/>
              </w:rPr>
              <w:fldChar w:fldCharType="begin"/>
            </w:r>
            <w:r w:rsidR="00344562" w:rsidRPr="00344562">
              <w:rPr>
                <w:rFonts w:cstheme="minorHAnsi"/>
                <w:noProof/>
                <w:webHidden/>
              </w:rPr>
              <w:instrText xml:space="preserve"> PAGEREF _Toc99041683 \h </w:instrText>
            </w:r>
            <w:r w:rsidR="00344562" w:rsidRPr="00344562">
              <w:rPr>
                <w:rFonts w:cstheme="minorHAnsi"/>
                <w:noProof/>
                <w:webHidden/>
              </w:rPr>
            </w:r>
            <w:r w:rsidR="00344562" w:rsidRPr="00344562">
              <w:rPr>
                <w:rFonts w:cstheme="minorHAnsi"/>
                <w:noProof/>
                <w:webHidden/>
              </w:rPr>
              <w:fldChar w:fldCharType="separate"/>
            </w:r>
            <w:r w:rsidR="00344562" w:rsidRPr="00344562">
              <w:rPr>
                <w:rFonts w:cstheme="minorHAnsi"/>
                <w:noProof/>
                <w:webHidden/>
              </w:rPr>
              <w:t>34</w:t>
            </w:r>
            <w:r w:rsidR="00344562" w:rsidRPr="00344562">
              <w:rPr>
                <w:rFonts w:cstheme="minorHAnsi"/>
                <w:noProof/>
                <w:webHidden/>
              </w:rPr>
              <w:fldChar w:fldCharType="end"/>
            </w:r>
          </w:hyperlink>
        </w:p>
        <w:p w14:paraId="01FE8ED7" w14:textId="69AF304E" w:rsidR="00344562" w:rsidRPr="00344562" w:rsidRDefault="00D14E5B" w:rsidP="00791619">
          <w:pPr>
            <w:pStyle w:val="TOC2"/>
            <w:jc w:val="both"/>
            <w:rPr>
              <w:rFonts w:eastAsiaTheme="minorEastAsia" w:cstheme="minorHAnsi"/>
              <w:noProof/>
              <w:lang w:eastAsia="en-AU"/>
            </w:rPr>
          </w:pPr>
          <w:hyperlink w:anchor="_Toc99041684" w:history="1">
            <w:r w:rsidR="00344562" w:rsidRPr="00344562">
              <w:rPr>
                <w:rStyle w:val="Hyperlink"/>
                <w:rFonts w:cstheme="minorHAnsi"/>
                <w:noProof/>
              </w:rPr>
              <w:t>8.2</w:t>
            </w:r>
            <w:r w:rsidR="00344562" w:rsidRPr="00344562">
              <w:rPr>
                <w:rFonts w:eastAsiaTheme="minorEastAsia" w:cstheme="minorHAnsi"/>
                <w:noProof/>
                <w:lang w:eastAsia="en-AU"/>
              </w:rPr>
              <w:tab/>
            </w:r>
            <w:r w:rsidR="00344562" w:rsidRPr="00344562">
              <w:rPr>
                <w:rStyle w:val="Hyperlink"/>
                <w:rFonts w:cstheme="minorHAnsi"/>
                <w:noProof/>
              </w:rPr>
              <w:t>Risk control policies and processes</w:t>
            </w:r>
            <w:r w:rsidR="00344562" w:rsidRPr="00344562">
              <w:rPr>
                <w:rFonts w:cstheme="minorHAnsi"/>
                <w:noProof/>
                <w:webHidden/>
              </w:rPr>
              <w:tab/>
            </w:r>
            <w:r w:rsidR="00344562" w:rsidRPr="00344562">
              <w:rPr>
                <w:rFonts w:cstheme="minorHAnsi"/>
                <w:noProof/>
                <w:webHidden/>
              </w:rPr>
              <w:fldChar w:fldCharType="begin"/>
            </w:r>
            <w:r w:rsidR="00344562" w:rsidRPr="00344562">
              <w:rPr>
                <w:rFonts w:cstheme="minorHAnsi"/>
                <w:noProof/>
                <w:webHidden/>
              </w:rPr>
              <w:instrText xml:space="preserve"> PAGEREF _Toc99041684 \h </w:instrText>
            </w:r>
            <w:r w:rsidR="00344562" w:rsidRPr="00344562">
              <w:rPr>
                <w:rFonts w:cstheme="minorHAnsi"/>
                <w:noProof/>
                <w:webHidden/>
              </w:rPr>
            </w:r>
            <w:r w:rsidR="00344562" w:rsidRPr="00344562">
              <w:rPr>
                <w:rFonts w:cstheme="minorHAnsi"/>
                <w:noProof/>
                <w:webHidden/>
              </w:rPr>
              <w:fldChar w:fldCharType="separate"/>
            </w:r>
            <w:r w:rsidR="00344562" w:rsidRPr="00344562">
              <w:rPr>
                <w:rFonts w:cstheme="minorHAnsi"/>
                <w:noProof/>
                <w:webHidden/>
              </w:rPr>
              <w:t>34</w:t>
            </w:r>
            <w:r w:rsidR="00344562" w:rsidRPr="00344562">
              <w:rPr>
                <w:rFonts w:cstheme="minorHAnsi"/>
                <w:noProof/>
                <w:webHidden/>
              </w:rPr>
              <w:fldChar w:fldCharType="end"/>
            </w:r>
          </w:hyperlink>
        </w:p>
        <w:p w14:paraId="4FE1A834" w14:textId="08A030A2" w:rsidR="00A06D91" w:rsidRPr="0012389B" w:rsidRDefault="00D1799B" w:rsidP="00791619">
          <w:pPr>
            <w:pStyle w:val="TOC1"/>
            <w:jc w:val="both"/>
          </w:pPr>
          <w:r w:rsidRPr="00344562">
            <w:fldChar w:fldCharType="end"/>
          </w:r>
        </w:p>
      </w:sdtContent>
    </w:sdt>
    <w:p w14:paraId="251805C9" w14:textId="02CD0489" w:rsidR="00096436" w:rsidRPr="00AE04A5" w:rsidRDefault="00096436" w:rsidP="00791619">
      <w:pPr>
        <w:pStyle w:val="BodyTextHanging"/>
        <w:spacing w:after="0"/>
        <w:jc w:val="both"/>
        <w:rPr>
          <w:rFonts w:asciiTheme="minorHAnsi" w:hAnsiTheme="minorHAnsi" w:cstheme="minorHAnsi"/>
          <w:lang w:val="en-AU"/>
        </w:rPr>
      </w:pPr>
      <w:r w:rsidRPr="00096436">
        <w:rPr>
          <w:rFonts w:asciiTheme="minorHAnsi" w:hAnsiTheme="minorHAnsi" w:cstheme="minorHAnsi"/>
          <w:b/>
          <w:bCs/>
          <w:lang w:val="en-AU"/>
        </w:rPr>
        <w:t>Annex</w:t>
      </w:r>
      <w:r w:rsidR="00AE04A5">
        <w:rPr>
          <w:rFonts w:asciiTheme="minorHAnsi" w:hAnsiTheme="minorHAnsi" w:cstheme="minorHAnsi"/>
          <w:b/>
          <w:bCs/>
          <w:lang w:val="en-AU"/>
        </w:rPr>
        <w:t xml:space="preserve"> </w:t>
      </w:r>
      <w:r w:rsidR="00AE04A5" w:rsidRPr="00AE04A5">
        <w:rPr>
          <w:rFonts w:asciiTheme="minorHAnsi" w:hAnsiTheme="minorHAnsi" w:cstheme="minorHAnsi"/>
          <w:lang w:val="en-AU"/>
        </w:rPr>
        <w:t>(separate document)</w:t>
      </w:r>
    </w:p>
    <w:p w14:paraId="6EDC68F9" w14:textId="24615F86" w:rsidR="00096436" w:rsidRDefault="00096436" w:rsidP="00791619">
      <w:pPr>
        <w:pStyle w:val="BodyTextHanging"/>
        <w:numPr>
          <w:ilvl w:val="0"/>
          <w:numId w:val="43"/>
        </w:numPr>
        <w:spacing w:after="0"/>
        <w:ind w:left="851" w:hanging="851"/>
        <w:jc w:val="both"/>
        <w:rPr>
          <w:rFonts w:asciiTheme="minorHAnsi" w:hAnsiTheme="minorHAnsi" w:cstheme="minorHAnsi"/>
          <w:lang w:val="en-AU"/>
        </w:rPr>
      </w:pPr>
      <w:r>
        <w:rPr>
          <w:rFonts w:asciiTheme="minorHAnsi" w:hAnsiTheme="minorHAnsi" w:cstheme="minorHAnsi"/>
          <w:lang w:val="en-AU"/>
        </w:rPr>
        <w:t>Draft Monitoring and Evaluation Frame</w:t>
      </w:r>
      <w:r w:rsidR="005C2791">
        <w:rPr>
          <w:rFonts w:asciiTheme="minorHAnsi" w:hAnsiTheme="minorHAnsi" w:cstheme="minorHAnsi"/>
          <w:lang w:val="en-AU"/>
        </w:rPr>
        <w:t>w</w:t>
      </w:r>
      <w:r>
        <w:rPr>
          <w:rFonts w:asciiTheme="minorHAnsi" w:hAnsiTheme="minorHAnsi" w:cstheme="minorHAnsi"/>
          <w:lang w:val="en-AU"/>
        </w:rPr>
        <w:t>ork</w:t>
      </w:r>
    </w:p>
    <w:p w14:paraId="47C72ABF" w14:textId="2483C78A" w:rsidR="00096436" w:rsidRDefault="00096436" w:rsidP="00791619">
      <w:pPr>
        <w:pStyle w:val="BodyTextHanging"/>
        <w:numPr>
          <w:ilvl w:val="0"/>
          <w:numId w:val="43"/>
        </w:numPr>
        <w:spacing w:after="0"/>
        <w:ind w:left="851" w:hanging="851"/>
        <w:jc w:val="both"/>
        <w:rPr>
          <w:rFonts w:asciiTheme="minorHAnsi" w:hAnsiTheme="minorHAnsi" w:cstheme="minorHAnsi"/>
          <w:lang w:val="en-AU"/>
        </w:rPr>
      </w:pPr>
      <w:r>
        <w:rPr>
          <w:rFonts w:asciiTheme="minorHAnsi" w:hAnsiTheme="minorHAnsi" w:cstheme="minorHAnsi"/>
          <w:lang w:val="en-AU"/>
        </w:rPr>
        <w:t>Risk and Safeguards Tool</w:t>
      </w:r>
    </w:p>
    <w:p w14:paraId="0EF1C531" w14:textId="4BC815D7" w:rsidR="00096436" w:rsidRPr="00096436" w:rsidRDefault="00096436" w:rsidP="00791619">
      <w:pPr>
        <w:pStyle w:val="BodyTextHanging"/>
        <w:numPr>
          <w:ilvl w:val="0"/>
          <w:numId w:val="43"/>
        </w:numPr>
        <w:spacing w:after="0"/>
        <w:ind w:left="851" w:hanging="851"/>
        <w:jc w:val="both"/>
        <w:rPr>
          <w:rFonts w:asciiTheme="minorHAnsi" w:hAnsiTheme="minorHAnsi" w:cstheme="minorHAnsi"/>
          <w:lang w:val="en-AU"/>
        </w:rPr>
      </w:pPr>
      <w:r>
        <w:rPr>
          <w:rFonts w:asciiTheme="minorHAnsi" w:hAnsiTheme="minorHAnsi" w:cstheme="minorHAnsi"/>
          <w:lang w:val="en-AU"/>
        </w:rPr>
        <w:t>Context and GEDSI Analysis</w:t>
      </w:r>
    </w:p>
    <w:p w14:paraId="0C082978" w14:textId="2FE7A69C" w:rsidR="00096436" w:rsidRDefault="00096436" w:rsidP="00791619">
      <w:pPr>
        <w:pStyle w:val="BodyTextHanging"/>
        <w:numPr>
          <w:ilvl w:val="0"/>
          <w:numId w:val="43"/>
        </w:numPr>
        <w:spacing w:after="0"/>
        <w:ind w:left="851" w:hanging="851"/>
        <w:jc w:val="both"/>
        <w:rPr>
          <w:rFonts w:asciiTheme="minorHAnsi" w:hAnsiTheme="minorHAnsi" w:cstheme="minorHAnsi"/>
          <w:lang w:val="en-AU"/>
        </w:rPr>
      </w:pPr>
      <w:r>
        <w:rPr>
          <w:rFonts w:asciiTheme="minorHAnsi" w:hAnsiTheme="minorHAnsi" w:cstheme="minorHAnsi"/>
          <w:lang w:val="en-AU"/>
        </w:rPr>
        <w:t>Stakeholders Consulted</w:t>
      </w:r>
    </w:p>
    <w:p w14:paraId="41CC6A74" w14:textId="64EF7541" w:rsidR="00096436" w:rsidRPr="00096436" w:rsidRDefault="00096436" w:rsidP="00791619">
      <w:pPr>
        <w:pStyle w:val="BodyTextHanging"/>
        <w:numPr>
          <w:ilvl w:val="0"/>
          <w:numId w:val="43"/>
        </w:numPr>
        <w:spacing w:after="0"/>
        <w:ind w:left="851" w:hanging="851"/>
        <w:jc w:val="both"/>
        <w:rPr>
          <w:rFonts w:asciiTheme="minorHAnsi" w:hAnsiTheme="minorHAnsi" w:cstheme="minorHAnsi"/>
          <w:lang w:val="en-AU"/>
        </w:rPr>
        <w:sectPr w:rsidR="00096436" w:rsidRPr="00096436">
          <w:pgSz w:w="11906" w:h="16838"/>
          <w:pgMar w:top="1440" w:right="1440" w:bottom="1440" w:left="1440" w:header="708" w:footer="708" w:gutter="0"/>
          <w:cols w:space="708"/>
          <w:docGrid w:linePitch="360"/>
        </w:sectPr>
      </w:pPr>
      <w:r>
        <w:rPr>
          <w:rFonts w:asciiTheme="minorHAnsi" w:hAnsiTheme="minorHAnsi" w:cstheme="minorHAnsi"/>
          <w:lang w:val="en-AU"/>
        </w:rPr>
        <w:t>MTR Recommendations</w:t>
      </w:r>
    </w:p>
    <w:p w14:paraId="677ED33B" w14:textId="04CD7124" w:rsidR="00D714A9" w:rsidRPr="00304609" w:rsidRDefault="00D714A9" w:rsidP="00791619">
      <w:pPr>
        <w:pStyle w:val="Heading1"/>
        <w:jc w:val="both"/>
        <w:rPr>
          <w:rFonts w:ascii="Arial" w:hAnsi="Arial" w:cs="Arial"/>
          <w:sz w:val="28"/>
          <w:szCs w:val="28"/>
        </w:rPr>
      </w:pPr>
      <w:bookmarkStart w:id="10" w:name="_Toc99041647"/>
      <w:bookmarkStart w:id="11" w:name="_Toc70603163"/>
      <w:bookmarkStart w:id="12" w:name="_Toc73958053"/>
      <w:bookmarkStart w:id="13" w:name="_Toc97187806"/>
      <w:bookmarkStart w:id="14" w:name="_Toc97305450"/>
      <w:r w:rsidRPr="00304609">
        <w:rPr>
          <w:rFonts w:ascii="Arial" w:hAnsi="Arial" w:cs="Arial"/>
          <w:sz w:val="28"/>
          <w:szCs w:val="28"/>
        </w:rPr>
        <w:lastRenderedPageBreak/>
        <w:t>CPP Partners and Stakeholders</w:t>
      </w:r>
      <w:bookmarkEnd w:id="10"/>
    </w:p>
    <w:tbl>
      <w:tblPr>
        <w:tblStyle w:val="TableGrid"/>
        <w:tblW w:w="0" w:type="auto"/>
        <w:tblLook w:val="04A0" w:firstRow="1" w:lastRow="0" w:firstColumn="1" w:lastColumn="0" w:noHBand="0" w:noVBand="1"/>
      </w:tblPr>
      <w:tblGrid>
        <w:gridCol w:w="2405"/>
        <w:gridCol w:w="3260"/>
        <w:gridCol w:w="3345"/>
      </w:tblGrid>
      <w:tr w:rsidR="001353D7" w:rsidRPr="0012389B" w14:paraId="409D9D62" w14:textId="77777777" w:rsidTr="00DB45FA">
        <w:trPr>
          <w:tblHeader/>
        </w:trPr>
        <w:tc>
          <w:tcPr>
            <w:tcW w:w="9010" w:type="dxa"/>
            <w:gridSpan w:val="3"/>
            <w:shd w:val="clear" w:color="auto" w:fill="D9E2F3" w:themeFill="accent1" w:themeFillTint="33"/>
          </w:tcPr>
          <w:p w14:paraId="39F9D643" w14:textId="7116915E" w:rsidR="001353D7" w:rsidRPr="0012389B" w:rsidRDefault="001353D7" w:rsidP="00791619">
            <w:pPr>
              <w:spacing w:line="256" w:lineRule="auto"/>
              <w:contextualSpacing/>
              <w:jc w:val="both"/>
              <w:rPr>
                <w:rFonts w:cstheme="minorHAnsi"/>
                <w:b/>
                <w:bCs/>
                <w:sz w:val="18"/>
                <w:szCs w:val="18"/>
              </w:rPr>
            </w:pPr>
            <w:r>
              <w:rPr>
                <w:rFonts w:cstheme="minorHAnsi"/>
                <w:b/>
                <w:bCs/>
                <w:sz w:val="18"/>
                <w:szCs w:val="18"/>
              </w:rPr>
              <w:t xml:space="preserve">CPP Partners </w:t>
            </w:r>
          </w:p>
        </w:tc>
      </w:tr>
      <w:tr w:rsidR="00D714A9" w:rsidRPr="0012389B" w14:paraId="717EE811" w14:textId="77777777" w:rsidTr="00E6093B">
        <w:trPr>
          <w:tblHeader/>
        </w:trPr>
        <w:tc>
          <w:tcPr>
            <w:tcW w:w="5665" w:type="dxa"/>
            <w:gridSpan w:val="2"/>
            <w:shd w:val="clear" w:color="auto" w:fill="D9E2F3" w:themeFill="accent1" w:themeFillTint="33"/>
          </w:tcPr>
          <w:p w14:paraId="01F2F8A4" w14:textId="77777777" w:rsidR="00D714A9" w:rsidRPr="0012389B" w:rsidRDefault="00D714A9" w:rsidP="00791619">
            <w:pPr>
              <w:spacing w:line="256" w:lineRule="auto"/>
              <w:contextualSpacing/>
              <w:jc w:val="both"/>
              <w:rPr>
                <w:rFonts w:cstheme="minorHAnsi"/>
                <w:b/>
                <w:bCs/>
                <w:sz w:val="18"/>
                <w:szCs w:val="18"/>
              </w:rPr>
            </w:pPr>
            <w:r w:rsidRPr="0012389B">
              <w:rPr>
                <w:rFonts w:cstheme="minorHAnsi"/>
                <w:b/>
                <w:bCs/>
                <w:sz w:val="18"/>
                <w:szCs w:val="18"/>
              </w:rPr>
              <w:t>PNG Church partners</w:t>
            </w:r>
          </w:p>
        </w:tc>
        <w:tc>
          <w:tcPr>
            <w:tcW w:w="3345" w:type="dxa"/>
            <w:vMerge w:val="restart"/>
            <w:shd w:val="clear" w:color="auto" w:fill="D9E2F3" w:themeFill="accent1" w:themeFillTint="33"/>
            <w:vAlign w:val="center"/>
          </w:tcPr>
          <w:p w14:paraId="61396259" w14:textId="77777777" w:rsidR="00D714A9" w:rsidRPr="0012389B" w:rsidRDefault="00D714A9" w:rsidP="00791619">
            <w:pPr>
              <w:spacing w:line="256" w:lineRule="auto"/>
              <w:contextualSpacing/>
              <w:jc w:val="both"/>
              <w:rPr>
                <w:rFonts w:cstheme="minorHAnsi"/>
                <w:b/>
                <w:bCs/>
                <w:sz w:val="18"/>
                <w:szCs w:val="18"/>
              </w:rPr>
            </w:pPr>
            <w:r w:rsidRPr="0012389B">
              <w:rPr>
                <w:rFonts w:cstheme="minorHAnsi"/>
                <w:b/>
                <w:bCs/>
                <w:sz w:val="18"/>
                <w:szCs w:val="18"/>
              </w:rPr>
              <w:t>Australian NGO partners</w:t>
            </w:r>
          </w:p>
        </w:tc>
      </w:tr>
      <w:tr w:rsidR="00D714A9" w:rsidRPr="0012389B" w14:paraId="10E2EB1A" w14:textId="77777777" w:rsidTr="00E6093B">
        <w:trPr>
          <w:tblHeader/>
        </w:trPr>
        <w:tc>
          <w:tcPr>
            <w:tcW w:w="2405" w:type="dxa"/>
            <w:shd w:val="clear" w:color="auto" w:fill="D9E2F3" w:themeFill="accent1" w:themeFillTint="33"/>
          </w:tcPr>
          <w:p w14:paraId="2C99CF0F" w14:textId="77777777" w:rsidR="00D714A9" w:rsidRPr="0012389B" w:rsidRDefault="00D714A9" w:rsidP="00791619">
            <w:pPr>
              <w:spacing w:line="256" w:lineRule="auto"/>
              <w:contextualSpacing/>
              <w:jc w:val="both"/>
              <w:rPr>
                <w:rFonts w:cstheme="minorHAnsi"/>
                <w:b/>
                <w:bCs/>
                <w:sz w:val="18"/>
                <w:szCs w:val="18"/>
              </w:rPr>
            </w:pPr>
            <w:r w:rsidRPr="0012389B">
              <w:rPr>
                <w:rFonts w:cstheme="minorHAnsi"/>
                <w:b/>
                <w:bCs/>
                <w:sz w:val="18"/>
                <w:szCs w:val="18"/>
              </w:rPr>
              <w:t>Church</w:t>
            </w:r>
          </w:p>
        </w:tc>
        <w:tc>
          <w:tcPr>
            <w:tcW w:w="3260" w:type="dxa"/>
            <w:shd w:val="clear" w:color="auto" w:fill="D9E2F3" w:themeFill="accent1" w:themeFillTint="33"/>
          </w:tcPr>
          <w:p w14:paraId="23A94818" w14:textId="77777777" w:rsidR="00D714A9" w:rsidRPr="0012389B" w:rsidRDefault="00D714A9" w:rsidP="00791619">
            <w:pPr>
              <w:spacing w:line="256" w:lineRule="auto"/>
              <w:contextualSpacing/>
              <w:jc w:val="both"/>
              <w:rPr>
                <w:rFonts w:cstheme="minorHAnsi"/>
                <w:b/>
                <w:bCs/>
                <w:sz w:val="18"/>
                <w:szCs w:val="18"/>
              </w:rPr>
            </w:pPr>
            <w:r w:rsidRPr="0012389B">
              <w:rPr>
                <w:rFonts w:cstheme="minorHAnsi"/>
                <w:b/>
                <w:bCs/>
                <w:sz w:val="18"/>
                <w:szCs w:val="18"/>
              </w:rPr>
              <w:t xml:space="preserve">Responsible implementing unit  </w:t>
            </w:r>
          </w:p>
        </w:tc>
        <w:tc>
          <w:tcPr>
            <w:tcW w:w="3345" w:type="dxa"/>
            <w:vMerge/>
            <w:shd w:val="clear" w:color="auto" w:fill="D9E2F3" w:themeFill="accent1" w:themeFillTint="33"/>
          </w:tcPr>
          <w:p w14:paraId="303F8BCC" w14:textId="77777777" w:rsidR="00D714A9" w:rsidRPr="0012389B" w:rsidRDefault="00D714A9" w:rsidP="00791619">
            <w:pPr>
              <w:spacing w:line="256" w:lineRule="auto"/>
              <w:contextualSpacing/>
              <w:jc w:val="both"/>
              <w:rPr>
                <w:rFonts w:cstheme="minorHAnsi"/>
                <w:b/>
                <w:bCs/>
                <w:sz w:val="18"/>
                <w:szCs w:val="18"/>
              </w:rPr>
            </w:pPr>
          </w:p>
        </w:tc>
      </w:tr>
      <w:tr w:rsidR="00D714A9" w:rsidRPr="0012389B" w14:paraId="0736DBAE" w14:textId="77777777" w:rsidTr="00DB45FA">
        <w:tc>
          <w:tcPr>
            <w:tcW w:w="2405" w:type="dxa"/>
          </w:tcPr>
          <w:p w14:paraId="6C61FDB0" w14:textId="77777777" w:rsidR="00D714A9" w:rsidRPr="0012389B" w:rsidRDefault="00D714A9" w:rsidP="00791619">
            <w:pPr>
              <w:pStyle w:val="ListParagraph"/>
              <w:numPr>
                <w:ilvl w:val="0"/>
                <w:numId w:val="5"/>
              </w:numPr>
              <w:spacing w:line="256" w:lineRule="auto"/>
              <w:ind w:left="316"/>
              <w:jc w:val="both"/>
              <w:rPr>
                <w:rFonts w:cstheme="minorHAnsi"/>
                <w:sz w:val="18"/>
                <w:szCs w:val="18"/>
              </w:rPr>
            </w:pPr>
            <w:r w:rsidRPr="0012389B">
              <w:rPr>
                <w:rFonts w:cstheme="minorHAnsi"/>
                <w:sz w:val="18"/>
                <w:szCs w:val="18"/>
              </w:rPr>
              <w:t>Anglican Church in PNG</w:t>
            </w:r>
          </w:p>
        </w:tc>
        <w:tc>
          <w:tcPr>
            <w:tcW w:w="3260" w:type="dxa"/>
          </w:tcPr>
          <w:p w14:paraId="064E4074" w14:textId="77777777" w:rsidR="00D714A9" w:rsidRPr="0012389B" w:rsidRDefault="00D714A9" w:rsidP="00791619">
            <w:pPr>
              <w:spacing w:line="256" w:lineRule="auto"/>
              <w:contextualSpacing/>
              <w:jc w:val="both"/>
              <w:rPr>
                <w:rFonts w:cstheme="minorHAnsi"/>
                <w:sz w:val="18"/>
                <w:szCs w:val="18"/>
              </w:rPr>
            </w:pPr>
            <w:r w:rsidRPr="0012389B">
              <w:rPr>
                <w:rFonts w:cstheme="minorHAnsi"/>
                <w:sz w:val="18"/>
                <w:szCs w:val="18"/>
              </w:rPr>
              <w:t xml:space="preserve">Anglicare PNG </w:t>
            </w:r>
          </w:p>
          <w:p w14:paraId="030B4AD5" w14:textId="77777777" w:rsidR="00D714A9" w:rsidRPr="0012389B" w:rsidRDefault="00D714A9" w:rsidP="00791619">
            <w:pPr>
              <w:spacing w:line="256" w:lineRule="auto"/>
              <w:contextualSpacing/>
              <w:jc w:val="both"/>
              <w:rPr>
                <w:rFonts w:cstheme="minorHAnsi"/>
                <w:sz w:val="18"/>
                <w:szCs w:val="18"/>
              </w:rPr>
            </w:pPr>
          </w:p>
        </w:tc>
        <w:tc>
          <w:tcPr>
            <w:tcW w:w="3345" w:type="dxa"/>
          </w:tcPr>
          <w:p w14:paraId="634272B1" w14:textId="77777777" w:rsidR="00D714A9" w:rsidRPr="0012389B" w:rsidRDefault="00D714A9" w:rsidP="00791619">
            <w:pPr>
              <w:spacing w:line="256" w:lineRule="auto"/>
              <w:contextualSpacing/>
              <w:jc w:val="both"/>
              <w:rPr>
                <w:rFonts w:cstheme="minorHAnsi"/>
                <w:sz w:val="18"/>
                <w:szCs w:val="18"/>
              </w:rPr>
            </w:pPr>
            <w:r w:rsidRPr="0012389B">
              <w:rPr>
                <w:rFonts w:cstheme="minorHAnsi"/>
                <w:sz w:val="18"/>
                <w:szCs w:val="18"/>
              </w:rPr>
              <w:t>Anglicans in International Development</w:t>
            </w:r>
            <w:r w:rsidRPr="0012389B">
              <w:rPr>
                <w:rStyle w:val="FootnoteReference"/>
                <w:rFonts w:cstheme="minorHAnsi"/>
                <w:sz w:val="18"/>
                <w:szCs w:val="18"/>
              </w:rPr>
              <w:footnoteReference w:id="3"/>
            </w:r>
            <w:r w:rsidRPr="0012389B">
              <w:rPr>
                <w:rFonts w:cstheme="minorHAnsi"/>
                <w:sz w:val="18"/>
                <w:szCs w:val="18"/>
              </w:rPr>
              <w:t xml:space="preserve"> </w:t>
            </w:r>
          </w:p>
        </w:tc>
      </w:tr>
      <w:tr w:rsidR="00D714A9" w:rsidRPr="0012389B" w14:paraId="705AF6B8" w14:textId="77777777" w:rsidTr="00DB45FA">
        <w:tc>
          <w:tcPr>
            <w:tcW w:w="2405" w:type="dxa"/>
          </w:tcPr>
          <w:p w14:paraId="5E96517D" w14:textId="77777777" w:rsidR="00D714A9" w:rsidRPr="0012389B" w:rsidRDefault="00D714A9" w:rsidP="00791619">
            <w:pPr>
              <w:pStyle w:val="ListParagraph"/>
              <w:numPr>
                <w:ilvl w:val="0"/>
                <w:numId w:val="5"/>
              </w:numPr>
              <w:spacing w:line="256" w:lineRule="auto"/>
              <w:ind w:left="316"/>
              <w:jc w:val="both"/>
              <w:rPr>
                <w:rFonts w:cstheme="minorHAnsi"/>
                <w:sz w:val="18"/>
                <w:szCs w:val="18"/>
              </w:rPr>
            </w:pPr>
            <w:r w:rsidRPr="0012389B">
              <w:rPr>
                <w:rFonts w:cstheme="minorHAnsi"/>
                <w:sz w:val="18"/>
                <w:szCs w:val="18"/>
              </w:rPr>
              <w:t>Baptist Union</w:t>
            </w:r>
          </w:p>
        </w:tc>
        <w:tc>
          <w:tcPr>
            <w:tcW w:w="3260" w:type="dxa"/>
          </w:tcPr>
          <w:p w14:paraId="47C119DA" w14:textId="77777777" w:rsidR="00D714A9" w:rsidRPr="0012389B" w:rsidRDefault="00D714A9" w:rsidP="00791619">
            <w:pPr>
              <w:spacing w:line="256" w:lineRule="auto"/>
              <w:contextualSpacing/>
              <w:jc w:val="both"/>
              <w:rPr>
                <w:rFonts w:cstheme="minorHAnsi"/>
                <w:sz w:val="18"/>
                <w:szCs w:val="18"/>
              </w:rPr>
            </w:pPr>
            <w:r w:rsidRPr="0012389B">
              <w:rPr>
                <w:rFonts w:cstheme="minorHAnsi"/>
                <w:sz w:val="18"/>
                <w:szCs w:val="18"/>
              </w:rPr>
              <w:t>Baptist Union Secretariat</w:t>
            </w:r>
          </w:p>
          <w:p w14:paraId="56099A2F" w14:textId="77777777" w:rsidR="00D714A9" w:rsidRPr="0012389B" w:rsidRDefault="00D714A9" w:rsidP="00791619">
            <w:pPr>
              <w:spacing w:line="256" w:lineRule="auto"/>
              <w:contextualSpacing/>
              <w:jc w:val="both"/>
              <w:rPr>
                <w:rFonts w:cstheme="minorHAnsi"/>
                <w:sz w:val="18"/>
                <w:szCs w:val="18"/>
              </w:rPr>
            </w:pPr>
          </w:p>
        </w:tc>
        <w:tc>
          <w:tcPr>
            <w:tcW w:w="3345" w:type="dxa"/>
          </w:tcPr>
          <w:p w14:paraId="496CDCAF" w14:textId="77777777" w:rsidR="00D714A9" w:rsidRPr="0012389B" w:rsidRDefault="00D714A9" w:rsidP="00791619">
            <w:pPr>
              <w:spacing w:line="256" w:lineRule="auto"/>
              <w:contextualSpacing/>
              <w:jc w:val="both"/>
              <w:rPr>
                <w:rFonts w:cstheme="minorHAnsi"/>
                <w:sz w:val="18"/>
                <w:szCs w:val="18"/>
              </w:rPr>
            </w:pPr>
            <w:r w:rsidRPr="0012389B">
              <w:rPr>
                <w:rFonts w:cstheme="minorHAnsi"/>
                <w:sz w:val="18"/>
                <w:szCs w:val="18"/>
              </w:rPr>
              <w:t>Transform Aid International (TAI)</w:t>
            </w:r>
          </w:p>
        </w:tc>
      </w:tr>
      <w:tr w:rsidR="00D714A9" w:rsidRPr="0012389B" w14:paraId="65509715" w14:textId="77777777" w:rsidTr="00DB45FA">
        <w:tc>
          <w:tcPr>
            <w:tcW w:w="2405" w:type="dxa"/>
          </w:tcPr>
          <w:p w14:paraId="6CB7E62E" w14:textId="77777777" w:rsidR="00D714A9" w:rsidRPr="0012389B" w:rsidRDefault="00D714A9" w:rsidP="00791619">
            <w:pPr>
              <w:pStyle w:val="ListParagraph"/>
              <w:numPr>
                <w:ilvl w:val="0"/>
                <w:numId w:val="5"/>
              </w:numPr>
              <w:spacing w:line="256" w:lineRule="auto"/>
              <w:ind w:left="316"/>
              <w:jc w:val="both"/>
              <w:rPr>
                <w:rFonts w:cstheme="minorHAnsi"/>
                <w:sz w:val="18"/>
                <w:szCs w:val="18"/>
              </w:rPr>
            </w:pPr>
            <w:r w:rsidRPr="0012389B">
              <w:rPr>
                <w:rFonts w:cstheme="minorHAnsi"/>
                <w:sz w:val="18"/>
                <w:szCs w:val="18"/>
              </w:rPr>
              <w:t>Evangelical Lutheran Church of PNG</w:t>
            </w:r>
          </w:p>
        </w:tc>
        <w:tc>
          <w:tcPr>
            <w:tcW w:w="3260" w:type="dxa"/>
          </w:tcPr>
          <w:p w14:paraId="66065DEE" w14:textId="77777777" w:rsidR="00D714A9" w:rsidRPr="0012389B" w:rsidRDefault="00D714A9" w:rsidP="00791619">
            <w:pPr>
              <w:spacing w:line="256" w:lineRule="auto"/>
              <w:contextualSpacing/>
              <w:jc w:val="both"/>
              <w:rPr>
                <w:rFonts w:cstheme="minorHAnsi"/>
                <w:sz w:val="18"/>
                <w:szCs w:val="18"/>
              </w:rPr>
            </w:pPr>
            <w:r w:rsidRPr="0012389B">
              <w:rPr>
                <w:rFonts w:cstheme="minorHAnsi"/>
                <w:sz w:val="18"/>
                <w:szCs w:val="18"/>
              </w:rPr>
              <w:t>CPP Office, Support Services Department</w:t>
            </w:r>
          </w:p>
        </w:tc>
        <w:tc>
          <w:tcPr>
            <w:tcW w:w="3345" w:type="dxa"/>
          </w:tcPr>
          <w:p w14:paraId="1D4E70F8" w14:textId="77777777" w:rsidR="00D714A9" w:rsidRPr="0012389B" w:rsidRDefault="00D714A9" w:rsidP="00791619">
            <w:pPr>
              <w:spacing w:line="256" w:lineRule="auto"/>
              <w:contextualSpacing/>
              <w:jc w:val="both"/>
              <w:rPr>
                <w:rFonts w:cstheme="minorHAnsi"/>
                <w:sz w:val="18"/>
                <w:szCs w:val="18"/>
              </w:rPr>
            </w:pPr>
            <w:r w:rsidRPr="0012389B">
              <w:rPr>
                <w:rFonts w:cstheme="minorHAnsi"/>
                <w:sz w:val="18"/>
                <w:szCs w:val="18"/>
              </w:rPr>
              <w:t>Australian Lutheran World Service (ALWS)</w:t>
            </w:r>
          </w:p>
        </w:tc>
      </w:tr>
      <w:tr w:rsidR="00D714A9" w:rsidRPr="0012389B" w14:paraId="06DD6E4A" w14:textId="77777777" w:rsidTr="00DB45FA">
        <w:tc>
          <w:tcPr>
            <w:tcW w:w="2405" w:type="dxa"/>
          </w:tcPr>
          <w:p w14:paraId="5FC0FB49" w14:textId="77777777" w:rsidR="00D714A9" w:rsidRPr="0012389B" w:rsidRDefault="00D714A9" w:rsidP="00791619">
            <w:pPr>
              <w:pStyle w:val="ListParagraph"/>
              <w:numPr>
                <w:ilvl w:val="0"/>
                <w:numId w:val="5"/>
              </w:numPr>
              <w:spacing w:line="256" w:lineRule="auto"/>
              <w:ind w:left="316"/>
              <w:jc w:val="both"/>
              <w:rPr>
                <w:rFonts w:cstheme="minorHAnsi"/>
                <w:sz w:val="18"/>
                <w:szCs w:val="18"/>
              </w:rPr>
            </w:pPr>
            <w:r w:rsidRPr="0012389B">
              <w:rPr>
                <w:rFonts w:cstheme="minorHAnsi"/>
                <w:sz w:val="18"/>
                <w:szCs w:val="18"/>
              </w:rPr>
              <w:t>Roman Catholic Church in PNG</w:t>
            </w:r>
          </w:p>
        </w:tc>
        <w:tc>
          <w:tcPr>
            <w:tcW w:w="3260" w:type="dxa"/>
          </w:tcPr>
          <w:p w14:paraId="097506A0" w14:textId="77777777" w:rsidR="00D714A9" w:rsidRPr="0012389B" w:rsidRDefault="00D714A9" w:rsidP="00791619">
            <w:pPr>
              <w:spacing w:line="256" w:lineRule="auto"/>
              <w:ind w:right="-110"/>
              <w:contextualSpacing/>
              <w:jc w:val="both"/>
              <w:rPr>
                <w:rFonts w:cstheme="minorHAnsi"/>
                <w:sz w:val="18"/>
                <w:szCs w:val="18"/>
              </w:rPr>
            </w:pPr>
            <w:r w:rsidRPr="0012389B">
              <w:rPr>
                <w:rFonts w:cstheme="minorHAnsi"/>
                <w:sz w:val="18"/>
                <w:szCs w:val="18"/>
              </w:rPr>
              <w:t>Catholic Bishops Conference Development Commission with Caritas PNG</w:t>
            </w:r>
          </w:p>
        </w:tc>
        <w:tc>
          <w:tcPr>
            <w:tcW w:w="3345" w:type="dxa"/>
          </w:tcPr>
          <w:p w14:paraId="698BD933" w14:textId="77777777" w:rsidR="00D714A9" w:rsidRPr="0012389B" w:rsidRDefault="00D714A9" w:rsidP="00791619">
            <w:pPr>
              <w:spacing w:line="256" w:lineRule="auto"/>
              <w:contextualSpacing/>
              <w:jc w:val="both"/>
              <w:rPr>
                <w:rFonts w:cstheme="minorHAnsi"/>
                <w:sz w:val="18"/>
                <w:szCs w:val="18"/>
              </w:rPr>
            </w:pPr>
            <w:r w:rsidRPr="0012389B">
              <w:rPr>
                <w:rFonts w:cstheme="minorHAnsi"/>
                <w:sz w:val="18"/>
                <w:szCs w:val="18"/>
              </w:rPr>
              <w:t>Caritas Australia</w:t>
            </w:r>
          </w:p>
          <w:p w14:paraId="351878C2" w14:textId="77777777" w:rsidR="00D714A9" w:rsidRPr="0012389B" w:rsidRDefault="00D714A9" w:rsidP="00791619">
            <w:pPr>
              <w:spacing w:line="256" w:lineRule="auto"/>
              <w:contextualSpacing/>
              <w:jc w:val="both"/>
              <w:rPr>
                <w:rFonts w:cstheme="minorHAnsi"/>
                <w:sz w:val="18"/>
                <w:szCs w:val="18"/>
              </w:rPr>
            </w:pPr>
          </w:p>
        </w:tc>
      </w:tr>
      <w:tr w:rsidR="00D714A9" w:rsidRPr="0012389B" w14:paraId="0955754B" w14:textId="77777777" w:rsidTr="00DB45FA">
        <w:tc>
          <w:tcPr>
            <w:tcW w:w="2405" w:type="dxa"/>
          </w:tcPr>
          <w:p w14:paraId="77DCCF1E" w14:textId="6DC7F34E" w:rsidR="00D714A9" w:rsidRPr="0012389B" w:rsidRDefault="00D714A9" w:rsidP="00791619">
            <w:pPr>
              <w:pStyle w:val="ListParagraph"/>
              <w:numPr>
                <w:ilvl w:val="0"/>
                <w:numId w:val="5"/>
              </w:numPr>
              <w:spacing w:line="256" w:lineRule="auto"/>
              <w:ind w:left="316"/>
              <w:jc w:val="both"/>
              <w:rPr>
                <w:rFonts w:cstheme="minorHAnsi"/>
                <w:sz w:val="18"/>
                <w:szCs w:val="18"/>
              </w:rPr>
            </w:pPr>
            <w:r w:rsidRPr="0012389B">
              <w:rPr>
                <w:rFonts w:cstheme="minorHAnsi"/>
                <w:sz w:val="18"/>
                <w:szCs w:val="18"/>
              </w:rPr>
              <w:t xml:space="preserve">The Salvation </w:t>
            </w:r>
            <w:proofErr w:type="spellStart"/>
            <w:r w:rsidR="00841776">
              <w:rPr>
                <w:rFonts w:cstheme="minorHAnsi"/>
                <w:sz w:val="18"/>
                <w:szCs w:val="18"/>
              </w:rPr>
              <w:t>Arym</w:t>
            </w:r>
            <w:proofErr w:type="spellEnd"/>
            <w:r w:rsidRPr="0012389B">
              <w:rPr>
                <w:rFonts w:cstheme="minorHAnsi"/>
                <w:sz w:val="18"/>
                <w:szCs w:val="18"/>
              </w:rPr>
              <w:t xml:space="preserve"> (TSA) PNG</w:t>
            </w:r>
          </w:p>
        </w:tc>
        <w:tc>
          <w:tcPr>
            <w:tcW w:w="3260" w:type="dxa"/>
          </w:tcPr>
          <w:p w14:paraId="6D02A19D" w14:textId="77777777" w:rsidR="00D714A9" w:rsidRPr="0012389B" w:rsidRDefault="00D714A9" w:rsidP="00791619">
            <w:pPr>
              <w:spacing w:line="256" w:lineRule="auto"/>
              <w:contextualSpacing/>
              <w:jc w:val="both"/>
              <w:rPr>
                <w:rFonts w:cstheme="minorHAnsi"/>
                <w:sz w:val="18"/>
                <w:szCs w:val="18"/>
              </w:rPr>
            </w:pPr>
            <w:r w:rsidRPr="0012389B">
              <w:rPr>
                <w:rFonts w:cstheme="minorHAnsi"/>
                <w:sz w:val="18"/>
                <w:szCs w:val="18"/>
              </w:rPr>
              <w:t>Development Unit, Department for Programmes</w:t>
            </w:r>
          </w:p>
        </w:tc>
        <w:tc>
          <w:tcPr>
            <w:tcW w:w="3345" w:type="dxa"/>
          </w:tcPr>
          <w:p w14:paraId="18FEFDA6" w14:textId="0B2A94D2" w:rsidR="00D714A9" w:rsidRPr="0012389B" w:rsidRDefault="00D714A9" w:rsidP="00791619">
            <w:pPr>
              <w:spacing w:line="256" w:lineRule="auto"/>
              <w:contextualSpacing/>
              <w:jc w:val="both"/>
              <w:rPr>
                <w:rFonts w:cstheme="minorHAnsi"/>
                <w:sz w:val="18"/>
                <w:szCs w:val="18"/>
              </w:rPr>
            </w:pPr>
            <w:r w:rsidRPr="0012389B">
              <w:rPr>
                <w:rFonts w:cstheme="minorHAnsi"/>
                <w:sz w:val="18"/>
                <w:szCs w:val="18"/>
              </w:rPr>
              <w:t xml:space="preserve">The Salvation </w:t>
            </w:r>
            <w:r w:rsidR="00841776">
              <w:rPr>
                <w:rFonts w:cstheme="minorHAnsi"/>
                <w:sz w:val="18"/>
                <w:szCs w:val="18"/>
              </w:rPr>
              <w:t>Army</w:t>
            </w:r>
            <w:r w:rsidRPr="0012389B">
              <w:rPr>
                <w:rFonts w:cstheme="minorHAnsi"/>
                <w:sz w:val="18"/>
                <w:szCs w:val="18"/>
              </w:rPr>
              <w:t xml:space="preserve"> (TSA) Australia </w:t>
            </w:r>
          </w:p>
        </w:tc>
      </w:tr>
      <w:tr w:rsidR="00D714A9" w:rsidRPr="0012389B" w14:paraId="4A7F8514" w14:textId="77777777" w:rsidTr="00DB45FA">
        <w:tc>
          <w:tcPr>
            <w:tcW w:w="2405" w:type="dxa"/>
          </w:tcPr>
          <w:p w14:paraId="2E816343" w14:textId="77777777" w:rsidR="00D714A9" w:rsidRPr="0012389B" w:rsidRDefault="00D714A9" w:rsidP="00791619">
            <w:pPr>
              <w:pStyle w:val="ListParagraph"/>
              <w:numPr>
                <w:ilvl w:val="0"/>
                <w:numId w:val="5"/>
              </w:numPr>
              <w:spacing w:line="256" w:lineRule="auto"/>
              <w:ind w:left="316"/>
              <w:jc w:val="both"/>
              <w:rPr>
                <w:rFonts w:cstheme="minorHAnsi"/>
                <w:sz w:val="18"/>
                <w:szCs w:val="18"/>
              </w:rPr>
            </w:pPr>
            <w:r w:rsidRPr="0012389B">
              <w:rPr>
                <w:rFonts w:cstheme="minorHAnsi"/>
                <w:sz w:val="18"/>
                <w:szCs w:val="18"/>
              </w:rPr>
              <w:t>Seventh Day Adventist Church</w:t>
            </w:r>
          </w:p>
        </w:tc>
        <w:tc>
          <w:tcPr>
            <w:tcW w:w="3260" w:type="dxa"/>
          </w:tcPr>
          <w:p w14:paraId="34C9D0D7" w14:textId="77777777" w:rsidR="00D714A9" w:rsidRPr="0012389B" w:rsidRDefault="00D714A9" w:rsidP="00791619">
            <w:pPr>
              <w:spacing w:line="256" w:lineRule="auto"/>
              <w:contextualSpacing/>
              <w:jc w:val="both"/>
              <w:rPr>
                <w:rFonts w:cstheme="minorHAnsi"/>
                <w:sz w:val="18"/>
                <w:szCs w:val="18"/>
              </w:rPr>
            </w:pPr>
            <w:r w:rsidRPr="0012389B">
              <w:rPr>
                <w:rFonts w:cstheme="minorHAnsi"/>
                <w:sz w:val="18"/>
                <w:szCs w:val="18"/>
              </w:rPr>
              <w:t>Adventist Development and Relief Agency (ADRA) PNG</w:t>
            </w:r>
          </w:p>
        </w:tc>
        <w:tc>
          <w:tcPr>
            <w:tcW w:w="3345" w:type="dxa"/>
          </w:tcPr>
          <w:p w14:paraId="3D5D973B" w14:textId="77777777" w:rsidR="00D714A9" w:rsidRPr="0012389B" w:rsidRDefault="00D714A9" w:rsidP="00791619">
            <w:pPr>
              <w:spacing w:line="256" w:lineRule="auto"/>
              <w:contextualSpacing/>
              <w:jc w:val="both"/>
              <w:rPr>
                <w:rFonts w:cstheme="minorHAnsi"/>
                <w:sz w:val="18"/>
                <w:szCs w:val="18"/>
              </w:rPr>
            </w:pPr>
            <w:r w:rsidRPr="0012389B">
              <w:rPr>
                <w:rFonts w:cstheme="minorHAnsi"/>
                <w:sz w:val="18"/>
                <w:szCs w:val="18"/>
              </w:rPr>
              <w:t xml:space="preserve">Adventist Development and Relief Agency (ADRA) </w:t>
            </w:r>
          </w:p>
        </w:tc>
      </w:tr>
      <w:tr w:rsidR="00D714A9" w:rsidRPr="0012389B" w14:paraId="77AF22CA" w14:textId="77777777" w:rsidTr="00DB45FA">
        <w:tc>
          <w:tcPr>
            <w:tcW w:w="2405" w:type="dxa"/>
            <w:tcBorders>
              <w:bottom w:val="single" w:sz="4" w:space="0" w:color="auto"/>
            </w:tcBorders>
          </w:tcPr>
          <w:p w14:paraId="19213785" w14:textId="77777777" w:rsidR="00D714A9" w:rsidRPr="0012389B" w:rsidRDefault="00D714A9" w:rsidP="00791619">
            <w:pPr>
              <w:pStyle w:val="ListParagraph"/>
              <w:numPr>
                <w:ilvl w:val="0"/>
                <w:numId w:val="5"/>
              </w:numPr>
              <w:spacing w:line="256" w:lineRule="auto"/>
              <w:ind w:left="316"/>
              <w:jc w:val="both"/>
              <w:rPr>
                <w:rFonts w:cstheme="minorHAnsi"/>
                <w:sz w:val="18"/>
                <w:szCs w:val="18"/>
              </w:rPr>
            </w:pPr>
            <w:r w:rsidRPr="0012389B">
              <w:rPr>
                <w:rFonts w:cstheme="minorHAnsi"/>
                <w:sz w:val="18"/>
                <w:szCs w:val="18"/>
              </w:rPr>
              <w:t xml:space="preserve">United Church PNG </w:t>
            </w:r>
          </w:p>
        </w:tc>
        <w:tc>
          <w:tcPr>
            <w:tcW w:w="3260" w:type="dxa"/>
            <w:tcBorders>
              <w:bottom w:val="single" w:sz="4" w:space="0" w:color="auto"/>
            </w:tcBorders>
          </w:tcPr>
          <w:p w14:paraId="2A5BA855" w14:textId="77777777" w:rsidR="00D714A9" w:rsidRPr="0012389B" w:rsidRDefault="00D714A9" w:rsidP="00791619">
            <w:pPr>
              <w:spacing w:line="256" w:lineRule="auto"/>
              <w:contextualSpacing/>
              <w:jc w:val="both"/>
              <w:rPr>
                <w:rFonts w:cstheme="minorHAnsi"/>
                <w:sz w:val="18"/>
                <w:szCs w:val="18"/>
              </w:rPr>
            </w:pPr>
            <w:r w:rsidRPr="0012389B">
              <w:rPr>
                <w:rFonts w:cstheme="minorHAnsi"/>
                <w:sz w:val="18"/>
                <w:szCs w:val="18"/>
              </w:rPr>
              <w:t xml:space="preserve">Development Unit, United Church PNG </w:t>
            </w:r>
          </w:p>
        </w:tc>
        <w:tc>
          <w:tcPr>
            <w:tcW w:w="3345" w:type="dxa"/>
            <w:tcBorders>
              <w:bottom w:val="single" w:sz="4" w:space="0" w:color="auto"/>
            </w:tcBorders>
          </w:tcPr>
          <w:p w14:paraId="19559581" w14:textId="77777777" w:rsidR="00D714A9" w:rsidRPr="0012389B" w:rsidRDefault="00D714A9" w:rsidP="00791619">
            <w:pPr>
              <w:spacing w:line="256" w:lineRule="auto"/>
              <w:contextualSpacing/>
              <w:jc w:val="both"/>
              <w:rPr>
                <w:rFonts w:cstheme="minorHAnsi"/>
                <w:sz w:val="18"/>
                <w:szCs w:val="18"/>
              </w:rPr>
            </w:pPr>
            <w:r w:rsidRPr="0012389B">
              <w:rPr>
                <w:rFonts w:cstheme="minorHAnsi"/>
                <w:sz w:val="18"/>
                <w:szCs w:val="18"/>
              </w:rPr>
              <w:t>Uniting World</w:t>
            </w:r>
          </w:p>
          <w:p w14:paraId="03553A6D" w14:textId="77777777" w:rsidR="00D714A9" w:rsidRPr="0012389B" w:rsidRDefault="00D714A9" w:rsidP="00791619">
            <w:pPr>
              <w:spacing w:line="256" w:lineRule="auto"/>
              <w:contextualSpacing/>
              <w:jc w:val="both"/>
              <w:rPr>
                <w:rFonts w:cstheme="minorHAnsi"/>
                <w:sz w:val="18"/>
                <w:szCs w:val="18"/>
              </w:rPr>
            </w:pPr>
          </w:p>
        </w:tc>
      </w:tr>
      <w:tr w:rsidR="00D714A9" w:rsidRPr="0012389B" w14:paraId="05CF8789" w14:textId="77777777" w:rsidTr="00E6093B">
        <w:tblPrEx>
          <w:tblBorders>
            <w:insideH w:val="none" w:sz="0" w:space="0" w:color="auto"/>
            <w:insideV w:val="none" w:sz="0" w:space="0" w:color="auto"/>
          </w:tblBorders>
        </w:tblPrEx>
        <w:tc>
          <w:tcPr>
            <w:tcW w:w="9010" w:type="dxa"/>
            <w:gridSpan w:val="3"/>
            <w:tcBorders>
              <w:top w:val="single" w:sz="4" w:space="0" w:color="auto"/>
              <w:bottom w:val="single" w:sz="4" w:space="0" w:color="auto"/>
            </w:tcBorders>
            <w:shd w:val="clear" w:color="auto" w:fill="D9E2F3" w:themeFill="accent1" w:themeFillTint="33"/>
          </w:tcPr>
          <w:p w14:paraId="14D68C42" w14:textId="77777777" w:rsidR="00D714A9" w:rsidRPr="0012389B" w:rsidRDefault="00D714A9" w:rsidP="00791619">
            <w:pPr>
              <w:contextualSpacing/>
              <w:jc w:val="both"/>
              <w:rPr>
                <w:rFonts w:cstheme="minorHAnsi"/>
                <w:b/>
                <w:bCs/>
                <w:color w:val="000000"/>
                <w:sz w:val="18"/>
                <w:szCs w:val="18"/>
              </w:rPr>
            </w:pPr>
            <w:r w:rsidRPr="0012389B">
              <w:rPr>
                <w:rFonts w:cstheme="minorHAnsi"/>
                <w:b/>
                <w:bCs/>
                <w:color w:val="000000"/>
                <w:sz w:val="18"/>
                <w:szCs w:val="18"/>
              </w:rPr>
              <w:t>Other partners</w:t>
            </w:r>
          </w:p>
        </w:tc>
      </w:tr>
      <w:tr w:rsidR="00D714A9" w:rsidRPr="0012389B" w14:paraId="4F06B34B" w14:textId="77777777" w:rsidTr="00DB45FA">
        <w:tblPrEx>
          <w:tblBorders>
            <w:insideH w:val="none" w:sz="0" w:space="0" w:color="auto"/>
            <w:insideV w:val="none" w:sz="0" w:space="0" w:color="auto"/>
          </w:tblBorders>
        </w:tblPrEx>
        <w:tc>
          <w:tcPr>
            <w:tcW w:w="2405" w:type="dxa"/>
            <w:tcBorders>
              <w:top w:val="single" w:sz="4" w:space="0" w:color="auto"/>
              <w:bottom w:val="single" w:sz="4" w:space="0" w:color="auto"/>
              <w:right w:val="single" w:sz="4" w:space="0" w:color="auto"/>
            </w:tcBorders>
          </w:tcPr>
          <w:p w14:paraId="058F5828" w14:textId="77777777" w:rsidR="00D714A9" w:rsidRPr="0012389B" w:rsidRDefault="00D714A9" w:rsidP="00791619">
            <w:pPr>
              <w:contextualSpacing/>
              <w:jc w:val="both"/>
              <w:rPr>
                <w:rFonts w:cstheme="minorHAnsi"/>
                <w:color w:val="000000"/>
                <w:sz w:val="18"/>
                <w:szCs w:val="18"/>
              </w:rPr>
            </w:pPr>
            <w:r w:rsidRPr="0012389B">
              <w:rPr>
                <w:rFonts w:cstheme="minorHAnsi"/>
                <w:b/>
                <w:bCs/>
                <w:color w:val="000000"/>
                <w:sz w:val="18"/>
                <w:szCs w:val="18"/>
              </w:rPr>
              <w:t>Peak body</w:t>
            </w:r>
            <w:r w:rsidRPr="0012389B">
              <w:rPr>
                <w:rFonts w:cstheme="minorHAnsi"/>
                <w:color w:val="000000"/>
                <w:sz w:val="18"/>
                <w:szCs w:val="18"/>
              </w:rPr>
              <w:t>: Papua New Guinea Council of Churches (PNGCC)</w:t>
            </w:r>
          </w:p>
        </w:tc>
        <w:tc>
          <w:tcPr>
            <w:tcW w:w="3260" w:type="dxa"/>
            <w:tcBorders>
              <w:top w:val="single" w:sz="4" w:space="0" w:color="auto"/>
              <w:left w:val="single" w:sz="4" w:space="0" w:color="auto"/>
              <w:bottom w:val="single" w:sz="4" w:space="0" w:color="auto"/>
              <w:right w:val="single" w:sz="4" w:space="0" w:color="auto"/>
            </w:tcBorders>
          </w:tcPr>
          <w:p w14:paraId="6735B1A6" w14:textId="77777777" w:rsidR="00D714A9" w:rsidRPr="0012389B" w:rsidRDefault="00D714A9" w:rsidP="00791619">
            <w:pPr>
              <w:contextualSpacing/>
              <w:jc w:val="both"/>
              <w:rPr>
                <w:rFonts w:cstheme="minorHAnsi"/>
                <w:color w:val="000000"/>
                <w:sz w:val="18"/>
                <w:szCs w:val="18"/>
              </w:rPr>
            </w:pPr>
            <w:proofErr w:type="spellStart"/>
            <w:r w:rsidRPr="0012389B">
              <w:rPr>
                <w:rFonts w:cstheme="minorHAnsi"/>
                <w:b/>
                <w:bCs/>
                <w:color w:val="000000"/>
                <w:sz w:val="18"/>
                <w:szCs w:val="18"/>
              </w:rPr>
              <w:t>GoPNG</w:t>
            </w:r>
            <w:proofErr w:type="spellEnd"/>
            <w:r w:rsidRPr="0012389B">
              <w:rPr>
                <w:rFonts w:cstheme="minorHAnsi"/>
                <w:color w:val="000000"/>
                <w:sz w:val="18"/>
                <w:szCs w:val="18"/>
              </w:rPr>
              <w:t xml:space="preserve">: Department for Community Development and Religion </w:t>
            </w:r>
          </w:p>
        </w:tc>
        <w:tc>
          <w:tcPr>
            <w:tcW w:w="3345" w:type="dxa"/>
            <w:tcBorders>
              <w:top w:val="single" w:sz="4" w:space="0" w:color="auto"/>
              <w:left w:val="single" w:sz="4" w:space="0" w:color="auto"/>
              <w:bottom w:val="single" w:sz="4" w:space="0" w:color="auto"/>
            </w:tcBorders>
          </w:tcPr>
          <w:p w14:paraId="11ED1336" w14:textId="77777777" w:rsidR="00D714A9" w:rsidRPr="0012389B" w:rsidRDefault="00D714A9" w:rsidP="00791619">
            <w:pPr>
              <w:contextualSpacing/>
              <w:jc w:val="both"/>
              <w:rPr>
                <w:rFonts w:cstheme="minorHAnsi"/>
                <w:color w:val="000000"/>
                <w:sz w:val="18"/>
                <w:szCs w:val="18"/>
              </w:rPr>
            </w:pPr>
            <w:proofErr w:type="spellStart"/>
            <w:r w:rsidRPr="0012389B">
              <w:rPr>
                <w:rFonts w:cstheme="minorHAnsi"/>
                <w:b/>
                <w:bCs/>
                <w:color w:val="000000"/>
                <w:sz w:val="18"/>
                <w:szCs w:val="18"/>
              </w:rPr>
              <w:t>GoA</w:t>
            </w:r>
            <w:proofErr w:type="spellEnd"/>
            <w:r w:rsidRPr="0012389B">
              <w:rPr>
                <w:rFonts w:cstheme="minorHAnsi"/>
                <w:color w:val="000000"/>
                <w:sz w:val="18"/>
                <w:szCs w:val="18"/>
              </w:rPr>
              <w:t xml:space="preserve">: Department of Foreign Affairs and Trade </w:t>
            </w:r>
          </w:p>
        </w:tc>
      </w:tr>
      <w:tr w:rsidR="00D714A9" w:rsidRPr="0012389B" w14:paraId="0FE0B7F9" w14:textId="77777777" w:rsidTr="00E6093B">
        <w:tblPrEx>
          <w:tblBorders>
            <w:insideH w:val="none" w:sz="0" w:space="0" w:color="auto"/>
            <w:insideV w:val="none" w:sz="0" w:space="0" w:color="auto"/>
          </w:tblBorders>
        </w:tblPrEx>
        <w:tc>
          <w:tcPr>
            <w:tcW w:w="9010" w:type="dxa"/>
            <w:gridSpan w:val="3"/>
            <w:tcBorders>
              <w:top w:val="single" w:sz="4" w:space="0" w:color="auto"/>
              <w:bottom w:val="single" w:sz="4" w:space="0" w:color="auto"/>
            </w:tcBorders>
            <w:shd w:val="clear" w:color="auto" w:fill="D9E2F3" w:themeFill="accent1" w:themeFillTint="33"/>
          </w:tcPr>
          <w:p w14:paraId="4F191252" w14:textId="77777777" w:rsidR="00D714A9" w:rsidRPr="0012389B" w:rsidRDefault="00D714A9" w:rsidP="00791619">
            <w:pPr>
              <w:contextualSpacing/>
              <w:jc w:val="both"/>
              <w:rPr>
                <w:rFonts w:cstheme="minorHAnsi"/>
                <w:b/>
                <w:bCs/>
                <w:color w:val="000000"/>
                <w:sz w:val="18"/>
                <w:szCs w:val="18"/>
              </w:rPr>
            </w:pPr>
            <w:r w:rsidRPr="0012389B">
              <w:rPr>
                <w:rFonts w:cstheme="minorHAnsi"/>
                <w:b/>
                <w:bCs/>
                <w:color w:val="000000"/>
                <w:sz w:val="18"/>
                <w:szCs w:val="18"/>
              </w:rPr>
              <w:t>Key Stakeholders</w:t>
            </w:r>
          </w:p>
        </w:tc>
      </w:tr>
      <w:tr w:rsidR="00D714A9" w:rsidRPr="0012389B" w14:paraId="1C0CA3BB" w14:textId="77777777" w:rsidTr="00DB45FA">
        <w:tblPrEx>
          <w:tblBorders>
            <w:insideH w:val="none" w:sz="0" w:space="0" w:color="auto"/>
            <w:insideV w:val="none" w:sz="0" w:space="0" w:color="auto"/>
          </w:tblBorders>
        </w:tblPrEx>
        <w:tc>
          <w:tcPr>
            <w:tcW w:w="9010" w:type="dxa"/>
            <w:gridSpan w:val="3"/>
            <w:tcBorders>
              <w:top w:val="single" w:sz="4" w:space="0" w:color="auto"/>
            </w:tcBorders>
          </w:tcPr>
          <w:p w14:paraId="3AFE7950" w14:textId="77777777" w:rsidR="00D714A9" w:rsidRPr="0012389B" w:rsidRDefault="00D714A9" w:rsidP="00791619">
            <w:pPr>
              <w:contextualSpacing/>
              <w:jc w:val="both"/>
              <w:rPr>
                <w:rFonts w:cstheme="minorHAnsi"/>
                <w:color w:val="000000"/>
                <w:sz w:val="18"/>
                <w:szCs w:val="18"/>
              </w:rPr>
            </w:pPr>
            <w:r w:rsidRPr="0012389B">
              <w:rPr>
                <w:rFonts w:cstheme="minorHAnsi"/>
                <w:color w:val="000000"/>
                <w:sz w:val="18"/>
                <w:szCs w:val="18"/>
              </w:rPr>
              <w:t>Managing Contractor (MC)—responsible for managing the CPP Coordination Office</w:t>
            </w:r>
          </w:p>
          <w:p w14:paraId="4F80D232" w14:textId="77777777" w:rsidR="00D714A9" w:rsidRPr="0012389B" w:rsidRDefault="00D714A9" w:rsidP="00791619">
            <w:pPr>
              <w:contextualSpacing/>
              <w:jc w:val="both"/>
              <w:rPr>
                <w:rFonts w:cstheme="minorHAnsi"/>
                <w:color w:val="000000"/>
                <w:sz w:val="18"/>
                <w:szCs w:val="18"/>
              </w:rPr>
            </w:pPr>
            <w:r w:rsidRPr="0012389B">
              <w:rPr>
                <w:rFonts w:cstheme="minorHAnsi"/>
                <w:color w:val="000000"/>
                <w:sz w:val="18"/>
                <w:szCs w:val="18"/>
              </w:rPr>
              <w:t xml:space="preserve">Various stakeholders—Christian Health Service, National Churches Education Council, Melanesian Institute, </w:t>
            </w:r>
            <w:proofErr w:type="spellStart"/>
            <w:r w:rsidRPr="0012389B">
              <w:rPr>
                <w:rFonts w:cstheme="minorHAnsi"/>
                <w:color w:val="000000"/>
                <w:sz w:val="18"/>
                <w:szCs w:val="18"/>
              </w:rPr>
              <w:t>GoPNG</w:t>
            </w:r>
            <w:proofErr w:type="spellEnd"/>
            <w:r w:rsidRPr="0012389B">
              <w:rPr>
                <w:rFonts w:cstheme="minorHAnsi"/>
                <w:color w:val="000000"/>
                <w:sz w:val="18"/>
                <w:szCs w:val="18"/>
              </w:rPr>
              <w:t xml:space="preserve"> national ministries, departments and agencies, and provincial and local-level governments. </w:t>
            </w:r>
          </w:p>
        </w:tc>
      </w:tr>
    </w:tbl>
    <w:p w14:paraId="7B8E1064" w14:textId="77777777" w:rsidR="00D714A9" w:rsidRPr="0012389B" w:rsidRDefault="00D714A9" w:rsidP="00791619">
      <w:pPr>
        <w:jc w:val="both"/>
      </w:pPr>
    </w:p>
    <w:p w14:paraId="263D4933" w14:textId="77777777" w:rsidR="00D714A9" w:rsidRPr="0012389B" w:rsidRDefault="00D714A9" w:rsidP="00791619">
      <w:pPr>
        <w:jc w:val="both"/>
        <w:sectPr w:rsidR="00D714A9" w:rsidRPr="0012389B" w:rsidSect="00A73864">
          <w:pgSz w:w="11906" w:h="16838"/>
          <w:pgMar w:top="1440" w:right="1440" w:bottom="1440" w:left="1440" w:header="708" w:footer="708" w:gutter="0"/>
          <w:pgNumType w:fmt="lowerRoman"/>
          <w:cols w:space="708"/>
          <w:docGrid w:linePitch="360"/>
        </w:sectPr>
      </w:pPr>
    </w:p>
    <w:p w14:paraId="182E02D8" w14:textId="71F0A30E" w:rsidR="00D714A9" w:rsidRPr="00304609" w:rsidRDefault="00D714A9" w:rsidP="00791619">
      <w:pPr>
        <w:pStyle w:val="Heading1"/>
        <w:jc w:val="both"/>
        <w:rPr>
          <w:rFonts w:ascii="Arial" w:hAnsi="Arial" w:cs="Arial"/>
          <w:sz w:val="28"/>
          <w:szCs w:val="28"/>
        </w:rPr>
      </w:pPr>
      <w:bookmarkStart w:id="15" w:name="_Toc97187805"/>
      <w:bookmarkStart w:id="16" w:name="_Toc97305449"/>
      <w:bookmarkStart w:id="17" w:name="_Toc99041648"/>
      <w:r w:rsidRPr="00304609">
        <w:rPr>
          <w:rFonts w:ascii="Arial" w:hAnsi="Arial" w:cs="Arial"/>
          <w:sz w:val="28"/>
          <w:szCs w:val="28"/>
        </w:rPr>
        <w:lastRenderedPageBreak/>
        <w:t>Acronym List</w:t>
      </w:r>
      <w:bookmarkEnd w:id="15"/>
      <w:bookmarkEnd w:id="16"/>
      <w:bookmarkEnd w:id="17"/>
      <w:r w:rsidRPr="00304609">
        <w:rPr>
          <w:rFonts w:ascii="Arial" w:hAnsi="Arial" w:cs="Arial"/>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6753"/>
      </w:tblGrid>
      <w:tr w:rsidR="00D714A9" w:rsidRPr="0012389B" w14:paraId="59188B04" w14:textId="77777777" w:rsidTr="00DB45FA">
        <w:tc>
          <w:tcPr>
            <w:tcW w:w="1276" w:type="dxa"/>
            <w:shd w:val="clear" w:color="auto" w:fill="auto"/>
          </w:tcPr>
          <w:p w14:paraId="382FDFBA" w14:textId="77777777" w:rsidR="00D714A9" w:rsidRPr="0012389B" w:rsidRDefault="00D714A9" w:rsidP="00791619">
            <w:pPr>
              <w:jc w:val="both"/>
            </w:pPr>
            <w:r w:rsidRPr="0012389B">
              <w:t xml:space="preserve">ADRA </w:t>
            </w:r>
          </w:p>
        </w:tc>
        <w:tc>
          <w:tcPr>
            <w:tcW w:w="6753" w:type="dxa"/>
            <w:shd w:val="clear" w:color="auto" w:fill="auto"/>
          </w:tcPr>
          <w:p w14:paraId="1FA6B272" w14:textId="77777777" w:rsidR="00D714A9" w:rsidRPr="0012389B" w:rsidRDefault="00D714A9" w:rsidP="00791619">
            <w:pPr>
              <w:jc w:val="both"/>
            </w:pPr>
            <w:r w:rsidRPr="0012389B">
              <w:t xml:space="preserve">PNG Adventist Development and Relief Agency </w:t>
            </w:r>
          </w:p>
        </w:tc>
      </w:tr>
      <w:tr w:rsidR="00D714A9" w:rsidRPr="0012389B" w14:paraId="35527B58" w14:textId="77777777" w:rsidTr="00DB45FA">
        <w:tc>
          <w:tcPr>
            <w:tcW w:w="1276" w:type="dxa"/>
            <w:shd w:val="clear" w:color="auto" w:fill="auto"/>
          </w:tcPr>
          <w:p w14:paraId="1D99FCDC" w14:textId="77777777" w:rsidR="00D714A9" w:rsidRPr="0012389B" w:rsidRDefault="00D714A9" w:rsidP="00791619">
            <w:pPr>
              <w:jc w:val="both"/>
            </w:pPr>
            <w:r w:rsidRPr="0012389B">
              <w:t xml:space="preserve">ANGO </w:t>
            </w:r>
          </w:p>
        </w:tc>
        <w:tc>
          <w:tcPr>
            <w:tcW w:w="6753" w:type="dxa"/>
            <w:shd w:val="clear" w:color="auto" w:fill="auto"/>
          </w:tcPr>
          <w:p w14:paraId="378646AF" w14:textId="77777777" w:rsidR="00D714A9" w:rsidRPr="0012389B" w:rsidRDefault="00D714A9" w:rsidP="00791619">
            <w:pPr>
              <w:jc w:val="both"/>
            </w:pPr>
            <w:r w:rsidRPr="0012389B">
              <w:t xml:space="preserve">Australian non-government organisations </w:t>
            </w:r>
          </w:p>
        </w:tc>
      </w:tr>
      <w:tr w:rsidR="00D714A9" w:rsidRPr="0012389B" w14:paraId="6D1D323E" w14:textId="77777777" w:rsidTr="00DB45FA">
        <w:tc>
          <w:tcPr>
            <w:tcW w:w="1276" w:type="dxa"/>
            <w:shd w:val="clear" w:color="auto" w:fill="auto"/>
          </w:tcPr>
          <w:p w14:paraId="3852BBA8" w14:textId="77777777" w:rsidR="00D714A9" w:rsidRPr="0012389B" w:rsidRDefault="00D714A9" w:rsidP="00791619">
            <w:pPr>
              <w:jc w:val="both"/>
            </w:pPr>
            <w:r w:rsidRPr="0012389B">
              <w:t xml:space="preserve">BCEP </w:t>
            </w:r>
          </w:p>
        </w:tc>
        <w:tc>
          <w:tcPr>
            <w:tcW w:w="6753" w:type="dxa"/>
            <w:shd w:val="clear" w:color="auto" w:fill="auto"/>
          </w:tcPr>
          <w:p w14:paraId="58F5E9F5" w14:textId="77777777" w:rsidR="00D714A9" w:rsidRPr="0012389B" w:rsidRDefault="00D714A9" w:rsidP="00791619">
            <w:pPr>
              <w:jc w:val="both"/>
            </w:pPr>
            <w:r w:rsidRPr="0012389B">
              <w:t xml:space="preserve">Building Community Engagement in Papua New Guinea </w:t>
            </w:r>
          </w:p>
        </w:tc>
      </w:tr>
      <w:tr w:rsidR="00D714A9" w:rsidRPr="0012389B" w14:paraId="2C8EBED4" w14:textId="77777777" w:rsidTr="00DB45FA">
        <w:tc>
          <w:tcPr>
            <w:tcW w:w="1276" w:type="dxa"/>
            <w:shd w:val="clear" w:color="auto" w:fill="auto"/>
          </w:tcPr>
          <w:p w14:paraId="141D775A" w14:textId="77777777" w:rsidR="00D714A9" w:rsidRPr="0012389B" w:rsidRDefault="00D714A9" w:rsidP="00791619">
            <w:pPr>
              <w:jc w:val="both"/>
            </w:pPr>
            <w:r w:rsidRPr="0012389B">
              <w:t>CPP</w:t>
            </w:r>
          </w:p>
        </w:tc>
        <w:tc>
          <w:tcPr>
            <w:tcW w:w="6753" w:type="dxa"/>
            <w:shd w:val="clear" w:color="auto" w:fill="auto"/>
          </w:tcPr>
          <w:p w14:paraId="497870DE" w14:textId="77777777" w:rsidR="00D714A9" w:rsidRPr="0012389B" w:rsidRDefault="00D714A9" w:rsidP="00791619">
            <w:pPr>
              <w:jc w:val="both"/>
            </w:pPr>
            <w:r w:rsidRPr="0012389B">
              <w:t>Church Partnership Program</w:t>
            </w:r>
          </w:p>
        </w:tc>
      </w:tr>
      <w:tr w:rsidR="00D714A9" w:rsidRPr="0012389B" w14:paraId="220271AA" w14:textId="77777777" w:rsidTr="00DB45FA">
        <w:tc>
          <w:tcPr>
            <w:tcW w:w="1276" w:type="dxa"/>
            <w:shd w:val="clear" w:color="auto" w:fill="auto"/>
          </w:tcPr>
          <w:p w14:paraId="7B3B9E1C" w14:textId="77777777" w:rsidR="00D714A9" w:rsidRPr="0012389B" w:rsidRDefault="00D714A9" w:rsidP="00791619">
            <w:pPr>
              <w:jc w:val="both"/>
            </w:pPr>
            <w:r w:rsidRPr="0012389B">
              <w:t xml:space="preserve">CPPCO </w:t>
            </w:r>
          </w:p>
        </w:tc>
        <w:tc>
          <w:tcPr>
            <w:tcW w:w="6753" w:type="dxa"/>
            <w:shd w:val="clear" w:color="auto" w:fill="auto"/>
          </w:tcPr>
          <w:p w14:paraId="392D82DF" w14:textId="77777777" w:rsidR="00D714A9" w:rsidRPr="0012389B" w:rsidRDefault="00D714A9" w:rsidP="00791619">
            <w:pPr>
              <w:jc w:val="both"/>
            </w:pPr>
            <w:r w:rsidRPr="0012389B">
              <w:t xml:space="preserve">Church Partnership Program Coordination Office </w:t>
            </w:r>
          </w:p>
        </w:tc>
      </w:tr>
      <w:tr w:rsidR="00D714A9" w:rsidRPr="0012389B" w14:paraId="748AE22B" w14:textId="77777777" w:rsidTr="00DB45FA">
        <w:tc>
          <w:tcPr>
            <w:tcW w:w="1276" w:type="dxa"/>
            <w:shd w:val="clear" w:color="auto" w:fill="auto"/>
          </w:tcPr>
          <w:p w14:paraId="52CF59A1" w14:textId="77777777" w:rsidR="00D714A9" w:rsidRPr="0012389B" w:rsidRDefault="00D714A9" w:rsidP="00791619">
            <w:pPr>
              <w:jc w:val="both"/>
            </w:pPr>
            <w:r w:rsidRPr="0012389B">
              <w:t xml:space="preserve">DFAT </w:t>
            </w:r>
          </w:p>
        </w:tc>
        <w:tc>
          <w:tcPr>
            <w:tcW w:w="6753" w:type="dxa"/>
            <w:shd w:val="clear" w:color="auto" w:fill="auto"/>
          </w:tcPr>
          <w:p w14:paraId="77AE4B47" w14:textId="77777777" w:rsidR="00D714A9" w:rsidRPr="0012389B" w:rsidRDefault="00D714A9" w:rsidP="00791619">
            <w:pPr>
              <w:jc w:val="both"/>
            </w:pPr>
            <w:r w:rsidRPr="0012389B">
              <w:t xml:space="preserve">Department of Foreign Affairs and Trade </w:t>
            </w:r>
          </w:p>
        </w:tc>
      </w:tr>
      <w:tr w:rsidR="00D714A9" w:rsidRPr="0012389B" w14:paraId="0623503A" w14:textId="77777777" w:rsidTr="00DB45FA">
        <w:tc>
          <w:tcPr>
            <w:tcW w:w="1276" w:type="dxa"/>
            <w:shd w:val="clear" w:color="auto" w:fill="auto"/>
          </w:tcPr>
          <w:p w14:paraId="0F1383BC" w14:textId="77777777" w:rsidR="00D714A9" w:rsidRPr="0012389B" w:rsidRDefault="00D714A9" w:rsidP="00791619">
            <w:pPr>
              <w:jc w:val="both"/>
            </w:pPr>
            <w:proofErr w:type="spellStart"/>
            <w:r w:rsidRPr="0012389B">
              <w:t>DfCDR</w:t>
            </w:r>
            <w:proofErr w:type="spellEnd"/>
            <w:r w:rsidRPr="0012389B">
              <w:t xml:space="preserve"> </w:t>
            </w:r>
          </w:p>
        </w:tc>
        <w:tc>
          <w:tcPr>
            <w:tcW w:w="6753" w:type="dxa"/>
            <w:shd w:val="clear" w:color="auto" w:fill="auto"/>
          </w:tcPr>
          <w:p w14:paraId="7AB17D5D" w14:textId="77777777" w:rsidR="00D714A9" w:rsidRPr="0012389B" w:rsidRDefault="00D714A9" w:rsidP="00791619">
            <w:pPr>
              <w:jc w:val="both"/>
            </w:pPr>
            <w:r w:rsidRPr="0012389B">
              <w:t xml:space="preserve">Department for Community Development and Religion </w:t>
            </w:r>
          </w:p>
        </w:tc>
      </w:tr>
      <w:tr w:rsidR="00D714A9" w:rsidRPr="0012389B" w14:paraId="2196CC9A" w14:textId="77777777" w:rsidTr="00DB45FA">
        <w:tc>
          <w:tcPr>
            <w:tcW w:w="1276" w:type="dxa"/>
            <w:shd w:val="clear" w:color="auto" w:fill="auto"/>
          </w:tcPr>
          <w:p w14:paraId="13C962DE" w14:textId="77777777" w:rsidR="00D714A9" w:rsidRPr="0012389B" w:rsidRDefault="00D714A9" w:rsidP="00791619">
            <w:pPr>
              <w:jc w:val="both"/>
            </w:pPr>
            <w:r w:rsidRPr="0012389B">
              <w:t xml:space="preserve">ELCPNG </w:t>
            </w:r>
          </w:p>
        </w:tc>
        <w:tc>
          <w:tcPr>
            <w:tcW w:w="6753" w:type="dxa"/>
            <w:shd w:val="clear" w:color="auto" w:fill="auto"/>
          </w:tcPr>
          <w:p w14:paraId="2FE28F0E" w14:textId="77777777" w:rsidR="00D714A9" w:rsidRPr="0012389B" w:rsidRDefault="00D714A9" w:rsidP="00791619">
            <w:pPr>
              <w:jc w:val="both"/>
            </w:pPr>
            <w:r w:rsidRPr="0012389B">
              <w:t xml:space="preserve">Evangelical Lutheran Church of Papua New Guinea </w:t>
            </w:r>
          </w:p>
        </w:tc>
      </w:tr>
      <w:tr w:rsidR="00D714A9" w:rsidRPr="0012389B" w14:paraId="2555FCB2" w14:textId="77777777" w:rsidTr="00DB45FA">
        <w:tc>
          <w:tcPr>
            <w:tcW w:w="1276" w:type="dxa"/>
            <w:shd w:val="clear" w:color="auto" w:fill="auto"/>
          </w:tcPr>
          <w:p w14:paraId="3133F27C" w14:textId="77777777" w:rsidR="00D714A9" w:rsidRPr="0012389B" w:rsidRDefault="00D714A9" w:rsidP="00791619">
            <w:pPr>
              <w:jc w:val="both"/>
            </w:pPr>
            <w:r w:rsidRPr="0012389B">
              <w:t>GBV</w:t>
            </w:r>
          </w:p>
        </w:tc>
        <w:tc>
          <w:tcPr>
            <w:tcW w:w="6753" w:type="dxa"/>
            <w:shd w:val="clear" w:color="auto" w:fill="auto"/>
          </w:tcPr>
          <w:p w14:paraId="30EA3DEA" w14:textId="77777777" w:rsidR="00D714A9" w:rsidRPr="0012389B" w:rsidRDefault="00D714A9" w:rsidP="00791619">
            <w:pPr>
              <w:jc w:val="both"/>
            </w:pPr>
            <w:r w:rsidRPr="0012389B">
              <w:t>Gender based violence</w:t>
            </w:r>
          </w:p>
        </w:tc>
      </w:tr>
      <w:tr w:rsidR="00D714A9" w:rsidRPr="0012389B" w14:paraId="5D1B582F" w14:textId="77777777" w:rsidTr="00DB45FA">
        <w:tc>
          <w:tcPr>
            <w:tcW w:w="1276" w:type="dxa"/>
            <w:shd w:val="clear" w:color="auto" w:fill="auto"/>
          </w:tcPr>
          <w:p w14:paraId="6ECC0577" w14:textId="77777777" w:rsidR="00D714A9" w:rsidRPr="0012389B" w:rsidRDefault="00D714A9" w:rsidP="00791619">
            <w:pPr>
              <w:jc w:val="both"/>
            </w:pPr>
            <w:r w:rsidRPr="0012389B">
              <w:t>GEDSI</w:t>
            </w:r>
          </w:p>
        </w:tc>
        <w:tc>
          <w:tcPr>
            <w:tcW w:w="6753" w:type="dxa"/>
            <w:shd w:val="clear" w:color="auto" w:fill="auto"/>
          </w:tcPr>
          <w:p w14:paraId="23FA870A" w14:textId="029FF94A" w:rsidR="00D714A9" w:rsidRPr="0012389B" w:rsidRDefault="00D714A9" w:rsidP="00791619">
            <w:pPr>
              <w:jc w:val="both"/>
            </w:pPr>
            <w:r w:rsidRPr="0012389B">
              <w:t xml:space="preserve">Gender </w:t>
            </w:r>
            <w:r w:rsidRPr="0012389B">
              <w:rPr>
                <w:color w:val="000000" w:themeColor="text1"/>
              </w:rPr>
              <w:t xml:space="preserve">equality, </w:t>
            </w:r>
            <w:proofErr w:type="gramStart"/>
            <w:r w:rsidRPr="0012389B">
              <w:rPr>
                <w:color w:val="000000" w:themeColor="text1"/>
              </w:rPr>
              <w:t>disability</w:t>
            </w:r>
            <w:proofErr w:type="gramEnd"/>
            <w:r w:rsidRPr="0012389B">
              <w:rPr>
                <w:color w:val="000000" w:themeColor="text1"/>
              </w:rPr>
              <w:t xml:space="preserve"> and social inclusion</w:t>
            </w:r>
          </w:p>
        </w:tc>
      </w:tr>
      <w:tr w:rsidR="00D714A9" w:rsidRPr="0012389B" w14:paraId="6D0C58C8" w14:textId="77777777" w:rsidTr="00DB45FA">
        <w:tc>
          <w:tcPr>
            <w:tcW w:w="1276" w:type="dxa"/>
            <w:shd w:val="clear" w:color="auto" w:fill="auto"/>
          </w:tcPr>
          <w:p w14:paraId="7D12DCD6" w14:textId="77777777" w:rsidR="00D714A9" w:rsidRPr="0012389B" w:rsidRDefault="00D714A9" w:rsidP="00791619">
            <w:pPr>
              <w:jc w:val="both"/>
            </w:pPr>
            <w:r w:rsidRPr="0012389B">
              <w:t xml:space="preserve">GET </w:t>
            </w:r>
          </w:p>
        </w:tc>
        <w:tc>
          <w:tcPr>
            <w:tcW w:w="6753" w:type="dxa"/>
            <w:shd w:val="clear" w:color="auto" w:fill="auto"/>
          </w:tcPr>
          <w:p w14:paraId="57AEEECF" w14:textId="77777777" w:rsidR="00D714A9" w:rsidRPr="0012389B" w:rsidRDefault="00D714A9" w:rsidP="00791619">
            <w:pPr>
              <w:jc w:val="both"/>
            </w:pPr>
            <w:r w:rsidRPr="0012389B">
              <w:t xml:space="preserve">Gender Equality Theology </w:t>
            </w:r>
          </w:p>
        </w:tc>
      </w:tr>
      <w:tr w:rsidR="00D714A9" w:rsidRPr="0012389B" w14:paraId="4E005EEF" w14:textId="77777777" w:rsidTr="00DB45FA">
        <w:tc>
          <w:tcPr>
            <w:tcW w:w="1276" w:type="dxa"/>
            <w:shd w:val="clear" w:color="auto" w:fill="auto"/>
          </w:tcPr>
          <w:p w14:paraId="0DB6EBD7" w14:textId="77777777" w:rsidR="00D714A9" w:rsidRPr="0012389B" w:rsidRDefault="00D714A9" w:rsidP="00791619">
            <w:pPr>
              <w:jc w:val="both"/>
            </w:pPr>
            <w:proofErr w:type="spellStart"/>
            <w:r w:rsidRPr="0012389B">
              <w:t>GoPNG</w:t>
            </w:r>
            <w:proofErr w:type="spellEnd"/>
          </w:p>
        </w:tc>
        <w:tc>
          <w:tcPr>
            <w:tcW w:w="6753" w:type="dxa"/>
            <w:shd w:val="clear" w:color="auto" w:fill="auto"/>
          </w:tcPr>
          <w:p w14:paraId="3D826242" w14:textId="77777777" w:rsidR="00D714A9" w:rsidRPr="0012389B" w:rsidRDefault="00D714A9" w:rsidP="00791619">
            <w:pPr>
              <w:jc w:val="both"/>
            </w:pPr>
            <w:r w:rsidRPr="0012389B">
              <w:t xml:space="preserve">Government of Papua New Guinea </w:t>
            </w:r>
          </w:p>
        </w:tc>
      </w:tr>
      <w:tr w:rsidR="00D714A9" w:rsidRPr="0012389B" w14:paraId="075EFDF3" w14:textId="77777777" w:rsidTr="00DB45FA">
        <w:tc>
          <w:tcPr>
            <w:tcW w:w="1276" w:type="dxa"/>
            <w:shd w:val="clear" w:color="auto" w:fill="auto"/>
          </w:tcPr>
          <w:p w14:paraId="7F46D24F" w14:textId="77777777" w:rsidR="00D714A9" w:rsidRPr="0012389B" w:rsidRDefault="00D714A9" w:rsidP="00791619">
            <w:pPr>
              <w:jc w:val="both"/>
            </w:pPr>
            <w:r w:rsidRPr="0012389B">
              <w:t>MC</w:t>
            </w:r>
          </w:p>
        </w:tc>
        <w:tc>
          <w:tcPr>
            <w:tcW w:w="6753" w:type="dxa"/>
            <w:shd w:val="clear" w:color="auto" w:fill="auto"/>
          </w:tcPr>
          <w:p w14:paraId="5AFF1895" w14:textId="77777777" w:rsidR="00D714A9" w:rsidRPr="0012389B" w:rsidRDefault="00D714A9" w:rsidP="00791619">
            <w:pPr>
              <w:jc w:val="both"/>
            </w:pPr>
            <w:r w:rsidRPr="0012389B">
              <w:t>Managing contractor</w:t>
            </w:r>
          </w:p>
        </w:tc>
      </w:tr>
      <w:tr w:rsidR="00D714A9" w:rsidRPr="0012389B" w14:paraId="697DBA54" w14:textId="77777777" w:rsidTr="00DB45FA">
        <w:tc>
          <w:tcPr>
            <w:tcW w:w="1276" w:type="dxa"/>
            <w:shd w:val="clear" w:color="auto" w:fill="auto"/>
          </w:tcPr>
          <w:p w14:paraId="62410361" w14:textId="77777777" w:rsidR="00D714A9" w:rsidRPr="0012389B" w:rsidRDefault="00D714A9" w:rsidP="00791619">
            <w:pPr>
              <w:jc w:val="both"/>
            </w:pPr>
            <w:r w:rsidRPr="0012389B">
              <w:t>MEL</w:t>
            </w:r>
          </w:p>
        </w:tc>
        <w:tc>
          <w:tcPr>
            <w:tcW w:w="6753" w:type="dxa"/>
            <w:shd w:val="clear" w:color="auto" w:fill="auto"/>
          </w:tcPr>
          <w:p w14:paraId="732B919A" w14:textId="4E2B4367" w:rsidR="00D714A9" w:rsidRPr="0012389B" w:rsidRDefault="00D714A9" w:rsidP="00791619">
            <w:pPr>
              <w:jc w:val="both"/>
            </w:pPr>
            <w:r w:rsidRPr="0012389B">
              <w:t xml:space="preserve">Monitoring, </w:t>
            </w:r>
            <w:proofErr w:type="gramStart"/>
            <w:r w:rsidRPr="0012389B">
              <w:t>evaluation</w:t>
            </w:r>
            <w:proofErr w:type="gramEnd"/>
            <w:r w:rsidRPr="0012389B">
              <w:t xml:space="preserve"> and </w:t>
            </w:r>
            <w:r w:rsidR="00B81134" w:rsidRPr="0012389B">
              <w:t>l</w:t>
            </w:r>
            <w:r w:rsidRPr="0012389B">
              <w:t>earning</w:t>
            </w:r>
          </w:p>
        </w:tc>
      </w:tr>
      <w:tr w:rsidR="00D714A9" w:rsidRPr="0012389B" w14:paraId="72B92EE3" w14:textId="77777777" w:rsidTr="00DB45FA">
        <w:tc>
          <w:tcPr>
            <w:tcW w:w="1276" w:type="dxa"/>
            <w:shd w:val="clear" w:color="auto" w:fill="auto"/>
          </w:tcPr>
          <w:p w14:paraId="17620C3F" w14:textId="77777777" w:rsidR="00D714A9" w:rsidRPr="0012389B" w:rsidRDefault="00D714A9" w:rsidP="00791619">
            <w:pPr>
              <w:jc w:val="both"/>
            </w:pPr>
            <w:proofErr w:type="spellStart"/>
            <w:r w:rsidRPr="0012389B">
              <w:t>OoR</w:t>
            </w:r>
            <w:proofErr w:type="spellEnd"/>
          </w:p>
        </w:tc>
        <w:tc>
          <w:tcPr>
            <w:tcW w:w="6753" w:type="dxa"/>
            <w:shd w:val="clear" w:color="auto" w:fill="auto"/>
          </w:tcPr>
          <w:p w14:paraId="277C9DA9" w14:textId="77777777" w:rsidR="00D714A9" w:rsidRPr="0012389B" w:rsidRDefault="00D714A9" w:rsidP="00791619">
            <w:pPr>
              <w:jc w:val="both"/>
            </w:pPr>
            <w:r w:rsidRPr="0012389B">
              <w:t>Office of Religion</w:t>
            </w:r>
          </w:p>
        </w:tc>
      </w:tr>
      <w:tr w:rsidR="00D714A9" w:rsidRPr="0012389B" w14:paraId="066776E8" w14:textId="77777777" w:rsidTr="00DB45FA">
        <w:tc>
          <w:tcPr>
            <w:tcW w:w="1276" w:type="dxa"/>
            <w:shd w:val="clear" w:color="auto" w:fill="auto"/>
          </w:tcPr>
          <w:p w14:paraId="4548BA25" w14:textId="49B3A882" w:rsidR="00D714A9" w:rsidRPr="0012389B" w:rsidRDefault="007A45F8" w:rsidP="00791619">
            <w:pPr>
              <w:jc w:val="both"/>
            </w:pPr>
            <w:r>
              <w:t>CDD</w:t>
            </w:r>
          </w:p>
        </w:tc>
        <w:tc>
          <w:tcPr>
            <w:tcW w:w="6753" w:type="dxa"/>
            <w:shd w:val="clear" w:color="auto" w:fill="auto"/>
          </w:tcPr>
          <w:p w14:paraId="1219E4B4" w14:textId="3FBFBFD0" w:rsidR="00D714A9" w:rsidRPr="0012389B" w:rsidRDefault="007A45F8" w:rsidP="00791619">
            <w:pPr>
              <w:jc w:val="both"/>
            </w:pPr>
            <w:r>
              <w:t>Component Design Document</w:t>
            </w:r>
          </w:p>
        </w:tc>
      </w:tr>
      <w:tr w:rsidR="00D714A9" w:rsidRPr="0012389B" w14:paraId="3B3484F8" w14:textId="77777777" w:rsidTr="00DB45FA">
        <w:tc>
          <w:tcPr>
            <w:tcW w:w="1276" w:type="dxa"/>
            <w:shd w:val="clear" w:color="auto" w:fill="auto"/>
          </w:tcPr>
          <w:p w14:paraId="4A494785" w14:textId="77777777" w:rsidR="00D714A9" w:rsidRPr="0012389B" w:rsidRDefault="00D714A9" w:rsidP="00791619">
            <w:pPr>
              <w:jc w:val="both"/>
            </w:pPr>
            <w:r w:rsidRPr="0012389B">
              <w:t xml:space="preserve">PGK </w:t>
            </w:r>
          </w:p>
        </w:tc>
        <w:tc>
          <w:tcPr>
            <w:tcW w:w="6753" w:type="dxa"/>
            <w:shd w:val="clear" w:color="auto" w:fill="auto"/>
          </w:tcPr>
          <w:p w14:paraId="78499DB8" w14:textId="77777777" w:rsidR="00D714A9" w:rsidRPr="0012389B" w:rsidRDefault="00D714A9" w:rsidP="00791619">
            <w:pPr>
              <w:jc w:val="both"/>
            </w:pPr>
            <w:r w:rsidRPr="0012389B">
              <w:t xml:space="preserve">Papua New Guinean Kina </w:t>
            </w:r>
          </w:p>
        </w:tc>
      </w:tr>
      <w:tr w:rsidR="00D714A9" w:rsidRPr="0012389B" w14:paraId="3C779346" w14:textId="77777777" w:rsidTr="00DB45FA">
        <w:tc>
          <w:tcPr>
            <w:tcW w:w="1276" w:type="dxa"/>
            <w:shd w:val="clear" w:color="auto" w:fill="auto"/>
          </w:tcPr>
          <w:p w14:paraId="68DDF1F0" w14:textId="77777777" w:rsidR="00D714A9" w:rsidRPr="0012389B" w:rsidRDefault="00D714A9" w:rsidP="00791619">
            <w:pPr>
              <w:jc w:val="both"/>
            </w:pPr>
            <w:r w:rsidRPr="0012389B">
              <w:t>PNG</w:t>
            </w:r>
          </w:p>
        </w:tc>
        <w:tc>
          <w:tcPr>
            <w:tcW w:w="6753" w:type="dxa"/>
            <w:shd w:val="clear" w:color="auto" w:fill="auto"/>
          </w:tcPr>
          <w:p w14:paraId="259767D8" w14:textId="77777777" w:rsidR="00D714A9" w:rsidRPr="0012389B" w:rsidRDefault="00D714A9" w:rsidP="00791619">
            <w:pPr>
              <w:jc w:val="both"/>
            </w:pPr>
            <w:r w:rsidRPr="0012389B">
              <w:t>Papua New Guinea</w:t>
            </w:r>
          </w:p>
        </w:tc>
      </w:tr>
      <w:tr w:rsidR="00D714A9" w:rsidRPr="0012389B" w14:paraId="086B18C1" w14:textId="77777777" w:rsidTr="00DB45FA">
        <w:tc>
          <w:tcPr>
            <w:tcW w:w="1276" w:type="dxa"/>
            <w:shd w:val="clear" w:color="auto" w:fill="auto"/>
          </w:tcPr>
          <w:p w14:paraId="5259BB0C" w14:textId="77777777" w:rsidR="00D714A9" w:rsidRPr="0012389B" w:rsidRDefault="00D714A9" w:rsidP="00791619">
            <w:pPr>
              <w:jc w:val="both"/>
            </w:pPr>
            <w:r w:rsidRPr="0012389B">
              <w:t>PNGCC</w:t>
            </w:r>
          </w:p>
        </w:tc>
        <w:tc>
          <w:tcPr>
            <w:tcW w:w="6753" w:type="dxa"/>
            <w:shd w:val="clear" w:color="auto" w:fill="auto"/>
          </w:tcPr>
          <w:p w14:paraId="5769944C" w14:textId="77777777" w:rsidR="00D714A9" w:rsidRPr="0012389B" w:rsidRDefault="00D714A9" w:rsidP="00791619">
            <w:pPr>
              <w:jc w:val="both"/>
            </w:pPr>
            <w:r w:rsidRPr="0012389B">
              <w:t xml:space="preserve">Papua New Guinea Council of Churches </w:t>
            </w:r>
          </w:p>
        </w:tc>
      </w:tr>
      <w:tr w:rsidR="00D714A9" w:rsidRPr="0012389B" w14:paraId="30E489E8" w14:textId="77777777" w:rsidTr="00DB45FA">
        <w:tc>
          <w:tcPr>
            <w:tcW w:w="1276" w:type="dxa"/>
            <w:shd w:val="clear" w:color="auto" w:fill="auto"/>
          </w:tcPr>
          <w:p w14:paraId="0FA1623B" w14:textId="77777777" w:rsidR="00D714A9" w:rsidRPr="0012389B" w:rsidRDefault="00D714A9" w:rsidP="00791619">
            <w:pPr>
              <w:jc w:val="both"/>
            </w:pPr>
            <w:r w:rsidRPr="0012389B">
              <w:t xml:space="preserve">PNGEA </w:t>
            </w:r>
          </w:p>
        </w:tc>
        <w:tc>
          <w:tcPr>
            <w:tcW w:w="6753" w:type="dxa"/>
            <w:shd w:val="clear" w:color="auto" w:fill="auto"/>
          </w:tcPr>
          <w:p w14:paraId="3D423B2A" w14:textId="77777777" w:rsidR="00D714A9" w:rsidRPr="0012389B" w:rsidRDefault="00D714A9" w:rsidP="00791619">
            <w:pPr>
              <w:jc w:val="both"/>
            </w:pPr>
            <w:r w:rsidRPr="0012389B">
              <w:t xml:space="preserve">Papua New Guinea Evangelical Alliance </w:t>
            </w:r>
          </w:p>
        </w:tc>
      </w:tr>
      <w:tr w:rsidR="00D714A9" w:rsidRPr="0012389B" w14:paraId="5A680C83" w14:textId="77777777" w:rsidTr="00DB45FA">
        <w:tc>
          <w:tcPr>
            <w:tcW w:w="1276" w:type="dxa"/>
            <w:shd w:val="clear" w:color="auto" w:fill="auto"/>
          </w:tcPr>
          <w:p w14:paraId="4A8B6658" w14:textId="77777777" w:rsidR="00D714A9" w:rsidRPr="0012389B" w:rsidRDefault="00D714A9" w:rsidP="00791619">
            <w:pPr>
              <w:jc w:val="both"/>
            </w:pPr>
            <w:r w:rsidRPr="0012389B">
              <w:t>SARV</w:t>
            </w:r>
          </w:p>
        </w:tc>
        <w:tc>
          <w:tcPr>
            <w:tcW w:w="6753" w:type="dxa"/>
            <w:shd w:val="clear" w:color="auto" w:fill="auto"/>
          </w:tcPr>
          <w:p w14:paraId="60E2085F" w14:textId="77777777" w:rsidR="00D714A9" w:rsidRPr="0012389B" w:rsidRDefault="00D714A9" w:rsidP="00791619">
            <w:pPr>
              <w:jc w:val="both"/>
            </w:pPr>
            <w:r w:rsidRPr="0012389B">
              <w:t>Sorcery accusation related violence</w:t>
            </w:r>
          </w:p>
        </w:tc>
      </w:tr>
      <w:tr w:rsidR="00D714A9" w:rsidRPr="0012389B" w14:paraId="2470B9AF" w14:textId="77777777" w:rsidTr="00DB45FA">
        <w:tc>
          <w:tcPr>
            <w:tcW w:w="1276" w:type="dxa"/>
            <w:shd w:val="clear" w:color="auto" w:fill="auto"/>
          </w:tcPr>
          <w:p w14:paraId="64B4DBEC" w14:textId="77777777" w:rsidR="00D714A9" w:rsidRPr="0012389B" w:rsidRDefault="00D714A9" w:rsidP="00791619">
            <w:pPr>
              <w:jc w:val="both"/>
            </w:pPr>
            <w:r w:rsidRPr="0012389B">
              <w:t xml:space="preserve">SDA </w:t>
            </w:r>
          </w:p>
        </w:tc>
        <w:tc>
          <w:tcPr>
            <w:tcW w:w="6753" w:type="dxa"/>
            <w:shd w:val="clear" w:color="auto" w:fill="auto"/>
          </w:tcPr>
          <w:p w14:paraId="0965E0E0" w14:textId="77777777" w:rsidR="00D714A9" w:rsidRPr="0012389B" w:rsidRDefault="00D714A9" w:rsidP="00791619">
            <w:pPr>
              <w:jc w:val="both"/>
            </w:pPr>
            <w:r w:rsidRPr="0012389B">
              <w:t xml:space="preserve">Seventh Day Adventists </w:t>
            </w:r>
          </w:p>
        </w:tc>
      </w:tr>
      <w:tr w:rsidR="00D714A9" w:rsidRPr="0012389B" w14:paraId="39B7DC3A" w14:textId="77777777" w:rsidTr="00DB45FA">
        <w:tc>
          <w:tcPr>
            <w:tcW w:w="1276" w:type="dxa"/>
            <w:shd w:val="clear" w:color="auto" w:fill="auto"/>
          </w:tcPr>
          <w:p w14:paraId="13902CEB" w14:textId="77777777" w:rsidR="00D714A9" w:rsidRPr="0012389B" w:rsidRDefault="00D714A9" w:rsidP="00791619">
            <w:pPr>
              <w:jc w:val="both"/>
            </w:pPr>
            <w:r w:rsidRPr="0012389B">
              <w:t>SLG</w:t>
            </w:r>
          </w:p>
        </w:tc>
        <w:tc>
          <w:tcPr>
            <w:tcW w:w="6753" w:type="dxa"/>
            <w:shd w:val="clear" w:color="auto" w:fill="auto"/>
          </w:tcPr>
          <w:p w14:paraId="1D17EBA5" w14:textId="77777777" w:rsidR="00D714A9" w:rsidRPr="0012389B" w:rsidRDefault="00D714A9" w:rsidP="00791619">
            <w:pPr>
              <w:jc w:val="both"/>
            </w:pPr>
            <w:r w:rsidRPr="0012389B">
              <w:t>Senior Leadership Group</w:t>
            </w:r>
          </w:p>
        </w:tc>
      </w:tr>
      <w:tr w:rsidR="00E4670B" w:rsidRPr="0012389B" w14:paraId="1F03681C" w14:textId="77777777" w:rsidTr="00DB45FA">
        <w:tc>
          <w:tcPr>
            <w:tcW w:w="1276" w:type="dxa"/>
          </w:tcPr>
          <w:p w14:paraId="47BD3C6E" w14:textId="49F74A9F" w:rsidR="00E4670B" w:rsidRPr="0012389B" w:rsidRDefault="00E4670B" w:rsidP="00791619">
            <w:pPr>
              <w:jc w:val="both"/>
            </w:pPr>
            <w:r>
              <w:t>SCs</w:t>
            </w:r>
          </w:p>
        </w:tc>
        <w:tc>
          <w:tcPr>
            <w:tcW w:w="6753" w:type="dxa"/>
          </w:tcPr>
          <w:p w14:paraId="41C433C8" w14:textId="3397FF7D" w:rsidR="00E4670B" w:rsidRPr="0012389B" w:rsidRDefault="00E4670B" w:rsidP="00791619">
            <w:pPr>
              <w:jc w:val="both"/>
            </w:pPr>
            <w:r>
              <w:t>Standing Committees (for example, in MEL, financial management)</w:t>
            </w:r>
          </w:p>
        </w:tc>
      </w:tr>
      <w:tr w:rsidR="00D714A9" w:rsidRPr="0012389B" w14:paraId="468EEC79" w14:textId="77777777" w:rsidTr="00DB45FA">
        <w:tc>
          <w:tcPr>
            <w:tcW w:w="1276" w:type="dxa"/>
          </w:tcPr>
          <w:p w14:paraId="5D887B41" w14:textId="77777777" w:rsidR="00D714A9" w:rsidRPr="0012389B" w:rsidRDefault="00D714A9" w:rsidP="00791619">
            <w:pPr>
              <w:jc w:val="both"/>
            </w:pPr>
            <w:proofErr w:type="spellStart"/>
            <w:r w:rsidRPr="0012389B">
              <w:t>ToC</w:t>
            </w:r>
            <w:proofErr w:type="spellEnd"/>
          </w:p>
        </w:tc>
        <w:tc>
          <w:tcPr>
            <w:tcW w:w="6753" w:type="dxa"/>
          </w:tcPr>
          <w:p w14:paraId="57ED52D0" w14:textId="77777777" w:rsidR="00D714A9" w:rsidRPr="0012389B" w:rsidRDefault="00D714A9" w:rsidP="00791619">
            <w:pPr>
              <w:jc w:val="both"/>
            </w:pPr>
            <w:r w:rsidRPr="0012389B">
              <w:t>Theory of change</w:t>
            </w:r>
          </w:p>
        </w:tc>
      </w:tr>
      <w:tr w:rsidR="00D714A9" w:rsidRPr="0012389B" w14:paraId="0E8E4F5D" w14:textId="77777777" w:rsidTr="00DB45FA">
        <w:tc>
          <w:tcPr>
            <w:tcW w:w="1276" w:type="dxa"/>
          </w:tcPr>
          <w:p w14:paraId="7412C1E9" w14:textId="77777777" w:rsidR="00D714A9" w:rsidRPr="0012389B" w:rsidRDefault="00D714A9" w:rsidP="00791619">
            <w:pPr>
              <w:jc w:val="both"/>
            </w:pPr>
            <w:r w:rsidRPr="0012389B">
              <w:t>TSA</w:t>
            </w:r>
          </w:p>
        </w:tc>
        <w:tc>
          <w:tcPr>
            <w:tcW w:w="6753" w:type="dxa"/>
          </w:tcPr>
          <w:p w14:paraId="0EA5ED53" w14:textId="00E8B788" w:rsidR="00D714A9" w:rsidRPr="0012389B" w:rsidRDefault="00D714A9" w:rsidP="00791619">
            <w:pPr>
              <w:jc w:val="both"/>
            </w:pPr>
            <w:r w:rsidRPr="0012389B">
              <w:t>The Salvation</w:t>
            </w:r>
            <w:r w:rsidR="00841776">
              <w:t xml:space="preserve"> Army</w:t>
            </w:r>
          </w:p>
        </w:tc>
      </w:tr>
      <w:tr w:rsidR="00E4670B" w:rsidRPr="0012389B" w14:paraId="12E9A99A" w14:textId="77777777" w:rsidTr="00DB45FA">
        <w:tc>
          <w:tcPr>
            <w:tcW w:w="1276" w:type="dxa"/>
          </w:tcPr>
          <w:p w14:paraId="3BF73E10" w14:textId="76EE2E4C" w:rsidR="00E4670B" w:rsidRPr="0012389B" w:rsidRDefault="00E4670B" w:rsidP="00791619">
            <w:pPr>
              <w:jc w:val="both"/>
            </w:pPr>
            <w:r>
              <w:t>TWG</w:t>
            </w:r>
          </w:p>
        </w:tc>
        <w:tc>
          <w:tcPr>
            <w:tcW w:w="6753" w:type="dxa"/>
          </w:tcPr>
          <w:p w14:paraId="1714C581" w14:textId="20E5F448" w:rsidR="00E4670B" w:rsidRPr="0012389B" w:rsidRDefault="00E4670B" w:rsidP="00791619">
            <w:pPr>
              <w:jc w:val="both"/>
            </w:pPr>
            <w:r>
              <w:t>Thematic Working Group</w:t>
            </w:r>
          </w:p>
        </w:tc>
      </w:tr>
      <w:tr w:rsidR="00D714A9" w:rsidRPr="0012389B" w14:paraId="7B8B856F" w14:textId="77777777" w:rsidTr="00DB45FA">
        <w:tc>
          <w:tcPr>
            <w:tcW w:w="1276" w:type="dxa"/>
          </w:tcPr>
          <w:p w14:paraId="04875DD5" w14:textId="77777777" w:rsidR="00D714A9" w:rsidRPr="0012389B" w:rsidRDefault="00D714A9" w:rsidP="00791619">
            <w:pPr>
              <w:jc w:val="both"/>
            </w:pPr>
            <w:r w:rsidRPr="0012389B">
              <w:t xml:space="preserve">UCPNG </w:t>
            </w:r>
          </w:p>
        </w:tc>
        <w:tc>
          <w:tcPr>
            <w:tcW w:w="6753" w:type="dxa"/>
          </w:tcPr>
          <w:p w14:paraId="58276CF3" w14:textId="77777777" w:rsidR="00D714A9" w:rsidRPr="0012389B" w:rsidRDefault="00D714A9" w:rsidP="00791619">
            <w:pPr>
              <w:jc w:val="both"/>
            </w:pPr>
            <w:r w:rsidRPr="0012389B">
              <w:t xml:space="preserve">Uniting Church Papua New Guinea </w:t>
            </w:r>
          </w:p>
        </w:tc>
      </w:tr>
      <w:tr w:rsidR="00D714A9" w:rsidRPr="0012389B" w14:paraId="26E54A74" w14:textId="77777777" w:rsidTr="00DB45FA">
        <w:tc>
          <w:tcPr>
            <w:tcW w:w="1276" w:type="dxa"/>
          </w:tcPr>
          <w:p w14:paraId="328AE764" w14:textId="77777777" w:rsidR="00D714A9" w:rsidRPr="0012389B" w:rsidRDefault="00D714A9" w:rsidP="00791619">
            <w:pPr>
              <w:jc w:val="both"/>
            </w:pPr>
            <w:r w:rsidRPr="0012389B">
              <w:t>USA</w:t>
            </w:r>
          </w:p>
        </w:tc>
        <w:tc>
          <w:tcPr>
            <w:tcW w:w="6753" w:type="dxa"/>
          </w:tcPr>
          <w:p w14:paraId="15DBA8BE" w14:textId="77777777" w:rsidR="00D714A9" w:rsidRPr="0012389B" w:rsidRDefault="00D714A9" w:rsidP="00791619">
            <w:pPr>
              <w:jc w:val="both"/>
            </w:pPr>
            <w:r w:rsidRPr="0012389B">
              <w:t xml:space="preserve">United States of America </w:t>
            </w:r>
          </w:p>
        </w:tc>
      </w:tr>
      <w:tr w:rsidR="00D714A9" w:rsidRPr="0012389B" w14:paraId="7FAA2A63" w14:textId="77777777" w:rsidTr="00DB45FA">
        <w:tc>
          <w:tcPr>
            <w:tcW w:w="1276" w:type="dxa"/>
          </w:tcPr>
          <w:p w14:paraId="45661E48" w14:textId="77777777" w:rsidR="00D714A9" w:rsidRPr="0012389B" w:rsidRDefault="00D714A9" w:rsidP="00791619">
            <w:pPr>
              <w:jc w:val="both"/>
            </w:pPr>
            <w:r w:rsidRPr="0012389B">
              <w:t xml:space="preserve">WASH </w:t>
            </w:r>
          </w:p>
        </w:tc>
        <w:tc>
          <w:tcPr>
            <w:tcW w:w="6753" w:type="dxa"/>
          </w:tcPr>
          <w:p w14:paraId="79A47756" w14:textId="77777777" w:rsidR="00D714A9" w:rsidRPr="0012389B" w:rsidRDefault="00D714A9" w:rsidP="00791619">
            <w:pPr>
              <w:jc w:val="both"/>
            </w:pPr>
            <w:r w:rsidRPr="0012389B">
              <w:t xml:space="preserve">Water, </w:t>
            </w:r>
            <w:proofErr w:type="gramStart"/>
            <w:r w:rsidRPr="0012389B">
              <w:t>sanitation</w:t>
            </w:r>
            <w:proofErr w:type="gramEnd"/>
            <w:r w:rsidRPr="0012389B">
              <w:t xml:space="preserve"> and hygiene </w:t>
            </w:r>
          </w:p>
          <w:p w14:paraId="35830D83" w14:textId="77777777" w:rsidR="00D714A9" w:rsidRPr="0012389B" w:rsidRDefault="00D714A9" w:rsidP="00791619">
            <w:pPr>
              <w:jc w:val="both"/>
            </w:pPr>
          </w:p>
        </w:tc>
      </w:tr>
    </w:tbl>
    <w:p w14:paraId="260C146D" w14:textId="77777777" w:rsidR="00D714A9" w:rsidRPr="0012389B" w:rsidRDefault="00D714A9" w:rsidP="00791619">
      <w:pPr>
        <w:jc w:val="both"/>
      </w:pPr>
    </w:p>
    <w:p w14:paraId="2BAE716E" w14:textId="70A5DC94" w:rsidR="00D714A9" w:rsidRPr="0012389B" w:rsidRDefault="00D714A9" w:rsidP="00791619">
      <w:pPr>
        <w:keepNext/>
        <w:keepLines/>
        <w:pBdr>
          <w:top w:val="single" w:sz="4" w:space="0" w:color="auto"/>
          <w:left w:val="single" w:sz="4" w:space="4" w:color="auto"/>
          <w:bottom w:val="single" w:sz="4" w:space="1" w:color="auto"/>
          <w:right w:val="single" w:sz="4" w:space="4" w:color="auto"/>
          <w:between w:val="single" w:sz="4" w:space="1" w:color="auto"/>
        </w:pBdr>
        <w:shd w:val="clear" w:color="auto" w:fill="FFFFFF" w:themeFill="background1"/>
        <w:spacing w:after="180" w:line="240" w:lineRule="auto"/>
        <w:jc w:val="both"/>
        <w:outlineLvl w:val="0"/>
        <w:rPr>
          <w:rFonts w:ascii="Calibri" w:eastAsia="Calibri Light" w:hAnsi="Calibri" w:cs="Times New Roman"/>
          <w:b/>
          <w:color w:val="000000" w:themeColor="text1"/>
          <w:szCs w:val="21"/>
        </w:rPr>
        <w:sectPr w:rsidR="00D714A9" w:rsidRPr="0012389B" w:rsidSect="00A73864">
          <w:pgSz w:w="11906" w:h="16838"/>
          <w:pgMar w:top="1440" w:right="1440" w:bottom="1440" w:left="1440" w:header="708" w:footer="708" w:gutter="0"/>
          <w:pgNumType w:fmt="lowerRoman"/>
          <w:cols w:space="708"/>
          <w:docGrid w:linePitch="360"/>
        </w:sectPr>
      </w:pPr>
    </w:p>
    <w:p w14:paraId="4FD61CDA" w14:textId="77777777" w:rsidR="000F1894" w:rsidRPr="00304609" w:rsidRDefault="000F1894" w:rsidP="00791619">
      <w:pPr>
        <w:pStyle w:val="Heading1"/>
        <w:jc w:val="both"/>
        <w:rPr>
          <w:rFonts w:ascii="Arial" w:hAnsi="Arial" w:cs="Arial"/>
          <w:sz w:val="28"/>
          <w:szCs w:val="28"/>
        </w:rPr>
      </w:pPr>
      <w:bookmarkStart w:id="18" w:name="_Toc99041649"/>
      <w:r w:rsidRPr="00304609">
        <w:rPr>
          <w:rFonts w:ascii="Arial" w:hAnsi="Arial" w:cs="Arial"/>
          <w:sz w:val="28"/>
          <w:szCs w:val="28"/>
        </w:rPr>
        <w:lastRenderedPageBreak/>
        <w:t>Glossary of key concepts</w:t>
      </w:r>
      <w:bookmarkEnd w:id="11"/>
      <w:bookmarkEnd w:id="12"/>
      <w:bookmarkEnd w:id="13"/>
      <w:bookmarkEnd w:id="14"/>
      <w:bookmarkEnd w:id="18"/>
    </w:p>
    <w:tbl>
      <w:tblPr>
        <w:tblStyle w:val="TableGrid"/>
        <w:tblW w:w="0" w:type="auto"/>
        <w:tblBorders>
          <w:top w:val="none" w:sz="0" w:space="0" w:color="auto"/>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838"/>
        <w:gridCol w:w="7178"/>
      </w:tblGrid>
      <w:tr w:rsidR="005A038F" w:rsidRPr="0012389B" w14:paraId="646F8934" w14:textId="77777777" w:rsidTr="00955E5F">
        <w:trPr>
          <w:tblHeader/>
        </w:trPr>
        <w:tc>
          <w:tcPr>
            <w:tcW w:w="1838" w:type="dxa"/>
            <w:tcBorders>
              <w:top w:val="single" w:sz="4" w:space="0" w:color="7F7F7F" w:themeColor="text1" w:themeTint="80"/>
            </w:tcBorders>
            <w:shd w:val="clear" w:color="auto" w:fill="D9E2F3" w:themeFill="accent1" w:themeFillTint="33"/>
          </w:tcPr>
          <w:p w14:paraId="641DB2E8" w14:textId="77777777" w:rsidR="000F1894" w:rsidRPr="0012389B" w:rsidRDefault="000F1894" w:rsidP="00791619">
            <w:pPr>
              <w:jc w:val="both"/>
              <w:rPr>
                <w:rFonts w:cs="Arial"/>
                <w:b/>
                <w:color w:val="000000" w:themeColor="text1"/>
              </w:rPr>
            </w:pPr>
            <w:r w:rsidRPr="0012389B">
              <w:rPr>
                <w:rFonts w:cs="Arial"/>
                <w:b/>
                <w:color w:val="000000" w:themeColor="text1"/>
              </w:rPr>
              <w:t>Concept</w:t>
            </w:r>
          </w:p>
        </w:tc>
        <w:tc>
          <w:tcPr>
            <w:tcW w:w="7178" w:type="dxa"/>
            <w:tcBorders>
              <w:top w:val="single" w:sz="4" w:space="0" w:color="7F7F7F" w:themeColor="text1" w:themeTint="80"/>
            </w:tcBorders>
            <w:shd w:val="clear" w:color="auto" w:fill="D9E2F3" w:themeFill="accent1" w:themeFillTint="33"/>
          </w:tcPr>
          <w:p w14:paraId="626554B5" w14:textId="77777777" w:rsidR="000F1894" w:rsidRPr="0012389B" w:rsidRDefault="000F1894" w:rsidP="00791619">
            <w:pPr>
              <w:jc w:val="both"/>
              <w:rPr>
                <w:rFonts w:cs="Arial"/>
                <w:b/>
                <w:color w:val="000000" w:themeColor="text1"/>
              </w:rPr>
            </w:pPr>
            <w:r w:rsidRPr="0012389B">
              <w:rPr>
                <w:rFonts w:cs="Arial"/>
                <w:b/>
                <w:color w:val="000000" w:themeColor="text1"/>
              </w:rPr>
              <w:t>Definition applied in this design document</w:t>
            </w:r>
          </w:p>
        </w:tc>
      </w:tr>
      <w:tr w:rsidR="005A038F" w:rsidRPr="0012389B" w14:paraId="2E838CBE" w14:textId="77777777" w:rsidTr="0073270D">
        <w:tc>
          <w:tcPr>
            <w:tcW w:w="1838" w:type="dxa"/>
          </w:tcPr>
          <w:p w14:paraId="363F7AC2" w14:textId="63B288A4" w:rsidR="00D660D5" w:rsidRPr="0012389B" w:rsidRDefault="00D660D5" w:rsidP="00791619">
            <w:pPr>
              <w:jc w:val="both"/>
              <w:rPr>
                <w:rFonts w:cs="Arial"/>
                <w:b/>
                <w:bCs/>
                <w:color w:val="000000" w:themeColor="text1"/>
              </w:rPr>
            </w:pPr>
            <w:r w:rsidRPr="0012389B">
              <w:rPr>
                <w:rFonts w:cs="Arial"/>
                <w:b/>
                <w:bCs/>
                <w:color w:val="000000" w:themeColor="text1"/>
              </w:rPr>
              <w:t>Advocacy</w:t>
            </w:r>
          </w:p>
        </w:tc>
        <w:tc>
          <w:tcPr>
            <w:tcW w:w="7178" w:type="dxa"/>
          </w:tcPr>
          <w:p w14:paraId="3C5546A2" w14:textId="19F5F820" w:rsidR="00D660D5" w:rsidRPr="0012389B" w:rsidRDefault="00D660D5" w:rsidP="00791619">
            <w:pPr>
              <w:jc w:val="both"/>
            </w:pPr>
            <w:r w:rsidRPr="0012389B">
              <w:t xml:space="preserve"> ‘</w:t>
            </w:r>
            <w:r w:rsidRPr="0012389B">
              <w:rPr>
                <w:b/>
                <w:bCs/>
              </w:rPr>
              <w:t>Influencing</w:t>
            </w:r>
            <w:r w:rsidRPr="0012389B">
              <w:t xml:space="preserve"> the decisions, </w:t>
            </w:r>
            <w:r w:rsidRPr="0012389B">
              <w:rPr>
                <w:b/>
                <w:bCs/>
              </w:rPr>
              <w:t>policies</w:t>
            </w:r>
            <w:r w:rsidRPr="0012389B">
              <w:t xml:space="preserve"> and practices of powerful decision-makers, to address underlying causes of poverty, bring justice and support good development’. (</w:t>
            </w:r>
            <w:r w:rsidR="005638E9" w:rsidRPr="0012389B">
              <w:t>Tearfund</w:t>
            </w:r>
            <w:r w:rsidRPr="0012389B">
              <w:t xml:space="preserve"> CCM toolkit)</w:t>
            </w:r>
          </w:p>
        </w:tc>
      </w:tr>
      <w:tr w:rsidR="005A038F" w:rsidRPr="0012389B" w14:paraId="18F7B5C9" w14:textId="77777777" w:rsidTr="0073270D">
        <w:tc>
          <w:tcPr>
            <w:tcW w:w="1838" w:type="dxa"/>
          </w:tcPr>
          <w:p w14:paraId="44D5701A" w14:textId="00BC8FE8" w:rsidR="00DB3DDB" w:rsidRPr="0012389B" w:rsidRDefault="00DB3DDB" w:rsidP="00791619">
            <w:pPr>
              <w:jc w:val="both"/>
              <w:rPr>
                <w:rFonts w:cs="Arial"/>
                <w:b/>
                <w:bCs/>
                <w:color w:val="000000" w:themeColor="text1"/>
              </w:rPr>
            </w:pPr>
            <w:r w:rsidRPr="0012389B">
              <w:rPr>
                <w:rFonts w:cs="Arial"/>
                <w:b/>
                <w:bCs/>
                <w:color w:val="000000" w:themeColor="text1"/>
              </w:rPr>
              <w:t>Collective Action</w:t>
            </w:r>
          </w:p>
        </w:tc>
        <w:tc>
          <w:tcPr>
            <w:tcW w:w="7178" w:type="dxa"/>
          </w:tcPr>
          <w:p w14:paraId="4B3A5C67" w14:textId="4BFEE1A4" w:rsidR="00DB3DDB" w:rsidRPr="0012389B" w:rsidRDefault="00DB3DDB" w:rsidP="00791619">
            <w:pPr>
              <w:jc w:val="both"/>
            </w:pPr>
            <w:r w:rsidRPr="0012389B">
              <w:t xml:space="preserve">When different parties (individuals and/or organisations) work together to solve a specific problem. While the parties </w:t>
            </w:r>
            <w:r w:rsidR="006E409B" w:rsidRPr="0012389B">
              <w:t>will</w:t>
            </w:r>
            <w:r w:rsidRPr="0012389B">
              <w:t xml:space="preserve"> have different interests for working on the problem, </w:t>
            </w:r>
            <w:r w:rsidR="009D74A5" w:rsidRPr="0012389B">
              <w:t>each has incentives to influence change. Recent research suggest</w:t>
            </w:r>
            <w:r w:rsidR="00C20951" w:rsidRPr="0012389B">
              <w:t>s</w:t>
            </w:r>
            <w:r w:rsidR="009D74A5" w:rsidRPr="0012389B">
              <w:t xml:space="preserve"> that effective collective action requires an incentive framework</w:t>
            </w:r>
            <w:r w:rsidR="00C20951" w:rsidRPr="0012389B">
              <w:t xml:space="preserve"> to be </w:t>
            </w:r>
            <w:r w:rsidR="009D74A5" w:rsidRPr="0012389B">
              <w:t xml:space="preserve">put in place whereby all parties demonstrate they are credibly </w:t>
            </w:r>
            <w:r w:rsidR="009D74A5" w:rsidRPr="0012389B">
              <w:rPr>
                <w:u w:val="single"/>
              </w:rPr>
              <w:t>committed</w:t>
            </w:r>
            <w:r w:rsidR="009D74A5" w:rsidRPr="0012389B">
              <w:t xml:space="preserve"> to achieving change </w:t>
            </w:r>
            <w:r w:rsidR="00C20951" w:rsidRPr="0012389B">
              <w:t xml:space="preserve">in advance </w:t>
            </w:r>
            <w:r w:rsidR="009D74A5" w:rsidRPr="0012389B">
              <w:t xml:space="preserve">and </w:t>
            </w:r>
            <w:r w:rsidR="009D74A5" w:rsidRPr="0012389B">
              <w:rPr>
                <w:u w:val="single"/>
              </w:rPr>
              <w:t>act together</w:t>
            </w:r>
            <w:r w:rsidR="009D74A5" w:rsidRPr="0012389B">
              <w:t xml:space="preserve"> to achieve </w:t>
            </w:r>
            <w:r w:rsidR="00C20951" w:rsidRPr="0012389B">
              <w:t>the change</w:t>
            </w:r>
            <w:r w:rsidR="009D74A5" w:rsidRPr="0012389B">
              <w:t>.</w:t>
            </w:r>
            <w:r w:rsidR="009D74A5" w:rsidRPr="0012389B">
              <w:rPr>
                <w:rStyle w:val="FootnoteReference"/>
              </w:rPr>
              <w:footnoteReference w:id="4"/>
            </w:r>
          </w:p>
        </w:tc>
      </w:tr>
      <w:tr w:rsidR="005A038F" w:rsidRPr="0012389B" w14:paraId="64908DEB" w14:textId="77777777" w:rsidTr="0073270D">
        <w:tc>
          <w:tcPr>
            <w:tcW w:w="1838" w:type="dxa"/>
          </w:tcPr>
          <w:p w14:paraId="3D446610" w14:textId="7E8B3C14" w:rsidR="000F1894" w:rsidRPr="0012389B" w:rsidRDefault="004C5FDE" w:rsidP="00791619">
            <w:pPr>
              <w:jc w:val="both"/>
              <w:rPr>
                <w:b/>
                <w:bCs/>
                <w:color w:val="000000" w:themeColor="text1"/>
              </w:rPr>
            </w:pPr>
            <w:r w:rsidRPr="0012389B">
              <w:rPr>
                <w:rFonts w:cs="Arial"/>
                <w:b/>
                <w:bCs/>
                <w:color w:val="000000" w:themeColor="text1"/>
              </w:rPr>
              <w:t>CPP Charter Principles</w:t>
            </w:r>
          </w:p>
        </w:tc>
        <w:tc>
          <w:tcPr>
            <w:tcW w:w="7178" w:type="dxa"/>
          </w:tcPr>
          <w:p w14:paraId="040C3D19" w14:textId="4CE52EF0" w:rsidR="000F1894" w:rsidRPr="0012389B" w:rsidRDefault="00D63474" w:rsidP="00791619">
            <w:pPr>
              <w:jc w:val="both"/>
              <w:rPr>
                <w:color w:val="000000" w:themeColor="text1"/>
              </w:rPr>
            </w:pPr>
            <w:r w:rsidRPr="0012389B">
              <w:rPr>
                <w:rFonts w:cs="Arial"/>
                <w:color w:val="000000" w:themeColor="text1"/>
              </w:rPr>
              <w:t xml:space="preserve">The design is underpinned by the following CPP Principles: </w:t>
            </w:r>
            <w:r w:rsidR="000176E6" w:rsidRPr="0012389B">
              <w:rPr>
                <w:rFonts w:cs="Arial"/>
                <w:color w:val="000000" w:themeColor="text1"/>
              </w:rPr>
              <w:t>locally focused</w:t>
            </w:r>
            <w:r w:rsidR="004C5FDE" w:rsidRPr="0012389B">
              <w:rPr>
                <w:rFonts w:cs="Arial"/>
                <w:color w:val="000000" w:themeColor="text1"/>
              </w:rPr>
              <w:t xml:space="preserve"> and strength-based; inclusive and protection-based; participatory and respectful collaboration; respectful communication; continuous learning and innovation.  </w:t>
            </w:r>
          </w:p>
        </w:tc>
      </w:tr>
      <w:tr w:rsidR="001353D7" w:rsidRPr="0012389B" w14:paraId="47C36417" w14:textId="77777777" w:rsidTr="0073270D">
        <w:tc>
          <w:tcPr>
            <w:tcW w:w="1838" w:type="dxa"/>
          </w:tcPr>
          <w:p w14:paraId="49B5A93D" w14:textId="17E22C2D" w:rsidR="001353D7" w:rsidRPr="0012389B" w:rsidRDefault="001353D7" w:rsidP="00791619">
            <w:pPr>
              <w:jc w:val="both"/>
              <w:rPr>
                <w:rFonts w:cs="Arial"/>
                <w:b/>
                <w:bCs/>
                <w:color w:val="000000" w:themeColor="text1"/>
              </w:rPr>
            </w:pPr>
            <w:r>
              <w:rPr>
                <w:rFonts w:cs="Arial"/>
                <w:b/>
                <w:bCs/>
                <w:color w:val="000000" w:themeColor="text1"/>
              </w:rPr>
              <w:t>CPP Partners</w:t>
            </w:r>
          </w:p>
        </w:tc>
        <w:tc>
          <w:tcPr>
            <w:tcW w:w="7178" w:type="dxa"/>
          </w:tcPr>
          <w:p w14:paraId="592A531D" w14:textId="20AE6E5C" w:rsidR="001353D7" w:rsidRPr="0012389B" w:rsidRDefault="001353D7" w:rsidP="00791619">
            <w:pPr>
              <w:jc w:val="both"/>
              <w:rPr>
                <w:rFonts w:cs="Arial"/>
                <w:color w:val="000000" w:themeColor="text1"/>
              </w:rPr>
            </w:pPr>
            <w:r>
              <w:rPr>
                <w:rFonts w:cs="Arial"/>
                <w:color w:val="000000" w:themeColor="text1"/>
              </w:rPr>
              <w:t xml:space="preserve">Refers to the </w:t>
            </w:r>
            <w:r w:rsidR="00CE476E">
              <w:rPr>
                <w:rFonts w:cs="Arial"/>
                <w:color w:val="000000" w:themeColor="text1"/>
              </w:rPr>
              <w:t>p</w:t>
            </w:r>
            <w:r w:rsidR="002A2710">
              <w:rPr>
                <w:rFonts w:cs="Arial"/>
                <w:color w:val="000000" w:themeColor="text1"/>
              </w:rPr>
              <w:t>artnership</w:t>
            </w:r>
            <w:r>
              <w:rPr>
                <w:rFonts w:cs="Arial"/>
                <w:color w:val="000000" w:themeColor="text1"/>
              </w:rPr>
              <w:t xml:space="preserve"> between the PNG Church organisation, </w:t>
            </w:r>
            <w:proofErr w:type="gramStart"/>
            <w:r>
              <w:rPr>
                <w:rFonts w:cs="Arial"/>
                <w:color w:val="000000" w:themeColor="text1"/>
              </w:rPr>
              <w:t>it’s</w:t>
            </w:r>
            <w:proofErr w:type="gramEnd"/>
            <w:r>
              <w:rPr>
                <w:rFonts w:cs="Arial"/>
                <w:color w:val="000000" w:themeColor="text1"/>
              </w:rPr>
              <w:t xml:space="preserve"> development unit, and their sister ANGO partner. Others program partners (that is, PNGCC, </w:t>
            </w:r>
            <w:proofErr w:type="spellStart"/>
            <w:r>
              <w:rPr>
                <w:rFonts w:cs="Arial"/>
                <w:color w:val="000000" w:themeColor="text1"/>
              </w:rPr>
              <w:t>GoA</w:t>
            </w:r>
            <w:proofErr w:type="spellEnd"/>
            <w:r>
              <w:rPr>
                <w:rFonts w:cs="Arial"/>
                <w:color w:val="000000" w:themeColor="text1"/>
              </w:rPr>
              <w:t xml:space="preserve"> and </w:t>
            </w:r>
            <w:proofErr w:type="spellStart"/>
            <w:r>
              <w:rPr>
                <w:rFonts w:cs="Arial"/>
                <w:color w:val="000000" w:themeColor="text1"/>
              </w:rPr>
              <w:t>GoPNG</w:t>
            </w:r>
            <w:proofErr w:type="spellEnd"/>
            <w:r>
              <w:rPr>
                <w:rFonts w:cs="Arial"/>
                <w:color w:val="000000" w:themeColor="text1"/>
              </w:rPr>
              <w:t xml:space="preserve">) are referred to by name. </w:t>
            </w:r>
          </w:p>
        </w:tc>
      </w:tr>
      <w:tr w:rsidR="005A038F" w:rsidRPr="0012389B" w14:paraId="5C0F5C32" w14:textId="77777777" w:rsidTr="0073270D">
        <w:tc>
          <w:tcPr>
            <w:tcW w:w="1838" w:type="dxa"/>
          </w:tcPr>
          <w:p w14:paraId="34B994FE" w14:textId="77777777" w:rsidR="000F1894" w:rsidRPr="0012389B" w:rsidRDefault="000F1894" w:rsidP="00791619">
            <w:pPr>
              <w:jc w:val="both"/>
              <w:rPr>
                <w:i/>
                <w:iCs/>
                <w:color w:val="000000" w:themeColor="text1"/>
              </w:rPr>
            </w:pPr>
            <w:proofErr w:type="spellStart"/>
            <w:r w:rsidRPr="0012389B">
              <w:rPr>
                <w:rFonts w:cs="Arial"/>
                <w:b/>
                <w:i/>
                <w:iCs/>
                <w:color w:val="000000" w:themeColor="text1"/>
              </w:rPr>
              <w:t>Gudpela</w:t>
            </w:r>
            <w:proofErr w:type="spellEnd"/>
            <w:r w:rsidRPr="0012389B">
              <w:rPr>
                <w:rFonts w:cs="Arial"/>
                <w:b/>
                <w:i/>
                <w:iCs/>
                <w:color w:val="000000" w:themeColor="text1"/>
              </w:rPr>
              <w:t xml:space="preserve"> </w:t>
            </w:r>
            <w:proofErr w:type="spellStart"/>
            <w:r w:rsidRPr="0012389B">
              <w:rPr>
                <w:rFonts w:cs="Arial"/>
                <w:b/>
                <w:i/>
                <w:iCs/>
                <w:color w:val="000000" w:themeColor="text1"/>
              </w:rPr>
              <w:t>Sindaun</w:t>
            </w:r>
            <w:proofErr w:type="spellEnd"/>
          </w:p>
        </w:tc>
        <w:tc>
          <w:tcPr>
            <w:tcW w:w="7178" w:type="dxa"/>
          </w:tcPr>
          <w:p w14:paraId="4E9598AF" w14:textId="4546A35D" w:rsidR="000F1894" w:rsidRPr="0012389B" w:rsidRDefault="001C3D70" w:rsidP="00791619">
            <w:pPr>
              <w:pStyle w:val="FootnoteText"/>
              <w:jc w:val="both"/>
              <w:rPr>
                <w:sz w:val="18"/>
                <w:szCs w:val="18"/>
              </w:rPr>
            </w:pPr>
            <w:r w:rsidRPr="0012389B">
              <w:rPr>
                <w:sz w:val="22"/>
                <w:szCs w:val="22"/>
              </w:rPr>
              <w:t xml:space="preserve">A PNG measure of wellbeing and the common good; it reflects </w:t>
            </w:r>
            <w:r w:rsidR="008535AF" w:rsidRPr="0012389B">
              <w:rPr>
                <w:sz w:val="22"/>
                <w:szCs w:val="22"/>
              </w:rPr>
              <w:t>‘</w:t>
            </w:r>
            <w:r w:rsidRPr="0012389B">
              <w:rPr>
                <w:sz w:val="22"/>
                <w:szCs w:val="22"/>
              </w:rPr>
              <w:t>a life in balance</w:t>
            </w:r>
            <w:r w:rsidR="008535AF" w:rsidRPr="0012389B">
              <w:rPr>
                <w:sz w:val="22"/>
                <w:szCs w:val="22"/>
              </w:rPr>
              <w:t>’</w:t>
            </w:r>
            <w:r w:rsidRPr="0012389B">
              <w:rPr>
                <w:sz w:val="22"/>
                <w:szCs w:val="22"/>
              </w:rPr>
              <w:t xml:space="preserve"> – balancing the rights of those who have been before, those who are here now and those who are yet to come. Key to localisation of CPP, </w:t>
            </w:r>
            <w:proofErr w:type="spellStart"/>
            <w:r w:rsidRPr="0012389B">
              <w:rPr>
                <w:sz w:val="22"/>
                <w:szCs w:val="22"/>
              </w:rPr>
              <w:t>Gutpela</w:t>
            </w:r>
            <w:proofErr w:type="spellEnd"/>
            <w:r w:rsidRPr="0012389B">
              <w:rPr>
                <w:sz w:val="22"/>
                <w:szCs w:val="22"/>
              </w:rPr>
              <w:t xml:space="preserve"> </w:t>
            </w:r>
            <w:proofErr w:type="spellStart"/>
            <w:r w:rsidRPr="0012389B">
              <w:rPr>
                <w:sz w:val="22"/>
                <w:szCs w:val="22"/>
              </w:rPr>
              <w:t>Sindaun</w:t>
            </w:r>
            <w:proofErr w:type="spellEnd"/>
            <w:r w:rsidRPr="0012389B">
              <w:rPr>
                <w:sz w:val="22"/>
                <w:szCs w:val="22"/>
              </w:rPr>
              <w:t xml:space="preserve"> is the platform to support CPP leadership, decision making and local solutions, enabling transition from a Western model of wellbeing (Wealth) to a PNG model of wellbeing (Abundant Life) in which family and community are central</w:t>
            </w:r>
            <w:r w:rsidR="00B81134" w:rsidRPr="0012389B">
              <w:rPr>
                <w:sz w:val="22"/>
                <w:szCs w:val="22"/>
              </w:rPr>
              <w:t>’</w:t>
            </w:r>
            <w:r w:rsidR="00FF2883" w:rsidRPr="0012389B">
              <w:rPr>
                <w:sz w:val="22"/>
                <w:szCs w:val="22"/>
              </w:rPr>
              <w:t xml:space="preserve">. </w:t>
            </w:r>
            <w:r w:rsidRPr="0012389B">
              <w:rPr>
                <w:rStyle w:val="FootnoteReference"/>
                <w:sz w:val="22"/>
                <w:szCs w:val="22"/>
              </w:rPr>
              <w:footnoteReference w:id="5"/>
            </w:r>
          </w:p>
        </w:tc>
      </w:tr>
      <w:tr w:rsidR="005A038F" w:rsidRPr="0012389B" w14:paraId="44534565" w14:textId="77777777" w:rsidTr="0073270D">
        <w:tc>
          <w:tcPr>
            <w:tcW w:w="1838" w:type="dxa"/>
          </w:tcPr>
          <w:p w14:paraId="67B764A1" w14:textId="77777777" w:rsidR="00174356" w:rsidRPr="0012389B" w:rsidRDefault="00174356" w:rsidP="00791619">
            <w:pPr>
              <w:jc w:val="both"/>
              <w:rPr>
                <w:rFonts w:cs="Arial"/>
                <w:b/>
                <w:color w:val="000000" w:themeColor="text1"/>
              </w:rPr>
            </w:pPr>
            <w:r w:rsidRPr="0012389B">
              <w:rPr>
                <w:rFonts w:cs="Arial"/>
                <w:b/>
                <w:color w:val="000000" w:themeColor="text1"/>
              </w:rPr>
              <w:t>GEDSI</w:t>
            </w:r>
          </w:p>
          <w:p w14:paraId="5400BA4A" w14:textId="73037BF5" w:rsidR="00174356" w:rsidRPr="0012389B" w:rsidRDefault="00174356" w:rsidP="00791619">
            <w:pPr>
              <w:jc w:val="both"/>
              <w:rPr>
                <w:rFonts w:cs="Arial"/>
                <w:b/>
                <w:color w:val="000000" w:themeColor="text1"/>
              </w:rPr>
            </w:pPr>
            <w:r w:rsidRPr="0012389B">
              <w:rPr>
                <w:rFonts w:cs="Arial"/>
                <w:b/>
                <w:color w:val="000000" w:themeColor="text1"/>
              </w:rPr>
              <w:t>Mainstreaming</w:t>
            </w:r>
          </w:p>
        </w:tc>
        <w:tc>
          <w:tcPr>
            <w:tcW w:w="7178" w:type="dxa"/>
          </w:tcPr>
          <w:p w14:paraId="3AF7826C" w14:textId="5487F840" w:rsidR="00174356" w:rsidRPr="0012389B" w:rsidRDefault="00174356" w:rsidP="00791619">
            <w:pPr>
              <w:jc w:val="both"/>
              <w:rPr>
                <w:rFonts w:cs="Arial"/>
                <w:i/>
                <w:iCs/>
                <w:color w:val="000000" w:themeColor="text1"/>
              </w:rPr>
            </w:pPr>
            <w:r w:rsidRPr="0012389B">
              <w:rPr>
                <w:rFonts w:cs="Arial"/>
                <w:color w:val="000000" w:themeColor="text1"/>
              </w:rPr>
              <w:t>Integrating gender equality</w:t>
            </w:r>
            <w:r w:rsidR="00D63474" w:rsidRPr="0012389B">
              <w:rPr>
                <w:rFonts w:cs="Arial"/>
                <w:color w:val="000000" w:themeColor="text1"/>
              </w:rPr>
              <w:t>,</w:t>
            </w:r>
            <w:r w:rsidR="007B44A2" w:rsidRPr="0012389B">
              <w:rPr>
                <w:rFonts w:cs="Arial"/>
                <w:color w:val="000000" w:themeColor="text1"/>
              </w:rPr>
              <w:t xml:space="preserve"> </w:t>
            </w:r>
            <w:proofErr w:type="gramStart"/>
            <w:r w:rsidR="007B44A2" w:rsidRPr="0012389B">
              <w:rPr>
                <w:rFonts w:cs="Arial"/>
                <w:color w:val="000000" w:themeColor="text1"/>
              </w:rPr>
              <w:t>disability</w:t>
            </w:r>
            <w:proofErr w:type="gramEnd"/>
            <w:r w:rsidR="007B44A2" w:rsidRPr="0012389B">
              <w:rPr>
                <w:rFonts w:cs="Arial"/>
                <w:color w:val="000000" w:themeColor="text1"/>
              </w:rPr>
              <w:t xml:space="preserve"> and</w:t>
            </w:r>
            <w:r w:rsidR="00D63474" w:rsidRPr="0012389B">
              <w:rPr>
                <w:rFonts w:cs="Arial"/>
                <w:color w:val="000000" w:themeColor="text1"/>
              </w:rPr>
              <w:t xml:space="preserve"> social inclusion </w:t>
            </w:r>
            <w:r w:rsidR="005004DB" w:rsidRPr="0012389B">
              <w:rPr>
                <w:rFonts w:cs="Arial"/>
                <w:color w:val="000000" w:themeColor="text1"/>
              </w:rPr>
              <w:t>(GEDSI)</w:t>
            </w:r>
            <w:r w:rsidR="00D63474" w:rsidRPr="0012389B">
              <w:rPr>
                <w:rFonts w:cs="Arial"/>
                <w:color w:val="000000" w:themeColor="text1"/>
              </w:rPr>
              <w:t xml:space="preserve"> </w:t>
            </w:r>
            <w:r w:rsidRPr="0012389B">
              <w:rPr>
                <w:rFonts w:cs="Arial"/>
                <w:color w:val="000000" w:themeColor="text1"/>
              </w:rPr>
              <w:t xml:space="preserve">more effectively in all activities, </w:t>
            </w:r>
            <w:r w:rsidR="00C4369E" w:rsidRPr="0012389B">
              <w:rPr>
                <w:rFonts w:cs="Arial"/>
                <w:color w:val="000000" w:themeColor="text1"/>
              </w:rPr>
              <w:t>regardless of</w:t>
            </w:r>
            <w:r w:rsidRPr="0012389B">
              <w:rPr>
                <w:rFonts w:cs="Arial"/>
                <w:color w:val="000000" w:themeColor="text1"/>
              </w:rPr>
              <w:t xml:space="preserve"> the sector or focus.</w:t>
            </w:r>
            <w:r w:rsidRPr="0012389B">
              <w:rPr>
                <w:rFonts w:cs="Arial"/>
                <w:color w:val="000000" w:themeColor="text1"/>
                <w:vertAlign w:val="superscript"/>
              </w:rPr>
              <w:footnoteReference w:id="6"/>
            </w:r>
            <w:r w:rsidRPr="0012389B">
              <w:rPr>
                <w:rFonts w:cs="Arial"/>
                <w:color w:val="000000" w:themeColor="text1"/>
                <w:vertAlign w:val="superscript"/>
              </w:rPr>
              <w:t>.</w:t>
            </w:r>
          </w:p>
        </w:tc>
      </w:tr>
      <w:tr w:rsidR="005A038F" w:rsidRPr="0012389B" w14:paraId="4B1B1942" w14:textId="77777777" w:rsidTr="0073270D">
        <w:tc>
          <w:tcPr>
            <w:tcW w:w="1838" w:type="dxa"/>
            <w:tcBorders>
              <w:bottom w:val="single" w:sz="4" w:space="0" w:color="auto"/>
            </w:tcBorders>
          </w:tcPr>
          <w:p w14:paraId="499A1D91" w14:textId="37E16D4E" w:rsidR="00174356" w:rsidRPr="0012389B" w:rsidRDefault="00D63474" w:rsidP="00791619">
            <w:pPr>
              <w:jc w:val="both"/>
              <w:rPr>
                <w:rFonts w:cs="Arial"/>
                <w:b/>
                <w:color w:val="000000" w:themeColor="text1"/>
              </w:rPr>
            </w:pPr>
            <w:r w:rsidRPr="0012389B">
              <w:rPr>
                <w:rFonts w:cs="Arial"/>
                <w:b/>
                <w:color w:val="000000" w:themeColor="text1"/>
              </w:rPr>
              <w:t xml:space="preserve">GEDSI </w:t>
            </w:r>
            <w:r w:rsidR="00174356" w:rsidRPr="0012389B">
              <w:rPr>
                <w:rFonts w:cs="Arial"/>
                <w:b/>
                <w:color w:val="000000" w:themeColor="text1"/>
              </w:rPr>
              <w:t xml:space="preserve">Targeted </w:t>
            </w:r>
          </w:p>
        </w:tc>
        <w:tc>
          <w:tcPr>
            <w:tcW w:w="7178" w:type="dxa"/>
            <w:tcBorders>
              <w:bottom w:val="single" w:sz="4" w:space="0" w:color="auto"/>
            </w:tcBorders>
          </w:tcPr>
          <w:p w14:paraId="386D1067" w14:textId="7F4B9AFE" w:rsidR="00174356" w:rsidRPr="0012389B" w:rsidRDefault="00174356" w:rsidP="00791619">
            <w:pPr>
              <w:jc w:val="both"/>
              <w:rPr>
                <w:rFonts w:cs="Arial"/>
                <w:color w:val="000000" w:themeColor="text1"/>
              </w:rPr>
            </w:pPr>
            <w:r w:rsidRPr="0012389B">
              <w:rPr>
                <w:rFonts w:cs="Arial"/>
                <w:color w:val="000000" w:themeColor="text1"/>
              </w:rPr>
              <w:t>In addition to mainstreaming, CPP partners implement targeted GEDSI activities and investments such as: safe houses, referral pathways, partnerships with disabled people’s organisations</w:t>
            </w:r>
            <w:r w:rsidR="00BA1C33">
              <w:rPr>
                <w:rFonts w:cs="Arial"/>
                <w:color w:val="000000" w:themeColor="text1"/>
              </w:rPr>
              <w:t>, women’s organisations, GBV</w:t>
            </w:r>
            <w:r w:rsidRPr="0012389B">
              <w:rPr>
                <w:rFonts w:cs="Arial"/>
                <w:color w:val="000000" w:themeColor="text1"/>
              </w:rPr>
              <w:t xml:space="preserve"> and SARV</w:t>
            </w:r>
            <w:r w:rsidR="00BA1C33">
              <w:rPr>
                <w:rFonts w:cs="Arial"/>
                <w:color w:val="000000" w:themeColor="text1"/>
              </w:rPr>
              <w:t xml:space="preserve"> response </w:t>
            </w:r>
            <w:r w:rsidRPr="0012389B">
              <w:rPr>
                <w:rFonts w:cs="Arial"/>
                <w:color w:val="000000" w:themeColor="text1"/>
              </w:rPr>
              <w:t>programs.</w:t>
            </w:r>
          </w:p>
        </w:tc>
      </w:tr>
      <w:tr w:rsidR="005A038F" w:rsidRPr="0012389B" w14:paraId="66BB17A9" w14:textId="77777777" w:rsidTr="0073270D">
        <w:tc>
          <w:tcPr>
            <w:tcW w:w="1838" w:type="dxa"/>
            <w:tcBorders>
              <w:top w:val="single" w:sz="4" w:space="0" w:color="auto"/>
            </w:tcBorders>
          </w:tcPr>
          <w:p w14:paraId="77B6935D" w14:textId="4CDDC35F" w:rsidR="00174356" w:rsidRPr="0012389B" w:rsidRDefault="00174356" w:rsidP="00791619">
            <w:pPr>
              <w:jc w:val="both"/>
              <w:rPr>
                <w:b/>
                <w:bCs/>
              </w:rPr>
            </w:pPr>
            <w:r w:rsidRPr="0012389B">
              <w:rPr>
                <w:b/>
                <w:bCs/>
              </w:rPr>
              <w:t>Localisation</w:t>
            </w:r>
          </w:p>
        </w:tc>
        <w:tc>
          <w:tcPr>
            <w:tcW w:w="7178" w:type="dxa"/>
            <w:tcBorders>
              <w:top w:val="single" w:sz="4" w:space="0" w:color="auto"/>
            </w:tcBorders>
          </w:tcPr>
          <w:p w14:paraId="3240459B" w14:textId="3943B509" w:rsidR="00174356" w:rsidRPr="0012389B" w:rsidRDefault="00174356" w:rsidP="00791619">
            <w:pPr>
              <w:pStyle w:val="ListParagraph"/>
              <w:ind w:left="0"/>
              <w:contextualSpacing w:val="0"/>
              <w:jc w:val="both"/>
              <w:rPr>
                <w:rFonts w:cs="Arial"/>
                <w:color w:val="000000" w:themeColor="text1"/>
              </w:rPr>
            </w:pPr>
            <w:r w:rsidRPr="0012389B">
              <w:rPr>
                <w:rFonts w:cs="Arial"/>
                <w:color w:val="000000" w:themeColor="text1"/>
              </w:rPr>
              <w:t xml:space="preserve">As an evolving field of practice in both development and humanitarian action, there is no single definition of localisation. At DFAT, localisation in development is understood as a </w:t>
            </w:r>
            <w:r w:rsidR="009B0199" w:rsidRPr="0012389B">
              <w:rPr>
                <w:rFonts w:cs="Arial"/>
                <w:color w:val="000000" w:themeColor="text1"/>
              </w:rPr>
              <w:t>‘</w:t>
            </w:r>
            <w:r w:rsidRPr="0012389B">
              <w:rPr>
                <w:rFonts w:cs="Arial"/>
                <w:color w:val="000000" w:themeColor="text1"/>
              </w:rPr>
              <w:t>method to drive more effective development outcomes by improving the agency of affected people and local actors (including partner governments) so that development action is locally informed, locally led and meets the needs of local people.</w:t>
            </w:r>
            <w:r w:rsidR="009B0199" w:rsidRPr="0012389B">
              <w:rPr>
                <w:rFonts w:cs="Arial"/>
                <w:color w:val="000000" w:themeColor="text1"/>
              </w:rPr>
              <w:t>’</w:t>
            </w:r>
            <w:r w:rsidRPr="0012389B">
              <w:rPr>
                <w:rFonts w:cs="Arial"/>
                <w:color w:val="000000" w:themeColor="text1"/>
              </w:rPr>
              <w:t xml:space="preserve"> </w:t>
            </w:r>
            <w:r w:rsidR="00950F50" w:rsidRPr="0012389B">
              <w:rPr>
                <w:rStyle w:val="FootnoteReference"/>
                <w:rFonts w:cs="Arial"/>
                <w:color w:val="000000" w:themeColor="text1"/>
              </w:rPr>
              <w:footnoteReference w:id="7"/>
            </w:r>
            <w:r w:rsidR="00950F50" w:rsidRPr="0012389B">
              <w:rPr>
                <w:rFonts w:cs="Arial"/>
                <w:color w:val="000000" w:themeColor="text1"/>
              </w:rPr>
              <w:t xml:space="preserve"> </w:t>
            </w:r>
            <w:r w:rsidRPr="0012389B">
              <w:rPr>
                <w:rFonts w:cs="Arial"/>
                <w:color w:val="000000" w:themeColor="text1"/>
              </w:rPr>
              <w:t xml:space="preserve">Most importantly, good localisation is driven by an intention to localise. </w:t>
            </w:r>
          </w:p>
        </w:tc>
      </w:tr>
      <w:tr w:rsidR="005A038F" w:rsidRPr="0012389B" w14:paraId="51DD7B94" w14:textId="77777777" w:rsidTr="0073270D">
        <w:tc>
          <w:tcPr>
            <w:tcW w:w="1838" w:type="dxa"/>
            <w:tcBorders>
              <w:top w:val="single" w:sz="4" w:space="0" w:color="auto"/>
            </w:tcBorders>
          </w:tcPr>
          <w:p w14:paraId="69A4CAA5" w14:textId="2198C2AA" w:rsidR="00174356" w:rsidRPr="0012389B" w:rsidRDefault="00174356" w:rsidP="00791619">
            <w:pPr>
              <w:jc w:val="both"/>
              <w:rPr>
                <w:color w:val="000000" w:themeColor="text1"/>
              </w:rPr>
            </w:pPr>
            <w:r w:rsidRPr="0012389B">
              <w:rPr>
                <w:b/>
                <w:bCs/>
              </w:rPr>
              <w:t>Policy</w:t>
            </w:r>
          </w:p>
        </w:tc>
        <w:tc>
          <w:tcPr>
            <w:tcW w:w="7178" w:type="dxa"/>
            <w:tcBorders>
              <w:top w:val="single" w:sz="4" w:space="0" w:color="auto"/>
            </w:tcBorders>
          </w:tcPr>
          <w:p w14:paraId="62D649E3" w14:textId="61E2D239" w:rsidR="00174356" w:rsidRPr="0012389B" w:rsidRDefault="00174356" w:rsidP="00791619">
            <w:pPr>
              <w:jc w:val="both"/>
            </w:pPr>
            <w:r w:rsidRPr="0012389B">
              <w:t xml:space="preserve">Defined broadly as specific actions based on a set of decisions. Many people equate policy with legislation, but it also includes non-legislative decisions and actions such as setting and implementing standards, allocating resources between organisations, changing the levels of subsidies or taxes, or consulting specific groups in the policy-making process. This </w:t>
            </w:r>
            <w:r w:rsidR="003D4712" w:rsidRPr="0012389B">
              <w:t>document</w:t>
            </w:r>
            <w:r w:rsidRPr="0012389B">
              <w:t xml:space="preserve"> includes within this definition of policy action, local activities to facilitate the community to take collective action with government to solve local problems and</w:t>
            </w:r>
            <w:r w:rsidR="003D4712" w:rsidRPr="0012389B">
              <w:t xml:space="preserve"> develop</w:t>
            </w:r>
            <w:r w:rsidRPr="0012389B">
              <w:t xml:space="preserve"> social accountability projects.</w:t>
            </w:r>
          </w:p>
        </w:tc>
      </w:tr>
      <w:tr w:rsidR="005A038F" w:rsidRPr="0012389B" w14:paraId="12F49DD3" w14:textId="77777777" w:rsidTr="0073270D">
        <w:tc>
          <w:tcPr>
            <w:tcW w:w="1838" w:type="dxa"/>
          </w:tcPr>
          <w:p w14:paraId="38DACF1B" w14:textId="2F7B5469" w:rsidR="00174356" w:rsidRPr="0012389B" w:rsidRDefault="00174356" w:rsidP="00791619">
            <w:pPr>
              <w:ind w:right="-137"/>
              <w:jc w:val="both"/>
              <w:rPr>
                <w:rFonts w:cs="Arial"/>
                <w:b/>
                <w:color w:val="000000" w:themeColor="text1"/>
              </w:rPr>
            </w:pPr>
            <w:r w:rsidRPr="0012389B">
              <w:rPr>
                <w:b/>
                <w:bCs/>
              </w:rPr>
              <w:lastRenderedPageBreak/>
              <w:t>Policy influence</w:t>
            </w:r>
          </w:p>
        </w:tc>
        <w:tc>
          <w:tcPr>
            <w:tcW w:w="7178" w:type="dxa"/>
          </w:tcPr>
          <w:p w14:paraId="3D481FB1" w14:textId="08606CE9" w:rsidR="00174356" w:rsidRPr="0012389B" w:rsidRDefault="00174356" w:rsidP="00791619">
            <w:pPr>
              <w:jc w:val="both"/>
              <w:rPr>
                <w:rFonts w:cs="Arial"/>
                <w:color w:val="000000" w:themeColor="text1"/>
              </w:rPr>
            </w:pPr>
            <w:r w:rsidRPr="0012389B">
              <w:t xml:space="preserve">The </w:t>
            </w:r>
            <w:r w:rsidR="00A63255" w:rsidRPr="0012389B">
              <w:t>‘</w:t>
            </w:r>
            <w:r w:rsidRPr="0012389B">
              <w:t>goal to be achieved</w:t>
            </w:r>
            <w:r w:rsidR="00A63255" w:rsidRPr="0012389B">
              <w:t>’</w:t>
            </w:r>
            <w:r w:rsidR="004152AB" w:rsidRPr="0012389B">
              <w:t>, or</w:t>
            </w:r>
            <w:r w:rsidRPr="0012389B">
              <w:t xml:space="preserve"> evidence that an intervention has influenced decisions and/or actions (often the intervention involves networking and the generation of evidence).</w:t>
            </w:r>
          </w:p>
        </w:tc>
      </w:tr>
      <w:tr w:rsidR="005A038F" w:rsidRPr="0012389B" w14:paraId="305B0D17" w14:textId="77777777" w:rsidTr="0073270D">
        <w:tc>
          <w:tcPr>
            <w:tcW w:w="1838" w:type="dxa"/>
          </w:tcPr>
          <w:p w14:paraId="43B13551" w14:textId="372B1A3A" w:rsidR="00174356" w:rsidRPr="0012389B" w:rsidRDefault="00174356" w:rsidP="00791619">
            <w:pPr>
              <w:ind w:right="-137"/>
              <w:jc w:val="both"/>
              <w:rPr>
                <w:b/>
                <w:bCs/>
              </w:rPr>
            </w:pPr>
            <w:r w:rsidRPr="0012389B">
              <w:rPr>
                <w:b/>
                <w:bCs/>
              </w:rPr>
              <w:t>Policy engagement</w:t>
            </w:r>
          </w:p>
        </w:tc>
        <w:tc>
          <w:tcPr>
            <w:tcW w:w="7178" w:type="dxa"/>
          </w:tcPr>
          <w:p w14:paraId="00574E14" w14:textId="2C4BFAC5" w:rsidR="00174356" w:rsidRPr="0012389B" w:rsidRDefault="00174356" w:rsidP="00791619">
            <w:pPr>
              <w:jc w:val="both"/>
            </w:pPr>
            <w:r w:rsidRPr="0012389B">
              <w:t xml:space="preserve">The </w:t>
            </w:r>
            <w:r w:rsidR="00EF70B5" w:rsidRPr="0012389B">
              <w:t>‘</w:t>
            </w:r>
            <w:r w:rsidRPr="0012389B">
              <w:t>means of achieving the goal of policy influence</w:t>
            </w:r>
            <w:r w:rsidR="00EF70B5" w:rsidRPr="0012389B">
              <w:t>’</w:t>
            </w:r>
            <w:r w:rsidRPr="0012389B">
              <w:t xml:space="preserve">. </w:t>
            </w:r>
            <w:r w:rsidR="00EF70B5" w:rsidRPr="0012389B">
              <w:t>B</w:t>
            </w:r>
            <w:r w:rsidRPr="0012389B">
              <w:t>etter engagement may lead to greater influence</w:t>
            </w:r>
            <w:r w:rsidR="00EF70B5" w:rsidRPr="0012389B">
              <w:t>,</w:t>
            </w:r>
            <w:r w:rsidRPr="0012389B">
              <w:t xml:space="preserve"> </w:t>
            </w:r>
            <w:r w:rsidR="00EF70B5" w:rsidRPr="0012389B">
              <w:t>a</w:t>
            </w:r>
            <w:r w:rsidRPr="0012389B">
              <w:t xml:space="preserve">lthough the opposite can be case, </w:t>
            </w:r>
            <w:r w:rsidR="009078AF" w:rsidRPr="0012389B">
              <w:t>that is,</w:t>
            </w:r>
            <w:r w:rsidRPr="0012389B">
              <w:t xml:space="preserve"> greater influence may lead to improved engagement. The relationship between these two concepts will shaped by the policy context.</w:t>
            </w:r>
            <w:r w:rsidRPr="0012389B">
              <w:rPr>
                <w:vertAlign w:val="superscript"/>
              </w:rPr>
              <w:footnoteReference w:id="8"/>
            </w:r>
            <w:r w:rsidRPr="0012389B">
              <w:t xml:space="preserve"> Approaches to policy engagement are often defined as falling across spectrum from collaborative to confrontational. Based on international experience, and in alignment with the BCEP design, this paper argues that collaborative approaches are the most constructive and effective in the PNG context. </w:t>
            </w:r>
          </w:p>
        </w:tc>
      </w:tr>
      <w:tr w:rsidR="002A2710" w:rsidRPr="0012389B" w14:paraId="6B36A040" w14:textId="77777777" w:rsidTr="001353D7">
        <w:tc>
          <w:tcPr>
            <w:tcW w:w="1838" w:type="dxa"/>
          </w:tcPr>
          <w:p w14:paraId="1A92B711" w14:textId="7174C77D" w:rsidR="002A2710" w:rsidRPr="0012389B" w:rsidRDefault="002A2710" w:rsidP="00955E5F">
            <w:pPr>
              <w:ind w:right="456"/>
              <w:jc w:val="both"/>
              <w:rPr>
                <w:b/>
                <w:bCs/>
              </w:rPr>
            </w:pPr>
            <w:r>
              <w:rPr>
                <w:b/>
                <w:bCs/>
              </w:rPr>
              <w:t>PNG Church partner</w:t>
            </w:r>
          </w:p>
        </w:tc>
        <w:tc>
          <w:tcPr>
            <w:tcW w:w="7178" w:type="dxa"/>
          </w:tcPr>
          <w:p w14:paraId="0985C080" w14:textId="4AE4702E" w:rsidR="002A2710" w:rsidRPr="0012389B" w:rsidRDefault="002A2710" w:rsidP="00791619">
            <w:pPr>
              <w:jc w:val="both"/>
            </w:pPr>
            <w:r>
              <w:t>Refers to the PNG Church organisation including its development unit</w:t>
            </w:r>
          </w:p>
        </w:tc>
      </w:tr>
      <w:tr w:rsidR="005A038F" w:rsidRPr="0012389B" w14:paraId="6B00B5D1" w14:textId="77777777" w:rsidTr="0073270D">
        <w:tc>
          <w:tcPr>
            <w:tcW w:w="1838" w:type="dxa"/>
            <w:tcBorders>
              <w:top w:val="single" w:sz="4" w:space="0" w:color="7F7F7F" w:themeColor="text1" w:themeTint="80"/>
            </w:tcBorders>
          </w:tcPr>
          <w:p w14:paraId="07953FE5" w14:textId="77777777" w:rsidR="00174356" w:rsidRPr="0012389B" w:rsidRDefault="00174356" w:rsidP="00791619">
            <w:pPr>
              <w:ind w:right="-163"/>
              <w:jc w:val="both"/>
              <w:rPr>
                <w:rFonts w:cs="Arial"/>
                <w:b/>
                <w:color w:val="000000" w:themeColor="text1"/>
              </w:rPr>
            </w:pPr>
            <w:r w:rsidRPr="0012389B">
              <w:rPr>
                <w:rFonts w:cs="Arial"/>
                <w:b/>
                <w:color w:val="000000" w:themeColor="text1"/>
              </w:rPr>
              <w:t>Social accountability</w:t>
            </w:r>
          </w:p>
        </w:tc>
        <w:tc>
          <w:tcPr>
            <w:tcW w:w="7178" w:type="dxa"/>
            <w:tcBorders>
              <w:top w:val="single" w:sz="4" w:space="0" w:color="7F7F7F" w:themeColor="text1" w:themeTint="80"/>
            </w:tcBorders>
          </w:tcPr>
          <w:p w14:paraId="1936EBCC" w14:textId="79E020C5" w:rsidR="00174356" w:rsidRPr="0012389B" w:rsidRDefault="00174356" w:rsidP="00791619">
            <w:pPr>
              <w:jc w:val="both"/>
              <w:rPr>
                <w:rFonts w:cs="Arial"/>
                <w:color w:val="000000" w:themeColor="text1"/>
              </w:rPr>
            </w:pPr>
            <w:r w:rsidRPr="0012389B">
              <w:rPr>
                <w:rFonts w:cs="Arial"/>
                <w:color w:val="000000" w:themeColor="text1"/>
              </w:rPr>
              <w:t>A process in which informed citizens hold governments to account for delivering quality public services and resources. Social accountability refers specifically to the relationship between those who manage and provide public services and citizens who use these services. Social accountability is different from ‘higher level’ accountability relationships that focus on national level policy making or election cycles. Social accountability is locally experienced: it is a relationship that is most relevant to the daily life of citizens at the community level who are concerned with getting access to local government officials, monitoring local budget spending, and discussing the quality of services. Those supporting social accountability believe that when citizens engage with service providers</w:t>
            </w:r>
            <w:r w:rsidR="00BA48A7" w:rsidRPr="0012389B">
              <w:rPr>
                <w:rFonts w:cs="Arial"/>
                <w:color w:val="000000" w:themeColor="text1"/>
              </w:rPr>
              <w:t>,</w:t>
            </w:r>
            <w:r w:rsidRPr="0012389B">
              <w:rPr>
                <w:rFonts w:cs="Arial"/>
                <w:color w:val="000000" w:themeColor="text1"/>
              </w:rPr>
              <w:t xml:space="preserve"> for example through participating in planning local services, attending public meetings to improve quality or involvement in oversight bodies</w:t>
            </w:r>
            <w:r w:rsidR="002E7E34" w:rsidRPr="0012389B">
              <w:rPr>
                <w:rFonts w:cs="Arial"/>
                <w:color w:val="000000" w:themeColor="text1"/>
              </w:rPr>
              <w:t>,</w:t>
            </w:r>
            <w:r w:rsidRPr="0012389B">
              <w:rPr>
                <w:rFonts w:cs="Arial"/>
                <w:color w:val="000000" w:themeColor="text1"/>
              </w:rPr>
              <w:t xml:space="preserve"> their views are more likely to be heard and to influence government policy and practice leading to better quality services.</w:t>
            </w:r>
            <w:r w:rsidRPr="0012389B">
              <w:rPr>
                <w:vertAlign w:val="superscript"/>
              </w:rPr>
              <w:footnoteReference w:id="9"/>
            </w:r>
          </w:p>
        </w:tc>
      </w:tr>
      <w:tr w:rsidR="005A038F" w:rsidRPr="0012389B" w14:paraId="13F7B12B" w14:textId="77777777" w:rsidTr="0073270D">
        <w:tc>
          <w:tcPr>
            <w:tcW w:w="1838" w:type="dxa"/>
            <w:tcBorders>
              <w:bottom w:val="single" w:sz="4" w:space="0" w:color="44546A" w:themeColor="text2"/>
            </w:tcBorders>
          </w:tcPr>
          <w:p w14:paraId="154C026C" w14:textId="77777777" w:rsidR="00174356" w:rsidRPr="0012389B" w:rsidRDefault="00174356" w:rsidP="00791619">
            <w:pPr>
              <w:jc w:val="both"/>
              <w:rPr>
                <w:rFonts w:cs="Arial"/>
                <w:b/>
                <w:color w:val="000000" w:themeColor="text1"/>
              </w:rPr>
            </w:pPr>
            <w:r w:rsidRPr="0012389B">
              <w:rPr>
                <w:rFonts w:cs="Arial"/>
                <w:b/>
                <w:color w:val="000000" w:themeColor="text1"/>
              </w:rPr>
              <w:t>Social Norms</w:t>
            </w:r>
          </w:p>
        </w:tc>
        <w:tc>
          <w:tcPr>
            <w:tcW w:w="7178" w:type="dxa"/>
            <w:tcBorders>
              <w:bottom w:val="single" w:sz="4" w:space="0" w:color="44546A" w:themeColor="text2"/>
            </w:tcBorders>
          </w:tcPr>
          <w:p w14:paraId="2005A781" w14:textId="171BCDCF" w:rsidR="00174356" w:rsidRPr="0012389B" w:rsidRDefault="00174356" w:rsidP="00791619">
            <w:pPr>
              <w:jc w:val="both"/>
              <w:rPr>
                <w:rFonts w:cs="Arial"/>
                <w:color w:val="000000" w:themeColor="text1"/>
              </w:rPr>
            </w:pPr>
            <w:r w:rsidRPr="0012389B">
              <w:rPr>
                <w:rFonts w:cs="Arial"/>
                <w:color w:val="000000" w:themeColor="text1"/>
              </w:rPr>
              <w:t xml:space="preserve">Social norms are rules of conduct or models of behaviour expected by a society or social group. These are rooted in customs, traditions and value systems that develop and change over time. Social norms do not necessarily uphold ethical, </w:t>
            </w:r>
            <w:proofErr w:type="gramStart"/>
            <w:r w:rsidRPr="0012389B">
              <w:rPr>
                <w:rFonts w:cs="Arial"/>
                <w:color w:val="000000" w:themeColor="text1"/>
              </w:rPr>
              <w:t>fair</w:t>
            </w:r>
            <w:proofErr w:type="gramEnd"/>
            <w:r w:rsidRPr="0012389B">
              <w:rPr>
                <w:rFonts w:cs="Arial"/>
                <w:color w:val="000000" w:themeColor="text1"/>
              </w:rPr>
              <w:t xml:space="preserve"> or inclusive values or behaviour</w:t>
            </w:r>
            <w:r w:rsidR="008535AF" w:rsidRPr="0012389B">
              <w:rPr>
                <w:rFonts w:cs="Arial"/>
                <w:color w:val="000000" w:themeColor="text1"/>
              </w:rPr>
              <w:t xml:space="preserve">. </w:t>
            </w:r>
            <w:r w:rsidRPr="0012389B">
              <w:rPr>
                <w:rFonts w:cs="Arial"/>
                <w:color w:val="000000" w:themeColor="text1"/>
              </w:rPr>
              <w:t>Gender norms are a sub-set of social norms and define the expected roles of men and women</w:t>
            </w:r>
            <w:r w:rsidR="008535AF" w:rsidRPr="0012389B">
              <w:rPr>
                <w:rFonts w:cs="Arial"/>
                <w:color w:val="000000" w:themeColor="text1"/>
              </w:rPr>
              <w:t xml:space="preserve">. </w:t>
            </w:r>
            <w:r w:rsidR="00D63474" w:rsidRPr="0012389B">
              <w:rPr>
                <w:color w:val="000000" w:themeColor="text1"/>
              </w:rPr>
              <w:t>H</w:t>
            </w:r>
            <w:r w:rsidR="000B4536" w:rsidRPr="0012389B">
              <w:rPr>
                <w:color w:val="000000" w:themeColor="text1"/>
              </w:rPr>
              <w:t>u</w:t>
            </w:r>
            <w:r w:rsidR="00C836C6" w:rsidRPr="0012389B">
              <w:rPr>
                <w:color w:val="000000" w:themeColor="text1"/>
              </w:rPr>
              <w:t>r</w:t>
            </w:r>
            <w:r w:rsidR="000B4536" w:rsidRPr="0012389B">
              <w:rPr>
                <w:color w:val="000000" w:themeColor="text1"/>
              </w:rPr>
              <w:t>t</w:t>
            </w:r>
            <w:r w:rsidR="00D63474" w:rsidRPr="0012389B">
              <w:rPr>
                <w:color w:val="000000" w:themeColor="text1"/>
              </w:rPr>
              <w:t>ful</w:t>
            </w:r>
            <w:r w:rsidR="00D63474" w:rsidRPr="0012389B">
              <w:rPr>
                <w:rFonts w:cs="Arial"/>
                <w:color w:val="000000" w:themeColor="text1"/>
              </w:rPr>
              <w:t xml:space="preserve"> and exclusionary norms are those which disadvantage women and vulnerable groups such as people with disabilities or those that are accused of sorcery in PNG.</w:t>
            </w:r>
          </w:p>
        </w:tc>
      </w:tr>
      <w:tr w:rsidR="005A038F" w:rsidRPr="0012389B" w14:paraId="160D19E2" w14:textId="77777777" w:rsidTr="0073270D">
        <w:tc>
          <w:tcPr>
            <w:tcW w:w="1838" w:type="dxa"/>
          </w:tcPr>
          <w:p w14:paraId="56890BDB" w14:textId="77777777" w:rsidR="00174356" w:rsidRPr="0012389B" w:rsidRDefault="00174356" w:rsidP="00955E5F">
            <w:pPr>
              <w:rPr>
                <w:b/>
                <w:bCs/>
              </w:rPr>
            </w:pPr>
            <w:r w:rsidRPr="0012389B">
              <w:rPr>
                <w:b/>
                <w:bCs/>
              </w:rPr>
              <w:t>Twin-track approach to GEDSI</w:t>
            </w:r>
          </w:p>
        </w:tc>
        <w:tc>
          <w:tcPr>
            <w:tcW w:w="7178" w:type="dxa"/>
          </w:tcPr>
          <w:p w14:paraId="6298AC0B" w14:textId="5EFC8E4A" w:rsidR="00174356" w:rsidRPr="0012389B" w:rsidRDefault="00174356" w:rsidP="00791619">
            <w:pPr>
              <w:jc w:val="both"/>
              <w:rPr>
                <w:rFonts w:cs="Arial"/>
                <w:color w:val="000000" w:themeColor="text1"/>
              </w:rPr>
            </w:pPr>
            <w:r w:rsidRPr="0012389B">
              <w:rPr>
                <w:rFonts w:cs="Arial"/>
                <w:color w:val="000000" w:themeColor="text1"/>
              </w:rPr>
              <w:t>Including</w:t>
            </w:r>
            <w:r w:rsidR="00D63474" w:rsidRPr="0012389B">
              <w:rPr>
                <w:rFonts w:cs="Arial"/>
                <w:color w:val="000000" w:themeColor="text1"/>
              </w:rPr>
              <w:t xml:space="preserve"> both</w:t>
            </w:r>
            <w:r w:rsidRPr="0012389B">
              <w:rPr>
                <w:rFonts w:cs="Arial"/>
                <w:color w:val="000000" w:themeColor="text1"/>
              </w:rPr>
              <w:t xml:space="preserve"> GEDSI mainstreaming across all activities and targeted GEDSI activities.</w:t>
            </w:r>
            <w:r w:rsidR="00D63474" w:rsidRPr="0012389B">
              <w:rPr>
                <w:rFonts w:cs="Arial"/>
                <w:color w:val="000000" w:themeColor="text1"/>
              </w:rPr>
              <w:t xml:space="preserve"> This is considered good practice and is aligned with the DFAT Gender Equality and Women’s Empowerment Strategy (2016-2020) and Development for All 2015-2020: Strategy for strengthening disability-inclusive development in Australia’s aid program.</w:t>
            </w:r>
          </w:p>
        </w:tc>
      </w:tr>
    </w:tbl>
    <w:p w14:paraId="4C846C36" w14:textId="54D263EA" w:rsidR="000F1894" w:rsidRPr="0012389B" w:rsidRDefault="000F1894" w:rsidP="00791619">
      <w:pPr>
        <w:jc w:val="both"/>
        <w:rPr>
          <w:rFonts w:cs="Arial"/>
          <w:color w:val="000000" w:themeColor="text1"/>
        </w:rPr>
        <w:sectPr w:rsidR="000F1894" w:rsidRPr="0012389B" w:rsidSect="00A73864">
          <w:pgSz w:w="11906" w:h="16838"/>
          <w:pgMar w:top="1440" w:right="1440" w:bottom="1440" w:left="1440" w:header="708" w:footer="708" w:gutter="0"/>
          <w:pgNumType w:fmt="lowerRoman"/>
          <w:cols w:space="708"/>
          <w:docGrid w:linePitch="360"/>
        </w:sectPr>
      </w:pPr>
    </w:p>
    <w:p w14:paraId="07404E44" w14:textId="4329EC69" w:rsidR="00BD19AD" w:rsidRPr="0012389B" w:rsidRDefault="00BD19AD" w:rsidP="00791619">
      <w:pPr>
        <w:pStyle w:val="Heading1"/>
        <w:numPr>
          <w:ilvl w:val="0"/>
          <w:numId w:val="1"/>
        </w:numPr>
        <w:ind w:hanging="720"/>
        <w:jc w:val="both"/>
        <w:rPr>
          <w:rFonts w:ascii="Arial" w:hAnsi="Arial" w:cs="Arial"/>
          <w:sz w:val="28"/>
          <w:szCs w:val="28"/>
        </w:rPr>
      </w:pPr>
      <w:bookmarkStart w:id="19" w:name="_Toc87904072"/>
      <w:bookmarkStart w:id="20" w:name="_Toc87946819"/>
      <w:bookmarkStart w:id="21" w:name="_Toc87987269"/>
      <w:bookmarkStart w:id="22" w:name="_Toc97187807"/>
      <w:bookmarkStart w:id="23" w:name="_Toc97305451"/>
      <w:bookmarkStart w:id="24" w:name="_Toc99041650"/>
      <w:bookmarkEnd w:id="19"/>
      <w:bookmarkEnd w:id="20"/>
      <w:r w:rsidRPr="0012389B">
        <w:rPr>
          <w:rFonts w:ascii="Arial" w:hAnsi="Arial" w:cs="Arial"/>
          <w:sz w:val="28"/>
          <w:szCs w:val="28"/>
        </w:rPr>
        <w:lastRenderedPageBreak/>
        <w:t>Introduction</w:t>
      </w:r>
      <w:bookmarkEnd w:id="21"/>
      <w:bookmarkEnd w:id="22"/>
      <w:bookmarkEnd w:id="23"/>
      <w:bookmarkEnd w:id="24"/>
      <w:r w:rsidR="00174E55" w:rsidRPr="0012389B">
        <w:rPr>
          <w:rFonts w:ascii="Arial" w:hAnsi="Arial" w:cs="Arial"/>
          <w:sz w:val="28"/>
          <w:szCs w:val="28"/>
        </w:rPr>
        <w:t xml:space="preserve"> </w:t>
      </w:r>
    </w:p>
    <w:p w14:paraId="575F2982" w14:textId="77777777" w:rsidR="00EC48DC" w:rsidRDefault="00514DF8" w:rsidP="00791619">
      <w:pPr>
        <w:jc w:val="both"/>
      </w:pPr>
      <w:r w:rsidRPr="0012389B">
        <w:t xml:space="preserve">The Church Partnerships Program (CPP) is </w:t>
      </w:r>
      <w:r w:rsidR="006837C8" w:rsidRPr="0012389B">
        <w:t xml:space="preserve">one of Australia’s most important </w:t>
      </w:r>
      <w:r w:rsidR="00D31777" w:rsidRPr="0012389B">
        <w:t xml:space="preserve">and long-standing </w:t>
      </w:r>
      <w:r w:rsidR="006837C8" w:rsidRPr="0012389B">
        <w:t xml:space="preserve">development initiatives in </w:t>
      </w:r>
      <w:r w:rsidRPr="0012389B">
        <w:t>Papua New Guinea (PNG).</w:t>
      </w:r>
      <w:r w:rsidR="000C7F24" w:rsidRPr="0012389B">
        <w:t xml:space="preserve"> </w:t>
      </w:r>
      <w:bookmarkStart w:id="25" w:name="_Toc87987272"/>
      <w:r w:rsidR="00027266" w:rsidRPr="0012389B">
        <w:t xml:space="preserve">The CPP </w:t>
      </w:r>
      <w:r w:rsidR="00514AF6" w:rsidRPr="0012389B">
        <w:t xml:space="preserve">brings together </w:t>
      </w:r>
      <w:r w:rsidR="001056D5" w:rsidRPr="0012389B">
        <w:t>partner</w:t>
      </w:r>
      <w:r w:rsidR="008A6318" w:rsidRPr="0012389B">
        <w:t xml:space="preserve"> </w:t>
      </w:r>
      <w:r w:rsidR="0089018F" w:rsidRPr="0012389B">
        <w:t>organisations</w:t>
      </w:r>
      <w:r w:rsidR="001056D5" w:rsidRPr="0012389B">
        <w:t xml:space="preserve"> </w:t>
      </w:r>
      <w:r w:rsidR="00514AF6" w:rsidRPr="0012389B">
        <w:t>from</w:t>
      </w:r>
      <w:r w:rsidR="001056D5" w:rsidRPr="0012389B">
        <w:t xml:space="preserve">: </w:t>
      </w:r>
    </w:p>
    <w:p w14:paraId="49A04096" w14:textId="77777777" w:rsidR="00EC48DC" w:rsidRDefault="001056D5" w:rsidP="00791619">
      <w:pPr>
        <w:pStyle w:val="ListParagraph"/>
        <w:numPr>
          <w:ilvl w:val="0"/>
          <w:numId w:val="40"/>
        </w:numPr>
        <w:jc w:val="both"/>
      </w:pPr>
      <w:r w:rsidRPr="0012389B">
        <w:t xml:space="preserve">PNG’s seven mainline churches </w:t>
      </w:r>
      <w:r w:rsidR="0089018F" w:rsidRPr="0012389B">
        <w:t xml:space="preserve">with their sister Australian churches </w:t>
      </w:r>
      <w:r w:rsidRPr="0012389B">
        <w:t xml:space="preserve">Non-Governmental Organisations </w:t>
      </w:r>
      <w:r w:rsidR="0089018F" w:rsidRPr="0012389B">
        <w:t>(ANGOs)</w:t>
      </w:r>
      <w:r w:rsidR="009078AF" w:rsidRPr="0012389B">
        <w:t xml:space="preserve"> </w:t>
      </w:r>
      <w:r w:rsidR="008A6318" w:rsidRPr="0012389B">
        <w:t>(see Table 1, p. iii)</w:t>
      </w:r>
      <w:r w:rsidRPr="0012389B">
        <w:t xml:space="preserve"> </w:t>
      </w:r>
    </w:p>
    <w:p w14:paraId="2EE6A7B3" w14:textId="77777777" w:rsidR="00EC48DC" w:rsidRDefault="001056D5" w:rsidP="00791619">
      <w:pPr>
        <w:pStyle w:val="ListParagraph"/>
        <w:numPr>
          <w:ilvl w:val="0"/>
          <w:numId w:val="40"/>
        </w:numPr>
        <w:jc w:val="both"/>
      </w:pPr>
      <w:r w:rsidRPr="0012389B">
        <w:t xml:space="preserve">the PNG Council of Churches, </w:t>
      </w:r>
    </w:p>
    <w:p w14:paraId="3A3BA5FA" w14:textId="77777777" w:rsidR="00EC48DC" w:rsidRDefault="001056D5" w:rsidP="00791619">
      <w:pPr>
        <w:pStyle w:val="ListParagraph"/>
        <w:numPr>
          <w:ilvl w:val="0"/>
          <w:numId w:val="40"/>
        </w:numPr>
        <w:jc w:val="both"/>
      </w:pPr>
      <w:r w:rsidRPr="0012389B">
        <w:t>the Department for Community Development and Religion (</w:t>
      </w:r>
      <w:proofErr w:type="spellStart"/>
      <w:r w:rsidRPr="0012389B">
        <w:t>DfCDR</w:t>
      </w:r>
      <w:proofErr w:type="spellEnd"/>
      <w:r w:rsidRPr="0012389B">
        <w:t>), Office of Religion (</w:t>
      </w:r>
      <w:proofErr w:type="spellStart"/>
      <w:r w:rsidRPr="0012389B">
        <w:t>OoR</w:t>
      </w:r>
      <w:proofErr w:type="spellEnd"/>
      <w:r w:rsidRPr="0012389B">
        <w:t xml:space="preserve">), Government of PNG, and </w:t>
      </w:r>
    </w:p>
    <w:p w14:paraId="4E6F52BF" w14:textId="27A971E0" w:rsidR="00515E15" w:rsidRPr="0012389B" w:rsidRDefault="00CE476E" w:rsidP="00791619">
      <w:pPr>
        <w:pStyle w:val="ListParagraph"/>
        <w:numPr>
          <w:ilvl w:val="0"/>
          <w:numId w:val="40"/>
        </w:numPr>
        <w:jc w:val="both"/>
      </w:pPr>
      <w:r>
        <w:t>t</w:t>
      </w:r>
      <w:r w:rsidR="001056D5" w:rsidRPr="0012389B">
        <w:t>he Department for Foreign Affairs and Trade (DFAT), Australian High Commission</w:t>
      </w:r>
      <w:r w:rsidR="00514AF6" w:rsidRPr="0012389B">
        <w:t xml:space="preserve"> to PNG</w:t>
      </w:r>
      <w:r w:rsidR="008A6318" w:rsidRPr="0012389B">
        <w:t>.</w:t>
      </w:r>
    </w:p>
    <w:p w14:paraId="797CB2AD" w14:textId="1FCA1BB7" w:rsidR="00514AF6" w:rsidRPr="0012389B" w:rsidRDefault="00027266" w:rsidP="00791619">
      <w:pPr>
        <w:jc w:val="both"/>
      </w:pPr>
      <w:r w:rsidRPr="0012389B">
        <w:t>The first phase of CPP commenced in 2004 and the program</w:t>
      </w:r>
      <w:r w:rsidR="00290DEF" w:rsidRPr="0012389B">
        <w:t>,</w:t>
      </w:r>
      <w:r w:rsidRPr="0012389B">
        <w:t xml:space="preserve"> now in its third phase, is due for completion in mid-2022. All partners have committed to a fourth phase that is to be delivered as a central component of the new Australia-PNG development </w:t>
      </w:r>
      <w:r w:rsidR="00C0339F" w:rsidRPr="0012389B">
        <w:t>initiative</w:t>
      </w:r>
      <w:r w:rsidRPr="0012389B">
        <w:t>, the Building Community Engagement in Papua New Guinea (BCEP) Program. This document presents the</w:t>
      </w:r>
      <w:r w:rsidR="00372B35" w:rsidRPr="0012389B">
        <w:t xml:space="preserve"> design for CPP’s fourth phase to be implemented over </w:t>
      </w:r>
      <w:r w:rsidR="001C75AF">
        <w:t>7.5</w:t>
      </w:r>
      <w:r w:rsidR="00372B35" w:rsidRPr="0012389B">
        <w:t xml:space="preserve"> years from mid-2022 to </w:t>
      </w:r>
      <w:r w:rsidR="001C75AF">
        <w:t>end</w:t>
      </w:r>
      <w:r w:rsidR="00372B35" w:rsidRPr="0012389B">
        <w:t>-20</w:t>
      </w:r>
      <w:r w:rsidR="001C75AF">
        <w:t>29</w:t>
      </w:r>
      <w:r w:rsidR="00372B35" w:rsidRPr="0012389B">
        <w:t>.</w:t>
      </w:r>
      <w:r w:rsidR="00514AF6" w:rsidRPr="0012389B">
        <w:t xml:space="preserve"> The remainder of this section outlines the strategic rationale for the fourth phase of CPP, </w:t>
      </w:r>
      <w:r w:rsidR="00275FE6" w:rsidRPr="0012389B">
        <w:t xml:space="preserve">the BCEP program’s objectives, </w:t>
      </w:r>
      <w:r w:rsidR="00514AF6" w:rsidRPr="0012389B">
        <w:t xml:space="preserve">the design methodology and the structure for the rest of this </w:t>
      </w:r>
      <w:r w:rsidR="007A45F8">
        <w:t>component design document</w:t>
      </w:r>
      <w:r w:rsidR="00BF56BF" w:rsidRPr="0012389B">
        <w:t xml:space="preserve"> (</w:t>
      </w:r>
      <w:r w:rsidR="007A45F8">
        <w:t>CDD</w:t>
      </w:r>
      <w:r w:rsidR="00BF56BF" w:rsidRPr="0012389B">
        <w:t>)</w:t>
      </w:r>
      <w:r w:rsidR="00514AF6" w:rsidRPr="0012389B">
        <w:t xml:space="preserve">. </w:t>
      </w:r>
    </w:p>
    <w:p w14:paraId="45984593" w14:textId="4AB7BAE1" w:rsidR="003A3799" w:rsidRPr="0012389B" w:rsidRDefault="00A62F5F" w:rsidP="00791619">
      <w:pPr>
        <w:pStyle w:val="Heading2"/>
        <w:numPr>
          <w:ilvl w:val="1"/>
          <w:numId w:val="1"/>
        </w:numPr>
        <w:ind w:left="709" w:hanging="709"/>
        <w:jc w:val="both"/>
        <w:rPr>
          <w:b/>
          <w:bCs/>
          <w:sz w:val="24"/>
          <w:szCs w:val="24"/>
        </w:rPr>
      </w:pPr>
      <w:bookmarkStart w:id="26" w:name="_Toc97305452"/>
      <w:bookmarkStart w:id="27" w:name="_Toc99041651"/>
      <w:bookmarkStart w:id="28" w:name="_Toc97187808"/>
      <w:r w:rsidRPr="0012389B">
        <w:rPr>
          <w:b/>
          <w:bCs/>
          <w:sz w:val="24"/>
          <w:szCs w:val="24"/>
        </w:rPr>
        <w:t>CPP’s Strategic rationale</w:t>
      </w:r>
      <w:bookmarkEnd w:id="26"/>
      <w:bookmarkEnd w:id="27"/>
    </w:p>
    <w:p w14:paraId="227A9F2A" w14:textId="764592FC" w:rsidR="00DE6E81" w:rsidRPr="0012389B" w:rsidRDefault="003A3799" w:rsidP="00791619">
      <w:pPr>
        <w:jc w:val="both"/>
      </w:pPr>
      <w:r w:rsidRPr="0012389B">
        <w:t>The CPP forms a key part of the PNG-Australia Comprehensive Strategic and Economic Partnership (2020</w:t>
      </w:r>
      <w:r w:rsidR="0025299F" w:rsidRPr="0012389B">
        <w:t>), which</w:t>
      </w:r>
      <w:r w:rsidR="005C7487" w:rsidRPr="0012389B">
        <w:t xml:space="preserve"> </w:t>
      </w:r>
      <w:r w:rsidR="00994AB5" w:rsidRPr="0012389B">
        <w:t>defines</w:t>
      </w:r>
      <w:r w:rsidR="0025299F" w:rsidRPr="0012389B">
        <w:t xml:space="preserve"> how</w:t>
      </w:r>
      <w:r w:rsidR="006730B2" w:rsidRPr="0012389B">
        <w:t xml:space="preserve"> </w:t>
      </w:r>
      <w:r w:rsidR="00351D5C" w:rsidRPr="0012389B">
        <w:t xml:space="preserve">the </w:t>
      </w:r>
      <w:r w:rsidR="006730B2" w:rsidRPr="0012389B">
        <w:t>two countries</w:t>
      </w:r>
      <w:r w:rsidR="005C7487" w:rsidRPr="0012389B">
        <w:t xml:space="preserve"> </w:t>
      </w:r>
      <w:r w:rsidR="006730B2" w:rsidRPr="0012389B">
        <w:t xml:space="preserve">work together to </w:t>
      </w:r>
      <w:r w:rsidR="005C7487" w:rsidRPr="0012389B">
        <w:t xml:space="preserve">build country-to-country linkages, and support PNG’s growth, stability, and security. The agreement </w:t>
      </w:r>
      <w:r w:rsidRPr="0012389B">
        <w:t xml:space="preserve">recognises </w:t>
      </w:r>
      <w:r w:rsidR="00356F37" w:rsidRPr="0012389B">
        <w:t>‘</w:t>
      </w:r>
      <w:r w:rsidRPr="0012389B">
        <w:t>the role of religious institutions, including churches, in strengthening communities and delivering vital services in PNG</w:t>
      </w:r>
      <w:r w:rsidR="00351D5C" w:rsidRPr="0012389B">
        <w:t xml:space="preserve">, </w:t>
      </w:r>
      <w:r w:rsidRPr="0012389B">
        <w:t>and commits to building links between religious institutions in each country</w:t>
      </w:r>
      <w:r w:rsidR="00994AB5" w:rsidRPr="0012389B">
        <w:t>’</w:t>
      </w:r>
      <w:r w:rsidRPr="0012389B">
        <w:t>.</w:t>
      </w:r>
      <w:r w:rsidR="00CA74A7" w:rsidRPr="0012389B">
        <w:rPr>
          <w:vertAlign w:val="superscript"/>
        </w:rPr>
        <w:footnoteReference w:id="10"/>
      </w:r>
      <w:r w:rsidRPr="0012389B">
        <w:rPr>
          <w:vertAlign w:val="superscript"/>
        </w:rPr>
        <w:t xml:space="preserve"> </w:t>
      </w:r>
      <w:r w:rsidR="005164D0" w:rsidRPr="0012389B">
        <w:t xml:space="preserve">In an Indo-Pacific context characterised by growing tensions and </w:t>
      </w:r>
      <w:r w:rsidR="001C75AF">
        <w:t>geo-</w:t>
      </w:r>
      <w:r w:rsidR="005164D0" w:rsidRPr="0012389B">
        <w:t>strategic uncertainties</w:t>
      </w:r>
      <w:r w:rsidR="00DE6E81" w:rsidRPr="0012389B">
        <w:t xml:space="preserve">, the </w:t>
      </w:r>
      <w:r w:rsidR="000B78DB" w:rsidRPr="0012389B">
        <w:t>established</w:t>
      </w:r>
      <w:r w:rsidR="00DE6E81" w:rsidRPr="0012389B">
        <w:t xml:space="preserve"> links between </w:t>
      </w:r>
      <w:r w:rsidR="000B78DB" w:rsidRPr="0012389B">
        <w:t>sister</w:t>
      </w:r>
      <w:r w:rsidR="00DE6E81" w:rsidRPr="0012389B">
        <w:t xml:space="preserve"> churches </w:t>
      </w:r>
      <w:r w:rsidR="000B78DB" w:rsidRPr="0012389B">
        <w:t>in both countries strengthens</w:t>
      </w:r>
      <w:r w:rsidR="00CA74A7" w:rsidRPr="0012389B">
        <w:t xml:space="preserve"> </w:t>
      </w:r>
      <w:r w:rsidR="005164D0" w:rsidRPr="0012389B">
        <w:t>the</w:t>
      </w:r>
      <w:r w:rsidR="00FB06DF" w:rsidRPr="0012389B">
        <w:t xml:space="preserve"> bilateral relationship</w:t>
      </w:r>
      <w:r w:rsidR="002A681C" w:rsidRPr="0012389B">
        <w:t>.</w:t>
      </w:r>
      <w:r w:rsidR="00CA74A7" w:rsidRPr="0012389B">
        <w:t xml:space="preserve"> </w:t>
      </w:r>
    </w:p>
    <w:p w14:paraId="30929015" w14:textId="026606A0" w:rsidR="003A3799" w:rsidRPr="0012389B" w:rsidRDefault="00FD7944" w:rsidP="00791619">
      <w:pPr>
        <w:jc w:val="both"/>
      </w:pPr>
      <w:r w:rsidRPr="0012389B">
        <w:t>The BCEP</w:t>
      </w:r>
      <w:r w:rsidR="003A3799" w:rsidRPr="0012389B">
        <w:t xml:space="preserve"> Program</w:t>
      </w:r>
      <w:r w:rsidRPr="0012389B">
        <w:t xml:space="preserve"> is designed to</w:t>
      </w:r>
      <w:r w:rsidR="003A3799" w:rsidRPr="0012389B">
        <w:t xml:space="preserve"> complement Australia’s other </w:t>
      </w:r>
      <w:r w:rsidR="00E97735" w:rsidRPr="0012389B">
        <w:t xml:space="preserve">development </w:t>
      </w:r>
      <w:r w:rsidR="003A3799" w:rsidRPr="0012389B">
        <w:t>investment</w:t>
      </w:r>
      <w:r w:rsidR="000A4CA9" w:rsidRPr="0012389B">
        <w:t>s</w:t>
      </w:r>
      <w:r w:rsidR="003A3799" w:rsidRPr="0012389B">
        <w:t xml:space="preserve"> in PNG and </w:t>
      </w:r>
      <w:r w:rsidR="00E97735" w:rsidRPr="0012389B">
        <w:t>promote</w:t>
      </w:r>
      <w:r w:rsidR="003A3799" w:rsidRPr="0012389B">
        <w:t xml:space="preserve"> DFAT policies, </w:t>
      </w:r>
      <w:r w:rsidR="001C75AF">
        <w:t>while</w:t>
      </w:r>
      <w:r w:rsidR="00994AB5" w:rsidRPr="0012389B">
        <w:t xml:space="preserve"> </w:t>
      </w:r>
      <w:r w:rsidR="003A3799" w:rsidRPr="0012389B">
        <w:t>work</w:t>
      </w:r>
      <w:r w:rsidR="001C75AF">
        <w:t>ing</w:t>
      </w:r>
      <w:r w:rsidR="003A3799" w:rsidRPr="0012389B">
        <w:t xml:space="preserve"> </w:t>
      </w:r>
      <w:r w:rsidR="00D63474" w:rsidRPr="0012389B">
        <w:t>alongside</w:t>
      </w:r>
      <w:r w:rsidR="003A3799" w:rsidRPr="0012389B">
        <w:t xml:space="preserve"> the Government of PNG</w:t>
      </w:r>
      <w:r w:rsidRPr="0012389B">
        <w:t>. The CPP will engage closely with</w:t>
      </w:r>
      <w:r w:rsidR="003A3799" w:rsidRPr="0012389B">
        <w:t xml:space="preserve"> </w:t>
      </w:r>
      <w:proofErr w:type="spellStart"/>
      <w:r w:rsidR="003A3799" w:rsidRPr="0012389B">
        <w:t>DfCDR</w:t>
      </w:r>
      <w:proofErr w:type="spellEnd"/>
      <w:r w:rsidR="003A3799" w:rsidRPr="0012389B">
        <w:t xml:space="preserve">, </w:t>
      </w:r>
      <w:r w:rsidR="005E5FA2" w:rsidRPr="0012389B">
        <w:t xml:space="preserve">and </w:t>
      </w:r>
      <w:r w:rsidR="003A3799" w:rsidRPr="0012389B">
        <w:t>Office of Religion (</w:t>
      </w:r>
      <w:proofErr w:type="spellStart"/>
      <w:r w:rsidR="003A3799" w:rsidRPr="0012389B">
        <w:t>OoR</w:t>
      </w:r>
      <w:proofErr w:type="spellEnd"/>
      <w:r w:rsidR="003A3799" w:rsidRPr="0012389B">
        <w:t xml:space="preserve">) to build synergies with government service delivery and policy-making processes.  </w:t>
      </w:r>
    </w:p>
    <w:p w14:paraId="1E33DDD9" w14:textId="30BF530D" w:rsidR="000B4FAB" w:rsidRPr="0012389B" w:rsidRDefault="00351D5C" w:rsidP="00791619">
      <w:pPr>
        <w:jc w:val="both"/>
      </w:pPr>
      <w:r w:rsidRPr="0012389B">
        <w:t>From the start</w:t>
      </w:r>
      <w:r w:rsidR="003055BF" w:rsidRPr="0012389B">
        <w:t xml:space="preserve"> of the first phase</w:t>
      </w:r>
      <w:r w:rsidRPr="0012389B">
        <w:t>, the</w:t>
      </w:r>
      <w:r w:rsidR="000B4FAB" w:rsidRPr="0012389B">
        <w:t xml:space="preserve"> rationale for CPP </w:t>
      </w:r>
      <w:r w:rsidRPr="0012389B">
        <w:t xml:space="preserve">has been </w:t>
      </w:r>
      <w:r w:rsidR="000B4FAB" w:rsidRPr="0012389B">
        <w:t>to strengthen the role that PNG’s seven mainline churches play in the development of Papua New Guinea’s communities and the delivery of vital services. Given that these churches constitute 71% of PNG’s Christian population,</w:t>
      </w:r>
      <w:r w:rsidR="000B4FAB" w:rsidRPr="0012389B">
        <w:rPr>
          <w:vertAlign w:val="superscript"/>
        </w:rPr>
        <w:footnoteReference w:id="11"/>
      </w:r>
      <w:r w:rsidR="000B4FAB" w:rsidRPr="0012389B">
        <w:rPr>
          <w:vertAlign w:val="superscript"/>
        </w:rPr>
        <w:t xml:space="preserve"> </w:t>
      </w:r>
      <w:r w:rsidR="000B4FAB" w:rsidRPr="0012389B">
        <w:t xml:space="preserve">CPP has </w:t>
      </w:r>
      <w:r w:rsidR="002A681C" w:rsidRPr="0012389B">
        <w:t>significant</w:t>
      </w:r>
      <w:r w:rsidR="000B4FAB" w:rsidRPr="0012389B">
        <w:t xml:space="preserve"> potential for impact at scale. Over three phases, the Program has worked continuously with the same seven partners to strengthen how they work </w:t>
      </w:r>
      <w:r w:rsidR="003055BF" w:rsidRPr="0012389B">
        <w:t>collectively</w:t>
      </w:r>
      <w:r w:rsidR="000B4FAB" w:rsidRPr="0012389B">
        <w:t xml:space="preserve">, as well </w:t>
      </w:r>
      <w:r w:rsidR="00BF56BF" w:rsidRPr="0012389B">
        <w:t xml:space="preserve">as </w:t>
      </w:r>
      <w:r w:rsidR="000B4FAB" w:rsidRPr="0012389B">
        <w:t xml:space="preserve">through their own church organisations, to increase impact. While past phases have recognised churches potential influence on government policy, this </w:t>
      </w:r>
      <w:r w:rsidR="001C75AF">
        <w:t xml:space="preserve">potential is yet to be realised. </w:t>
      </w:r>
      <w:r w:rsidR="000B4FAB" w:rsidRPr="0012389B">
        <w:t>The integration of CPP into DFAT’s BCEP provides the framework for actively support</w:t>
      </w:r>
      <w:r w:rsidRPr="0012389B">
        <w:t>ing</w:t>
      </w:r>
      <w:r w:rsidR="000B4FAB" w:rsidRPr="0012389B">
        <w:t xml:space="preserve"> partners </w:t>
      </w:r>
      <w:r w:rsidR="000B78DB" w:rsidRPr="0012389B">
        <w:t xml:space="preserve">to </w:t>
      </w:r>
      <w:r w:rsidR="000B4FAB" w:rsidRPr="0012389B">
        <w:t xml:space="preserve">realise </w:t>
      </w:r>
      <w:r w:rsidR="00D07666" w:rsidRPr="0012389B">
        <w:t>this</w:t>
      </w:r>
      <w:r w:rsidR="00994AB5" w:rsidRPr="0012389B">
        <w:t xml:space="preserve"> policy advocacy</w:t>
      </w:r>
      <w:r w:rsidR="000B4FAB" w:rsidRPr="0012389B">
        <w:t xml:space="preserve"> potential</w:t>
      </w:r>
      <w:r w:rsidRPr="0012389B">
        <w:t xml:space="preserve"> in the next phase. </w:t>
      </w:r>
    </w:p>
    <w:p w14:paraId="1BF8E80E" w14:textId="77777777" w:rsidR="00275FE6" w:rsidRPr="0012389B" w:rsidRDefault="00275FE6" w:rsidP="00791619">
      <w:pPr>
        <w:jc w:val="both"/>
      </w:pPr>
    </w:p>
    <w:p w14:paraId="6D49BBFD" w14:textId="4A472112" w:rsidR="002A681C" w:rsidRPr="0012389B" w:rsidRDefault="002A681C" w:rsidP="00791619">
      <w:pPr>
        <w:pStyle w:val="Heading2"/>
        <w:numPr>
          <w:ilvl w:val="1"/>
          <w:numId w:val="1"/>
        </w:numPr>
        <w:ind w:left="709" w:hanging="709"/>
        <w:jc w:val="both"/>
        <w:rPr>
          <w:b/>
          <w:bCs/>
          <w:sz w:val="24"/>
          <w:szCs w:val="24"/>
        </w:rPr>
      </w:pPr>
      <w:bookmarkStart w:id="29" w:name="_Toc99041652"/>
      <w:bookmarkStart w:id="30" w:name="_Toc97305453"/>
      <w:r w:rsidRPr="0012389B">
        <w:rPr>
          <w:b/>
          <w:bCs/>
          <w:sz w:val="24"/>
          <w:szCs w:val="24"/>
        </w:rPr>
        <w:lastRenderedPageBreak/>
        <w:t>BCEP</w:t>
      </w:r>
      <w:r w:rsidR="00194894" w:rsidRPr="0012389B">
        <w:rPr>
          <w:b/>
          <w:bCs/>
          <w:sz w:val="24"/>
          <w:szCs w:val="24"/>
        </w:rPr>
        <w:t>’s</w:t>
      </w:r>
      <w:r w:rsidRPr="0012389B">
        <w:rPr>
          <w:b/>
          <w:bCs/>
          <w:sz w:val="24"/>
          <w:szCs w:val="24"/>
        </w:rPr>
        <w:t xml:space="preserve"> Objectives</w:t>
      </w:r>
      <w:r w:rsidR="00C820FC" w:rsidRPr="0012389B">
        <w:rPr>
          <w:b/>
          <w:bCs/>
          <w:sz w:val="24"/>
          <w:szCs w:val="24"/>
        </w:rPr>
        <w:t xml:space="preserve"> and approach</w:t>
      </w:r>
      <w:bookmarkEnd w:id="29"/>
    </w:p>
    <w:p w14:paraId="611014A3" w14:textId="225CC3F6" w:rsidR="00275FE6" w:rsidRPr="0012389B" w:rsidRDefault="00275FE6" w:rsidP="00791619">
      <w:pPr>
        <w:jc w:val="both"/>
      </w:pPr>
      <w:r w:rsidRPr="0012389B">
        <w:t xml:space="preserve">The BCEP </w:t>
      </w:r>
      <w:r w:rsidR="006D45C5" w:rsidRPr="0012389B">
        <w:t xml:space="preserve">program is </w:t>
      </w:r>
      <w:r w:rsidR="000B78DB" w:rsidRPr="0012389B">
        <w:t>designed to provide the</w:t>
      </w:r>
      <w:r w:rsidR="006D45C5" w:rsidRPr="0012389B">
        <w:t xml:space="preserve"> </w:t>
      </w:r>
      <w:r w:rsidR="000B78DB" w:rsidRPr="0012389B">
        <w:t xml:space="preserve">high-level framework for CPP and other </w:t>
      </w:r>
      <w:r w:rsidR="00A71FFC" w:rsidRPr="0012389B">
        <w:t xml:space="preserve">complementary governance </w:t>
      </w:r>
      <w:r w:rsidR="000B78DB" w:rsidRPr="0012389B">
        <w:t>interventions</w:t>
      </w:r>
      <w:r w:rsidR="006D45C5" w:rsidRPr="0012389B">
        <w:t xml:space="preserve">. The BCEP </w:t>
      </w:r>
      <w:r w:rsidRPr="0012389B">
        <w:t xml:space="preserve">goal is: ‘to strengthen citizen-government engagement for improved service delivery and provision of public </w:t>
      </w:r>
      <w:r w:rsidR="007B153E" w:rsidRPr="0012389B">
        <w:t>goods</w:t>
      </w:r>
      <w:r w:rsidRPr="0012389B">
        <w:t>.</w:t>
      </w:r>
      <w:r w:rsidR="007B153E" w:rsidRPr="0012389B">
        <w:t>’</w:t>
      </w:r>
      <w:r w:rsidRPr="0012389B">
        <w:rPr>
          <w:vertAlign w:val="superscript"/>
        </w:rPr>
        <w:footnoteReference w:id="12"/>
      </w:r>
      <w:r w:rsidRPr="0012389B">
        <w:rPr>
          <w:vertAlign w:val="superscript"/>
        </w:rPr>
        <w:t xml:space="preserve"> </w:t>
      </w:r>
      <w:r w:rsidR="00C95E73" w:rsidRPr="0012389B">
        <w:t>Currently, t</w:t>
      </w:r>
      <w:r w:rsidR="00AA2952" w:rsidRPr="0012389B">
        <w:t xml:space="preserve">he interests of many PNG citizens are not well represented in PNG’s </w:t>
      </w:r>
      <w:r w:rsidR="00C820FC" w:rsidRPr="0012389B">
        <w:t xml:space="preserve">policymaking and implementation processes, nor do </w:t>
      </w:r>
      <w:r w:rsidR="007B153E" w:rsidRPr="0012389B">
        <w:t>PNG</w:t>
      </w:r>
      <w:r w:rsidR="00AA2952" w:rsidRPr="0012389B">
        <w:t xml:space="preserve"> citizens </w:t>
      </w:r>
      <w:r w:rsidR="00194894" w:rsidRPr="0012389B">
        <w:t xml:space="preserve">meaningfully </w:t>
      </w:r>
      <w:r w:rsidR="00AA2952" w:rsidRPr="0012389B">
        <w:t>participate in</w:t>
      </w:r>
      <w:r w:rsidR="00C820FC" w:rsidRPr="0012389B">
        <w:t xml:space="preserve"> these processes</w:t>
      </w:r>
      <w:r w:rsidR="00AA2952" w:rsidRPr="0012389B">
        <w:t xml:space="preserve">. As a result, </w:t>
      </w:r>
      <w:r w:rsidRPr="0012389B">
        <w:t xml:space="preserve">PNG’s development policies are not meeting the needs of many its citizens, especially women, people with disabilities and other vulnerable groups. </w:t>
      </w:r>
      <w:r w:rsidR="00194894" w:rsidRPr="0012389B">
        <w:t xml:space="preserve">The root cause </w:t>
      </w:r>
      <w:r w:rsidRPr="0012389B">
        <w:t xml:space="preserve">of this problem is the weak interaction between the PNG government and its citizens. </w:t>
      </w:r>
    </w:p>
    <w:p w14:paraId="53074CBE" w14:textId="154C6C5B" w:rsidR="00275FE6" w:rsidRPr="0012389B" w:rsidRDefault="00275FE6" w:rsidP="00791619">
      <w:pPr>
        <w:jc w:val="both"/>
      </w:pPr>
      <w:r w:rsidRPr="0012389B">
        <w:t>T</w:t>
      </w:r>
      <w:r w:rsidR="005B6BD6" w:rsidRPr="0012389B">
        <w:t>o promote this goal, the</w:t>
      </w:r>
      <w:r w:rsidRPr="0012389B">
        <w:t xml:space="preserve"> BCEP program </w:t>
      </w:r>
      <w:r w:rsidR="005B6BD6" w:rsidRPr="0012389B">
        <w:t>bring</w:t>
      </w:r>
      <w:r w:rsidR="00AA2952" w:rsidRPr="0012389B">
        <w:t>s</w:t>
      </w:r>
      <w:r w:rsidRPr="0012389B">
        <w:t xml:space="preserve"> together a diverse group of </w:t>
      </w:r>
      <w:r w:rsidR="005B6BD6" w:rsidRPr="0012389B">
        <w:t xml:space="preserve">state and </w:t>
      </w:r>
      <w:r w:rsidRPr="0012389B">
        <w:t xml:space="preserve">non-state </w:t>
      </w:r>
      <w:r w:rsidR="005B6BD6" w:rsidRPr="0012389B">
        <w:t>actors</w:t>
      </w:r>
      <w:r w:rsidR="00194894" w:rsidRPr="0012389B">
        <w:t xml:space="preserve">, </w:t>
      </w:r>
      <w:r w:rsidR="005B6BD6" w:rsidRPr="0012389B">
        <w:t>representing different part</w:t>
      </w:r>
      <w:r w:rsidR="00AA2952" w:rsidRPr="0012389B">
        <w:t>s</w:t>
      </w:r>
      <w:r w:rsidR="005B6BD6" w:rsidRPr="0012389B">
        <w:t xml:space="preserve"> of PNG’s civil society</w:t>
      </w:r>
      <w:r w:rsidR="00194894" w:rsidRPr="0012389B">
        <w:t xml:space="preserve"> (see box</w:t>
      </w:r>
      <w:r w:rsidR="00C95E73" w:rsidRPr="0012389B">
        <w:t xml:space="preserve"> 1</w:t>
      </w:r>
      <w:r w:rsidR="00194894" w:rsidRPr="0012389B">
        <w:t>),</w:t>
      </w:r>
      <w:r w:rsidRPr="0012389B">
        <w:t xml:space="preserve"> to influence citizen-government engagement to become more constructive (end outcome 1) and inclusive (end outcome 2). As churches are so highly respected and influential with PNG communities</w:t>
      </w:r>
      <w:r w:rsidR="003543F1" w:rsidRPr="0012389B">
        <w:t xml:space="preserve"> and the state</w:t>
      </w:r>
      <w:r w:rsidRPr="0012389B">
        <w:t xml:space="preserve">, they can make an immense contribution to these outcomes, particularly if they work in concert with each other and the </w:t>
      </w:r>
      <w:r w:rsidR="00D35D8E">
        <w:t>BCEP’s</w:t>
      </w:r>
      <w:r w:rsidRPr="0012389B">
        <w:t xml:space="preserve"> broader partners. </w:t>
      </w:r>
    </w:p>
    <w:p w14:paraId="3EF5AAF7" w14:textId="37CCF605" w:rsidR="00A615BF" w:rsidRPr="0012389B" w:rsidRDefault="00A615BF" w:rsidP="00791619">
      <w:pPr>
        <w:jc w:val="both"/>
      </w:pPr>
      <w:r w:rsidRPr="0012389B">
        <w:t>For more constructive citizen-government engagement, BCEP’s</w:t>
      </w:r>
      <w:r w:rsidR="005B6BD6" w:rsidRPr="0012389B">
        <w:t xml:space="preserve"> first end </w:t>
      </w:r>
      <w:r w:rsidR="00C820FC" w:rsidRPr="0012389B">
        <w:t xml:space="preserve">of program </w:t>
      </w:r>
      <w:r w:rsidR="005B6BD6" w:rsidRPr="0012389B">
        <w:t xml:space="preserve">outcome is that </w:t>
      </w:r>
      <w:r w:rsidR="0063606E" w:rsidRPr="0012389B">
        <w:t>‘</w:t>
      </w:r>
      <w:r w:rsidR="005B6BD6" w:rsidRPr="0012389B">
        <w:t xml:space="preserve">Selected State and Non-State actors collaborate effectively to tackle targeted development </w:t>
      </w:r>
      <w:r w:rsidR="001C75AF" w:rsidRPr="0012389B">
        <w:t>problems</w:t>
      </w:r>
      <w:r w:rsidR="005B6BD6" w:rsidRPr="0012389B">
        <w:t>.</w:t>
      </w:r>
      <w:r w:rsidR="001C75AF">
        <w:t>’</w:t>
      </w:r>
      <w:r w:rsidR="005B6BD6" w:rsidRPr="0012389B">
        <w:t xml:space="preserve"> BCEP will support initiatives that promote collaboration between state and non-state actors </w:t>
      </w:r>
      <w:r w:rsidR="003543F1" w:rsidRPr="0012389B">
        <w:t xml:space="preserve">(including churches) </w:t>
      </w:r>
      <w:r w:rsidR="005B6BD6" w:rsidRPr="0012389B">
        <w:t xml:space="preserve">to solve practical development problems from which all parties stand to benefit. Examples include making local service delivery more responsive to community needs and influencing government resource allocations to better reflect community priorities. </w:t>
      </w:r>
    </w:p>
    <w:p w14:paraId="01A78CAC" w14:textId="6756A9AA" w:rsidR="00A615BF" w:rsidRPr="0012389B" w:rsidRDefault="00A615BF" w:rsidP="00791619">
      <w:pPr>
        <w:jc w:val="both"/>
      </w:pPr>
      <w:r w:rsidRPr="0012389B">
        <w:t>To make citizen</w:t>
      </w:r>
      <w:r w:rsidR="003543F1" w:rsidRPr="0012389B">
        <w:t>-</w:t>
      </w:r>
      <w:r w:rsidRPr="0012389B">
        <w:t>government engage</w:t>
      </w:r>
      <w:r w:rsidR="00A71FFC" w:rsidRPr="0012389B">
        <w:t>ment</w:t>
      </w:r>
      <w:r w:rsidRPr="0012389B">
        <w:t xml:space="preserve"> more inclusive, BCEP’s second end of program outcome is that </w:t>
      </w:r>
      <w:r w:rsidR="0063606E" w:rsidRPr="0012389B">
        <w:t>‘</w:t>
      </w:r>
      <w:r w:rsidR="00CE476E">
        <w:t>t</w:t>
      </w:r>
      <w:r w:rsidRPr="0012389B">
        <w:t>argeted PNG decision-makers explicitly integrate gender equality and inclusive social norms into efforts to tackle targeted development problems</w:t>
      </w:r>
      <w:r w:rsidR="001C75AF">
        <w:t>.</w:t>
      </w:r>
      <w:r w:rsidR="0063606E" w:rsidRPr="0012389B">
        <w:t>’</w:t>
      </w:r>
      <w:r w:rsidRPr="0012389B">
        <w:t xml:space="preserve"> </w:t>
      </w:r>
      <w:r w:rsidR="003543F1" w:rsidRPr="0012389B">
        <w:t>The</w:t>
      </w:r>
      <w:r w:rsidRPr="0012389B">
        <w:t xml:space="preserve"> routine exclusion of some social groups from PNG’s public decision-making processes, particularly women, people with disabilities and other vulnerable groups</w:t>
      </w:r>
      <w:r w:rsidR="003543F1" w:rsidRPr="0012389B">
        <w:t xml:space="preserve">, results in </w:t>
      </w:r>
      <w:r w:rsidRPr="0012389B">
        <w:t xml:space="preserve">decisions </w:t>
      </w:r>
      <w:r w:rsidR="003543F1" w:rsidRPr="0012389B">
        <w:t>that</w:t>
      </w:r>
      <w:r w:rsidRPr="0012389B">
        <w:t xml:space="preserve"> disregard or discriminate against the</w:t>
      </w:r>
      <w:r w:rsidR="003543F1" w:rsidRPr="0012389B">
        <w:t xml:space="preserve"> </w:t>
      </w:r>
      <w:r w:rsidRPr="0012389B">
        <w:t>needs and interests</w:t>
      </w:r>
      <w:r w:rsidR="003543F1" w:rsidRPr="0012389B">
        <w:t xml:space="preserve"> of these groups</w:t>
      </w:r>
      <w:r w:rsidRPr="0012389B">
        <w:t xml:space="preserve">. Deeply entrenched and discriminatory socio-cultural norms and traditions are the root cause of this problem. </w:t>
      </w:r>
      <w:r w:rsidR="003543F1" w:rsidRPr="0012389B">
        <w:t xml:space="preserve">BCEP will support leaders that challenge these discriminatory social norms </w:t>
      </w:r>
      <w:r w:rsidR="00256D91" w:rsidRPr="0012389B">
        <w:t>and</w:t>
      </w:r>
      <w:r w:rsidR="00A71FFC" w:rsidRPr="0012389B">
        <w:t xml:space="preserve"> positively</w:t>
      </w:r>
      <w:r w:rsidR="003543F1" w:rsidRPr="0012389B">
        <w:t xml:space="preserve"> promote gender equality and social inclusion.</w:t>
      </w:r>
    </w:p>
    <w:p w14:paraId="04680079" w14:textId="3253BEE1" w:rsidR="00194894" w:rsidRPr="0012389B" w:rsidRDefault="00194894" w:rsidP="00791619">
      <w:pPr>
        <w:pBdr>
          <w:top w:val="single" w:sz="4" w:space="1" w:color="auto"/>
          <w:left w:val="single" w:sz="4" w:space="4" w:color="auto"/>
          <w:bottom w:val="single" w:sz="4" w:space="1" w:color="auto"/>
          <w:right w:val="single" w:sz="4" w:space="4" w:color="auto"/>
        </w:pBdr>
        <w:shd w:val="clear" w:color="auto" w:fill="FFF2CC" w:themeFill="accent4" w:themeFillTint="33"/>
        <w:spacing w:before="60" w:after="60"/>
        <w:jc w:val="both"/>
        <w:rPr>
          <w:rFonts w:cstheme="minorHAnsi"/>
          <w:b/>
          <w:color w:val="000000" w:themeColor="text1"/>
          <w:sz w:val="20"/>
          <w:szCs w:val="20"/>
        </w:rPr>
      </w:pPr>
      <w:r w:rsidRPr="0012389B">
        <w:rPr>
          <w:rFonts w:cstheme="minorHAnsi"/>
          <w:b/>
          <w:color w:val="000000" w:themeColor="text1"/>
          <w:sz w:val="20"/>
          <w:szCs w:val="20"/>
        </w:rPr>
        <w:t>Box 1: BCEP Components</w:t>
      </w:r>
    </w:p>
    <w:p w14:paraId="79328A9D" w14:textId="3D9D9888" w:rsidR="00256D91" w:rsidRPr="0012389B" w:rsidRDefault="00256D91" w:rsidP="00791619">
      <w:pPr>
        <w:pBdr>
          <w:top w:val="single" w:sz="4" w:space="1" w:color="auto"/>
          <w:left w:val="single" w:sz="4" w:space="4" w:color="auto"/>
          <w:bottom w:val="single" w:sz="4" w:space="1" w:color="auto"/>
          <w:right w:val="single" w:sz="4" w:space="4" w:color="auto"/>
        </w:pBdr>
        <w:shd w:val="clear" w:color="auto" w:fill="FFF2CC" w:themeFill="accent4" w:themeFillTint="33"/>
        <w:spacing w:before="60" w:after="60"/>
        <w:jc w:val="both"/>
        <w:rPr>
          <w:rFonts w:cstheme="minorHAnsi"/>
          <w:bCs/>
          <w:color w:val="000000" w:themeColor="text1"/>
          <w:sz w:val="20"/>
          <w:szCs w:val="20"/>
        </w:rPr>
      </w:pPr>
      <w:r w:rsidRPr="0012389B">
        <w:rPr>
          <w:rFonts w:cstheme="minorHAnsi"/>
          <w:bCs/>
          <w:color w:val="000000" w:themeColor="text1"/>
          <w:sz w:val="20"/>
          <w:szCs w:val="20"/>
        </w:rPr>
        <w:t xml:space="preserve">The BCEP </w:t>
      </w:r>
      <w:r w:rsidR="00194894" w:rsidRPr="0012389B">
        <w:rPr>
          <w:rFonts w:cstheme="minorHAnsi"/>
          <w:bCs/>
          <w:color w:val="000000" w:themeColor="text1"/>
          <w:sz w:val="20"/>
          <w:szCs w:val="20"/>
        </w:rPr>
        <w:t xml:space="preserve">Program </w:t>
      </w:r>
      <w:r w:rsidRPr="0012389B">
        <w:rPr>
          <w:rFonts w:cstheme="minorHAnsi"/>
          <w:bCs/>
          <w:color w:val="000000" w:themeColor="text1"/>
          <w:sz w:val="20"/>
          <w:szCs w:val="20"/>
        </w:rPr>
        <w:t>will be delivered through the following five</w:t>
      </w:r>
      <w:r w:rsidRPr="0012389B">
        <w:rPr>
          <w:rFonts w:cstheme="minorHAnsi"/>
          <w:b/>
          <w:color w:val="000000" w:themeColor="text1"/>
          <w:sz w:val="20"/>
          <w:szCs w:val="20"/>
        </w:rPr>
        <w:t xml:space="preserve"> </w:t>
      </w:r>
      <w:r w:rsidRPr="0012389B">
        <w:rPr>
          <w:rFonts w:cstheme="minorHAnsi"/>
          <w:bCs/>
          <w:color w:val="000000" w:themeColor="text1"/>
          <w:sz w:val="20"/>
          <w:szCs w:val="20"/>
        </w:rPr>
        <w:t>components:</w:t>
      </w:r>
    </w:p>
    <w:p w14:paraId="22FCA784" w14:textId="3F01C45C" w:rsidR="00256D91" w:rsidRPr="0012389B" w:rsidRDefault="00256D91" w:rsidP="00791619">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FFF2CC" w:themeFill="accent4" w:themeFillTint="33"/>
        <w:spacing w:before="60" w:afterLines="6" w:after="14" w:line="240" w:lineRule="auto"/>
        <w:ind w:left="357" w:hanging="357"/>
        <w:contextualSpacing w:val="0"/>
        <w:jc w:val="both"/>
        <w:rPr>
          <w:rFonts w:cstheme="minorHAnsi"/>
          <w:color w:val="000000" w:themeColor="text1"/>
          <w:sz w:val="20"/>
          <w:szCs w:val="20"/>
        </w:rPr>
      </w:pPr>
      <w:r w:rsidRPr="0012389B">
        <w:rPr>
          <w:rFonts w:cstheme="minorHAnsi"/>
          <w:b/>
          <w:color w:val="000000" w:themeColor="text1"/>
          <w:sz w:val="20"/>
          <w:szCs w:val="20"/>
        </w:rPr>
        <w:t xml:space="preserve">PNG Coalitions for </w:t>
      </w:r>
      <w:proofErr w:type="gramStart"/>
      <w:r w:rsidR="003A3F01" w:rsidRPr="0012389B">
        <w:rPr>
          <w:rFonts w:cstheme="minorHAnsi"/>
          <w:b/>
          <w:color w:val="000000" w:themeColor="text1"/>
          <w:sz w:val="20"/>
          <w:szCs w:val="20"/>
        </w:rPr>
        <w:t>Change</w:t>
      </w:r>
      <w:r w:rsidR="0029164B" w:rsidRPr="0012389B">
        <w:rPr>
          <w:rFonts w:cstheme="minorHAnsi"/>
          <w:b/>
          <w:color w:val="000000" w:themeColor="text1"/>
          <w:sz w:val="20"/>
          <w:szCs w:val="20"/>
        </w:rPr>
        <w:t>:</w:t>
      </w:r>
      <w:proofErr w:type="gramEnd"/>
      <w:r w:rsidRPr="0012389B">
        <w:rPr>
          <w:rFonts w:cstheme="minorHAnsi"/>
          <w:b/>
          <w:color w:val="000000" w:themeColor="text1"/>
          <w:sz w:val="20"/>
          <w:szCs w:val="20"/>
        </w:rPr>
        <w:t xml:space="preserve"> </w:t>
      </w:r>
      <w:r w:rsidRPr="0012389B">
        <w:rPr>
          <w:rFonts w:cstheme="minorHAnsi"/>
          <w:bCs/>
          <w:color w:val="000000" w:themeColor="text1"/>
          <w:sz w:val="20"/>
          <w:szCs w:val="20"/>
        </w:rPr>
        <w:t>works with</w:t>
      </w:r>
      <w:r w:rsidRPr="0012389B">
        <w:rPr>
          <w:rFonts w:cstheme="minorHAnsi"/>
          <w:b/>
          <w:color w:val="000000" w:themeColor="text1"/>
          <w:sz w:val="20"/>
          <w:szCs w:val="20"/>
        </w:rPr>
        <w:t xml:space="preserve"> </w:t>
      </w:r>
      <w:r w:rsidRPr="0012389B">
        <w:rPr>
          <w:rFonts w:cstheme="minorHAnsi"/>
          <w:color w:val="000000" w:themeColor="text1"/>
          <w:sz w:val="20"/>
          <w:szCs w:val="20"/>
        </w:rPr>
        <w:t>PNG CSOs to</w:t>
      </w:r>
      <w:r w:rsidRPr="0012389B">
        <w:rPr>
          <w:bCs/>
          <w:color w:val="000000" w:themeColor="text1"/>
          <w:sz w:val="20"/>
          <w:szCs w:val="20"/>
        </w:rPr>
        <w:t xml:space="preserve"> build coalitions of influential actors, including the media and the </w:t>
      </w:r>
      <w:r w:rsidR="005004DB" w:rsidRPr="0012389B">
        <w:rPr>
          <w:bCs/>
          <w:color w:val="000000" w:themeColor="text1"/>
          <w:sz w:val="20"/>
          <w:szCs w:val="20"/>
        </w:rPr>
        <w:t>c</w:t>
      </w:r>
      <w:r w:rsidRPr="0012389B">
        <w:rPr>
          <w:bCs/>
          <w:color w:val="000000" w:themeColor="text1"/>
          <w:sz w:val="20"/>
          <w:szCs w:val="20"/>
        </w:rPr>
        <w:t xml:space="preserve">hurches, to achieve change on specific </w:t>
      </w:r>
      <w:r w:rsidRPr="0012389B">
        <w:rPr>
          <w:rFonts w:cstheme="minorHAnsi"/>
          <w:color w:val="000000" w:themeColor="text1"/>
          <w:sz w:val="20"/>
          <w:szCs w:val="20"/>
        </w:rPr>
        <w:t xml:space="preserve">issues of national or subnational significance. </w:t>
      </w:r>
    </w:p>
    <w:p w14:paraId="51B33DCE" w14:textId="62A35BCA" w:rsidR="00256D91" w:rsidRPr="0012389B" w:rsidRDefault="00256D91" w:rsidP="00791619">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FFF2CC" w:themeFill="accent4" w:themeFillTint="33"/>
        <w:spacing w:before="60" w:afterLines="6" w:after="14" w:line="240" w:lineRule="auto"/>
        <w:ind w:left="357" w:hanging="357"/>
        <w:contextualSpacing w:val="0"/>
        <w:jc w:val="both"/>
        <w:rPr>
          <w:rFonts w:cstheme="minorHAnsi"/>
          <w:bCs/>
          <w:color w:val="000000" w:themeColor="text1"/>
          <w:sz w:val="20"/>
          <w:szCs w:val="20"/>
        </w:rPr>
      </w:pPr>
      <w:r w:rsidRPr="0012389B">
        <w:rPr>
          <w:rFonts w:cstheme="minorHAnsi"/>
          <w:b/>
          <w:color w:val="000000" w:themeColor="text1"/>
          <w:sz w:val="20"/>
          <w:szCs w:val="20"/>
        </w:rPr>
        <w:t>Media Partnerships</w:t>
      </w:r>
      <w:r w:rsidRPr="0012389B">
        <w:rPr>
          <w:rFonts w:cstheme="minorHAnsi"/>
          <w:bCs/>
          <w:color w:val="000000" w:themeColor="text1"/>
          <w:sz w:val="20"/>
          <w:szCs w:val="20"/>
        </w:rPr>
        <w:t xml:space="preserve">: works with PNG media to strengthen their capacity to act as a watchdog over government and give voice to citizens. This component will also assist other program partners, including churches, to better engage the media to achieve their goals. </w:t>
      </w:r>
    </w:p>
    <w:p w14:paraId="6456F348" w14:textId="4E4CEA54" w:rsidR="00256D91" w:rsidRPr="0012389B" w:rsidRDefault="00256D91" w:rsidP="00791619">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FFF2CC" w:themeFill="accent4" w:themeFillTint="33"/>
        <w:spacing w:before="60" w:afterLines="6" w:after="14" w:line="240" w:lineRule="auto"/>
        <w:ind w:left="357" w:hanging="357"/>
        <w:contextualSpacing w:val="0"/>
        <w:jc w:val="both"/>
        <w:rPr>
          <w:b/>
          <w:color w:val="000000" w:themeColor="text1"/>
          <w:sz w:val="20"/>
          <w:szCs w:val="20"/>
        </w:rPr>
      </w:pPr>
      <w:r w:rsidRPr="0012389B">
        <w:rPr>
          <w:rFonts w:cstheme="minorHAnsi"/>
          <w:b/>
          <w:color w:val="000000" w:themeColor="text1"/>
          <w:sz w:val="20"/>
          <w:szCs w:val="20"/>
        </w:rPr>
        <w:t>Social Accountability partnerships</w:t>
      </w:r>
      <w:r w:rsidRPr="0012389B">
        <w:rPr>
          <w:rFonts w:cstheme="minorHAnsi"/>
          <w:bCs/>
          <w:color w:val="000000" w:themeColor="text1"/>
          <w:sz w:val="20"/>
          <w:szCs w:val="20"/>
        </w:rPr>
        <w:t>: supports INGOs/PNG CSO</w:t>
      </w:r>
      <w:r w:rsidR="000B478A">
        <w:rPr>
          <w:rFonts w:cstheme="minorHAnsi"/>
          <w:bCs/>
          <w:color w:val="000000" w:themeColor="text1"/>
          <w:sz w:val="20"/>
          <w:szCs w:val="20"/>
        </w:rPr>
        <w:t>s</w:t>
      </w:r>
      <w:r w:rsidRPr="0012389B">
        <w:rPr>
          <w:rFonts w:cstheme="minorHAnsi"/>
          <w:bCs/>
          <w:color w:val="000000" w:themeColor="text1"/>
          <w:sz w:val="20"/>
          <w:szCs w:val="20"/>
        </w:rPr>
        <w:t xml:space="preserve"> to develop and implement social accountability projects to achieve improvements in service delivery (experience and learning from this component will be shared with CPP partners) </w:t>
      </w:r>
    </w:p>
    <w:p w14:paraId="76BFFD20" w14:textId="77777777" w:rsidR="00256D91" w:rsidRPr="0012389B" w:rsidRDefault="00256D91" w:rsidP="00791619">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FFF2CC" w:themeFill="accent4" w:themeFillTint="33"/>
        <w:spacing w:before="60" w:afterLines="6" w:after="14" w:line="240" w:lineRule="auto"/>
        <w:ind w:left="357" w:hanging="357"/>
        <w:contextualSpacing w:val="0"/>
        <w:jc w:val="both"/>
        <w:rPr>
          <w:b/>
          <w:color w:val="000000" w:themeColor="text1"/>
          <w:sz w:val="20"/>
          <w:szCs w:val="20"/>
        </w:rPr>
      </w:pPr>
      <w:r w:rsidRPr="0012389B">
        <w:rPr>
          <w:rFonts w:cstheme="minorHAnsi"/>
          <w:b/>
          <w:color w:val="000000" w:themeColor="text1"/>
          <w:sz w:val="20"/>
          <w:szCs w:val="20"/>
        </w:rPr>
        <w:t xml:space="preserve">Church Partnerships: </w:t>
      </w:r>
      <w:r w:rsidRPr="0012389B">
        <w:rPr>
          <w:rFonts w:cstheme="minorHAnsi"/>
          <w:bCs/>
          <w:color w:val="000000" w:themeColor="text1"/>
          <w:sz w:val="20"/>
          <w:szCs w:val="20"/>
        </w:rPr>
        <w:t xml:space="preserve">as described in this design document. </w:t>
      </w:r>
    </w:p>
    <w:p w14:paraId="3E5EAB03" w14:textId="0F27EF37" w:rsidR="00256D91" w:rsidRPr="0012389B" w:rsidRDefault="00256D91" w:rsidP="00791619">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FFF2CC" w:themeFill="accent4" w:themeFillTint="33"/>
        <w:spacing w:before="60" w:afterLines="6" w:after="14" w:line="240" w:lineRule="auto"/>
        <w:ind w:left="357" w:hanging="357"/>
        <w:contextualSpacing w:val="0"/>
        <w:jc w:val="both"/>
        <w:rPr>
          <w:color w:val="000000" w:themeColor="text1"/>
          <w:sz w:val="20"/>
          <w:szCs w:val="20"/>
        </w:rPr>
      </w:pPr>
      <w:proofErr w:type="spellStart"/>
      <w:r w:rsidRPr="0012389B">
        <w:rPr>
          <w:rFonts w:cstheme="minorHAnsi"/>
          <w:b/>
          <w:color w:val="000000" w:themeColor="text1"/>
          <w:sz w:val="20"/>
          <w:szCs w:val="20"/>
        </w:rPr>
        <w:t>GoPNG</w:t>
      </w:r>
      <w:proofErr w:type="spellEnd"/>
      <w:r w:rsidRPr="0012389B">
        <w:rPr>
          <w:rFonts w:cstheme="minorHAnsi"/>
          <w:b/>
          <w:color w:val="000000" w:themeColor="text1"/>
          <w:sz w:val="20"/>
          <w:szCs w:val="20"/>
        </w:rPr>
        <w:t xml:space="preserve"> </w:t>
      </w:r>
      <w:proofErr w:type="gramStart"/>
      <w:r w:rsidRPr="0012389B">
        <w:rPr>
          <w:rFonts w:cstheme="minorHAnsi"/>
          <w:b/>
          <w:color w:val="000000" w:themeColor="text1"/>
          <w:sz w:val="20"/>
          <w:szCs w:val="20"/>
        </w:rPr>
        <w:t>Partnerships:</w:t>
      </w:r>
      <w:proofErr w:type="gramEnd"/>
      <w:r w:rsidRPr="0012389B">
        <w:rPr>
          <w:b/>
          <w:color w:val="000000" w:themeColor="text1"/>
          <w:sz w:val="20"/>
          <w:szCs w:val="20"/>
        </w:rPr>
        <w:t xml:space="preserve"> </w:t>
      </w:r>
      <w:r w:rsidRPr="0012389B">
        <w:rPr>
          <w:rFonts w:cstheme="minorHAnsi"/>
          <w:bCs/>
          <w:color w:val="000000" w:themeColor="text1"/>
          <w:sz w:val="20"/>
          <w:szCs w:val="20"/>
        </w:rPr>
        <w:t xml:space="preserve">works with selected </w:t>
      </w:r>
      <w:proofErr w:type="spellStart"/>
      <w:r w:rsidRPr="0012389B">
        <w:rPr>
          <w:rFonts w:cstheme="minorHAnsi"/>
          <w:bCs/>
          <w:color w:val="000000" w:themeColor="text1"/>
          <w:sz w:val="20"/>
          <w:szCs w:val="20"/>
        </w:rPr>
        <w:t>GoPNG</w:t>
      </w:r>
      <w:proofErr w:type="spellEnd"/>
      <w:r w:rsidRPr="0012389B">
        <w:rPr>
          <w:rFonts w:cstheme="minorHAnsi"/>
          <w:bCs/>
          <w:color w:val="000000" w:themeColor="text1"/>
          <w:sz w:val="20"/>
          <w:szCs w:val="20"/>
        </w:rPr>
        <w:t xml:space="preserve"> departments interested in improving their transparency and citizen engagement: the Department of National Planning and Monitoring (DNPM); the Department of Community Development and Religion (</w:t>
      </w:r>
      <w:proofErr w:type="spellStart"/>
      <w:r w:rsidRPr="0012389B">
        <w:rPr>
          <w:rFonts w:cstheme="minorHAnsi"/>
          <w:bCs/>
          <w:color w:val="000000" w:themeColor="text1"/>
          <w:sz w:val="20"/>
          <w:szCs w:val="20"/>
        </w:rPr>
        <w:t>DfCDR</w:t>
      </w:r>
      <w:proofErr w:type="spellEnd"/>
      <w:r w:rsidRPr="0012389B">
        <w:rPr>
          <w:rFonts w:cstheme="minorHAnsi"/>
          <w:bCs/>
          <w:color w:val="000000" w:themeColor="text1"/>
          <w:sz w:val="20"/>
          <w:szCs w:val="20"/>
        </w:rPr>
        <w:t xml:space="preserve">); and the Department for Implementation and Rural Development (DIRD). Specific support is to be designed in the BCEP inception phase. </w:t>
      </w:r>
    </w:p>
    <w:p w14:paraId="250B94C1" w14:textId="355DDF3B" w:rsidR="00B50D6D" w:rsidRPr="0012389B" w:rsidRDefault="00B50D6D" w:rsidP="00791619">
      <w:pPr>
        <w:pStyle w:val="Heading2"/>
        <w:numPr>
          <w:ilvl w:val="1"/>
          <w:numId w:val="1"/>
        </w:numPr>
        <w:ind w:left="709" w:hanging="709"/>
        <w:jc w:val="both"/>
        <w:rPr>
          <w:b/>
          <w:bCs/>
          <w:sz w:val="24"/>
          <w:szCs w:val="24"/>
        </w:rPr>
      </w:pPr>
      <w:bookmarkStart w:id="31" w:name="_Toc99041653"/>
      <w:r w:rsidRPr="0012389B">
        <w:rPr>
          <w:b/>
          <w:bCs/>
          <w:sz w:val="24"/>
          <w:szCs w:val="24"/>
        </w:rPr>
        <w:lastRenderedPageBreak/>
        <w:t xml:space="preserve">Design </w:t>
      </w:r>
      <w:r w:rsidR="00027266" w:rsidRPr="0012389B">
        <w:rPr>
          <w:b/>
          <w:bCs/>
          <w:sz w:val="24"/>
          <w:szCs w:val="24"/>
        </w:rPr>
        <w:t>methodology</w:t>
      </w:r>
      <w:bookmarkEnd w:id="28"/>
      <w:bookmarkEnd w:id="30"/>
      <w:bookmarkEnd w:id="31"/>
    </w:p>
    <w:p w14:paraId="1F299823" w14:textId="409DA06A" w:rsidR="008F61E0" w:rsidRPr="0012389B" w:rsidRDefault="00372B35" w:rsidP="00791619">
      <w:pPr>
        <w:jc w:val="both"/>
      </w:pPr>
      <w:r w:rsidRPr="0012389B">
        <w:t xml:space="preserve">This </w:t>
      </w:r>
      <w:r w:rsidR="007A45F8">
        <w:t>Component Design Document</w:t>
      </w:r>
      <w:r w:rsidRPr="0012389B">
        <w:t xml:space="preserve"> (</w:t>
      </w:r>
      <w:r w:rsidR="007A45F8">
        <w:t>CDD</w:t>
      </w:r>
      <w:r w:rsidRPr="0012389B">
        <w:t xml:space="preserve">) has been developed </w:t>
      </w:r>
      <w:r w:rsidR="00672946" w:rsidRPr="0012389B">
        <w:t>through</w:t>
      </w:r>
      <w:r w:rsidRPr="0012389B">
        <w:t xml:space="preserve"> </w:t>
      </w:r>
      <w:r w:rsidR="00672946" w:rsidRPr="0012389B">
        <w:t xml:space="preserve">a collaborative, consensus-based approach with </w:t>
      </w:r>
      <w:r w:rsidRPr="0012389B">
        <w:t xml:space="preserve">CPP partners </w:t>
      </w:r>
      <w:r w:rsidR="00672946" w:rsidRPr="0012389B">
        <w:t>and</w:t>
      </w:r>
      <w:r w:rsidRPr="0012389B">
        <w:t xml:space="preserve"> representatives of the Australian and PNG government</w:t>
      </w:r>
      <w:r w:rsidR="00672946" w:rsidRPr="0012389B">
        <w:t>s</w:t>
      </w:r>
      <w:r w:rsidRPr="0012389B">
        <w:t xml:space="preserve">. </w:t>
      </w:r>
      <w:r w:rsidR="00672946" w:rsidRPr="0012389B">
        <w:t xml:space="preserve">The Australian High Commission in Port Moresby engaged a design team to facilitate the process and produce this </w:t>
      </w:r>
      <w:r w:rsidR="007A45F8">
        <w:t>CDD</w:t>
      </w:r>
      <w:r w:rsidR="00D11360" w:rsidRPr="0012389B">
        <w:rPr>
          <w:vertAlign w:val="superscript"/>
        </w:rPr>
        <w:footnoteReference w:id="13"/>
      </w:r>
      <w:r w:rsidR="00672946" w:rsidRPr="0012389B">
        <w:t xml:space="preserve"> </w:t>
      </w:r>
      <w:r w:rsidR="00672946" w:rsidRPr="000B478A">
        <w:t>(see Annex</w:t>
      </w:r>
      <w:r w:rsidR="000B478A" w:rsidRPr="000B478A">
        <w:t xml:space="preserve"> 4</w:t>
      </w:r>
      <w:r w:rsidR="00672946" w:rsidRPr="000B478A">
        <w:t xml:space="preserve"> for list of stakeholders consulted). </w:t>
      </w:r>
      <w:r w:rsidR="0026387E" w:rsidRPr="000B478A">
        <w:t>Drafting instructions included</w:t>
      </w:r>
      <w:r w:rsidR="006730B2" w:rsidRPr="000B478A">
        <w:t xml:space="preserve"> building on the learning and foundations of past phases (including recommendations of the Mid-Term Review for phase three) and </w:t>
      </w:r>
      <w:r w:rsidR="0026387E" w:rsidRPr="000B478A">
        <w:t>integrating</w:t>
      </w:r>
      <w:r w:rsidR="00406E39" w:rsidRPr="000B478A">
        <w:t xml:space="preserve"> the next phase into the BCEP program (see Annex </w:t>
      </w:r>
      <w:r w:rsidR="000B478A" w:rsidRPr="000B478A">
        <w:t>5</w:t>
      </w:r>
      <w:r w:rsidR="00406E39" w:rsidRPr="000B478A">
        <w:t>).</w:t>
      </w:r>
      <w:r w:rsidR="00406E39" w:rsidRPr="0012389B">
        <w:t xml:space="preserve"> </w:t>
      </w:r>
      <w:r w:rsidR="008F61E0" w:rsidRPr="0012389B">
        <w:t xml:space="preserve">A mix of international and national development professionals, </w:t>
      </w:r>
      <w:r w:rsidR="00C418DB" w:rsidRPr="0012389B">
        <w:t xml:space="preserve">including PNG </w:t>
      </w:r>
      <w:r w:rsidR="008F61E0" w:rsidRPr="0012389B">
        <w:t>CPP representatives</w:t>
      </w:r>
      <w:r w:rsidR="009B0199" w:rsidRPr="0012389B">
        <w:t>,</w:t>
      </w:r>
      <w:r w:rsidR="001A2680" w:rsidRPr="0012389B">
        <w:rPr>
          <w:vertAlign w:val="superscript"/>
        </w:rPr>
        <w:footnoteReference w:id="14"/>
      </w:r>
      <w:r w:rsidR="009B0199" w:rsidRPr="0012389B">
        <w:t xml:space="preserve"> </w:t>
      </w:r>
      <w:r w:rsidR="009C1295" w:rsidRPr="0012389B">
        <w:t>made up the design team.</w:t>
      </w:r>
    </w:p>
    <w:p w14:paraId="773B05F2" w14:textId="15E3E4C8" w:rsidR="00D11360" w:rsidRPr="0012389B" w:rsidRDefault="00372B35" w:rsidP="00791619">
      <w:pPr>
        <w:jc w:val="both"/>
      </w:pPr>
      <w:r w:rsidRPr="0012389B">
        <w:t xml:space="preserve">The design </w:t>
      </w:r>
      <w:r w:rsidR="00672946" w:rsidRPr="0012389B">
        <w:t xml:space="preserve">process </w:t>
      </w:r>
      <w:r w:rsidRPr="0012389B">
        <w:t>took place from August 2021 to April 202</w:t>
      </w:r>
      <w:r w:rsidR="00D11360" w:rsidRPr="0012389B">
        <w:t>2</w:t>
      </w:r>
      <w:r w:rsidRPr="0012389B">
        <w:t xml:space="preserve"> during the height of </w:t>
      </w:r>
      <w:r w:rsidR="00B708A1" w:rsidRPr="0012389B">
        <w:t xml:space="preserve">the </w:t>
      </w:r>
      <w:r w:rsidRPr="0012389B">
        <w:t>COVID-19 pandemic in Australia</w:t>
      </w:r>
      <w:r w:rsidR="009E368D" w:rsidRPr="0012389B">
        <w:t xml:space="preserve"> and PNG. The </w:t>
      </w:r>
      <w:r w:rsidR="008E7F54" w:rsidRPr="0012389B">
        <w:t xml:space="preserve">international </w:t>
      </w:r>
      <w:r w:rsidRPr="0012389B">
        <w:t xml:space="preserve">design team </w:t>
      </w:r>
      <w:r w:rsidR="008E7F54" w:rsidRPr="0012389B">
        <w:t>members were</w:t>
      </w:r>
      <w:r w:rsidRPr="0012389B">
        <w:t xml:space="preserve"> unable to travel</w:t>
      </w:r>
      <w:r w:rsidR="00672946" w:rsidRPr="0012389B">
        <w:t xml:space="preserve"> to PNG </w:t>
      </w:r>
      <w:r w:rsidR="008F61E0" w:rsidRPr="0012389B">
        <w:t>over this time</w:t>
      </w:r>
      <w:r w:rsidR="00C418DB" w:rsidRPr="0012389B">
        <w:t xml:space="preserve"> </w:t>
      </w:r>
      <w:r w:rsidR="009E368D" w:rsidRPr="0012389B">
        <w:t xml:space="preserve">and face-to-face </w:t>
      </w:r>
      <w:r w:rsidR="008F61E0" w:rsidRPr="0012389B">
        <w:t xml:space="preserve">meetings with </w:t>
      </w:r>
      <w:r w:rsidR="009E368D" w:rsidRPr="0012389B">
        <w:t xml:space="preserve">partners </w:t>
      </w:r>
      <w:r w:rsidR="008F61E0" w:rsidRPr="0012389B">
        <w:t xml:space="preserve">and other stakeholders </w:t>
      </w:r>
      <w:r w:rsidR="008E7F54" w:rsidRPr="0012389B">
        <w:t xml:space="preserve">in PNG </w:t>
      </w:r>
      <w:r w:rsidR="009E368D" w:rsidRPr="0012389B">
        <w:t>w</w:t>
      </w:r>
      <w:r w:rsidR="00C418DB" w:rsidRPr="0012389B">
        <w:t>ere</w:t>
      </w:r>
      <w:r w:rsidR="009E368D" w:rsidRPr="0012389B">
        <w:t xml:space="preserve"> not possible. </w:t>
      </w:r>
      <w:r w:rsidR="001A2680" w:rsidRPr="0012389B">
        <w:t xml:space="preserve">While these </w:t>
      </w:r>
      <w:r w:rsidR="008E7F54" w:rsidRPr="0012389B">
        <w:t>circumstances created</w:t>
      </w:r>
      <w:r w:rsidR="001A2680" w:rsidRPr="0012389B">
        <w:t xml:space="preserve"> challenges for conducting a </w:t>
      </w:r>
      <w:r w:rsidR="00CF7E6D" w:rsidRPr="0012389B">
        <w:t>collaborative</w:t>
      </w:r>
      <w:r w:rsidR="001A2680" w:rsidRPr="0012389B">
        <w:t xml:space="preserve"> design process, the design team adapted by</w:t>
      </w:r>
      <w:r w:rsidR="00232D5A" w:rsidRPr="0012389B">
        <w:t xml:space="preserve"> </w:t>
      </w:r>
      <w:r w:rsidR="001A2680" w:rsidRPr="0012389B">
        <w:t>making</w:t>
      </w:r>
      <w:r w:rsidR="008F61E0" w:rsidRPr="0012389B">
        <w:t xml:space="preserve"> extensive use of communications technology (particularly </w:t>
      </w:r>
      <w:r w:rsidR="00F12593">
        <w:t>Z</w:t>
      </w:r>
      <w:r w:rsidR="008F61E0" w:rsidRPr="0012389B">
        <w:t>oom)</w:t>
      </w:r>
      <w:r w:rsidR="00951A35" w:rsidRPr="0012389B">
        <w:t>, drawing on the experience of the PNG professionals in the team,</w:t>
      </w:r>
      <w:r w:rsidR="008F61E0" w:rsidRPr="0012389B">
        <w:t xml:space="preserve"> and </w:t>
      </w:r>
      <w:r w:rsidR="00232D5A" w:rsidRPr="0012389B">
        <w:t>adopt</w:t>
      </w:r>
      <w:r w:rsidR="001A2680" w:rsidRPr="0012389B">
        <w:t>ing</w:t>
      </w:r>
      <w:r w:rsidR="008F61E0" w:rsidRPr="0012389B">
        <w:t xml:space="preserve"> a</w:t>
      </w:r>
      <w:r w:rsidR="00C418DB" w:rsidRPr="0012389B">
        <w:t xml:space="preserve">n iterative </w:t>
      </w:r>
      <w:r w:rsidR="00232D5A" w:rsidRPr="0012389B">
        <w:t xml:space="preserve">design </w:t>
      </w:r>
      <w:r w:rsidR="008F61E0" w:rsidRPr="0012389B">
        <w:t xml:space="preserve">process </w:t>
      </w:r>
      <w:r w:rsidR="00232D5A" w:rsidRPr="0012389B">
        <w:t>with time for discussions</w:t>
      </w:r>
      <w:r w:rsidR="00C418DB" w:rsidRPr="0012389B">
        <w:t xml:space="preserve"> with partners</w:t>
      </w:r>
      <w:r w:rsidR="00232D5A" w:rsidRPr="0012389B">
        <w:t xml:space="preserve"> at each step along the way</w:t>
      </w:r>
      <w:r w:rsidR="00C418DB" w:rsidRPr="0012389B">
        <w:t xml:space="preserve">. </w:t>
      </w:r>
    </w:p>
    <w:p w14:paraId="52047D4B" w14:textId="25E89777" w:rsidR="00C418DB" w:rsidRPr="0012389B" w:rsidRDefault="00C418DB" w:rsidP="00791619">
      <w:pPr>
        <w:jc w:val="both"/>
      </w:pPr>
      <w:r w:rsidRPr="0012389B">
        <w:t xml:space="preserve">The first step </w:t>
      </w:r>
      <w:r w:rsidR="00232D5A" w:rsidRPr="0012389B">
        <w:t xml:space="preserve">of the </w:t>
      </w:r>
      <w:r w:rsidR="00D11360" w:rsidRPr="0012389B">
        <w:t xml:space="preserve">design </w:t>
      </w:r>
      <w:r w:rsidR="00232D5A" w:rsidRPr="0012389B">
        <w:t xml:space="preserve">process </w:t>
      </w:r>
      <w:r w:rsidRPr="0012389B">
        <w:t xml:space="preserve">involved individual consultations with all </w:t>
      </w:r>
      <w:r w:rsidR="008F61E0" w:rsidRPr="0012389B">
        <w:t>partners</w:t>
      </w:r>
      <w:r w:rsidRPr="0012389B">
        <w:t xml:space="preserve"> to discuss their learning from past phases and organisational priorities for the next phase. From these</w:t>
      </w:r>
      <w:r w:rsidR="00406E39" w:rsidRPr="0012389B">
        <w:t xml:space="preserve"> and other stakeholder</w:t>
      </w:r>
      <w:r w:rsidRPr="0012389B">
        <w:t xml:space="preserve"> consultations</w:t>
      </w:r>
      <w:r w:rsidR="00406E39" w:rsidRPr="0012389B">
        <w:t xml:space="preserve"> and </w:t>
      </w:r>
      <w:r w:rsidRPr="0012389B">
        <w:t xml:space="preserve">document reviews, the design </w:t>
      </w:r>
      <w:r w:rsidR="00232D5A" w:rsidRPr="0012389B">
        <w:t xml:space="preserve">team </w:t>
      </w:r>
      <w:r w:rsidRPr="0012389B">
        <w:t xml:space="preserve">prepared analysis on two key </w:t>
      </w:r>
      <w:r w:rsidR="000B7211" w:rsidRPr="0012389B">
        <w:t>potential</w:t>
      </w:r>
      <w:r w:rsidR="00406E39" w:rsidRPr="0012389B">
        <w:t xml:space="preserve"> </w:t>
      </w:r>
      <w:r w:rsidRPr="0012389B">
        <w:t xml:space="preserve">areas </w:t>
      </w:r>
      <w:r w:rsidR="00C0339F" w:rsidRPr="0012389B">
        <w:t xml:space="preserve">of </w:t>
      </w:r>
      <w:r w:rsidR="00406E39" w:rsidRPr="0012389B">
        <w:t>CPP focus</w:t>
      </w:r>
      <w:r w:rsidRPr="0012389B">
        <w:t xml:space="preserve"> </w:t>
      </w:r>
      <w:r w:rsidR="0073446D" w:rsidRPr="0012389B">
        <w:t>–</w:t>
      </w:r>
      <w:r w:rsidRPr="0012389B">
        <w:t xml:space="preserve"> policy engagement</w:t>
      </w:r>
      <w:r w:rsidR="000B7211" w:rsidRPr="0012389B">
        <w:t xml:space="preserve"> and advocacy</w:t>
      </w:r>
      <w:r w:rsidRPr="0012389B">
        <w:t xml:space="preserve">, and </w:t>
      </w:r>
      <w:r w:rsidR="009C1295" w:rsidRPr="000B478A">
        <w:t>GEDSI</w:t>
      </w:r>
      <w:r w:rsidR="005C7487" w:rsidRPr="000B478A">
        <w:t xml:space="preserve"> (see Annex </w:t>
      </w:r>
      <w:r w:rsidR="000B478A" w:rsidRPr="000B478A">
        <w:t>3</w:t>
      </w:r>
      <w:r w:rsidR="005C7487" w:rsidRPr="000B478A">
        <w:t>)</w:t>
      </w:r>
      <w:r w:rsidR="00232D5A" w:rsidRPr="000B478A">
        <w:t>.</w:t>
      </w:r>
      <w:r w:rsidR="00D11360" w:rsidRPr="0012389B">
        <w:t xml:space="preserve"> Next, the design team facilitated three online workshops</w:t>
      </w:r>
      <w:r w:rsidR="001A2680" w:rsidRPr="0012389B">
        <w:t xml:space="preserve"> with all </w:t>
      </w:r>
      <w:r w:rsidR="003303FE" w:rsidRPr="0012389B">
        <w:t xml:space="preserve">church </w:t>
      </w:r>
      <w:r w:rsidR="001A2680" w:rsidRPr="0012389B">
        <w:t>partners</w:t>
      </w:r>
      <w:r w:rsidR="00D11360" w:rsidRPr="0012389B">
        <w:t xml:space="preserve"> on central elements of the </w:t>
      </w:r>
      <w:r w:rsidR="007A45F8">
        <w:t>CDD</w:t>
      </w:r>
      <w:r w:rsidR="00F72F9A" w:rsidRPr="0012389B">
        <w:t>.</w:t>
      </w:r>
      <w:r w:rsidR="00F72F9A" w:rsidRPr="0012389B">
        <w:rPr>
          <w:vertAlign w:val="superscript"/>
        </w:rPr>
        <w:footnoteReference w:id="15"/>
      </w:r>
      <w:r w:rsidR="00D11360" w:rsidRPr="0012389B">
        <w:t xml:space="preserve"> To help focus workshop discussion, the design team prepared papers to frame the issues under consideration and share</w:t>
      </w:r>
      <w:r w:rsidR="001A2680" w:rsidRPr="0012389B">
        <w:t>d</w:t>
      </w:r>
      <w:r w:rsidR="00D11360" w:rsidRPr="0012389B">
        <w:t xml:space="preserve"> these in advance. The full </w:t>
      </w:r>
      <w:r w:rsidR="005C7487" w:rsidRPr="0012389B">
        <w:t xml:space="preserve">draft </w:t>
      </w:r>
      <w:r w:rsidR="007A45F8">
        <w:t>CDD</w:t>
      </w:r>
      <w:r w:rsidR="00D11360" w:rsidRPr="0012389B">
        <w:t xml:space="preserve"> was </w:t>
      </w:r>
      <w:r w:rsidR="001A2680" w:rsidRPr="0012389B">
        <w:t>provided</w:t>
      </w:r>
      <w:r w:rsidR="00D11360" w:rsidRPr="0012389B">
        <w:t xml:space="preserve"> to </w:t>
      </w:r>
      <w:r w:rsidR="001A2680" w:rsidRPr="0012389B">
        <w:t xml:space="preserve">all </w:t>
      </w:r>
      <w:r w:rsidR="00D11360" w:rsidRPr="0012389B">
        <w:t xml:space="preserve">partners and presented to Church leaders </w:t>
      </w:r>
      <w:r w:rsidR="005C7487" w:rsidRPr="0012389B">
        <w:t>for feedback and endorsement</w:t>
      </w:r>
      <w:r w:rsidR="00D11360" w:rsidRPr="0012389B">
        <w:t xml:space="preserve">.  </w:t>
      </w:r>
    </w:p>
    <w:p w14:paraId="2C1C0A06" w14:textId="77777777" w:rsidR="001A2680" w:rsidRPr="0012389B" w:rsidRDefault="001A2680" w:rsidP="00791619">
      <w:pPr>
        <w:pStyle w:val="Heading2"/>
        <w:numPr>
          <w:ilvl w:val="1"/>
          <w:numId w:val="1"/>
        </w:numPr>
        <w:ind w:left="709" w:hanging="709"/>
        <w:jc w:val="both"/>
        <w:rPr>
          <w:b/>
          <w:bCs/>
          <w:sz w:val="24"/>
          <w:szCs w:val="24"/>
        </w:rPr>
      </w:pPr>
      <w:bookmarkStart w:id="32" w:name="_Toc97187809"/>
      <w:bookmarkStart w:id="33" w:name="_Toc97305454"/>
      <w:bookmarkStart w:id="34" w:name="_Toc99041654"/>
      <w:r w:rsidRPr="0012389B">
        <w:rPr>
          <w:b/>
          <w:bCs/>
          <w:sz w:val="24"/>
          <w:szCs w:val="24"/>
        </w:rPr>
        <w:t>Document Structure</w:t>
      </w:r>
      <w:bookmarkEnd w:id="32"/>
      <w:bookmarkEnd w:id="33"/>
      <w:bookmarkEnd w:id="34"/>
    </w:p>
    <w:p w14:paraId="0D412D17" w14:textId="220D227B" w:rsidR="00372B35" w:rsidRPr="0012389B" w:rsidRDefault="00A71FFC" w:rsidP="00791619">
      <w:pPr>
        <w:jc w:val="both"/>
      </w:pPr>
      <w:r w:rsidRPr="0012389B">
        <w:t xml:space="preserve">The next section of this </w:t>
      </w:r>
      <w:r w:rsidR="007A45F8">
        <w:t>CDD</w:t>
      </w:r>
      <w:r w:rsidRPr="0012389B">
        <w:t xml:space="preserve"> </w:t>
      </w:r>
      <w:r w:rsidR="00951A35" w:rsidRPr="0012389B">
        <w:t>provid</w:t>
      </w:r>
      <w:r w:rsidR="005F0FB1" w:rsidRPr="0012389B">
        <w:t>es</w:t>
      </w:r>
      <w:r w:rsidR="00951A35" w:rsidRPr="0012389B">
        <w:t xml:space="preserve"> important background information on </w:t>
      </w:r>
      <w:r w:rsidRPr="0012389B">
        <w:t>c</w:t>
      </w:r>
      <w:r w:rsidR="00C0339F" w:rsidRPr="0012389B">
        <w:t xml:space="preserve">hurches in the PNG context </w:t>
      </w:r>
      <w:r w:rsidR="00951A35" w:rsidRPr="0012389B">
        <w:t xml:space="preserve">(section 2). Section 3 presents </w:t>
      </w:r>
      <w:r w:rsidR="00997F6C" w:rsidRPr="0012389B">
        <w:t>key lesson</w:t>
      </w:r>
      <w:r w:rsidR="00D63474" w:rsidRPr="0012389B">
        <w:t>s</w:t>
      </w:r>
      <w:r w:rsidR="00997F6C" w:rsidRPr="0012389B">
        <w:t xml:space="preserve"> from past phase</w:t>
      </w:r>
      <w:r w:rsidR="009C75BE" w:rsidRPr="0012389B">
        <w:t>s</w:t>
      </w:r>
      <w:r w:rsidR="00997F6C" w:rsidRPr="0012389B">
        <w:t xml:space="preserve"> of CPP</w:t>
      </w:r>
      <w:r w:rsidRPr="0012389B">
        <w:t xml:space="preserve"> and the implications for the next phase</w:t>
      </w:r>
      <w:r w:rsidR="00C15E30" w:rsidRPr="0012389B">
        <w:t>.</w:t>
      </w:r>
      <w:r w:rsidR="00951A35" w:rsidRPr="0012389B">
        <w:t xml:space="preserve"> The Program’s high-level outcomes and logic</w:t>
      </w:r>
      <w:r w:rsidR="000B478A">
        <w:t xml:space="preserve">, with the delivery approach, </w:t>
      </w:r>
      <w:r w:rsidR="00951A35" w:rsidRPr="0012389B">
        <w:t xml:space="preserve">are explained in section </w:t>
      </w:r>
      <w:r w:rsidR="00415D97" w:rsidRPr="0012389B">
        <w:t>4</w:t>
      </w:r>
      <w:r w:rsidR="00951A35" w:rsidRPr="0012389B">
        <w:t xml:space="preserve">. This is followed by the </w:t>
      </w:r>
      <w:r w:rsidR="000B478A">
        <w:t xml:space="preserve">management and governance arrangements (section 5) </w:t>
      </w:r>
      <w:r w:rsidR="00951A35" w:rsidRPr="0012389B">
        <w:t xml:space="preserve">monitoring, evaluation and learning processes </w:t>
      </w:r>
      <w:r w:rsidR="005F6843" w:rsidRPr="0012389B">
        <w:t xml:space="preserve">(MEL) </w:t>
      </w:r>
      <w:r w:rsidR="00951A35" w:rsidRPr="0012389B">
        <w:t xml:space="preserve">(section </w:t>
      </w:r>
      <w:r w:rsidR="000B478A">
        <w:t>6</w:t>
      </w:r>
      <w:r w:rsidR="00951A35" w:rsidRPr="0012389B">
        <w:t xml:space="preserve">), </w:t>
      </w:r>
      <w:r w:rsidR="000B478A">
        <w:t xml:space="preserve">high-level </w:t>
      </w:r>
      <w:r w:rsidR="00951A35" w:rsidRPr="0012389B">
        <w:t>budget (section</w:t>
      </w:r>
      <w:r w:rsidR="000B478A">
        <w:t xml:space="preserve"> 7</w:t>
      </w:r>
      <w:r w:rsidR="00951A35" w:rsidRPr="0012389B">
        <w:t>) and key risk and safeguard management arrangements</w:t>
      </w:r>
      <w:r w:rsidR="009C75BE" w:rsidRPr="0012389B">
        <w:t xml:space="preserve"> (section </w:t>
      </w:r>
      <w:r w:rsidR="005C2791">
        <w:t>8</w:t>
      </w:r>
      <w:r w:rsidR="000B478A">
        <w:t>)</w:t>
      </w:r>
      <w:r w:rsidR="00951A35" w:rsidRPr="0012389B">
        <w:t>. Supporting documents are provided in the Annexure</w:t>
      </w:r>
      <w:r w:rsidR="00997F6C" w:rsidRPr="0012389B">
        <w:t xml:space="preserve"> (includ</w:t>
      </w:r>
      <w:r w:rsidR="00660D3A">
        <w:t>ing</w:t>
      </w:r>
      <w:r w:rsidR="00997F6C" w:rsidRPr="0012389B">
        <w:t xml:space="preserve"> a draft </w:t>
      </w:r>
      <w:r w:rsidR="009C75BE" w:rsidRPr="0012389B">
        <w:t>monitoring and evaluation (</w:t>
      </w:r>
      <w:r w:rsidR="000A5CD8" w:rsidRPr="0012389B">
        <w:t>MEL</w:t>
      </w:r>
      <w:r w:rsidR="009C75BE" w:rsidRPr="0012389B">
        <w:t>)</w:t>
      </w:r>
      <w:r w:rsidR="00997F6C" w:rsidRPr="0012389B">
        <w:t xml:space="preserve"> framework with indicators</w:t>
      </w:r>
      <w:r w:rsidR="00660D3A">
        <w:t xml:space="preserve"> at Annex 1</w:t>
      </w:r>
      <w:r w:rsidR="00997F6C" w:rsidRPr="0012389B">
        <w:t>)</w:t>
      </w:r>
      <w:r w:rsidR="00951A35" w:rsidRPr="0012389B">
        <w:t xml:space="preserve">.   </w:t>
      </w:r>
    </w:p>
    <w:p w14:paraId="7ECFA46E" w14:textId="77777777" w:rsidR="00840DE2" w:rsidRPr="0012389B" w:rsidRDefault="00840DE2" w:rsidP="00791619">
      <w:pPr>
        <w:pStyle w:val="Heading1"/>
        <w:numPr>
          <w:ilvl w:val="0"/>
          <w:numId w:val="1"/>
        </w:numPr>
        <w:ind w:hanging="720"/>
        <w:jc w:val="both"/>
        <w:rPr>
          <w:rFonts w:ascii="Arial" w:hAnsi="Arial" w:cs="Arial"/>
          <w:sz w:val="28"/>
          <w:szCs w:val="28"/>
        </w:rPr>
        <w:sectPr w:rsidR="00840DE2" w:rsidRPr="0012389B" w:rsidSect="00C51DFF">
          <w:footerReference w:type="default" r:id="rId10"/>
          <w:pgSz w:w="11906" w:h="16838"/>
          <w:pgMar w:top="1440" w:right="1440" w:bottom="1440" w:left="1440" w:header="708" w:footer="708" w:gutter="0"/>
          <w:pgNumType w:start="1"/>
          <w:cols w:space="708"/>
          <w:docGrid w:linePitch="360"/>
        </w:sectPr>
      </w:pPr>
      <w:bookmarkStart w:id="35" w:name="_Toc97187810"/>
      <w:bookmarkStart w:id="36" w:name="_Toc97305455"/>
      <w:bookmarkEnd w:id="25"/>
    </w:p>
    <w:p w14:paraId="7776EF98" w14:textId="68553973" w:rsidR="00027266" w:rsidRPr="0012389B" w:rsidRDefault="00932F18" w:rsidP="00791619">
      <w:pPr>
        <w:pStyle w:val="Heading1"/>
        <w:numPr>
          <w:ilvl w:val="0"/>
          <w:numId w:val="1"/>
        </w:numPr>
        <w:ind w:hanging="720"/>
        <w:jc w:val="both"/>
        <w:rPr>
          <w:rFonts w:ascii="Arial" w:hAnsi="Arial" w:cs="Arial"/>
          <w:sz w:val="28"/>
          <w:szCs w:val="28"/>
        </w:rPr>
      </w:pPr>
      <w:bookmarkStart w:id="37" w:name="_Toc99041655"/>
      <w:r w:rsidRPr="0012389B">
        <w:rPr>
          <w:rFonts w:ascii="Arial" w:hAnsi="Arial" w:cs="Arial"/>
          <w:sz w:val="28"/>
          <w:szCs w:val="28"/>
        </w:rPr>
        <w:lastRenderedPageBreak/>
        <w:t>Context and b</w:t>
      </w:r>
      <w:r w:rsidR="00816A08" w:rsidRPr="0012389B">
        <w:rPr>
          <w:rFonts w:ascii="Arial" w:hAnsi="Arial" w:cs="Arial"/>
          <w:sz w:val="28"/>
          <w:szCs w:val="28"/>
        </w:rPr>
        <w:t>ackground</w:t>
      </w:r>
      <w:bookmarkEnd w:id="35"/>
      <w:bookmarkEnd w:id="36"/>
      <w:bookmarkEnd w:id="37"/>
    </w:p>
    <w:p w14:paraId="7EBB3134" w14:textId="0FD74C25" w:rsidR="00987F9B" w:rsidRPr="0012389B" w:rsidRDefault="00D07666" w:rsidP="00791619">
      <w:pPr>
        <w:jc w:val="both"/>
      </w:pPr>
      <w:r w:rsidRPr="0012389B">
        <w:t xml:space="preserve">The </w:t>
      </w:r>
      <w:r w:rsidR="00AD5F02" w:rsidRPr="0012389B">
        <w:t>CPP’s</w:t>
      </w:r>
      <w:r w:rsidR="003A3F01" w:rsidRPr="0012389B">
        <w:t xml:space="preserve"> PNG</w:t>
      </w:r>
      <w:r w:rsidR="00AD5F02" w:rsidRPr="0012389B">
        <w:t xml:space="preserve"> church</w:t>
      </w:r>
      <w:r w:rsidR="00987F9B" w:rsidRPr="0012389B">
        <w:t xml:space="preserve"> partners are</w:t>
      </w:r>
      <w:r w:rsidR="0025299F" w:rsidRPr="0012389B">
        <w:t xml:space="preserve"> identified as PNG’s ‘mainline’ churches,</w:t>
      </w:r>
      <w:r w:rsidR="0025299F" w:rsidRPr="0012389B">
        <w:rPr>
          <w:rStyle w:val="FootnoteReference"/>
        </w:rPr>
        <w:footnoteReference w:id="16"/>
      </w:r>
      <w:r w:rsidR="0025299F" w:rsidRPr="0012389B">
        <w:t xml:space="preserve"> </w:t>
      </w:r>
      <w:r w:rsidR="00AD5F02" w:rsidRPr="0012389B">
        <w:t xml:space="preserve">but </w:t>
      </w:r>
      <w:r w:rsidR="0025299F" w:rsidRPr="0012389B">
        <w:t>each has very different cultural, theological, and organisational histories.</w:t>
      </w:r>
      <w:r w:rsidR="00987F9B" w:rsidRPr="0012389B">
        <w:t xml:space="preserve"> This section analyses the context of church-state relations </w:t>
      </w:r>
      <w:r w:rsidR="0031697F" w:rsidRPr="0012389B">
        <w:t xml:space="preserve">in PNG </w:t>
      </w:r>
      <w:r w:rsidR="00987F9B" w:rsidRPr="0012389B">
        <w:t xml:space="preserve">to understand how CPP can </w:t>
      </w:r>
      <w:r w:rsidR="00351D5C" w:rsidRPr="0012389B">
        <w:t xml:space="preserve">support </w:t>
      </w:r>
      <w:r w:rsidR="002A6B36" w:rsidRPr="0012389B">
        <w:t>partners to</w:t>
      </w:r>
      <w:r w:rsidRPr="0012389B">
        <w:t xml:space="preserve"> better</w:t>
      </w:r>
      <w:r w:rsidR="002A6B36" w:rsidRPr="0012389B">
        <w:t xml:space="preserve"> engage </w:t>
      </w:r>
      <w:r w:rsidR="00BD6C98" w:rsidRPr="0012389B">
        <w:t>with</w:t>
      </w:r>
      <w:r w:rsidRPr="0012389B">
        <w:t xml:space="preserve"> </w:t>
      </w:r>
      <w:r w:rsidR="002A6B36" w:rsidRPr="0012389B">
        <w:t xml:space="preserve">and influence </w:t>
      </w:r>
      <w:r w:rsidR="006E409B" w:rsidRPr="0012389B">
        <w:t xml:space="preserve">government </w:t>
      </w:r>
      <w:r w:rsidR="002A6B36" w:rsidRPr="0012389B">
        <w:t xml:space="preserve">policy and </w:t>
      </w:r>
      <w:r w:rsidR="00987F9B" w:rsidRPr="0012389B">
        <w:t xml:space="preserve">contribute to the BCEP goal of </w:t>
      </w:r>
      <w:r w:rsidR="00BD6C98" w:rsidRPr="0012389B">
        <w:t>‘</w:t>
      </w:r>
      <w:r w:rsidR="00987F9B" w:rsidRPr="0012389B">
        <w:rPr>
          <w:i/>
          <w:iCs/>
        </w:rPr>
        <w:t>strengthened citizen-government engagement for improved service delivery and provision of public goods</w:t>
      </w:r>
      <w:r w:rsidR="00BD6C98" w:rsidRPr="0012389B">
        <w:t>’.</w:t>
      </w:r>
      <w:r w:rsidR="0031697F" w:rsidRPr="0012389B">
        <w:rPr>
          <w:rStyle w:val="FootnoteReference"/>
        </w:rPr>
        <w:t xml:space="preserve"> </w:t>
      </w:r>
      <w:r w:rsidR="0031697F" w:rsidRPr="0012389B">
        <w:rPr>
          <w:rStyle w:val="FootnoteReference"/>
        </w:rPr>
        <w:footnoteReference w:id="17"/>
      </w:r>
      <w:r w:rsidR="0031697F" w:rsidRPr="0012389B">
        <w:t xml:space="preserve"> </w:t>
      </w:r>
      <w:r w:rsidR="00987F9B" w:rsidRPr="0012389B">
        <w:t xml:space="preserve">The section </w:t>
      </w:r>
      <w:r w:rsidR="0031697F" w:rsidRPr="0012389B">
        <w:t>summarises</w:t>
      </w:r>
      <w:r w:rsidR="006E409B" w:rsidRPr="0012389B">
        <w:t xml:space="preserve"> some of the key</w:t>
      </w:r>
      <w:r w:rsidR="00987F9B" w:rsidRPr="0012389B">
        <w:t xml:space="preserve"> </w:t>
      </w:r>
      <w:r w:rsidR="00275B92" w:rsidRPr="0012389B">
        <w:t>institutional structures</w:t>
      </w:r>
      <w:r w:rsidR="00987F9B" w:rsidRPr="0012389B">
        <w:t xml:space="preserve"> and incentives that</w:t>
      </w:r>
      <w:r w:rsidR="0031697F" w:rsidRPr="0012389B">
        <w:t xml:space="preserve"> </w:t>
      </w:r>
      <w:r w:rsidR="00275B92" w:rsidRPr="0012389B">
        <w:t xml:space="preserve">shape </w:t>
      </w:r>
      <w:r w:rsidR="00FB69B8" w:rsidRPr="0012389B">
        <w:t xml:space="preserve">CPP church </w:t>
      </w:r>
      <w:r w:rsidR="00275B92" w:rsidRPr="0012389B">
        <w:t>partners different</w:t>
      </w:r>
      <w:r w:rsidR="0031697F" w:rsidRPr="0012389B">
        <w:t xml:space="preserve"> </w:t>
      </w:r>
      <w:r w:rsidR="00987F9B" w:rsidRPr="0012389B">
        <w:t xml:space="preserve">relations </w:t>
      </w:r>
      <w:r w:rsidR="0031697F" w:rsidRPr="0012389B">
        <w:t>to</w:t>
      </w:r>
      <w:r w:rsidR="0033026E" w:rsidRPr="0012389B">
        <w:t xml:space="preserve"> the</w:t>
      </w:r>
      <w:r w:rsidR="0031697F" w:rsidRPr="0012389B">
        <w:t xml:space="preserve"> PNG state and their </w:t>
      </w:r>
      <w:r w:rsidR="00987F9B" w:rsidRPr="0012389B">
        <w:t xml:space="preserve">interest </w:t>
      </w:r>
      <w:r w:rsidR="00275B92" w:rsidRPr="0012389B">
        <w:t>in</w:t>
      </w:r>
      <w:r w:rsidR="00987F9B" w:rsidRPr="0012389B">
        <w:t xml:space="preserve"> engag</w:t>
      </w:r>
      <w:r w:rsidR="00275B92" w:rsidRPr="0012389B">
        <w:t xml:space="preserve">ing </w:t>
      </w:r>
      <w:r w:rsidR="00987F9B" w:rsidRPr="0012389B">
        <w:t xml:space="preserve">on policy issues. </w:t>
      </w:r>
    </w:p>
    <w:p w14:paraId="52D40CB1" w14:textId="3C62E147" w:rsidR="00A62F5F" w:rsidRPr="0012389B" w:rsidRDefault="00364C36" w:rsidP="00791619">
      <w:pPr>
        <w:pStyle w:val="Heading2"/>
        <w:numPr>
          <w:ilvl w:val="1"/>
          <w:numId w:val="1"/>
        </w:numPr>
        <w:ind w:left="709" w:hanging="709"/>
        <w:jc w:val="both"/>
        <w:rPr>
          <w:b/>
          <w:bCs/>
          <w:sz w:val="24"/>
          <w:szCs w:val="24"/>
        </w:rPr>
      </w:pPr>
      <w:bookmarkStart w:id="38" w:name="_Toc99041656"/>
      <w:r w:rsidRPr="0012389B">
        <w:rPr>
          <w:b/>
          <w:bCs/>
          <w:sz w:val="24"/>
          <w:szCs w:val="24"/>
        </w:rPr>
        <w:t xml:space="preserve">Churches in the PNG </w:t>
      </w:r>
      <w:r w:rsidR="003A3F01" w:rsidRPr="0012389B">
        <w:rPr>
          <w:b/>
          <w:bCs/>
          <w:sz w:val="24"/>
          <w:szCs w:val="24"/>
        </w:rPr>
        <w:t>Context</w:t>
      </w:r>
      <w:bookmarkEnd w:id="38"/>
    </w:p>
    <w:p w14:paraId="13CC21C4" w14:textId="5B81F0ED" w:rsidR="00B75CF7" w:rsidRPr="0012389B" w:rsidRDefault="00B75CF7" w:rsidP="00791619">
      <w:pPr>
        <w:jc w:val="both"/>
      </w:pPr>
      <w:r w:rsidRPr="0012389B">
        <w:t xml:space="preserve">The current relationship between churches, the state and the community </w:t>
      </w:r>
      <w:r w:rsidR="00DC2CDB" w:rsidRPr="0012389B">
        <w:t>originate</w:t>
      </w:r>
      <w:r w:rsidRPr="0012389B">
        <w:t xml:space="preserve"> in the missionary period. The missionary period was characterised by </w:t>
      </w:r>
      <w:r w:rsidR="00DB07B7" w:rsidRPr="0012389B">
        <w:t>increasing</w:t>
      </w:r>
      <w:r w:rsidRPr="0012389B">
        <w:t xml:space="preserve"> competition </w:t>
      </w:r>
      <w:r w:rsidR="00BE79A1" w:rsidRPr="0012389B">
        <w:t xml:space="preserve">between faiths </w:t>
      </w:r>
      <w:r w:rsidRPr="0012389B">
        <w:t>to evangelise</w:t>
      </w:r>
      <w:r w:rsidR="00DC2CDB" w:rsidRPr="0012389B">
        <w:t xml:space="preserve"> the population</w:t>
      </w:r>
      <w:r w:rsidR="003055BF" w:rsidRPr="0012389B">
        <w:t xml:space="preserve">. </w:t>
      </w:r>
      <w:r w:rsidR="00C52BD2" w:rsidRPr="0012389B">
        <w:t xml:space="preserve">This competition reinforced the multiple other social and cultural divides already existing between PNG’s numerous </w:t>
      </w:r>
      <w:r w:rsidR="00415D97" w:rsidRPr="0012389B">
        <w:t>language</w:t>
      </w:r>
      <w:r w:rsidR="00C52BD2" w:rsidRPr="0012389B">
        <w:t xml:space="preserve"> and kinship groupings.</w:t>
      </w:r>
      <w:r w:rsidR="00C52BD2" w:rsidRPr="0012389B">
        <w:rPr>
          <w:rStyle w:val="FootnoteReference"/>
        </w:rPr>
        <w:footnoteReference w:id="18"/>
      </w:r>
      <w:r w:rsidR="00C52BD2" w:rsidRPr="0012389B">
        <w:t xml:space="preserve"> </w:t>
      </w:r>
      <w:r w:rsidR="003055BF" w:rsidRPr="0012389B">
        <w:t>Th</w:t>
      </w:r>
      <w:r w:rsidR="00C52BD2" w:rsidRPr="0012389B">
        <w:t>e</w:t>
      </w:r>
      <w:r w:rsidR="003055BF" w:rsidRPr="0012389B">
        <w:t xml:space="preserve"> </w:t>
      </w:r>
      <w:r w:rsidR="00A325DA" w:rsidRPr="0012389B">
        <w:t xml:space="preserve">period helps explain </w:t>
      </w:r>
      <w:r w:rsidR="003055BF" w:rsidRPr="0012389B">
        <w:t>the h</w:t>
      </w:r>
      <w:r w:rsidR="00DB07B7" w:rsidRPr="0012389B">
        <w:t xml:space="preserve">undreds of denominations and faiths </w:t>
      </w:r>
      <w:r w:rsidR="003055BF" w:rsidRPr="0012389B">
        <w:t xml:space="preserve">that </w:t>
      </w:r>
      <w:r w:rsidR="003C194D" w:rsidRPr="0012389B">
        <w:t xml:space="preserve">are </w:t>
      </w:r>
      <w:r w:rsidR="0002773E" w:rsidRPr="0012389B">
        <w:t xml:space="preserve">estimated to be operation in </w:t>
      </w:r>
      <w:r w:rsidR="00DB07B7" w:rsidRPr="0012389B">
        <w:t>PNG</w:t>
      </w:r>
      <w:r w:rsidR="0002773E" w:rsidRPr="0012389B">
        <w:t xml:space="preserve"> today</w:t>
      </w:r>
      <w:r w:rsidR="003055BF" w:rsidRPr="0012389B">
        <w:t>,</w:t>
      </w:r>
      <w:r w:rsidR="00DB07B7" w:rsidRPr="0012389B">
        <w:rPr>
          <w:rStyle w:val="FootnoteReference"/>
        </w:rPr>
        <w:footnoteReference w:id="19"/>
      </w:r>
      <w:r w:rsidR="00D01B05" w:rsidRPr="0012389B">
        <w:t xml:space="preserve"> </w:t>
      </w:r>
      <w:r w:rsidR="00A325DA" w:rsidRPr="0012389B">
        <w:t>and their</w:t>
      </w:r>
      <w:r w:rsidR="00DC2CDB" w:rsidRPr="0012389B">
        <w:t xml:space="preserve"> presence</w:t>
      </w:r>
      <w:r w:rsidR="00D01B05" w:rsidRPr="0012389B">
        <w:t xml:space="preserve"> </w:t>
      </w:r>
      <w:r w:rsidR="00DC2CDB" w:rsidRPr="0012389B">
        <w:t xml:space="preserve">in </w:t>
      </w:r>
      <w:r w:rsidR="00D01B05" w:rsidRPr="0012389B">
        <w:t xml:space="preserve">many remote and rural </w:t>
      </w:r>
      <w:r w:rsidR="00DC2CDB" w:rsidRPr="0012389B">
        <w:t>areas where the</w:t>
      </w:r>
      <w:r w:rsidR="00D01B05" w:rsidRPr="0012389B">
        <w:t xml:space="preserve"> government</w:t>
      </w:r>
      <w:r w:rsidR="00DC2CDB" w:rsidRPr="0012389B">
        <w:t xml:space="preserve"> has little reach</w:t>
      </w:r>
      <w:r w:rsidR="00D01B05" w:rsidRPr="0012389B">
        <w:t>.</w:t>
      </w:r>
      <w:r w:rsidR="00D01B05" w:rsidRPr="0012389B">
        <w:rPr>
          <w:rStyle w:val="FootnoteReference"/>
        </w:rPr>
        <w:t xml:space="preserve"> </w:t>
      </w:r>
      <w:r w:rsidR="00D01B05" w:rsidRPr="0012389B">
        <w:rPr>
          <w:rStyle w:val="FootnoteReference"/>
        </w:rPr>
        <w:footnoteReference w:id="20"/>
      </w:r>
      <w:r w:rsidR="00C52BD2" w:rsidRPr="0012389B">
        <w:t xml:space="preserve"> </w:t>
      </w:r>
    </w:p>
    <w:p w14:paraId="34F71193" w14:textId="1550BDC2" w:rsidR="00853062" w:rsidRPr="0012389B" w:rsidRDefault="00364C36" w:rsidP="00791619">
      <w:pPr>
        <w:pStyle w:val="Heading3"/>
        <w:jc w:val="both"/>
        <w:rPr>
          <w:b/>
          <w:bCs/>
        </w:rPr>
      </w:pPr>
      <w:r w:rsidRPr="0012389B">
        <w:rPr>
          <w:b/>
          <w:bCs/>
        </w:rPr>
        <w:t>G</w:t>
      </w:r>
      <w:r w:rsidR="006346E0" w:rsidRPr="0012389B">
        <w:rPr>
          <w:b/>
          <w:bCs/>
        </w:rPr>
        <w:t>rowth from the missionary period</w:t>
      </w:r>
    </w:p>
    <w:p w14:paraId="5328F5DD" w14:textId="01C528DC" w:rsidR="00E0619A" w:rsidRPr="0012389B" w:rsidRDefault="00120FAD" w:rsidP="00791619">
      <w:pPr>
        <w:jc w:val="both"/>
      </w:pPr>
      <w:r w:rsidRPr="0012389B">
        <w:t>Four CPP partners were</w:t>
      </w:r>
      <w:r w:rsidR="000B1FCB" w:rsidRPr="0012389B">
        <w:t xml:space="preserve"> a part of </w:t>
      </w:r>
      <w:r w:rsidR="00AD5F02" w:rsidRPr="0012389B">
        <w:t>PNG’s</w:t>
      </w:r>
      <w:r w:rsidR="000B1FCB" w:rsidRPr="0012389B">
        <w:t xml:space="preserve"> first missionary wave</w:t>
      </w:r>
      <w:r w:rsidR="00CC1678" w:rsidRPr="0012389B">
        <w:t>, the Catholic, Lutheran, Anglican, and Uniting Churche</w:t>
      </w:r>
      <w:r w:rsidR="00DB07B7" w:rsidRPr="0012389B">
        <w:t>s</w:t>
      </w:r>
      <w:r w:rsidR="00CC1678" w:rsidRPr="0012389B">
        <w:t xml:space="preserve">. These churches arrived </w:t>
      </w:r>
      <w:r w:rsidR="000B1FCB" w:rsidRPr="0012389B">
        <w:t xml:space="preserve">in the </w:t>
      </w:r>
      <w:r w:rsidR="00CC1678" w:rsidRPr="0012389B">
        <w:t>mid-</w:t>
      </w:r>
      <w:r w:rsidR="000B1FCB" w:rsidRPr="0012389B">
        <w:t>19</w:t>
      </w:r>
      <w:r w:rsidR="000B1FCB" w:rsidRPr="0012389B">
        <w:rPr>
          <w:vertAlign w:val="superscript"/>
        </w:rPr>
        <w:t>th</w:t>
      </w:r>
      <w:r w:rsidR="00B75CF7" w:rsidRPr="0012389B">
        <w:t xml:space="preserve"> </w:t>
      </w:r>
      <w:r w:rsidR="000B1FCB" w:rsidRPr="0012389B">
        <w:t xml:space="preserve">century </w:t>
      </w:r>
      <w:r w:rsidR="00CC1678" w:rsidRPr="0012389B">
        <w:t>before the start of European colonisation in 1884</w:t>
      </w:r>
      <w:r w:rsidR="0064206C" w:rsidRPr="0012389B">
        <w:t xml:space="preserve">. </w:t>
      </w:r>
      <w:r w:rsidR="00B75CF7" w:rsidRPr="0012389B">
        <w:t>As PNG decolonised over the</w:t>
      </w:r>
      <w:r w:rsidR="00660D3A">
        <w:t xml:space="preserve"> latter part of</w:t>
      </w:r>
      <w:r w:rsidR="00B75CF7" w:rsidRPr="0012389B">
        <w:t xml:space="preserve"> 20</w:t>
      </w:r>
      <w:r w:rsidR="00B75CF7" w:rsidRPr="0012389B">
        <w:rPr>
          <w:vertAlign w:val="superscript"/>
        </w:rPr>
        <w:t>th</w:t>
      </w:r>
      <w:r w:rsidR="00B75CF7" w:rsidRPr="0012389B">
        <w:t xml:space="preserve"> century, these churches </w:t>
      </w:r>
      <w:r w:rsidR="00DB07B7" w:rsidRPr="0012389B">
        <w:t xml:space="preserve">increasingly </w:t>
      </w:r>
      <w:r w:rsidR="002211A2" w:rsidRPr="0012389B">
        <w:t>worked together</w:t>
      </w:r>
      <w:r w:rsidR="0002773E" w:rsidRPr="0012389B">
        <w:t>. For example,</w:t>
      </w:r>
      <w:r w:rsidR="003055BF" w:rsidRPr="0012389B">
        <w:t xml:space="preserve"> they</w:t>
      </w:r>
      <w:r w:rsidR="0002773E" w:rsidRPr="0012389B">
        <w:t xml:space="preserve"> </w:t>
      </w:r>
      <w:r w:rsidR="00DB07B7" w:rsidRPr="0012389B">
        <w:t xml:space="preserve">set up </w:t>
      </w:r>
      <w:r w:rsidR="003055BF" w:rsidRPr="0012389B">
        <w:t>the</w:t>
      </w:r>
      <w:r w:rsidR="002211A2" w:rsidRPr="0012389B">
        <w:t xml:space="preserve"> </w:t>
      </w:r>
      <w:r w:rsidR="003055BF" w:rsidRPr="0012389B">
        <w:t xml:space="preserve">Christian </w:t>
      </w:r>
      <w:r w:rsidR="002211A2" w:rsidRPr="0012389B">
        <w:t xml:space="preserve">media company, </w:t>
      </w:r>
      <w:r w:rsidR="0064206C" w:rsidRPr="0012389B">
        <w:t xml:space="preserve">Word Publishing Company Ltd (which produces PNG’s only Tok Pisin newspaper) and </w:t>
      </w:r>
      <w:r w:rsidR="003055BF" w:rsidRPr="0012389B">
        <w:t>the</w:t>
      </w:r>
      <w:r w:rsidR="0064206C" w:rsidRPr="0012389B">
        <w:t xml:space="preserve"> </w:t>
      </w:r>
      <w:r w:rsidR="00D01B05" w:rsidRPr="0012389B">
        <w:t xml:space="preserve">Christian policy </w:t>
      </w:r>
      <w:r w:rsidR="002211A2" w:rsidRPr="0012389B">
        <w:t xml:space="preserve">think-tank, the </w:t>
      </w:r>
      <w:r w:rsidR="0064206C" w:rsidRPr="0012389B">
        <w:t xml:space="preserve">Melanesian Institute (based in Goroka). </w:t>
      </w:r>
      <w:r w:rsidRPr="0012389B">
        <w:t>The other three CPP partner</w:t>
      </w:r>
      <w:r w:rsidR="002211A2" w:rsidRPr="0012389B">
        <w:t>s</w:t>
      </w:r>
      <w:r w:rsidR="000B1FCB" w:rsidRPr="0012389B">
        <w:t xml:space="preserve"> arrived in the </w:t>
      </w:r>
      <w:r w:rsidR="00CC1678" w:rsidRPr="0012389B">
        <w:t xml:space="preserve">early-to-mid </w:t>
      </w:r>
      <w:r w:rsidR="000B1FCB" w:rsidRPr="0012389B">
        <w:t>20th century (SDA, Baptist, and TSA)</w:t>
      </w:r>
      <w:r w:rsidR="00CC1678" w:rsidRPr="0012389B">
        <w:t xml:space="preserve"> when </w:t>
      </w:r>
      <w:r w:rsidR="002A6B36" w:rsidRPr="0012389B">
        <w:t xml:space="preserve">there </w:t>
      </w:r>
      <w:r w:rsidR="00E0619A" w:rsidRPr="0012389B">
        <w:t xml:space="preserve">was an explosion </w:t>
      </w:r>
      <w:r w:rsidR="00CC1678" w:rsidRPr="0012389B">
        <w:t xml:space="preserve">of different Christian denominations and faiths </w:t>
      </w:r>
      <w:r w:rsidR="00660D3A">
        <w:t>entered</w:t>
      </w:r>
      <w:r w:rsidR="00CC1678" w:rsidRPr="0012389B">
        <w:t xml:space="preserve"> the country</w:t>
      </w:r>
      <w:r w:rsidR="000B1FCB" w:rsidRPr="0012389B">
        <w:t xml:space="preserve">. </w:t>
      </w:r>
    </w:p>
    <w:p w14:paraId="430D6E7D" w14:textId="2EBDDF66" w:rsidR="00DB07B7" w:rsidRPr="0012389B" w:rsidRDefault="003C194D" w:rsidP="00791619">
      <w:pPr>
        <w:jc w:val="both"/>
      </w:pPr>
      <w:r w:rsidRPr="0012389B">
        <w:t xml:space="preserve">CPP partners </w:t>
      </w:r>
      <w:r w:rsidR="00D01B05" w:rsidRPr="0012389B">
        <w:t>are based in different parts</w:t>
      </w:r>
      <w:r w:rsidRPr="0012389B">
        <w:t xml:space="preserve"> </w:t>
      </w:r>
      <w:r w:rsidR="00D01B05" w:rsidRPr="0012389B">
        <w:t>of the country, with greatly varying numbers of follower</w:t>
      </w:r>
      <w:r w:rsidR="00DC2CDB" w:rsidRPr="0012389B">
        <w:t>s</w:t>
      </w:r>
      <w:r w:rsidR="003055BF" w:rsidRPr="0012389B">
        <w:t>, reflecting their missionary histories</w:t>
      </w:r>
      <w:r w:rsidR="0002773E" w:rsidRPr="0012389B">
        <w:t xml:space="preserve">. </w:t>
      </w:r>
      <w:r w:rsidR="00DB07B7" w:rsidRPr="0012389B">
        <w:t xml:space="preserve"> The Catholic Church has the largest following (26%) and the Baptist and TSA, the smallest (at 0.4% each). Most partners have limited geographic coverage, and mainly work </w:t>
      </w:r>
      <w:r w:rsidR="00827EC8" w:rsidRPr="0012389B">
        <w:t>in the places where</w:t>
      </w:r>
      <w:r w:rsidR="00DB07B7" w:rsidRPr="0012389B">
        <w:t xml:space="preserve"> missionary work</w:t>
      </w:r>
      <w:r w:rsidR="00827EC8" w:rsidRPr="0012389B">
        <w:t xml:space="preserve"> was conducted</w:t>
      </w:r>
      <w:r w:rsidR="00DB07B7" w:rsidRPr="0012389B">
        <w:t>. However, the Catholic Church has the broadest national coverage followed by the Lutheran Church, which has the second largest following (18.4% of Christians in 2011).</w:t>
      </w:r>
      <w:r w:rsidRPr="0012389B">
        <w:rPr>
          <w:rStyle w:val="FootnoteReference"/>
        </w:rPr>
        <w:t xml:space="preserve"> </w:t>
      </w:r>
      <w:r w:rsidRPr="0012389B">
        <w:rPr>
          <w:rStyle w:val="FootnoteReference"/>
        </w:rPr>
        <w:footnoteReference w:id="21"/>
      </w:r>
      <w:r w:rsidR="00DB07B7" w:rsidRPr="0012389B">
        <w:t xml:space="preserve"> Both denominations are found throughout the country. Establishing a strong presence in the highlands, the SDA are now the third largest and are also found in most towns. Except for the SDA church (whose </w:t>
      </w:r>
      <w:r w:rsidR="00827EC8" w:rsidRPr="0012389B">
        <w:t>followers</w:t>
      </w:r>
      <w:r w:rsidR="00DB07B7" w:rsidRPr="0012389B">
        <w:t xml:space="preserve"> </w:t>
      </w:r>
      <w:r w:rsidRPr="0012389B">
        <w:t>has increase</w:t>
      </w:r>
      <w:r w:rsidR="00E42072" w:rsidRPr="0012389B">
        <w:t>d</w:t>
      </w:r>
      <w:r w:rsidRPr="0012389B">
        <w:t xml:space="preserve"> from 10% to 13% of PNG’s Christians</w:t>
      </w:r>
      <w:r w:rsidR="00DB07B7" w:rsidRPr="0012389B">
        <w:t xml:space="preserve">), the number of people identifying with mainline Churches is either stable or declining slightly in relative terms.  </w:t>
      </w:r>
    </w:p>
    <w:p w14:paraId="62F15C3D" w14:textId="74034B70" w:rsidR="00853062" w:rsidRPr="0012389B" w:rsidRDefault="005164D0" w:rsidP="00791619">
      <w:pPr>
        <w:pStyle w:val="Heading3"/>
        <w:jc w:val="both"/>
        <w:rPr>
          <w:b/>
          <w:bCs/>
        </w:rPr>
      </w:pPr>
      <w:r w:rsidRPr="0012389B">
        <w:rPr>
          <w:b/>
          <w:bCs/>
        </w:rPr>
        <w:lastRenderedPageBreak/>
        <w:t>Importance of s</w:t>
      </w:r>
      <w:r w:rsidR="00853062" w:rsidRPr="0012389B">
        <w:rPr>
          <w:b/>
          <w:bCs/>
        </w:rPr>
        <w:t>ervice delivery</w:t>
      </w:r>
    </w:p>
    <w:p w14:paraId="6879688E" w14:textId="77777777" w:rsidR="006346E0" w:rsidRPr="0073270D" w:rsidRDefault="006346E0" w:rsidP="00791619">
      <w:pPr>
        <w:jc w:val="both"/>
      </w:pPr>
      <w:r w:rsidRPr="0073270D">
        <w:t xml:space="preserve">Since the missionary period, the provision of health and education services has been an important part of churches relationships and reputations with their communities. Today the government provides the great majority of the churches’ funding for these services and requires churches to meet government policies and regulations. However, within a mixed church-state service provision system, churches have built a reputation for better service delivery. In each of these sectors, government funding arrangements and church delivery responsibilities differ, bringing different challenges for churches engagement with the government, particularly at the national level. </w:t>
      </w:r>
    </w:p>
    <w:p w14:paraId="14ACFBDC" w14:textId="77777777" w:rsidR="006346E0" w:rsidRPr="0073270D" w:rsidRDefault="006346E0" w:rsidP="00791619">
      <w:pPr>
        <w:jc w:val="both"/>
      </w:pPr>
      <w:r w:rsidRPr="0073270D">
        <w:t>Key issues include:</w:t>
      </w:r>
    </w:p>
    <w:p w14:paraId="4B46EC74" w14:textId="4D8648C3" w:rsidR="006346E0" w:rsidRPr="0073270D" w:rsidRDefault="006346E0" w:rsidP="00791619">
      <w:pPr>
        <w:pStyle w:val="ListParagraph"/>
        <w:numPr>
          <w:ilvl w:val="0"/>
          <w:numId w:val="46"/>
        </w:numPr>
        <w:jc w:val="both"/>
      </w:pPr>
      <w:r w:rsidRPr="0073270D">
        <w:t>Unreliability of government funding for church health service</w:t>
      </w:r>
      <w:r w:rsidR="00364C36" w:rsidRPr="0073270D">
        <w:t>s</w:t>
      </w:r>
      <w:r w:rsidRPr="0073270D">
        <w:t xml:space="preserve"> over the last 10 years, compromising service delivery </w:t>
      </w:r>
    </w:p>
    <w:p w14:paraId="7AEA0D8E" w14:textId="0D7D077A" w:rsidR="006346E0" w:rsidRPr="0073270D" w:rsidRDefault="006346E0" w:rsidP="00791619">
      <w:pPr>
        <w:pStyle w:val="ListParagraph"/>
        <w:numPr>
          <w:ilvl w:val="0"/>
          <w:numId w:val="46"/>
        </w:numPr>
        <w:jc w:val="both"/>
      </w:pPr>
      <w:r w:rsidRPr="0073270D">
        <w:t>Government control over the employment of teachers, including those allocated to church schools, compromising church’s ability to manage poor teachers and maintain quality services.</w:t>
      </w:r>
      <w:r w:rsidR="00E91C83" w:rsidRPr="00E91C83">
        <w:rPr>
          <w:vertAlign w:val="superscript"/>
        </w:rPr>
        <w:t xml:space="preserve"> </w:t>
      </w:r>
      <w:r w:rsidR="00E91C83" w:rsidRPr="00167B74">
        <w:rPr>
          <w:vertAlign w:val="superscript"/>
        </w:rPr>
        <w:footnoteReference w:id="22"/>
      </w:r>
    </w:p>
    <w:p w14:paraId="0017049D" w14:textId="77777777" w:rsidR="006346E0" w:rsidRPr="0073270D" w:rsidRDefault="006346E0" w:rsidP="00791619">
      <w:pPr>
        <w:jc w:val="both"/>
      </w:pPr>
      <w:r w:rsidRPr="0073270D">
        <w:t xml:space="preserve">In adversely affecting church service delivery, these issues have the potential to damage churches relationships and reputations with their communities.  </w:t>
      </w:r>
    </w:p>
    <w:p w14:paraId="0E18B09D" w14:textId="339E2B44" w:rsidR="006346E0" w:rsidRPr="0073270D" w:rsidRDefault="006346E0" w:rsidP="00791619">
      <w:pPr>
        <w:jc w:val="both"/>
      </w:pPr>
      <w:r w:rsidRPr="0073270D">
        <w:t xml:space="preserve">While both sectors have established mechanisms for church-government engagement, they mainly function to facilitate the flow of information and/or funding from the government down to the churches and are otherwise focussed on the two issues above. The opportunity for churches to contribute to better policy by bringing their grassroots implementation experience to the policy table is not being maximised through these structures. To shift the way in which these engagement </w:t>
      </w:r>
      <w:r w:rsidR="00E91C83" w:rsidRPr="005C2791">
        <w:t>mechanism’s</w:t>
      </w:r>
      <w:r w:rsidRPr="0073270D">
        <w:t xml:space="preserve"> function would likely require bringing along many stakeholders beyond those directly involved in CPP.  </w:t>
      </w:r>
    </w:p>
    <w:p w14:paraId="100CD373" w14:textId="3E10C082" w:rsidR="006346E0" w:rsidRPr="0012389B" w:rsidRDefault="006346E0" w:rsidP="00791619">
      <w:pPr>
        <w:jc w:val="both"/>
      </w:pPr>
      <w:r w:rsidRPr="0073270D">
        <w:t>The health sector has two key engagement bodies, the Catholic Church Health Service (CCHS) and the Christian Health Service (CHS), consisting of 27 churches, including the other six CPP partners. The education sector has a single engagement body, the National Churches Education Council (NCEC), which represents 10 churches, including all seven CPP partners. While there are fewer stakeholders in education, the NCEC arguably has less ability to coordinate churches compared with the CHS</w:t>
      </w:r>
      <w:r w:rsidRPr="00C91221">
        <w:t xml:space="preserve">. </w:t>
      </w:r>
      <w:r w:rsidRPr="00955E5F">
        <w:t xml:space="preserve">The latter acts as the government’s financial agent for church health services, receiving </w:t>
      </w:r>
      <w:r w:rsidR="00E91C83" w:rsidRPr="00955E5F">
        <w:t xml:space="preserve">government </w:t>
      </w:r>
      <w:r w:rsidRPr="00955E5F">
        <w:t xml:space="preserve">funding and disbursing to churches, but NCEC has no such role with government </w:t>
      </w:r>
      <w:r w:rsidR="00E91C83" w:rsidRPr="00955E5F">
        <w:t xml:space="preserve">disbursing </w:t>
      </w:r>
      <w:r w:rsidRPr="00955E5F">
        <w:t>fund</w:t>
      </w:r>
      <w:r w:rsidR="00E91C83" w:rsidRPr="00955E5F">
        <w:t>s to</w:t>
      </w:r>
      <w:r w:rsidRPr="00955E5F">
        <w:t xml:space="preserve"> each individual church directly</w:t>
      </w:r>
      <w:r w:rsidR="00A95088" w:rsidRPr="00955E5F">
        <w:t>.</w:t>
      </w:r>
    </w:p>
    <w:p w14:paraId="4E909852" w14:textId="6564DB7B" w:rsidR="00853062" w:rsidRPr="0012389B" w:rsidRDefault="00853062" w:rsidP="00791619">
      <w:pPr>
        <w:pStyle w:val="Heading3"/>
        <w:jc w:val="both"/>
        <w:rPr>
          <w:b/>
          <w:bCs/>
        </w:rPr>
      </w:pPr>
      <w:r w:rsidRPr="0012389B">
        <w:rPr>
          <w:b/>
          <w:bCs/>
        </w:rPr>
        <w:t>C</w:t>
      </w:r>
      <w:r w:rsidR="006346E0" w:rsidRPr="0012389B">
        <w:rPr>
          <w:b/>
          <w:bCs/>
        </w:rPr>
        <w:t>hurch c</w:t>
      </w:r>
      <w:r w:rsidRPr="0012389B">
        <w:rPr>
          <w:b/>
          <w:bCs/>
        </w:rPr>
        <w:t>oordination</w:t>
      </w:r>
      <w:r w:rsidR="005164D0" w:rsidRPr="0012389B">
        <w:rPr>
          <w:b/>
          <w:bCs/>
        </w:rPr>
        <w:t xml:space="preserve"> and engagement with government</w:t>
      </w:r>
    </w:p>
    <w:p w14:paraId="344BBD04" w14:textId="73E2C4C3" w:rsidR="00FB69B8" w:rsidRPr="0012389B" w:rsidRDefault="00AC7EC3" w:rsidP="00791619">
      <w:pPr>
        <w:jc w:val="both"/>
      </w:pPr>
      <w:r w:rsidRPr="0012389B">
        <w:t>C</w:t>
      </w:r>
      <w:r w:rsidR="00FB69B8" w:rsidRPr="0012389B">
        <w:t xml:space="preserve">hurches </w:t>
      </w:r>
      <w:r w:rsidRPr="0012389B">
        <w:t>recognised the importance of</w:t>
      </w:r>
      <w:r w:rsidR="00FB69B8" w:rsidRPr="0012389B">
        <w:t xml:space="preserve"> organis</w:t>
      </w:r>
      <w:r w:rsidRPr="0012389B">
        <w:t>ing</w:t>
      </w:r>
      <w:r w:rsidR="00FB69B8" w:rsidRPr="0012389B">
        <w:t xml:space="preserve"> and coordinat</w:t>
      </w:r>
      <w:r w:rsidRPr="0012389B">
        <w:t>ing</w:t>
      </w:r>
      <w:r w:rsidR="00FB69B8" w:rsidRPr="0012389B">
        <w:t xml:space="preserve"> with each other to </w:t>
      </w:r>
      <w:r w:rsidRPr="0012389B">
        <w:t>engage the PNG government more effectively</w:t>
      </w:r>
      <w:r w:rsidR="00C27693">
        <w:t xml:space="preserve">. In </w:t>
      </w:r>
      <w:r w:rsidRPr="0012389B">
        <w:t>the 1960s church</w:t>
      </w:r>
      <w:r w:rsidR="00FB69B8" w:rsidRPr="0012389B">
        <w:t xml:space="preserve"> membership, ‘peak bodies’ </w:t>
      </w:r>
      <w:r w:rsidRPr="0012389B">
        <w:t xml:space="preserve">were </w:t>
      </w:r>
      <w:r w:rsidR="00FB69B8" w:rsidRPr="0012389B">
        <w:t>set-up</w:t>
      </w:r>
      <w:r w:rsidRPr="0012389B">
        <w:t>.</w:t>
      </w:r>
      <w:r w:rsidR="00FB69B8" w:rsidRPr="0012389B">
        <w:t xml:space="preserve"> </w:t>
      </w:r>
      <w:r w:rsidRPr="0012389B">
        <w:t>The</w:t>
      </w:r>
      <w:r w:rsidR="00FB69B8" w:rsidRPr="0012389B">
        <w:t xml:space="preserve"> PNG state</w:t>
      </w:r>
      <w:r w:rsidRPr="0012389B">
        <w:t xml:space="preserve"> recognises two such bodies</w:t>
      </w:r>
      <w:r w:rsidR="00D12580" w:rsidRPr="0012389B">
        <w:t xml:space="preserve"> which remain in operation today</w:t>
      </w:r>
      <w:r w:rsidR="00FB69B8" w:rsidRPr="0012389B">
        <w:t xml:space="preserve">: the PNG Council of Churches (PNGCC) and the Evangelical Alliance of PNG (PNGEA). </w:t>
      </w:r>
    </w:p>
    <w:p w14:paraId="76C3A9E7" w14:textId="40848E03" w:rsidR="00DA7F8C" w:rsidRPr="0012389B" w:rsidRDefault="00FB69B8" w:rsidP="00791619">
      <w:pPr>
        <w:jc w:val="both"/>
      </w:pPr>
      <w:r w:rsidRPr="0012389B">
        <w:t xml:space="preserve">The </w:t>
      </w:r>
      <w:r w:rsidR="006F401A" w:rsidRPr="0012389B">
        <w:t xml:space="preserve">ecumenical </w:t>
      </w:r>
      <w:r w:rsidRPr="0012389B">
        <w:t xml:space="preserve">PNGCC </w:t>
      </w:r>
      <w:r w:rsidR="006F401A" w:rsidRPr="0012389B">
        <w:t>has</w:t>
      </w:r>
      <w:r w:rsidRPr="0012389B">
        <w:t xml:space="preserve"> seven </w:t>
      </w:r>
      <w:r w:rsidR="006F401A" w:rsidRPr="0012389B">
        <w:t>members, including six CPP partners—Anglican</w:t>
      </w:r>
      <w:r w:rsidR="006F401A" w:rsidRPr="0012389B">
        <w:rPr>
          <w:sz w:val="18"/>
          <w:szCs w:val="18"/>
        </w:rPr>
        <w:t xml:space="preserve"> </w:t>
      </w:r>
      <w:r w:rsidR="006F401A" w:rsidRPr="0012389B">
        <w:t>Church in PNG, Baptist Union, Evangelical Lutheran Church of PNG, Roman Catholic Church in PNG, The Salvation Army PNG, Uniting Church PNG</w:t>
      </w:r>
      <w:r w:rsidR="006F401A" w:rsidRPr="0012389B">
        <w:rPr>
          <w:rStyle w:val="FootnoteReference"/>
        </w:rPr>
        <w:footnoteReference w:id="23"/>
      </w:r>
      <w:r w:rsidR="006F401A" w:rsidRPr="0012389B">
        <w:t>—and a</w:t>
      </w:r>
      <w:r w:rsidRPr="0012389B">
        <w:t>ccount</w:t>
      </w:r>
      <w:r w:rsidR="006F401A" w:rsidRPr="0012389B">
        <w:t>s</w:t>
      </w:r>
      <w:r w:rsidRPr="0012389B">
        <w:t xml:space="preserve"> for 58% of the Christian population </w:t>
      </w:r>
      <w:r w:rsidR="006F401A" w:rsidRPr="0012389B">
        <w:t>(</w:t>
      </w:r>
      <w:r w:rsidRPr="0012389B">
        <w:t>2011 census</w:t>
      </w:r>
      <w:r w:rsidR="006F401A" w:rsidRPr="0012389B">
        <w:t>)</w:t>
      </w:r>
      <w:r w:rsidRPr="0012389B">
        <w:t xml:space="preserve">. </w:t>
      </w:r>
      <w:r w:rsidR="006F401A" w:rsidRPr="0012389B">
        <w:t xml:space="preserve">The </w:t>
      </w:r>
      <w:r w:rsidRPr="0012389B">
        <w:t xml:space="preserve">PNGCC also seeks to coordinate with the other peak body, the PNGEA. The PNGEA consists of </w:t>
      </w:r>
      <w:r w:rsidRPr="0012389B">
        <w:lastRenderedPageBreak/>
        <w:t>numerous</w:t>
      </w:r>
      <w:r w:rsidR="006F401A" w:rsidRPr="0012389B">
        <w:t>,</w:t>
      </w:r>
      <w:r w:rsidRPr="0012389B">
        <w:t xml:space="preserve"> mainly small</w:t>
      </w:r>
      <w:r w:rsidR="006F401A" w:rsidRPr="0012389B">
        <w:t>,</w:t>
      </w:r>
      <w:r w:rsidRPr="0012389B">
        <w:t xml:space="preserve"> evangelical churches, accounting for 6% of PNG’s Christians in the 2011 census</w:t>
      </w:r>
      <w:r w:rsidR="006F401A" w:rsidRPr="0012389B">
        <w:t xml:space="preserve">. Their membership includes </w:t>
      </w:r>
      <w:r w:rsidRPr="0012389B">
        <w:t>two CPP partners</w:t>
      </w:r>
      <w:r w:rsidR="00E42072" w:rsidRPr="0012389B">
        <w:t>—</w:t>
      </w:r>
      <w:r w:rsidRPr="0012389B">
        <w:t xml:space="preserve">Baptist and Salvation </w:t>
      </w:r>
      <w:r w:rsidR="006F401A" w:rsidRPr="0012389B">
        <w:t xml:space="preserve">Army </w:t>
      </w:r>
      <w:r w:rsidR="00E42072" w:rsidRPr="0012389B">
        <w:t xml:space="preserve">(they </w:t>
      </w:r>
      <w:r w:rsidRPr="0012389B">
        <w:t>are in both peak bodies</w:t>
      </w:r>
      <w:r w:rsidR="00C52BD2" w:rsidRPr="0012389B">
        <w:t>)</w:t>
      </w:r>
      <w:r w:rsidRPr="0012389B">
        <w:t xml:space="preserve">. </w:t>
      </w:r>
    </w:p>
    <w:p w14:paraId="68193CEE" w14:textId="0BD2C0C6" w:rsidR="00FB69B8" w:rsidRPr="0012389B" w:rsidRDefault="00FB69B8" w:rsidP="00791619">
      <w:pPr>
        <w:jc w:val="both"/>
      </w:pPr>
      <w:r w:rsidRPr="0012389B">
        <w:t xml:space="preserve">Many mainly Pentecostal faiths did not join either body. There is </w:t>
      </w:r>
      <w:r w:rsidR="00FD5CD2" w:rsidRPr="0012389B">
        <w:t xml:space="preserve">a </w:t>
      </w:r>
      <w:r w:rsidRPr="0012389B">
        <w:t xml:space="preserve">widespread perception that Pentecostal faiths are rapidly growing in followers at the expense of other denominations but the evidence for this is not clear. </w:t>
      </w:r>
    </w:p>
    <w:p w14:paraId="2B435985" w14:textId="4170E3AB" w:rsidR="00FB69B8" w:rsidRPr="0012389B" w:rsidRDefault="00FB69B8" w:rsidP="00791619">
      <w:pPr>
        <w:jc w:val="both"/>
      </w:pPr>
      <w:r w:rsidRPr="0012389B">
        <w:t xml:space="preserve">The Seventh Day Adventist (SDA) Church, the remaining CPP Church partner, has also not </w:t>
      </w:r>
      <w:r w:rsidR="00463491" w:rsidRPr="0012389B">
        <w:t xml:space="preserve">formally </w:t>
      </w:r>
      <w:r w:rsidRPr="0012389B">
        <w:t>joined either peak body.</w:t>
      </w:r>
      <w:r w:rsidR="00463491" w:rsidRPr="0012389B">
        <w:t xml:space="preserve"> However, t</w:t>
      </w:r>
      <w:r w:rsidR="00E42072" w:rsidRPr="0012389B">
        <w:t>hey</w:t>
      </w:r>
      <w:r w:rsidRPr="0012389B">
        <w:t xml:space="preserve"> regularly participate in PNGCC meetings as an observer, and often lend support to PNGCC</w:t>
      </w:r>
      <w:r w:rsidR="00FD5CD2" w:rsidRPr="0012389B">
        <w:t>’s</w:t>
      </w:r>
      <w:r w:rsidRPr="0012389B">
        <w:t xml:space="preserve"> advocacy and community education initiatives. The SDA Church’s theological position</w:t>
      </w:r>
      <w:r w:rsidR="00FD5CD2" w:rsidRPr="0012389B">
        <w:t xml:space="preserve"> </w:t>
      </w:r>
      <w:r w:rsidRPr="0012389B">
        <w:t xml:space="preserve">on ecumenism prevents them from full membership of the PNGCC. </w:t>
      </w:r>
    </w:p>
    <w:p w14:paraId="380F458E" w14:textId="00359FA8" w:rsidR="00D12580" w:rsidRPr="0012389B" w:rsidRDefault="00D12580" w:rsidP="00791619">
      <w:pPr>
        <w:pStyle w:val="Heading3"/>
        <w:jc w:val="both"/>
        <w:rPr>
          <w:b/>
          <w:bCs/>
        </w:rPr>
      </w:pPr>
      <w:r w:rsidRPr="0012389B">
        <w:rPr>
          <w:b/>
          <w:bCs/>
        </w:rPr>
        <w:t>Summary</w:t>
      </w:r>
    </w:p>
    <w:p w14:paraId="52ACF11F" w14:textId="39F15AFB" w:rsidR="00FD5CD2" w:rsidRPr="0012389B" w:rsidRDefault="00BE79A1" w:rsidP="00791619">
      <w:pPr>
        <w:spacing w:after="0"/>
        <w:jc w:val="both"/>
      </w:pPr>
      <w:r w:rsidRPr="0012389B">
        <w:t xml:space="preserve">Despite </w:t>
      </w:r>
      <w:r w:rsidR="00D12580" w:rsidRPr="0012389B">
        <w:t xml:space="preserve">different </w:t>
      </w:r>
      <w:r w:rsidR="00463491" w:rsidRPr="0012389B">
        <w:t xml:space="preserve">cultural, </w:t>
      </w:r>
      <w:r w:rsidR="00827EC8" w:rsidRPr="0012389B">
        <w:t>theological,</w:t>
      </w:r>
      <w:r w:rsidR="00463491" w:rsidRPr="0012389B">
        <w:t xml:space="preserve"> and organisational histories</w:t>
      </w:r>
      <w:r w:rsidR="00FD5CD2" w:rsidRPr="0012389B">
        <w:t xml:space="preserve">, </w:t>
      </w:r>
      <w:r w:rsidR="00C27693">
        <w:t xml:space="preserve">the seven </w:t>
      </w:r>
      <w:r w:rsidR="00FD5CD2" w:rsidRPr="0012389B">
        <w:t xml:space="preserve">CPP partners have developed norms and processes for collaboration and shared learning over successive phases of the </w:t>
      </w:r>
      <w:r w:rsidR="00827EC8" w:rsidRPr="0012389B">
        <w:t>P</w:t>
      </w:r>
      <w:r w:rsidR="00FD5CD2" w:rsidRPr="0012389B">
        <w:t xml:space="preserve">rogram. They have developed joint theologically based approaches to development (2014) and gender equality (2015); and, in the </w:t>
      </w:r>
      <w:r w:rsidR="00463491" w:rsidRPr="0012389B">
        <w:t>current</w:t>
      </w:r>
      <w:r w:rsidR="00FD5CD2" w:rsidRPr="0012389B">
        <w:t xml:space="preserve"> CPP Charter, re-affirmed their common purpose for working together: </w:t>
      </w:r>
    </w:p>
    <w:p w14:paraId="4FAB1205" w14:textId="6EE7639F" w:rsidR="00FD5CD2" w:rsidRPr="0012389B" w:rsidRDefault="00FD5CD2" w:rsidP="00791619">
      <w:pPr>
        <w:spacing w:after="0"/>
        <w:ind w:left="993" w:right="1088"/>
        <w:jc w:val="both"/>
      </w:pPr>
      <w:r w:rsidRPr="0012389B">
        <w:t xml:space="preserve">To achieve holistic, inclusive, and sustainable development, leading to </w:t>
      </w:r>
      <w:proofErr w:type="spellStart"/>
      <w:r w:rsidRPr="0012389B">
        <w:rPr>
          <w:i/>
          <w:iCs/>
        </w:rPr>
        <w:t>Gutpela</w:t>
      </w:r>
      <w:proofErr w:type="spellEnd"/>
      <w:r w:rsidRPr="0012389B">
        <w:rPr>
          <w:i/>
          <w:iCs/>
        </w:rPr>
        <w:t xml:space="preserve"> </w:t>
      </w:r>
      <w:proofErr w:type="spellStart"/>
      <w:r w:rsidRPr="0012389B">
        <w:rPr>
          <w:i/>
          <w:iCs/>
        </w:rPr>
        <w:t>Sindaun</w:t>
      </w:r>
      <w:proofErr w:type="spellEnd"/>
      <w:r w:rsidRPr="0012389B">
        <w:t xml:space="preserve">—increased prosperity and well-being for individuals and communities. </w:t>
      </w:r>
      <w:r w:rsidR="00463491" w:rsidRPr="0012389B">
        <w:rPr>
          <w:rStyle w:val="FootnoteReference"/>
        </w:rPr>
        <w:footnoteReference w:id="24"/>
      </w:r>
    </w:p>
    <w:p w14:paraId="4938FB80" w14:textId="2C88E235" w:rsidR="00BE79A1" w:rsidRPr="0012389B" w:rsidRDefault="00FD5CD2" w:rsidP="00791619">
      <w:pPr>
        <w:jc w:val="both"/>
      </w:pPr>
      <w:r w:rsidRPr="0012389B">
        <w:t>However, the continuation of such a level of collaboration cannot be assumed—rather it must be carefully nurtured and guarded through an understanding of the issues on which unity is possible and those where interests are less common.</w:t>
      </w:r>
    </w:p>
    <w:p w14:paraId="72A71295" w14:textId="56D1EBA0" w:rsidR="00E42072" w:rsidRPr="0012389B" w:rsidRDefault="00E42072" w:rsidP="00791619">
      <w:pPr>
        <w:pStyle w:val="Heading2"/>
        <w:numPr>
          <w:ilvl w:val="1"/>
          <w:numId w:val="1"/>
        </w:numPr>
        <w:ind w:left="709" w:hanging="709"/>
        <w:jc w:val="both"/>
        <w:rPr>
          <w:b/>
          <w:bCs/>
          <w:sz w:val="24"/>
          <w:szCs w:val="24"/>
        </w:rPr>
      </w:pPr>
      <w:bookmarkStart w:id="39" w:name="_Toc99041657"/>
      <w:r w:rsidRPr="0012389B">
        <w:rPr>
          <w:b/>
          <w:bCs/>
          <w:sz w:val="24"/>
          <w:szCs w:val="24"/>
        </w:rPr>
        <w:t xml:space="preserve">Churches policy engagement </w:t>
      </w:r>
      <w:r w:rsidR="00AC7EC3" w:rsidRPr="0012389B">
        <w:rPr>
          <w:b/>
          <w:bCs/>
          <w:sz w:val="24"/>
          <w:szCs w:val="24"/>
        </w:rPr>
        <w:t>potential</w:t>
      </w:r>
      <w:bookmarkEnd w:id="39"/>
      <w:r w:rsidRPr="0012389B">
        <w:rPr>
          <w:b/>
          <w:bCs/>
          <w:sz w:val="24"/>
          <w:szCs w:val="24"/>
        </w:rPr>
        <w:t xml:space="preserve"> </w:t>
      </w:r>
    </w:p>
    <w:p w14:paraId="1723E187" w14:textId="32298E92" w:rsidR="00C52BD2" w:rsidRPr="0012389B" w:rsidRDefault="00D65F55" w:rsidP="00791619">
      <w:pPr>
        <w:jc w:val="both"/>
      </w:pPr>
      <w:r w:rsidRPr="0012389B">
        <w:t xml:space="preserve">Under the current CPP Charter, partners have agreed to </w:t>
      </w:r>
      <w:r w:rsidR="0063606E" w:rsidRPr="0012389B">
        <w:t>‘</w:t>
      </w:r>
      <w:r w:rsidRPr="0012389B">
        <w:t>strengthen their engagement, and advocacy with PNG government at all levels</w:t>
      </w:r>
      <w:r w:rsidR="0063606E" w:rsidRPr="0012389B">
        <w:t>’</w:t>
      </w:r>
      <w:r w:rsidRPr="0012389B">
        <w:t>.</w:t>
      </w:r>
      <w:r w:rsidRPr="0012389B">
        <w:rPr>
          <w:rStyle w:val="FootnoteReference"/>
          <w:color w:val="000000" w:themeColor="text1"/>
        </w:rPr>
        <w:t xml:space="preserve"> </w:t>
      </w:r>
      <w:r w:rsidRPr="0012389B">
        <w:rPr>
          <w:rStyle w:val="FootnoteReference"/>
          <w:color w:val="000000" w:themeColor="text1"/>
        </w:rPr>
        <w:footnoteReference w:id="25"/>
      </w:r>
      <w:r w:rsidRPr="0012389B">
        <w:t xml:space="preserve"> The BCEP design recognizes churches’ significant potential to contribute to PNG policy, given their influence and credibility with the PNG state and society and their experience in delivering services, particularly to remote, rural communities. However, policy engagement is a relatively new area for most </w:t>
      </w:r>
      <w:r w:rsidR="00E91C83">
        <w:t xml:space="preserve">CPP </w:t>
      </w:r>
      <w:r w:rsidRPr="0012389B">
        <w:t xml:space="preserve">partners, </w:t>
      </w:r>
      <w:r w:rsidR="006F2147" w:rsidRPr="0012389B">
        <w:t>in which they lack</w:t>
      </w:r>
      <w:r w:rsidR="00D12580" w:rsidRPr="0012389B">
        <w:t xml:space="preserve"> understanding,</w:t>
      </w:r>
      <w:r w:rsidR="006F2147" w:rsidRPr="0012389B">
        <w:t xml:space="preserve"> capacity and confidence. Moreover, </w:t>
      </w:r>
      <w:r w:rsidR="00827EC8" w:rsidRPr="0012389B">
        <w:t>churches</w:t>
      </w:r>
      <w:r w:rsidR="00347FC4" w:rsidRPr="0012389B">
        <w:t xml:space="preserve"> different cultural, </w:t>
      </w:r>
      <w:r w:rsidR="00D67E2F" w:rsidRPr="0012389B">
        <w:t>theological,</w:t>
      </w:r>
      <w:r w:rsidR="00347FC4" w:rsidRPr="0012389B">
        <w:t xml:space="preserve"> and organisational structures and histories </w:t>
      </w:r>
      <w:r w:rsidR="00D12580" w:rsidRPr="0012389B">
        <w:t>limit the</w:t>
      </w:r>
      <w:r w:rsidR="00C27693">
        <w:t xml:space="preserve"> potential</w:t>
      </w:r>
      <w:r w:rsidR="00D12580" w:rsidRPr="0012389B">
        <w:t xml:space="preserve"> issues for </w:t>
      </w:r>
      <w:r w:rsidR="002D2786" w:rsidRPr="0012389B">
        <w:t>collective advocacy, particularly at the national level</w:t>
      </w:r>
      <w:r w:rsidR="00C52BD2" w:rsidRPr="0012389B">
        <w:t>.</w:t>
      </w:r>
      <w:r w:rsidR="00C52BD2" w:rsidRPr="0012389B">
        <w:rPr>
          <w:rStyle w:val="FootnoteReference"/>
        </w:rPr>
        <w:footnoteReference w:id="26"/>
      </w:r>
    </w:p>
    <w:p w14:paraId="1D7A7560" w14:textId="19AC71DC" w:rsidR="002D2786" w:rsidRPr="0012389B" w:rsidRDefault="00E91C83" w:rsidP="00791619">
      <w:pPr>
        <w:jc w:val="both"/>
      </w:pPr>
      <w:r>
        <w:t>CPP p</w:t>
      </w:r>
      <w:r w:rsidR="002D2786" w:rsidRPr="0012389B">
        <w:t>artners’ different church structures and culture</w:t>
      </w:r>
      <w:r w:rsidR="00C904FB" w:rsidRPr="0012389B">
        <w:t>s</w:t>
      </w:r>
      <w:r w:rsidR="002D2786" w:rsidRPr="0012389B">
        <w:t xml:space="preserve"> shape how they can engage with government, and the policy issues on which they can do so. A key issue is the degree to which partners’ development units—who lead churches work with CPP—are integrated into, and can coordinate with, other units in their church structures. </w:t>
      </w:r>
      <w:r w:rsidR="002D2786" w:rsidRPr="005D180E">
        <w:t>This integration varies significantly and is likely to affect the ability of partners to engage on core church service delivery areas, such as health and education.</w:t>
      </w:r>
      <w:r w:rsidR="00AB7C88" w:rsidRPr="00AB7C88">
        <w:rPr>
          <w:rStyle w:val="FootnoteReference"/>
        </w:rPr>
        <w:t xml:space="preserve"> </w:t>
      </w:r>
      <w:r w:rsidR="00AB7C88">
        <w:rPr>
          <w:rStyle w:val="FootnoteReference"/>
        </w:rPr>
        <w:footnoteReference w:id="27"/>
      </w:r>
      <w:r w:rsidR="002D2786" w:rsidRPr="0012389B">
        <w:t xml:space="preserve">  </w:t>
      </w:r>
      <w:r w:rsidR="00AC2313">
        <w:t>CPP p</w:t>
      </w:r>
      <w:r w:rsidR="002D2786" w:rsidRPr="0012389B">
        <w:t xml:space="preserve">artners </w:t>
      </w:r>
      <w:r w:rsidR="000F2D8F" w:rsidRPr="0012389B">
        <w:t xml:space="preserve">will be </w:t>
      </w:r>
      <w:r w:rsidR="002D2786" w:rsidRPr="0012389B">
        <w:t xml:space="preserve">better placed to engage on policy issues within the mandates of their development units, such as community development/social services, disaster relief/humanitarian response, gender equality (combatting violence against women and children) and the inclusion of disadvantaged people, particularly those with disabilities. </w:t>
      </w:r>
    </w:p>
    <w:p w14:paraId="36462A5A" w14:textId="42B49937" w:rsidR="002A20DD" w:rsidRPr="0012389B" w:rsidRDefault="002A20DD" w:rsidP="00791619">
      <w:pPr>
        <w:pStyle w:val="Heading3"/>
        <w:jc w:val="both"/>
        <w:rPr>
          <w:b/>
          <w:bCs/>
        </w:rPr>
      </w:pPr>
      <w:r w:rsidRPr="0012389B">
        <w:rPr>
          <w:b/>
          <w:bCs/>
        </w:rPr>
        <w:lastRenderedPageBreak/>
        <w:t>Local policy engagement and problem solving</w:t>
      </w:r>
    </w:p>
    <w:p w14:paraId="64ADC1E7" w14:textId="5EF59BCC" w:rsidR="0035045C" w:rsidRPr="0012389B" w:rsidRDefault="008311E0" w:rsidP="00791619">
      <w:pPr>
        <w:jc w:val="both"/>
      </w:pPr>
      <w:r w:rsidRPr="0012389B">
        <w:t xml:space="preserve">CPP </w:t>
      </w:r>
      <w:r w:rsidR="002B5EB6" w:rsidRPr="0012389B">
        <w:t>partners</w:t>
      </w:r>
      <w:r w:rsidRPr="0012389B">
        <w:t xml:space="preserve"> </w:t>
      </w:r>
      <w:r w:rsidR="002B5EB6" w:rsidRPr="0012389B">
        <w:t>are well positioned to engage on policy issues at the local level</w:t>
      </w:r>
      <w:r w:rsidR="0035045C" w:rsidRPr="0012389B">
        <w:t>. There are two main opportunities</w:t>
      </w:r>
      <w:r w:rsidR="00184F2D" w:rsidRPr="0012389B">
        <w:t xml:space="preserve"> for churches</w:t>
      </w:r>
      <w:r w:rsidR="0035045C" w:rsidRPr="0012389B">
        <w:t>:</w:t>
      </w:r>
    </w:p>
    <w:p w14:paraId="09858922" w14:textId="19C02257" w:rsidR="005B4262" w:rsidRPr="0012389B" w:rsidRDefault="00184F2D" w:rsidP="00791619">
      <w:pPr>
        <w:pStyle w:val="ListParagraph"/>
        <w:numPr>
          <w:ilvl w:val="0"/>
          <w:numId w:val="16"/>
        </w:numPr>
        <w:jc w:val="both"/>
      </w:pPr>
      <w:r w:rsidRPr="0012389B">
        <w:t>to</w:t>
      </w:r>
      <w:r w:rsidR="0035045C" w:rsidRPr="0012389B">
        <w:t xml:space="preserve"> act as trusted intermediaries between </w:t>
      </w:r>
      <w:r w:rsidR="006F2147" w:rsidRPr="0012389B">
        <w:t>communities and subnational governments (provincial/district/local level)</w:t>
      </w:r>
      <w:r w:rsidR="0035045C" w:rsidRPr="0012389B">
        <w:t xml:space="preserve"> to solve local development problems and policies issues</w:t>
      </w:r>
      <w:r w:rsidR="002B5EB6" w:rsidRPr="0012389B">
        <w:t xml:space="preserve">. Some partners have </w:t>
      </w:r>
      <w:r w:rsidRPr="0012389B">
        <w:t xml:space="preserve">relevant </w:t>
      </w:r>
      <w:r w:rsidR="002B5EB6" w:rsidRPr="0012389B">
        <w:t xml:space="preserve">experience on which to draw. </w:t>
      </w:r>
      <w:r w:rsidR="009B03DB" w:rsidRPr="0012389B">
        <w:t xml:space="preserve">For example, under CPP, seven churches came together in </w:t>
      </w:r>
      <w:proofErr w:type="spellStart"/>
      <w:r w:rsidR="009B03DB" w:rsidRPr="0012389B">
        <w:t>Simbu</w:t>
      </w:r>
      <w:proofErr w:type="spellEnd"/>
      <w:r w:rsidR="009B03DB" w:rsidRPr="0012389B">
        <w:t xml:space="preserve"> Province to work with government and support community leaders in the Guna-</w:t>
      </w:r>
      <w:proofErr w:type="spellStart"/>
      <w:r w:rsidR="009B03DB" w:rsidRPr="0012389B">
        <w:t>Goreku</w:t>
      </w:r>
      <w:proofErr w:type="spellEnd"/>
      <w:r w:rsidR="009B03DB" w:rsidRPr="0012389B">
        <w:t xml:space="preserve"> tribe</w:t>
      </w:r>
      <w:r w:rsidR="006506E8" w:rsidRPr="0012389B">
        <w:t xml:space="preserve"> to</w:t>
      </w:r>
      <w:r w:rsidR="009B03DB" w:rsidRPr="0012389B">
        <w:t xml:space="preserve"> address long-standing problems of tribal fighting, domestic violence, and sorcery-accusation related violence. These leaders supported the community to join a new entity, the Guna-</w:t>
      </w:r>
      <w:proofErr w:type="spellStart"/>
      <w:r w:rsidR="009B03DB" w:rsidRPr="0012389B">
        <w:t>Goreku</w:t>
      </w:r>
      <w:proofErr w:type="spellEnd"/>
      <w:r w:rsidR="009B03DB" w:rsidRPr="0012389B">
        <w:t xml:space="preserve"> </w:t>
      </w:r>
      <w:proofErr w:type="spellStart"/>
      <w:r w:rsidR="009B03DB" w:rsidRPr="0012389B">
        <w:t>Hauslain</w:t>
      </w:r>
      <w:proofErr w:type="spellEnd"/>
      <w:r w:rsidR="009B03DB" w:rsidRPr="0012389B">
        <w:t xml:space="preserve"> Association, and facilitated collective action to address the source of these problems, unequal power relations between men and women. Given their credibility and trust with the community, the churches were ideally placed to facilitate and drew on tools developed under CPP, the Gender Equality Strategy, as a theological basis to guide actions.</w:t>
      </w:r>
      <w:r w:rsidR="009B03DB" w:rsidRPr="0012389B">
        <w:rPr>
          <w:rStyle w:val="FootnoteReference"/>
        </w:rPr>
        <w:t xml:space="preserve"> </w:t>
      </w:r>
      <w:r w:rsidR="009B03DB" w:rsidRPr="0012389B">
        <w:rPr>
          <w:rStyle w:val="FootnoteReference"/>
        </w:rPr>
        <w:footnoteReference w:id="28"/>
      </w:r>
      <w:r w:rsidR="009B03DB" w:rsidRPr="0012389B">
        <w:t xml:space="preserve"> </w:t>
      </w:r>
    </w:p>
    <w:p w14:paraId="451BC50E" w14:textId="7C1B3182" w:rsidR="00184F2D" w:rsidRPr="0012389B" w:rsidRDefault="0063606E" w:rsidP="00791619">
      <w:pPr>
        <w:pStyle w:val="ListParagraph"/>
        <w:numPr>
          <w:ilvl w:val="0"/>
          <w:numId w:val="16"/>
        </w:numPr>
        <w:jc w:val="both"/>
      </w:pPr>
      <w:r w:rsidRPr="0012389B">
        <w:t>t</w:t>
      </w:r>
      <w:r w:rsidR="00184F2D" w:rsidRPr="0012389B">
        <w:t xml:space="preserve">o engage with communities to directly solve problems in relation to their own delivery of services. </w:t>
      </w:r>
      <w:r w:rsidR="006506E8" w:rsidRPr="0012389B">
        <w:t xml:space="preserve">While </w:t>
      </w:r>
      <w:r w:rsidR="00791619" w:rsidRPr="0012389B">
        <w:t>churches</w:t>
      </w:r>
      <w:r w:rsidR="00AC2313">
        <w:t>’</w:t>
      </w:r>
      <w:r w:rsidR="006506E8" w:rsidRPr="0012389B">
        <w:t xml:space="preserve"> role</w:t>
      </w:r>
      <w:r w:rsidR="00AC2313">
        <w:t>s</w:t>
      </w:r>
      <w:r w:rsidR="006506E8" w:rsidRPr="0012389B">
        <w:t xml:space="preserve"> as agents of</w:t>
      </w:r>
      <w:r w:rsidR="00184F2D" w:rsidRPr="0012389B">
        <w:t xml:space="preserve"> government service delivery</w:t>
      </w:r>
      <w:r w:rsidR="006506E8" w:rsidRPr="0012389B">
        <w:t xml:space="preserve"> may limit the interest of some churches for such problem-solving</w:t>
      </w:r>
      <w:r w:rsidR="00184F2D" w:rsidRPr="0012389B">
        <w:t xml:space="preserve">, </w:t>
      </w:r>
      <w:r w:rsidR="006506E8" w:rsidRPr="0012389B">
        <w:t>protecting and promoting their reputation for good service delivery creates a stronger incentive to act. However, churches need to develop the organisational culture and confidence to raise and address problems in a constructive way.</w:t>
      </w:r>
    </w:p>
    <w:p w14:paraId="024779BE" w14:textId="5593D706" w:rsidR="00516A9C" w:rsidRPr="0012389B" w:rsidRDefault="003743DC" w:rsidP="00791619">
      <w:pPr>
        <w:jc w:val="both"/>
      </w:pPr>
      <w:r w:rsidRPr="0012389B">
        <w:t xml:space="preserve">One of the main challenges for such local problem solving is how to constructively align PNG’s underlying, </w:t>
      </w:r>
      <w:r w:rsidR="0063606E" w:rsidRPr="0012389B">
        <w:t>‘</w:t>
      </w:r>
      <w:r w:rsidRPr="0012389B">
        <w:t>informal</w:t>
      </w:r>
      <w:r w:rsidR="0063606E" w:rsidRPr="0012389B">
        <w:t>’</w:t>
      </w:r>
      <w:r w:rsidRPr="0012389B">
        <w:t xml:space="preserve"> cultural systems developed over centuries, with PNG’s </w:t>
      </w:r>
      <w:r w:rsidR="0063606E" w:rsidRPr="0012389B">
        <w:t>‘</w:t>
      </w:r>
      <w:r w:rsidRPr="0012389B">
        <w:t>formal</w:t>
      </w:r>
      <w:r w:rsidR="0063606E" w:rsidRPr="0012389B">
        <w:t>’</w:t>
      </w:r>
      <w:r w:rsidRPr="0012389B">
        <w:t xml:space="preserve"> systems (</w:t>
      </w:r>
      <w:proofErr w:type="gramStart"/>
      <w:r w:rsidRPr="0012389B">
        <w:t>e</w:t>
      </w:r>
      <w:r w:rsidR="00791619">
        <w:t>.</w:t>
      </w:r>
      <w:r w:rsidRPr="0012389B">
        <w:t>g</w:t>
      </w:r>
      <w:r w:rsidR="00791619">
        <w:t>.</w:t>
      </w:r>
      <w:proofErr w:type="gramEnd"/>
      <w:r w:rsidRPr="0012389B">
        <w:t xml:space="preserve"> state structures).</w:t>
      </w:r>
      <w:r w:rsidRPr="0012389B">
        <w:rPr>
          <w:rStyle w:val="FootnoteReference"/>
        </w:rPr>
        <w:footnoteReference w:id="29"/>
      </w:r>
      <w:r w:rsidRPr="0012389B">
        <w:t xml:space="preserve"> However,</w:t>
      </w:r>
      <w:r w:rsidR="00D21F5C" w:rsidRPr="0012389B">
        <w:t xml:space="preserve"> various</w:t>
      </w:r>
      <w:r w:rsidRPr="0012389B">
        <w:t xml:space="preserve"> successful models have been developed and applied in PNG, from which CPP partners can learn. These include social accountability tools applied by INGOs in PNG, some of whom will be </w:t>
      </w:r>
      <w:r w:rsidR="00516A9C" w:rsidRPr="0012389B">
        <w:t>BCEP par</w:t>
      </w:r>
      <w:r w:rsidR="008D5F8C" w:rsidRPr="0012389B">
        <w:t>tn</w:t>
      </w:r>
      <w:r w:rsidR="00516A9C" w:rsidRPr="0012389B">
        <w:t>ers</w:t>
      </w:r>
      <w:r w:rsidR="00AB7C88">
        <w:t xml:space="preserve"> (under component 3)</w:t>
      </w:r>
      <w:r w:rsidR="00516A9C" w:rsidRPr="0012389B">
        <w:t>,</w:t>
      </w:r>
      <w:r w:rsidR="00D21F5C" w:rsidRPr="0012389B">
        <w:t xml:space="preserve"> and</w:t>
      </w:r>
      <w:r w:rsidR="00516A9C" w:rsidRPr="0012389B">
        <w:t xml:space="preserve"> </w:t>
      </w:r>
      <w:r w:rsidR="00D21F5C" w:rsidRPr="0012389B">
        <w:t>the example of</w:t>
      </w:r>
      <w:r w:rsidR="008D5F8C" w:rsidRPr="0012389B">
        <w:t xml:space="preserve"> Oil Search Foundation’s recent support to the Hela Health Clinic. The Oil Search Foundation developed a framework for constructive engagement</w:t>
      </w:r>
      <w:r w:rsidR="00D21F5C" w:rsidRPr="0012389B">
        <w:t xml:space="preserve"> with the community and the state</w:t>
      </w:r>
      <w:r w:rsidR="008D5F8C" w:rsidRPr="0012389B">
        <w:t xml:space="preserve"> based </w:t>
      </w:r>
      <w:r w:rsidR="00D21F5C" w:rsidRPr="0012389B">
        <w:t>on</w:t>
      </w:r>
      <w:r w:rsidR="008D5F8C" w:rsidRPr="0012389B">
        <w:t xml:space="preserve"> t</w:t>
      </w:r>
      <w:r w:rsidR="00516A9C" w:rsidRPr="0012389B">
        <w:t>he following three interlinked Tok</w:t>
      </w:r>
      <w:r w:rsidR="00AC2313">
        <w:t xml:space="preserve"> </w:t>
      </w:r>
      <w:r w:rsidR="00516A9C" w:rsidRPr="0012389B">
        <w:t xml:space="preserve">Pisin concepts: </w:t>
      </w:r>
    </w:p>
    <w:p w14:paraId="0B161E5B" w14:textId="77777777" w:rsidR="00516A9C" w:rsidRPr="0012389B" w:rsidRDefault="00516A9C" w:rsidP="00791619">
      <w:pPr>
        <w:pStyle w:val="ListParagraph"/>
        <w:numPr>
          <w:ilvl w:val="0"/>
          <w:numId w:val="15"/>
        </w:numPr>
        <w:shd w:val="clear" w:color="auto" w:fill="FFFFFF" w:themeFill="background1"/>
        <w:ind w:left="851"/>
        <w:jc w:val="both"/>
      </w:pPr>
      <w:proofErr w:type="spellStart"/>
      <w:r w:rsidRPr="0012389B">
        <w:rPr>
          <w:b/>
          <w:bCs/>
          <w:i/>
          <w:iCs/>
        </w:rPr>
        <w:t>Wokbung</w:t>
      </w:r>
      <w:proofErr w:type="spellEnd"/>
      <w:r w:rsidRPr="0012389B">
        <w:t xml:space="preserve">: working in partnership/union. Unions are endorsed/legitimised through </w:t>
      </w:r>
      <w:proofErr w:type="spellStart"/>
      <w:r w:rsidRPr="0012389B">
        <w:rPr>
          <w:i/>
          <w:iCs/>
        </w:rPr>
        <w:t>kastom</w:t>
      </w:r>
      <w:proofErr w:type="spellEnd"/>
      <w:r w:rsidRPr="0012389B">
        <w:rPr>
          <w:i/>
          <w:iCs/>
        </w:rPr>
        <w:t xml:space="preserve"> wok</w:t>
      </w:r>
      <w:r w:rsidRPr="0012389B">
        <w:t xml:space="preserve">, that is customary practices or ceremonies. </w:t>
      </w:r>
    </w:p>
    <w:p w14:paraId="6A97429B" w14:textId="427C48E9" w:rsidR="00516A9C" w:rsidRPr="0012389B" w:rsidRDefault="00516A9C" w:rsidP="00791619">
      <w:pPr>
        <w:pStyle w:val="ListParagraph"/>
        <w:numPr>
          <w:ilvl w:val="0"/>
          <w:numId w:val="15"/>
        </w:numPr>
        <w:shd w:val="clear" w:color="auto" w:fill="FFFFFF" w:themeFill="background1"/>
        <w:ind w:left="851"/>
        <w:jc w:val="both"/>
      </w:pPr>
      <w:proofErr w:type="spellStart"/>
      <w:r w:rsidRPr="0012389B">
        <w:rPr>
          <w:b/>
          <w:bCs/>
          <w:i/>
          <w:iCs/>
        </w:rPr>
        <w:t>Luksave</w:t>
      </w:r>
      <w:proofErr w:type="spellEnd"/>
      <w:r w:rsidRPr="0012389B">
        <w:t xml:space="preserve">: the act of acknowledging, listening, perhaps repaying a favour and, always paying due respect to someone or some </w:t>
      </w:r>
      <w:r w:rsidR="00756DD5" w:rsidRPr="0012389B">
        <w:t>group</w:t>
      </w:r>
    </w:p>
    <w:p w14:paraId="47E311F6" w14:textId="77777777" w:rsidR="00516A9C" w:rsidRPr="0012389B" w:rsidRDefault="00516A9C" w:rsidP="00791619">
      <w:pPr>
        <w:pStyle w:val="ListParagraph"/>
        <w:numPr>
          <w:ilvl w:val="0"/>
          <w:numId w:val="15"/>
        </w:numPr>
        <w:shd w:val="clear" w:color="auto" w:fill="FFFFFF" w:themeFill="background1"/>
        <w:ind w:left="851"/>
        <w:jc w:val="both"/>
      </w:pPr>
      <w:proofErr w:type="spellStart"/>
      <w:r w:rsidRPr="0012389B">
        <w:rPr>
          <w:b/>
          <w:bCs/>
          <w:i/>
          <w:iCs/>
        </w:rPr>
        <w:t>Hanmak</w:t>
      </w:r>
      <w:proofErr w:type="spellEnd"/>
      <w:r w:rsidRPr="0012389B">
        <w:t>: the degree to which you are accepted into a group based on having delivered something tangible (</w:t>
      </w:r>
      <w:r w:rsidR="00C91251" w:rsidRPr="0012389B">
        <w:t xml:space="preserve">that is, </w:t>
      </w:r>
      <w:r w:rsidRPr="0012389B">
        <w:t xml:space="preserve">left a mark). </w:t>
      </w:r>
    </w:p>
    <w:p w14:paraId="6D34D6DE" w14:textId="0D61DF21" w:rsidR="00516A9C" w:rsidRDefault="002A20DD" w:rsidP="00791619">
      <w:pPr>
        <w:jc w:val="both"/>
      </w:pPr>
      <w:r w:rsidRPr="0012389B">
        <w:t xml:space="preserve">The application of this framework is illustrated </w:t>
      </w:r>
      <w:r w:rsidR="00756DD5" w:rsidRPr="0012389B">
        <w:t>in</w:t>
      </w:r>
      <w:r w:rsidRPr="0012389B">
        <w:t xml:space="preserve"> box </w:t>
      </w:r>
      <w:r w:rsidR="00E91C83">
        <w:t>2</w:t>
      </w:r>
      <w:r w:rsidRPr="0012389B">
        <w:t>.</w:t>
      </w:r>
    </w:p>
    <w:p w14:paraId="0EADA0CD" w14:textId="6504419D" w:rsidR="007651D8" w:rsidRPr="0012389B" w:rsidRDefault="007651D8" w:rsidP="00791619">
      <w:pPr>
        <w:pStyle w:val="Caption"/>
        <w:spacing w:after="0"/>
        <w:jc w:val="both"/>
      </w:pPr>
      <w:r>
        <w:t xml:space="preserve">Box </w:t>
      </w:r>
      <w:r w:rsidR="00791619">
        <w:t>2</w:t>
      </w:r>
      <w:r w:rsidRPr="0012389B">
        <w:t xml:space="preserve">: </w:t>
      </w:r>
      <w:r w:rsidRPr="007651D8">
        <w:t>Case Study: Oil Search Foundation’s culturally respectful partnership approach with Hela Health Clinic</w:t>
      </w:r>
    </w:p>
    <w:p w14:paraId="1F23EDF3" w14:textId="058DCD47" w:rsidR="00516A9C" w:rsidRPr="0012389B" w:rsidRDefault="00516A9C" w:rsidP="00791619">
      <w:pPr>
        <w:pBdr>
          <w:top w:val="single" w:sz="4" w:space="1" w:color="auto"/>
          <w:left w:val="single" w:sz="4" w:space="4" w:color="auto"/>
          <w:bottom w:val="single" w:sz="4" w:space="1" w:color="auto"/>
          <w:right w:val="single" w:sz="4" w:space="4" w:color="auto"/>
        </w:pBdr>
        <w:shd w:val="clear" w:color="auto" w:fill="FFF2CC" w:themeFill="accent4" w:themeFillTint="33"/>
        <w:jc w:val="both"/>
        <w:rPr>
          <w:sz w:val="20"/>
          <w:szCs w:val="20"/>
        </w:rPr>
      </w:pPr>
      <w:r w:rsidRPr="0012389B">
        <w:rPr>
          <w:sz w:val="20"/>
          <w:szCs w:val="20"/>
        </w:rPr>
        <w:t>Faced with losing their health service provider (</w:t>
      </w:r>
      <w:r w:rsidRPr="0012389B">
        <w:rPr>
          <w:rFonts w:eastAsia="Times New Roman"/>
          <w:sz w:val="20"/>
          <w:szCs w:val="20"/>
          <w:lang w:eastAsia="en-AU"/>
        </w:rPr>
        <w:t>Médecins San Frontières)</w:t>
      </w:r>
      <w:r w:rsidRPr="0012389B">
        <w:rPr>
          <w:sz w:val="20"/>
          <w:szCs w:val="20"/>
        </w:rPr>
        <w:t xml:space="preserve"> and with few prospects of finding a replacement, the government approached </w:t>
      </w:r>
      <w:r w:rsidR="00AB7C88">
        <w:rPr>
          <w:sz w:val="20"/>
          <w:szCs w:val="20"/>
        </w:rPr>
        <w:t>Oil Search Foundation (</w:t>
      </w:r>
      <w:r w:rsidRPr="0012389B">
        <w:rPr>
          <w:sz w:val="20"/>
          <w:szCs w:val="20"/>
        </w:rPr>
        <w:t>OSF</w:t>
      </w:r>
      <w:r w:rsidR="00AB7C88">
        <w:rPr>
          <w:sz w:val="20"/>
          <w:szCs w:val="20"/>
        </w:rPr>
        <w:t>)</w:t>
      </w:r>
      <w:r w:rsidRPr="0012389B">
        <w:rPr>
          <w:sz w:val="20"/>
          <w:szCs w:val="20"/>
        </w:rPr>
        <w:t xml:space="preserve">. The OSF agreed to provide support, entering a partnership with government and the community to deliver health services to the Hela Clinic. The partnership was formally launched at a ceremony in Hela attended by </w:t>
      </w:r>
      <w:proofErr w:type="spellStart"/>
      <w:r w:rsidRPr="0012389B">
        <w:rPr>
          <w:sz w:val="20"/>
          <w:szCs w:val="20"/>
        </w:rPr>
        <w:t>GoPNG</w:t>
      </w:r>
      <w:proofErr w:type="spellEnd"/>
      <w:r w:rsidRPr="0012389B">
        <w:rPr>
          <w:sz w:val="20"/>
          <w:szCs w:val="20"/>
        </w:rPr>
        <w:t xml:space="preserve"> Secretaries and community leaders as well as the Oil Search CEO. The presence at the event of such senior leaders, especially the CEO—who </w:t>
      </w:r>
      <w:r w:rsidRPr="0012389B">
        <w:rPr>
          <w:sz w:val="20"/>
          <w:szCs w:val="20"/>
        </w:rPr>
        <w:lastRenderedPageBreak/>
        <w:t xml:space="preserve">was described by the community as </w:t>
      </w:r>
      <w:r w:rsidR="005D24AB" w:rsidRPr="0012389B">
        <w:rPr>
          <w:sz w:val="20"/>
          <w:szCs w:val="20"/>
        </w:rPr>
        <w:t>‘</w:t>
      </w:r>
      <w:r w:rsidRPr="0012389B">
        <w:rPr>
          <w:sz w:val="20"/>
          <w:szCs w:val="20"/>
        </w:rPr>
        <w:t>… bringing himself to the eyes of the Hela people…</w:t>
      </w:r>
      <w:r w:rsidR="005D24AB" w:rsidRPr="0012389B">
        <w:rPr>
          <w:sz w:val="20"/>
          <w:szCs w:val="20"/>
        </w:rPr>
        <w:t>’</w:t>
      </w:r>
      <w:r w:rsidRPr="0012389B">
        <w:rPr>
          <w:sz w:val="20"/>
          <w:szCs w:val="20"/>
        </w:rPr>
        <w:t xml:space="preserve">—represents an appropriate act of </w:t>
      </w:r>
      <w:proofErr w:type="spellStart"/>
      <w:r w:rsidRPr="0012389B">
        <w:rPr>
          <w:b/>
          <w:bCs/>
          <w:i/>
          <w:iCs/>
          <w:sz w:val="20"/>
          <w:szCs w:val="20"/>
        </w:rPr>
        <w:t>luksave</w:t>
      </w:r>
      <w:proofErr w:type="spellEnd"/>
      <w:r w:rsidRPr="0012389B">
        <w:rPr>
          <w:sz w:val="20"/>
          <w:szCs w:val="20"/>
        </w:rPr>
        <w:t xml:space="preserve">. The preparation for, and way the event was conducted—involving pledges of support, agreement signings and official openings –was a case of </w:t>
      </w:r>
      <w:proofErr w:type="spellStart"/>
      <w:r w:rsidRPr="0012389B">
        <w:rPr>
          <w:b/>
          <w:bCs/>
          <w:i/>
          <w:iCs/>
          <w:sz w:val="20"/>
          <w:szCs w:val="20"/>
        </w:rPr>
        <w:t>gutpela</w:t>
      </w:r>
      <w:proofErr w:type="spellEnd"/>
      <w:r w:rsidRPr="0012389B">
        <w:rPr>
          <w:b/>
          <w:bCs/>
          <w:i/>
          <w:iCs/>
          <w:sz w:val="20"/>
          <w:szCs w:val="20"/>
        </w:rPr>
        <w:t xml:space="preserve"> </w:t>
      </w:r>
      <w:proofErr w:type="spellStart"/>
      <w:r w:rsidRPr="0012389B">
        <w:rPr>
          <w:b/>
          <w:bCs/>
          <w:i/>
          <w:iCs/>
          <w:sz w:val="20"/>
          <w:szCs w:val="20"/>
        </w:rPr>
        <w:t>luksave</w:t>
      </w:r>
      <w:proofErr w:type="spellEnd"/>
      <w:r w:rsidRPr="0012389B">
        <w:rPr>
          <w:b/>
          <w:bCs/>
          <w:i/>
          <w:iCs/>
          <w:sz w:val="20"/>
          <w:szCs w:val="20"/>
        </w:rPr>
        <w:t xml:space="preserve"> </w:t>
      </w:r>
      <w:proofErr w:type="spellStart"/>
      <w:r w:rsidRPr="0012389B">
        <w:rPr>
          <w:b/>
          <w:bCs/>
          <w:i/>
          <w:iCs/>
          <w:sz w:val="20"/>
          <w:szCs w:val="20"/>
        </w:rPr>
        <w:t>na</w:t>
      </w:r>
      <w:proofErr w:type="spellEnd"/>
      <w:r w:rsidRPr="0012389B">
        <w:rPr>
          <w:b/>
          <w:bCs/>
          <w:i/>
          <w:iCs/>
          <w:sz w:val="20"/>
          <w:szCs w:val="20"/>
        </w:rPr>
        <w:t xml:space="preserve"> </w:t>
      </w:r>
      <w:proofErr w:type="spellStart"/>
      <w:r w:rsidRPr="0012389B">
        <w:rPr>
          <w:b/>
          <w:bCs/>
          <w:i/>
          <w:iCs/>
          <w:sz w:val="20"/>
          <w:szCs w:val="20"/>
        </w:rPr>
        <w:t>gutpela</w:t>
      </w:r>
      <w:proofErr w:type="spellEnd"/>
      <w:r w:rsidRPr="0012389B">
        <w:rPr>
          <w:b/>
          <w:bCs/>
          <w:i/>
          <w:iCs/>
          <w:sz w:val="20"/>
          <w:szCs w:val="20"/>
        </w:rPr>
        <w:t xml:space="preserve"> </w:t>
      </w:r>
      <w:proofErr w:type="spellStart"/>
      <w:r w:rsidRPr="0012389B">
        <w:rPr>
          <w:b/>
          <w:bCs/>
          <w:i/>
          <w:iCs/>
          <w:sz w:val="20"/>
          <w:szCs w:val="20"/>
        </w:rPr>
        <w:t>kastom</w:t>
      </w:r>
      <w:proofErr w:type="spellEnd"/>
      <w:r w:rsidRPr="0012389B">
        <w:rPr>
          <w:b/>
          <w:bCs/>
          <w:i/>
          <w:iCs/>
          <w:sz w:val="20"/>
          <w:szCs w:val="20"/>
        </w:rPr>
        <w:t xml:space="preserve"> wok long </w:t>
      </w:r>
      <w:proofErr w:type="spellStart"/>
      <w:r w:rsidRPr="0012389B">
        <w:rPr>
          <w:b/>
          <w:bCs/>
          <w:i/>
          <w:iCs/>
          <w:sz w:val="20"/>
          <w:szCs w:val="20"/>
        </w:rPr>
        <w:t>strongim</w:t>
      </w:r>
      <w:proofErr w:type="spellEnd"/>
      <w:r w:rsidRPr="0012389B">
        <w:rPr>
          <w:b/>
          <w:bCs/>
          <w:i/>
          <w:iCs/>
          <w:sz w:val="20"/>
          <w:szCs w:val="20"/>
        </w:rPr>
        <w:t xml:space="preserve"> </w:t>
      </w:r>
      <w:proofErr w:type="spellStart"/>
      <w:r w:rsidRPr="0012389B">
        <w:rPr>
          <w:b/>
          <w:bCs/>
          <w:i/>
          <w:iCs/>
          <w:sz w:val="20"/>
          <w:szCs w:val="20"/>
        </w:rPr>
        <w:t>wokbung</w:t>
      </w:r>
      <w:proofErr w:type="spellEnd"/>
      <w:r w:rsidRPr="0012389B">
        <w:rPr>
          <w:sz w:val="20"/>
          <w:szCs w:val="20"/>
        </w:rPr>
        <w:t>.</w:t>
      </w:r>
    </w:p>
    <w:p w14:paraId="406C3AF3" w14:textId="6902095F" w:rsidR="00516A9C" w:rsidRPr="0012389B" w:rsidRDefault="00516A9C" w:rsidP="00791619">
      <w:pPr>
        <w:pBdr>
          <w:top w:val="single" w:sz="4" w:space="1" w:color="auto"/>
          <w:left w:val="single" w:sz="4" w:space="4" w:color="auto"/>
          <w:bottom w:val="single" w:sz="4" w:space="1" w:color="auto"/>
          <w:right w:val="single" w:sz="4" w:space="4" w:color="auto"/>
        </w:pBdr>
        <w:shd w:val="clear" w:color="auto" w:fill="FFF2CC" w:themeFill="accent4" w:themeFillTint="33"/>
        <w:jc w:val="both"/>
        <w:rPr>
          <w:sz w:val="20"/>
          <w:szCs w:val="20"/>
        </w:rPr>
      </w:pPr>
      <w:r w:rsidRPr="0012389B">
        <w:rPr>
          <w:sz w:val="20"/>
          <w:szCs w:val="20"/>
        </w:rPr>
        <w:t>From the launch, OSF established a long term set of reciprocal obligations and expectations with its partners. This required OSF to live up to it commitments but also meant they could call on government and other partners to make inputs when required to drive the hospital agenda forward.  In this regard, the formal system and the cultural system were aligned; relationships are key in both systems and involve negotiating obligations and making sure partners are happy are common in both. Through its track record in providing the resources for Hela</w:t>
      </w:r>
      <w:r w:rsidR="007D4406">
        <w:rPr>
          <w:sz w:val="20"/>
          <w:szCs w:val="20"/>
        </w:rPr>
        <w:t>,</w:t>
      </w:r>
      <w:r w:rsidRPr="0012389B">
        <w:rPr>
          <w:sz w:val="20"/>
          <w:szCs w:val="20"/>
        </w:rPr>
        <w:t xml:space="preserve"> the OSF partnership has successfully built community support for the hospital and strengthened the respect levels that the community have for the partners.  This is a clear demonstration of </w:t>
      </w:r>
      <w:proofErr w:type="spellStart"/>
      <w:r w:rsidRPr="0012389B">
        <w:rPr>
          <w:b/>
          <w:bCs/>
          <w:i/>
          <w:iCs/>
          <w:sz w:val="20"/>
          <w:szCs w:val="20"/>
        </w:rPr>
        <w:t>hanmak</w:t>
      </w:r>
      <w:proofErr w:type="spellEnd"/>
      <w:r w:rsidRPr="0012389B">
        <w:rPr>
          <w:sz w:val="20"/>
          <w:szCs w:val="20"/>
        </w:rPr>
        <w:t xml:space="preserve">. </w:t>
      </w:r>
    </w:p>
    <w:p w14:paraId="5D65AF2D" w14:textId="3A9602BA" w:rsidR="002A20DD" w:rsidRPr="0012389B" w:rsidRDefault="002A20DD" w:rsidP="00791619">
      <w:pPr>
        <w:pStyle w:val="Heading3"/>
        <w:jc w:val="both"/>
        <w:rPr>
          <w:b/>
          <w:bCs/>
        </w:rPr>
      </w:pPr>
      <w:r w:rsidRPr="0012389B">
        <w:rPr>
          <w:b/>
          <w:bCs/>
        </w:rPr>
        <w:t>National policy engagement and problem solving</w:t>
      </w:r>
    </w:p>
    <w:p w14:paraId="3EE0C4FD" w14:textId="786FA504" w:rsidR="00666590" w:rsidRPr="0012389B" w:rsidRDefault="00364C36" w:rsidP="00791619">
      <w:pPr>
        <w:jc w:val="both"/>
      </w:pPr>
      <w:r w:rsidRPr="0012389B">
        <w:t>Church partner</w:t>
      </w:r>
      <w:r w:rsidR="00FC1C9D" w:rsidRPr="0012389B">
        <w:t>s’</w:t>
      </w:r>
      <w:r w:rsidRPr="0012389B">
        <w:t xml:space="preserve"> engagement on policy issues at the national </w:t>
      </w:r>
      <w:r w:rsidR="00FC1C9D" w:rsidRPr="0012389B">
        <w:t xml:space="preserve">level </w:t>
      </w:r>
      <w:r w:rsidRPr="0012389B">
        <w:t xml:space="preserve">is more </w:t>
      </w:r>
      <w:r w:rsidR="00FC1C9D" w:rsidRPr="0012389B">
        <w:t>challenging</w:t>
      </w:r>
      <w:r w:rsidR="00666590" w:rsidRPr="0012389B">
        <w:t xml:space="preserve">, particularly on service delivery issues. </w:t>
      </w:r>
      <w:r w:rsidR="00E96E0E" w:rsidRPr="0012389B">
        <w:t xml:space="preserve">Given current tensions between church and government over health and education service delivery (see 2.1), some </w:t>
      </w:r>
      <w:r w:rsidR="007D4406">
        <w:t>CPP</w:t>
      </w:r>
      <w:r w:rsidR="00E96E0E" w:rsidRPr="0012389B">
        <w:t xml:space="preserve"> partners </w:t>
      </w:r>
      <w:r w:rsidR="007D4406">
        <w:t xml:space="preserve">may perceive a risk of </w:t>
      </w:r>
      <w:r w:rsidR="00E96E0E" w:rsidRPr="0012389B">
        <w:t>add</w:t>
      </w:r>
      <w:r w:rsidR="007D4406">
        <w:t>ing</w:t>
      </w:r>
      <w:r w:rsidR="00E96E0E" w:rsidRPr="0012389B">
        <w:t xml:space="preserve"> further pressure to th</w:t>
      </w:r>
      <w:r w:rsidR="007D4406">
        <w:t>eir</w:t>
      </w:r>
      <w:r w:rsidR="00E96E0E" w:rsidRPr="0012389B">
        <w:t xml:space="preserve"> relationship </w:t>
      </w:r>
      <w:r w:rsidR="007D4406">
        <w:t>current relationship with</w:t>
      </w:r>
      <w:r w:rsidR="00E96E0E" w:rsidRPr="0012389B">
        <w:t xml:space="preserve"> government. </w:t>
      </w:r>
      <w:r w:rsidR="007D4406">
        <w:t>A</w:t>
      </w:r>
      <w:r w:rsidR="005A07DB" w:rsidRPr="0012389B">
        <w:t xml:space="preserve"> focus on national government policy questions could </w:t>
      </w:r>
      <w:r w:rsidR="007D4406">
        <w:t xml:space="preserve">also </w:t>
      </w:r>
      <w:r w:rsidR="005A07DB" w:rsidRPr="0012389B">
        <w:t>distract from where problems could be solved by more effective community-</w:t>
      </w:r>
      <w:r w:rsidR="00DD6524">
        <w:t>c</w:t>
      </w:r>
      <w:r w:rsidR="005A07DB" w:rsidRPr="0012389B">
        <w:t xml:space="preserve">hurch engagement at the local level. Lastly, </w:t>
      </w:r>
      <w:r w:rsidR="00E96E0E" w:rsidRPr="0012389B">
        <w:t>c</w:t>
      </w:r>
      <w:r w:rsidR="00B70696" w:rsidRPr="0012389B">
        <w:t>hurches</w:t>
      </w:r>
      <w:r w:rsidR="00791619">
        <w:t>’</w:t>
      </w:r>
      <w:r w:rsidR="00B70696" w:rsidRPr="0012389B">
        <w:t xml:space="preserve"> role as </w:t>
      </w:r>
      <w:r w:rsidR="00666590" w:rsidRPr="0012389B">
        <w:t xml:space="preserve">government </w:t>
      </w:r>
      <w:r w:rsidR="00B70696" w:rsidRPr="0012389B">
        <w:t>service provider</w:t>
      </w:r>
      <w:r w:rsidR="00666590" w:rsidRPr="0012389B">
        <w:t>s</w:t>
      </w:r>
      <w:r w:rsidR="005A07DB" w:rsidRPr="0012389B">
        <w:t xml:space="preserve"> </w:t>
      </w:r>
      <w:r w:rsidR="00666590" w:rsidRPr="0012389B">
        <w:t xml:space="preserve">could </w:t>
      </w:r>
      <w:r w:rsidR="00FC1C9D" w:rsidRPr="0012389B">
        <w:t xml:space="preserve">compromise </w:t>
      </w:r>
      <w:r w:rsidR="00666590" w:rsidRPr="0012389B">
        <w:t>churches</w:t>
      </w:r>
      <w:r w:rsidR="00DD6524">
        <w:t>’</w:t>
      </w:r>
      <w:r w:rsidR="00666590" w:rsidRPr="0012389B">
        <w:t xml:space="preserve"> </w:t>
      </w:r>
      <w:r w:rsidR="00FC1C9D" w:rsidRPr="0012389B">
        <w:t>credibility</w:t>
      </w:r>
      <w:r w:rsidR="00666590" w:rsidRPr="0012389B">
        <w:t xml:space="preserve"> </w:t>
      </w:r>
      <w:r w:rsidR="005A07DB" w:rsidRPr="0012389B">
        <w:t xml:space="preserve">to act </w:t>
      </w:r>
      <w:r w:rsidR="00666590" w:rsidRPr="0012389B">
        <w:t>as trusted intermediaries between government and community</w:t>
      </w:r>
      <w:r w:rsidR="00FC1C9D" w:rsidRPr="0012389B">
        <w:t xml:space="preserve">. </w:t>
      </w:r>
    </w:p>
    <w:p w14:paraId="1BD1CC22" w14:textId="18236C64" w:rsidR="00562BC0" w:rsidRPr="0012389B" w:rsidRDefault="007D4406" w:rsidP="00791619">
      <w:pPr>
        <w:jc w:val="both"/>
      </w:pPr>
      <w:r>
        <w:t>Despite these challenges</w:t>
      </w:r>
      <w:r w:rsidR="00562BC0" w:rsidRPr="0012389B">
        <w:t xml:space="preserve">, </w:t>
      </w:r>
      <w:r w:rsidR="00736089" w:rsidRPr="0012389B">
        <w:t xml:space="preserve">the context of PNG church-state relations presents at least three </w:t>
      </w:r>
      <w:r w:rsidR="007A4AD6" w:rsidRPr="0012389B">
        <w:t xml:space="preserve">inter-linked </w:t>
      </w:r>
      <w:r w:rsidR="00736089" w:rsidRPr="0012389B">
        <w:t xml:space="preserve">avenues for </w:t>
      </w:r>
      <w:r>
        <w:t>pursuing national-level policy engagement</w:t>
      </w:r>
      <w:r w:rsidR="00562BC0" w:rsidRPr="0012389B">
        <w:t>:</w:t>
      </w:r>
    </w:p>
    <w:p w14:paraId="198188B5" w14:textId="236A0861" w:rsidR="00771196" w:rsidRPr="0012389B" w:rsidRDefault="00736089" w:rsidP="00791619">
      <w:pPr>
        <w:pStyle w:val="ListParagraph"/>
        <w:numPr>
          <w:ilvl w:val="0"/>
          <w:numId w:val="17"/>
        </w:numPr>
        <w:ind w:hanging="436"/>
        <w:jc w:val="both"/>
      </w:pPr>
      <w:r w:rsidRPr="0012389B">
        <w:rPr>
          <w:b/>
          <w:bCs/>
        </w:rPr>
        <w:t>PNGCC</w:t>
      </w:r>
      <w:r w:rsidRPr="0012389B">
        <w:t xml:space="preserve">: </w:t>
      </w:r>
      <w:r w:rsidR="00791619">
        <w:t>c</w:t>
      </w:r>
      <w:r w:rsidR="00562BC0" w:rsidRPr="0012389B">
        <w:t xml:space="preserve">ollective </w:t>
      </w:r>
      <w:r w:rsidR="000F2D8F" w:rsidRPr="0012389B">
        <w:t xml:space="preserve">and </w:t>
      </w:r>
      <w:r w:rsidRPr="0012389B">
        <w:t>policy</w:t>
      </w:r>
      <w:r w:rsidR="00562BC0" w:rsidRPr="0012389B">
        <w:t xml:space="preserve"> engagement </w:t>
      </w:r>
      <w:r w:rsidRPr="0012389B">
        <w:t xml:space="preserve">by CPP partners </w:t>
      </w:r>
      <w:r w:rsidR="000F2D8F" w:rsidRPr="0012389B">
        <w:t xml:space="preserve">quietly </w:t>
      </w:r>
      <w:r w:rsidR="00562BC0" w:rsidRPr="0012389B">
        <w:t>through the PNGCC</w:t>
      </w:r>
      <w:r w:rsidRPr="0012389B">
        <w:t xml:space="preserve"> reduces many of the risks from partners engaging individually</w:t>
      </w:r>
      <w:r w:rsidR="00562BC0" w:rsidRPr="0012389B">
        <w:t xml:space="preserve">. Several partners indicated this was their preferred approach for national policy engagement. </w:t>
      </w:r>
      <w:r w:rsidR="00771196" w:rsidRPr="0012389B">
        <w:t>This is precisely the role for which PNGCC was set</w:t>
      </w:r>
      <w:r w:rsidR="00791619">
        <w:t xml:space="preserve"> </w:t>
      </w:r>
      <w:r w:rsidR="00771196" w:rsidRPr="0012389B">
        <w:t xml:space="preserve">up by the mainline churches in the 1960s. The PNGCC was inactive for many years but has been revived under its current leadership. In the last phase, CPP, along with other donors such as Bread for the World, began developing the organisation's very limited capacity. The PNGCC will continue to work with the Seventh Day Adventist </w:t>
      </w:r>
      <w:r w:rsidR="00C91251" w:rsidRPr="0012389B">
        <w:t>C</w:t>
      </w:r>
      <w:r w:rsidR="00771196" w:rsidRPr="0012389B">
        <w:t xml:space="preserve">hurch (the only mainline church that is not a formal member of the body) on policy issues where all mainline Churches share concerns. </w:t>
      </w:r>
      <w:r w:rsidR="007D4406">
        <w:t>The</w:t>
      </w:r>
      <w:r w:rsidR="00771196" w:rsidRPr="0012389B">
        <w:t xml:space="preserve"> PNGCC’s recent role in tackling COVID-19 misinformation highlights the proactive public policy role the body can play, working in concert with government.  </w:t>
      </w:r>
    </w:p>
    <w:p w14:paraId="58A28ADB" w14:textId="77777777" w:rsidR="007A4AD6" w:rsidRPr="0012389B" w:rsidRDefault="007A4AD6" w:rsidP="00791619">
      <w:pPr>
        <w:pStyle w:val="ListParagraph"/>
        <w:ind w:hanging="436"/>
        <w:jc w:val="both"/>
      </w:pPr>
    </w:p>
    <w:p w14:paraId="0B5E8723" w14:textId="26C70FBB" w:rsidR="00562BC0" w:rsidRPr="0012389B" w:rsidRDefault="007A4AD6" w:rsidP="00791619">
      <w:pPr>
        <w:pStyle w:val="ListParagraph"/>
        <w:numPr>
          <w:ilvl w:val="0"/>
          <w:numId w:val="17"/>
        </w:numPr>
        <w:ind w:hanging="436"/>
        <w:jc w:val="both"/>
      </w:pPr>
      <w:r w:rsidRPr="0012389B">
        <w:rPr>
          <w:b/>
          <w:bCs/>
        </w:rPr>
        <w:t xml:space="preserve">Evidence generation: </w:t>
      </w:r>
      <w:r w:rsidR="00791619" w:rsidRPr="00791619">
        <w:t>i</w:t>
      </w:r>
      <w:r w:rsidR="00562BC0" w:rsidRPr="0012389B">
        <w:t xml:space="preserve">ndividual or collective church engagement with government </w:t>
      </w:r>
      <w:r w:rsidR="00EB21D4" w:rsidRPr="0012389B">
        <w:t>based on evidence for the</w:t>
      </w:r>
      <w:r w:rsidR="00562BC0" w:rsidRPr="0012389B">
        <w:t>:</w:t>
      </w:r>
    </w:p>
    <w:p w14:paraId="447308E1" w14:textId="29AE8481" w:rsidR="00562BC0" w:rsidRPr="0012389B" w:rsidRDefault="00F716D2" w:rsidP="00791619">
      <w:pPr>
        <w:pStyle w:val="ListParagraph"/>
        <w:numPr>
          <w:ilvl w:val="0"/>
          <w:numId w:val="18"/>
        </w:numPr>
        <w:ind w:left="1560" w:hanging="567"/>
        <w:jc w:val="both"/>
      </w:pPr>
      <w:r>
        <w:t>g</w:t>
      </w:r>
      <w:r w:rsidR="00EB21D4" w:rsidRPr="0012389B">
        <w:t>overnment s</w:t>
      </w:r>
      <w:r w:rsidR="00562BC0" w:rsidRPr="0012389B">
        <w:t>cale-up</w:t>
      </w:r>
      <w:r w:rsidR="00EB21D4" w:rsidRPr="0012389B">
        <w:t xml:space="preserve"> of </w:t>
      </w:r>
      <w:r w:rsidR="00562BC0" w:rsidRPr="0012389B">
        <w:t xml:space="preserve">partners’ local development activities proven to be effective. </w:t>
      </w:r>
    </w:p>
    <w:p w14:paraId="0C287E4D" w14:textId="48D8B410" w:rsidR="00562BC0" w:rsidRPr="0012389B" w:rsidRDefault="00F716D2" w:rsidP="00791619">
      <w:pPr>
        <w:pStyle w:val="ListParagraph"/>
        <w:numPr>
          <w:ilvl w:val="0"/>
          <w:numId w:val="18"/>
        </w:numPr>
        <w:ind w:left="1560" w:hanging="567"/>
        <w:jc w:val="both"/>
      </w:pPr>
      <w:r>
        <w:t>d</w:t>
      </w:r>
      <w:r w:rsidR="00562BC0" w:rsidRPr="0012389B">
        <w:t>evelop</w:t>
      </w:r>
      <w:r w:rsidR="00EB21D4" w:rsidRPr="0012389B">
        <w:t>ment</w:t>
      </w:r>
      <w:r w:rsidR="00562BC0" w:rsidRPr="0012389B">
        <w:t xml:space="preserve"> and/or revis</w:t>
      </w:r>
      <w:r w:rsidR="00EB21D4" w:rsidRPr="0012389B">
        <w:t>ion of government</w:t>
      </w:r>
      <w:r w:rsidR="00562BC0" w:rsidRPr="0012389B">
        <w:t xml:space="preserve"> policy based on partners’ frontline service delivery experience. </w:t>
      </w:r>
    </w:p>
    <w:p w14:paraId="5C480B6A" w14:textId="05937F6C" w:rsidR="00D06806" w:rsidRPr="0012389B" w:rsidRDefault="00562BC0" w:rsidP="00791619">
      <w:pPr>
        <w:ind w:left="720"/>
        <w:jc w:val="both"/>
      </w:pPr>
      <w:r w:rsidRPr="0012389B">
        <w:t>The first opportunity builds on</w:t>
      </w:r>
      <w:r w:rsidR="00F716D2">
        <w:t xml:space="preserve"> </w:t>
      </w:r>
      <w:r w:rsidRPr="0012389B">
        <w:t xml:space="preserve">and seeks to maximize the impact and sustainability of </w:t>
      </w:r>
      <w:r w:rsidR="007D4406">
        <w:t xml:space="preserve">CPP </w:t>
      </w:r>
      <w:r w:rsidRPr="0012389B">
        <w:t>partners</w:t>
      </w:r>
      <w:r w:rsidR="00F716D2">
        <w:t>’</w:t>
      </w:r>
      <w:r w:rsidRPr="0012389B">
        <w:t xml:space="preserve"> existing work. The second opportunity will build on collective learning about service delivery problems generated through </w:t>
      </w:r>
      <w:r w:rsidR="007D4406">
        <w:t xml:space="preserve">CPP </w:t>
      </w:r>
      <w:r w:rsidRPr="0012389B">
        <w:t xml:space="preserve">partners’ </w:t>
      </w:r>
      <w:r w:rsidR="00EB21D4" w:rsidRPr="0012389B">
        <w:t>experience</w:t>
      </w:r>
      <w:r w:rsidR="00F716D2">
        <w:t>.</w:t>
      </w:r>
    </w:p>
    <w:p w14:paraId="001E5531" w14:textId="74D3A634" w:rsidR="00562BC0" w:rsidRPr="0012389B" w:rsidRDefault="00562BC0" w:rsidP="00791619">
      <w:pPr>
        <w:pStyle w:val="ListParagraph"/>
        <w:numPr>
          <w:ilvl w:val="0"/>
          <w:numId w:val="17"/>
        </w:numPr>
        <w:ind w:hanging="436"/>
        <w:jc w:val="both"/>
      </w:pPr>
      <w:r w:rsidRPr="0012389B">
        <w:rPr>
          <w:b/>
          <w:bCs/>
        </w:rPr>
        <w:t>Multi-stakeholder coalitions</w:t>
      </w:r>
      <w:r w:rsidR="00D06806" w:rsidRPr="0012389B">
        <w:rPr>
          <w:b/>
          <w:bCs/>
        </w:rPr>
        <w:t xml:space="preserve"> for change</w:t>
      </w:r>
      <w:r w:rsidRPr="0012389B">
        <w:rPr>
          <w:b/>
          <w:bCs/>
        </w:rPr>
        <w:t xml:space="preserve">: </w:t>
      </w:r>
      <w:r w:rsidRPr="0012389B">
        <w:t xml:space="preserve">Individual or collective </w:t>
      </w:r>
      <w:r w:rsidR="007D4406">
        <w:t>CPP partner</w:t>
      </w:r>
      <w:r w:rsidRPr="0012389B">
        <w:t xml:space="preserve"> participation in broad coalitions for influencing change on selected government policies. This is potentially the most complex of the three policy engagement approaches as multiple stakeholders need to </w:t>
      </w:r>
      <w:r w:rsidRPr="0012389B">
        <w:lastRenderedPageBreak/>
        <w:t xml:space="preserve">agree on an issue and advocacy approach. However, churches already have experience of working in coalitions </w:t>
      </w:r>
      <w:r w:rsidR="00EB21D4" w:rsidRPr="0012389B">
        <w:t>to build on</w:t>
      </w:r>
      <w:r w:rsidRPr="0012389B">
        <w:t xml:space="preserve">. For example, in their participation in the </w:t>
      </w:r>
      <w:r w:rsidR="005D24AB" w:rsidRPr="0012389B">
        <w:t>‘</w:t>
      </w:r>
      <w:r w:rsidRPr="0012389B">
        <w:t>Community Against Corruption Coalition</w:t>
      </w:r>
      <w:r w:rsidR="005D24AB" w:rsidRPr="0012389B">
        <w:t>’</w:t>
      </w:r>
      <w:r w:rsidRPr="0012389B">
        <w:t xml:space="preserve"> (CACC) working alongside civil society (Transparency International), the private sector and media; and in the current coalition of </w:t>
      </w:r>
      <w:r w:rsidR="00F716D2">
        <w:t>ten</w:t>
      </w:r>
      <w:r w:rsidRPr="0012389B">
        <w:t xml:space="preserve"> </w:t>
      </w:r>
      <w:r w:rsidR="00F716D2">
        <w:t>c</w:t>
      </w:r>
      <w:r w:rsidRPr="0012389B">
        <w:t>hurch denominations supporting the government’s</w:t>
      </w:r>
      <w:r w:rsidR="007D4406">
        <w:t xml:space="preserve"> </w:t>
      </w:r>
      <w:r w:rsidRPr="0012389B">
        <w:t xml:space="preserve">action plan to address sorcery-related violence. </w:t>
      </w:r>
    </w:p>
    <w:p w14:paraId="0FAC576A" w14:textId="652C8764" w:rsidR="003A3799" w:rsidRPr="0012389B" w:rsidRDefault="003A3799" w:rsidP="00791619">
      <w:pPr>
        <w:pStyle w:val="Heading1"/>
        <w:numPr>
          <w:ilvl w:val="0"/>
          <w:numId w:val="1"/>
        </w:numPr>
        <w:ind w:hanging="720"/>
        <w:jc w:val="both"/>
        <w:rPr>
          <w:rFonts w:ascii="Arial" w:hAnsi="Arial" w:cs="Arial"/>
          <w:sz w:val="28"/>
          <w:szCs w:val="28"/>
        </w:rPr>
      </w:pPr>
      <w:bookmarkStart w:id="40" w:name="_Toc99041658"/>
      <w:bookmarkStart w:id="41" w:name="_Toc97214413"/>
      <w:bookmarkStart w:id="42" w:name="_Toc97305459"/>
      <w:bookmarkStart w:id="43" w:name="_Toc97187827"/>
      <w:r w:rsidRPr="0012389B">
        <w:rPr>
          <w:rFonts w:ascii="Arial" w:hAnsi="Arial" w:cs="Arial"/>
          <w:sz w:val="28"/>
          <w:szCs w:val="28"/>
        </w:rPr>
        <w:t>Lesson</w:t>
      </w:r>
      <w:r w:rsidR="00C51DFF" w:rsidRPr="0012389B">
        <w:rPr>
          <w:rFonts w:ascii="Arial" w:hAnsi="Arial" w:cs="Arial"/>
          <w:sz w:val="28"/>
          <w:szCs w:val="28"/>
        </w:rPr>
        <w:t>s</w:t>
      </w:r>
      <w:r w:rsidRPr="0012389B">
        <w:rPr>
          <w:rFonts w:ascii="Arial" w:hAnsi="Arial" w:cs="Arial"/>
          <w:sz w:val="28"/>
          <w:szCs w:val="28"/>
        </w:rPr>
        <w:t xml:space="preserve"> learned</w:t>
      </w:r>
      <w:bookmarkEnd w:id="40"/>
      <w:r w:rsidRPr="0012389B">
        <w:rPr>
          <w:rFonts w:ascii="Arial" w:hAnsi="Arial" w:cs="Arial"/>
          <w:sz w:val="28"/>
          <w:szCs w:val="28"/>
        </w:rPr>
        <w:t xml:space="preserve"> </w:t>
      </w:r>
      <w:bookmarkEnd w:id="41"/>
      <w:bookmarkEnd w:id="42"/>
    </w:p>
    <w:p w14:paraId="7EFA87EB" w14:textId="335EF3E4" w:rsidR="000D6E31" w:rsidRPr="0012389B" w:rsidRDefault="000D6E31" w:rsidP="00791619">
      <w:pPr>
        <w:jc w:val="both"/>
      </w:pPr>
      <w:r w:rsidRPr="0012389B">
        <w:t xml:space="preserve">This section summarises relevant key learning from past phases and the implications for improving CPP’s performance in the next phase. This section covers the effectiveness of partner programs for achieving inclusive development; opportunities and learning for partners to increase their engagement on policy issues and adopt social accountability approaches; learning from GEDSI work; and lessons on how to better strengthen PNG </w:t>
      </w:r>
      <w:r w:rsidR="00F716D2">
        <w:t>c</w:t>
      </w:r>
      <w:r w:rsidRPr="0012389B">
        <w:t>hurch partners</w:t>
      </w:r>
      <w:r w:rsidR="00F716D2">
        <w:t>’</w:t>
      </w:r>
      <w:r w:rsidRPr="0012389B">
        <w:t xml:space="preserve"> organisational capacity </w:t>
      </w:r>
      <w:r w:rsidR="007D4406">
        <w:t>for</w:t>
      </w:r>
      <w:r w:rsidRPr="0012389B">
        <w:t xml:space="preserve"> localisation</w:t>
      </w:r>
      <w:r w:rsidR="007D4406">
        <w:t xml:space="preserve"> and sustainability</w:t>
      </w:r>
      <w:r w:rsidRPr="0012389B">
        <w:t xml:space="preserve">. </w:t>
      </w:r>
    </w:p>
    <w:p w14:paraId="11F4F488" w14:textId="725F9DE9" w:rsidR="000D6E31" w:rsidRPr="0012389B" w:rsidRDefault="000D6E31" w:rsidP="00791619">
      <w:pPr>
        <w:pStyle w:val="Heading2"/>
        <w:numPr>
          <w:ilvl w:val="1"/>
          <w:numId w:val="1"/>
        </w:numPr>
        <w:ind w:left="709" w:hanging="709"/>
        <w:jc w:val="both"/>
        <w:rPr>
          <w:b/>
          <w:bCs/>
          <w:sz w:val="24"/>
          <w:szCs w:val="24"/>
        </w:rPr>
      </w:pPr>
      <w:bookmarkStart w:id="44" w:name="_Toc97187821"/>
      <w:bookmarkStart w:id="45" w:name="_Toc97214414"/>
      <w:bookmarkStart w:id="46" w:name="_Toc97305460"/>
      <w:bookmarkStart w:id="47" w:name="_Toc99041659"/>
      <w:r w:rsidRPr="0012389B">
        <w:rPr>
          <w:b/>
          <w:bCs/>
          <w:sz w:val="24"/>
          <w:szCs w:val="24"/>
        </w:rPr>
        <w:t xml:space="preserve">Development </w:t>
      </w:r>
      <w:bookmarkEnd w:id="44"/>
      <w:r w:rsidRPr="0012389B">
        <w:rPr>
          <w:b/>
          <w:bCs/>
          <w:sz w:val="24"/>
          <w:szCs w:val="24"/>
        </w:rPr>
        <w:t>effectiveness</w:t>
      </w:r>
      <w:bookmarkEnd w:id="45"/>
      <w:bookmarkEnd w:id="46"/>
      <w:bookmarkEnd w:id="47"/>
    </w:p>
    <w:p w14:paraId="66DAFCE6" w14:textId="2E4E78C2" w:rsidR="000D6E31" w:rsidRPr="0012389B" w:rsidRDefault="000D6E31" w:rsidP="00791619">
      <w:pPr>
        <w:jc w:val="both"/>
      </w:pPr>
      <w:r w:rsidRPr="0012389B">
        <w:t xml:space="preserve">The </w:t>
      </w:r>
      <w:r w:rsidR="00F716D2" w:rsidRPr="0012389B">
        <w:t xml:space="preserve">mid-term review </w:t>
      </w:r>
      <w:r w:rsidRPr="0012389B">
        <w:t>of the current phase (2019) found that CPP’s effectiveness was being hindered by the lack of a clear program logic showing how partners’ individual and collective work would come together to achieve overall program-level outcomes, so that the ‘whole is greater than the sum of its parts.’ While the CPP Charter articulates a very high-level vision for the program, neither this or other documents (</w:t>
      </w:r>
      <w:r w:rsidR="007D6AFE" w:rsidRPr="0012389B">
        <w:t>for example,</w:t>
      </w:r>
      <w:r w:rsidRPr="0012389B">
        <w:t xml:space="preserve"> the design document) provided a clear and realistic strategic framing. Without this framing:</w:t>
      </w:r>
    </w:p>
    <w:p w14:paraId="7A24F67E" w14:textId="611CFF76" w:rsidR="000D6E31" w:rsidRPr="0012389B" w:rsidRDefault="000D6E31" w:rsidP="00F716D2">
      <w:pPr>
        <w:pStyle w:val="ListParagraph"/>
        <w:numPr>
          <w:ilvl w:val="0"/>
          <w:numId w:val="51"/>
        </w:numPr>
        <w:suppressAutoHyphens/>
        <w:ind w:left="851"/>
        <w:jc w:val="both"/>
      </w:pPr>
      <w:r w:rsidRPr="0012389B">
        <w:t xml:space="preserve">much of the focus in the current phase has been at the input and activity level—reinforced by an annual activity planning and reporting process where only loose links were made to very general outcomes at the program level as defined in the </w:t>
      </w:r>
      <w:r w:rsidR="007A45F8">
        <w:t>CDD</w:t>
      </w:r>
      <w:r w:rsidR="00F716D2">
        <w:t>.</w:t>
      </w:r>
    </w:p>
    <w:p w14:paraId="77113209" w14:textId="67DE3CA0" w:rsidR="000D6E31" w:rsidRPr="0012389B" w:rsidRDefault="000D6E31" w:rsidP="00F716D2">
      <w:pPr>
        <w:pStyle w:val="ListParagraph"/>
        <w:numPr>
          <w:ilvl w:val="0"/>
          <w:numId w:val="51"/>
        </w:numPr>
        <w:suppressAutoHyphens/>
        <w:ind w:left="851"/>
        <w:jc w:val="both"/>
      </w:pPr>
      <w:r w:rsidRPr="0012389B">
        <w:t xml:space="preserve">while promoting partner collaboration was an important part of CPP, the Program’s focus was on specific development programs with their local communities. This was also the main channel through which CPP’s shared approaches were implemented.  </w:t>
      </w:r>
    </w:p>
    <w:p w14:paraId="69B9839F" w14:textId="198622B9" w:rsidR="000D6E31" w:rsidRPr="0012389B" w:rsidRDefault="000D6E31" w:rsidP="00F716D2">
      <w:pPr>
        <w:pStyle w:val="ListParagraph"/>
        <w:numPr>
          <w:ilvl w:val="0"/>
          <w:numId w:val="51"/>
        </w:numPr>
        <w:suppressAutoHyphens/>
        <w:ind w:left="851"/>
        <w:jc w:val="both"/>
      </w:pPr>
      <w:r w:rsidRPr="0012389B">
        <w:t>establishing functioning MEL systems at program and partner levels has been difficult (without clearly defined outcomes and a program logic against which to measure progress)</w:t>
      </w:r>
      <w:r w:rsidR="00F716D2">
        <w:t>.</w:t>
      </w:r>
    </w:p>
    <w:p w14:paraId="0CFB4A73" w14:textId="49EEC855" w:rsidR="000D6E31" w:rsidRPr="0012389B" w:rsidRDefault="000D6E31" w:rsidP="00F716D2">
      <w:pPr>
        <w:pStyle w:val="ListParagraph"/>
        <w:numPr>
          <w:ilvl w:val="0"/>
          <w:numId w:val="51"/>
        </w:numPr>
        <w:suppressAutoHyphens/>
        <w:ind w:left="851"/>
        <w:jc w:val="both"/>
      </w:pPr>
      <w:r w:rsidRPr="0012389B">
        <w:t>governance and management bodies have tended to focus on the administration and operation of the program rather than its strategic direction</w:t>
      </w:r>
      <w:r w:rsidR="00F716D2">
        <w:t>.</w:t>
      </w:r>
    </w:p>
    <w:p w14:paraId="28DC526D" w14:textId="7D876CA2" w:rsidR="000D6E31" w:rsidRPr="0012389B" w:rsidRDefault="000D6E31" w:rsidP="00791619">
      <w:pPr>
        <w:jc w:val="both"/>
      </w:pPr>
      <w:r w:rsidRPr="0012389B">
        <w:t xml:space="preserve">The learning for the next phase is to create a sharper and more realistic strategic framing for the program while still providing partners with space to respond to the </w:t>
      </w:r>
      <w:r w:rsidR="00037295">
        <w:t>urgent needs</w:t>
      </w:r>
      <w:r w:rsidRPr="0012389B">
        <w:t xml:space="preserve"> of their local communities and leaders. This can be achieved by: </w:t>
      </w:r>
    </w:p>
    <w:p w14:paraId="2752E535" w14:textId="228AC0F2" w:rsidR="000D6E31" w:rsidRPr="0012389B" w:rsidRDefault="00037295" w:rsidP="00791619">
      <w:pPr>
        <w:pStyle w:val="ListParagraph"/>
        <w:numPr>
          <w:ilvl w:val="0"/>
          <w:numId w:val="10"/>
        </w:numPr>
        <w:jc w:val="both"/>
      </w:pPr>
      <w:r>
        <w:rPr>
          <w:b/>
          <w:bCs/>
        </w:rPr>
        <w:t>CPP program logic</w:t>
      </w:r>
      <w:r w:rsidR="000D6E31" w:rsidRPr="0012389B">
        <w:t xml:space="preserve">: developing a CPP strategic framing or program logic where each partner can see where their own individual </w:t>
      </w:r>
      <w:r>
        <w:t>work fits</w:t>
      </w:r>
      <w:r w:rsidR="000D6E31" w:rsidRPr="0012389B">
        <w:t xml:space="preserve">. The program logic in section 5 was developed through a series of </w:t>
      </w:r>
      <w:r w:rsidR="007D6AFE" w:rsidRPr="0012389B">
        <w:t>z</w:t>
      </w:r>
      <w:r w:rsidR="000D6E31" w:rsidRPr="0012389B">
        <w:t xml:space="preserve">oom workshops with partners. One workshop showed that most partners have overlapping priorities in terms of thematic/sectoral areas. </w:t>
      </w:r>
    </w:p>
    <w:p w14:paraId="322FF247" w14:textId="57C459E6" w:rsidR="000D6E31" w:rsidRPr="0012389B" w:rsidRDefault="00037295" w:rsidP="00791619">
      <w:pPr>
        <w:pStyle w:val="ListParagraph"/>
        <w:numPr>
          <w:ilvl w:val="0"/>
          <w:numId w:val="10"/>
        </w:numPr>
        <w:jc w:val="both"/>
      </w:pPr>
      <w:r>
        <w:rPr>
          <w:b/>
          <w:bCs/>
        </w:rPr>
        <w:t>CPP p</w:t>
      </w:r>
      <w:r w:rsidR="000D6E31" w:rsidRPr="0012389B">
        <w:rPr>
          <w:b/>
          <w:bCs/>
        </w:rPr>
        <w:t>artner plans</w:t>
      </w:r>
      <w:r w:rsidR="000D6E31" w:rsidRPr="0012389B">
        <w:t xml:space="preserve">: supporting partners to take a more outcomes-oriented focus </w:t>
      </w:r>
      <w:r w:rsidR="00860D92">
        <w:t xml:space="preserve">that supports their organisational sustainability </w:t>
      </w:r>
      <w:r w:rsidR="000D6E31" w:rsidRPr="0012389B">
        <w:t xml:space="preserve">by linking funding to three-year </w:t>
      </w:r>
      <w:r>
        <w:t>CPP partner</w:t>
      </w:r>
      <w:r w:rsidR="000D6E31" w:rsidRPr="0012389B">
        <w:t xml:space="preserve"> plans with clearly defined high-level results related to </w:t>
      </w:r>
      <w:r>
        <w:t>the CPP program logic</w:t>
      </w:r>
      <w:r w:rsidR="000D6E31" w:rsidRPr="0012389B">
        <w:t xml:space="preserve">. </w:t>
      </w:r>
      <w:r>
        <w:t xml:space="preserve">These plans could be based on partner’s work in thematic/sectoral areas where </w:t>
      </w:r>
      <w:r w:rsidR="00583FD4">
        <w:t xml:space="preserve">they have a comparative advantage. </w:t>
      </w:r>
      <w:r w:rsidR="000D6E31" w:rsidRPr="0012389B">
        <w:t xml:space="preserve">Many partners already have organisational strategies that could be used for this purpose, although CPP would only fund the components of those strategies that align with the program logic. Other partners will need assistance to write their own program plans in the Inception </w:t>
      </w:r>
      <w:r>
        <w:t>p</w:t>
      </w:r>
      <w:r w:rsidR="00B51D59" w:rsidRPr="0012389B">
        <w:t>eriod</w:t>
      </w:r>
      <w:r w:rsidR="000D6E31" w:rsidRPr="0012389B">
        <w:t xml:space="preserve">. </w:t>
      </w:r>
    </w:p>
    <w:p w14:paraId="746E6754" w14:textId="285D6B65" w:rsidR="000D6E31" w:rsidRPr="0012389B" w:rsidRDefault="000D6E31" w:rsidP="00791619">
      <w:pPr>
        <w:pStyle w:val="ListParagraph"/>
        <w:numPr>
          <w:ilvl w:val="0"/>
          <w:numId w:val="10"/>
        </w:numPr>
        <w:jc w:val="both"/>
      </w:pPr>
      <w:r w:rsidRPr="0012389B">
        <w:rPr>
          <w:b/>
          <w:bCs/>
        </w:rPr>
        <w:lastRenderedPageBreak/>
        <w:t xml:space="preserve">Behaviour change: </w:t>
      </w:r>
      <w:r w:rsidRPr="0012389B">
        <w:t xml:space="preserve">for many partners, an increased focus on outcomes means a greater focus on educating the community and influencing their behaviours and attitudes. For example, this could be behaviours related to COVID-19, </w:t>
      </w:r>
      <w:proofErr w:type="gramStart"/>
      <w:r w:rsidRPr="0012389B">
        <w:t>WASH</w:t>
      </w:r>
      <w:proofErr w:type="gramEnd"/>
      <w:r w:rsidRPr="0012389B">
        <w:t xml:space="preserve"> or adult literacy (aligned to partners</w:t>
      </w:r>
      <w:r w:rsidR="00F716D2">
        <w:t>’</w:t>
      </w:r>
      <w:r w:rsidRPr="0012389B">
        <w:t xml:space="preserve"> thematic focus areas), and attitudes and behaviours related to gender equality and people with disabilities. In the next phase, CPP partners will have the opportunity to work with BCEP’s media partners to learn how the media can be engaged to increase their behaviour change objectives. </w:t>
      </w:r>
    </w:p>
    <w:p w14:paraId="4A7F040A" w14:textId="6C4F5150" w:rsidR="000D6E31" w:rsidRPr="0012389B" w:rsidRDefault="000A5CD8" w:rsidP="00791619">
      <w:pPr>
        <w:pStyle w:val="ListParagraph"/>
        <w:numPr>
          <w:ilvl w:val="0"/>
          <w:numId w:val="10"/>
        </w:numPr>
        <w:jc w:val="both"/>
      </w:pPr>
      <w:r w:rsidRPr="0012389B">
        <w:rPr>
          <w:b/>
          <w:bCs/>
        </w:rPr>
        <w:t>MEL</w:t>
      </w:r>
      <w:r w:rsidR="000D6E31" w:rsidRPr="0012389B">
        <w:rPr>
          <w:b/>
          <w:bCs/>
        </w:rPr>
        <w:t xml:space="preserve">: </w:t>
      </w:r>
      <w:r w:rsidR="000D6E31" w:rsidRPr="0012389B">
        <w:t xml:space="preserve">developing separate but linked </w:t>
      </w:r>
      <w:r w:rsidRPr="0012389B">
        <w:t>MEL</w:t>
      </w:r>
      <w:r w:rsidR="000D6E31" w:rsidRPr="0012389B">
        <w:t xml:space="preserve"> frameworks at program and partner level so that results at one level can be easily filtered and aggregated to the next level. The </w:t>
      </w:r>
      <w:r w:rsidRPr="0012389B">
        <w:t>MEL</w:t>
      </w:r>
      <w:r w:rsidR="000D6E31" w:rsidRPr="0012389B">
        <w:t xml:space="preserve"> framework should provide the basis for partner-level and program-level reporting. The CPP Coordination Office (CPPCO) needs to be resourced with significant in-house expertise to build partners </w:t>
      </w:r>
      <w:r w:rsidRPr="0012389B">
        <w:t>MEL</w:t>
      </w:r>
      <w:r w:rsidR="000D6E31" w:rsidRPr="0012389B">
        <w:t xml:space="preserve"> capacity.</w:t>
      </w:r>
    </w:p>
    <w:p w14:paraId="05CADDA9" w14:textId="483F4D75" w:rsidR="000D6E31" w:rsidRPr="0012389B" w:rsidRDefault="000D6E31" w:rsidP="00791619">
      <w:pPr>
        <w:pStyle w:val="ListParagraph"/>
        <w:numPr>
          <w:ilvl w:val="0"/>
          <w:numId w:val="10"/>
        </w:numPr>
        <w:jc w:val="both"/>
      </w:pPr>
      <w:r w:rsidRPr="0012389B">
        <w:rPr>
          <w:b/>
          <w:bCs/>
        </w:rPr>
        <w:t xml:space="preserve">Learning: </w:t>
      </w:r>
      <w:r w:rsidRPr="0012389B">
        <w:t xml:space="preserve">could be made more strategic strengthened by integrating learning objectives into the program logic and based on emerging partner thematic priorities, </w:t>
      </w:r>
      <w:r w:rsidR="00583FD4">
        <w:t xml:space="preserve">as well as </w:t>
      </w:r>
      <w:r w:rsidRPr="0012389B">
        <w:t>GEDSI</w:t>
      </w:r>
      <w:r w:rsidR="00583FD4">
        <w:t>, MEL, financial management</w:t>
      </w:r>
      <w:r w:rsidRPr="0012389B">
        <w:t xml:space="preserve"> and social accountability</w:t>
      </w:r>
      <w:r w:rsidR="00583FD4">
        <w:t>.</w:t>
      </w:r>
    </w:p>
    <w:p w14:paraId="52A650B2" w14:textId="1F6AA043" w:rsidR="000D6E31" w:rsidRPr="0012389B" w:rsidRDefault="000D6E31" w:rsidP="00791619">
      <w:pPr>
        <w:jc w:val="both"/>
      </w:pPr>
      <w:r w:rsidRPr="0012389B">
        <w:t xml:space="preserve">In the next phase, there is an opportunity to increase impact by building on CPP’s foundations for coordination while </w:t>
      </w:r>
      <w:r w:rsidR="00583FD4">
        <w:t>leveraging the potential of</w:t>
      </w:r>
      <w:r w:rsidRPr="0012389B">
        <w:t xml:space="preserve"> partners’ community engagement and development activities</w:t>
      </w:r>
      <w:r w:rsidR="00583FD4">
        <w:t xml:space="preserve"> to be used for the generation of evidence for policy influencing</w:t>
      </w:r>
      <w:r w:rsidRPr="0012389B">
        <w:t xml:space="preserve">. </w:t>
      </w:r>
    </w:p>
    <w:p w14:paraId="2D1A93B6" w14:textId="7C88D746" w:rsidR="003A3799" w:rsidRPr="0012389B" w:rsidRDefault="00F923D1" w:rsidP="00791619">
      <w:pPr>
        <w:pStyle w:val="Heading2"/>
        <w:numPr>
          <w:ilvl w:val="1"/>
          <w:numId w:val="1"/>
        </w:numPr>
        <w:ind w:left="709" w:hanging="709"/>
        <w:jc w:val="both"/>
        <w:rPr>
          <w:b/>
          <w:bCs/>
          <w:sz w:val="24"/>
          <w:szCs w:val="24"/>
        </w:rPr>
      </w:pPr>
      <w:bookmarkStart w:id="48" w:name="_Toc97214415"/>
      <w:bookmarkStart w:id="49" w:name="_Toc97305461"/>
      <w:bookmarkStart w:id="50" w:name="_Toc99041660"/>
      <w:r w:rsidRPr="0012389B">
        <w:rPr>
          <w:b/>
          <w:bCs/>
          <w:sz w:val="24"/>
          <w:szCs w:val="24"/>
        </w:rPr>
        <w:t>P</w:t>
      </w:r>
      <w:r w:rsidR="003A3799" w:rsidRPr="0012389B">
        <w:rPr>
          <w:b/>
          <w:bCs/>
          <w:sz w:val="24"/>
          <w:szCs w:val="24"/>
        </w:rPr>
        <w:t>olicy engagement</w:t>
      </w:r>
      <w:bookmarkEnd w:id="48"/>
      <w:bookmarkEnd w:id="49"/>
      <w:r w:rsidRPr="0012389B">
        <w:rPr>
          <w:b/>
          <w:bCs/>
          <w:sz w:val="24"/>
          <w:szCs w:val="24"/>
        </w:rPr>
        <w:t xml:space="preserve"> and social accountability</w:t>
      </w:r>
      <w:bookmarkEnd w:id="50"/>
    </w:p>
    <w:p w14:paraId="7E160D55" w14:textId="510DA5BA" w:rsidR="006C255E" w:rsidRPr="0012389B" w:rsidRDefault="0072606F" w:rsidP="00791619">
      <w:pPr>
        <w:jc w:val="both"/>
      </w:pPr>
      <w:r w:rsidRPr="0012389B">
        <w:t>While t</w:t>
      </w:r>
      <w:r w:rsidR="00520F56" w:rsidRPr="0012389B">
        <w:t xml:space="preserve">he CPP design document for the current phase </w:t>
      </w:r>
      <w:r w:rsidRPr="0012389B">
        <w:t>recogni</w:t>
      </w:r>
      <w:r w:rsidR="005440F5" w:rsidRPr="0012389B">
        <w:t>s</w:t>
      </w:r>
      <w:r w:rsidRPr="0012389B">
        <w:t>ed</w:t>
      </w:r>
      <w:r w:rsidR="00520F56" w:rsidRPr="0012389B">
        <w:t xml:space="preserve"> church</w:t>
      </w:r>
      <w:r w:rsidRPr="0012389B">
        <w:t xml:space="preserve"> partners</w:t>
      </w:r>
      <w:r w:rsidR="00520F56" w:rsidRPr="0012389B">
        <w:t xml:space="preserve"> significant potential to contribute to PNG policy, </w:t>
      </w:r>
      <w:r w:rsidR="00927E7E" w:rsidRPr="0012389B">
        <w:t>the Program did</w:t>
      </w:r>
      <w:r w:rsidRPr="0012389B">
        <w:t xml:space="preserve"> not actively support</w:t>
      </w:r>
      <w:r w:rsidR="00927E7E" w:rsidRPr="0012389B">
        <w:t xml:space="preserve"> partners</w:t>
      </w:r>
      <w:r w:rsidRPr="0012389B">
        <w:t xml:space="preserve"> to do </w:t>
      </w:r>
      <w:r w:rsidR="0074608B" w:rsidRPr="0012389B">
        <w:t>so,</w:t>
      </w:r>
      <w:r w:rsidRPr="0012389B">
        <w:t xml:space="preserve"> and little policy engagement</w:t>
      </w:r>
      <w:r w:rsidR="00F923D1" w:rsidRPr="0012389B">
        <w:t xml:space="preserve"> took place</w:t>
      </w:r>
      <w:r w:rsidRPr="0012389B">
        <w:t>. T</w:t>
      </w:r>
      <w:r w:rsidR="00583FD4">
        <w:t>o increase engagement on policy issues in</w:t>
      </w:r>
      <w:r w:rsidR="00200CC8" w:rsidRPr="0012389B">
        <w:t xml:space="preserve"> the next phase</w:t>
      </w:r>
      <w:r w:rsidR="00583FD4">
        <w:t xml:space="preserve">, CPP </w:t>
      </w:r>
      <w:r w:rsidRPr="0012389B">
        <w:t>partner</w:t>
      </w:r>
      <w:r w:rsidR="00200CC8" w:rsidRPr="0012389B">
        <w:t>s</w:t>
      </w:r>
      <w:r w:rsidRPr="0012389B">
        <w:t xml:space="preserve"> </w:t>
      </w:r>
      <w:r w:rsidR="00200CC8" w:rsidRPr="0012389B">
        <w:t xml:space="preserve">will </w:t>
      </w:r>
      <w:r w:rsidRPr="0012389B">
        <w:t xml:space="preserve">require </w:t>
      </w:r>
      <w:r w:rsidR="00200CC8" w:rsidRPr="0012389B">
        <w:t xml:space="preserve">significant </w:t>
      </w:r>
      <w:r w:rsidR="00F923D1" w:rsidRPr="0012389B">
        <w:t>capacity development</w:t>
      </w:r>
      <w:r w:rsidRPr="0012389B">
        <w:t xml:space="preserve"> support t</w:t>
      </w:r>
      <w:r w:rsidR="00F923D1" w:rsidRPr="0012389B">
        <w:t xml:space="preserve">ailored </w:t>
      </w:r>
      <w:r w:rsidR="0074608B" w:rsidRPr="0012389B">
        <w:t xml:space="preserve">to </w:t>
      </w:r>
      <w:r w:rsidR="00F923D1" w:rsidRPr="0012389B">
        <w:t xml:space="preserve">their specific </w:t>
      </w:r>
      <w:r w:rsidRPr="0012389B">
        <w:t>organi</w:t>
      </w:r>
      <w:r w:rsidR="005440F5" w:rsidRPr="0012389B">
        <w:t>s</w:t>
      </w:r>
      <w:r w:rsidRPr="0012389B">
        <w:t xml:space="preserve">ational </w:t>
      </w:r>
      <w:r w:rsidR="006C255E" w:rsidRPr="0012389B">
        <w:t>needs</w:t>
      </w:r>
      <w:r w:rsidRPr="0012389B">
        <w:t xml:space="preserve">. </w:t>
      </w:r>
      <w:r w:rsidR="00583FD4">
        <w:t>CPP partners should also have flexibility to engage on policy issue</w:t>
      </w:r>
      <w:r w:rsidR="007714AD">
        <w:t>s</w:t>
      </w:r>
      <w:r w:rsidR="00583FD4">
        <w:t xml:space="preserve"> </w:t>
      </w:r>
      <w:r w:rsidR="00C17FE3">
        <w:t xml:space="preserve">as appropriate to their </w:t>
      </w:r>
      <w:r w:rsidR="00200CC8" w:rsidRPr="0012389B">
        <w:t>organi</w:t>
      </w:r>
      <w:r w:rsidR="005440F5" w:rsidRPr="0012389B">
        <w:t>s</w:t>
      </w:r>
      <w:r w:rsidR="00200CC8" w:rsidRPr="0012389B">
        <w:t>ation</w:t>
      </w:r>
      <w:r w:rsidR="00F923D1" w:rsidRPr="0012389B">
        <w:t>al</w:t>
      </w:r>
      <w:r w:rsidR="00200CC8" w:rsidRPr="0012389B">
        <w:t xml:space="preserve"> </w:t>
      </w:r>
      <w:r w:rsidR="0074608B" w:rsidRPr="0012389B">
        <w:t xml:space="preserve">confidence </w:t>
      </w:r>
      <w:r w:rsidR="00C17FE3">
        <w:t xml:space="preserve">and comfort. Some CPP partners have very limited policy engagement experience and have not seen this as part of their role in the past. </w:t>
      </w:r>
    </w:p>
    <w:p w14:paraId="2258D8E1" w14:textId="68D7F502" w:rsidR="00C17FE3" w:rsidRDefault="006C255E" w:rsidP="00791619">
      <w:pPr>
        <w:jc w:val="both"/>
      </w:pPr>
      <w:r w:rsidRPr="0012389B">
        <w:t>Given CPP’s limited experience</w:t>
      </w:r>
      <w:r w:rsidR="00C17FE3">
        <w:t xml:space="preserve"> supporting policy engagement</w:t>
      </w:r>
      <w:r w:rsidRPr="0012389B">
        <w:t xml:space="preserve">, this </w:t>
      </w:r>
      <w:r w:rsidR="007A45F8">
        <w:t>CDD</w:t>
      </w:r>
      <w:r w:rsidR="00D81153" w:rsidRPr="0012389B">
        <w:t xml:space="preserve"> </w:t>
      </w:r>
      <w:r w:rsidR="004C5B37" w:rsidRPr="0012389B">
        <w:t>draws lessons from</w:t>
      </w:r>
      <w:r w:rsidRPr="0012389B">
        <w:t xml:space="preserve"> </w:t>
      </w:r>
      <w:r w:rsidR="00200CC8" w:rsidRPr="0012389B">
        <w:t>international experience</w:t>
      </w:r>
      <w:r w:rsidR="00903FCA" w:rsidRPr="0012389B">
        <w:t>, as</w:t>
      </w:r>
      <w:r w:rsidR="00200CC8" w:rsidRPr="0012389B">
        <w:t xml:space="preserve"> </w:t>
      </w:r>
      <w:r w:rsidR="00903FCA" w:rsidRPr="0012389B">
        <w:t xml:space="preserve">documented in the BCEP </w:t>
      </w:r>
      <w:r w:rsidR="00756DD5" w:rsidRPr="0012389B">
        <w:t>Design Document</w:t>
      </w:r>
      <w:r w:rsidR="00903FCA" w:rsidRPr="0012389B">
        <w:t xml:space="preserve"> </w:t>
      </w:r>
      <w:r w:rsidR="003B1065" w:rsidRPr="0012389B">
        <w:t xml:space="preserve">(section C) </w:t>
      </w:r>
      <w:r w:rsidRPr="0012389B">
        <w:t xml:space="preserve">for how to support </w:t>
      </w:r>
      <w:r w:rsidR="00903FCA" w:rsidRPr="0012389B">
        <w:t>policy engagement in</w:t>
      </w:r>
      <w:r w:rsidRPr="0012389B">
        <w:t xml:space="preserve"> the next phase</w:t>
      </w:r>
      <w:r w:rsidR="00F923D1" w:rsidRPr="0012389B">
        <w:t>.</w:t>
      </w:r>
      <w:r w:rsidR="004C5B37" w:rsidRPr="0012389B">
        <w:t xml:space="preserve"> </w:t>
      </w:r>
      <w:r w:rsidR="000D6E31" w:rsidRPr="0012389B">
        <w:t>The CPP design</w:t>
      </w:r>
      <w:r w:rsidR="006076C3" w:rsidRPr="0012389B">
        <w:t xml:space="preserve"> takes a </w:t>
      </w:r>
      <w:r w:rsidR="0074608B" w:rsidRPr="0012389B">
        <w:t xml:space="preserve">broad definition of policy </w:t>
      </w:r>
      <w:r w:rsidR="00C17FE3">
        <w:t xml:space="preserve">engagement and influencing </w:t>
      </w:r>
      <w:r w:rsidR="0074608B" w:rsidRPr="0012389B">
        <w:t xml:space="preserve">as </w:t>
      </w:r>
      <w:r w:rsidR="00C17FE3">
        <w:t xml:space="preserve">both: </w:t>
      </w:r>
      <w:r w:rsidR="006076C3" w:rsidRPr="0012389B">
        <w:t xml:space="preserve"> </w:t>
      </w:r>
    </w:p>
    <w:p w14:paraId="13C08835" w14:textId="751B7954" w:rsidR="00C17FE3" w:rsidRDefault="002D6E06" w:rsidP="00791619">
      <w:pPr>
        <w:pStyle w:val="ListParagraph"/>
        <w:numPr>
          <w:ilvl w:val="0"/>
          <w:numId w:val="41"/>
        </w:numPr>
        <w:jc w:val="both"/>
      </w:pPr>
      <w:r w:rsidRPr="0012389B">
        <w:t>efforts to</w:t>
      </w:r>
      <w:r w:rsidR="006076C3" w:rsidRPr="0012389B">
        <w:t xml:space="preserve"> chang</w:t>
      </w:r>
      <w:r w:rsidRPr="0012389B">
        <w:t>e</w:t>
      </w:r>
      <w:r w:rsidR="006076C3" w:rsidRPr="0012389B">
        <w:t xml:space="preserve"> government legislation, </w:t>
      </w:r>
      <w:r w:rsidRPr="0012389B">
        <w:t>standards,</w:t>
      </w:r>
      <w:r w:rsidR="006076C3" w:rsidRPr="0012389B">
        <w:t xml:space="preserve"> and</w:t>
      </w:r>
      <w:r w:rsidR="00C17FE3">
        <w:t xml:space="preserve"> the design and implementation of</w:t>
      </w:r>
      <w:r w:rsidR="006076C3" w:rsidRPr="0012389B">
        <w:t xml:space="preserve"> </w:t>
      </w:r>
      <w:r w:rsidRPr="0012389B">
        <w:t>policy</w:t>
      </w:r>
      <w:r w:rsidR="00C17FE3">
        <w:t>, using evidence, as well as</w:t>
      </w:r>
    </w:p>
    <w:p w14:paraId="3D4F1541" w14:textId="77777777" w:rsidR="00C17FE3" w:rsidRDefault="004C5B37" w:rsidP="00791619">
      <w:pPr>
        <w:pStyle w:val="ListParagraph"/>
        <w:numPr>
          <w:ilvl w:val="0"/>
          <w:numId w:val="41"/>
        </w:numPr>
        <w:jc w:val="both"/>
      </w:pPr>
      <w:r w:rsidRPr="0012389B">
        <w:t>local actions</w:t>
      </w:r>
      <w:r w:rsidR="000C7119" w:rsidRPr="0012389B">
        <w:t>, like</w:t>
      </w:r>
      <w:r w:rsidR="002D6E06" w:rsidRPr="0012389B">
        <w:t xml:space="preserve"> </w:t>
      </w:r>
      <w:r w:rsidRPr="0012389B">
        <w:t xml:space="preserve">the </w:t>
      </w:r>
      <w:r w:rsidR="002D6E06" w:rsidRPr="0012389B">
        <w:t xml:space="preserve">community working together with government </w:t>
      </w:r>
      <w:r w:rsidR="005E5280" w:rsidRPr="0012389B">
        <w:t>or other public authorit</w:t>
      </w:r>
      <w:r w:rsidR="00927E7E" w:rsidRPr="0012389B">
        <w:t>ies</w:t>
      </w:r>
      <w:r w:rsidR="005E5280" w:rsidRPr="0012389B">
        <w:t xml:space="preserve"> (</w:t>
      </w:r>
      <w:r w:rsidR="005440F5" w:rsidRPr="0012389B">
        <w:t>for example,</w:t>
      </w:r>
      <w:r w:rsidR="005E5280" w:rsidRPr="0012389B">
        <w:t xml:space="preserve"> churches) </w:t>
      </w:r>
      <w:r w:rsidR="002D6E06" w:rsidRPr="0012389B">
        <w:t>to solve local problems.</w:t>
      </w:r>
    </w:p>
    <w:p w14:paraId="73E07FCE" w14:textId="157CC956" w:rsidR="006076C3" w:rsidRPr="0012389B" w:rsidRDefault="002D6E06" w:rsidP="00F716D2">
      <w:pPr>
        <w:jc w:val="both"/>
      </w:pPr>
      <w:r w:rsidRPr="0012389B">
        <w:t xml:space="preserve">CPP can support partners to influence </w:t>
      </w:r>
      <w:r w:rsidR="006C255E" w:rsidRPr="0012389B">
        <w:t>both</w:t>
      </w:r>
      <w:r w:rsidRPr="0012389B">
        <w:t xml:space="preserve"> types of policy engagement. However, </w:t>
      </w:r>
      <w:r w:rsidR="006C255E" w:rsidRPr="0012389B">
        <w:t xml:space="preserve">international evidence from similar contexts to PNG shows that </w:t>
      </w:r>
      <w:r w:rsidR="004C5B37" w:rsidRPr="0012389B">
        <w:t>focusing</w:t>
      </w:r>
      <w:r w:rsidR="006C255E" w:rsidRPr="0012389B">
        <w:t xml:space="preserve"> </w:t>
      </w:r>
      <w:r w:rsidR="004C5B37" w:rsidRPr="0012389B">
        <w:t>on local problem-</w:t>
      </w:r>
      <w:r w:rsidR="000C7119" w:rsidRPr="0012389B">
        <w:t>solving to</w:t>
      </w:r>
      <w:r w:rsidR="004C5B37" w:rsidRPr="0012389B">
        <w:t xml:space="preserve"> begin with can build the capacity and confidence for engaging in the development of national laws and policies</w:t>
      </w:r>
      <w:r w:rsidR="000D6E31" w:rsidRPr="0012389B">
        <w:t xml:space="preserve"> later</w:t>
      </w:r>
      <w:r w:rsidR="006C255E" w:rsidRPr="0012389B">
        <w:t xml:space="preserve">. </w:t>
      </w:r>
      <w:r w:rsidRPr="0012389B">
        <w:t xml:space="preserve"> </w:t>
      </w:r>
      <w:r w:rsidR="006831B2" w:rsidRPr="0012389B">
        <w:t>The key learning for engaging at these different levels relevant to CPP is summar</w:t>
      </w:r>
      <w:r w:rsidR="00AA0526" w:rsidRPr="0012389B">
        <w:t>ised</w:t>
      </w:r>
      <w:r w:rsidR="006831B2" w:rsidRPr="0012389B">
        <w:t xml:space="preserve"> below.</w:t>
      </w:r>
    </w:p>
    <w:p w14:paraId="52D294DE" w14:textId="32BF1D4F" w:rsidR="006831B2" w:rsidRPr="0012389B" w:rsidRDefault="00B755C6" w:rsidP="00791619">
      <w:pPr>
        <w:pStyle w:val="Heading3"/>
        <w:jc w:val="both"/>
        <w:rPr>
          <w:b/>
          <w:bCs/>
        </w:rPr>
      </w:pPr>
      <w:r>
        <w:rPr>
          <w:b/>
          <w:bCs/>
        </w:rPr>
        <w:t>S</w:t>
      </w:r>
      <w:r w:rsidR="006831B2" w:rsidRPr="0012389B">
        <w:rPr>
          <w:b/>
          <w:bCs/>
        </w:rPr>
        <w:t>ocial accountability processes</w:t>
      </w:r>
      <w:r w:rsidR="00AD59C3">
        <w:rPr>
          <w:b/>
          <w:bCs/>
        </w:rPr>
        <w:t>: local problem solving</w:t>
      </w:r>
    </w:p>
    <w:p w14:paraId="12C64927" w14:textId="796B2AE1" w:rsidR="006D45C5" w:rsidRPr="0012389B" w:rsidRDefault="00B755C6" w:rsidP="00791619">
      <w:pPr>
        <w:suppressAutoHyphens/>
        <w:jc w:val="both"/>
        <w:rPr>
          <w:color w:val="000000" w:themeColor="text1"/>
        </w:rPr>
      </w:pPr>
      <w:r>
        <w:rPr>
          <w:b/>
          <w:bCs/>
          <w:color w:val="000000" w:themeColor="text1"/>
        </w:rPr>
        <w:t>S</w:t>
      </w:r>
      <w:r w:rsidR="00903FCA" w:rsidRPr="0012389B">
        <w:rPr>
          <w:b/>
          <w:bCs/>
          <w:color w:val="000000" w:themeColor="text1"/>
        </w:rPr>
        <w:t>ocial accountability</w:t>
      </w:r>
      <w:r w:rsidR="004A6130" w:rsidRPr="0012389B">
        <w:rPr>
          <w:b/>
          <w:bCs/>
          <w:color w:val="000000" w:themeColor="text1"/>
        </w:rPr>
        <w:t xml:space="preserve"> processes </w:t>
      </w:r>
      <w:r>
        <w:rPr>
          <w:color w:val="000000" w:themeColor="text1"/>
        </w:rPr>
        <w:t>can</w:t>
      </w:r>
      <w:r w:rsidR="004A6130" w:rsidRPr="0012389B">
        <w:rPr>
          <w:color w:val="000000" w:themeColor="text1"/>
        </w:rPr>
        <w:t xml:space="preserve"> </w:t>
      </w:r>
      <w:r>
        <w:rPr>
          <w:color w:val="000000" w:themeColor="text1"/>
        </w:rPr>
        <w:t xml:space="preserve">be </w:t>
      </w:r>
      <w:r w:rsidR="004A6130" w:rsidRPr="0012389B">
        <w:rPr>
          <w:color w:val="000000" w:themeColor="text1"/>
        </w:rPr>
        <w:t xml:space="preserve">effective </w:t>
      </w:r>
      <w:r w:rsidR="00F719EE" w:rsidRPr="0012389B">
        <w:rPr>
          <w:color w:val="000000" w:themeColor="text1"/>
        </w:rPr>
        <w:t xml:space="preserve">in </w:t>
      </w:r>
      <w:r>
        <w:rPr>
          <w:color w:val="000000" w:themeColor="text1"/>
        </w:rPr>
        <w:t xml:space="preserve">solving local problems, such as basic service delivery </w:t>
      </w:r>
      <w:r w:rsidR="004A6130" w:rsidRPr="0012389B">
        <w:rPr>
          <w:color w:val="000000" w:themeColor="text1"/>
        </w:rPr>
        <w:t xml:space="preserve">when they promote collaboration between the community and public authorities. Though often defined as </w:t>
      </w:r>
      <w:r w:rsidR="005D24AB" w:rsidRPr="0012389B">
        <w:rPr>
          <w:color w:val="000000" w:themeColor="text1"/>
        </w:rPr>
        <w:t>‘</w:t>
      </w:r>
      <w:r w:rsidR="004A6130" w:rsidRPr="0012389B">
        <w:rPr>
          <w:color w:val="000000" w:themeColor="text1"/>
        </w:rPr>
        <w:t>informed citizens holding governments to account for deliver</w:t>
      </w:r>
      <w:r w:rsidR="00E60B47" w:rsidRPr="0012389B">
        <w:rPr>
          <w:color w:val="000000" w:themeColor="text1"/>
        </w:rPr>
        <w:t>y of</w:t>
      </w:r>
      <w:r w:rsidR="004A6130" w:rsidRPr="0012389B">
        <w:rPr>
          <w:color w:val="000000" w:themeColor="text1"/>
        </w:rPr>
        <w:t xml:space="preserve"> public services</w:t>
      </w:r>
      <w:r w:rsidR="005D24AB" w:rsidRPr="0012389B">
        <w:rPr>
          <w:color w:val="000000" w:themeColor="text1"/>
        </w:rPr>
        <w:t>’</w:t>
      </w:r>
      <w:r w:rsidR="004A6130" w:rsidRPr="0012389B">
        <w:rPr>
          <w:color w:val="000000" w:themeColor="text1"/>
        </w:rPr>
        <w:t xml:space="preserve">, </w:t>
      </w:r>
      <w:r w:rsidR="00D27C8B" w:rsidRPr="0012389B">
        <w:rPr>
          <w:color w:val="000000" w:themeColor="text1"/>
        </w:rPr>
        <w:t xml:space="preserve">in practice, </w:t>
      </w:r>
      <w:r w:rsidR="004A6130" w:rsidRPr="0012389B">
        <w:rPr>
          <w:color w:val="000000" w:themeColor="text1"/>
        </w:rPr>
        <w:t>constructive, non-confrontational engagement</w:t>
      </w:r>
      <w:r w:rsidR="00D27C8B" w:rsidRPr="0012389B">
        <w:rPr>
          <w:color w:val="000000" w:themeColor="text1"/>
        </w:rPr>
        <w:t xml:space="preserve"> focussed on problem-solving</w:t>
      </w:r>
      <w:r w:rsidR="004A6130" w:rsidRPr="0012389B">
        <w:rPr>
          <w:color w:val="000000" w:themeColor="text1"/>
        </w:rPr>
        <w:t xml:space="preserve"> has been shown to </w:t>
      </w:r>
      <w:r w:rsidR="007C4B10" w:rsidRPr="0012389B">
        <w:rPr>
          <w:color w:val="000000" w:themeColor="text1"/>
        </w:rPr>
        <w:t xml:space="preserve">be </w:t>
      </w:r>
      <w:r w:rsidR="004A6130" w:rsidRPr="0012389B">
        <w:rPr>
          <w:color w:val="000000" w:themeColor="text1"/>
        </w:rPr>
        <w:t>the most effective</w:t>
      </w:r>
      <w:r w:rsidR="007C4B10" w:rsidRPr="0012389B">
        <w:rPr>
          <w:color w:val="000000" w:themeColor="text1"/>
        </w:rPr>
        <w:t xml:space="preserve"> </w:t>
      </w:r>
      <w:r>
        <w:rPr>
          <w:color w:val="000000" w:themeColor="text1"/>
        </w:rPr>
        <w:t xml:space="preserve">approach to social accountability </w:t>
      </w:r>
      <w:r w:rsidR="00853F1F" w:rsidRPr="0012389B">
        <w:rPr>
          <w:color w:val="000000" w:themeColor="text1"/>
        </w:rPr>
        <w:t xml:space="preserve">and is the approach proposed for adoption </w:t>
      </w:r>
      <w:r w:rsidR="00853F1F" w:rsidRPr="0012389B">
        <w:rPr>
          <w:color w:val="000000" w:themeColor="text1"/>
        </w:rPr>
        <w:lastRenderedPageBreak/>
        <w:t xml:space="preserve">by CPP partners in </w:t>
      </w:r>
      <w:r w:rsidR="007D4FFD" w:rsidRPr="0012389B">
        <w:rPr>
          <w:color w:val="000000" w:themeColor="text1"/>
        </w:rPr>
        <w:t>PNG</w:t>
      </w:r>
      <w:r w:rsidR="004A6130" w:rsidRPr="0012389B">
        <w:rPr>
          <w:color w:val="000000" w:themeColor="text1"/>
        </w:rPr>
        <w:t xml:space="preserve">.  </w:t>
      </w:r>
      <w:r w:rsidR="007C4B10" w:rsidRPr="0012389B">
        <w:rPr>
          <w:color w:val="000000" w:themeColor="text1"/>
        </w:rPr>
        <w:t xml:space="preserve">The concept is that when citizens engage with service providers, for example through participating in planning local services, </w:t>
      </w:r>
      <w:r w:rsidR="00F719EE" w:rsidRPr="0012389B">
        <w:rPr>
          <w:color w:val="000000" w:themeColor="text1"/>
        </w:rPr>
        <w:t>their</w:t>
      </w:r>
      <w:r w:rsidR="007C4B10" w:rsidRPr="0012389B">
        <w:rPr>
          <w:color w:val="000000" w:themeColor="text1"/>
        </w:rPr>
        <w:t xml:space="preserve"> views are more likely to be heard and to influence government </w:t>
      </w:r>
      <w:r w:rsidR="00D66561" w:rsidRPr="0012389B">
        <w:rPr>
          <w:color w:val="000000" w:themeColor="text1"/>
        </w:rPr>
        <w:t>actions</w:t>
      </w:r>
      <w:r w:rsidR="007C4B10" w:rsidRPr="0012389B">
        <w:rPr>
          <w:color w:val="000000" w:themeColor="text1"/>
        </w:rPr>
        <w:t xml:space="preserve"> leading to better quality services</w:t>
      </w:r>
      <w:r w:rsidR="00F719EE" w:rsidRPr="0012389B">
        <w:rPr>
          <w:color w:val="000000" w:themeColor="text1"/>
        </w:rPr>
        <w:t>.</w:t>
      </w:r>
      <w:r w:rsidR="007C4B10" w:rsidRPr="0012389B">
        <w:rPr>
          <w:vertAlign w:val="superscript"/>
        </w:rPr>
        <w:footnoteReference w:id="30"/>
      </w:r>
      <w:r w:rsidR="00F719EE" w:rsidRPr="0012389B">
        <w:rPr>
          <w:color w:val="000000" w:themeColor="text1"/>
          <w:vertAlign w:val="superscript"/>
        </w:rPr>
        <w:t xml:space="preserve"> </w:t>
      </w:r>
      <w:r w:rsidR="005440F5" w:rsidRPr="0012389B">
        <w:rPr>
          <w:rFonts w:cs="Times New Roman (Body CS)"/>
          <w:color w:val="000000" w:themeColor="text1"/>
          <w:vertAlign w:val="superscript"/>
        </w:rPr>
        <w:t xml:space="preserve"> </w:t>
      </w:r>
      <w:r w:rsidR="00927E7E" w:rsidRPr="0012389B">
        <w:rPr>
          <w:color w:val="000000" w:themeColor="text1"/>
        </w:rPr>
        <w:t>While relatively few social accountability projects have been implemented in PNG, BCEP include</w:t>
      </w:r>
      <w:r w:rsidR="006D45C5" w:rsidRPr="0012389B">
        <w:rPr>
          <w:color w:val="000000" w:themeColor="text1"/>
        </w:rPr>
        <w:t>s</w:t>
      </w:r>
      <w:r w:rsidR="00927E7E" w:rsidRPr="0012389B">
        <w:rPr>
          <w:color w:val="000000" w:themeColor="text1"/>
        </w:rPr>
        <w:t xml:space="preserve"> the main INGOs that have </w:t>
      </w:r>
      <w:r w:rsidR="006D45C5" w:rsidRPr="0012389B">
        <w:rPr>
          <w:color w:val="000000" w:themeColor="text1"/>
        </w:rPr>
        <w:t xml:space="preserve">current, </w:t>
      </w:r>
      <w:r w:rsidR="00927E7E" w:rsidRPr="0012389B">
        <w:rPr>
          <w:color w:val="000000" w:themeColor="text1"/>
        </w:rPr>
        <w:t>successful</w:t>
      </w:r>
      <w:r w:rsidR="006D45C5" w:rsidRPr="0012389B">
        <w:rPr>
          <w:color w:val="000000" w:themeColor="text1"/>
        </w:rPr>
        <w:t xml:space="preserve"> </w:t>
      </w:r>
      <w:r w:rsidR="00927E7E" w:rsidRPr="0012389B">
        <w:rPr>
          <w:color w:val="000000" w:themeColor="text1"/>
        </w:rPr>
        <w:t>experience</w:t>
      </w:r>
      <w:r>
        <w:rPr>
          <w:color w:val="000000" w:themeColor="text1"/>
        </w:rPr>
        <w:t xml:space="preserve"> (under component 3)</w:t>
      </w:r>
      <w:r w:rsidR="00E97804" w:rsidRPr="0012389B">
        <w:rPr>
          <w:color w:val="000000" w:themeColor="text1"/>
        </w:rPr>
        <w:t>.</w:t>
      </w:r>
    </w:p>
    <w:p w14:paraId="5553FF08" w14:textId="77777777" w:rsidR="00E60B47" w:rsidRPr="0012389B" w:rsidRDefault="00E97804" w:rsidP="00791619">
      <w:pPr>
        <w:suppressAutoHyphens/>
        <w:jc w:val="both"/>
        <w:rPr>
          <w:color w:val="000000" w:themeColor="text1"/>
        </w:rPr>
      </w:pPr>
      <w:r w:rsidRPr="0012389B">
        <w:rPr>
          <w:color w:val="000000" w:themeColor="text1"/>
        </w:rPr>
        <w:t>Effective</w:t>
      </w:r>
      <w:r w:rsidR="00927E7E" w:rsidRPr="0012389B">
        <w:rPr>
          <w:color w:val="000000" w:themeColor="text1"/>
        </w:rPr>
        <w:t xml:space="preserve"> </w:t>
      </w:r>
      <w:r w:rsidR="006D45C5" w:rsidRPr="0012389B">
        <w:rPr>
          <w:color w:val="000000" w:themeColor="text1"/>
        </w:rPr>
        <w:t xml:space="preserve">social accountability </w:t>
      </w:r>
      <w:r w:rsidR="00927E7E" w:rsidRPr="0012389B">
        <w:rPr>
          <w:color w:val="000000" w:themeColor="text1"/>
        </w:rPr>
        <w:t xml:space="preserve">initiatives </w:t>
      </w:r>
      <w:r w:rsidRPr="0012389B">
        <w:rPr>
          <w:color w:val="000000" w:themeColor="text1"/>
        </w:rPr>
        <w:t>require</w:t>
      </w:r>
      <w:r w:rsidR="00927E7E" w:rsidRPr="0012389B">
        <w:rPr>
          <w:color w:val="000000" w:themeColor="text1"/>
        </w:rPr>
        <w:t xml:space="preserve"> skilled and trusted intermediaries to broker constructive engagement</w:t>
      </w:r>
      <w:r w:rsidR="006D45C5" w:rsidRPr="0012389B">
        <w:rPr>
          <w:color w:val="000000" w:themeColor="text1"/>
        </w:rPr>
        <w:t xml:space="preserve"> </w:t>
      </w:r>
      <w:r w:rsidRPr="0012389B">
        <w:rPr>
          <w:color w:val="000000" w:themeColor="text1"/>
        </w:rPr>
        <w:t>with c</w:t>
      </w:r>
      <w:r w:rsidR="006D45C5" w:rsidRPr="0012389B">
        <w:rPr>
          <w:color w:val="000000" w:themeColor="text1"/>
        </w:rPr>
        <w:t>ommunities and government</w:t>
      </w:r>
      <w:r w:rsidR="00927E7E" w:rsidRPr="0012389B">
        <w:rPr>
          <w:color w:val="000000" w:themeColor="text1"/>
        </w:rPr>
        <w:t>.</w:t>
      </w:r>
      <w:r w:rsidR="006D45C5" w:rsidRPr="0012389B">
        <w:rPr>
          <w:color w:val="000000" w:themeColor="text1"/>
        </w:rPr>
        <w:t xml:space="preserve"> As outlined in section 2.2, churches </w:t>
      </w:r>
      <w:r w:rsidRPr="0012389B">
        <w:rPr>
          <w:color w:val="000000" w:themeColor="text1"/>
        </w:rPr>
        <w:t xml:space="preserve">are trusted by communities but </w:t>
      </w:r>
      <w:r w:rsidR="00E60B47" w:rsidRPr="0012389B">
        <w:rPr>
          <w:color w:val="000000" w:themeColor="text1"/>
        </w:rPr>
        <w:t xml:space="preserve">need to develop social accountability skills </w:t>
      </w:r>
      <w:r w:rsidRPr="0012389B">
        <w:rPr>
          <w:color w:val="000000" w:themeColor="text1"/>
        </w:rPr>
        <w:t>to effectively broker constructive</w:t>
      </w:r>
      <w:r w:rsidR="00E60B47" w:rsidRPr="0012389B">
        <w:rPr>
          <w:color w:val="000000" w:themeColor="text1"/>
        </w:rPr>
        <w:t xml:space="preserve"> engagement</w:t>
      </w:r>
      <w:r w:rsidRPr="0012389B">
        <w:rPr>
          <w:color w:val="000000" w:themeColor="text1"/>
        </w:rPr>
        <w:t>, whether to</w:t>
      </w:r>
      <w:r w:rsidR="00E60B47" w:rsidRPr="0012389B">
        <w:rPr>
          <w:color w:val="000000" w:themeColor="text1"/>
        </w:rPr>
        <w:t xml:space="preserve"> solve problems with</w:t>
      </w:r>
      <w:r w:rsidRPr="0012389B">
        <w:rPr>
          <w:color w:val="000000" w:themeColor="text1"/>
        </w:rPr>
        <w:t xml:space="preserve"> </w:t>
      </w:r>
      <w:r w:rsidR="00E60B47" w:rsidRPr="0012389B">
        <w:rPr>
          <w:color w:val="000000" w:themeColor="text1"/>
        </w:rPr>
        <w:t>government or their own church</w:t>
      </w:r>
      <w:r w:rsidRPr="0012389B">
        <w:rPr>
          <w:color w:val="000000" w:themeColor="text1"/>
        </w:rPr>
        <w:t xml:space="preserve"> </w:t>
      </w:r>
      <w:r w:rsidR="00E60B47" w:rsidRPr="0012389B">
        <w:rPr>
          <w:color w:val="000000" w:themeColor="text1"/>
        </w:rPr>
        <w:t xml:space="preserve">delivery of services. </w:t>
      </w:r>
    </w:p>
    <w:p w14:paraId="183B39AB" w14:textId="3D27FBB4" w:rsidR="007C4B10" w:rsidRPr="0012389B" w:rsidRDefault="00B755C6" w:rsidP="00791619">
      <w:pPr>
        <w:suppressAutoHyphens/>
        <w:jc w:val="both"/>
      </w:pPr>
      <w:r>
        <w:rPr>
          <w:color w:val="000000" w:themeColor="text1"/>
        </w:rPr>
        <w:t>CPP p</w:t>
      </w:r>
      <w:r w:rsidR="00D66561" w:rsidRPr="0012389B">
        <w:rPr>
          <w:color w:val="000000" w:themeColor="text1"/>
        </w:rPr>
        <w:t>artner</w:t>
      </w:r>
      <w:r w:rsidR="00E60B47" w:rsidRPr="0012389B">
        <w:rPr>
          <w:color w:val="000000" w:themeColor="text1"/>
        </w:rPr>
        <w:t>s</w:t>
      </w:r>
      <w:r w:rsidR="007714AD">
        <w:rPr>
          <w:color w:val="000000" w:themeColor="text1"/>
        </w:rPr>
        <w:t>’</w:t>
      </w:r>
      <w:r w:rsidR="00D66561" w:rsidRPr="0012389B">
        <w:rPr>
          <w:color w:val="000000" w:themeColor="text1"/>
        </w:rPr>
        <w:t xml:space="preserve"> </w:t>
      </w:r>
      <w:r w:rsidR="00E60B47" w:rsidRPr="0012389B">
        <w:rPr>
          <w:color w:val="000000" w:themeColor="text1"/>
        </w:rPr>
        <w:t>work</w:t>
      </w:r>
      <w:r w:rsidR="00D66561" w:rsidRPr="0012389B">
        <w:rPr>
          <w:color w:val="000000" w:themeColor="text1"/>
        </w:rPr>
        <w:t xml:space="preserve"> with </w:t>
      </w:r>
      <w:r w:rsidR="00704DD7" w:rsidRPr="0012389B">
        <w:rPr>
          <w:color w:val="000000" w:themeColor="text1"/>
        </w:rPr>
        <w:t xml:space="preserve">the </w:t>
      </w:r>
      <w:r w:rsidR="007D4FFD" w:rsidRPr="0012389B">
        <w:rPr>
          <w:color w:val="000000" w:themeColor="text1"/>
        </w:rPr>
        <w:t>faith-based</w:t>
      </w:r>
      <w:r w:rsidR="00D66561" w:rsidRPr="0012389B">
        <w:rPr>
          <w:color w:val="000000" w:themeColor="text1"/>
        </w:rPr>
        <w:t xml:space="preserve"> INGO</w:t>
      </w:r>
      <w:r w:rsidR="00704DD7" w:rsidRPr="0012389B">
        <w:rPr>
          <w:color w:val="000000" w:themeColor="text1"/>
        </w:rPr>
        <w:t xml:space="preserve"> </w:t>
      </w:r>
      <w:r w:rsidR="0035610E" w:rsidRPr="0012389B">
        <w:rPr>
          <w:color w:val="000000" w:themeColor="text1"/>
        </w:rPr>
        <w:t>Tearfund</w:t>
      </w:r>
      <w:r w:rsidR="00D66561" w:rsidRPr="0012389B">
        <w:rPr>
          <w:color w:val="000000" w:themeColor="text1"/>
        </w:rPr>
        <w:t xml:space="preserve"> </w:t>
      </w:r>
      <w:r w:rsidR="00E60B47" w:rsidRPr="0012389B">
        <w:rPr>
          <w:color w:val="000000" w:themeColor="text1"/>
        </w:rPr>
        <w:t>at the end of the current phase</w:t>
      </w:r>
      <w:r w:rsidR="00704DD7" w:rsidRPr="0012389B">
        <w:rPr>
          <w:color w:val="000000" w:themeColor="text1"/>
        </w:rPr>
        <w:t>,</w:t>
      </w:r>
      <w:r w:rsidR="00E60B47" w:rsidRPr="0012389B">
        <w:rPr>
          <w:color w:val="000000" w:themeColor="text1"/>
        </w:rPr>
        <w:t xml:space="preserve"> offers a way to develop these social accountability skills. </w:t>
      </w:r>
      <w:r w:rsidR="005638E9" w:rsidRPr="0012389B">
        <w:rPr>
          <w:color w:val="000000" w:themeColor="text1"/>
        </w:rPr>
        <w:t>Tearfund</w:t>
      </w:r>
      <w:r w:rsidR="00E60B47" w:rsidRPr="0012389B">
        <w:rPr>
          <w:color w:val="000000" w:themeColor="text1"/>
        </w:rPr>
        <w:t xml:space="preserve"> is </w:t>
      </w:r>
      <w:r w:rsidR="00C7436F" w:rsidRPr="0012389B">
        <w:rPr>
          <w:color w:val="000000" w:themeColor="text1"/>
        </w:rPr>
        <w:t xml:space="preserve">internationally recognised for their work </w:t>
      </w:r>
      <w:r w:rsidR="007D4FFD" w:rsidRPr="0012389B">
        <w:rPr>
          <w:color w:val="000000" w:themeColor="text1"/>
        </w:rPr>
        <w:t>i</w:t>
      </w:r>
      <w:r w:rsidR="00C7436F" w:rsidRPr="0012389B">
        <w:rPr>
          <w:color w:val="000000" w:themeColor="text1"/>
        </w:rPr>
        <w:t xml:space="preserve">n helping </w:t>
      </w:r>
      <w:r w:rsidR="00704DD7" w:rsidRPr="0012389B">
        <w:rPr>
          <w:color w:val="000000" w:themeColor="text1"/>
        </w:rPr>
        <w:t>c</w:t>
      </w:r>
      <w:r w:rsidR="00C7436F" w:rsidRPr="0012389B">
        <w:rPr>
          <w:color w:val="000000" w:themeColor="text1"/>
        </w:rPr>
        <w:t>hurches adapt and adopt</w:t>
      </w:r>
      <w:r w:rsidR="00D66561" w:rsidRPr="0012389B">
        <w:rPr>
          <w:color w:val="000000" w:themeColor="text1"/>
        </w:rPr>
        <w:t xml:space="preserve"> social accountability </w:t>
      </w:r>
      <w:r w:rsidR="00C7436F" w:rsidRPr="0012389B">
        <w:rPr>
          <w:color w:val="000000" w:themeColor="text1"/>
        </w:rPr>
        <w:t>approaches. Their approach starts with a focus on internal organisational change. T</w:t>
      </w:r>
      <w:r w:rsidR="007714AD">
        <w:rPr>
          <w:color w:val="000000" w:themeColor="text1"/>
        </w:rPr>
        <w:t>earf</w:t>
      </w:r>
      <w:r w:rsidR="00C7436F" w:rsidRPr="0012389B">
        <w:rPr>
          <w:color w:val="000000" w:themeColor="text1"/>
        </w:rPr>
        <w:t>und build</w:t>
      </w:r>
      <w:r w:rsidR="00704DD7" w:rsidRPr="0012389B">
        <w:rPr>
          <w:color w:val="000000" w:themeColor="text1"/>
        </w:rPr>
        <w:t>s</w:t>
      </w:r>
      <w:r w:rsidR="00C7436F" w:rsidRPr="0012389B">
        <w:rPr>
          <w:color w:val="000000" w:themeColor="text1"/>
        </w:rPr>
        <w:t xml:space="preserve"> churches</w:t>
      </w:r>
      <w:r w:rsidR="00F716D2">
        <w:rPr>
          <w:color w:val="000000" w:themeColor="text1"/>
        </w:rPr>
        <w:t>’</w:t>
      </w:r>
      <w:r w:rsidR="00C7436F" w:rsidRPr="0012389B">
        <w:rPr>
          <w:color w:val="000000" w:themeColor="text1"/>
        </w:rPr>
        <w:t xml:space="preserve"> understanding of concepts such as social accountability and policy engagement, </w:t>
      </w:r>
      <w:r w:rsidRPr="0012389B">
        <w:rPr>
          <w:color w:val="000000" w:themeColor="text1"/>
        </w:rPr>
        <w:t>to</w:t>
      </w:r>
      <w:r w:rsidR="00C7436F" w:rsidRPr="0012389B">
        <w:rPr>
          <w:color w:val="000000" w:themeColor="text1"/>
        </w:rPr>
        <w:t xml:space="preserve"> embed these within </w:t>
      </w:r>
      <w:r w:rsidR="00D27C8B" w:rsidRPr="0012389B">
        <w:rPr>
          <w:color w:val="000000" w:themeColor="text1"/>
        </w:rPr>
        <w:t>each</w:t>
      </w:r>
      <w:r w:rsidR="00C7436F" w:rsidRPr="0012389B">
        <w:rPr>
          <w:color w:val="000000" w:themeColor="text1"/>
        </w:rPr>
        <w:t xml:space="preserve"> </w:t>
      </w:r>
      <w:r w:rsidR="00D27C8B" w:rsidRPr="0012389B">
        <w:rPr>
          <w:color w:val="000000" w:themeColor="text1"/>
        </w:rPr>
        <w:t>church’s</w:t>
      </w:r>
      <w:r w:rsidR="00C7436F" w:rsidRPr="0012389B">
        <w:rPr>
          <w:color w:val="000000" w:themeColor="text1"/>
        </w:rPr>
        <w:t xml:space="preserve"> </w:t>
      </w:r>
      <w:r w:rsidR="00D27C8B" w:rsidRPr="0012389B">
        <w:rPr>
          <w:color w:val="000000" w:themeColor="text1"/>
        </w:rPr>
        <w:t xml:space="preserve">unique </w:t>
      </w:r>
      <w:r w:rsidR="00C7436F" w:rsidRPr="0012389B">
        <w:rPr>
          <w:color w:val="000000" w:themeColor="text1"/>
        </w:rPr>
        <w:t>orga</w:t>
      </w:r>
      <w:r w:rsidR="00D27C8B" w:rsidRPr="0012389B">
        <w:rPr>
          <w:color w:val="000000" w:themeColor="text1"/>
        </w:rPr>
        <w:t xml:space="preserve">nisational culture. </w:t>
      </w:r>
      <w:r w:rsidR="00250BD0" w:rsidRPr="0012389B">
        <w:rPr>
          <w:color w:val="000000" w:themeColor="text1"/>
        </w:rPr>
        <w:t xml:space="preserve">To achieve this, churches develop their own scriptural/theological understanding of the place of accountability in their church mission. They also </w:t>
      </w:r>
      <w:r w:rsidR="00250BD0" w:rsidRPr="0012389B">
        <w:t xml:space="preserve">identify appropriate </w:t>
      </w:r>
      <w:r w:rsidR="00AD59C3">
        <w:t>terms</w:t>
      </w:r>
      <w:r>
        <w:t xml:space="preserve"> for</w:t>
      </w:r>
      <w:r w:rsidR="00250BD0" w:rsidRPr="0012389B">
        <w:t xml:space="preserve"> explaining concepts like ‘accountability’, ‘civic engagement’ and ‘advocacy’ in local languages and the terminology of their church.</w:t>
      </w:r>
    </w:p>
    <w:p w14:paraId="4B513FD9" w14:textId="501CF237" w:rsidR="006831B2" w:rsidRPr="0012389B" w:rsidRDefault="006831B2" w:rsidP="00791619">
      <w:pPr>
        <w:pStyle w:val="Heading3"/>
        <w:jc w:val="both"/>
        <w:rPr>
          <w:b/>
          <w:bCs/>
        </w:rPr>
      </w:pPr>
      <w:r w:rsidRPr="0012389B">
        <w:rPr>
          <w:b/>
          <w:bCs/>
        </w:rPr>
        <w:t>National policy engagement</w:t>
      </w:r>
    </w:p>
    <w:p w14:paraId="501C02EB" w14:textId="73C281D6" w:rsidR="00E00975" w:rsidRPr="0012389B" w:rsidRDefault="006831B2" w:rsidP="00791619">
      <w:pPr>
        <w:suppressAutoHyphens/>
        <w:spacing w:afterLines="160" w:after="384"/>
        <w:jc w:val="both"/>
        <w:rPr>
          <w:color w:val="000000" w:themeColor="text1"/>
        </w:rPr>
      </w:pPr>
      <w:r w:rsidRPr="0012389B">
        <w:rPr>
          <w:color w:val="000000" w:themeColor="text1"/>
        </w:rPr>
        <w:t>Partners will require ongoing support over the long-term to develop confidence to engage at the national level to influence policy. However, the</w:t>
      </w:r>
      <w:r w:rsidR="00BD09A7" w:rsidRPr="0012389B">
        <w:rPr>
          <w:color w:val="000000" w:themeColor="text1"/>
        </w:rPr>
        <w:t xml:space="preserve"> three</w:t>
      </w:r>
      <w:r w:rsidRPr="0012389B">
        <w:rPr>
          <w:color w:val="000000" w:themeColor="text1"/>
        </w:rPr>
        <w:t xml:space="preserve"> opportunities for promoting policy engagement identified in section 2.2 </w:t>
      </w:r>
      <w:r w:rsidR="00BD09A7" w:rsidRPr="0012389B">
        <w:rPr>
          <w:color w:val="000000" w:themeColor="text1"/>
        </w:rPr>
        <w:t>can be leveraged as follows</w:t>
      </w:r>
      <w:r w:rsidR="00677FD9" w:rsidRPr="0012389B">
        <w:rPr>
          <w:color w:val="000000" w:themeColor="text1"/>
        </w:rPr>
        <w:t xml:space="preserve">: </w:t>
      </w:r>
      <w:r w:rsidR="00E00975" w:rsidRPr="0012389B">
        <w:rPr>
          <w:color w:val="000000" w:themeColor="text1"/>
        </w:rPr>
        <w:t xml:space="preserve"> </w:t>
      </w:r>
    </w:p>
    <w:p w14:paraId="21906DF2" w14:textId="72DCED48" w:rsidR="00D06806" w:rsidRPr="0012389B" w:rsidRDefault="00E00975" w:rsidP="00791619">
      <w:pPr>
        <w:pStyle w:val="ListParagraph"/>
        <w:numPr>
          <w:ilvl w:val="0"/>
          <w:numId w:val="19"/>
        </w:numPr>
        <w:spacing w:afterLines="160" w:after="384"/>
        <w:ind w:hanging="436"/>
        <w:jc w:val="both"/>
      </w:pPr>
      <w:r w:rsidRPr="0012389B">
        <w:rPr>
          <w:b/>
          <w:bCs/>
        </w:rPr>
        <w:t>PNGCC</w:t>
      </w:r>
      <w:r w:rsidRPr="0012389B">
        <w:t xml:space="preserve">: </w:t>
      </w:r>
      <w:r w:rsidR="004C600E" w:rsidRPr="0012389B">
        <w:t xml:space="preserve">CPP </w:t>
      </w:r>
      <w:r w:rsidR="00AD59C3">
        <w:t xml:space="preserve">could </w:t>
      </w:r>
      <w:r w:rsidR="004C600E" w:rsidRPr="0012389B">
        <w:t xml:space="preserve">develop PNGCC’s organisational capacity to develop and implement a strategic plan </w:t>
      </w:r>
      <w:r w:rsidR="00BD09A7" w:rsidRPr="0012389B">
        <w:t xml:space="preserve">to meet </w:t>
      </w:r>
      <w:r w:rsidR="00AD59C3">
        <w:t>is members</w:t>
      </w:r>
      <w:r w:rsidR="00BD09A7" w:rsidRPr="0012389B">
        <w:t xml:space="preserve"> priorities (see section 3.4). </w:t>
      </w:r>
      <w:r w:rsidR="00677FD9" w:rsidRPr="0012389B">
        <w:t xml:space="preserve">At the same time, </w:t>
      </w:r>
      <w:r w:rsidR="00AD59C3">
        <w:t>the</w:t>
      </w:r>
      <w:r w:rsidR="00677FD9" w:rsidRPr="0012389B">
        <w:t xml:space="preserve"> PNGCC </w:t>
      </w:r>
      <w:r w:rsidR="00AD59C3">
        <w:t xml:space="preserve">could be supported </w:t>
      </w:r>
      <w:r w:rsidR="00677FD9" w:rsidRPr="0012389B">
        <w:t xml:space="preserve">to become an effective platform for church partners to collaborate and learn about social accountability </w:t>
      </w:r>
      <w:r w:rsidR="00BD09A7" w:rsidRPr="0012389B">
        <w:t xml:space="preserve">and how evidence generated at this level could be applied to </w:t>
      </w:r>
      <w:r w:rsidR="00677FD9" w:rsidRPr="0012389B">
        <w:t>national issues.</w:t>
      </w:r>
    </w:p>
    <w:p w14:paraId="15C8AD97" w14:textId="4607D69B" w:rsidR="00AD59C3" w:rsidRPr="0073270D" w:rsidRDefault="00E00975" w:rsidP="00791619">
      <w:pPr>
        <w:pStyle w:val="ListParagraph"/>
        <w:numPr>
          <w:ilvl w:val="0"/>
          <w:numId w:val="19"/>
        </w:numPr>
        <w:spacing w:afterLines="160" w:after="384"/>
        <w:ind w:hanging="436"/>
        <w:jc w:val="both"/>
        <w:rPr>
          <w:color w:val="000000" w:themeColor="text1"/>
        </w:rPr>
      </w:pPr>
      <w:r w:rsidRPr="0012389B">
        <w:rPr>
          <w:b/>
          <w:bCs/>
        </w:rPr>
        <w:t>Evidence generation:</w:t>
      </w:r>
      <w:r w:rsidR="00D06806" w:rsidRPr="0012389B">
        <w:rPr>
          <w:b/>
          <w:bCs/>
        </w:rPr>
        <w:t xml:space="preserve"> </w:t>
      </w:r>
      <w:r w:rsidR="00D06806" w:rsidRPr="0012389B">
        <w:t>PNGCC and</w:t>
      </w:r>
      <w:r w:rsidR="00D06806" w:rsidRPr="0012389B">
        <w:rPr>
          <w:b/>
          <w:bCs/>
        </w:rPr>
        <w:t xml:space="preserve"> </w:t>
      </w:r>
      <w:r w:rsidR="00BD09A7" w:rsidRPr="0012389B">
        <w:t xml:space="preserve">Partners will require support to generate and </w:t>
      </w:r>
      <w:r w:rsidR="00704DD7" w:rsidRPr="0012389B">
        <w:t>analyse</w:t>
      </w:r>
      <w:r w:rsidR="00BD09A7" w:rsidRPr="0012389B">
        <w:t xml:space="preserve"> evidence, develop policy influencing strategies, and design future activities with a view to evaluating their potential for scaling up and/or informing policy (through both government and church structures).</w:t>
      </w:r>
      <w:r w:rsidR="00D06806" w:rsidRPr="0012389B">
        <w:t xml:space="preserve"> CPP could engage PNG policy think-tanks, including the Melanesian Research Institute to conduct research and analysis.  </w:t>
      </w:r>
      <w:r w:rsidR="00BD09A7" w:rsidRPr="0012389B">
        <w:t xml:space="preserve"> </w:t>
      </w:r>
    </w:p>
    <w:p w14:paraId="243078B3" w14:textId="35C0D7D8" w:rsidR="00250BD0" w:rsidRPr="0012389B" w:rsidRDefault="00E00975" w:rsidP="00791619">
      <w:pPr>
        <w:pStyle w:val="ListParagraph"/>
        <w:numPr>
          <w:ilvl w:val="0"/>
          <w:numId w:val="19"/>
        </w:numPr>
        <w:spacing w:afterLines="50" w:after="120" w:line="240" w:lineRule="auto"/>
        <w:ind w:left="721" w:hanging="437"/>
        <w:jc w:val="both"/>
        <w:rPr>
          <w:color w:val="000000" w:themeColor="text1"/>
        </w:rPr>
      </w:pPr>
      <w:r w:rsidRPr="0012389B">
        <w:rPr>
          <w:b/>
          <w:bCs/>
        </w:rPr>
        <w:t>Multi-stakeholder coalitions</w:t>
      </w:r>
      <w:r w:rsidR="00D06806" w:rsidRPr="0012389B">
        <w:rPr>
          <w:b/>
          <w:bCs/>
        </w:rPr>
        <w:t xml:space="preserve"> for change</w:t>
      </w:r>
      <w:r w:rsidRPr="0012389B">
        <w:t xml:space="preserve">: </w:t>
      </w:r>
      <w:r w:rsidR="00D06806" w:rsidRPr="0012389B">
        <w:t>while there may be few issues on which all seven partner</w:t>
      </w:r>
      <w:r w:rsidR="00704DD7" w:rsidRPr="0012389B">
        <w:t>s</w:t>
      </w:r>
      <w:r w:rsidR="00D06806" w:rsidRPr="0012389B">
        <w:t xml:space="preserve"> would like to advocate for change, the BCEP Program </w:t>
      </w:r>
      <w:r w:rsidR="00AD59C3">
        <w:t xml:space="preserve">(under component 1) </w:t>
      </w:r>
      <w:r w:rsidR="00D06806" w:rsidRPr="0012389B">
        <w:t xml:space="preserve">can facilitate selected CPP partners to participate </w:t>
      </w:r>
      <w:r w:rsidR="00AD59C3">
        <w:t xml:space="preserve">in </w:t>
      </w:r>
      <w:r w:rsidR="00D06806" w:rsidRPr="0012389B">
        <w:t>coalitions with diverse organization</w:t>
      </w:r>
      <w:r w:rsidR="007714AD">
        <w:t>s</w:t>
      </w:r>
      <w:r w:rsidR="00D06806" w:rsidRPr="0012389B">
        <w:t xml:space="preserve"> from the private sector, civil </w:t>
      </w:r>
      <w:proofErr w:type="gramStart"/>
      <w:r w:rsidR="00D06806" w:rsidRPr="0012389B">
        <w:t>society</w:t>
      </w:r>
      <w:proofErr w:type="gramEnd"/>
      <w:r w:rsidR="00D06806" w:rsidRPr="0012389B">
        <w:t xml:space="preserve"> and the media.</w:t>
      </w:r>
    </w:p>
    <w:p w14:paraId="4E2B32D9" w14:textId="76EA51BB" w:rsidR="00E92125" w:rsidRPr="0012389B" w:rsidRDefault="00E92125" w:rsidP="00791619">
      <w:pPr>
        <w:pStyle w:val="Heading2"/>
        <w:numPr>
          <w:ilvl w:val="1"/>
          <w:numId w:val="1"/>
        </w:numPr>
        <w:ind w:left="709" w:hanging="709"/>
        <w:jc w:val="both"/>
        <w:rPr>
          <w:b/>
          <w:bCs/>
          <w:sz w:val="24"/>
          <w:szCs w:val="24"/>
        </w:rPr>
      </w:pPr>
      <w:bookmarkStart w:id="51" w:name="_Toc97305462"/>
      <w:bookmarkStart w:id="52" w:name="_Toc99041661"/>
      <w:r w:rsidRPr="0012389B">
        <w:rPr>
          <w:b/>
          <w:bCs/>
          <w:sz w:val="24"/>
          <w:szCs w:val="24"/>
        </w:rPr>
        <w:t>Gender, disability</w:t>
      </w:r>
      <w:r w:rsidR="00A8755D" w:rsidRPr="0012389B">
        <w:rPr>
          <w:b/>
          <w:bCs/>
          <w:sz w:val="24"/>
          <w:szCs w:val="24"/>
        </w:rPr>
        <w:t>,</w:t>
      </w:r>
      <w:r w:rsidRPr="0012389B">
        <w:rPr>
          <w:b/>
          <w:bCs/>
          <w:sz w:val="24"/>
          <w:szCs w:val="24"/>
        </w:rPr>
        <w:t xml:space="preserve"> and social inclusion</w:t>
      </w:r>
      <w:bookmarkEnd w:id="43"/>
      <w:bookmarkEnd w:id="51"/>
      <w:bookmarkEnd w:id="52"/>
    </w:p>
    <w:p w14:paraId="1FBC1D65" w14:textId="5EAE9975" w:rsidR="00983DCF" w:rsidRPr="0012389B" w:rsidRDefault="00AD59C3" w:rsidP="00791619">
      <w:pPr>
        <w:spacing w:after="120" w:line="240" w:lineRule="auto"/>
        <w:jc w:val="both"/>
      </w:pPr>
      <w:r>
        <w:t xml:space="preserve">Since inception, </w:t>
      </w:r>
      <w:r w:rsidR="00983DCF" w:rsidRPr="0012389B">
        <w:t xml:space="preserve">CPP has demonstrated increasing commitment to </w:t>
      </w:r>
      <w:r w:rsidR="005004DB" w:rsidRPr="0012389B">
        <w:t xml:space="preserve">gender, </w:t>
      </w:r>
      <w:proofErr w:type="gramStart"/>
      <w:r w:rsidR="005004DB" w:rsidRPr="0012389B">
        <w:t>disability</w:t>
      </w:r>
      <w:proofErr w:type="gramEnd"/>
      <w:r w:rsidR="005004DB" w:rsidRPr="0012389B">
        <w:t xml:space="preserve"> and social inclusion (</w:t>
      </w:r>
      <w:r w:rsidR="00983DCF" w:rsidRPr="0012389B">
        <w:t>GEDSI</w:t>
      </w:r>
      <w:r w:rsidR="005004DB" w:rsidRPr="0012389B">
        <w:t>)</w:t>
      </w:r>
      <w:r w:rsidR="00983DCF" w:rsidRPr="0012389B">
        <w:t xml:space="preserve">. In the Phase 3 design, GEDSI was both mainstreamed and included at the outcome </w:t>
      </w:r>
      <w:r w:rsidR="00983DCF" w:rsidRPr="0012389B">
        <w:lastRenderedPageBreak/>
        <w:t>and goal level, which raised the profile of GEDSI within the program.  The following is a summary of GEDSI achievements in CPP3</w:t>
      </w:r>
      <w:r w:rsidR="00704DD7" w:rsidRPr="0012389B">
        <w:t xml:space="preserve">: </w:t>
      </w:r>
      <w:r w:rsidR="00983DCF" w:rsidRPr="0012389B">
        <w:rPr>
          <w:rStyle w:val="FootnoteReference"/>
        </w:rPr>
        <w:footnoteReference w:id="31"/>
      </w:r>
    </w:p>
    <w:p w14:paraId="0EC05F52" w14:textId="7D306722" w:rsidR="00983DCF" w:rsidRPr="0012389B" w:rsidRDefault="00983DCF" w:rsidP="00791619">
      <w:pPr>
        <w:pStyle w:val="ListParagraph"/>
        <w:numPr>
          <w:ilvl w:val="0"/>
          <w:numId w:val="8"/>
        </w:numPr>
        <w:suppressAutoHyphens/>
        <w:ind w:left="567"/>
        <w:jc w:val="both"/>
      </w:pPr>
      <w:r w:rsidRPr="0012389B">
        <w:t xml:space="preserve">The launch of the Gender Equality Theology (GET), endorsed by all </w:t>
      </w:r>
      <w:r w:rsidR="00704DD7" w:rsidRPr="0012389B">
        <w:t>partners</w:t>
      </w:r>
    </w:p>
    <w:p w14:paraId="0515860A" w14:textId="2F914141" w:rsidR="00983DCF" w:rsidRPr="0012389B" w:rsidRDefault="00983DCF" w:rsidP="00791619">
      <w:pPr>
        <w:pStyle w:val="ListParagraph"/>
        <w:numPr>
          <w:ilvl w:val="0"/>
          <w:numId w:val="8"/>
        </w:numPr>
        <w:suppressAutoHyphens/>
        <w:ind w:left="567"/>
        <w:jc w:val="both"/>
      </w:pPr>
      <w:r w:rsidRPr="0012389B">
        <w:t xml:space="preserve">Four </w:t>
      </w:r>
      <w:r w:rsidR="00FE7194">
        <w:t>c</w:t>
      </w:r>
      <w:r w:rsidRPr="0012389B">
        <w:t xml:space="preserve">hurches (SDA, Baptist Union PNG, UCPNG and the Catholic Church) have used GET within their </w:t>
      </w:r>
      <w:r w:rsidR="00FE7194">
        <w:t>t</w:t>
      </w:r>
      <w:r w:rsidRPr="0012389B">
        <w:t xml:space="preserve">heological colleges or </w:t>
      </w:r>
      <w:r w:rsidR="00FE7194">
        <w:t>c</w:t>
      </w:r>
      <w:r w:rsidRPr="0012389B">
        <w:t xml:space="preserve">hurch leader training  </w:t>
      </w:r>
    </w:p>
    <w:p w14:paraId="25C3D86B" w14:textId="77777777" w:rsidR="00983DCF" w:rsidRPr="0012389B" w:rsidRDefault="00983DCF" w:rsidP="00791619">
      <w:pPr>
        <w:pStyle w:val="ListParagraph"/>
        <w:numPr>
          <w:ilvl w:val="0"/>
          <w:numId w:val="8"/>
        </w:numPr>
        <w:suppressAutoHyphens/>
        <w:ind w:left="567"/>
        <w:jc w:val="both"/>
      </w:pPr>
      <w:r w:rsidRPr="0012389B">
        <w:t>Increased work and focus on gender-based violence (GBV) with the development of new safe houses (Catholic Church, SDA and UPNG); emerging referral pathways; GBV response in health (UCPNG); GBV and protection in Disaster Risk Response (Catholic)</w:t>
      </w:r>
    </w:p>
    <w:p w14:paraId="65524FD8" w14:textId="77777777" w:rsidR="00983DCF" w:rsidRPr="0012389B" w:rsidRDefault="00983DCF" w:rsidP="00791619">
      <w:pPr>
        <w:pStyle w:val="ListParagraph"/>
        <w:numPr>
          <w:ilvl w:val="0"/>
          <w:numId w:val="8"/>
        </w:numPr>
        <w:suppressAutoHyphens/>
        <w:ind w:left="567"/>
        <w:jc w:val="both"/>
      </w:pPr>
      <w:r w:rsidRPr="0012389B">
        <w:t>Gender equality and male advocate training at the community level (Anglican and Catholic)</w:t>
      </w:r>
    </w:p>
    <w:p w14:paraId="21CDFC8B" w14:textId="77777777" w:rsidR="00983DCF" w:rsidRPr="0012389B" w:rsidRDefault="00983DCF" w:rsidP="00791619">
      <w:pPr>
        <w:pStyle w:val="ListParagraph"/>
        <w:numPr>
          <w:ilvl w:val="0"/>
          <w:numId w:val="8"/>
        </w:numPr>
        <w:suppressAutoHyphens/>
        <w:ind w:left="567"/>
        <w:jc w:val="both"/>
      </w:pPr>
      <w:r w:rsidRPr="0012389B">
        <w:t>GEDSI audit (SDA)</w:t>
      </w:r>
    </w:p>
    <w:p w14:paraId="765E29A0" w14:textId="77777777" w:rsidR="00983DCF" w:rsidRPr="0012389B" w:rsidRDefault="00983DCF" w:rsidP="00791619">
      <w:pPr>
        <w:pStyle w:val="ListParagraph"/>
        <w:numPr>
          <w:ilvl w:val="0"/>
          <w:numId w:val="8"/>
        </w:numPr>
        <w:suppressAutoHyphens/>
        <w:ind w:left="567"/>
        <w:jc w:val="both"/>
      </w:pPr>
      <w:r w:rsidRPr="0012389B">
        <w:t>Gender mainstreaming in adult literacy (Anglican Church)</w:t>
      </w:r>
    </w:p>
    <w:p w14:paraId="156FC3C2" w14:textId="77777777" w:rsidR="00983DCF" w:rsidRPr="0012389B" w:rsidRDefault="00983DCF" w:rsidP="00791619">
      <w:pPr>
        <w:pStyle w:val="ListParagraph"/>
        <w:numPr>
          <w:ilvl w:val="0"/>
          <w:numId w:val="8"/>
        </w:numPr>
        <w:suppressAutoHyphens/>
        <w:ind w:left="567"/>
        <w:jc w:val="both"/>
      </w:pPr>
      <w:r w:rsidRPr="0012389B">
        <w:t>Focal points in gender (UCPNG) and disability inclusion (Lutheran)</w:t>
      </w:r>
    </w:p>
    <w:p w14:paraId="7BB59ADA" w14:textId="77777777" w:rsidR="00983DCF" w:rsidRPr="0012389B" w:rsidRDefault="00983DCF" w:rsidP="00791619">
      <w:pPr>
        <w:pStyle w:val="ListParagraph"/>
        <w:numPr>
          <w:ilvl w:val="0"/>
          <w:numId w:val="8"/>
        </w:numPr>
        <w:suppressAutoHyphens/>
        <w:ind w:left="567"/>
        <w:jc w:val="both"/>
      </w:pPr>
      <w:r w:rsidRPr="0012389B">
        <w:t>Uniting Church focus on increasing women’s leadership</w:t>
      </w:r>
    </w:p>
    <w:p w14:paraId="010291F0" w14:textId="2C0D7050" w:rsidR="00983DCF" w:rsidRPr="0012389B" w:rsidRDefault="00983DCF" w:rsidP="00791619">
      <w:pPr>
        <w:pStyle w:val="ListParagraph"/>
        <w:numPr>
          <w:ilvl w:val="0"/>
          <w:numId w:val="8"/>
        </w:numPr>
        <w:suppressAutoHyphens/>
        <w:ind w:left="567"/>
        <w:jc w:val="both"/>
      </w:pPr>
      <w:r w:rsidRPr="0012389B">
        <w:t xml:space="preserve">Formalisation of the </w:t>
      </w:r>
      <w:r w:rsidR="00FE7194">
        <w:t>g</w:t>
      </w:r>
      <w:r w:rsidRPr="0012389B">
        <w:t xml:space="preserve">ender </w:t>
      </w:r>
      <w:r w:rsidR="00FE7194">
        <w:t>w</w:t>
      </w:r>
      <w:r w:rsidRPr="0012389B">
        <w:t xml:space="preserve">orking </w:t>
      </w:r>
      <w:r w:rsidR="00FE7194">
        <w:t>g</w:t>
      </w:r>
      <w:r w:rsidRPr="0012389B">
        <w:t xml:space="preserve">roup including all CPP partners </w:t>
      </w:r>
    </w:p>
    <w:p w14:paraId="5AA557A9" w14:textId="77777777" w:rsidR="00983DCF" w:rsidRPr="0012389B" w:rsidRDefault="00983DCF" w:rsidP="00791619">
      <w:pPr>
        <w:pStyle w:val="ListParagraph"/>
        <w:numPr>
          <w:ilvl w:val="0"/>
          <w:numId w:val="8"/>
        </w:numPr>
        <w:suppressAutoHyphens/>
        <w:ind w:left="567"/>
        <w:jc w:val="both"/>
      </w:pPr>
      <w:r w:rsidRPr="0012389B">
        <w:t>Improvements in sex-disaggregated data collection (all partners)</w:t>
      </w:r>
    </w:p>
    <w:p w14:paraId="1420E66F" w14:textId="71976835" w:rsidR="00983DCF" w:rsidRPr="0012389B" w:rsidRDefault="00983DCF" w:rsidP="00791619">
      <w:pPr>
        <w:spacing w:after="120" w:line="240" w:lineRule="auto"/>
        <w:jc w:val="both"/>
      </w:pPr>
      <w:r w:rsidRPr="0012389B">
        <w:t xml:space="preserve">The </w:t>
      </w:r>
      <w:r w:rsidR="00704DD7" w:rsidRPr="0012389B">
        <w:t>m</w:t>
      </w:r>
      <w:r w:rsidRPr="0012389B">
        <w:t>id-term review indicated that the GET could be the basis of community mobilisation to improve gender equality, address GBV prevention and challenge gender norms.</w:t>
      </w:r>
      <w:r w:rsidR="00F04422">
        <w:t xml:space="preserve"> The GET is aligned to good GEDSI practice as it promotes gender equality and social inclusion, and a rights-based approach.   It </w:t>
      </w:r>
      <w:r w:rsidR="00830F7F">
        <w:t>utilises</w:t>
      </w:r>
      <w:r w:rsidR="00F04422">
        <w:t xml:space="preserve"> the language of faith-based organisations to promote gender equality and social and disability inclusion.</w:t>
      </w:r>
      <w:r w:rsidR="00830F7F">
        <w:t xml:space="preserve">  It also has an empowerment focus for women and people with disabilities and an understanding that gender roles and norms can change. </w:t>
      </w:r>
      <w:r w:rsidR="000E5494">
        <w:t>As</w:t>
      </w:r>
      <w:r w:rsidR="00830F7F">
        <w:t xml:space="preserve"> </w:t>
      </w:r>
      <w:r w:rsidR="000E5494">
        <w:t>t</w:t>
      </w:r>
      <w:r w:rsidR="00830F7F">
        <w:t>he GET refers to people with disabilities as ‘deemed unclean’</w:t>
      </w:r>
      <w:r w:rsidR="000E5494">
        <w:t xml:space="preserve"> (conveying a cultural attitude observed in biblical times)</w:t>
      </w:r>
      <w:r w:rsidR="00830F7F">
        <w:t xml:space="preserve"> </w:t>
      </w:r>
      <w:r w:rsidR="000E5494">
        <w:t>CPP will attempt to sensitively counter this narrative so as not to</w:t>
      </w:r>
      <w:r w:rsidR="00830F7F">
        <w:t xml:space="preserve"> reinforce stigmatisation of people with disabilities. </w:t>
      </w:r>
      <w:r w:rsidRPr="0012389B">
        <w:t xml:space="preserve"> </w:t>
      </w:r>
      <w:r w:rsidR="00830F7F">
        <w:t>The</w:t>
      </w:r>
      <w:r w:rsidRPr="0012389B">
        <w:t xml:space="preserve"> GET as it stands has not been adapted to community gender equality programs and lacks materials for delivery or monitoring. </w:t>
      </w:r>
      <w:r w:rsidR="003A2555">
        <w:t xml:space="preserve"> </w:t>
      </w:r>
    </w:p>
    <w:p w14:paraId="4D34EED0" w14:textId="4EC8A802" w:rsidR="00983DCF" w:rsidRPr="0012389B" w:rsidRDefault="00983DCF" w:rsidP="00791619">
      <w:pPr>
        <w:spacing w:after="120" w:line="240" w:lineRule="auto"/>
        <w:jc w:val="both"/>
      </w:pPr>
      <w:r w:rsidRPr="0012389B">
        <w:t>Several partners also provided gender equality training and mainstreaming of GEDSI through</w:t>
      </w:r>
      <w:r w:rsidR="005937B4">
        <w:t>out their</w:t>
      </w:r>
      <w:r w:rsidRPr="0012389B">
        <w:t xml:space="preserve"> activities.  Within the MEL Framework, GEDSI was integrated into indicators, key evaluation questions, and improvements in the collection of sex-disaggregated data. However, there were gaps </w:t>
      </w:r>
      <w:r w:rsidR="005937B4">
        <w:t xml:space="preserve">in the </w:t>
      </w:r>
      <w:r w:rsidR="000A5CD8" w:rsidRPr="0012389B">
        <w:t>MEL</w:t>
      </w:r>
      <w:r w:rsidRPr="0012389B">
        <w:t xml:space="preserve"> system and indicators focused mainly on numbers of training participants, with no measurement of what is learned at community level gender training</w:t>
      </w:r>
      <w:r w:rsidR="00FE7194">
        <w:t>. It also lacked a measure of</w:t>
      </w:r>
      <w:r w:rsidRPr="0012389B">
        <w:t xml:space="preserve"> changes in attitudes of new church leaders resulting from GET training, in other words outcomes. </w:t>
      </w:r>
      <w:r w:rsidR="002E684D">
        <w:t>Disability inclusion was also identified by CPP partners as an area to improve.</w:t>
      </w:r>
    </w:p>
    <w:p w14:paraId="02BA8E23" w14:textId="5885A779" w:rsidR="00983DCF" w:rsidRPr="0012389B" w:rsidRDefault="00983DCF" w:rsidP="00791619">
      <w:pPr>
        <w:spacing w:after="120" w:line="240" w:lineRule="auto"/>
        <w:jc w:val="both"/>
      </w:pPr>
      <w:r w:rsidRPr="0012389B">
        <w:t xml:space="preserve">The learning for the next phase is to implement a twin-track approach where partners focus on GEDSI specific activities and </w:t>
      </w:r>
      <w:proofErr w:type="spellStart"/>
      <w:r w:rsidR="002E684D">
        <w:t>improvd</w:t>
      </w:r>
      <w:proofErr w:type="spellEnd"/>
      <w:r w:rsidR="002E684D">
        <w:t xml:space="preserve"> </w:t>
      </w:r>
      <w:r w:rsidRPr="0012389B">
        <w:t>GEDSI mainstreaming</w:t>
      </w:r>
      <w:r w:rsidR="007714AD">
        <w:t xml:space="preserve">, </w:t>
      </w:r>
      <w:r w:rsidR="00304609">
        <w:t>a</w:t>
      </w:r>
      <w:r w:rsidR="007714AD">
        <w:t>ligned</w:t>
      </w:r>
      <w:r w:rsidRPr="0012389B">
        <w:t xml:space="preserve"> to DFAT gender and disability strategies.</w:t>
      </w:r>
      <w:r w:rsidRPr="005937B4">
        <w:rPr>
          <w:vertAlign w:val="superscript"/>
        </w:rPr>
        <w:footnoteReference w:id="32"/>
      </w:r>
      <w:r w:rsidRPr="0012389B">
        <w:t xml:space="preserve">  Priorities identified by partners for GEDSI-focused priorities include: GBV and s</w:t>
      </w:r>
      <w:r w:rsidR="00003CB3">
        <w:t>orcery</w:t>
      </w:r>
      <w:r w:rsidRPr="0012389B">
        <w:t xml:space="preserve"> accusation related violence (SARV), and inclusion of women and people with disabilities in community decision-making processes.  This approach requires a </w:t>
      </w:r>
      <w:r w:rsidR="00003CB3">
        <w:t>fit-for-purpose</w:t>
      </w:r>
      <w:r w:rsidRPr="0012389B">
        <w:t xml:space="preserve"> </w:t>
      </w:r>
      <w:r w:rsidR="000A5CD8" w:rsidRPr="0012389B">
        <w:t>MEL</w:t>
      </w:r>
      <w:r w:rsidRPr="0012389B">
        <w:t xml:space="preserve"> system that measures changes in knowledge and </w:t>
      </w:r>
      <w:r w:rsidR="00003CB3" w:rsidRPr="0012389B">
        <w:t>attitudes</w:t>
      </w:r>
      <w:r w:rsidR="00003CB3">
        <w:t xml:space="preserve"> and collects</w:t>
      </w:r>
      <w:r w:rsidRPr="0012389B">
        <w:t xml:space="preserve"> sex and disability disaggregated data. </w:t>
      </w:r>
      <w:r w:rsidR="00003CB3">
        <w:t>The implications for the</w:t>
      </w:r>
      <w:r w:rsidRPr="0012389B">
        <w:t xml:space="preserve"> next phase </w:t>
      </w:r>
      <w:r w:rsidR="00003CB3">
        <w:t>are to provide</w:t>
      </w:r>
      <w:r w:rsidRPr="0012389B">
        <w:t xml:space="preserve"> additiona</w:t>
      </w:r>
      <w:r w:rsidR="00003CB3">
        <w:t>l</w:t>
      </w:r>
      <w:r w:rsidRPr="0012389B">
        <w:t xml:space="preserve"> resources, including specialist gender/GBV and </w:t>
      </w:r>
      <w:r w:rsidR="000A5CD8" w:rsidRPr="0012389B">
        <w:t>MEL</w:t>
      </w:r>
      <w:r w:rsidRPr="0012389B">
        <w:t xml:space="preserve"> expertise to support partners to monitor these outcomes</w:t>
      </w:r>
      <w:r w:rsidR="002E684D">
        <w:t xml:space="preserve"> along with specific disability inclusion support.</w:t>
      </w:r>
    </w:p>
    <w:p w14:paraId="49EB8FC2" w14:textId="1A76AE4B" w:rsidR="00983DCF" w:rsidRPr="0012389B" w:rsidRDefault="00983DCF" w:rsidP="00791619">
      <w:pPr>
        <w:spacing w:after="120" w:line="240" w:lineRule="auto"/>
        <w:jc w:val="both"/>
      </w:pPr>
      <w:r w:rsidRPr="0012389B">
        <w:t xml:space="preserve">To assist data collection and reporting, GEDSI </w:t>
      </w:r>
      <w:r w:rsidR="00003CB3">
        <w:t>could be</w:t>
      </w:r>
      <w:r w:rsidRPr="0012389B">
        <w:t xml:space="preserve"> improved in CPP4 through the development of a program wide GEDSI action plan (Draft GEDSI Action Plan in Annex </w:t>
      </w:r>
      <w:r w:rsidR="002279B9">
        <w:t>3</w:t>
      </w:r>
      <w:r w:rsidRPr="0012389B">
        <w:t xml:space="preserve">) and linked partner GEDSI action plans, which detail partners plans for both mainstreaming and GEDSI specific activities. Implementation of these plans </w:t>
      </w:r>
      <w:r w:rsidR="00003CB3">
        <w:t>should</w:t>
      </w:r>
      <w:r w:rsidRPr="0012389B">
        <w:t xml:space="preserve"> be monitored on an annual basis.</w:t>
      </w:r>
    </w:p>
    <w:p w14:paraId="6CF6E469" w14:textId="373D7C99" w:rsidR="00983DCF" w:rsidRPr="0012389B" w:rsidRDefault="00983DCF" w:rsidP="00791619">
      <w:pPr>
        <w:pStyle w:val="Heading2"/>
        <w:numPr>
          <w:ilvl w:val="1"/>
          <w:numId w:val="1"/>
        </w:numPr>
        <w:ind w:left="709" w:hanging="709"/>
        <w:jc w:val="both"/>
        <w:rPr>
          <w:b/>
          <w:bCs/>
          <w:sz w:val="24"/>
          <w:szCs w:val="24"/>
        </w:rPr>
      </w:pPr>
      <w:bookmarkStart w:id="53" w:name="_Toc97187828"/>
      <w:bookmarkStart w:id="54" w:name="_Toc97305463"/>
      <w:bookmarkStart w:id="55" w:name="_Toc99041662"/>
      <w:r w:rsidRPr="0012389B">
        <w:rPr>
          <w:b/>
          <w:bCs/>
          <w:sz w:val="24"/>
          <w:szCs w:val="24"/>
        </w:rPr>
        <w:lastRenderedPageBreak/>
        <w:t xml:space="preserve">Partner </w:t>
      </w:r>
      <w:r w:rsidR="00CF768D" w:rsidRPr="0012389B">
        <w:rPr>
          <w:b/>
          <w:bCs/>
          <w:sz w:val="24"/>
          <w:szCs w:val="24"/>
        </w:rPr>
        <w:t>o</w:t>
      </w:r>
      <w:r w:rsidRPr="0012389B">
        <w:rPr>
          <w:b/>
          <w:bCs/>
          <w:sz w:val="24"/>
          <w:szCs w:val="24"/>
        </w:rPr>
        <w:t>rganisational capacity development</w:t>
      </w:r>
      <w:bookmarkEnd w:id="53"/>
      <w:bookmarkEnd w:id="54"/>
      <w:bookmarkEnd w:id="55"/>
      <w:r w:rsidRPr="0012389B">
        <w:rPr>
          <w:b/>
          <w:bCs/>
          <w:sz w:val="24"/>
          <w:szCs w:val="24"/>
        </w:rPr>
        <w:t xml:space="preserve"> </w:t>
      </w:r>
    </w:p>
    <w:p w14:paraId="56A5864E" w14:textId="2F6DB19D" w:rsidR="00983DCF" w:rsidRPr="0012389B" w:rsidRDefault="00983DCF" w:rsidP="00791619">
      <w:pPr>
        <w:spacing w:after="120" w:line="240" w:lineRule="auto"/>
        <w:jc w:val="both"/>
      </w:pPr>
      <w:r w:rsidRPr="0012389B">
        <w:t xml:space="preserve">Empowering and enhancing PNG church leadership is core to CPP’s localisation agenda, as defined in the CPP Charter. A specific aspect of localisation concerns transferring responsibilities to manage grant agreements from ANGO to PNG churches. Under the phase 3 design, CPP was expected to make </w:t>
      </w:r>
      <w:r w:rsidR="00165065" w:rsidRPr="0012389B">
        <w:t>s</w:t>
      </w:r>
      <w:r w:rsidR="00165065">
        <w:t>ignificant</w:t>
      </w:r>
      <w:r w:rsidR="00165065" w:rsidRPr="0012389B">
        <w:t xml:space="preserve"> </w:t>
      </w:r>
      <w:r w:rsidRPr="0012389B">
        <w:t xml:space="preserve">progress toward localisation through targeted partner organisational capacity development, resulting in grants primarily managed by PNG Church partners, rather than ANGOs. </w:t>
      </w:r>
      <w:r w:rsidR="007446BA">
        <w:t xml:space="preserve"> </w:t>
      </w:r>
      <w:r w:rsidRPr="0012389B">
        <w:t xml:space="preserve">However, progress over phase 3 has been slow and no PNG partners will have moved to </w:t>
      </w:r>
      <w:r w:rsidR="00003CB3">
        <w:t xml:space="preserve">lead </w:t>
      </w:r>
      <w:r w:rsidRPr="0012389B">
        <w:t xml:space="preserve">grant agreements by the end of this phase. </w:t>
      </w:r>
    </w:p>
    <w:p w14:paraId="271E4969" w14:textId="77777777" w:rsidR="00983DCF" w:rsidRPr="0012389B" w:rsidRDefault="00983DCF" w:rsidP="00791619">
      <w:pPr>
        <w:spacing w:after="120" w:line="240" w:lineRule="auto"/>
        <w:jc w:val="both"/>
      </w:pPr>
      <w:r w:rsidRPr="0012389B">
        <w:t>The recommendation from the Mid-term Review is that:</w:t>
      </w:r>
    </w:p>
    <w:p w14:paraId="4FF30A46" w14:textId="77777777" w:rsidR="00983DCF" w:rsidRPr="0012389B" w:rsidRDefault="00983DCF" w:rsidP="00791619">
      <w:pPr>
        <w:spacing w:after="120" w:line="240" w:lineRule="auto"/>
        <w:ind w:left="720" w:right="521"/>
        <w:jc w:val="both"/>
      </w:pPr>
      <w:r w:rsidRPr="00FE7194">
        <w:t xml:space="preserve">‘CPP should transition to a model whereby </w:t>
      </w:r>
      <w:proofErr w:type="spellStart"/>
      <w:r w:rsidRPr="00FE7194">
        <w:t>Abt</w:t>
      </w:r>
      <w:proofErr w:type="spellEnd"/>
      <w:r w:rsidRPr="00FE7194">
        <w:t xml:space="preserve"> PNG channels funds directly to those PNG partners who desire a change should be set in motion on an opt-in basis, considering the aspects outlined in the review. A structured three-year transition plan should be agreed, based on thorough organisational capacity assessments and risk assessments and incorporating measures to strengthen alternative partnership modalities between PNG Church and ANGO partners.</w:t>
      </w:r>
      <w:r w:rsidRPr="00003CB3">
        <w:rPr>
          <w:sz w:val="20"/>
          <w:szCs w:val="20"/>
        </w:rPr>
        <w:t>’</w:t>
      </w:r>
      <w:r w:rsidRPr="0012389B">
        <w:rPr>
          <w:vertAlign w:val="superscript"/>
        </w:rPr>
        <w:footnoteReference w:id="33"/>
      </w:r>
    </w:p>
    <w:p w14:paraId="39DE040F" w14:textId="3251FEC6" w:rsidR="00983DCF" w:rsidRPr="0012389B" w:rsidRDefault="00003CB3" w:rsidP="00791619">
      <w:pPr>
        <w:spacing w:after="120" w:line="240" w:lineRule="auto"/>
        <w:jc w:val="both"/>
      </w:pPr>
      <w:r>
        <w:t>L</w:t>
      </w:r>
      <w:r w:rsidR="00983DCF" w:rsidRPr="0012389B">
        <w:t>essons from phase 3</w:t>
      </w:r>
      <w:r>
        <w:rPr>
          <w:rStyle w:val="FootnoteReference"/>
        </w:rPr>
        <w:footnoteReference w:id="34"/>
      </w:r>
      <w:r w:rsidR="00983DCF" w:rsidRPr="0012389B">
        <w:t xml:space="preserve"> include:</w:t>
      </w:r>
    </w:p>
    <w:p w14:paraId="073BE1D1" w14:textId="2E93F92C" w:rsidR="002B21EE" w:rsidRPr="0012389B" w:rsidRDefault="00983DCF" w:rsidP="00791619">
      <w:pPr>
        <w:pStyle w:val="ListParagraph"/>
        <w:numPr>
          <w:ilvl w:val="0"/>
          <w:numId w:val="8"/>
        </w:numPr>
        <w:suppressAutoHyphens/>
        <w:ind w:left="567"/>
        <w:jc w:val="both"/>
      </w:pPr>
      <w:r w:rsidRPr="0012389B">
        <w:t>PNG church partners require more responsive, targeted, and hands-on, in-country capacity development</w:t>
      </w:r>
      <w:r w:rsidR="00B92A6C">
        <w:t xml:space="preserve"> support focussed on the organisation rather than individuals</w:t>
      </w:r>
      <w:r w:rsidR="006C0C0A">
        <w:t>. Common areas of organisational weakness are in</w:t>
      </w:r>
      <w:r w:rsidR="002B21EE">
        <w:t xml:space="preserve"> GEDSI, MEL and strategic financial management</w:t>
      </w:r>
    </w:p>
    <w:p w14:paraId="013BC54F" w14:textId="71C723DE" w:rsidR="00983DCF" w:rsidRPr="0012389B" w:rsidRDefault="00B92A6C" w:rsidP="00791619">
      <w:pPr>
        <w:pStyle w:val="ListParagraph"/>
        <w:numPr>
          <w:ilvl w:val="0"/>
          <w:numId w:val="8"/>
        </w:numPr>
        <w:suppressAutoHyphens/>
        <w:ind w:left="567"/>
        <w:jc w:val="both"/>
      </w:pPr>
      <w:r>
        <w:t>Need for clarity on responsibility for providing capacity development support in a single central entity. In the last phase, r</w:t>
      </w:r>
      <w:r w:rsidR="00983DCF" w:rsidRPr="0012389B">
        <w:t xml:space="preserve">esponsibility was </w:t>
      </w:r>
      <w:r>
        <w:t xml:space="preserve">unclear as it was </w:t>
      </w:r>
      <w:r w:rsidR="00983DCF" w:rsidRPr="0012389B">
        <w:t xml:space="preserve">spread across the CPPCO, the Governance Partnership </w:t>
      </w:r>
      <w:r>
        <w:t>(</w:t>
      </w:r>
      <w:proofErr w:type="spellStart"/>
      <w:r>
        <w:t>Abt</w:t>
      </w:r>
      <w:proofErr w:type="spellEnd"/>
      <w:r>
        <w:t xml:space="preserve">) </w:t>
      </w:r>
      <w:r w:rsidR="00983DCF" w:rsidRPr="0012389B">
        <w:t>Management Office and ANGO partners</w:t>
      </w:r>
      <w:r w:rsidR="00FE7194">
        <w:t>.</w:t>
      </w:r>
    </w:p>
    <w:p w14:paraId="2B70B82B" w14:textId="0626FD7D" w:rsidR="00983DCF" w:rsidRPr="0012389B" w:rsidRDefault="006C0C0A" w:rsidP="00791619">
      <w:pPr>
        <w:pStyle w:val="ListParagraph"/>
        <w:numPr>
          <w:ilvl w:val="0"/>
          <w:numId w:val="8"/>
        </w:numPr>
        <w:suppressAutoHyphens/>
        <w:ind w:left="567"/>
        <w:jc w:val="both"/>
      </w:pPr>
      <w:r>
        <w:t>Each partner should be able to pursue localisation objectives on an ‘opt-in basis.’ Some CPP partners need assistance to</w:t>
      </w:r>
      <w:r w:rsidR="00983DCF" w:rsidRPr="0012389B">
        <w:t xml:space="preserve"> determine their readiness to move toward localisation</w:t>
      </w:r>
      <w:r>
        <w:t>, and other</w:t>
      </w:r>
      <w:r w:rsidR="00B92A6C">
        <w:t>s</w:t>
      </w:r>
      <w:r w:rsidR="00983DCF" w:rsidRPr="0012389B">
        <w:t xml:space="preserve"> </w:t>
      </w:r>
      <w:r w:rsidR="00B92A6C">
        <w:t xml:space="preserve">have complex </w:t>
      </w:r>
      <w:r w:rsidR="00983DCF" w:rsidRPr="0012389B">
        <w:t xml:space="preserve">organisational governance structures </w:t>
      </w:r>
      <w:r w:rsidR="00B92A6C">
        <w:t>that</w:t>
      </w:r>
      <w:r w:rsidR="00983DCF" w:rsidRPr="0012389B">
        <w:t xml:space="preserve"> do not easily facilitate localisation</w:t>
      </w:r>
      <w:r w:rsidR="007446BA">
        <w:t>.  ANGOS will still have an important role in capacity development, but this role will be different for each ANGO/CPP partner.</w:t>
      </w:r>
    </w:p>
    <w:p w14:paraId="674B122E" w14:textId="12CBF77C" w:rsidR="00983DCF" w:rsidRPr="0012389B" w:rsidRDefault="006C0C0A" w:rsidP="00791619">
      <w:pPr>
        <w:pStyle w:val="ListParagraph"/>
        <w:numPr>
          <w:ilvl w:val="0"/>
          <w:numId w:val="8"/>
        </w:numPr>
        <w:suppressAutoHyphens/>
        <w:ind w:left="567"/>
        <w:jc w:val="both"/>
      </w:pPr>
      <w:r>
        <w:t xml:space="preserve">Organisational assessment should be undertaken jointly with each CPP partner at the start to determine the capacity development support to be provided and provide a baseline against which progress can be assess on a regular basis. </w:t>
      </w:r>
    </w:p>
    <w:p w14:paraId="46054D0C" w14:textId="4862A91B" w:rsidR="00983DCF" w:rsidRPr="0012389B" w:rsidRDefault="0037291B" w:rsidP="00791619">
      <w:pPr>
        <w:pStyle w:val="ListParagraph"/>
        <w:numPr>
          <w:ilvl w:val="0"/>
          <w:numId w:val="8"/>
        </w:numPr>
        <w:suppressAutoHyphens/>
        <w:ind w:left="567"/>
        <w:jc w:val="both"/>
      </w:pPr>
      <w:r>
        <w:t>Continue t</w:t>
      </w:r>
      <w:r w:rsidR="00983DCF" w:rsidRPr="0012389B">
        <w:t>hematic working groups</w:t>
      </w:r>
      <w:r>
        <w:t xml:space="preserve"> as part of the organisational development approach.  For example, the </w:t>
      </w:r>
      <w:r w:rsidRPr="0012389B">
        <w:t xml:space="preserve">Finance Working Group, </w:t>
      </w:r>
      <w:r>
        <w:t>which has applied</w:t>
      </w:r>
      <w:r w:rsidRPr="0012389B">
        <w:t xml:space="preserve"> a train-the-trainer approach</w:t>
      </w:r>
      <w:r>
        <w:t>, has been effective</w:t>
      </w:r>
      <w:r w:rsidR="00983DCF" w:rsidRPr="0012389B">
        <w:t>.</w:t>
      </w:r>
    </w:p>
    <w:p w14:paraId="323CE87C" w14:textId="061DA91B" w:rsidR="00983DCF" w:rsidRPr="0012389B" w:rsidRDefault="00983DCF" w:rsidP="00791619">
      <w:pPr>
        <w:jc w:val="both"/>
        <w:rPr>
          <w:i/>
          <w:iCs/>
        </w:rPr>
      </w:pPr>
      <w:r w:rsidRPr="0012389B">
        <w:t xml:space="preserve">In addition to the PNG Church partners, </w:t>
      </w:r>
      <w:r w:rsidR="002B21EE">
        <w:t xml:space="preserve">the </w:t>
      </w:r>
      <w:r w:rsidR="0037291B">
        <w:t>CPP provide</w:t>
      </w:r>
      <w:r w:rsidR="00165065">
        <w:t>s</w:t>
      </w:r>
      <w:r w:rsidR="0037291B">
        <w:t xml:space="preserve"> organisational capacity</w:t>
      </w:r>
      <w:r w:rsidR="00165065">
        <w:t xml:space="preserve"> </w:t>
      </w:r>
      <w:r w:rsidR="0037291B">
        <w:t xml:space="preserve">support to the </w:t>
      </w:r>
      <w:r w:rsidR="002B21EE">
        <w:t>PNGCC</w:t>
      </w:r>
      <w:r w:rsidRPr="0012389B">
        <w:rPr>
          <w:lang w:eastAsia="en-AU"/>
        </w:rPr>
        <w:t xml:space="preserve">. </w:t>
      </w:r>
      <w:r w:rsidRPr="0012389B">
        <w:t xml:space="preserve">In the last phase, CPP, along with other donors such as Bread for the World, began providing some support to develop the organisation’s very limited capacity. CPP supported the PNGCC to coordinate the COVID-19 public education campaign. In the next phase, CPP has an opportunity help the PNGCC develop sustainable organisational capacity to better deliver on its mandate and facilitate collective church voice and action. The CPPCO </w:t>
      </w:r>
      <w:r w:rsidR="002B21EE">
        <w:t xml:space="preserve">could provide </w:t>
      </w:r>
      <w:r w:rsidRPr="0012389B">
        <w:t>support PNGCC</w:t>
      </w:r>
      <w:r w:rsidRPr="0012389B">
        <w:rPr>
          <w:i/>
          <w:iCs/>
        </w:rPr>
        <w:t xml:space="preserve"> </w:t>
      </w:r>
      <w:r w:rsidRPr="0012389B">
        <w:rPr>
          <w:lang w:eastAsia="en-AU"/>
        </w:rPr>
        <w:t xml:space="preserve">to develop a strategic plan that represents the priorities of its members </w:t>
      </w:r>
      <w:r w:rsidR="002B21EE">
        <w:rPr>
          <w:lang w:eastAsia="en-AU"/>
        </w:rPr>
        <w:t>as well as provide</w:t>
      </w:r>
      <w:r w:rsidRPr="0012389B">
        <w:rPr>
          <w:lang w:eastAsia="en-AU"/>
        </w:rPr>
        <w:t xml:space="preserve"> strengthen</w:t>
      </w:r>
      <w:r w:rsidR="002B21EE">
        <w:rPr>
          <w:lang w:eastAsia="en-AU"/>
        </w:rPr>
        <w:t xml:space="preserve">ing to internal </w:t>
      </w:r>
      <w:r w:rsidRPr="0012389B">
        <w:rPr>
          <w:lang w:eastAsia="en-AU"/>
        </w:rPr>
        <w:t xml:space="preserve">governance, financial and management organisational processes. </w:t>
      </w:r>
      <w:r w:rsidRPr="0012389B">
        <w:t xml:space="preserve">The </w:t>
      </w:r>
      <w:r w:rsidR="002B21EE">
        <w:t xml:space="preserve">CPP should support PNGCC to present the </w:t>
      </w:r>
      <w:r w:rsidRPr="0012389B">
        <w:t xml:space="preserve">strategic plan </w:t>
      </w:r>
      <w:r w:rsidR="002B21EE">
        <w:t>for</w:t>
      </w:r>
      <w:r w:rsidRPr="0012389B">
        <w:t xml:space="preserve"> approv</w:t>
      </w:r>
      <w:r w:rsidR="002B21EE">
        <w:t>al</w:t>
      </w:r>
      <w:r w:rsidRPr="0012389B">
        <w:t xml:space="preserve"> according to the governance processes in </w:t>
      </w:r>
      <w:r w:rsidR="002B21EE">
        <w:t>its</w:t>
      </w:r>
      <w:r w:rsidRPr="0012389B">
        <w:t xml:space="preserve"> constitution. Further details of the role of PNGCC are included in Section 6.3</w:t>
      </w:r>
      <w:r w:rsidR="0037291B">
        <w:t>.</w:t>
      </w:r>
    </w:p>
    <w:p w14:paraId="10100336" w14:textId="4E5F0BEA" w:rsidR="00B816AD" w:rsidRDefault="00B816AD" w:rsidP="00791619">
      <w:pPr>
        <w:pStyle w:val="Heading1"/>
        <w:numPr>
          <w:ilvl w:val="0"/>
          <w:numId w:val="1"/>
        </w:numPr>
        <w:ind w:hanging="720"/>
        <w:jc w:val="both"/>
        <w:rPr>
          <w:rFonts w:ascii="Arial" w:hAnsi="Arial" w:cs="Arial"/>
          <w:sz w:val="28"/>
          <w:szCs w:val="28"/>
        </w:rPr>
      </w:pPr>
      <w:bookmarkStart w:id="56" w:name="_Toc97187833"/>
      <w:bookmarkStart w:id="57" w:name="_Toc97305464"/>
      <w:bookmarkStart w:id="58" w:name="_Toc99041663"/>
      <w:bookmarkStart w:id="59" w:name="_Toc92958591"/>
      <w:bookmarkStart w:id="60" w:name="_Toc87987279"/>
      <w:r w:rsidRPr="0012389B">
        <w:rPr>
          <w:rFonts w:ascii="Arial" w:hAnsi="Arial" w:cs="Arial"/>
          <w:sz w:val="28"/>
          <w:szCs w:val="28"/>
        </w:rPr>
        <w:lastRenderedPageBreak/>
        <w:t>Expected outcomes</w:t>
      </w:r>
      <w:bookmarkEnd w:id="56"/>
      <w:bookmarkEnd w:id="57"/>
      <w:bookmarkEnd w:id="58"/>
      <w:r w:rsidRPr="0012389B">
        <w:rPr>
          <w:rFonts w:ascii="Arial" w:hAnsi="Arial" w:cs="Arial"/>
          <w:sz w:val="28"/>
          <w:szCs w:val="28"/>
        </w:rPr>
        <w:t xml:space="preserve"> </w:t>
      </w:r>
      <w:bookmarkEnd w:id="59"/>
    </w:p>
    <w:p w14:paraId="6E8A2011" w14:textId="2317FF25" w:rsidR="00EC48DC" w:rsidRPr="001D44A6" w:rsidRDefault="00EC48DC" w:rsidP="00791619">
      <w:pPr>
        <w:pStyle w:val="Heading2"/>
        <w:jc w:val="both"/>
        <w:rPr>
          <w:b/>
          <w:sz w:val="24"/>
        </w:rPr>
      </w:pPr>
      <w:bookmarkStart w:id="61" w:name="_Toc97187834"/>
      <w:bookmarkStart w:id="62" w:name="_Toc97305465"/>
      <w:bookmarkStart w:id="63" w:name="_Toc99041664"/>
      <w:bookmarkStart w:id="64" w:name="_Toc92958592"/>
      <w:r w:rsidRPr="001D44A6">
        <w:rPr>
          <w:b/>
          <w:sz w:val="24"/>
        </w:rPr>
        <w:t xml:space="preserve">4.1 </w:t>
      </w:r>
      <w:r w:rsidR="00344562">
        <w:rPr>
          <w:b/>
          <w:sz w:val="24"/>
        </w:rPr>
        <w:tab/>
      </w:r>
      <w:r w:rsidRPr="001D44A6">
        <w:rPr>
          <w:b/>
          <w:sz w:val="24"/>
        </w:rPr>
        <w:t>Program logic</w:t>
      </w:r>
      <w:bookmarkEnd w:id="61"/>
      <w:bookmarkEnd w:id="62"/>
      <w:bookmarkEnd w:id="63"/>
      <w:r w:rsidRPr="001D44A6">
        <w:rPr>
          <w:b/>
          <w:sz w:val="24"/>
        </w:rPr>
        <w:t xml:space="preserve"> </w:t>
      </w:r>
      <w:bookmarkEnd w:id="64"/>
    </w:p>
    <w:p w14:paraId="43FD1BD2" w14:textId="1397415C" w:rsidR="00EC48DC" w:rsidRDefault="00EC48DC" w:rsidP="00791619">
      <w:pPr>
        <w:jc w:val="both"/>
      </w:pPr>
      <w:r w:rsidRPr="001D44A6">
        <w:t>The CPP program logic</w:t>
      </w:r>
      <w:r>
        <w:t xml:space="preserve"> </w:t>
      </w:r>
      <w:r w:rsidRPr="001D44A6">
        <w:t xml:space="preserve">is represented in the diagram below and explained in the following section. </w:t>
      </w:r>
    </w:p>
    <w:p w14:paraId="5D7D269F" w14:textId="77777777" w:rsidR="0037291B" w:rsidRDefault="0037291B" w:rsidP="00791619">
      <w:pPr>
        <w:jc w:val="both"/>
        <w:sectPr w:rsidR="0037291B" w:rsidSect="00660D3A">
          <w:footerReference w:type="default" r:id="rId11"/>
          <w:pgSz w:w="11906" w:h="16838"/>
          <w:pgMar w:top="1440" w:right="1440" w:bottom="1440" w:left="1440" w:header="708" w:footer="708" w:gutter="0"/>
          <w:pgNumType w:start="1"/>
          <w:cols w:space="708"/>
          <w:docGrid w:linePitch="360"/>
        </w:sectPr>
      </w:pPr>
    </w:p>
    <w:p w14:paraId="63A8B6F7" w14:textId="52801424" w:rsidR="0037291B" w:rsidRDefault="0037291B" w:rsidP="00791619">
      <w:pPr>
        <w:pStyle w:val="Caption"/>
        <w:spacing w:after="0"/>
        <w:jc w:val="both"/>
      </w:pPr>
      <w:r w:rsidRPr="0037291B">
        <w:lastRenderedPageBreak/>
        <w:t>Figure 1: CPP Program Logic</w:t>
      </w:r>
    </w:p>
    <w:p w14:paraId="6FFB57F0" w14:textId="46825B74" w:rsidR="00344562" w:rsidRPr="00344562" w:rsidRDefault="001B61B4" w:rsidP="00791619">
      <w:pPr>
        <w:jc w:val="both"/>
        <w:sectPr w:rsidR="00344562" w:rsidRPr="00344562" w:rsidSect="00344562">
          <w:pgSz w:w="16838" w:h="11906" w:orient="landscape"/>
          <w:pgMar w:top="1440" w:right="1440" w:bottom="1440" w:left="1440" w:header="708" w:footer="708" w:gutter="0"/>
          <w:cols w:space="708"/>
          <w:docGrid w:linePitch="360"/>
        </w:sectPr>
      </w:pPr>
      <w:r w:rsidRPr="001B61B4">
        <w:rPr>
          <w:noProof/>
        </w:rPr>
        <w:drawing>
          <wp:inline distT="0" distB="0" distL="0" distR="0" wp14:anchorId="11FB4464" wp14:editId="3972DDE7">
            <wp:extent cx="8338242" cy="5532674"/>
            <wp:effectExtent l="0" t="0" r="5715" b="0"/>
            <wp:docPr id="1" name="Picture 1" descr="CPP Program Logic, which provides a visual framework of the program goal, end of program outcomes, pillars, intermediate outcomes, thematic priorities, and foundational inputs. It also shows linkages for CPP into the BCEP goal and end of program outcom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PP Program Logic, which provides a visual framework of the program goal, end of program outcomes, pillars, intermediate outcomes, thematic priorities, and foundational inputs. It also shows linkages for CPP into the BCEP goal and end of program outcomes.&#10;"/>
                    <pic:cNvPicPr/>
                  </pic:nvPicPr>
                  <pic:blipFill>
                    <a:blip r:embed="rId12"/>
                    <a:stretch>
                      <a:fillRect/>
                    </a:stretch>
                  </pic:blipFill>
                  <pic:spPr>
                    <a:xfrm>
                      <a:off x="0" y="0"/>
                      <a:ext cx="8347821" cy="5539030"/>
                    </a:xfrm>
                    <a:prstGeom prst="rect">
                      <a:avLst/>
                    </a:prstGeom>
                  </pic:spPr>
                </pic:pic>
              </a:graphicData>
            </a:graphic>
          </wp:inline>
        </w:drawing>
      </w:r>
    </w:p>
    <w:p w14:paraId="18697878" w14:textId="22F27A14" w:rsidR="00EC48DC" w:rsidRPr="00344562" w:rsidRDefault="00344562" w:rsidP="00791619">
      <w:pPr>
        <w:pStyle w:val="Heading2"/>
        <w:jc w:val="both"/>
        <w:rPr>
          <w:b/>
          <w:sz w:val="24"/>
        </w:rPr>
      </w:pPr>
      <w:bookmarkStart w:id="65" w:name="_Toc99041665"/>
      <w:r>
        <w:rPr>
          <w:b/>
          <w:sz w:val="24"/>
        </w:rPr>
        <w:lastRenderedPageBreak/>
        <w:t>4.2</w:t>
      </w:r>
      <w:r>
        <w:rPr>
          <w:b/>
          <w:sz w:val="24"/>
        </w:rPr>
        <w:tab/>
      </w:r>
      <w:r w:rsidR="00EC48DC" w:rsidRPr="00344562">
        <w:rPr>
          <w:b/>
          <w:sz w:val="24"/>
        </w:rPr>
        <w:t>Explanation of logic</w:t>
      </w:r>
      <w:bookmarkEnd w:id="65"/>
      <w:r w:rsidR="00EC48DC" w:rsidRPr="00344562">
        <w:rPr>
          <w:b/>
          <w:sz w:val="24"/>
        </w:rPr>
        <w:t xml:space="preserve"> </w:t>
      </w:r>
    </w:p>
    <w:p w14:paraId="4A216D86" w14:textId="11A4EA48" w:rsidR="002D6B2C" w:rsidRPr="00084CCC" w:rsidRDefault="002D6B2C" w:rsidP="00791619">
      <w:pPr>
        <w:pStyle w:val="Heading3"/>
        <w:jc w:val="both"/>
        <w:rPr>
          <w:b/>
          <w:bCs/>
        </w:rPr>
      </w:pPr>
      <w:r>
        <w:rPr>
          <w:b/>
          <w:bCs/>
        </w:rPr>
        <w:t>CPP</w:t>
      </w:r>
      <w:r w:rsidR="00AC5E3D">
        <w:rPr>
          <w:b/>
          <w:bCs/>
        </w:rPr>
        <w:t>’s</w:t>
      </w:r>
      <w:r>
        <w:rPr>
          <w:b/>
          <w:bCs/>
        </w:rPr>
        <w:t xml:space="preserve"> </w:t>
      </w:r>
      <w:r w:rsidR="00265B7C">
        <w:rPr>
          <w:b/>
          <w:bCs/>
        </w:rPr>
        <w:t>g</w:t>
      </w:r>
      <w:r w:rsidRPr="00084CCC">
        <w:rPr>
          <w:b/>
          <w:bCs/>
        </w:rPr>
        <w:t xml:space="preserve">oal and end of </w:t>
      </w:r>
      <w:r w:rsidR="00265B7C">
        <w:rPr>
          <w:b/>
          <w:bCs/>
        </w:rPr>
        <w:t>p</w:t>
      </w:r>
      <w:r w:rsidRPr="00084CCC">
        <w:rPr>
          <w:b/>
          <w:bCs/>
        </w:rPr>
        <w:t>rogram outcomes</w:t>
      </w:r>
      <w:r>
        <w:rPr>
          <w:b/>
          <w:bCs/>
        </w:rPr>
        <w:t xml:space="preserve">: alignment </w:t>
      </w:r>
      <w:r w:rsidR="007651D8">
        <w:rPr>
          <w:b/>
          <w:bCs/>
        </w:rPr>
        <w:t xml:space="preserve">with </w:t>
      </w:r>
      <w:r>
        <w:rPr>
          <w:b/>
          <w:bCs/>
        </w:rPr>
        <w:t>BCEP</w:t>
      </w:r>
    </w:p>
    <w:p w14:paraId="269AC6EA" w14:textId="1ACDC90A" w:rsidR="002D6B2C" w:rsidRDefault="002D6B2C" w:rsidP="00791619">
      <w:pPr>
        <w:jc w:val="both"/>
      </w:pPr>
      <w:r w:rsidRPr="001D44A6">
        <w:t xml:space="preserve">The diagram </w:t>
      </w:r>
      <w:r>
        <w:t xml:space="preserve">above </w:t>
      </w:r>
      <w:r w:rsidRPr="001D44A6">
        <w:t>shows that the CPP</w:t>
      </w:r>
      <w:r>
        <w:t xml:space="preserve"> program logic integrates into the BCEP program logic through alignment of goal and end of </w:t>
      </w:r>
      <w:r w:rsidRPr="001D44A6">
        <w:t xml:space="preserve">program </w:t>
      </w:r>
      <w:r>
        <w:t>outcomes.</w:t>
      </w:r>
      <w:r w:rsidRPr="001D44A6">
        <w:t xml:space="preserve"> </w:t>
      </w:r>
      <w:r>
        <w:t>The</w:t>
      </w:r>
      <w:r w:rsidRPr="001D44A6">
        <w:t xml:space="preserve"> CPP</w:t>
      </w:r>
      <w:r>
        <w:t>’s</w:t>
      </w:r>
      <w:r w:rsidRPr="001D44A6">
        <w:t xml:space="preserve"> end of program outcome</w:t>
      </w:r>
      <w:r>
        <w:t>s</w:t>
      </w:r>
      <w:r w:rsidRPr="001D44A6">
        <w:t xml:space="preserve"> will be delivered through </w:t>
      </w:r>
      <w:r>
        <w:t>f</w:t>
      </w:r>
      <w:r w:rsidRPr="001D44A6">
        <w:t xml:space="preserve">our implementation pillars </w:t>
      </w:r>
      <w:r>
        <w:t>that will also contribute to BCEP’s end of program outcomes.</w:t>
      </w:r>
    </w:p>
    <w:p w14:paraId="3A56F3CF" w14:textId="46189CC5" w:rsidR="000470A8" w:rsidRDefault="000470A8" w:rsidP="00791619">
      <w:pPr>
        <w:jc w:val="both"/>
      </w:pPr>
      <w:r>
        <w:t xml:space="preserve">The long-term BCEP goal is: </w:t>
      </w:r>
      <w:r w:rsidR="002D6B2C">
        <w:t>“</w:t>
      </w:r>
      <w:r>
        <w:t>to strengthen citizen-government engagement for improved service delivery and provision of public goods.</w:t>
      </w:r>
      <w:r w:rsidR="002D6B2C">
        <w:t>”</w:t>
      </w:r>
      <w:r>
        <w:t xml:space="preserve"> BCEP’s central governance issue is the weak interaction between state and non-state actors in the design and implementation of policy. By tackling issues where more and less powerful actors have interests in common, such as practical improvements to how essential services are provided, BCEP aims to directly impact people’s lives. Doing so will demonstrate how constructive citizen-government interaction can change how PNG is governed. </w:t>
      </w:r>
    </w:p>
    <w:p w14:paraId="34D4249E" w14:textId="0A7D312D" w:rsidR="000470A8" w:rsidRDefault="000470A8" w:rsidP="00791619">
      <w:pPr>
        <w:jc w:val="both"/>
      </w:pPr>
      <w:r>
        <w:t xml:space="preserve">The long-term CPP goal is: </w:t>
      </w:r>
      <w:r w:rsidR="002D6B2C">
        <w:t>“</w:t>
      </w:r>
      <w:r>
        <w:t>to improve delivery of public services and goods to vulnerable and marginalised communities.</w:t>
      </w:r>
      <w:r w:rsidR="002D6B2C">
        <w:t>”</w:t>
      </w:r>
      <w:r>
        <w:t xml:space="preserve"> CPP is also focussed on the same broad issue of strengthening the interaction between public authorities </w:t>
      </w:r>
      <w:r w:rsidR="000D5D26">
        <w:t>for</w:t>
      </w:r>
      <w:r>
        <w:t xml:space="preserve"> improving the delivery of public services. However, CPP has expanded the focus beyond state actors to the broader category of </w:t>
      </w:r>
      <w:r w:rsidR="002D6B2C">
        <w:t>“</w:t>
      </w:r>
      <w:r>
        <w:t>public authorities</w:t>
      </w:r>
      <w:r w:rsidR="002D6B2C">
        <w:t>”</w:t>
      </w:r>
      <w:r>
        <w:t>, which include</w:t>
      </w:r>
      <w:r w:rsidR="002D6B2C">
        <w:t>s</w:t>
      </w:r>
      <w:r>
        <w:t xml:space="preserve"> state as well as church authorities. </w:t>
      </w:r>
      <w:r w:rsidR="002A2710" w:rsidRPr="002A2710">
        <w:t>Moreover, CPP has a particular focus on making sure services are reaching vulnerable and marginalised communities, with a specific focus on women, people accused of sorcery, people living with disabilities, and people in rural and remote communities.</w:t>
      </w:r>
    </w:p>
    <w:p w14:paraId="498D98C4" w14:textId="371A73BB" w:rsidR="000470A8" w:rsidRDefault="000470A8" w:rsidP="00791619">
      <w:pPr>
        <w:jc w:val="both"/>
      </w:pPr>
      <w:r>
        <w:t xml:space="preserve">The CPP goal is achieved through two end of program </w:t>
      </w:r>
      <w:r w:rsidR="002D6B2C">
        <w:t xml:space="preserve">outcomes </w:t>
      </w:r>
      <w:r w:rsidR="0033189A">
        <w:t>like</w:t>
      </w:r>
      <w:r>
        <w:t xml:space="preserve"> BCEP</w:t>
      </w:r>
      <w:r w:rsidR="002D6B2C">
        <w:t>’s</w:t>
      </w:r>
      <w:r>
        <w:t xml:space="preserve"> end of program outcomes. </w:t>
      </w:r>
    </w:p>
    <w:p w14:paraId="582A6919" w14:textId="0C900678" w:rsidR="000470A8" w:rsidRDefault="000470A8" w:rsidP="00791619">
      <w:pPr>
        <w:jc w:val="both"/>
      </w:pPr>
      <w:r>
        <w:t xml:space="preserve">CPP contributes to BCEP </w:t>
      </w:r>
      <w:r w:rsidR="00265B7C">
        <w:t>end outcome 1:</w:t>
      </w:r>
      <w:r>
        <w:t xml:space="preserve"> </w:t>
      </w:r>
      <w:r w:rsidR="002D6B2C">
        <w:t>“</w:t>
      </w:r>
      <w:r w:rsidR="00265B7C">
        <w:t>s</w:t>
      </w:r>
      <w:r>
        <w:t>elected state and non-state actors collaborate effectively to tackle targeted development problems</w:t>
      </w:r>
      <w:r w:rsidR="002D6B2C">
        <w:t>”</w:t>
      </w:r>
      <w:r>
        <w:t xml:space="preserve"> through the CPP </w:t>
      </w:r>
      <w:r w:rsidR="00265B7C">
        <w:t>end outcome 1</w:t>
      </w:r>
      <w:r>
        <w:t xml:space="preserve"> </w:t>
      </w:r>
      <w:r w:rsidR="002D6B2C">
        <w:t>“</w:t>
      </w:r>
      <w:r w:rsidR="00265B7C">
        <w:t>g</w:t>
      </w:r>
      <w:r>
        <w:t xml:space="preserve">overnment and </w:t>
      </w:r>
      <w:r w:rsidR="00265B7C">
        <w:t>c</w:t>
      </w:r>
      <w:r>
        <w:t>hurch communit</w:t>
      </w:r>
      <w:r w:rsidR="00EA5A05">
        <w:t>y members</w:t>
      </w:r>
      <w:r>
        <w:t xml:space="preserve"> constructively engage to deliver inclusive development outcomes.</w:t>
      </w:r>
      <w:r w:rsidR="000D5D26">
        <w:t>”</w:t>
      </w:r>
      <w:r>
        <w:t xml:space="preserve"> Two CPP pillars will directly contribute to this end outcome: </w:t>
      </w:r>
    </w:p>
    <w:p w14:paraId="6E0ED260" w14:textId="57F18111" w:rsidR="000470A8" w:rsidRDefault="000470A8" w:rsidP="00791619">
      <w:pPr>
        <w:pStyle w:val="ListParagraph"/>
        <w:numPr>
          <w:ilvl w:val="0"/>
          <w:numId w:val="42"/>
        </w:numPr>
        <w:ind w:left="1134" w:hanging="425"/>
        <w:jc w:val="both"/>
      </w:pPr>
      <w:r>
        <w:t xml:space="preserve">Pillar 1: </w:t>
      </w:r>
      <w:r w:rsidR="0033189A">
        <w:t xml:space="preserve">focusses on </w:t>
      </w:r>
      <w:r>
        <w:t>the provision of information to the community on development problems and issues; and the generation of evidence from church activities on how to improve development policies and engage with government through the PNGCC and/or broader coalitions</w:t>
      </w:r>
      <w:r w:rsidR="00265B7C">
        <w:t>.</w:t>
      </w:r>
      <w:r>
        <w:t xml:space="preserve"> </w:t>
      </w:r>
    </w:p>
    <w:p w14:paraId="49A9951A" w14:textId="4C048A13" w:rsidR="000470A8" w:rsidRDefault="000470A8" w:rsidP="00791619">
      <w:pPr>
        <w:pStyle w:val="ListParagraph"/>
        <w:numPr>
          <w:ilvl w:val="0"/>
          <w:numId w:val="42"/>
        </w:numPr>
        <w:ind w:left="1134" w:hanging="425"/>
        <w:jc w:val="both"/>
      </w:pPr>
      <w:r>
        <w:t xml:space="preserve">Pillar 2: </w:t>
      </w:r>
      <w:r w:rsidR="0033189A">
        <w:t xml:space="preserve">supports PNG </w:t>
      </w:r>
      <w:r>
        <w:t xml:space="preserve">church </w:t>
      </w:r>
      <w:r w:rsidR="0033189A">
        <w:t xml:space="preserve">partner </w:t>
      </w:r>
      <w:r>
        <w:t>facilitated social accountability initiatives that promote constructive community engagement with public authorities (government and church)</w:t>
      </w:r>
      <w:r w:rsidR="00265B7C">
        <w:t>.</w:t>
      </w:r>
    </w:p>
    <w:p w14:paraId="1EBFB870" w14:textId="7479F388" w:rsidR="000470A8" w:rsidRDefault="000470A8" w:rsidP="00791619">
      <w:pPr>
        <w:jc w:val="both"/>
      </w:pPr>
      <w:r>
        <w:t xml:space="preserve">CPP contributes to BCEP </w:t>
      </w:r>
      <w:r w:rsidR="00265B7C">
        <w:t>end outcome 2:</w:t>
      </w:r>
      <w:r>
        <w:t xml:space="preserve"> </w:t>
      </w:r>
      <w:r w:rsidR="0033189A">
        <w:t>“</w:t>
      </w:r>
      <w:r w:rsidR="00265B7C">
        <w:t>t</w:t>
      </w:r>
      <w:r>
        <w:t>argeted PNG decision-makers explicitly integrate gender equality and inclusive social norms into efforts to tackle targeted development problems</w:t>
      </w:r>
      <w:r w:rsidR="0033189A">
        <w:t>”</w:t>
      </w:r>
      <w:r>
        <w:t xml:space="preserve"> through CPP </w:t>
      </w:r>
      <w:r w:rsidR="00265B7C">
        <w:t>end outcome 2:</w:t>
      </w:r>
      <w:r>
        <w:t xml:space="preserve"> </w:t>
      </w:r>
      <w:r w:rsidR="0033189A">
        <w:t>“</w:t>
      </w:r>
      <w:r w:rsidR="00265B7C">
        <w:t>g</w:t>
      </w:r>
      <w:r>
        <w:t xml:space="preserve">overnment and </w:t>
      </w:r>
      <w:r w:rsidR="00265B7C">
        <w:t>c</w:t>
      </w:r>
      <w:r>
        <w:t>hurch decision-makers actively promote gender equality, disability, and social inclusion.</w:t>
      </w:r>
      <w:r w:rsidR="0033189A">
        <w:t xml:space="preserve">” </w:t>
      </w:r>
      <w:r>
        <w:t>CPP pillar 3 will directly contribute to this end outcome</w:t>
      </w:r>
      <w:r w:rsidR="00265B7C">
        <w:t>:</w:t>
      </w:r>
    </w:p>
    <w:p w14:paraId="3C1365FF" w14:textId="37D77C1D" w:rsidR="000470A8" w:rsidRDefault="000470A8" w:rsidP="00791619">
      <w:pPr>
        <w:pStyle w:val="ListParagraph"/>
        <w:numPr>
          <w:ilvl w:val="0"/>
          <w:numId w:val="42"/>
        </w:numPr>
        <w:ind w:left="1134" w:hanging="425"/>
        <w:jc w:val="both"/>
      </w:pPr>
      <w:r>
        <w:t xml:space="preserve">Pillar 3: </w:t>
      </w:r>
      <w:r w:rsidR="0033189A">
        <w:t xml:space="preserve">aims to influence </w:t>
      </w:r>
      <w:r>
        <w:t>chang</w:t>
      </w:r>
      <w:r w:rsidR="0033189A">
        <w:t xml:space="preserve">es in </w:t>
      </w:r>
      <w:r>
        <w:t xml:space="preserve">the attitudes of church leaders and the community </w:t>
      </w:r>
      <w:r w:rsidR="0033189A">
        <w:t>toward GEDS</w:t>
      </w:r>
      <w:r w:rsidR="008816A2">
        <w:t>I</w:t>
      </w:r>
      <w:r w:rsidR="0033189A">
        <w:t xml:space="preserve"> as well as change</w:t>
      </w:r>
      <w:r>
        <w:t xml:space="preserve"> internal church policies and procedure toward GEDSI</w:t>
      </w:r>
      <w:r w:rsidR="0033189A">
        <w:t xml:space="preserve">. Both efforts will be based on supporting </w:t>
      </w:r>
      <w:r>
        <w:t xml:space="preserve">the operationalisation of </w:t>
      </w:r>
      <w:r w:rsidR="00265B7C">
        <w:t xml:space="preserve">the gender equality theology as well </w:t>
      </w:r>
      <w:r>
        <w:t xml:space="preserve">mainstreaming of GEDSI through all activities. </w:t>
      </w:r>
    </w:p>
    <w:p w14:paraId="4F3CC226" w14:textId="1103C4CB" w:rsidR="000470A8" w:rsidRDefault="000470A8" w:rsidP="00791619">
      <w:pPr>
        <w:jc w:val="both"/>
      </w:pPr>
      <w:r>
        <w:t xml:space="preserve">CPP’s pillar 4 will maximise change on both </w:t>
      </w:r>
      <w:r w:rsidR="0033189A">
        <w:t xml:space="preserve">CPP </w:t>
      </w:r>
      <w:r w:rsidR="00265B7C">
        <w:t>end outcome</w:t>
      </w:r>
      <w:r>
        <w:t xml:space="preserve"> through processes to support collaboration, learning and join actions among CPP and BCEP partners. Pillar 4 also supports long-term sustainability through processes to develop CPP partners organisational development for localisation. </w:t>
      </w:r>
    </w:p>
    <w:p w14:paraId="7093BADB" w14:textId="43D6574B" w:rsidR="000470A8" w:rsidRDefault="0033189A" w:rsidP="00791619">
      <w:pPr>
        <w:jc w:val="both"/>
      </w:pPr>
      <w:r>
        <w:lastRenderedPageBreak/>
        <w:t>Finally, w</w:t>
      </w:r>
      <w:r w:rsidR="000470A8">
        <w:t>here possible, CPP outcome indicators have been harmonized with BCEP indicators to support aggregation and learning across BCEP partners (see Annex 1).</w:t>
      </w:r>
    </w:p>
    <w:p w14:paraId="41EC437D" w14:textId="4080FDB0" w:rsidR="00EC48DC" w:rsidRPr="00AC5E3D" w:rsidRDefault="00AC5E3D" w:rsidP="00791619">
      <w:pPr>
        <w:pStyle w:val="Heading3"/>
        <w:jc w:val="both"/>
        <w:rPr>
          <w:b/>
          <w:bCs/>
        </w:rPr>
      </w:pPr>
      <w:r>
        <w:rPr>
          <w:b/>
          <w:bCs/>
        </w:rPr>
        <w:t xml:space="preserve">CPP’s </w:t>
      </w:r>
      <w:r w:rsidR="00265B7C">
        <w:rPr>
          <w:b/>
          <w:bCs/>
        </w:rPr>
        <w:t>i</w:t>
      </w:r>
      <w:r w:rsidRPr="00AC5E3D">
        <w:rPr>
          <w:b/>
          <w:bCs/>
        </w:rPr>
        <w:t>ntermediate outcomes and outputs</w:t>
      </w:r>
    </w:p>
    <w:p w14:paraId="075B3875" w14:textId="3F43104C" w:rsidR="00EC48DC" w:rsidRDefault="00EC48DC" w:rsidP="00791619">
      <w:pPr>
        <w:shd w:val="clear" w:color="auto" w:fill="FFFFFF" w:themeFill="background1"/>
        <w:spacing w:before="240"/>
        <w:jc w:val="both"/>
      </w:pPr>
      <w:r w:rsidRPr="001D44A6">
        <w:t xml:space="preserve">The four </w:t>
      </w:r>
      <w:r w:rsidR="00AC5E3D">
        <w:t xml:space="preserve">implementation </w:t>
      </w:r>
      <w:r w:rsidRPr="001D44A6">
        <w:t>pillars</w:t>
      </w:r>
      <w:r w:rsidR="00D17F54">
        <w:t xml:space="preserve"> </w:t>
      </w:r>
      <w:r w:rsidR="00DF19E0">
        <w:t>will work together to achieve CPP’s end of program outcomes (see box). Each pillar has</w:t>
      </w:r>
      <w:r w:rsidR="00D17F54">
        <w:t xml:space="preserve"> </w:t>
      </w:r>
      <w:r w:rsidRPr="001D44A6">
        <w:t>intermediate outcomes and outputs</w:t>
      </w:r>
      <w:r w:rsidR="00DF19E0">
        <w:t xml:space="preserve"> which presented below. </w:t>
      </w:r>
    </w:p>
    <w:p w14:paraId="52F12339" w14:textId="6F712CA2" w:rsidR="00D17F54" w:rsidRPr="001D44A6" w:rsidRDefault="00D17F54" w:rsidP="00791619">
      <w:pPr>
        <w:pStyle w:val="Caption"/>
        <w:spacing w:after="0"/>
        <w:jc w:val="both"/>
      </w:pPr>
      <w:r>
        <w:t xml:space="preserve">Box </w:t>
      </w:r>
      <w:r w:rsidR="00265B7C">
        <w:t>3</w:t>
      </w:r>
      <w:r w:rsidRPr="0012389B">
        <w:t xml:space="preserve">: </w:t>
      </w:r>
      <w:r>
        <w:t xml:space="preserve">How </w:t>
      </w:r>
      <w:r w:rsidR="008369B2">
        <w:t xml:space="preserve">the four </w:t>
      </w:r>
      <w:r>
        <w:t xml:space="preserve">CPP pillars work together </w:t>
      </w:r>
    </w:p>
    <w:p w14:paraId="519189CA" w14:textId="63CA3378" w:rsidR="00EC48DC" w:rsidRPr="00D17F54" w:rsidRDefault="00EC48DC" w:rsidP="00791619">
      <w:pPr>
        <w:pStyle w:val="ListParagraph"/>
        <w:numPr>
          <w:ilvl w:val="0"/>
          <w:numId w:val="35"/>
        </w:numPr>
        <w:pBdr>
          <w:top w:val="single" w:sz="4" w:space="1" w:color="auto"/>
          <w:left w:val="single" w:sz="4" w:space="4" w:color="auto"/>
          <w:bottom w:val="single" w:sz="4" w:space="1" w:color="auto"/>
          <w:right w:val="single" w:sz="4" w:space="4" w:color="auto"/>
        </w:pBdr>
        <w:shd w:val="clear" w:color="auto" w:fill="FFF2CC" w:themeFill="accent4" w:themeFillTint="33"/>
        <w:jc w:val="both"/>
        <w:rPr>
          <w:sz w:val="20"/>
          <w:szCs w:val="20"/>
        </w:rPr>
      </w:pPr>
      <w:r w:rsidRPr="00D17F54">
        <w:rPr>
          <w:b/>
          <w:bCs/>
          <w:sz w:val="20"/>
          <w:szCs w:val="20"/>
        </w:rPr>
        <w:t>Information Access and Evidence Generation Pillar</w:t>
      </w:r>
      <w:r w:rsidRPr="00D17F54">
        <w:rPr>
          <w:sz w:val="20"/>
          <w:szCs w:val="20"/>
        </w:rPr>
        <w:t>: involves CPP partners leveraging their current activities to ensure that a) communities have access to the information they need for constructive engagement with government and/or problem solving and b) evidence is generated from these activities to inform CPP partners dialogue with public authorities (government and church) leading to the making of better policies that achieve more inclusive development outcome</w:t>
      </w:r>
      <w:r w:rsidR="00137938">
        <w:rPr>
          <w:sz w:val="20"/>
          <w:szCs w:val="20"/>
        </w:rPr>
        <w:t>.</w:t>
      </w:r>
    </w:p>
    <w:p w14:paraId="575FE771" w14:textId="1E9B9C60" w:rsidR="00EC48DC" w:rsidRPr="00D17F54" w:rsidRDefault="00EC48DC" w:rsidP="00791619">
      <w:pPr>
        <w:pStyle w:val="ListParagraph"/>
        <w:numPr>
          <w:ilvl w:val="0"/>
          <w:numId w:val="35"/>
        </w:numPr>
        <w:pBdr>
          <w:top w:val="single" w:sz="4" w:space="1" w:color="auto"/>
          <w:left w:val="single" w:sz="4" w:space="4" w:color="auto"/>
          <w:bottom w:val="single" w:sz="4" w:space="1" w:color="auto"/>
          <w:right w:val="single" w:sz="4" w:space="4" w:color="auto"/>
        </w:pBdr>
        <w:shd w:val="clear" w:color="auto" w:fill="FFF2CC" w:themeFill="accent4" w:themeFillTint="33"/>
        <w:spacing w:before="240"/>
        <w:jc w:val="both"/>
        <w:rPr>
          <w:sz w:val="20"/>
          <w:szCs w:val="20"/>
        </w:rPr>
      </w:pPr>
      <w:r w:rsidRPr="00D17F54">
        <w:rPr>
          <w:b/>
          <w:bCs/>
          <w:sz w:val="20"/>
          <w:szCs w:val="20"/>
        </w:rPr>
        <w:t>Social Accountability Pillar</w:t>
      </w:r>
      <w:r w:rsidRPr="00D17F54">
        <w:rPr>
          <w:sz w:val="20"/>
          <w:szCs w:val="20"/>
        </w:rPr>
        <w:t>: involves developing CPP partners capacity to implement</w:t>
      </w:r>
      <w:r w:rsidR="002A2710">
        <w:rPr>
          <w:sz w:val="20"/>
          <w:szCs w:val="20"/>
        </w:rPr>
        <w:t xml:space="preserve"> </w:t>
      </w:r>
      <w:r w:rsidR="002A2710" w:rsidRPr="00D17F54">
        <w:rPr>
          <w:sz w:val="20"/>
          <w:szCs w:val="20"/>
        </w:rPr>
        <w:t>social accountability initiatives</w:t>
      </w:r>
      <w:r w:rsidRPr="00D17F54">
        <w:rPr>
          <w:sz w:val="20"/>
          <w:szCs w:val="20"/>
        </w:rPr>
        <w:t xml:space="preserve">. </w:t>
      </w:r>
      <w:r w:rsidR="002A2710">
        <w:rPr>
          <w:sz w:val="20"/>
          <w:szCs w:val="20"/>
        </w:rPr>
        <w:t>The</w:t>
      </w:r>
      <w:r w:rsidRPr="00D17F54">
        <w:rPr>
          <w:sz w:val="20"/>
          <w:szCs w:val="20"/>
        </w:rPr>
        <w:t xml:space="preserve"> focus is on building the capacity of CPP partners to </w:t>
      </w:r>
      <w:r w:rsidR="002A2710" w:rsidRPr="00D17F54">
        <w:rPr>
          <w:sz w:val="20"/>
          <w:szCs w:val="20"/>
        </w:rPr>
        <w:t>us</w:t>
      </w:r>
      <w:r w:rsidR="002A2710">
        <w:rPr>
          <w:sz w:val="20"/>
          <w:szCs w:val="20"/>
        </w:rPr>
        <w:t>e</w:t>
      </w:r>
      <w:r w:rsidR="002A2710" w:rsidRPr="00D17F54">
        <w:rPr>
          <w:sz w:val="20"/>
          <w:szCs w:val="20"/>
        </w:rPr>
        <w:t xml:space="preserve"> social accountability approaches </w:t>
      </w:r>
      <w:r w:rsidR="002A2710">
        <w:rPr>
          <w:sz w:val="20"/>
          <w:szCs w:val="20"/>
        </w:rPr>
        <w:t xml:space="preserve">to </w:t>
      </w:r>
      <w:r w:rsidRPr="00D17F54">
        <w:rPr>
          <w:sz w:val="20"/>
          <w:szCs w:val="20"/>
        </w:rPr>
        <w:t xml:space="preserve">facilitate constructive engagement between the community and public authorities (government and church). This is expected to lead to the solving of practical development problems, including in the delivery of basic services. Successful social accountability interventions rely on the work under pillar 1. Namely, the community requires access to information on the problem and their rights, and the government needs policy solutions based on evidence. </w:t>
      </w:r>
    </w:p>
    <w:p w14:paraId="153ECAD2" w14:textId="384672E8" w:rsidR="00EC48DC" w:rsidRPr="00D17F54" w:rsidRDefault="00EC48DC" w:rsidP="00791619">
      <w:pPr>
        <w:pStyle w:val="ListParagraph"/>
        <w:numPr>
          <w:ilvl w:val="0"/>
          <w:numId w:val="35"/>
        </w:numPr>
        <w:pBdr>
          <w:top w:val="single" w:sz="4" w:space="1" w:color="auto"/>
          <w:left w:val="single" w:sz="4" w:space="4" w:color="auto"/>
          <w:bottom w:val="single" w:sz="4" w:space="1" w:color="auto"/>
          <w:right w:val="single" w:sz="4" w:space="4" w:color="auto"/>
        </w:pBdr>
        <w:shd w:val="clear" w:color="auto" w:fill="FFF2CC" w:themeFill="accent4" w:themeFillTint="33"/>
        <w:spacing w:before="240"/>
        <w:jc w:val="both"/>
        <w:rPr>
          <w:sz w:val="20"/>
          <w:szCs w:val="20"/>
        </w:rPr>
      </w:pPr>
      <w:r w:rsidRPr="00D17F54">
        <w:rPr>
          <w:b/>
          <w:bCs/>
          <w:sz w:val="20"/>
          <w:szCs w:val="20"/>
        </w:rPr>
        <w:t>Gender Equality Theology and GEDSI Pillar</w:t>
      </w:r>
      <w:r w:rsidRPr="00D17F54">
        <w:rPr>
          <w:sz w:val="20"/>
          <w:szCs w:val="20"/>
        </w:rPr>
        <w:t xml:space="preserve"> is focussed on changing negative gender and social attitudes that are commonly held in PNG towards women, people with disability and other socially excluded groups. The focus is on influencing change within church organisation</w:t>
      </w:r>
      <w:r w:rsidR="007F75DC">
        <w:rPr>
          <w:sz w:val="20"/>
          <w:szCs w:val="20"/>
        </w:rPr>
        <w:t>s</w:t>
      </w:r>
      <w:r w:rsidRPr="00D17F54">
        <w:rPr>
          <w:sz w:val="20"/>
          <w:szCs w:val="20"/>
        </w:rPr>
        <w:t xml:space="preserve"> by focussing on the attitudes of church leaders and ensuring church policies are inclusive; as well as seeking to directly influence the attitudes of community</w:t>
      </w:r>
      <w:r w:rsidR="007F75DC">
        <w:rPr>
          <w:sz w:val="20"/>
          <w:szCs w:val="20"/>
        </w:rPr>
        <w:t xml:space="preserve"> members</w:t>
      </w:r>
      <w:r w:rsidRPr="00D17F54">
        <w:rPr>
          <w:sz w:val="20"/>
          <w:szCs w:val="20"/>
        </w:rPr>
        <w:t xml:space="preserve">. This pillar continues, with increased ambition, the significant work CPP partners have done in past phases to provide services to women and other vulnerable groups. Work in this pillar will leverage the CPP Gender Equality Theology. This pillar will also help to ensure that social accountability initiatives (pillar 2) as well as information access and evidence activities (pillar 1) are inclusive of women and other vulnerable groups. </w:t>
      </w:r>
    </w:p>
    <w:p w14:paraId="4A25B16F" w14:textId="60C131DC" w:rsidR="00EC48DC" w:rsidRPr="00D17F54" w:rsidRDefault="00EC48DC" w:rsidP="00791619">
      <w:pPr>
        <w:pStyle w:val="ListParagraph"/>
        <w:numPr>
          <w:ilvl w:val="0"/>
          <w:numId w:val="35"/>
        </w:numPr>
        <w:pBdr>
          <w:top w:val="single" w:sz="4" w:space="1" w:color="auto"/>
          <w:left w:val="single" w:sz="4" w:space="4" w:color="auto"/>
          <w:bottom w:val="single" w:sz="4" w:space="1" w:color="auto"/>
          <w:right w:val="single" w:sz="4" w:space="4" w:color="auto"/>
        </w:pBdr>
        <w:shd w:val="clear" w:color="auto" w:fill="FFF2CC" w:themeFill="accent4" w:themeFillTint="33"/>
        <w:spacing w:before="240" w:after="0" w:line="240" w:lineRule="auto"/>
        <w:ind w:left="357" w:hanging="357"/>
        <w:jc w:val="both"/>
        <w:rPr>
          <w:sz w:val="20"/>
          <w:szCs w:val="20"/>
        </w:rPr>
      </w:pPr>
      <w:r w:rsidRPr="00D17F54">
        <w:rPr>
          <w:b/>
          <w:bCs/>
          <w:sz w:val="20"/>
          <w:szCs w:val="20"/>
        </w:rPr>
        <w:t xml:space="preserve">Partner Development and Collaboration Pillar </w:t>
      </w:r>
      <w:r w:rsidRPr="00D17F54">
        <w:rPr>
          <w:sz w:val="20"/>
          <w:szCs w:val="20"/>
        </w:rPr>
        <w:t>will underpin the work across all three pillars above. The first part of this pillar is focussed on building PNG church partners</w:t>
      </w:r>
      <w:r w:rsidR="008369B2">
        <w:rPr>
          <w:sz w:val="20"/>
          <w:szCs w:val="20"/>
        </w:rPr>
        <w:t>’</w:t>
      </w:r>
      <w:r w:rsidRPr="00D17F54">
        <w:rPr>
          <w:sz w:val="20"/>
          <w:szCs w:val="20"/>
        </w:rPr>
        <w:t xml:space="preserve"> organisational capacity and resilience</w:t>
      </w:r>
      <w:r w:rsidR="00847367">
        <w:rPr>
          <w:sz w:val="20"/>
          <w:szCs w:val="20"/>
        </w:rPr>
        <w:t xml:space="preserve">, with the </w:t>
      </w:r>
      <w:r w:rsidRPr="00D17F54">
        <w:rPr>
          <w:sz w:val="20"/>
          <w:szCs w:val="20"/>
        </w:rPr>
        <w:t xml:space="preserve">flexibility to pursue </w:t>
      </w:r>
      <w:r w:rsidR="00A201BB">
        <w:rPr>
          <w:sz w:val="20"/>
          <w:szCs w:val="20"/>
        </w:rPr>
        <w:t>localisation</w:t>
      </w:r>
      <w:r w:rsidRPr="00D17F54">
        <w:rPr>
          <w:sz w:val="20"/>
          <w:szCs w:val="20"/>
        </w:rPr>
        <w:t xml:space="preserve"> </w:t>
      </w:r>
      <w:r w:rsidR="00847367">
        <w:rPr>
          <w:sz w:val="20"/>
          <w:szCs w:val="20"/>
        </w:rPr>
        <w:t>on</w:t>
      </w:r>
      <w:r w:rsidR="008369B2">
        <w:rPr>
          <w:sz w:val="20"/>
          <w:szCs w:val="20"/>
        </w:rPr>
        <w:t xml:space="preserve"> an</w:t>
      </w:r>
      <w:r w:rsidR="00847367">
        <w:rPr>
          <w:sz w:val="20"/>
          <w:szCs w:val="20"/>
        </w:rPr>
        <w:t xml:space="preserve"> ‘opt-in’ basis</w:t>
      </w:r>
      <w:r w:rsidRPr="00D17F54">
        <w:rPr>
          <w:sz w:val="20"/>
          <w:szCs w:val="20"/>
        </w:rPr>
        <w:t xml:space="preserve">. The ambition </w:t>
      </w:r>
      <w:r w:rsidR="00847367">
        <w:rPr>
          <w:sz w:val="20"/>
          <w:szCs w:val="20"/>
        </w:rPr>
        <w:t>is that PNG church</w:t>
      </w:r>
      <w:r w:rsidRPr="00D17F54">
        <w:rPr>
          <w:sz w:val="20"/>
          <w:szCs w:val="20"/>
        </w:rPr>
        <w:t xml:space="preserve"> partners have the necessary skills to continue to thrive when the Program finishes. There is particular focus on building capacity in common areas of weakness in GEDSI, MEL and financial management, but support will be tailored to the needs of each PNG church partner. </w:t>
      </w:r>
      <w:r w:rsidR="00AC5E3D" w:rsidRPr="00D17F54">
        <w:rPr>
          <w:sz w:val="20"/>
          <w:szCs w:val="20"/>
        </w:rPr>
        <w:t xml:space="preserve"> The CPP capacity</w:t>
      </w:r>
      <w:r w:rsidR="007F75DC">
        <w:rPr>
          <w:sz w:val="20"/>
          <w:szCs w:val="20"/>
        </w:rPr>
        <w:t xml:space="preserve"> development</w:t>
      </w:r>
      <w:r w:rsidR="00AC5E3D" w:rsidRPr="00D17F54">
        <w:rPr>
          <w:sz w:val="20"/>
          <w:szCs w:val="20"/>
        </w:rPr>
        <w:t xml:space="preserve"> process will support </w:t>
      </w:r>
      <w:r w:rsidR="008369B2">
        <w:rPr>
          <w:sz w:val="20"/>
          <w:szCs w:val="20"/>
        </w:rPr>
        <w:t>CPP partners</w:t>
      </w:r>
      <w:r w:rsidR="008369B2" w:rsidRPr="00D17F54">
        <w:rPr>
          <w:sz w:val="20"/>
          <w:szCs w:val="20"/>
        </w:rPr>
        <w:t xml:space="preserve"> </w:t>
      </w:r>
      <w:r w:rsidR="00AC5E3D" w:rsidRPr="00D17F54">
        <w:rPr>
          <w:sz w:val="20"/>
          <w:szCs w:val="20"/>
        </w:rPr>
        <w:t>to assess needs, define capacity support and plan and measure gains made.</w:t>
      </w:r>
      <w:r w:rsidR="00D17F54" w:rsidRPr="00D17F54">
        <w:rPr>
          <w:sz w:val="20"/>
          <w:szCs w:val="20"/>
        </w:rPr>
        <w:br/>
      </w:r>
      <w:r w:rsidRPr="00D17F54">
        <w:rPr>
          <w:sz w:val="20"/>
          <w:szCs w:val="20"/>
        </w:rPr>
        <w:t xml:space="preserve">The second part of this pillar is focussed on facilitating collaboration and learning between CPP partners to maximise their collective impact. To facilitate collaboration, CPP will build on the norms and processes developed in previous phases. These include the thematic working groups on agreed topics. This pillar will also facilitate collaboration for learning and joint action with other BCEP partners.  </w:t>
      </w:r>
    </w:p>
    <w:p w14:paraId="2314BD1A" w14:textId="77777777" w:rsidR="00EC48DC" w:rsidRDefault="00EC48DC" w:rsidP="00791619">
      <w:pPr>
        <w:pStyle w:val="ListParagraph"/>
        <w:shd w:val="clear" w:color="auto" w:fill="FFFFFF" w:themeFill="background1"/>
        <w:spacing w:before="240"/>
        <w:ind w:left="360"/>
        <w:jc w:val="both"/>
      </w:pPr>
    </w:p>
    <w:p w14:paraId="47B7E874" w14:textId="77777777" w:rsidR="00EC48DC" w:rsidRPr="00DF19E0" w:rsidRDefault="00EC48DC" w:rsidP="00791619">
      <w:pPr>
        <w:pStyle w:val="Heading3"/>
        <w:jc w:val="both"/>
        <w:rPr>
          <w:rStyle w:val="Strong"/>
          <w:rFonts w:eastAsiaTheme="minorHAnsi" w:cstheme="minorBidi"/>
          <w:b/>
          <w:bCs/>
          <w:color w:val="auto"/>
          <w:sz w:val="22"/>
          <w:szCs w:val="22"/>
        </w:rPr>
      </w:pPr>
      <w:r w:rsidRPr="00DF19E0">
        <w:rPr>
          <w:rStyle w:val="Strong"/>
          <w:rFonts w:eastAsiaTheme="minorHAnsi" w:cstheme="minorBidi"/>
          <w:b/>
          <w:bCs/>
          <w:color w:val="auto"/>
          <w:sz w:val="22"/>
          <w:szCs w:val="22"/>
        </w:rPr>
        <w:t>Pillar 1: Policy evidence and information access</w:t>
      </w:r>
    </w:p>
    <w:p w14:paraId="755D88C6" w14:textId="02A0FD9B" w:rsidR="00EC48DC" w:rsidRDefault="00EC48DC" w:rsidP="00791619">
      <w:pPr>
        <w:jc w:val="both"/>
      </w:pPr>
      <w:r w:rsidRPr="001D44A6">
        <w:t xml:space="preserve">Pillar </w:t>
      </w:r>
      <w:r w:rsidR="0068229A">
        <w:t>1</w:t>
      </w:r>
      <w:r w:rsidRPr="001D44A6">
        <w:t xml:space="preserve"> is based around CPP partners current CPP development activities (under Partner Annual work Plans, PAPs) but seeks to increase the effectiveness of these activities and maximise opportunities for taking this work to scale through incorporation in broader government or church policies. Effectiveness will be increased by creating a) </w:t>
      </w:r>
      <w:r w:rsidR="00D4181D">
        <w:t xml:space="preserve">strategic </w:t>
      </w:r>
      <w:r w:rsidRPr="001D44A6">
        <w:t xml:space="preserve">three-year </w:t>
      </w:r>
      <w:r w:rsidR="00D4181D">
        <w:t>plan</w:t>
      </w:r>
      <w:r w:rsidRPr="001D44A6">
        <w:t xml:space="preserve"> under which these activities will be delivered to achieve outcomes in agreed thematic priorities (see section 4.3) and b) fit-for-purpose MEL frameworks to measure progress and capture learning and knowledge as evidence for policy influencing (see section 4.3). There are three interrelated intermediate outcomes under this </w:t>
      </w:r>
      <w:r w:rsidR="00D4181D">
        <w:t>p</w:t>
      </w:r>
      <w:r w:rsidRPr="001D44A6">
        <w:t>illar.</w:t>
      </w:r>
    </w:p>
    <w:p w14:paraId="752DD3B6" w14:textId="77777777" w:rsidR="0068229A" w:rsidRPr="001D44A6" w:rsidRDefault="0068229A" w:rsidP="00791619">
      <w:pPr>
        <w:jc w:val="both"/>
      </w:pPr>
    </w:p>
    <w:p w14:paraId="2054FD95" w14:textId="77777777" w:rsidR="00EC48DC" w:rsidRPr="001D44A6" w:rsidRDefault="00EC48DC" w:rsidP="00791619">
      <w:pPr>
        <w:pStyle w:val="Box1Text"/>
        <w:pBdr>
          <w:top w:val="single" w:sz="4" w:space="6" w:color="auto"/>
          <w:left w:val="single" w:sz="4" w:space="6" w:color="auto"/>
          <w:bottom w:val="single" w:sz="4" w:space="6" w:color="auto"/>
          <w:right w:val="single" w:sz="4" w:space="6" w:color="auto"/>
        </w:pBdr>
        <w:shd w:val="clear" w:color="auto" w:fill="FFF2CC" w:themeFill="accent4" w:themeFillTint="33"/>
        <w:ind w:left="142" w:firstLine="0"/>
        <w:jc w:val="both"/>
        <w:rPr>
          <w:rStyle w:val="Strong"/>
          <w:rFonts w:cstheme="minorBidi"/>
          <w:b/>
          <w:bCs/>
          <w:color w:val="auto"/>
        </w:rPr>
      </w:pPr>
      <w:r w:rsidRPr="001D44A6">
        <w:rPr>
          <w:rStyle w:val="Strong"/>
          <w:rFonts w:cstheme="minorBidi"/>
          <w:b/>
          <w:bCs/>
          <w:color w:val="auto"/>
        </w:rPr>
        <w:lastRenderedPageBreak/>
        <w:t xml:space="preserve">Pillar 1 Intermediate Outcomes: </w:t>
      </w:r>
    </w:p>
    <w:p w14:paraId="7790F519" w14:textId="0DC7F9A8" w:rsidR="00EC48DC" w:rsidRPr="001D44A6" w:rsidRDefault="00EC48DC" w:rsidP="00791619">
      <w:pPr>
        <w:pStyle w:val="Box1Text"/>
        <w:pBdr>
          <w:top w:val="single" w:sz="4" w:space="6" w:color="auto"/>
          <w:left w:val="single" w:sz="4" w:space="6" w:color="auto"/>
          <w:bottom w:val="single" w:sz="4" w:space="6" w:color="auto"/>
          <w:right w:val="single" w:sz="4" w:space="6" w:color="auto"/>
        </w:pBdr>
        <w:shd w:val="clear" w:color="auto" w:fill="FFF2CC" w:themeFill="accent4" w:themeFillTint="33"/>
        <w:ind w:left="567" w:hanging="425"/>
        <w:jc w:val="both"/>
        <w:rPr>
          <w:rFonts w:ascii="Calibri" w:hAnsi="Calibri"/>
          <w:color w:val="auto"/>
        </w:rPr>
      </w:pPr>
      <w:r w:rsidRPr="001D44A6">
        <w:rPr>
          <w:rStyle w:val="Strong"/>
          <w:rFonts w:cstheme="minorBidi"/>
          <w:color w:val="auto"/>
        </w:rPr>
        <w:t>1.1 CPP</w:t>
      </w:r>
      <w:r w:rsidRPr="001D44A6">
        <w:rPr>
          <w:rFonts w:ascii="Calibri" w:hAnsi="Calibri"/>
          <w:color w:val="auto"/>
        </w:rPr>
        <w:t xml:space="preserve"> partners deliver services/activities</w:t>
      </w:r>
      <w:r w:rsidR="00EA5A05">
        <w:rPr>
          <w:rFonts w:ascii="Calibri" w:hAnsi="Calibri"/>
          <w:color w:val="auto"/>
        </w:rPr>
        <w:t xml:space="preserve"> in</w:t>
      </w:r>
      <w:r w:rsidRPr="001D44A6">
        <w:rPr>
          <w:rFonts w:ascii="Calibri" w:hAnsi="Calibri"/>
          <w:color w:val="auto"/>
        </w:rPr>
        <w:t xml:space="preserve"> </w:t>
      </w:r>
      <w:r w:rsidR="00441459">
        <w:rPr>
          <w:rFonts w:ascii="Calibri" w:hAnsi="Calibri"/>
          <w:color w:val="auto"/>
        </w:rPr>
        <w:t xml:space="preserve">thematic priority areas </w:t>
      </w:r>
      <w:r w:rsidRPr="001D44A6">
        <w:rPr>
          <w:rFonts w:ascii="Calibri" w:hAnsi="Calibri"/>
          <w:color w:val="auto"/>
        </w:rPr>
        <w:t>with improved monitoring &amp; evaluation for generating policy evidence</w:t>
      </w:r>
    </w:p>
    <w:p w14:paraId="0F17B439" w14:textId="6EA2B024" w:rsidR="00EC48DC" w:rsidRPr="001D44A6" w:rsidRDefault="00EC48DC" w:rsidP="00791619">
      <w:pPr>
        <w:pStyle w:val="Box1Text"/>
        <w:pBdr>
          <w:top w:val="single" w:sz="4" w:space="6" w:color="auto"/>
          <w:left w:val="single" w:sz="4" w:space="6" w:color="auto"/>
          <w:bottom w:val="single" w:sz="4" w:space="6" w:color="auto"/>
          <w:right w:val="single" w:sz="4" w:space="6" w:color="auto"/>
        </w:pBdr>
        <w:shd w:val="clear" w:color="auto" w:fill="FFF2CC" w:themeFill="accent4" w:themeFillTint="33"/>
        <w:ind w:left="567" w:hanging="425"/>
        <w:jc w:val="both"/>
        <w:rPr>
          <w:rFonts w:ascii="Calibri" w:hAnsi="Calibri"/>
          <w:color w:val="auto"/>
        </w:rPr>
      </w:pPr>
      <w:r w:rsidRPr="001D44A6">
        <w:rPr>
          <w:rFonts w:ascii="Calibri" w:hAnsi="Calibri"/>
          <w:color w:val="auto"/>
        </w:rPr>
        <w:t>1.2 CPP partners constructively engage with government in policy processes</w:t>
      </w:r>
      <w:r>
        <w:rPr>
          <w:rFonts w:ascii="Calibri" w:hAnsi="Calibri"/>
          <w:color w:val="auto"/>
        </w:rPr>
        <w:t xml:space="preserve">, </w:t>
      </w:r>
      <w:r w:rsidRPr="001D44A6">
        <w:rPr>
          <w:rFonts w:ascii="Calibri" w:hAnsi="Calibri"/>
          <w:color w:val="auto"/>
        </w:rPr>
        <w:t xml:space="preserve">individually and collectively </w:t>
      </w:r>
      <w:r>
        <w:rPr>
          <w:rFonts w:ascii="Calibri" w:hAnsi="Calibri"/>
          <w:color w:val="auto"/>
        </w:rPr>
        <w:t>(</w:t>
      </w:r>
      <w:r w:rsidRPr="001D44A6">
        <w:rPr>
          <w:rFonts w:ascii="Calibri" w:hAnsi="Calibri"/>
          <w:color w:val="auto"/>
        </w:rPr>
        <w:t>through the PNGCC</w:t>
      </w:r>
      <w:r>
        <w:rPr>
          <w:rFonts w:ascii="Calibri" w:hAnsi="Calibri"/>
          <w:color w:val="auto"/>
        </w:rPr>
        <w:t xml:space="preserve"> and/or coalitions</w:t>
      </w:r>
      <w:r w:rsidRPr="001D44A6">
        <w:rPr>
          <w:rFonts w:ascii="Calibri" w:hAnsi="Calibri"/>
          <w:color w:val="auto"/>
        </w:rPr>
        <w:t>)</w:t>
      </w:r>
      <w:r w:rsidR="00EA5A05">
        <w:rPr>
          <w:rFonts w:ascii="Calibri" w:hAnsi="Calibri"/>
          <w:color w:val="auto"/>
        </w:rPr>
        <w:t>, utilizing evidence as appropriate</w:t>
      </w:r>
    </w:p>
    <w:p w14:paraId="1B69B72A" w14:textId="750621C3" w:rsidR="00EC48DC" w:rsidRPr="001D44A6" w:rsidRDefault="00EC48DC" w:rsidP="00791619">
      <w:pPr>
        <w:pStyle w:val="Box1Text"/>
        <w:pBdr>
          <w:top w:val="single" w:sz="4" w:space="6" w:color="auto"/>
          <w:left w:val="single" w:sz="4" w:space="6" w:color="auto"/>
          <w:bottom w:val="single" w:sz="4" w:space="6" w:color="auto"/>
          <w:right w:val="single" w:sz="4" w:space="6" w:color="auto"/>
        </w:pBdr>
        <w:shd w:val="clear" w:color="auto" w:fill="FFF2CC" w:themeFill="accent4" w:themeFillTint="33"/>
        <w:ind w:left="567" w:hanging="425"/>
        <w:jc w:val="both"/>
        <w:rPr>
          <w:rStyle w:val="Strong"/>
          <w:rFonts w:cstheme="minorBidi"/>
          <w:color w:val="auto"/>
        </w:rPr>
      </w:pPr>
      <w:r w:rsidRPr="001D44A6">
        <w:rPr>
          <w:rFonts w:ascii="Calibri" w:hAnsi="Calibri"/>
          <w:color w:val="auto"/>
        </w:rPr>
        <w:t xml:space="preserve">1.3 </w:t>
      </w:r>
      <w:r w:rsidR="00CF078F">
        <w:rPr>
          <w:rFonts w:ascii="Calibri" w:hAnsi="Calibri"/>
          <w:color w:val="auto"/>
        </w:rPr>
        <w:t>Church c</w:t>
      </w:r>
      <w:r w:rsidRPr="001D44A6">
        <w:rPr>
          <w:rFonts w:ascii="Calibri" w:hAnsi="Calibri"/>
          <w:color w:val="auto"/>
        </w:rPr>
        <w:t>ommunit</w:t>
      </w:r>
      <w:r w:rsidR="00CF078F">
        <w:rPr>
          <w:rFonts w:ascii="Calibri" w:hAnsi="Calibri"/>
          <w:color w:val="auto"/>
        </w:rPr>
        <w:t>y members</w:t>
      </w:r>
      <w:r w:rsidRPr="001D44A6">
        <w:rPr>
          <w:rFonts w:ascii="Calibri" w:hAnsi="Calibri"/>
          <w:color w:val="auto"/>
        </w:rPr>
        <w:t xml:space="preserve"> demonstrate increased awareness on selected public issues.</w:t>
      </w:r>
    </w:p>
    <w:p w14:paraId="309DDAD9" w14:textId="77777777" w:rsidR="000926E9" w:rsidRPr="001D44A6" w:rsidRDefault="000926E9" w:rsidP="000926E9">
      <w:pPr>
        <w:spacing w:before="240"/>
        <w:jc w:val="both"/>
      </w:pPr>
      <w:r w:rsidRPr="001D44A6">
        <w:t xml:space="preserve">These intermediate outcomes are designed to drive a significant change in how CPP partners have approached their development activities compared with the past. Most of these activities have involved the delivery of services to beneficiaries and/or the provision of information on key public issues, such COVID-19 vaccination or how to vote in national elections. The first two intermediate outcomes (1.1 and 1.2) relate to the former type of activities and </w:t>
      </w:r>
      <w:r>
        <w:t xml:space="preserve">the </w:t>
      </w:r>
      <w:r w:rsidRPr="001D44A6">
        <w:t xml:space="preserve">third intermediate outcome (1.3) to the latter.  </w:t>
      </w:r>
    </w:p>
    <w:p w14:paraId="32E18D13" w14:textId="77777777" w:rsidR="000926E9" w:rsidRPr="001D44A6" w:rsidRDefault="000926E9" w:rsidP="000926E9">
      <w:pPr>
        <w:jc w:val="both"/>
      </w:pPr>
      <w:r w:rsidRPr="001D44A6">
        <w:t xml:space="preserve">In relation to </w:t>
      </w:r>
      <w:r>
        <w:t>service delivery activities</w:t>
      </w:r>
      <w:r w:rsidRPr="001D44A6">
        <w:t>, this Pillar aims to encourage partners to develop and implement activities with the potential to be scaled-up for increased impact. Th</w:t>
      </w:r>
      <w:r>
        <w:t xml:space="preserve">is </w:t>
      </w:r>
      <w:r w:rsidRPr="001D44A6">
        <w:t>aim is new for many partner</w:t>
      </w:r>
      <w:r>
        <w:t>s and</w:t>
      </w:r>
      <w:r w:rsidRPr="001D44A6">
        <w:t xml:space="preserve"> </w:t>
      </w:r>
      <w:r>
        <w:t xml:space="preserve">has implications for how </w:t>
      </w:r>
      <w:r w:rsidRPr="001D44A6">
        <w:t xml:space="preserve">activities </w:t>
      </w:r>
      <w:r>
        <w:t>are</w:t>
      </w:r>
      <w:r w:rsidRPr="001D44A6">
        <w:t xml:space="preserve"> designed </w:t>
      </w:r>
      <w:r>
        <w:t>(</w:t>
      </w:r>
      <w:r w:rsidRPr="001D44A6">
        <w:t>with pathways for potential scaling up</w:t>
      </w:r>
      <w:r>
        <w:t>)</w:t>
      </w:r>
      <w:r w:rsidRPr="001D44A6">
        <w:t xml:space="preserve"> and </w:t>
      </w:r>
      <w:r>
        <w:t>measured (to</w:t>
      </w:r>
      <w:r w:rsidRPr="001D44A6">
        <w:t xml:space="preserve"> collect evidence for scaling up</w:t>
      </w:r>
      <w:r>
        <w:t>)</w:t>
      </w:r>
      <w:r w:rsidRPr="001D44A6">
        <w:t xml:space="preserve"> (1.1). The main pathway for scaling up is expected to involve learning from successful pilot/trials informing government policy, although another effective pathway is that CPP partner activities inform their own churches policies. </w:t>
      </w:r>
      <w:r>
        <w:t xml:space="preserve">Gender, </w:t>
      </w:r>
      <w:proofErr w:type="gramStart"/>
      <w:r>
        <w:t>disability</w:t>
      </w:r>
      <w:proofErr w:type="gramEnd"/>
      <w:r>
        <w:t xml:space="preserve"> and social inclusion should be mainstreamed through all activities.</w:t>
      </w:r>
    </w:p>
    <w:p w14:paraId="11EDEE5E" w14:textId="77777777" w:rsidR="000926E9" w:rsidRPr="001D44A6" w:rsidRDefault="000926E9" w:rsidP="000926E9">
      <w:pPr>
        <w:jc w:val="both"/>
      </w:pPr>
      <w:r w:rsidRPr="001D44A6">
        <w:t xml:space="preserve">The second intermediate outcome involves partners analysing the evidence from pilot activities and developing strategies to constructively engage with relevant government or church authorities, at national or local level, to advocate for policy change based on the evidence. </w:t>
      </w:r>
      <w:r>
        <w:t xml:space="preserve">CPP partners could undertake this engagement individual or join with like-minded church partners and work through the PNGCC or join with like-minded other BCEP partners and work through a BCEP coalition for change. </w:t>
      </w:r>
      <w:r w:rsidRPr="001D44A6">
        <w:t xml:space="preserve">CPP partners </w:t>
      </w:r>
      <w:r>
        <w:t xml:space="preserve">recent </w:t>
      </w:r>
      <w:r w:rsidRPr="001D44A6">
        <w:t xml:space="preserve">work in developing adult literacy programs is an example of a current activity that could be well suited to scaling up through adoption in government policy. </w:t>
      </w:r>
    </w:p>
    <w:p w14:paraId="6FDE452B" w14:textId="074A1C45" w:rsidR="000926E9" w:rsidRPr="001D44A6" w:rsidRDefault="000926E9" w:rsidP="000926E9">
      <w:pPr>
        <w:jc w:val="both"/>
      </w:pPr>
      <w:r w:rsidRPr="001D44A6">
        <w:t>Both these intermediate outcomes assume that CPP partners</w:t>
      </w:r>
      <w:r>
        <w:t>’</w:t>
      </w:r>
      <w:r w:rsidRPr="001D44A6">
        <w:t xml:space="preserve"> </w:t>
      </w:r>
      <w:r>
        <w:t xml:space="preserve">capacity can be built </w:t>
      </w:r>
      <w:r w:rsidRPr="001D44A6">
        <w:t xml:space="preserve">in the design and monitoring of pilot activities, the generation and analysis of policy evidence, and government policy engagement. </w:t>
      </w:r>
      <w:r>
        <w:t>Although, CPP could also engage qualified third</w:t>
      </w:r>
      <w:r w:rsidR="00E445A1">
        <w:t>-</w:t>
      </w:r>
      <w:r>
        <w:t>party organisations, such as the Melanesian Institute to conduct policy research and analysis for CPP partners</w:t>
      </w:r>
      <w:r w:rsidRPr="001D44A6">
        <w:t xml:space="preserve">. </w:t>
      </w:r>
      <w:r w:rsidRPr="004516CB">
        <w:t xml:space="preserve"> </w:t>
      </w:r>
      <w:r>
        <w:t xml:space="preserve">The focus of policy engagement should ensure that policies promote gender equality, </w:t>
      </w:r>
      <w:proofErr w:type="gramStart"/>
      <w:r>
        <w:t>disability</w:t>
      </w:r>
      <w:proofErr w:type="gramEnd"/>
      <w:r>
        <w:t xml:space="preserve"> and social inclusion, in collaboration with disabled people’s organisations and women’s organisations.</w:t>
      </w:r>
    </w:p>
    <w:p w14:paraId="3D10653A" w14:textId="77777777" w:rsidR="000926E9" w:rsidRDefault="000926E9" w:rsidP="000926E9">
      <w:pPr>
        <w:jc w:val="both"/>
      </w:pPr>
      <w:r>
        <w:t xml:space="preserve">Pillar 1 also seeks to strengthen the vital role CPP partners play in providing information on important public </w:t>
      </w:r>
      <w:r w:rsidRPr="001D44A6">
        <w:t xml:space="preserve">issues related to their development activities. </w:t>
      </w:r>
      <w:r>
        <w:t>I</w:t>
      </w:r>
      <w:r w:rsidRPr="001D44A6">
        <w:t xml:space="preserve">ntermediate outcome </w:t>
      </w:r>
      <w:r>
        <w:t xml:space="preserve">1.3 </w:t>
      </w:r>
      <w:r w:rsidRPr="001D44A6">
        <w:t>seeks to increase the effectiveness of CPP partner’s public information campaigns, by ensuring that there are measures in place for measuring if community awareness has increased. In addition, under BCEP component 2, CPP partners will be able to access technical advice from media experts (from MDI) on how they can improve the effectiveness of their public education campaigns, including by using different media channels (</w:t>
      </w:r>
      <w:proofErr w:type="gramStart"/>
      <w:r w:rsidRPr="001D44A6">
        <w:t>e</w:t>
      </w:r>
      <w:r>
        <w:t>.</w:t>
      </w:r>
      <w:r w:rsidRPr="001D44A6">
        <w:t>g.</w:t>
      </w:r>
      <w:proofErr w:type="gramEnd"/>
      <w:r w:rsidRPr="001D44A6">
        <w:t xml:space="preserve"> Digital) to maximise reach.</w:t>
      </w:r>
    </w:p>
    <w:p w14:paraId="39083D69" w14:textId="77777777" w:rsidR="000926E9" w:rsidRDefault="000926E9" w:rsidP="000926E9">
      <w:pPr>
        <w:jc w:val="both"/>
      </w:pPr>
      <w:r>
        <w:t xml:space="preserve">Indicative outputs under this pillar are: </w:t>
      </w:r>
    </w:p>
    <w:p w14:paraId="0C28A8BC" w14:textId="77777777" w:rsidR="000926E9" w:rsidRDefault="000926E9" w:rsidP="000926E9">
      <w:pPr>
        <w:jc w:val="both"/>
      </w:pPr>
    </w:p>
    <w:p w14:paraId="0EDDE1A2" w14:textId="77777777" w:rsidR="000926E9" w:rsidRDefault="000926E9" w:rsidP="000926E9">
      <w:pPr>
        <w:jc w:val="both"/>
      </w:pPr>
    </w:p>
    <w:p w14:paraId="6A4C1EBA" w14:textId="77777777" w:rsidR="00EC48DC" w:rsidRPr="001D44A6" w:rsidRDefault="00EC48DC" w:rsidP="00791619">
      <w:pPr>
        <w:pBdr>
          <w:top w:val="single" w:sz="4" w:space="1" w:color="auto"/>
          <w:left w:val="single" w:sz="4" w:space="4" w:color="auto"/>
          <w:bottom w:val="single" w:sz="4" w:space="1" w:color="auto"/>
          <w:right w:val="single" w:sz="4" w:space="4" w:color="auto"/>
        </w:pBdr>
        <w:shd w:val="clear" w:color="auto" w:fill="FFF2CC" w:themeFill="accent4" w:themeFillTint="33"/>
        <w:spacing w:line="240" w:lineRule="auto"/>
        <w:jc w:val="both"/>
        <w:rPr>
          <w:rStyle w:val="Strong"/>
          <w:rFonts w:cstheme="minorBidi"/>
          <w:b/>
          <w:bCs/>
          <w:color w:val="auto"/>
        </w:rPr>
      </w:pPr>
      <w:r w:rsidRPr="001D44A6">
        <w:rPr>
          <w:rStyle w:val="Strong"/>
          <w:rFonts w:cstheme="minorBidi"/>
          <w:b/>
          <w:bCs/>
          <w:color w:val="auto"/>
        </w:rPr>
        <w:t xml:space="preserve">Pillar </w:t>
      </w:r>
      <w:r>
        <w:rPr>
          <w:rStyle w:val="Strong"/>
          <w:rFonts w:cstheme="minorBidi"/>
          <w:b/>
          <w:bCs/>
          <w:color w:val="auto"/>
        </w:rPr>
        <w:t>1</w:t>
      </w:r>
      <w:r w:rsidRPr="001D44A6">
        <w:rPr>
          <w:rStyle w:val="Strong"/>
          <w:rFonts w:cstheme="minorBidi"/>
          <w:b/>
          <w:bCs/>
          <w:color w:val="auto"/>
        </w:rPr>
        <w:t>: Indicative Outputs</w:t>
      </w:r>
    </w:p>
    <w:p w14:paraId="0543C362" w14:textId="7FCBDD47" w:rsidR="00EC48DC" w:rsidRPr="002F53A3" w:rsidRDefault="00EF1919" w:rsidP="00791619">
      <w:pPr>
        <w:pBdr>
          <w:top w:val="single" w:sz="4" w:space="1" w:color="auto"/>
          <w:left w:val="single" w:sz="4" w:space="4" w:color="auto"/>
          <w:bottom w:val="single" w:sz="4" w:space="1" w:color="auto"/>
          <w:right w:val="single" w:sz="4" w:space="4" w:color="auto"/>
        </w:pBdr>
        <w:shd w:val="clear" w:color="auto" w:fill="FFF2CC" w:themeFill="accent4" w:themeFillTint="33"/>
        <w:tabs>
          <w:tab w:val="num" w:pos="360"/>
        </w:tabs>
        <w:spacing w:after="0" w:line="240" w:lineRule="auto"/>
        <w:jc w:val="both"/>
        <w:rPr>
          <w:rStyle w:val="Strong"/>
          <w:rFonts w:cstheme="minorBidi"/>
          <w:color w:val="auto"/>
        </w:rPr>
      </w:pPr>
      <w:r>
        <w:rPr>
          <w:rStyle w:val="Strong"/>
          <w:rFonts w:cstheme="minorBidi"/>
          <w:color w:val="auto"/>
        </w:rPr>
        <w:t>CPP</w:t>
      </w:r>
      <w:r w:rsidR="00EC48DC" w:rsidRPr="002F53A3">
        <w:rPr>
          <w:rStyle w:val="Strong"/>
          <w:rFonts w:cstheme="minorBidi"/>
          <w:color w:val="auto"/>
        </w:rPr>
        <w:t xml:space="preserve"> partners design &amp; implement</w:t>
      </w:r>
      <w:r w:rsidR="00EC48DC">
        <w:rPr>
          <w:rStyle w:val="Strong"/>
          <w:rFonts w:cstheme="minorBidi"/>
          <w:color w:val="auto"/>
        </w:rPr>
        <w:t>:</w:t>
      </w:r>
    </w:p>
    <w:p w14:paraId="13AB29BF" w14:textId="3F0CCB18" w:rsidR="00EC48DC" w:rsidRPr="002F53A3" w:rsidRDefault="00EC48DC" w:rsidP="00791619">
      <w:pPr>
        <w:pStyle w:val="ListParagraph"/>
        <w:numPr>
          <w:ilvl w:val="0"/>
          <w:numId w:val="36"/>
        </w:numPr>
        <w:pBdr>
          <w:top w:val="single" w:sz="4" w:space="1" w:color="auto"/>
          <w:left w:val="single" w:sz="4" w:space="4" w:color="auto"/>
          <w:bottom w:val="single" w:sz="4" w:space="1" w:color="auto"/>
          <w:right w:val="single" w:sz="4" w:space="4" w:color="auto"/>
        </w:pBdr>
        <w:shd w:val="clear" w:color="auto" w:fill="FFF2CC" w:themeFill="accent4" w:themeFillTint="33"/>
        <w:tabs>
          <w:tab w:val="num" w:pos="1080"/>
        </w:tabs>
        <w:spacing w:line="240" w:lineRule="auto"/>
        <w:jc w:val="both"/>
        <w:rPr>
          <w:rStyle w:val="Strong"/>
          <w:rFonts w:cstheme="minorBidi"/>
          <w:color w:val="auto"/>
        </w:rPr>
      </w:pPr>
      <w:r>
        <w:rPr>
          <w:rStyle w:val="Strong"/>
          <w:rFonts w:cstheme="minorBidi"/>
          <w:color w:val="auto"/>
        </w:rPr>
        <w:t xml:space="preserve">(pilot) </w:t>
      </w:r>
      <w:r w:rsidR="004D39F5">
        <w:rPr>
          <w:rStyle w:val="Strong"/>
          <w:rFonts w:cstheme="minorBidi"/>
          <w:color w:val="auto"/>
        </w:rPr>
        <w:t>activities</w:t>
      </w:r>
      <w:r w:rsidRPr="002F53A3">
        <w:rPr>
          <w:rStyle w:val="Strong"/>
          <w:rFonts w:cstheme="minorBidi"/>
          <w:color w:val="auto"/>
        </w:rPr>
        <w:t xml:space="preserve"> in thematic priority areas, with processes for M&amp;E and evidence collection</w:t>
      </w:r>
    </w:p>
    <w:p w14:paraId="286D3F22" w14:textId="77777777" w:rsidR="00EC48DC" w:rsidRPr="002F53A3" w:rsidRDefault="00EC48DC" w:rsidP="00791619">
      <w:pPr>
        <w:pStyle w:val="ListParagraph"/>
        <w:numPr>
          <w:ilvl w:val="0"/>
          <w:numId w:val="36"/>
        </w:numPr>
        <w:pBdr>
          <w:top w:val="single" w:sz="4" w:space="1" w:color="auto"/>
          <w:left w:val="single" w:sz="4" w:space="4" w:color="auto"/>
          <w:bottom w:val="single" w:sz="4" w:space="1" w:color="auto"/>
          <w:right w:val="single" w:sz="4" w:space="4" w:color="auto"/>
        </w:pBdr>
        <w:shd w:val="clear" w:color="auto" w:fill="FFF2CC" w:themeFill="accent4" w:themeFillTint="33"/>
        <w:tabs>
          <w:tab w:val="num" w:pos="1080"/>
        </w:tabs>
        <w:spacing w:line="240" w:lineRule="auto"/>
        <w:jc w:val="both"/>
        <w:rPr>
          <w:rStyle w:val="Strong"/>
          <w:rFonts w:cstheme="minorBidi"/>
          <w:color w:val="auto"/>
        </w:rPr>
      </w:pPr>
      <w:r w:rsidRPr="002F53A3">
        <w:rPr>
          <w:rStyle w:val="Strong"/>
          <w:rFonts w:cstheme="minorBidi"/>
          <w:color w:val="auto"/>
        </w:rPr>
        <w:t>community information, education and communication activities on selected issues related to thematic priority areas</w:t>
      </w:r>
    </w:p>
    <w:p w14:paraId="021BBE6B" w14:textId="4AF4EC52" w:rsidR="00EC48DC" w:rsidRPr="002F53A3" w:rsidRDefault="00EF1919" w:rsidP="00791619">
      <w:pPr>
        <w:pBdr>
          <w:top w:val="single" w:sz="4" w:space="1" w:color="auto"/>
          <w:left w:val="single" w:sz="4" w:space="4" w:color="auto"/>
          <w:bottom w:val="single" w:sz="4" w:space="1" w:color="auto"/>
          <w:right w:val="single" w:sz="4" w:space="4" w:color="auto"/>
        </w:pBdr>
        <w:shd w:val="clear" w:color="auto" w:fill="FFF2CC" w:themeFill="accent4" w:themeFillTint="33"/>
        <w:tabs>
          <w:tab w:val="num" w:pos="360"/>
        </w:tabs>
        <w:spacing w:after="0" w:line="240" w:lineRule="auto"/>
        <w:jc w:val="both"/>
        <w:rPr>
          <w:rStyle w:val="Strong"/>
          <w:rFonts w:cstheme="minorBidi"/>
          <w:color w:val="auto"/>
        </w:rPr>
      </w:pPr>
      <w:r>
        <w:rPr>
          <w:rStyle w:val="Strong"/>
          <w:rFonts w:cstheme="minorBidi"/>
          <w:color w:val="auto"/>
        </w:rPr>
        <w:t xml:space="preserve">CPP </w:t>
      </w:r>
      <w:r w:rsidR="00EC48DC" w:rsidRPr="002F53A3">
        <w:rPr>
          <w:rStyle w:val="Strong"/>
          <w:rFonts w:cstheme="minorBidi"/>
          <w:color w:val="auto"/>
        </w:rPr>
        <w:t>partners (individually/collectively)</w:t>
      </w:r>
      <w:r w:rsidR="00EC48DC">
        <w:rPr>
          <w:rStyle w:val="Strong"/>
          <w:rFonts w:cstheme="minorBidi"/>
          <w:color w:val="auto"/>
        </w:rPr>
        <w:t>:</w:t>
      </w:r>
    </w:p>
    <w:p w14:paraId="7D64B1C9" w14:textId="4AF73C01" w:rsidR="00EC48DC" w:rsidRPr="002F53A3" w:rsidRDefault="00EC48DC" w:rsidP="00791619">
      <w:pPr>
        <w:pStyle w:val="ListParagraph"/>
        <w:numPr>
          <w:ilvl w:val="0"/>
          <w:numId w:val="37"/>
        </w:numPr>
        <w:pBdr>
          <w:top w:val="single" w:sz="4" w:space="1" w:color="auto"/>
          <w:left w:val="single" w:sz="4" w:space="4" w:color="auto"/>
          <w:bottom w:val="single" w:sz="4" w:space="1" w:color="auto"/>
          <w:right w:val="single" w:sz="4" w:space="4" w:color="auto"/>
        </w:pBdr>
        <w:shd w:val="clear" w:color="auto" w:fill="FFF2CC" w:themeFill="accent4" w:themeFillTint="33"/>
        <w:tabs>
          <w:tab w:val="num" w:pos="360"/>
        </w:tabs>
        <w:spacing w:line="240" w:lineRule="auto"/>
        <w:jc w:val="both"/>
        <w:rPr>
          <w:rStyle w:val="Strong"/>
          <w:rFonts w:cstheme="minorBidi"/>
          <w:color w:val="auto"/>
        </w:rPr>
      </w:pPr>
      <w:r w:rsidRPr="002F53A3">
        <w:rPr>
          <w:rStyle w:val="Strong"/>
          <w:rFonts w:cstheme="minorBidi"/>
          <w:color w:val="auto"/>
        </w:rPr>
        <w:t>analyse evidence and the policy implications and/or engage third parties to conduct analysis (</w:t>
      </w:r>
      <w:proofErr w:type="gramStart"/>
      <w:r w:rsidRPr="002F53A3">
        <w:rPr>
          <w:rStyle w:val="Strong"/>
          <w:rFonts w:cstheme="minorBidi"/>
          <w:color w:val="auto"/>
        </w:rPr>
        <w:t>e</w:t>
      </w:r>
      <w:r w:rsidR="0068229A">
        <w:rPr>
          <w:rStyle w:val="Strong"/>
          <w:rFonts w:cstheme="minorBidi"/>
          <w:color w:val="auto"/>
        </w:rPr>
        <w:t>.</w:t>
      </w:r>
      <w:r w:rsidRPr="002F53A3">
        <w:rPr>
          <w:rStyle w:val="Strong"/>
          <w:rFonts w:cstheme="minorBidi"/>
          <w:color w:val="auto"/>
        </w:rPr>
        <w:t>g</w:t>
      </w:r>
      <w:r w:rsidR="0068229A">
        <w:rPr>
          <w:rStyle w:val="Strong"/>
          <w:rFonts w:cstheme="minorBidi"/>
          <w:color w:val="auto"/>
        </w:rPr>
        <w:t>.</w:t>
      </w:r>
      <w:proofErr w:type="gramEnd"/>
      <w:r w:rsidRPr="002F53A3">
        <w:rPr>
          <w:rStyle w:val="Strong"/>
          <w:rFonts w:cstheme="minorBidi"/>
          <w:color w:val="auto"/>
        </w:rPr>
        <w:t xml:space="preserve"> Melanesian Institute) </w:t>
      </w:r>
    </w:p>
    <w:p w14:paraId="1B055E97" w14:textId="77777777" w:rsidR="00EC48DC" w:rsidRPr="002F53A3" w:rsidRDefault="00EC48DC" w:rsidP="00791619">
      <w:pPr>
        <w:pStyle w:val="ListParagraph"/>
        <w:numPr>
          <w:ilvl w:val="0"/>
          <w:numId w:val="37"/>
        </w:numPr>
        <w:pBdr>
          <w:top w:val="single" w:sz="4" w:space="1" w:color="auto"/>
          <w:left w:val="single" w:sz="4" w:space="4" w:color="auto"/>
          <w:bottom w:val="single" w:sz="4" w:space="1" w:color="auto"/>
          <w:right w:val="single" w:sz="4" w:space="4" w:color="auto"/>
        </w:pBdr>
        <w:shd w:val="clear" w:color="auto" w:fill="FFF2CC" w:themeFill="accent4" w:themeFillTint="33"/>
        <w:tabs>
          <w:tab w:val="num" w:pos="360"/>
        </w:tabs>
        <w:spacing w:line="240" w:lineRule="auto"/>
        <w:jc w:val="both"/>
        <w:rPr>
          <w:rStyle w:val="Strong"/>
          <w:rFonts w:cstheme="minorBidi"/>
          <w:color w:val="auto"/>
        </w:rPr>
      </w:pPr>
      <w:r w:rsidRPr="002F53A3">
        <w:rPr>
          <w:rStyle w:val="Strong"/>
          <w:rFonts w:cstheme="minorBidi"/>
          <w:color w:val="auto"/>
        </w:rPr>
        <w:t>develop ‘influencing plans’ for engaging in policy processes, including through the PNGCC (where relevant)</w:t>
      </w:r>
    </w:p>
    <w:p w14:paraId="773B910B" w14:textId="0482A707" w:rsidR="004D39F5" w:rsidRPr="004D39F5" w:rsidRDefault="004D39F5" w:rsidP="00791619">
      <w:pPr>
        <w:pStyle w:val="Heading3"/>
        <w:jc w:val="both"/>
        <w:rPr>
          <w:rStyle w:val="Strong"/>
          <w:rFonts w:eastAsiaTheme="minorHAnsi" w:cstheme="minorBidi"/>
          <w:b/>
          <w:bCs/>
          <w:color w:val="auto"/>
          <w:sz w:val="22"/>
          <w:szCs w:val="22"/>
        </w:rPr>
      </w:pPr>
      <w:r w:rsidRPr="004D39F5">
        <w:rPr>
          <w:rStyle w:val="Strong"/>
          <w:rFonts w:eastAsiaTheme="minorHAnsi" w:cstheme="minorBidi"/>
          <w:b/>
          <w:bCs/>
          <w:color w:val="auto"/>
          <w:sz w:val="22"/>
          <w:szCs w:val="22"/>
        </w:rPr>
        <w:t xml:space="preserve">Pillar </w:t>
      </w:r>
      <w:r>
        <w:rPr>
          <w:rStyle w:val="Strong"/>
          <w:rFonts w:eastAsiaTheme="minorHAnsi" w:cstheme="minorBidi"/>
          <w:b/>
          <w:bCs/>
          <w:color w:val="auto"/>
          <w:sz w:val="22"/>
          <w:szCs w:val="22"/>
        </w:rPr>
        <w:t>2</w:t>
      </w:r>
      <w:r w:rsidRPr="004D39F5">
        <w:rPr>
          <w:rStyle w:val="Strong"/>
          <w:rFonts w:eastAsiaTheme="minorHAnsi" w:cstheme="minorBidi"/>
          <w:b/>
          <w:bCs/>
          <w:color w:val="auto"/>
          <w:sz w:val="22"/>
          <w:szCs w:val="22"/>
        </w:rPr>
        <w:t>: Social accountability</w:t>
      </w:r>
    </w:p>
    <w:p w14:paraId="433852D3" w14:textId="5DFAFB4C" w:rsidR="004D39F5" w:rsidRPr="001D44A6" w:rsidRDefault="004D39F5" w:rsidP="00791619">
      <w:pPr>
        <w:spacing w:after="120" w:line="240" w:lineRule="auto"/>
        <w:jc w:val="both"/>
      </w:pPr>
      <w:r w:rsidRPr="001D44A6">
        <w:t xml:space="preserve">Pillar </w:t>
      </w:r>
      <w:r>
        <w:t>2</w:t>
      </w:r>
      <w:r w:rsidRPr="001D44A6">
        <w:t xml:space="preserve"> strongly links to BCEP and builds on the work that CPP partners commenced at the end of phase 3 on how to build each church’s capacity in social accountability. The BCEP design advocates an approach to social accountability based on building </w:t>
      </w:r>
      <w:r w:rsidRPr="001D44A6">
        <w:rPr>
          <w:i/>
          <w:iCs/>
        </w:rPr>
        <w:t>constructive</w:t>
      </w:r>
      <w:r w:rsidRPr="001D44A6">
        <w:t xml:space="preserve"> engagement between communities and public authority figures (whether in church or government) to solve practical local development problems. Through the delivery of social accountability projects, BCEP partners (including CPP partners), can contribute to the achievement of BCEP’s end outcome 1:</w:t>
      </w:r>
      <w:r w:rsidRPr="0068229A">
        <w:t xml:space="preserve"> </w:t>
      </w:r>
      <w:r w:rsidR="0068229A">
        <w:t>“s</w:t>
      </w:r>
      <w:r w:rsidRPr="0068229A">
        <w:t>elected State &amp; Non-State actors collaborate effectively to tackle targeted development problems</w:t>
      </w:r>
      <w:r w:rsidR="0068229A">
        <w:t>.”</w:t>
      </w:r>
    </w:p>
    <w:p w14:paraId="62CE3DFE" w14:textId="4B39B325" w:rsidR="004D39F5" w:rsidRPr="001D44A6" w:rsidRDefault="004D39F5" w:rsidP="00791619">
      <w:pPr>
        <w:spacing w:after="120" w:line="240" w:lineRule="auto"/>
        <w:jc w:val="both"/>
      </w:pPr>
      <w:r w:rsidRPr="001D44A6">
        <w:t xml:space="preserve">Work with </w:t>
      </w:r>
      <w:r w:rsidR="0068229A">
        <w:t>Tearfund</w:t>
      </w:r>
      <w:r w:rsidRPr="001D44A6">
        <w:t xml:space="preserve"> at the end of phase three helped to increase CPP partners’ appreciation of the potential for applying “faith-based social accountability approaches” to achieve practical development outcomes. The intended “end” of social accountability approaches is essential services that better meet community needs and/or other development problems solved. The “means” for achieving this end is constructive interaction between communities and public authorities. Constructive interaction can be defined as communities having confidence and trust to raise their needs/problems with public authorities and public authorities having confidence and trust to discuss with communities how they can work together to address th</w:t>
      </w:r>
      <w:r>
        <w:t>o</w:t>
      </w:r>
      <w:r w:rsidRPr="001D44A6">
        <w:t xml:space="preserve">se needs/problems. The key to the success of social accountability is the presence of trusted intermediaries to broker interactions through a tailored process that is inclusive of vulnerable and marginalised groups. </w:t>
      </w:r>
    </w:p>
    <w:p w14:paraId="1D2D3535" w14:textId="0B696940" w:rsidR="004D39F5" w:rsidRPr="001D44A6" w:rsidRDefault="004D39F5" w:rsidP="00791619">
      <w:pPr>
        <w:spacing w:after="120" w:line="240" w:lineRule="auto"/>
        <w:jc w:val="both"/>
      </w:pPr>
      <w:r w:rsidRPr="001D44A6">
        <w:t xml:space="preserve">CPP partners are well-placed to act as trusted intermediaries because of churches long established relationships and credibility with local communities and government, and their knowledge of front-line service delivery challenges. However, they require coaching and training in how to apply social accountability approaches to their specific organisational and operational contexts. The intermediate outcomes under this pillar are based on </w:t>
      </w:r>
      <w:r w:rsidR="0068229A">
        <w:t>Tearfund</w:t>
      </w:r>
      <w:r w:rsidRPr="001D44A6">
        <w:t xml:space="preserve">’s work with partners at end of phase three. The three intermediate outcomes are: </w:t>
      </w:r>
    </w:p>
    <w:p w14:paraId="6A5EF65D" w14:textId="77777777" w:rsidR="004D39F5" w:rsidRPr="001D44A6" w:rsidRDefault="004D39F5" w:rsidP="00791619">
      <w:pPr>
        <w:pStyle w:val="Box1Text"/>
        <w:pBdr>
          <w:top w:val="single" w:sz="4" w:space="6" w:color="auto"/>
          <w:left w:val="single" w:sz="4" w:space="6" w:color="auto"/>
          <w:bottom w:val="single" w:sz="4" w:space="6" w:color="auto"/>
          <w:right w:val="single" w:sz="4" w:space="6" w:color="auto"/>
        </w:pBdr>
        <w:shd w:val="clear" w:color="auto" w:fill="FFF2CC" w:themeFill="accent4" w:themeFillTint="33"/>
        <w:ind w:left="142" w:firstLine="0"/>
        <w:jc w:val="both"/>
        <w:rPr>
          <w:rStyle w:val="Strong"/>
          <w:rFonts w:cstheme="minorBidi"/>
          <w:color w:val="auto"/>
        </w:rPr>
      </w:pPr>
      <w:r w:rsidRPr="001D44A6">
        <w:rPr>
          <w:rStyle w:val="Strong"/>
          <w:rFonts w:cstheme="minorBidi"/>
          <w:color w:val="auto"/>
        </w:rPr>
        <w:t xml:space="preserve">Intermediate Outcomes: </w:t>
      </w:r>
    </w:p>
    <w:p w14:paraId="581E2BE5" w14:textId="412B423B" w:rsidR="004D39F5" w:rsidRPr="001D44A6" w:rsidRDefault="004D39F5" w:rsidP="00791619">
      <w:pPr>
        <w:pStyle w:val="Box1Text"/>
        <w:pBdr>
          <w:top w:val="single" w:sz="4" w:space="6" w:color="auto"/>
          <w:left w:val="single" w:sz="4" w:space="6" w:color="auto"/>
          <w:bottom w:val="single" w:sz="4" w:space="6" w:color="auto"/>
          <w:right w:val="single" w:sz="4" w:space="6" w:color="auto"/>
        </w:pBdr>
        <w:shd w:val="clear" w:color="auto" w:fill="FFF2CC" w:themeFill="accent4" w:themeFillTint="33"/>
        <w:ind w:left="567" w:hanging="425"/>
        <w:jc w:val="both"/>
        <w:rPr>
          <w:rStyle w:val="Strong"/>
          <w:rFonts w:cstheme="minorBidi"/>
          <w:color w:val="auto"/>
        </w:rPr>
      </w:pPr>
      <w:r>
        <w:rPr>
          <w:rStyle w:val="Strong"/>
          <w:rFonts w:cstheme="minorBidi"/>
          <w:color w:val="auto"/>
        </w:rPr>
        <w:t xml:space="preserve">2.1 </w:t>
      </w:r>
      <w:r w:rsidRPr="001D44A6">
        <w:rPr>
          <w:rStyle w:val="Strong"/>
          <w:rFonts w:cstheme="minorBidi"/>
          <w:color w:val="auto"/>
        </w:rPr>
        <w:t xml:space="preserve">CPP partners </w:t>
      </w:r>
      <w:r w:rsidR="001B61B4">
        <w:rPr>
          <w:rStyle w:val="Strong"/>
          <w:rFonts w:cstheme="minorBidi"/>
          <w:color w:val="auto"/>
        </w:rPr>
        <w:t>develop</w:t>
      </w:r>
      <w:r w:rsidRPr="001D44A6">
        <w:rPr>
          <w:rStyle w:val="Strong"/>
          <w:rFonts w:cstheme="minorBidi"/>
          <w:color w:val="auto"/>
        </w:rPr>
        <w:t xml:space="preserve"> their own church social accountability approaches</w:t>
      </w:r>
    </w:p>
    <w:p w14:paraId="1886CF6E" w14:textId="03A485F5" w:rsidR="004D39F5" w:rsidRPr="001D44A6" w:rsidRDefault="004D39F5" w:rsidP="00791619">
      <w:pPr>
        <w:pStyle w:val="Box1Text"/>
        <w:pBdr>
          <w:top w:val="single" w:sz="4" w:space="6" w:color="auto"/>
          <w:left w:val="single" w:sz="4" w:space="6" w:color="auto"/>
          <w:bottom w:val="single" w:sz="4" w:space="6" w:color="auto"/>
          <w:right w:val="single" w:sz="4" w:space="6" w:color="auto"/>
        </w:pBdr>
        <w:shd w:val="clear" w:color="auto" w:fill="FFF2CC" w:themeFill="accent4" w:themeFillTint="33"/>
        <w:ind w:left="567" w:hanging="425"/>
        <w:jc w:val="both"/>
        <w:rPr>
          <w:rStyle w:val="Strong"/>
          <w:rFonts w:cstheme="minorBidi"/>
          <w:color w:val="auto"/>
        </w:rPr>
      </w:pPr>
      <w:r>
        <w:rPr>
          <w:rStyle w:val="Strong"/>
          <w:rFonts w:cstheme="minorBidi"/>
          <w:color w:val="auto"/>
        </w:rPr>
        <w:t>2.2</w:t>
      </w:r>
      <w:r w:rsidRPr="001D44A6">
        <w:rPr>
          <w:rStyle w:val="Strong"/>
          <w:rFonts w:cstheme="minorBidi"/>
          <w:color w:val="auto"/>
        </w:rPr>
        <w:t xml:space="preserve"> </w:t>
      </w:r>
      <w:r w:rsidR="001B61B4">
        <w:rPr>
          <w:rStyle w:val="Strong"/>
          <w:rFonts w:cstheme="minorBidi"/>
          <w:color w:val="auto"/>
        </w:rPr>
        <w:t>CPP partners facilitate c</w:t>
      </w:r>
      <w:r w:rsidRPr="001D44A6">
        <w:rPr>
          <w:rStyle w:val="Strong"/>
          <w:rFonts w:cstheme="minorBidi"/>
          <w:color w:val="auto"/>
        </w:rPr>
        <w:t xml:space="preserve">ommunity members </w:t>
      </w:r>
      <w:r w:rsidR="001B61B4">
        <w:rPr>
          <w:rStyle w:val="Strong"/>
          <w:rFonts w:cstheme="minorBidi"/>
          <w:color w:val="auto"/>
        </w:rPr>
        <w:t xml:space="preserve">to </w:t>
      </w:r>
      <w:r w:rsidRPr="001D44A6">
        <w:rPr>
          <w:rStyle w:val="Strong"/>
          <w:rFonts w:cstheme="minorBidi"/>
          <w:color w:val="auto"/>
        </w:rPr>
        <w:t xml:space="preserve">constructively engage with government and/or church authorities in church accountability </w:t>
      </w:r>
      <w:r w:rsidR="001B61B4">
        <w:rPr>
          <w:rStyle w:val="Strong"/>
          <w:rFonts w:cstheme="minorBidi"/>
          <w:color w:val="auto"/>
        </w:rPr>
        <w:t xml:space="preserve">pilot </w:t>
      </w:r>
      <w:r w:rsidRPr="001D44A6">
        <w:rPr>
          <w:rStyle w:val="Strong"/>
          <w:rFonts w:cstheme="minorBidi"/>
          <w:color w:val="auto"/>
        </w:rPr>
        <w:t>projects</w:t>
      </w:r>
    </w:p>
    <w:p w14:paraId="06D05D45" w14:textId="361D1017" w:rsidR="004D39F5" w:rsidRPr="001D44A6" w:rsidRDefault="004D39F5" w:rsidP="00791619">
      <w:pPr>
        <w:pStyle w:val="Box1Text"/>
        <w:pBdr>
          <w:top w:val="single" w:sz="4" w:space="6" w:color="auto"/>
          <w:left w:val="single" w:sz="4" w:space="6" w:color="auto"/>
          <w:bottom w:val="single" w:sz="4" w:space="6" w:color="auto"/>
          <w:right w:val="single" w:sz="4" w:space="6" w:color="auto"/>
        </w:pBdr>
        <w:shd w:val="clear" w:color="auto" w:fill="FFF2CC" w:themeFill="accent4" w:themeFillTint="33"/>
        <w:ind w:left="567" w:hanging="425"/>
        <w:jc w:val="both"/>
        <w:rPr>
          <w:rStyle w:val="Strong"/>
          <w:rFonts w:cstheme="minorBidi"/>
          <w:color w:val="auto"/>
        </w:rPr>
      </w:pPr>
      <w:r>
        <w:rPr>
          <w:rStyle w:val="Strong"/>
          <w:rFonts w:cstheme="minorBidi"/>
          <w:color w:val="auto"/>
        </w:rPr>
        <w:t>2.3</w:t>
      </w:r>
      <w:r w:rsidRPr="001D44A6">
        <w:rPr>
          <w:rStyle w:val="Strong"/>
          <w:rFonts w:cstheme="minorBidi"/>
          <w:color w:val="auto"/>
        </w:rPr>
        <w:t xml:space="preserve"> PNGCC facilitates the generation and sharing of CPP partner’s learning and evidence on social accountability </w:t>
      </w:r>
    </w:p>
    <w:p w14:paraId="0296DD49" w14:textId="77777777" w:rsidR="004D39F5" w:rsidRPr="001D44A6" w:rsidRDefault="004D39F5" w:rsidP="00791619">
      <w:pPr>
        <w:spacing w:before="240"/>
        <w:jc w:val="both"/>
      </w:pPr>
      <w:r w:rsidRPr="001D44A6">
        <w:t xml:space="preserve">Sustainably building capacity in social accountability starts with ensuring that each CPP partner’s wider church organisation understands and supports the concept. This requires explaining social </w:t>
      </w:r>
      <w:r w:rsidRPr="001D44A6">
        <w:lastRenderedPageBreak/>
        <w:t xml:space="preserve">accountability in terms that PNG churches and communities understand and defining the theological basis for the concept. Close engagement with church leaders throughout this process is key. </w:t>
      </w:r>
    </w:p>
    <w:p w14:paraId="70B3FC5A" w14:textId="610DE547" w:rsidR="004D39F5" w:rsidRPr="001D44A6" w:rsidRDefault="004D39F5" w:rsidP="00791619">
      <w:pPr>
        <w:spacing w:before="240"/>
        <w:jc w:val="both"/>
      </w:pPr>
      <w:r w:rsidRPr="001D44A6">
        <w:t xml:space="preserve">International experience shows that explaining social accountability in local languages can be a challenge, as there is often no equivalent to the English word ‘accountability’. This situation applies in PNG. In Tok Pisin, for example, there is no word for accountability or related concepts such as ‘advocacy’. To help churches understand how social accountability relates to Christian theology requires the study of relevant Christian scriptures. Faith-based organisations like </w:t>
      </w:r>
      <w:r w:rsidR="0068229A">
        <w:t>Tearfund</w:t>
      </w:r>
      <w:r w:rsidRPr="001D44A6">
        <w:t xml:space="preserve"> have experience in guiding churches through such studies.  </w:t>
      </w:r>
    </w:p>
    <w:p w14:paraId="43E509CD" w14:textId="3BE9A759" w:rsidR="004D39F5" w:rsidRPr="001D44A6" w:rsidRDefault="004D39F5" w:rsidP="00791619">
      <w:pPr>
        <w:spacing w:before="240"/>
        <w:jc w:val="both"/>
      </w:pPr>
      <w:r w:rsidRPr="001D44A6">
        <w:t xml:space="preserve">Each CPP partner needs to be supported to take their wider church through this foundational work, at a pace that is appropriate for their organisation. Intermediate outcome </w:t>
      </w:r>
      <w:r>
        <w:t>2</w:t>
      </w:r>
      <w:r w:rsidRPr="001D44A6">
        <w:t xml:space="preserve">.1 is the culmination of this foundational work: each CPP partner has adapted and adopted their own social accountability approaches. </w:t>
      </w:r>
    </w:p>
    <w:p w14:paraId="44B5C6AD" w14:textId="77DDF687" w:rsidR="004D39F5" w:rsidRPr="001D44A6" w:rsidRDefault="004D39F5" w:rsidP="00791619">
      <w:pPr>
        <w:spacing w:before="240"/>
        <w:jc w:val="both"/>
      </w:pPr>
      <w:r w:rsidRPr="001D44A6">
        <w:t xml:space="preserve">Once CPP partners have developed their own social accountability approaches, the next step is to pilot them. In implementing pilots, intermediate outcome </w:t>
      </w:r>
      <w:r>
        <w:t>2</w:t>
      </w:r>
      <w:r w:rsidRPr="001D44A6">
        <w:t xml:space="preserve">.2 places the emphasize on constructive community engagement with public authorities, as this directly relates to CPP partners’ roles as trusted intermediaries. The result of this constructive interaction (problems addressed/services improved) is captured at the next level in the program logic (the CPP and BCEP end outcome levels). </w:t>
      </w:r>
    </w:p>
    <w:p w14:paraId="0C93C673" w14:textId="1C0CDD2F" w:rsidR="004D39F5" w:rsidRPr="001D44A6" w:rsidRDefault="004D39F5" w:rsidP="00791619">
      <w:pPr>
        <w:spacing w:before="240"/>
        <w:jc w:val="both"/>
      </w:pPr>
      <w:r w:rsidRPr="001D44A6">
        <w:t xml:space="preserve">Lastly, </w:t>
      </w:r>
      <w:r w:rsidR="00846002">
        <w:t>i</w:t>
      </w:r>
      <w:r w:rsidRPr="001D44A6">
        <w:t xml:space="preserve">ntermediate outcome </w:t>
      </w:r>
      <w:r>
        <w:t>2</w:t>
      </w:r>
      <w:r w:rsidRPr="001D44A6">
        <w:t>.3 promotes cooperation between CPP partners on social accountability by building the capacity of the PNGCC to act as hub for the generation and sharing of learning and evidence on social accountability. While the PNGCC will be primarily focussed on CPP partners, they will also promote collaboration and learning with other BCEP partners under BCEP’s social accountability component.</w:t>
      </w:r>
    </w:p>
    <w:p w14:paraId="1C30D6F6" w14:textId="16AAA123" w:rsidR="004D39F5" w:rsidRPr="001D44A6" w:rsidRDefault="004D39F5" w:rsidP="00791619">
      <w:pPr>
        <w:spacing w:before="240"/>
        <w:jc w:val="both"/>
      </w:pPr>
      <w:r w:rsidRPr="001D44A6">
        <w:t xml:space="preserve">Achievement of intermediate outcome </w:t>
      </w:r>
      <w:r>
        <w:t>2</w:t>
      </w:r>
      <w:r w:rsidRPr="001D44A6">
        <w:t xml:space="preserve">.3 will mean that the PNGCC has been strengthened to perform its core constitutional functions of promoting cooperation between churches and liaison with government authorities. The PNGCC will also have access to a rich body of local evidence for analysis and use in national policy advocacy. As the peak body for mainline churches, establishing the PNGCC as a knowledge and learning hub for faith-based social accountability contributes to the sustainability of CPP’s efforts promote this approach and increase churches </w:t>
      </w:r>
      <w:r>
        <w:t>capacity</w:t>
      </w:r>
      <w:r w:rsidRPr="001D44A6">
        <w:t xml:space="preserve">. </w:t>
      </w:r>
    </w:p>
    <w:p w14:paraId="18B36327" w14:textId="7C665B39" w:rsidR="004D39F5" w:rsidRDefault="004D39F5" w:rsidP="00791619">
      <w:pPr>
        <w:spacing w:before="240"/>
        <w:jc w:val="both"/>
      </w:pPr>
      <w:r w:rsidRPr="001D44A6">
        <w:t>To deliver these intermediate outcomes, indicative outputs</w:t>
      </w:r>
      <w:r w:rsidR="00E42929">
        <w:t xml:space="preserve">, </w:t>
      </w:r>
      <w:r w:rsidR="00CD7AD2">
        <w:t xml:space="preserve">taken </w:t>
      </w:r>
      <w:r w:rsidR="00E42929">
        <w:t xml:space="preserve">from the </w:t>
      </w:r>
      <w:r w:rsidR="00CD7AD2">
        <w:t>Tear Fund proposal (see</w:t>
      </w:r>
      <w:r w:rsidRPr="001D44A6">
        <w:t xml:space="preserve"> </w:t>
      </w:r>
      <w:r w:rsidR="00CD7AD2">
        <w:t xml:space="preserve">Annex 6) </w:t>
      </w:r>
      <w:r w:rsidRPr="001D44A6">
        <w:t xml:space="preserve">are listed below: </w:t>
      </w:r>
    </w:p>
    <w:tbl>
      <w:tblPr>
        <w:tblStyle w:val="TableGrid"/>
        <w:tblW w:w="0" w:type="auto"/>
        <w:shd w:val="clear" w:color="auto" w:fill="FFF2CC" w:themeFill="accent4" w:themeFillTint="33"/>
        <w:tblLook w:val="04A0" w:firstRow="1" w:lastRow="0" w:firstColumn="1" w:lastColumn="0" w:noHBand="0" w:noVBand="1"/>
      </w:tblPr>
      <w:tblGrid>
        <w:gridCol w:w="9016"/>
      </w:tblGrid>
      <w:tr w:rsidR="00EF1919" w14:paraId="633098AE" w14:textId="77777777" w:rsidTr="0073270D">
        <w:tc>
          <w:tcPr>
            <w:tcW w:w="9016" w:type="dxa"/>
            <w:shd w:val="clear" w:color="auto" w:fill="FFF2CC" w:themeFill="accent4" w:themeFillTint="33"/>
          </w:tcPr>
          <w:p w14:paraId="177FBD9B" w14:textId="2FF5720B" w:rsidR="00EF1919" w:rsidRDefault="00EF1919" w:rsidP="00791619">
            <w:pPr>
              <w:shd w:val="clear" w:color="auto" w:fill="FFF2CC" w:themeFill="accent4" w:themeFillTint="33"/>
              <w:jc w:val="both"/>
              <w:rPr>
                <w:rFonts w:ascii="Calibri" w:hAnsi="Calibri"/>
              </w:rPr>
            </w:pPr>
            <w:r>
              <w:rPr>
                <w:rStyle w:val="Strong"/>
                <w:rFonts w:cstheme="minorBidi"/>
                <w:b/>
                <w:bCs/>
                <w:color w:val="auto"/>
              </w:rPr>
              <w:t>Pillar 2: Indicative Outputs</w:t>
            </w:r>
          </w:p>
          <w:p w14:paraId="0B5E361C" w14:textId="1EF77CE9" w:rsidR="00EF1919" w:rsidRPr="00EF1919" w:rsidRDefault="00EF1919" w:rsidP="00791619">
            <w:pPr>
              <w:shd w:val="clear" w:color="auto" w:fill="FFF2CC" w:themeFill="accent4" w:themeFillTint="33"/>
              <w:jc w:val="both"/>
              <w:rPr>
                <w:rFonts w:ascii="Calibri" w:hAnsi="Calibri"/>
              </w:rPr>
            </w:pPr>
            <w:r>
              <w:rPr>
                <w:rFonts w:ascii="Calibri" w:hAnsi="Calibri"/>
              </w:rPr>
              <w:t>CPP</w:t>
            </w:r>
            <w:r w:rsidRPr="00EF1919">
              <w:rPr>
                <w:rFonts w:ascii="Calibri" w:hAnsi="Calibri"/>
              </w:rPr>
              <w:t xml:space="preserve"> partners:</w:t>
            </w:r>
          </w:p>
          <w:p w14:paraId="51D942AE" w14:textId="31AF8DB5" w:rsidR="00EF1919" w:rsidRPr="00EF1919" w:rsidRDefault="001B2545" w:rsidP="00791619">
            <w:pPr>
              <w:numPr>
                <w:ilvl w:val="0"/>
                <w:numId w:val="45"/>
              </w:numPr>
              <w:jc w:val="both"/>
              <w:rPr>
                <w:rFonts w:ascii="Calibri" w:hAnsi="Calibri"/>
              </w:rPr>
            </w:pPr>
            <w:r>
              <w:rPr>
                <w:rFonts w:ascii="Calibri" w:hAnsi="Calibri"/>
              </w:rPr>
              <w:t>d</w:t>
            </w:r>
            <w:r w:rsidR="00EF1919" w:rsidRPr="00EF1919">
              <w:rPr>
                <w:rFonts w:ascii="Calibri" w:hAnsi="Calibri"/>
              </w:rPr>
              <w:t xml:space="preserve">evelop </w:t>
            </w:r>
            <w:r>
              <w:rPr>
                <w:rFonts w:ascii="Calibri" w:hAnsi="Calibri"/>
              </w:rPr>
              <w:t>GEDSI-sensitive</w:t>
            </w:r>
            <w:r w:rsidR="00EF1919" w:rsidRPr="00EF1919">
              <w:rPr>
                <w:rFonts w:ascii="Calibri" w:hAnsi="Calibri"/>
              </w:rPr>
              <w:t xml:space="preserve"> Social Accountability </w:t>
            </w:r>
            <w:r>
              <w:rPr>
                <w:rFonts w:ascii="Calibri" w:hAnsi="Calibri"/>
              </w:rPr>
              <w:t>a</w:t>
            </w:r>
            <w:r w:rsidR="00EF1919" w:rsidRPr="00EF1919">
              <w:rPr>
                <w:rFonts w:ascii="Calibri" w:hAnsi="Calibri"/>
              </w:rPr>
              <w:t>pproach</w:t>
            </w:r>
            <w:r>
              <w:rPr>
                <w:rFonts w:ascii="Calibri" w:hAnsi="Calibri"/>
              </w:rPr>
              <w:t>es and action plans,</w:t>
            </w:r>
            <w:r>
              <w:t xml:space="preserve"> based on a scriptural understanding of social accoun</w:t>
            </w:r>
            <w:r w:rsidR="008369B2">
              <w:t>t</w:t>
            </w:r>
            <w:r>
              <w:t>ability</w:t>
            </w:r>
          </w:p>
          <w:p w14:paraId="3A33C56A" w14:textId="0E519D2D" w:rsidR="00EF1919" w:rsidRPr="00EF1919" w:rsidRDefault="00EF1919" w:rsidP="00791619">
            <w:pPr>
              <w:numPr>
                <w:ilvl w:val="0"/>
                <w:numId w:val="45"/>
              </w:numPr>
              <w:shd w:val="clear" w:color="auto" w:fill="FFF2CC" w:themeFill="accent4" w:themeFillTint="33"/>
              <w:jc w:val="both"/>
              <w:rPr>
                <w:rFonts w:ascii="Calibri" w:hAnsi="Calibri"/>
              </w:rPr>
            </w:pPr>
            <w:r>
              <w:rPr>
                <w:rFonts w:ascii="Calibri" w:hAnsi="Calibri"/>
              </w:rPr>
              <w:t>o</w:t>
            </w:r>
            <w:r w:rsidRPr="00EF1919">
              <w:rPr>
                <w:rFonts w:ascii="Calibri" w:hAnsi="Calibri"/>
              </w:rPr>
              <w:t>btain leaders buy-in and agreement to Action Plans</w:t>
            </w:r>
          </w:p>
          <w:p w14:paraId="0D6A7CD4" w14:textId="3AEB3AA4" w:rsidR="00EF1919" w:rsidRPr="00EF1919" w:rsidRDefault="00EF1919" w:rsidP="00791619">
            <w:pPr>
              <w:numPr>
                <w:ilvl w:val="0"/>
                <w:numId w:val="45"/>
              </w:numPr>
              <w:jc w:val="both"/>
              <w:rPr>
                <w:rFonts w:ascii="Calibri" w:hAnsi="Calibri"/>
              </w:rPr>
            </w:pPr>
            <w:r w:rsidRPr="00EF1919">
              <w:rPr>
                <w:rFonts w:ascii="Calibri" w:hAnsi="Calibri"/>
              </w:rPr>
              <w:t>Pilot Social Accountability approaches</w:t>
            </w:r>
          </w:p>
          <w:p w14:paraId="494397D3" w14:textId="77777777" w:rsidR="00EF1919" w:rsidRPr="00EF1919" w:rsidRDefault="00EF1919" w:rsidP="00791619">
            <w:pPr>
              <w:numPr>
                <w:ilvl w:val="0"/>
                <w:numId w:val="45"/>
              </w:numPr>
              <w:jc w:val="both"/>
              <w:rPr>
                <w:rFonts w:ascii="Calibri" w:hAnsi="Calibri"/>
              </w:rPr>
            </w:pPr>
            <w:r w:rsidRPr="00EF1919">
              <w:rPr>
                <w:rFonts w:ascii="Calibri" w:hAnsi="Calibri"/>
              </w:rPr>
              <w:t>Monitor and collect evidence from pilots</w:t>
            </w:r>
          </w:p>
          <w:p w14:paraId="71F1C572" w14:textId="3B98B8AB" w:rsidR="00EF1919" w:rsidRDefault="00EF1919" w:rsidP="00791619">
            <w:pPr>
              <w:numPr>
                <w:ilvl w:val="0"/>
                <w:numId w:val="45"/>
              </w:numPr>
              <w:jc w:val="both"/>
            </w:pPr>
            <w:r w:rsidRPr="00EF1919">
              <w:rPr>
                <w:rFonts w:ascii="Calibri" w:hAnsi="Calibri"/>
              </w:rPr>
              <w:t>Share evidence and learning in PNGCC forum</w:t>
            </w:r>
            <w:r w:rsidR="001B2545">
              <w:rPr>
                <w:rFonts w:ascii="Calibri" w:hAnsi="Calibri"/>
              </w:rPr>
              <w:t>s</w:t>
            </w:r>
            <w:r w:rsidRPr="00EF1919">
              <w:rPr>
                <w:rFonts w:ascii="Calibri" w:hAnsi="Calibri"/>
              </w:rPr>
              <w:t xml:space="preserve"> and contribute to generation of CPP Social Accountability Theology</w:t>
            </w:r>
          </w:p>
        </w:tc>
      </w:tr>
    </w:tbl>
    <w:p w14:paraId="3E493034" w14:textId="77777777" w:rsidR="001B2545" w:rsidRPr="001B2545" w:rsidRDefault="001B2545" w:rsidP="00791619">
      <w:pPr>
        <w:jc w:val="both"/>
      </w:pPr>
    </w:p>
    <w:p w14:paraId="380A86EC" w14:textId="61C982E1" w:rsidR="00EC48DC" w:rsidRPr="004D39F5" w:rsidRDefault="00EC48DC" w:rsidP="00791619">
      <w:pPr>
        <w:pStyle w:val="Heading3"/>
        <w:jc w:val="both"/>
        <w:rPr>
          <w:rStyle w:val="Strong"/>
          <w:rFonts w:eastAsiaTheme="minorHAnsi" w:cstheme="minorBidi"/>
          <w:b/>
          <w:bCs/>
          <w:color w:val="auto"/>
          <w:sz w:val="22"/>
          <w:szCs w:val="22"/>
        </w:rPr>
      </w:pPr>
      <w:r w:rsidRPr="004D39F5">
        <w:rPr>
          <w:rStyle w:val="Strong"/>
          <w:rFonts w:eastAsiaTheme="minorHAnsi" w:cstheme="minorBidi"/>
          <w:b/>
          <w:bCs/>
          <w:color w:val="auto"/>
          <w:sz w:val="22"/>
          <w:szCs w:val="22"/>
        </w:rPr>
        <w:lastRenderedPageBreak/>
        <w:t xml:space="preserve">Pillar </w:t>
      </w:r>
      <w:r w:rsidR="004D39F5" w:rsidRPr="004D39F5">
        <w:rPr>
          <w:rStyle w:val="Strong"/>
          <w:rFonts w:eastAsiaTheme="minorHAnsi" w:cstheme="minorBidi"/>
          <w:b/>
          <w:bCs/>
          <w:color w:val="auto"/>
          <w:sz w:val="22"/>
          <w:szCs w:val="22"/>
        </w:rPr>
        <w:t>3</w:t>
      </w:r>
      <w:r w:rsidRPr="004D39F5">
        <w:rPr>
          <w:rStyle w:val="Strong"/>
          <w:rFonts w:eastAsiaTheme="minorHAnsi" w:cstheme="minorBidi"/>
          <w:b/>
          <w:bCs/>
          <w:color w:val="auto"/>
          <w:sz w:val="22"/>
          <w:szCs w:val="22"/>
        </w:rPr>
        <w:t>: Gender Equality Theology and GEDSI</w:t>
      </w:r>
    </w:p>
    <w:p w14:paraId="06E6CAD4" w14:textId="71B2F26C" w:rsidR="00EC48DC" w:rsidRPr="001D44A6" w:rsidRDefault="005447A1" w:rsidP="00791619">
      <w:pPr>
        <w:spacing w:after="120" w:line="240" w:lineRule="auto"/>
        <w:jc w:val="both"/>
      </w:pPr>
      <w:r>
        <w:t xml:space="preserve">Pillar 3 builds on the commitment of CPP partners to promoting gender equality and social inclusion </w:t>
      </w:r>
      <w:r w:rsidR="00CD625F">
        <w:t>and the implementation of the Gender Equality Theology, and commitment to issues such as the prevention of GBV and SARV.  This pillar is closely aligned to the BCEP outcome of targeting PNG decision-makers explicitly integrating gender equality and inclusive social norms into efforts to tackle targeted development problems.  CPP will focus on the measurement of attitude change as an indicator of norm change.</w:t>
      </w:r>
    </w:p>
    <w:tbl>
      <w:tblPr>
        <w:tblStyle w:val="TableGrid"/>
        <w:tblW w:w="0" w:type="auto"/>
        <w:tblLook w:val="04A0" w:firstRow="1" w:lastRow="0" w:firstColumn="1" w:lastColumn="0" w:noHBand="0" w:noVBand="1"/>
      </w:tblPr>
      <w:tblGrid>
        <w:gridCol w:w="9016"/>
      </w:tblGrid>
      <w:tr w:rsidR="00EC48DC" w:rsidRPr="001D44A6" w14:paraId="3805247F" w14:textId="77777777" w:rsidTr="00DB45FA">
        <w:tc>
          <w:tcPr>
            <w:tcW w:w="9016" w:type="dxa"/>
            <w:shd w:val="clear" w:color="auto" w:fill="FFF2CC" w:themeFill="accent4" w:themeFillTint="33"/>
          </w:tcPr>
          <w:p w14:paraId="5EFFD83E" w14:textId="1D6CFCAE" w:rsidR="00EC48DC" w:rsidRPr="00612A3F" w:rsidRDefault="00EC48DC" w:rsidP="00791619">
            <w:pPr>
              <w:spacing w:after="120"/>
              <w:jc w:val="both"/>
              <w:rPr>
                <w:b/>
                <w:bCs/>
              </w:rPr>
            </w:pPr>
            <w:r w:rsidRPr="00612A3F">
              <w:rPr>
                <w:b/>
                <w:bCs/>
              </w:rPr>
              <w:t xml:space="preserve">Pillar </w:t>
            </w:r>
            <w:r w:rsidR="004D39F5">
              <w:rPr>
                <w:b/>
                <w:bCs/>
              </w:rPr>
              <w:t>3</w:t>
            </w:r>
            <w:r w:rsidRPr="00612A3F">
              <w:rPr>
                <w:b/>
                <w:bCs/>
              </w:rPr>
              <w:t xml:space="preserve"> Intermediate outcomes</w:t>
            </w:r>
          </w:p>
          <w:p w14:paraId="1817A954" w14:textId="19BDDB8E" w:rsidR="00EC48DC" w:rsidRPr="00612A3F" w:rsidRDefault="004D39F5" w:rsidP="00791619">
            <w:pPr>
              <w:pStyle w:val="Box1Text"/>
              <w:pBdr>
                <w:top w:val="none" w:sz="0" w:space="0" w:color="auto"/>
                <w:left w:val="none" w:sz="0" w:space="0" w:color="auto"/>
                <w:bottom w:val="none" w:sz="0" w:space="0" w:color="auto"/>
                <w:right w:val="none" w:sz="0" w:space="0" w:color="auto"/>
              </w:pBdr>
              <w:shd w:val="clear" w:color="auto" w:fill="FFF2CC" w:themeFill="accent4" w:themeFillTint="33"/>
              <w:ind w:left="567" w:hanging="425"/>
              <w:jc w:val="both"/>
              <w:rPr>
                <w:rStyle w:val="Strong"/>
                <w:rFonts w:cstheme="minorBidi"/>
                <w:color w:val="auto"/>
              </w:rPr>
            </w:pPr>
            <w:r>
              <w:rPr>
                <w:rStyle w:val="Strong"/>
                <w:rFonts w:cstheme="minorBidi"/>
                <w:color w:val="auto"/>
              </w:rPr>
              <w:t>3.1</w:t>
            </w:r>
            <w:r w:rsidR="008816A2">
              <w:rPr>
                <w:rStyle w:val="Strong"/>
                <w:rFonts w:cstheme="minorBidi"/>
                <w:color w:val="auto"/>
              </w:rPr>
              <w:t xml:space="preserve"> S</w:t>
            </w:r>
            <w:r w:rsidR="008816A2" w:rsidRPr="006260A6">
              <w:rPr>
                <w:rStyle w:val="Strong"/>
                <w:rFonts w:cstheme="minorBidi"/>
                <w:color w:val="auto"/>
              </w:rPr>
              <w:t>elected</w:t>
            </w:r>
            <w:r w:rsidR="00EC48DC" w:rsidRPr="00612A3F">
              <w:rPr>
                <w:rStyle w:val="Strong"/>
                <w:rFonts w:cstheme="minorBidi"/>
                <w:color w:val="auto"/>
              </w:rPr>
              <w:t xml:space="preserve"> Church leaders demonstrate gender </w:t>
            </w:r>
            <w:r w:rsidR="00EC48DC" w:rsidRPr="002B121D">
              <w:rPr>
                <w:rStyle w:val="Strong"/>
                <w:rFonts w:cstheme="minorBidi"/>
                <w:color w:val="auto"/>
              </w:rPr>
              <w:t>e</w:t>
            </w:r>
            <w:r w:rsidR="00EC48DC" w:rsidRPr="002B121D">
              <w:rPr>
                <w:rStyle w:val="Strong"/>
                <w:color w:val="auto"/>
              </w:rPr>
              <w:t>qual</w:t>
            </w:r>
            <w:r w:rsidR="00EC48DC">
              <w:rPr>
                <w:rStyle w:val="Strong"/>
              </w:rPr>
              <w:t xml:space="preserve"> </w:t>
            </w:r>
            <w:r w:rsidR="00EC48DC" w:rsidRPr="00612A3F">
              <w:rPr>
                <w:rStyle w:val="Strong"/>
                <w:rFonts w:cstheme="minorBidi"/>
                <w:color w:val="auto"/>
              </w:rPr>
              <w:t>and socially inclusive attitudes</w:t>
            </w:r>
          </w:p>
          <w:p w14:paraId="5EC7B715" w14:textId="5E8D7AAB" w:rsidR="00EC48DC" w:rsidRPr="00612A3F" w:rsidRDefault="004D39F5" w:rsidP="00791619">
            <w:pPr>
              <w:pStyle w:val="Box1Text"/>
              <w:pBdr>
                <w:top w:val="none" w:sz="0" w:space="0" w:color="auto"/>
                <w:left w:val="none" w:sz="0" w:space="0" w:color="auto"/>
                <w:bottom w:val="none" w:sz="0" w:space="0" w:color="auto"/>
                <w:right w:val="none" w:sz="0" w:space="0" w:color="auto"/>
              </w:pBdr>
              <w:shd w:val="clear" w:color="auto" w:fill="FFF2CC" w:themeFill="accent4" w:themeFillTint="33"/>
              <w:ind w:left="567" w:hanging="425"/>
              <w:jc w:val="both"/>
              <w:rPr>
                <w:rStyle w:val="Strong"/>
                <w:rFonts w:cstheme="minorBidi"/>
                <w:color w:val="auto"/>
              </w:rPr>
            </w:pPr>
            <w:r>
              <w:rPr>
                <w:rStyle w:val="Strong"/>
                <w:rFonts w:cstheme="minorBidi"/>
                <w:color w:val="auto"/>
              </w:rPr>
              <w:t>3</w:t>
            </w:r>
            <w:r w:rsidR="00EC48DC" w:rsidRPr="00612A3F">
              <w:rPr>
                <w:rStyle w:val="Strong"/>
                <w:rFonts w:cstheme="minorBidi"/>
                <w:color w:val="auto"/>
              </w:rPr>
              <w:t xml:space="preserve">.2 </w:t>
            </w:r>
            <w:r w:rsidR="008816A2">
              <w:rPr>
                <w:rStyle w:val="Strong"/>
                <w:rFonts w:cstheme="minorBidi"/>
                <w:color w:val="auto"/>
              </w:rPr>
              <w:t>S</w:t>
            </w:r>
            <w:r w:rsidR="008816A2" w:rsidRPr="00955E5F">
              <w:rPr>
                <w:rStyle w:val="Strong"/>
                <w:rFonts w:cstheme="minorBidi"/>
                <w:color w:val="auto"/>
              </w:rPr>
              <w:t xml:space="preserve">elected </w:t>
            </w:r>
            <w:r w:rsidR="00EC48DC" w:rsidRPr="00612A3F">
              <w:rPr>
                <w:rStyle w:val="Strong"/>
                <w:rFonts w:cstheme="minorBidi"/>
                <w:color w:val="auto"/>
              </w:rPr>
              <w:t>Church policies are revised to align with the GET and GEDSI</w:t>
            </w:r>
          </w:p>
          <w:p w14:paraId="2EC789FB" w14:textId="080C2CB9" w:rsidR="00EC48DC" w:rsidRPr="001D44A6" w:rsidRDefault="004D39F5" w:rsidP="00791619">
            <w:pPr>
              <w:pStyle w:val="Box1Text"/>
              <w:pBdr>
                <w:top w:val="none" w:sz="0" w:space="0" w:color="auto"/>
                <w:left w:val="none" w:sz="0" w:space="0" w:color="auto"/>
                <w:bottom w:val="none" w:sz="0" w:space="0" w:color="auto"/>
                <w:right w:val="none" w:sz="0" w:space="0" w:color="auto"/>
              </w:pBdr>
              <w:shd w:val="clear" w:color="auto" w:fill="FFF2CC" w:themeFill="accent4" w:themeFillTint="33"/>
              <w:ind w:left="567" w:hanging="425"/>
              <w:jc w:val="both"/>
            </w:pPr>
            <w:r>
              <w:rPr>
                <w:rStyle w:val="Strong"/>
                <w:rFonts w:cstheme="minorBidi"/>
                <w:color w:val="auto"/>
              </w:rPr>
              <w:t>3</w:t>
            </w:r>
            <w:r w:rsidR="00EC48DC" w:rsidRPr="00612A3F">
              <w:rPr>
                <w:rStyle w:val="Strong"/>
                <w:rFonts w:cstheme="minorBidi"/>
                <w:color w:val="auto"/>
              </w:rPr>
              <w:t>.3 Community members demonstrate gender and socially inclusive attitudes</w:t>
            </w:r>
          </w:p>
        </w:tc>
      </w:tr>
    </w:tbl>
    <w:p w14:paraId="3855EC76" w14:textId="24D17776" w:rsidR="00EC48DC" w:rsidRPr="001D44A6" w:rsidRDefault="00EC48DC" w:rsidP="00791619">
      <w:pPr>
        <w:spacing w:before="240"/>
        <w:jc w:val="both"/>
      </w:pPr>
      <w:r w:rsidRPr="001D44A6">
        <w:t xml:space="preserve">Churches are </w:t>
      </w:r>
      <w:r w:rsidR="004D39F5">
        <w:t>highly respected in the community</w:t>
      </w:r>
      <w:r w:rsidRPr="001D44A6">
        <w:t xml:space="preserve"> and a key source of information for communities on various public issues. </w:t>
      </w:r>
      <w:r>
        <w:t xml:space="preserve">The critical assumption underpinning this pillar is that </w:t>
      </w:r>
      <w:r w:rsidR="00846002">
        <w:t>c</w:t>
      </w:r>
      <w:r>
        <w:t>hurch leaders can be</w:t>
      </w:r>
      <w:r w:rsidRPr="001D44A6">
        <w:t xml:space="preserve"> effective role models </w:t>
      </w:r>
      <w:r>
        <w:t>in their communities and demonstrate</w:t>
      </w:r>
      <w:r w:rsidRPr="001D44A6">
        <w:t xml:space="preserve"> gender equal and social</w:t>
      </w:r>
      <w:r>
        <w:t>ly</w:t>
      </w:r>
      <w:r w:rsidRPr="001D44A6">
        <w:t xml:space="preserve"> inclusi</w:t>
      </w:r>
      <w:r>
        <w:t>ve attitudes</w:t>
      </w:r>
      <w:r w:rsidRPr="00A90EAD">
        <w:t xml:space="preserve"> </w:t>
      </w:r>
      <w:r>
        <w:t>if they understand and apply the CPP Gender Equality Theology</w:t>
      </w:r>
      <w:r>
        <w:rPr>
          <w:rStyle w:val="FootnoteReference"/>
        </w:rPr>
        <w:footnoteReference w:id="35"/>
      </w:r>
      <w:r>
        <w:t xml:space="preserve"> in their work. </w:t>
      </w:r>
      <w:r w:rsidR="008816A2" w:rsidRPr="00961C8B">
        <w:rPr>
          <w:color w:val="000000" w:themeColor="text1"/>
        </w:rPr>
        <w:t xml:space="preserve">For example, CPP partners could focus on measuring attitude changes among the young and emerging leaders currently being trained on GET at Theological Colleges.  This could also include community church leaders such as the leaders of women’s church groups. </w:t>
      </w:r>
      <w:r>
        <w:t xml:space="preserve">Under this pillar, CPP partners will continue to be supported to promote </w:t>
      </w:r>
      <w:r w:rsidRPr="001D44A6">
        <w:t xml:space="preserve">GET </w:t>
      </w:r>
      <w:r>
        <w:t xml:space="preserve">as the basis for </w:t>
      </w:r>
      <w:r w:rsidRPr="001D44A6">
        <w:t>training</w:t>
      </w:r>
      <w:r w:rsidR="00846002">
        <w:t xml:space="preserve"> c</w:t>
      </w:r>
      <w:r w:rsidRPr="001D44A6">
        <w:t>hurch leaders</w:t>
      </w:r>
      <w:r w:rsidR="0018431D">
        <w:t xml:space="preserve"> and community members</w:t>
      </w:r>
      <w:r w:rsidRPr="001D44A6">
        <w:t xml:space="preserve"> </w:t>
      </w:r>
      <w:r>
        <w:t>on GEDSI</w:t>
      </w:r>
      <w:r w:rsidRPr="001D44A6">
        <w:t xml:space="preserve">. </w:t>
      </w:r>
      <w:r w:rsidR="008816A2">
        <w:t xml:space="preserve">Each partner will define their focus. </w:t>
      </w:r>
    </w:p>
    <w:p w14:paraId="613FCC52" w14:textId="0C14C070" w:rsidR="008816A2" w:rsidRPr="001D44A6" w:rsidRDefault="00EC48DC" w:rsidP="008816A2">
      <w:pPr>
        <w:jc w:val="both"/>
      </w:pPr>
      <w:r>
        <w:t>Efforts to change church attitudes toward GEDSI could be undermined by internal organisational policies and practices that limit opportunities for women, people with disabilities and other excluded groups to participate in church activities. To promote GEDSI within their organisations, CPP partners will identify current key</w:t>
      </w:r>
      <w:r w:rsidRPr="001D44A6">
        <w:t xml:space="preserve"> </w:t>
      </w:r>
      <w:r w:rsidR="00846002">
        <w:t>c</w:t>
      </w:r>
      <w:r w:rsidRPr="001D44A6">
        <w:t xml:space="preserve">hurch policies </w:t>
      </w:r>
      <w:r>
        <w:t xml:space="preserve">that could be amended to promote positive GEDSI attitudes in line with </w:t>
      </w:r>
      <w:proofErr w:type="gramStart"/>
      <w:r>
        <w:t>GET.</w:t>
      </w:r>
      <w:r w:rsidRPr="001D44A6">
        <w:t>.</w:t>
      </w:r>
      <w:proofErr w:type="gramEnd"/>
      <w:r>
        <w:t xml:space="preserve"> </w:t>
      </w:r>
      <w:r w:rsidR="001D533B">
        <w:t xml:space="preserve"> </w:t>
      </w:r>
      <w:r w:rsidR="008816A2" w:rsidRPr="00961C8B">
        <w:rPr>
          <w:color w:val="000000" w:themeColor="text1"/>
        </w:rPr>
        <w:t>Th</w:t>
      </w:r>
      <w:r w:rsidR="008816A2">
        <w:rPr>
          <w:color w:val="000000" w:themeColor="text1"/>
        </w:rPr>
        <w:t>ese</w:t>
      </w:r>
      <w:r w:rsidR="008816A2" w:rsidRPr="00961C8B">
        <w:rPr>
          <w:color w:val="000000" w:themeColor="text1"/>
        </w:rPr>
        <w:t xml:space="preserve"> policies</w:t>
      </w:r>
      <w:r w:rsidR="008816A2">
        <w:rPr>
          <w:color w:val="000000" w:themeColor="text1"/>
        </w:rPr>
        <w:t xml:space="preserve"> could relate to women’s leadership, disability inclusion, </w:t>
      </w:r>
      <w:r w:rsidR="008816A2" w:rsidRPr="00961C8B">
        <w:rPr>
          <w:color w:val="000000" w:themeColor="text1"/>
        </w:rPr>
        <w:t xml:space="preserve">referral pathways that include Churches, CPP partner policies, development arm policies, and health and education policies as examples. </w:t>
      </w:r>
      <w:r w:rsidR="008816A2">
        <w:rPr>
          <w:color w:val="000000" w:themeColor="text1"/>
        </w:rPr>
        <w:t>Each partner will define which policies they will focus on.</w:t>
      </w:r>
    </w:p>
    <w:p w14:paraId="3A83B80D" w14:textId="55F7F203" w:rsidR="00EC48DC" w:rsidRPr="001D44A6" w:rsidRDefault="00EC48DC" w:rsidP="00955E5F">
      <w:pPr>
        <w:spacing w:before="240"/>
        <w:jc w:val="both"/>
      </w:pPr>
      <w:r w:rsidRPr="001D44A6">
        <w:t>At the community level, PNG Church partners will develop community information and education</w:t>
      </w:r>
      <w:r>
        <w:t xml:space="preserve"> </w:t>
      </w:r>
      <w:r w:rsidR="00CD625F">
        <w:t>materials</w:t>
      </w:r>
      <w:r w:rsidR="00CD625F" w:rsidRPr="001D44A6">
        <w:t xml:space="preserve"> </w:t>
      </w:r>
      <w:r w:rsidRPr="001D44A6">
        <w:t xml:space="preserve">in line with GET to </w:t>
      </w:r>
      <w:r w:rsidR="0018431D">
        <w:t>influence</w:t>
      </w:r>
      <w:r w:rsidRPr="001D44A6">
        <w:t xml:space="preserve"> community attitudes concerning GEDSI. GEDSI will also be mainstreamed through thematic priorities (health, education, GBV/SARV</w:t>
      </w:r>
      <w:r w:rsidR="007474AA">
        <w:t>, community resilience</w:t>
      </w:r>
      <w:r w:rsidRPr="001D44A6">
        <w:t xml:space="preserve"> and peacebuilding) and programmatic priorities such as social accountability and partner development and collaboration. </w:t>
      </w:r>
      <w:r w:rsidR="008816A2">
        <w:t>CPP partners should also engage with women’s organisations and disabled peoples’ organisations to support delivery of community GEDSI activities.</w:t>
      </w:r>
    </w:p>
    <w:p w14:paraId="6A388FBB" w14:textId="77777777" w:rsidR="00EC48DC" w:rsidRPr="001D44A6" w:rsidRDefault="00EC48DC" w:rsidP="00791619">
      <w:pPr>
        <w:jc w:val="both"/>
      </w:pPr>
      <w:r w:rsidRPr="001D44A6">
        <w:t>Robust MEL processes will support these activities to monitor how attitudes change (or not). The GEDSI focus of each program will be documented by each CPP partner in a GEDSI action plan which will be monitored on a six-monthly basis.</w:t>
      </w:r>
    </w:p>
    <w:p w14:paraId="16EEDDF1" w14:textId="77777777" w:rsidR="00EC48DC" w:rsidRPr="001D44A6" w:rsidRDefault="00EC48DC" w:rsidP="00791619">
      <w:pPr>
        <w:jc w:val="both"/>
      </w:pPr>
      <w:r w:rsidRPr="001D44A6">
        <w:t xml:space="preserve">BCEP’s media partners will support church partners in developing media engagement strategies that enable them to engage multiple forms of media (print, radio, digital) more effectively to maximize audience reach and influence. </w:t>
      </w:r>
    </w:p>
    <w:p w14:paraId="64C51454" w14:textId="77777777" w:rsidR="00EC48DC" w:rsidRPr="002B121D" w:rsidRDefault="00EC48DC" w:rsidP="00791619">
      <w:pPr>
        <w:pBdr>
          <w:top w:val="single" w:sz="4" w:space="1" w:color="auto"/>
          <w:left w:val="single" w:sz="4" w:space="4" w:color="auto"/>
          <w:bottom w:val="single" w:sz="4" w:space="1" w:color="auto"/>
          <w:right w:val="single" w:sz="4" w:space="4" w:color="auto"/>
        </w:pBdr>
        <w:shd w:val="clear" w:color="auto" w:fill="FFF2CC" w:themeFill="accent4" w:themeFillTint="33"/>
        <w:spacing w:line="240" w:lineRule="auto"/>
        <w:jc w:val="both"/>
        <w:rPr>
          <w:rStyle w:val="Strong"/>
          <w:rFonts w:cstheme="minorBidi"/>
          <w:b/>
          <w:bCs/>
          <w:color w:val="auto"/>
        </w:rPr>
      </w:pPr>
      <w:r w:rsidRPr="002B121D">
        <w:rPr>
          <w:rStyle w:val="Strong"/>
          <w:rFonts w:cstheme="minorBidi"/>
          <w:b/>
          <w:bCs/>
          <w:color w:val="auto"/>
        </w:rPr>
        <w:t>Pillar 3: Indicative Outputs</w:t>
      </w:r>
    </w:p>
    <w:p w14:paraId="77A9DA0A" w14:textId="77777777" w:rsidR="00EC48DC" w:rsidRPr="002B121D" w:rsidRDefault="00EC48DC" w:rsidP="00791619">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jc w:val="both"/>
        <w:rPr>
          <w:rStyle w:val="Strong"/>
          <w:rFonts w:cstheme="minorBidi"/>
          <w:color w:val="auto"/>
        </w:rPr>
      </w:pPr>
      <w:r w:rsidRPr="002B121D">
        <w:rPr>
          <w:rStyle w:val="Strong"/>
          <w:rFonts w:cstheme="minorBidi"/>
          <w:color w:val="auto"/>
        </w:rPr>
        <w:lastRenderedPageBreak/>
        <w:t>CPP partners develop and implement GEDSI action plans that include</w:t>
      </w:r>
    </w:p>
    <w:p w14:paraId="4A1EB7AE" w14:textId="19AB74FD" w:rsidR="00EC48DC" w:rsidRPr="002B121D" w:rsidRDefault="00EC48DC" w:rsidP="00791619">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FFF2CC" w:themeFill="accent4" w:themeFillTint="33"/>
        <w:spacing w:line="240" w:lineRule="auto"/>
        <w:jc w:val="both"/>
        <w:rPr>
          <w:rStyle w:val="Strong"/>
          <w:rFonts w:cstheme="minorBidi"/>
          <w:color w:val="auto"/>
        </w:rPr>
      </w:pPr>
      <w:r w:rsidRPr="002B121D">
        <w:rPr>
          <w:rStyle w:val="Strong"/>
          <w:rFonts w:cstheme="minorBidi"/>
          <w:color w:val="auto"/>
        </w:rPr>
        <w:t xml:space="preserve">Designing and implementing activities to raise Church </w:t>
      </w:r>
      <w:proofErr w:type="gramStart"/>
      <w:r w:rsidRPr="002B121D">
        <w:rPr>
          <w:rStyle w:val="Strong"/>
          <w:rFonts w:cstheme="minorBidi"/>
          <w:color w:val="auto"/>
        </w:rPr>
        <w:t>leaders</w:t>
      </w:r>
      <w:proofErr w:type="gramEnd"/>
      <w:r w:rsidRPr="002B121D">
        <w:rPr>
          <w:rStyle w:val="Strong"/>
          <w:rFonts w:cstheme="minorBidi"/>
          <w:color w:val="auto"/>
        </w:rPr>
        <w:t xml:space="preserve"> awareness of GET </w:t>
      </w:r>
    </w:p>
    <w:p w14:paraId="17796668" w14:textId="77777777" w:rsidR="00EC48DC" w:rsidRPr="002B121D" w:rsidRDefault="00EC48DC" w:rsidP="00791619">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FFF2CC" w:themeFill="accent4" w:themeFillTint="33"/>
        <w:spacing w:line="240" w:lineRule="auto"/>
        <w:jc w:val="both"/>
        <w:rPr>
          <w:rStyle w:val="Strong"/>
          <w:rFonts w:cstheme="minorBidi"/>
          <w:color w:val="auto"/>
        </w:rPr>
      </w:pPr>
      <w:r w:rsidRPr="002B121D">
        <w:rPr>
          <w:rStyle w:val="Strong"/>
          <w:rFonts w:cstheme="minorBidi"/>
          <w:color w:val="auto"/>
        </w:rPr>
        <w:t>Conduct a stocktake of Church policies and identity how to revise in line with GET and GESDI norms</w:t>
      </w:r>
    </w:p>
    <w:p w14:paraId="275A4F3E" w14:textId="20C77EB1" w:rsidR="00EC48DC" w:rsidRPr="002B121D" w:rsidRDefault="00EC48DC" w:rsidP="00791619">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FFF2CC" w:themeFill="accent4" w:themeFillTint="33"/>
        <w:spacing w:line="240" w:lineRule="auto"/>
        <w:jc w:val="both"/>
        <w:rPr>
          <w:rStyle w:val="Strong"/>
          <w:rFonts w:cstheme="minorBidi"/>
          <w:color w:val="auto"/>
        </w:rPr>
      </w:pPr>
      <w:r w:rsidRPr="002B121D">
        <w:rPr>
          <w:rStyle w:val="Strong"/>
          <w:rFonts w:cstheme="minorBidi"/>
          <w:color w:val="auto"/>
        </w:rPr>
        <w:t xml:space="preserve">Develop GEDSI community awareness activities </w:t>
      </w:r>
      <w:r w:rsidR="001D533B">
        <w:rPr>
          <w:rStyle w:val="Strong"/>
          <w:rFonts w:cstheme="minorBidi"/>
          <w:color w:val="auto"/>
        </w:rPr>
        <w:t xml:space="preserve">in partnership with women’s </w:t>
      </w:r>
      <w:r w:rsidR="00CD7AD2">
        <w:rPr>
          <w:rStyle w:val="Strong"/>
          <w:rFonts w:cstheme="minorBidi"/>
          <w:color w:val="auto"/>
        </w:rPr>
        <w:t>organisations</w:t>
      </w:r>
      <w:r w:rsidR="001D533B">
        <w:rPr>
          <w:rStyle w:val="Strong"/>
          <w:rFonts w:cstheme="minorBidi"/>
          <w:color w:val="auto"/>
        </w:rPr>
        <w:t xml:space="preserve"> (such as NCW) and disabled peoples organisations</w:t>
      </w:r>
    </w:p>
    <w:p w14:paraId="4E9EBE7C" w14:textId="77777777" w:rsidR="00EC48DC" w:rsidRPr="002B121D" w:rsidRDefault="00EC48DC" w:rsidP="00791619">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FFF2CC" w:themeFill="accent4" w:themeFillTint="33"/>
        <w:spacing w:line="240" w:lineRule="auto"/>
        <w:jc w:val="both"/>
        <w:rPr>
          <w:rStyle w:val="Strong"/>
          <w:rFonts w:cstheme="minorBidi"/>
          <w:color w:val="auto"/>
        </w:rPr>
      </w:pPr>
      <w:r w:rsidRPr="002B121D">
        <w:rPr>
          <w:rStyle w:val="Strong"/>
          <w:rFonts w:cstheme="minorBidi"/>
          <w:color w:val="auto"/>
        </w:rPr>
        <w:t>Mainstreaming GEDSI into all activities</w:t>
      </w:r>
    </w:p>
    <w:p w14:paraId="3AFE8765" w14:textId="77777777" w:rsidR="00EC48DC" w:rsidRPr="002B121D" w:rsidRDefault="00EC48DC" w:rsidP="00791619">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jc w:val="both"/>
        <w:rPr>
          <w:rStyle w:val="Strong"/>
          <w:rFonts w:cstheme="minorBidi"/>
          <w:color w:val="auto"/>
        </w:rPr>
      </w:pPr>
      <w:r w:rsidRPr="002B121D">
        <w:rPr>
          <w:rStyle w:val="Strong"/>
          <w:rFonts w:cstheme="minorBidi"/>
          <w:color w:val="auto"/>
        </w:rPr>
        <w:t>CCPCO supports</w:t>
      </w:r>
    </w:p>
    <w:p w14:paraId="519CFA31" w14:textId="13272F21" w:rsidR="00EC48DC" w:rsidRPr="002B121D" w:rsidRDefault="00EC48DC" w:rsidP="00791619">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FFF2CC" w:themeFill="accent4" w:themeFillTint="33"/>
        <w:spacing w:line="240" w:lineRule="auto"/>
        <w:jc w:val="both"/>
        <w:rPr>
          <w:rStyle w:val="Strong"/>
          <w:rFonts w:cstheme="minorBidi"/>
          <w:color w:val="auto"/>
        </w:rPr>
      </w:pPr>
      <w:r w:rsidRPr="002B121D">
        <w:rPr>
          <w:rStyle w:val="Strong"/>
          <w:rFonts w:cstheme="minorBidi"/>
          <w:color w:val="auto"/>
        </w:rPr>
        <w:t xml:space="preserve">GEDSI action planning for each </w:t>
      </w:r>
      <w:r w:rsidR="001D533B" w:rsidRPr="002B121D">
        <w:rPr>
          <w:rStyle w:val="Strong"/>
          <w:rFonts w:cstheme="minorBidi"/>
          <w:color w:val="auto"/>
        </w:rPr>
        <w:t>partner</w:t>
      </w:r>
    </w:p>
    <w:p w14:paraId="0E37151A" w14:textId="77777777" w:rsidR="00EC48DC" w:rsidRPr="002B121D" w:rsidRDefault="00EC48DC" w:rsidP="00791619">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FFF2CC" w:themeFill="accent4" w:themeFillTint="33"/>
        <w:spacing w:line="240" w:lineRule="auto"/>
        <w:jc w:val="both"/>
        <w:rPr>
          <w:rStyle w:val="Strong"/>
          <w:rFonts w:cstheme="minorBidi"/>
          <w:color w:val="auto"/>
        </w:rPr>
      </w:pPr>
      <w:r w:rsidRPr="002B121D">
        <w:rPr>
          <w:rStyle w:val="Strong"/>
          <w:rFonts w:cstheme="minorBidi"/>
          <w:color w:val="auto"/>
        </w:rPr>
        <w:t>GEDSI MEL to measure attitude change</w:t>
      </w:r>
    </w:p>
    <w:p w14:paraId="72313E1D" w14:textId="77777777" w:rsidR="00EC48DC" w:rsidRPr="002B121D" w:rsidRDefault="00EC48DC" w:rsidP="00791619">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FFF2CC" w:themeFill="accent4" w:themeFillTint="33"/>
        <w:spacing w:line="240" w:lineRule="auto"/>
        <w:jc w:val="both"/>
        <w:rPr>
          <w:rStyle w:val="Strong"/>
          <w:rFonts w:cstheme="minorBidi"/>
          <w:color w:val="auto"/>
        </w:rPr>
      </w:pPr>
      <w:r w:rsidRPr="002B121D">
        <w:rPr>
          <w:rStyle w:val="Strong"/>
          <w:rFonts w:cstheme="minorBidi"/>
          <w:color w:val="auto"/>
        </w:rPr>
        <w:t xml:space="preserve">GEDSI Working group </w:t>
      </w:r>
    </w:p>
    <w:p w14:paraId="6BE4D36D" w14:textId="77777777" w:rsidR="00EC48DC" w:rsidRPr="004D39F5" w:rsidRDefault="00EC48DC" w:rsidP="00791619">
      <w:pPr>
        <w:pStyle w:val="Heading3"/>
        <w:jc w:val="both"/>
        <w:rPr>
          <w:rStyle w:val="Strong"/>
          <w:rFonts w:eastAsiaTheme="minorHAnsi" w:cstheme="minorBidi"/>
          <w:b/>
          <w:bCs/>
          <w:color w:val="auto"/>
          <w:sz w:val="22"/>
          <w:szCs w:val="22"/>
        </w:rPr>
      </w:pPr>
      <w:r w:rsidRPr="004D39F5">
        <w:rPr>
          <w:rStyle w:val="Strong"/>
          <w:rFonts w:eastAsiaTheme="minorHAnsi" w:cstheme="minorBidi"/>
          <w:b/>
          <w:bCs/>
          <w:color w:val="auto"/>
          <w:sz w:val="22"/>
          <w:szCs w:val="22"/>
        </w:rPr>
        <w:t>Pillar 4: Partner development and collaboration</w:t>
      </w:r>
    </w:p>
    <w:p w14:paraId="382284C5" w14:textId="111B7A06" w:rsidR="001B2545" w:rsidRDefault="001B2545" w:rsidP="00791619">
      <w:pPr>
        <w:spacing w:before="240"/>
        <w:jc w:val="both"/>
      </w:pPr>
      <w:r w:rsidRPr="001D44A6">
        <w:t xml:space="preserve">Pillar </w:t>
      </w:r>
      <w:r w:rsidR="00846002">
        <w:t>4</w:t>
      </w:r>
      <w:r w:rsidRPr="001D44A6">
        <w:t xml:space="preserve"> will underpin work across all three pillars above</w:t>
      </w:r>
      <w:r>
        <w:t xml:space="preserve"> to maximise the collective impact on both EOPOs</w:t>
      </w:r>
      <w:r w:rsidRPr="001D44A6">
        <w:t>. The first part of this pillar is focussed on building PNG church partners organisational capacity and resilience</w:t>
      </w:r>
      <w:r>
        <w:t xml:space="preserve"> necessary for promoting the sustainability and localisation of CPP’s work (intermediate outcome 4.1). The purpose of the second part of this pillar is to promote collaboration, learning and joint actions between CPP partners (intermediate outcome 4.2)</w:t>
      </w:r>
      <w:r w:rsidR="00846002">
        <w:t>.</w:t>
      </w:r>
      <w:r>
        <w:t xml:space="preserve"> </w:t>
      </w:r>
    </w:p>
    <w:p w14:paraId="24F50000" w14:textId="0CA6A400" w:rsidR="00600E01" w:rsidRPr="00600E01" w:rsidRDefault="00600E01" w:rsidP="00791619">
      <w:pPr>
        <w:pStyle w:val="Box1Text"/>
        <w:pBdr>
          <w:top w:val="single" w:sz="4" w:space="6" w:color="auto"/>
          <w:left w:val="single" w:sz="4" w:space="6" w:color="auto"/>
          <w:bottom w:val="single" w:sz="4" w:space="6" w:color="auto"/>
          <w:right w:val="single" w:sz="4" w:space="6" w:color="auto"/>
        </w:pBdr>
        <w:shd w:val="clear" w:color="auto" w:fill="FFF2CC" w:themeFill="accent4" w:themeFillTint="33"/>
        <w:ind w:left="0" w:firstLine="0"/>
        <w:jc w:val="both"/>
        <w:rPr>
          <w:rStyle w:val="Strong"/>
          <w:rFonts w:cstheme="minorBidi"/>
          <w:b/>
          <w:bCs/>
          <w:color w:val="auto"/>
        </w:rPr>
      </w:pPr>
      <w:r w:rsidRPr="00600E01">
        <w:rPr>
          <w:rStyle w:val="Strong"/>
          <w:rFonts w:cstheme="minorBidi"/>
          <w:b/>
          <w:bCs/>
          <w:color w:val="auto"/>
        </w:rPr>
        <w:t xml:space="preserve">Pillar 4 intermediate outcomes: </w:t>
      </w:r>
    </w:p>
    <w:p w14:paraId="62553CA1" w14:textId="6147BF6E" w:rsidR="00EC48DC" w:rsidRPr="00FE67D8" w:rsidRDefault="00EC48DC" w:rsidP="00791619">
      <w:pPr>
        <w:pStyle w:val="Box1Text"/>
        <w:numPr>
          <w:ilvl w:val="1"/>
          <w:numId w:val="35"/>
        </w:numPr>
        <w:pBdr>
          <w:top w:val="single" w:sz="4" w:space="6" w:color="auto"/>
          <w:left w:val="single" w:sz="4" w:space="6" w:color="auto"/>
          <w:bottom w:val="single" w:sz="4" w:space="6" w:color="auto"/>
          <w:right w:val="single" w:sz="4" w:space="6" w:color="auto"/>
        </w:pBdr>
        <w:shd w:val="clear" w:color="auto" w:fill="FFF2CC" w:themeFill="accent4" w:themeFillTint="33"/>
        <w:jc w:val="both"/>
        <w:rPr>
          <w:rStyle w:val="Strong"/>
          <w:rFonts w:cstheme="minorBidi"/>
          <w:color w:val="auto"/>
        </w:rPr>
      </w:pPr>
      <w:r w:rsidRPr="00FE67D8">
        <w:rPr>
          <w:rStyle w:val="Strong"/>
          <w:rFonts w:cstheme="minorBidi"/>
          <w:color w:val="auto"/>
        </w:rPr>
        <w:t xml:space="preserve">PNG Church partners have increased organizational capacity for </w:t>
      </w:r>
      <w:r w:rsidR="00A201BB">
        <w:rPr>
          <w:rStyle w:val="Strong"/>
          <w:rFonts w:cstheme="minorBidi"/>
          <w:color w:val="auto"/>
        </w:rPr>
        <w:t>localisation</w:t>
      </w:r>
    </w:p>
    <w:p w14:paraId="7B03DDED" w14:textId="257C7C48" w:rsidR="00EC48DC" w:rsidRPr="001D44A6" w:rsidRDefault="00EC48DC" w:rsidP="00791619">
      <w:pPr>
        <w:pStyle w:val="Box1Text"/>
        <w:numPr>
          <w:ilvl w:val="1"/>
          <w:numId w:val="35"/>
        </w:numPr>
        <w:pBdr>
          <w:top w:val="single" w:sz="4" w:space="6" w:color="auto"/>
          <w:left w:val="single" w:sz="4" w:space="6" w:color="auto"/>
          <w:bottom w:val="single" w:sz="4" w:space="6" w:color="auto"/>
          <w:right w:val="single" w:sz="4" w:space="6" w:color="auto"/>
        </w:pBdr>
        <w:shd w:val="clear" w:color="auto" w:fill="FFF2CC" w:themeFill="accent4" w:themeFillTint="33"/>
        <w:jc w:val="both"/>
        <w:rPr>
          <w:rStyle w:val="Strong"/>
          <w:rFonts w:cstheme="minorBidi"/>
          <w:color w:val="auto"/>
        </w:rPr>
      </w:pPr>
      <w:r>
        <w:rPr>
          <w:rStyle w:val="Strong"/>
          <w:rFonts w:cstheme="minorBidi"/>
          <w:color w:val="auto"/>
        </w:rPr>
        <w:t>CPP</w:t>
      </w:r>
      <w:r w:rsidRPr="001D44A6">
        <w:rPr>
          <w:rStyle w:val="Strong"/>
          <w:rFonts w:cstheme="minorBidi"/>
          <w:color w:val="auto"/>
        </w:rPr>
        <w:t xml:space="preserve"> partners collaborate for learning and </w:t>
      </w:r>
      <w:r w:rsidR="00846002">
        <w:rPr>
          <w:rStyle w:val="Strong"/>
          <w:rFonts w:cstheme="minorBidi"/>
          <w:color w:val="auto"/>
        </w:rPr>
        <w:t>developing</w:t>
      </w:r>
      <w:r w:rsidRPr="001D44A6">
        <w:rPr>
          <w:rStyle w:val="Strong"/>
          <w:rFonts w:cstheme="minorBidi"/>
          <w:color w:val="auto"/>
        </w:rPr>
        <w:t xml:space="preserve"> common positions on selected issues</w:t>
      </w:r>
    </w:p>
    <w:p w14:paraId="5E65CD73" w14:textId="77777777" w:rsidR="00EC48DC" w:rsidRPr="001D44A6" w:rsidRDefault="00EC48DC" w:rsidP="00791619">
      <w:pPr>
        <w:pStyle w:val="Box1Text"/>
        <w:numPr>
          <w:ilvl w:val="1"/>
          <w:numId w:val="35"/>
        </w:numPr>
        <w:pBdr>
          <w:top w:val="single" w:sz="4" w:space="6" w:color="auto"/>
          <w:left w:val="single" w:sz="4" w:space="6" w:color="auto"/>
          <w:bottom w:val="single" w:sz="4" w:space="6" w:color="auto"/>
          <w:right w:val="single" w:sz="4" w:space="6" w:color="auto"/>
        </w:pBdr>
        <w:shd w:val="clear" w:color="auto" w:fill="FFF2CC" w:themeFill="accent4" w:themeFillTint="33"/>
        <w:jc w:val="both"/>
        <w:rPr>
          <w:rStyle w:val="Strong"/>
          <w:rFonts w:cstheme="minorBidi"/>
          <w:color w:val="auto"/>
        </w:rPr>
      </w:pPr>
      <w:r>
        <w:rPr>
          <w:rStyle w:val="Strong"/>
          <w:rFonts w:cstheme="minorBidi"/>
          <w:color w:val="auto"/>
        </w:rPr>
        <w:t>CPP</w:t>
      </w:r>
      <w:r w:rsidRPr="001D44A6">
        <w:rPr>
          <w:rStyle w:val="Strong"/>
          <w:rFonts w:cstheme="minorBidi"/>
          <w:color w:val="auto"/>
        </w:rPr>
        <w:t xml:space="preserve"> partners contribute to BCEP learning and participate in selected joint actions</w:t>
      </w:r>
    </w:p>
    <w:p w14:paraId="26574AFC" w14:textId="77777777" w:rsidR="00EC48DC" w:rsidRPr="002B121D" w:rsidRDefault="00EC48DC" w:rsidP="00791619">
      <w:pPr>
        <w:spacing w:before="240"/>
        <w:jc w:val="both"/>
        <w:rPr>
          <w:b/>
          <w:bCs/>
        </w:rPr>
      </w:pPr>
      <w:r w:rsidRPr="002B121D">
        <w:rPr>
          <w:b/>
          <w:bCs/>
        </w:rPr>
        <w:t>Organisational development and localisation</w:t>
      </w:r>
    </w:p>
    <w:p w14:paraId="22DCD0DE" w14:textId="2DB1B524" w:rsidR="00412F54" w:rsidRDefault="00A201BB" w:rsidP="00412F54">
      <w:pPr>
        <w:spacing w:after="0" w:line="240" w:lineRule="auto"/>
      </w:pPr>
      <w:r>
        <w:t>Localisation</w:t>
      </w:r>
      <w:r w:rsidR="00EC48DC" w:rsidRPr="001D44A6">
        <w:t xml:space="preserve"> of PNG Church partners will continue to be promoted through organizational development support. Each partner will define its tailored approach to organizational capacity development in a capacity development plan. The capacity development plans will articulate capacity development responsibilities for ANGOs, the CPPCO and other groups, such as Tear</w:t>
      </w:r>
      <w:r w:rsidR="00846002">
        <w:t>f</w:t>
      </w:r>
      <w:r w:rsidR="00EC48DC" w:rsidRPr="001D44A6">
        <w:t>und or specialist GEDSI organizations</w:t>
      </w:r>
      <w:r w:rsidR="001D533B">
        <w:t xml:space="preserve"> (such as women’s organisations and DPOs)</w:t>
      </w:r>
      <w:r w:rsidR="00EC48DC" w:rsidRPr="001D44A6">
        <w:t xml:space="preserve">, recognizing the unique governance structures and readiness for </w:t>
      </w:r>
      <w:r>
        <w:t>localisation</w:t>
      </w:r>
      <w:r w:rsidR="00EC48DC" w:rsidRPr="001D44A6">
        <w:t xml:space="preserve"> of each CPP partner.</w:t>
      </w:r>
      <w:r w:rsidR="00412F54">
        <w:t xml:space="preserve">  Each</w:t>
      </w:r>
      <w:r w:rsidR="00412F54" w:rsidRPr="00955E5F">
        <w:t xml:space="preserve"> ANGO will have different specific roles, based on their own and their PNG partners different organisational strengths. The specific role</w:t>
      </w:r>
      <w:r w:rsidR="00412F54">
        <w:t>s</w:t>
      </w:r>
      <w:r w:rsidR="00412F54" w:rsidRPr="00955E5F">
        <w:t xml:space="preserve"> </w:t>
      </w:r>
      <w:r w:rsidR="00412F54">
        <w:t>will</w:t>
      </w:r>
      <w:r w:rsidR="00412F54" w:rsidRPr="00955E5F">
        <w:t xml:space="preserve"> be defined with PNG church partner</w:t>
      </w:r>
      <w:r w:rsidR="00412F54">
        <w:t>s</w:t>
      </w:r>
      <w:r w:rsidR="00412F54" w:rsidRPr="00955E5F">
        <w:t xml:space="preserve"> in the Inception Period</w:t>
      </w:r>
      <w:r w:rsidR="00E9257E">
        <w:t xml:space="preserve"> and included in partner budgets</w:t>
      </w:r>
      <w:r w:rsidR="00412F54" w:rsidRPr="00955E5F">
        <w:t xml:space="preserve">. </w:t>
      </w:r>
    </w:p>
    <w:p w14:paraId="3B3A42B6" w14:textId="77777777" w:rsidR="00412F54" w:rsidRDefault="00412F54" w:rsidP="00412F54">
      <w:pPr>
        <w:spacing w:after="0" w:line="240" w:lineRule="auto"/>
      </w:pPr>
    </w:p>
    <w:p w14:paraId="7DE47066" w14:textId="41E8062B" w:rsidR="00EC48DC" w:rsidRDefault="00EC48DC" w:rsidP="00955E5F">
      <w:pPr>
        <w:spacing w:after="0" w:line="240" w:lineRule="auto"/>
      </w:pPr>
      <w:r w:rsidRPr="001D44A6">
        <w:t xml:space="preserve">As CPP partners move towards </w:t>
      </w:r>
      <w:r w:rsidR="00A201BB">
        <w:t>localisation</w:t>
      </w:r>
      <w:r w:rsidRPr="001D44A6">
        <w:t>, a financial management capacity assessment of each of these groups and the whole organization should be conducted. This involves developing an understanding that sound financial management is not restricted to direct management of the grant process but involves strategic financial planning, an understanding of risk management, due diligence and fraud control and needs to be integrated throughout the partner organization. All groups (board, management, program, finance) need to be part of a mutually beneficial change process that would be outlined in the capacity development plans.</w:t>
      </w:r>
    </w:p>
    <w:p w14:paraId="5AB2F781" w14:textId="77777777" w:rsidR="00307F7F" w:rsidRDefault="00307F7F" w:rsidP="00791619">
      <w:pPr>
        <w:jc w:val="both"/>
        <w:rPr>
          <w:b/>
          <w:bCs/>
        </w:rPr>
      </w:pPr>
    </w:p>
    <w:p w14:paraId="3FB8FB81" w14:textId="73E6074D" w:rsidR="00EC48DC" w:rsidRPr="002B121D" w:rsidRDefault="00EC48DC" w:rsidP="00791619">
      <w:pPr>
        <w:jc w:val="both"/>
        <w:rPr>
          <w:b/>
          <w:bCs/>
        </w:rPr>
      </w:pPr>
      <w:r w:rsidRPr="002B121D">
        <w:rPr>
          <w:b/>
          <w:bCs/>
        </w:rPr>
        <w:t xml:space="preserve">Partner collaboration and learning </w:t>
      </w:r>
    </w:p>
    <w:p w14:paraId="369566D8" w14:textId="52118A3B" w:rsidR="00EC48DC" w:rsidRPr="001D44A6" w:rsidRDefault="00EC48DC" w:rsidP="00791619">
      <w:pPr>
        <w:jc w:val="both"/>
      </w:pPr>
      <w:r w:rsidRPr="001D44A6">
        <w:t xml:space="preserve">This work area is closely related to BCEP, and BCEP and CPP partners will benefit from joint learning and collaboration on complex development issues such as improving service delivery to marginalized </w:t>
      </w:r>
      <w:r w:rsidRPr="001D44A6">
        <w:lastRenderedPageBreak/>
        <w:t xml:space="preserve">communities, changing attitudes regarding GEDSI, preventing gender-based violence and promoting the </w:t>
      </w:r>
      <w:r w:rsidR="00A201BB">
        <w:t>localisation</w:t>
      </w:r>
      <w:r w:rsidRPr="001D44A6">
        <w:t xml:space="preserve"> of PNG partners. These complex issues benefit from learning from the experience of the diverse groups represented in CPP</w:t>
      </w:r>
      <w:r w:rsidR="001D533B">
        <w:t xml:space="preserve">, women’s organisations and DPOs, </w:t>
      </w:r>
      <w:r w:rsidRPr="001D44A6">
        <w:t xml:space="preserve">and documenting learning. This learning </w:t>
      </w:r>
      <w:r w:rsidR="00CD7AD2">
        <w:t xml:space="preserve">will </w:t>
      </w:r>
      <w:r w:rsidRPr="001D44A6">
        <w:t>contribute to the evidence base to inform policy development and implementation within Church and Government. These processes are supported through structured learning processes such as thematic working groups within CPP and close collaboration with BCEP learning forums and processes. These are further detailed in sections 4.2 and 6.</w:t>
      </w:r>
    </w:p>
    <w:p w14:paraId="1C97444A" w14:textId="77777777" w:rsidR="00EC48DC" w:rsidRDefault="00EC48DC" w:rsidP="00791619">
      <w:pPr>
        <w:pBdr>
          <w:top w:val="single" w:sz="4" w:space="1" w:color="auto"/>
          <w:left w:val="single" w:sz="4" w:space="4" w:color="auto"/>
          <w:bottom w:val="single" w:sz="4" w:space="1" w:color="auto"/>
          <w:right w:val="single" w:sz="4" w:space="4" w:color="auto"/>
        </w:pBdr>
        <w:shd w:val="clear" w:color="auto" w:fill="FFF2CC" w:themeFill="accent4" w:themeFillTint="33"/>
        <w:spacing w:line="240" w:lineRule="auto"/>
        <w:jc w:val="both"/>
        <w:rPr>
          <w:rStyle w:val="Strong"/>
          <w:rFonts w:cstheme="minorBidi"/>
          <w:color w:val="auto"/>
        </w:rPr>
      </w:pPr>
      <w:r w:rsidRPr="004D39F5">
        <w:rPr>
          <w:rStyle w:val="Strong"/>
          <w:rFonts w:cstheme="minorBidi"/>
          <w:b/>
          <w:bCs/>
          <w:color w:val="auto"/>
        </w:rPr>
        <w:t>Pillar 4 Indicative Outputs</w:t>
      </w:r>
      <w:r>
        <w:rPr>
          <w:rStyle w:val="Strong"/>
          <w:rFonts w:cstheme="minorBidi"/>
          <w:color w:val="auto"/>
        </w:rPr>
        <w:t>:</w:t>
      </w:r>
    </w:p>
    <w:p w14:paraId="722379DC" w14:textId="77777777" w:rsidR="00EC48DC" w:rsidRPr="002B121D" w:rsidRDefault="00EC48DC" w:rsidP="00791619">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jc w:val="both"/>
        <w:rPr>
          <w:rStyle w:val="Strong"/>
          <w:rFonts w:cstheme="minorBidi"/>
          <w:color w:val="auto"/>
        </w:rPr>
      </w:pPr>
      <w:r w:rsidRPr="002B121D">
        <w:rPr>
          <w:rStyle w:val="Strong"/>
          <w:rFonts w:cstheme="minorBidi"/>
          <w:color w:val="auto"/>
        </w:rPr>
        <w:t>CPPCO</w:t>
      </w:r>
    </w:p>
    <w:p w14:paraId="5606E8DA" w14:textId="5FCD2472" w:rsidR="00EC48DC" w:rsidRPr="002B121D" w:rsidRDefault="00EC48DC" w:rsidP="00791619">
      <w:pPr>
        <w:pStyle w:val="ListParagraph"/>
        <w:numPr>
          <w:ilvl w:val="0"/>
          <w:numId w:val="39"/>
        </w:numPr>
        <w:pBdr>
          <w:top w:val="single" w:sz="4" w:space="1" w:color="auto"/>
          <w:left w:val="single" w:sz="4" w:space="4" w:color="auto"/>
          <w:bottom w:val="single" w:sz="4" w:space="1" w:color="auto"/>
          <w:right w:val="single" w:sz="4" w:space="4" w:color="auto"/>
        </w:pBdr>
        <w:shd w:val="clear" w:color="auto" w:fill="FFF2CC" w:themeFill="accent4" w:themeFillTint="33"/>
        <w:spacing w:line="240" w:lineRule="auto"/>
        <w:jc w:val="both"/>
        <w:rPr>
          <w:rStyle w:val="Strong"/>
          <w:rFonts w:cstheme="minorBidi"/>
          <w:color w:val="auto"/>
        </w:rPr>
      </w:pPr>
      <w:r w:rsidRPr="002B121D">
        <w:rPr>
          <w:rStyle w:val="Strong"/>
          <w:rFonts w:cstheme="minorBidi"/>
          <w:color w:val="auto"/>
        </w:rPr>
        <w:t xml:space="preserve">Assesses partner's organisational capacity, </w:t>
      </w:r>
      <w:proofErr w:type="gramStart"/>
      <w:r w:rsidRPr="002B121D">
        <w:rPr>
          <w:rStyle w:val="Strong"/>
          <w:rFonts w:cstheme="minorBidi"/>
          <w:color w:val="auto"/>
        </w:rPr>
        <w:t>develops</w:t>
      </w:r>
      <w:proofErr w:type="gramEnd"/>
      <w:r w:rsidRPr="002B121D">
        <w:rPr>
          <w:rStyle w:val="Strong"/>
          <w:rFonts w:cstheme="minorBidi"/>
          <w:color w:val="auto"/>
        </w:rPr>
        <w:t xml:space="preserve"> and provides support</w:t>
      </w:r>
      <w:r w:rsidR="00846002">
        <w:rPr>
          <w:rStyle w:val="Strong"/>
          <w:rFonts w:cstheme="minorBidi"/>
          <w:color w:val="auto"/>
        </w:rPr>
        <w:t>.</w:t>
      </w:r>
      <w:r w:rsidRPr="002B121D">
        <w:rPr>
          <w:rStyle w:val="Strong"/>
          <w:rFonts w:cstheme="minorBidi"/>
          <w:color w:val="auto"/>
        </w:rPr>
        <w:t xml:space="preserve"> </w:t>
      </w:r>
    </w:p>
    <w:p w14:paraId="621FDDD1" w14:textId="6DB10ACF" w:rsidR="00EC48DC" w:rsidRPr="002B121D" w:rsidRDefault="00EC48DC" w:rsidP="00791619">
      <w:pPr>
        <w:pStyle w:val="ListParagraph"/>
        <w:numPr>
          <w:ilvl w:val="0"/>
          <w:numId w:val="39"/>
        </w:numPr>
        <w:pBdr>
          <w:top w:val="single" w:sz="4" w:space="1" w:color="auto"/>
          <w:left w:val="single" w:sz="4" w:space="4" w:color="auto"/>
          <w:bottom w:val="single" w:sz="4" w:space="1" w:color="auto"/>
          <w:right w:val="single" w:sz="4" w:space="4" w:color="auto"/>
        </w:pBdr>
        <w:shd w:val="clear" w:color="auto" w:fill="FFF2CC" w:themeFill="accent4" w:themeFillTint="33"/>
        <w:spacing w:line="240" w:lineRule="auto"/>
        <w:jc w:val="both"/>
        <w:rPr>
          <w:rStyle w:val="Strong"/>
          <w:rFonts w:cstheme="minorBidi"/>
          <w:color w:val="auto"/>
        </w:rPr>
      </w:pPr>
      <w:r w:rsidRPr="002B121D">
        <w:rPr>
          <w:rStyle w:val="Strong"/>
          <w:rFonts w:cstheme="minorBidi"/>
          <w:color w:val="auto"/>
        </w:rPr>
        <w:t>With partners, develops a structured CPP learning approach, including identifying thematic learning topics</w:t>
      </w:r>
      <w:r w:rsidR="00846002">
        <w:rPr>
          <w:rStyle w:val="Strong"/>
          <w:rFonts w:cstheme="minorBidi"/>
          <w:color w:val="auto"/>
        </w:rPr>
        <w:t xml:space="preserve">. </w:t>
      </w:r>
    </w:p>
    <w:p w14:paraId="7B8D86F8" w14:textId="570A6B97" w:rsidR="00EC48DC" w:rsidRPr="002B121D" w:rsidRDefault="00EC48DC" w:rsidP="00791619">
      <w:pPr>
        <w:pStyle w:val="ListParagraph"/>
        <w:numPr>
          <w:ilvl w:val="0"/>
          <w:numId w:val="39"/>
        </w:numPr>
        <w:pBdr>
          <w:top w:val="single" w:sz="4" w:space="1" w:color="auto"/>
          <w:left w:val="single" w:sz="4" w:space="4" w:color="auto"/>
          <w:bottom w:val="single" w:sz="4" w:space="1" w:color="auto"/>
          <w:right w:val="single" w:sz="4" w:space="4" w:color="auto"/>
        </w:pBdr>
        <w:shd w:val="clear" w:color="auto" w:fill="FFF2CC" w:themeFill="accent4" w:themeFillTint="33"/>
        <w:spacing w:line="240" w:lineRule="auto"/>
        <w:jc w:val="both"/>
        <w:rPr>
          <w:rStyle w:val="Strong"/>
          <w:rFonts w:cstheme="minorBidi"/>
          <w:color w:val="auto"/>
        </w:rPr>
      </w:pPr>
      <w:r w:rsidRPr="002B121D">
        <w:rPr>
          <w:rStyle w:val="Strong"/>
          <w:rFonts w:cstheme="minorBidi"/>
          <w:color w:val="auto"/>
        </w:rPr>
        <w:t>Facilitates CPP learning and develops and disseminates learning products</w:t>
      </w:r>
      <w:r w:rsidR="00846002">
        <w:rPr>
          <w:rStyle w:val="Strong"/>
          <w:rFonts w:cstheme="minorBidi"/>
          <w:color w:val="auto"/>
        </w:rPr>
        <w:t xml:space="preserve">. </w:t>
      </w:r>
    </w:p>
    <w:p w14:paraId="7F7FD572" w14:textId="77777777" w:rsidR="00EC48DC" w:rsidRPr="002B121D" w:rsidRDefault="00EC48DC" w:rsidP="00791619">
      <w:pPr>
        <w:pStyle w:val="ListParagraph"/>
        <w:numPr>
          <w:ilvl w:val="0"/>
          <w:numId w:val="39"/>
        </w:numPr>
        <w:pBdr>
          <w:top w:val="single" w:sz="4" w:space="1" w:color="auto"/>
          <w:left w:val="single" w:sz="4" w:space="4" w:color="auto"/>
          <w:bottom w:val="single" w:sz="4" w:space="1" w:color="auto"/>
          <w:right w:val="single" w:sz="4" w:space="4" w:color="auto"/>
        </w:pBdr>
        <w:shd w:val="clear" w:color="auto" w:fill="FFF2CC" w:themeFill="accent4" w:themeFillTint="33"/>
        <w:spacing w:line="240" w:lineRule="auto"/>
        <w:jc w:val="both"/>
        <w:rPr>
          <w:rStyle w:val="Strong"/>
          <w:rFonts w:cstheme="minorBidi"/>
          <w:color w:val="auto"/>
        </w:rPr>
      </w:pPr>
      <w:r w:rsidRPr="002B121D">
        <w:rPr>
          <w:rStyle w:val="Strong"/>
          <w:rFonts w:cstheme="minorBidi"/>
          <w:color w:val="auto"/>
        </w:rPr>
        <w:t xml:space="preserve">With BCEP, facilitates CPP partners participation in BCEP learning forums. </w:t>
      </w:r>
    </w:p>
    <w:p w14:paraId="662C7245" w14:textId="77777777" w:rsidR="00EC48DC" w:rsidRPr="002B121D" w:rsidRDefault="00EC48DC" w:rsidP="00791619">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jc w:val="both"/>
        <w:rPr>
          <w:rStyle w:val="Strong"/>
          <w:rFonts w:cstheme="minorBidi"/>
          <w:color w:val="auto"/>
        </w:rPr>
      </w:pPr>
      <w:r w:rsidRPr="002B121D">
        <w:rPr>
          <w:rStyle w:val="Strong"/>
          <w:rFonts w:cstheme="minorBidi"/>
          <w:color w:val="auto"/>
        </w:rPr>
        <w:t>CPP partners</w:t>
      </w:r>
    </w:p>
    <w:p w14:paraId="5EC9AE61" w14:textId="6406B72F" w:rsidR="00307F7F" w:rsidRDefault="00307F7F" w:rsidP="00791619">
      <w:pPr>
        <w:pStyle w:val="ListParagraph"/>
        <w:numPr>
          <w:ilvl w:val="0"/>
          <w:numId w:val="39"/>
        </w:numPr>
        <w:pBdr>
          <w:top w:val="single" w:sz="4" w:space="1" w:color="auto"/>
          <w:left w:val="single" w:sz="4" w:space="4" w:color="auto"/>
          <w:bottom w:val="single" w:sz="4" w:space="1" w:color="auto"/>
          <w:right w:val="single" w:sz="4" w:space="4" w:color="auto"/>
        </w:pBdr>
        <w:shd w:val="clear" w:color="auto" w:fill="FFF2CC" w:themeFill="accent4" w:themeFillTint="33"/>
        <w:spacing w:line="240" w:lineRule="auto"/>
        <w:jc w:val="both"/>
        <w:rPr>
          <w:rStyle w:val="Strong"/>
          <w:rFonts w:cstheme="minorBidi"/>
          <w:color w:val="auto"/>
        </w:rPr>
      </w:pPr>
      <w:r>
        <w:rPr>
          <w:rStyle w:val="Strong"/>
          <w:rFonts w:cstheme="minorBidi"/>
          <w:color w:val="auto"/>
        </w:rPr>
        <w:t>Articulate role of ANGOs in the capacity development plans in the inception phase</w:t>
      </w:r>
    </w:p>
    <w:p w14:paraId="5228A4A5" w14:textId="598858F6" w:rsidR="00EC48DC" w:rsidRPr="002B121D" w:rsidRDefault="00EC48DC" w:rsidP="00791619">
      <w:pPr>
        <w:pStyle w:val="ListParagraph"/>
        <w:numPr>
          <w:ilvl w:val="0"/>
          <w:numId w:val="39"/>
        </w:numPr>
        <w:pBdr>
          <w:top w:val="single" w:sz="4" w:space="1" w:color="auto"/>
          <w:left w:val="single" w:sz="4" w:space="4" w:color="auto"/>
          <w:bottom w:val="single" w:sz="4" w:space="1" w:color="auto"/>
          <w:right w:val="single" w:sz="4" w:space="4" w:color="auto"/>
        </w:pBdr>
        <w:shd w:val="clear" w:color="auto" w:fill="FFF2CC" w:themeFill="accent4" w:themeFillTint="33"/>
        <w:spacing w:line="240" w:lineRule="auto"/>
        <w:jc w:val="both"/>
        <w:rPr>
          <w:rStyle w:val="Strong"/>
          <w:rFonts w:cstheme="minorBidi"/>
          <w:color w:val="auto"/>
        </w:rPr>
      </w:pPr>
      <w:r w:rsidRPr="002B121D">
        <w:rPr>
          <w:rStyle w:val="Strong"/>
          <w:rFonts w:cstheme="minorBidi"/>
          <w:color w:val="auto"/>
        </w:rPr>
        <w:t>Implement capacity development plans</w:t>
      </w:r>
    </w:p>
    <w:p w14:paraId="7C413723" w14:textId="77777777" w:rsidR="00EC48DC" w:rsidRPr="002B121D" w:rsidRDefault="00EC48DC" w:rsidP="00791619">
      <w:pPr>
        <w:pStyle w:val="ListParagraph"/>
        <w:numPr>
          <w:ilvl w:val="0"/>
          <w:numId w:val="39"/>
        </w:numPr>
        <w:pBdr>
          <w:top w:val="single" w:sz="4" w:space="1" w:color="auto"/>
          <w:left w:val="single" w:sz="4" w:space="4" w:color="auto"/>
          <w:bottom w:val="single" w:sz="4" w:space="1" w:color="auto"/>
          <w:right w:val="single" w:sz="4" w:space="4" w:color="auto"/>
        </w:pBdr>
        <w:shd w:val="clear" w:color="auto" w:fill="FFF2CC" w:themeFill="accent4" w:themeFillTint="33"/>
        <w:spacing w:line="240" w:lineRule="auto"/>
        <w:jc w:val="both"/>
        <w:rPr>
          <w:rStyle w:val="Strong"/>
          <w:rFonts w:cstheme="minorBidi"/>
          <w:color w:val="auto"/>
        </w:rPr>
      </w:pPr>
      <w:r w:rsidRPr="002B121D">
        <w:rPr>
          <w:rStyle w:val="Strong"/>
          <w:rFonts w:cstheme="minorBidi"/>
          <w:color w:val="auto"/>
        </w:rPr>
        <w:t xml:space="preserve">Share learning on improving services &amp; challenging GEDSI attitudes </w:t>
      </w:r>
    </w:p>
    <w:p w14:paraId="6CED3AD0" w14:textId="77777777" w:rsidR="00EC48DC" w:rsidRPr="002B121D" w:rsidRDefault="00EC48DC" w:rsidP="00791619">
      <w:pPr>
        <w:pStyle w:val="ListParagraph"/>
        <w:numPr>
          <w:ilvl w:val="0"/>
          <w:numId w:val="39"/>
        </w:numPr>
        <w:pBdr>
          <w:top w:val="single" w:sz="4" w:space="1" w:color="auto"/>
          <w:left w:val="single" w:sz="4" w:space="4" w:color="auto"/>
          <w:bottom w:val="single" w:sz="4" w:space="1" w:color="auto"/>
          <w:right w:val="single" w:sz="4" w:space="4" w:color="auto"/>
        </w:pBdr>
        <w:shd w:val="clear" w:color="auto" w:fill="FFF2CC" w:themeFill="accent4" w:themeFillTint="33"/>
        <w:spacing w:line="240" w:lineRule="auto"/>
        <w:jc w:val="both"/>
        <w:rPr>
          <w:rStyle w:val="Strong"/>
          <w:rFonts w:cstheme="minorBidi"/>
          <w:color w:val="auto"/>
        </w:rPr>
      </w:pPr>
      <w:r w:rsidRPr="002B121D">
        <w:rPr>
          <w:rStyle w:val="Strong"/>
          <w:rFonts w:cstheme="minorBidi"/>
          <w:color w:val="auto"/>
        </w:rPr>
        <w:t>Share approaches on joint issues such as PSEAH, child protection and localisation</w:t>
      </w:r>
    </w:p>
    <w:p w14:paraId="787E5C04" w14:textId="77777777" w:rsidR="00EC48DC" w:rsidRPr="001D44A6" w:rsidRDefault="00EC48DC" w:rsidP="00791619">
      <w:pPr>
        <w:pStyle w:val="Heading2"/>
        <w:numPr>
          <w:ilvl w:val="1"/>
          <w:numId w:val="34"/>
        </w:numPr>
        <w:ind w:left="426" w:hanging="426"/>
        <w:jc w:val="both"/>
        <w:rPr>
          <w:b/>
          <w:bCs/>
          <w:sz w:val="24"/>
          <w:szCs w:val="24"/>
        </w:rPr>
      </w:pPr>
      <w:bookmarkStart w:id="66" w:name="_Toc99041666"/>
      <w:r w:rsidRPr="001D44A6">
        <w:rPr>
          <w:b/>
          <w:bCs/>
          <w:sz w:val="24"/>
          <w:szCs w:val="24"/>
        </w:rPr>
        <w:t>Delivery approach</w:t>
      </w:r>
      <w:bookmarkEnd w:id="66"/>
    </w:p>
    <w:p w14:paraId="51BF9268" w14:textId="6B22A95F" w:rsidR="00741D2C" w:rsidRDefault="005F222C" w:rsidP="00791619">
      <w:pPr>
        <w:jc w:val="both"/>
        <w:rPr>
          <w:rFonts w:cstheme="minorHAnsi"/>
          <w:color w:val="000000" w:themeColor="text1"/>
        </w:rPr>
      </w:pPr>
      <w:bookmarkStart w:id="67" w:name="_Hlk99008134"/>
      <w:r w:rsidRPr="005F222C">
        <w:rPr>
          <w:rFonts w:cstheme="minorHAnsi"/>
          <w:color w:val="000000" w:themeColor="text1"/>
        </w:rPr>
        <w:t xml:space="preserve">The </w:t>
      </w:r>
      <w:r>
        <w:rPr>
          <w:rFonts w:cstheme="minorHAnsi"/>
          <w:color w:val="000000" w:themeColor="text1"/>
        </w:rPr>
        <w:t>fourth phase of CPP</w:t>
      </w:r>
      <w:r w:rsidRPr="005F222C">
        <w:rPr>
          <w:rFonts w:cstheme="minorHAnsi"/>
          <w:color w:val="000000" w:themeColor="text1"/>
        </w:rPr>
        <w:t xml:space="preserve"> is designed to achieve end of program outcomes at the end of </w:t>
      </w:r>
      <w:r>
        <w:rPr>
          <w:rFonts w:cstheme="minorHAnsi"/>
          <w:color w:val="000000" w:themeColor="text1"/>
        </w:rPr>
        <w:t>7.5 years of implementation. This phase</w:t>
      </w:r>
      <w:r w:rsidR="00741D2C">
        <w:rPr>
          <w:rFonts w:cstheme="minorHAnsi"/>
          <w:color w:val="000000" w:themeColor="text1"/>
        </w:rPr>
        <w:t xml:space="preserve"> will be delivered over following two stages: </w:t>
      </w:r>
    </w:p>
    <w:p w14:paraId="3D6073DA" w14:textId="08018DD2" w:rsidR="00741D2C" w:rsidRPr="00D674B9" w:rsidRDefault="00741D2C" w:rsidP="00791619">
      <w:pPr>
        <w:pStyle w:val="ListParagraph"/>
        <w:numPr>
          <w:ilvl w:val="0"/>
          <w:numId w:val="24"/>
        </w:numPr>
        <w:jc w:val="both"/>
        <w:rPr>
          <w:rFonts w:eastAsia="Times New Roman"/>
        </w:rPr>
      </w:pPr>
      <w:r w:rsidRPr="00D674B9">
        <w:rPr>
          <w:rFonts w:eastAsia="Times New Roman"/>
        </w:rPr>
        <w:t>CPP</w:t>
      </w:r>
      <w:r>
        <w:rPr>
          <w:rFonts w:eastAsia="Times New Roman"/>
        </w:rPr>
        <w:t xml:space="preserve"> </w:t>
      </w:r>
      <w:r w:rsidRPr="00D674B9">
        <w:rPr>
          <w:rFonts w:eastAsia="Times New Roman"/>
        </w:rPr>
        <w:t xml:space="preserve">4.1 </w:t>
      </w:r>
      <w:r>
        <w:rPr>
          <w:rFonts w:eastAsia="Times New Roman"/>
        </w:rPr>
        <w:t>–</w:t>
      </w:r>
      <w:r w:rsidRPr="00D674B9">
        <w:rPr>
          <w:rFonts w:eastAsia="Times New Roman"/>
        </w:rPr>
        <w:t xml:space="preserve"> </w:t>
      </w:r>
      <w:r>
        <w:rPr>
          <w:rFonts w:eastAsia="Times New Roman"/>
        </w:rPr>
        <w:t xml:space="preserve">from </w:t>
      </w:r>
      <w:r w:rsidRPr="00D674B9">
        <w:rPr>
          <w:rFonts w:eastAsia="Times New Roman"/>
        </w:rPr>
        <w:t>July 2022 to Dec</w:t>
      </w:r>
      <w:r>
        <w:rPr>
          <w:rFonts w:eastAsia="Times New Roman"/>
        </w:rPr>
        <w:t>ember</w:t>
      </w:r>
      <w:r w:rsidRPr="00D674B9">
        <w:rPr>
          <w:rFonts w:eastAsia="Times New Roman"/>
        </w:rPr>
        <w:t xml:space="preserve"> 2025</w:t>
      </w:r>
    </w:p>
    <w:p w14:paraId="38494464" w14:textId="3EAA7147" w:rsidR="00741D2C" w:rsidRPr="00D674B9" w:rsidRDefault="00741D2C" w:rsidP="00791619">
      <w:pPr>
        <w:pStyle w:val="ListParagraph"/>
        <w:numPr>
          <w:ilvl w:val="0"/>
          <w:numId w:val="24"/>
        </w:numPr>
        <w:jc w:val="both"/>
        <w:rPr>
          <w:rFonts w:eastAsia="Times New Roman"/>
        </w:rPr>
      </w:pPr>
      <w:r w:rsidRPr="00D674B9">
        <w:rPr>
          <w:rFonts w:eastAsia="Times New Roman"/>
        </w:rPr>
        <w:t>CPP</w:t>
      </w:r>
      <w:r>
        <w:rPr>
          <w:rFonts w:eastAsia="Times New Roman"/>
        </w:rPr>
        <w:t xml:space="preserve"> </w:t>
      </w:r>
      <w:r w:rsidRPr="00D674B9">
        <w:rPr>
          <w:rFonts w:eastAsia="Times New Roman"/>
        </w:rPr>
        <w:t xml:space="preserve">4.2 </w:t>
      </w:r>
      <w:r>
        <w:rPr>
          <w:rFonts w:eastAsia="Times New Roman"/>
        </w:rPr>
        <w:t>–</w:t>
      </w:r>
      <w:r w:rsidRPr="00D674B9">
        <w:rPr>
          <w:rFonts w:eastAsia="Times New Roman"/>
        </w:rPr>
        <w:t xml:space="preserve"> </w:t>
      </w:r>
      <w:r>
        <w:rPr>
          <w:rFonts w:eastAsia="Times New Roman"/>
        </w:rPr>
        <w:t xml:space="preserve">from </w:t>
      </w:r>
      <w:r w:rsidRPr="00D674B9">
        <w:rPr>
          <w:rFonts w:eastAsia="Times New Roman"/>
        </w:rPr>
        <w:t>Jan</w:t>
      </w:r>
      <w:r>
        <w:rPr>
          <w:rFonts w:eastAsia="Times New Roman"/>
        </w:rPr>
        <w:t>uary</w:t>
      </w:r>
      <w:r w:rsidRPr="00D674B9">
        <w:rPr>
          <w:rFonts w:eastAsia="Times New Roman"/>
        </w:rPr>
        <w:t xml:space="preserve"> 2026 to Dec</w:t>
      </w:r>
      <w:r>
        <w:rPr>
          <w:rFonts w:eastAsia="Times New Roman"/>
        </w:rPr>
        <w:t>ember</w:t>
      </w:r>
      <w:r w:rsidRPr="00D674B9">
        <w:rPr>
          <w:rFonts w:eastAsia="Times New Roman"/>
        </w:rPr>
        <w:t xml:space="preserve"> 2029</w:t>
      </w:r>
    </w:p>
    <w:p w14:paraId="06D8F624" w14:textId="78655B9B" w:rsidR="00741D2C" w:rsidRDefault="00741D2C" w:rsidP="00791619">
      <w:pPr>
        <w:jc w:val="both"/>
        <w:rPr>
          <w:rFonts w:cstheme="minorHAnsi"/>
          <w:color w:val="000000" w:themeColor="text1"/>
        </w:rPr>
      </w:pPr>
      <w:r>
        <w:rPr>
          <w:rFonts w:cstheme="minorHAnsi"/>
          <w:color w:val="000000" w:themeColor="text1"/>
        </w:rPr>
        <w:t xml:space="preserve">Continuation from the first </w:t>
      </w:r>
      <w:r w:rsidR="00E75D5C">
        <w:rPr>
          <w:rFonts w:cstheme="minorHAnsi"/>
          <w:color w:val="000000" w:themeColor="text1"/>
        </w:rPr>
        <w:t xml:space="preserve">stage </w:t>
      </w:r>
      <w:r w:rsidR="00034F3B">
        <w:rPr>
          <w:rFonts w:cstheme="minorHAnsi"/>
          <w:color w:val="000000" w:themeColor="text1"/>
        </w:rPr>
        <w:t xml:space="preserve">(CPP 4.1) </w:t>
      </w:r>
      <w:r>
        <w:rPr>
          <w:rFonts w:cstheme="minorHAnsi"/>
          <w:color w:val="000000" w:themeColor="text1"/>
        </w:rPr>
        <w:t xml:space="preserve">to the second </w:t>
      </w:r>
      <w:r w:rsidR="00034F3B">
        <w:rPr>
          <w:rFonts w:cstheme="minorHAnsi"/>
          <w:color w:val="000000" w:themeColor="text1"/>
        </w:rPr>
        <w:t xml:space="preserve">(CPP 4.2) </w:t>
      </w:r>
      <w:r>
        <w:rPr>
          <w:rFonts w:cstheme="minorHAnsi"/>
          <w:color w:val="000000" w:themeColor="text1"/>
        </w:rPr>
        <w:t xml:space="preserve">will be subject to adequate progress against end of program outcomes, as assessed by an independent review. </w:t>
      </w:r>
      <w:r w:rsidR="00034F3B">
        <w:rPr>
          <w:rFonts w:cstheme="minorHAnsi"/>
          <w:color w:val="000000" w:themeColor="text1"/>
        </w:rPr>
        <w:t>At the start of CPP 4.1, the full fourth phase</w:t>
      </w:r>
      <w:r>
        <w:rPr>
          <w:rFonts w:cstheme="minorHAnsi"/>
          <w:color w:val="000000" w:themeColor="text1"/>
        </w:rPr>
        <w:t xml:space="preserve"> will be set up in a six-month Inception Period</w:t>
      </w:r>
      <w:r w:rsidR="0066310D">
        <w:rPr>
          <w:rFonts w:cstheme="minorHAnsi"/>
          <w:color w:val="000000" w:themeColor="text1"/>
        </w:rPr>
        <w:t xml:space="preserve"> (from July to December</w:t>
      </w:r>
      <w:r w:rsidR="00E75D5C">
        <w:rPr>
          <w:rFonts w:cstheme="minorHAnsi"/>
          <w:color w:val="000000" w:themeColor="text1"/>
        </w:rPr>
        <w:t xml:space="preserve"> </w:t>
      </w:r>
      <w:r w:rsidR="0066310D">
        <w:rPr>
          <w:rFonts w:cstheme="minorHAnsi"/>
          <w:color w:val="000000" w:themeColor="text1"/>
        </w:rPr>
        <w:t>2022)</w:t>
      </w:r>
      <w:r>
        <w:rPr>
          <w:rFonts w:cstheme="minorHAnsi"/>
          <w:color w:val="000000" w:themeColor="text1"/>
        </w:rPr>
        <w:t>.</w:t>
      </w:r>
      <w:r w:rsidRPr="00446654">
        <w:rPr>
          <w:rFonts w:cstheme="minorHAnsi"/>
          <w:color w:val="000000" w:themeColor="text1"/>
        </w:rPr>
        <w:t xml:space="preserve"> </w:t>
      </w:r>
    </w:p>
    <w:p w14:paraId="50D58CA1" w14:textId="69DA5428" w:rsidR="00741D2C" w:rsidRDefault="00741D2C" w:rsidP="00791619">
      <w:pPr>
        <w:jc w:val="both"/>
        <w:rPr>
          <w:rFonts w:cstheme="minorHAnsi"/>
          <w:color w:val="000000" w:themeColor="text1"/>
        </w:rPr>
      </w:pPr>
      <w:r>
        <w:rPr>
          <w:rFonts w:cstheme="minorHAnsi"/>
          <w:color w:val="000000" w:themeColor="text1"/>
        </w:rPr>
        <w:t>DFAT has selected a Managing Contractor (MC) to manage the delivery of CPP</w:t>
      </w:r>
      <w:r w:rsidR="000710B3">
        <w:rPr>
          <w:rFonts w:cstheme="minorHAnsi"/>
          <w:color w:val="000000" w:themeColor="text1"/>
        </w:rPr>
        <w:t xml:space="preserve"> as an integrated component of BCEP</w:t>
      </w:r>
      <w:r>
        <w:rPr>
          <w:rFonts w:cstheme="minorHAnsi"/>
          <w:color w:val="000000" w:themeColor="text1"/>
        </w:rPr>
        <w:t>.</w:t>
      </w:r>
      <w:r w:rsidRPr="0045222E">
        <w:rPr>
          <w:rStyle w:val="FootnoteReference"/>
          <w:rFonts w:cstheme="minorHAnsi"/>
          <w:color w:val="000000" w:themeColor="text1"/>
        </w:rPr>
        <w:t xml:space="preserve"> </w:t>
      </w:r>
      <w:r>
        <w:rPr>
          <w:rStyle w:val="FootnoteReference"/>
          <w:rFonts w:cstheme="minorHAnsi"/>
          <w:color w:val="000000" w:themeColor="text1"/>
        </w:rPr>
        <w:footnoteReference w:id="36"/>
      </w:r>
      <w:r>
        <w:rPr>
          <w:rFonts w:cstheme="minorHAnsi"/>
          <w:color w:val="000000" w:themeColor="text1"/>
        </w:rPr>
        <w:t xml:space="preserve"> The MC</w:t>
      </w:r>
      <w:r w:rsidR="00034F3B">
        <w:rPr>
          <w:rFonts w:cstheme="minorHAnsi"/>
          <w:color w:val="000000" w:themeColor="text1"/>
        </w:rPr>
        <w:t xml:space="preserve"> will</w:t>
      </w:r>
      <w:r>
        <w:rPr>
          <w:rFonts w:cstheme="minorHAnsi"/>
          <w:color w:val="000000" w:themeColor="text1"/>
        </w:rPr>
        <w:t xml:space="preserve"> </w:t>
      </w:r>
      <w:r w:rsidR="000710B3">
        <w:rPr>
          <w:rFonts w:cstheme="minorHAnsi"/>
          <w:color w:val="000000" w:themeColor="text1"/>
        </w:rPr>
        <w:t>perform these functions</w:t>
      </w:r>
      <w:r>
        <w:rPr>
          <w:rFonts w:cstheme="minorHAnsi"/>
          <w:color w:val="000000" w:themeColor="text1"/>
        </w:rPr>
        <w:t xml:space="preserve"> through a</w:t>
      </w:r>
      <w:r w:rsidR="000710B3">
        <w:rPr>
          <w:rFonts w:cstheme="minorHAnsi"/>
          <w:color w:val="000000" w:themeColor="text1"/>
        </w:rPr>
        <w:t xml:space="preserve"> </w:t>
      </w:r>
      <w:r>
        <w:rPr>
          <w:rFonts w:cstheme="minorHAnsi"/>
          <w:color w:val="000000" w:themeColor="text1"/>
        </w:rPr>
        <w:t>B</w:t>
      </w:r>
      <w:r w:rsidR="00B661BE">
        <w:rPr>
          <w:rFonts w:cstheme="minorHAnsi"/>
          <w:color w:val="000000" w:themeColor="text1"/>
        </w:rPr>
        <w:t>CE</w:t>
      </w:r>
      <w:r>
        <w:rPr>
          <w:rFonts w:cstheme="minorHAnsi"/>
          <w:color w:val="000000" w:themeColor="text1"/>
        </w:rPr>
        <w:t xml:space="preserve">P Program Management Team (PMT), and a </w:t>
      </w:r>
      <w:r w:rsidR="00D30C4F">
        <w:rPr>
          <w:rFonts w:cstheme="minorHAnsi"/>
          <w:color w:val="000000" w:themeColor="text1"/>
        </w:rPr>
        <w:t xml:space="preserve">CPP </w:t>
      </w:r>
      <w:r>
        <w:rPr>
          <w:rFonts w:cstheme="minorHAnsi"/>
          <w:color w:val="000000" w:themeColor="text1"/>
        </w:rPr>
        <w:t>Coordination Office (CPPCO) (</w:t>
      </w:r>
      <w:r w:rsidR="000710B3">
        <w:rPr>
          <w:rFonts w:cstheme="minorHAnsi"/>
          <w:color w:val="000000" w:themeColor="text1"/>
        </w:rPr>
        <w:t xml:space="preserve">management arrangements are outlined in </w:t>
      </w:r>
      <w:r>
        <w:rPr>
          <w:rFonts w:cstheme="minorHAnsi"/>
          <w:color w:val="000000" w:themeColor="text1"/>
        </w:rPr>
        <w:t xml:space="preserve">section 5).  </w:t>
      </w:r>
    </w:p>
    <w:p w14:paraId="3A0FE635" w14:textId="63C289FA" w:rsidR="0012389B" w:rsidRDefault="00CA74C3" w:rsidP="00791619">
      <w:pPr>
        <w:jc w:val="both"/>
        <w:rPr>
          <w:rFonts w:cstheme="minorHAnsi"/>
          <w:color w:val="000000" w:themeColor="text1"/>
        </w:rPr>
      </w:pPr>
      <w:r w:rsidRPr="0012389B">
        <w:rPr>
          <w:rFonts w:cstheme="minorHAnsi"/>
          <w:color w:val="000000" w:themeColor="text1"/>
        </w:rPr>
        <w:t xml:space="preserve">The </w:t>
      </w:r>
      <w:r w:rsidR="000710B3">
        <w:rPr>
          <w:rFonts w:cstheme="minorHAnsi"/>
          <w:color w:val="000000" w:themeColor="text1"/>
        </w:rPr>
        <w:t xml:space="preserve">MC will develop the delivery approach in the Inception Period. The </w:t>
      </w:r>
      <w:r w:rsidRPr="0012389B">
        <w:rPr>
          <w:rFonts w:cstheme="minorHAnsi"/>
          <w:color w:val="000000" w:themeColor="text1"/>
        </w:rPr>
        <w:t xml:space="preserve">delivery approach </w:t>
      </w:r>
      <w:r w:rsidR="000710B3">
        <w:rPr>
          <w:rFonts w:cstheme="minorHAnsi"/>
          <w:color w:val="000000" w:themeColor="text1"/>
        </w:rPr>
        <w:t>needs</w:t>
      </w:r>
      <w:r w:rsidRPr="0012389B">
        <w:rPr>
          <w:rFonts w:cstheme="minorHAnsi"/>
          <w:color w:val="000000" w:themeColor="text1"/>
        </w:rPr>
        <w:t xml:space="preserve"> to</w:t>
      </w:r>
      <w:r w:rsidR="0066310D">
        <w:rPr>
          <w:rFonts w:cstheme="minorHAnsi"/>
          <w:color w:val="000000" w:themeColor="text1"/>
        </w:rPr>
        <w:t xml:space="preserve"> coordinate and link CPP delivery across three levels, as illustrated in the </w:t>
      </w:r>
      <w:r w:rsidR="005F222C">
        <w:rPr>
          <w:rFonts w:cstheme="minorHAnsi"/>
          <w:color w:val="000000" w:themeColor="text1"/>
        </w:rPr>
        <w:t>figure</w:t>
      </w:r>
      <w:r w:rsidR="0066310D">
        <w:rPr>
          <w:rFonts w:cstheme="minorHAnsi"/>
          <w:color w:val="000000" w:themeColor="text1"/>
        </w:rPr>
        <w:t xml:space="preserve"> below</w:t>
      </w:r>
      <w:r w:rsidR="0012389B" w:rsidRPr="0012389B">
        <w:rPr>
          <w:rFonts w:cstheme="minorHAnsi"/>
          <w:color w:val="000000" w:themeColor="text1"/>
        </w:rPr>
        <w:t>:</w:t>
      </w:r>
    </w:p>
    <w:p w14:paraId="65194C12" w14:textId="77777777" w:rsidR="004A0775" w:rsidRDefault="004A0775" w:rsidP="00791619">
      <w:pPr>
        <w:pStyle w:val="Caption"/>
        <w:spacing w:after="0"/>
        <w:jc w:val="both"/>
        <w:sectPr w:rsidR="004A0775" w:rsidSect="00711F42">
          <w:footerReference w:type="default" r:id="rId13"/>
          <w:pgSz w:w="11906" w:h="16838"/>
          <w:pgMar w:top="1440" w:right="1440" w:bottom="1440" w:left="1440" w:header="708" w:footer="708" w:gutter="0"/>
          <w:cols w:space="708"/>
          <w:docGrid w:linePitch="360"/>
        </w:sectPr>
      </w:pPr>
    </w:p>
    <w:p w14:paraId="40419126" w14:textId="52D815B0" w:rsidR="0066310D" w:rsidRPr="00741A1C" w:rsidRDefault="00741A1C" w:rsidP="00791619">
      <w:pPr>
        <w:pStyle w:val="Caption"/>
        <w:spacing w:after="0"/>
        <w:jc w:val="both"/>
      </w:pPr>
      <w:r w:rsidRPr="00304609">
        <w:lastRenderedPageBreak/>
        <w:t xml:space="preserve">Figure </w:t>
      </w:r>
      <w:r w:rsidR="00304609" w:rsidRPr="00304609">
        <w:t>2</w:t>
      </w:r>
      <w:r w:rsidRPr="00304609">
        <w:t>: Linkages across CPP delivery levels</w:t>
      </w:r>
    </w:p>
    <w:p w14:paraId="22C365E0" w14:textId="7FED6F07" w:rsidR="0066310D" w:rsidRPr="0012389B" w:rsidRDefault="0066310D" w:rsidP="00791619">
      <w:pPr>
        <w:jc w:val="both"/>
        <w:rPr>
          <w:rFonts w:cstheme="minorHAnsi"/>
          <w:color w:val="000000" w:themeColor="text1"/>
        </w:rPr>
      </w:pPr>
      <w:r w:rsidRPr="0066310D">
        <w:rPr>
          <w:noProof/>
        </w:rPr>
        <w:drawing>
          <wp:inline distT="0" distB="0" distL="0" distR="0" wp14:anchorId="52C94E49" wp14:editId="775F5C5B">
            <wp:extent cx="5731510" cy="2881630"/>
            <wp:effectExtent l="0" t="0" r="2540" b="0"/>
            <wp:docPr id="5" name="Picture 5" descr="This diagram visually depicts the Linkages Across CPP delivery levels, summarising roles and the interactions between the BCEP program management team, CPP coordination office and CPP part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is diagram visually depicts the Linkages Across CPP delivery levels, summarising roles and the interactions between the BCEP program management team, CPP coordination office and CPP partners."/>
                    <pic:cNvPicPr/>
                  </pic:nvPicPr>
                  <pic:blipFill>
                    <a:blip r:embed="rId14"/>
                    <a:stretch>
                      <a:fillRect/>
                    </a:stretch>
                  </pic:blipFill>
                  <pic:spPr>
                    <a:xfrm>
                      <a:off x="0" y="0"/>
                      <a:ext cx="5731510" cy="2881630"/>
                    </a:xfrm>
                    <a:prstGeom prst="rect">
                      <a:avLst/>
                    </a:prstGeom>
                  </pic:spPr>
                </pic:pic>
              </a:graphicData>
            </a:graphic>
          </wp:inline>
        </w:drawing>
      </w:r>
    </w:p>
    <w:p w14:paraId="32FD18EB" w14:textId="2C48F5F0" w:rsidR="008E3C93" w:rsidRDefault="007B6BF8" w:rsidP="00791619">
      <w:pPr>
        <w:jc w:val="both"/>
        <w:rPr>
          <w:rFonts w:cstheme="minorHAnsi"/>
          <w:color w:val="000000" w:themeColor="text1"/>
        </w:rPr>
      </w:pPr>
      <w:r>
        <w:rPr>
          <w:rFonts w:cstheme="minorHAnsi"/>
          <w:color w:val="000000" w:themeColor="text1"/>
        </w:rPr>
        <w:t xml:space="preserve">The diagram </w:t>
      </w:r>
      <w:r w:rsidR="004745B7">
        <w:rPr>
          <w:rFonts w:cstheme="minorHAnsi"/>
          <w:color w:val="000000" w:themeColor="text1"/>
        </w:rPr>
        <w:t>proposes m</w:t>
      </w:r>
      <w:r w:rsidR="008C44E3">
        <w:rPr>
          <w:rFonts w:cstheme="minorHAnsi"/>
          <w:color w:val="000000" w:themeColor="text1"/>
        </w:rPr>
        <w:t>utually supportive</w:t>
      </w:r>
      <w:r>
        <w:rPr>
          <w:rFonts w:cstheme="minorHAnsi"/>
          <w:color w:val="000000" w:themeColor="text1"/>
        </w:rPr>
        <w:t xml:space="preserve"> linkages </w:t>
      </w:r>
      <w:r w:rsidR="004745B7">
        <w:rPr>
          <w:rFonts w:cstheme="minorHAnsi"/>
          <w:color w:val="000000" w:themeColor="text1"/>
        </w:rPr>
        <w:t>across CPP’s three delivery</w:t>
      </w:r>
      <w:r>
        <w:rPr>
          <w:rFonts w:cstheme="minorHAnsi"/>
          <w:color w:val="000000" w:themeColor="text1"/>
        </w:rPr>
        <w:t xml:space="preserve"> levels </w:t>
      </w:r>
      <w:r w:rsidR="008C44E3">
        <w:rPr>
          <w:rFonts w:cstheme="minorHAnsi"/>
          <w:color w:val="000000" w:themeColor="text1"/>
        </w:rPr>
        <w:t xml:space="preserve">that are </w:t>
      </w:r>
      <w:r>
        <w:rPr>
          <w:rFonts w:cstheme="minorHAnsi"/>
          <w:color w:val="000000" w:themeColor="text1"/>
        </w:rPr>
        <w:t xml:space="preserve">both top-down (left-side, blue script) and bottom-up (right-side, grey script). </w:t>
      </w:r>
      <w:r w:rsidR="008E3C93">
        <w:rPr>
          <w:rFonts w:cstheme="minorHAnsi"/>
          <w:color w:val="000000" w:themeColor="text1"/>
        </w:rPr>
        <w:t>From the top-down</w:t>
      </w:r>
      <w:r w:rsidR="008C44E3">
        <w:rPr>
          <w:rFonts w:cstheme="minorHAnsi"/>
          <w:color w:val="000000" w:themeColor="text1"/>
        </w:rPr>
        <w:t>,</w:t>
      </w:r>
      <w:r w:rsidR="008E3C93">
        <w:rPr>
          <w:rFonts w:cstheme="minorHAnsi"/>
          <w:color w:val="000000" w:themeColor="text1"/>
        </w:rPr>
        <w:t xml:space="preserve"> strategies, processes and support will flow </w:t>
      </w:r>
      <w:r w:rsidR="00E75D5C">
        <w:rPr>
          <w:rFonts w:cstheme="minorHAnsi"/>
          <w:color w:val="000000" w:themeColor="text1"/>
        </w:rPr>
        <w:t xml:space="preserve">from the </w:t>
      </w:r>
      <w:r w:rsidR="00517B2F">
        <w:rPr>
          <w:rFonts w:cstheme="minorHAnsi"/>
          <w:color w:val="000000" w:themeColor="text1"/>
        </w:rPr>
        <w:t xml:space="preserve">BCEP PMT through the </w:t>
      </w:r>
      <w:r w:rsidR="00E75D5C">
        <w:rPr>
          <w:rFonts w:cstheme="minorHAnsi"/>
          <w:color w:val="000000" w:themeColor="text1"/>
        </w:rPr>
        <w:t xml:space="preserve">CPPCO </w:t>
      </w:r>
      <w:r w:rsidR="00517B2F">
        <w:rPr>
          <w:rFonts w:cstheme="minorHAnsi"/>
          <w:color w:val="000000" w:themeColor="text1"/>
        </w:rPr>
        <w:t xml:space="preserve">to CPP partners. </w:t>
      </w:r>
      <w:r w:rsidR="008E3C93">
        <w:rPr>
          <w:rFonts w:cstheme="minorHAnsi"/>
          <w:color w:val="000000" w:themeColor="text1"/>
        </w:rPr>
        <w:t>From the bottom-up,</w:t>
      </w:r>
      <w:r w:rsidR="00517B2F">
        <w:rPr>
          <w:rFonts w:cstheme="minorHAnsi"/>
          <w:color w:val="000000" w:themeColor="text1"/>
        </w:rPr>
        <w:t xml:space="preserve"> results and learning will flow up from the CPP partner level (where most results and learning will originate) through the CPPCO to the BCEP level. </w:t>
      </w:r>
    </w:p>
    <w:p w14:paraId="1016694E" w14:textId="75B6006D" w:rsidR="00E75D5C" w:rsidRDefault="00517B2F" w:rsidP="00791619">
      <w:pPr>
        <w:jc w:val="both"/>
        <w:rPr>
          <w:rFonts w:cstheme="minorHAnsi"/>
          <w:color w:val="000000" w:themeColor="text1"/>
        </w:rPr>
      </w:pPr>
      <w:r>
        <w:rPr>
          <w:rFonts w:cstheme="minorHAnsi"/>
          <w:color w:val="000000" w:themeColor="text1"/>
        </w:rPr>
        <w:t xml:space="preserve">The CPPCO is a crucial link in the delivery chain. </w:t>
      </w:r>
      <w:r w:rsidR="00285E3C">
        <w:rPr>
          <w:rFonts w:cstheme="minorHAnsi"/>
          <w:color w:val="000000" w:themeColor="text1"/>
        </w:rPr>
        <w:t>The</w:t>
      </w:r>
      <w:r w:rsidR="008E3C93">
        <w:rPr>
          <w:rFonts w:cstheme="minorHAnsi"/>
          <w:color w:val="000000" w:themeColor="text1"/>
        </w:rPr>
        <w:t xml:space="preserve"> top-down processes</w:t>
      </w:r>
      <w:r w:rsidR="00285E3C">
        <w:rPr>
          <w:rFonts w:cstheme="minorHAnsi"/>
          <w:color w:val="000000" w:themeColor="text1"/>
        </w:rPr>
        <w:t xml:space="preserve"> involve</w:t>
      </w:r>
      <w:r w:rsidR="008E3C93">
        <w:rPr>
          <w:rFonts w:cstheme="minorHAnsi"/>
          <w:color w:val="000000" w:themeColor="text1"/>
        </w:rPr>
        <w:t xml:space="preserve"> the</w:t>
      </w:r>
      <w:r>
        <w:rPr>
          <w:rFonts w:cstheme="minorHAnsi"/>
          <w:color w:val="000000" w:themeColor="text1"/>
        </w:rPr>
        <w:t xml:space="preserve"> CPPCO </w:t>
      </w:r>
      <w:r w:rsidR="008E3C93">
        <w:rPr>
          <w:rFonts w:cstheme="minorHAnsi"/>
          <w:color w:val="000000" w:themeColor="text1"/>
        </w:rPr>
        <w:t>interpret</w:t>
      </w:r>
      <w:r w:rsidR="00285E3C">
        <w:rPr>
          <w:rFonts w:cstheme="minorHAnsi"/>
          <w:color w:val="000000" w:themeColor="text1"/>
        </w:rPr>
        <w:t>ing</w:t>
      </w:r>
      <w:r w:rsidR="008E3C93">
        <w:rPr>
          <w:rFonts w:cstheme="minorHAnsi"/>
          <w:color w:val="000000" w:themeColor="text1"/>
        </w:rPr>
        <w:t xml:space="preserve"> </w:t>
      </w:r>
      <w:r w:rsidR="004745B7">
        <w:rPr>
          <w:rFonts w:cstheme="minorHAnsi"/>
          <w:color w:val="000000" w:themeColor="text1"/>
        </w:rPr>
        <w:t xml:space="preserve">and applying </w:t>
      </w:r>
      <w:r w:rsidR="008E3C93">
        <w:rPr>
          <w:rFonts w:cstheme="minorHAnsi"/>
          <w:color w:val="000000" w:themeColor="text1"/>
        </w:rPr>
        <w:t xml:space="preserve">BCEP strategies </w:t>
      </w:r>
      <w:r w:rsidR="00285E3C">
        <w:rPr>
          <w:rFonts w:cstheme="minorHAnsi"/>
          <w:color w:val="000000" w:themeColor="text1"/>
        </w:rPr>
        <w:t>etc</w:t>
      </w:r>
      <w:r w:rsidR="008E3C93">
        <w:rPr>
          <w:rFonts w:cstheme="minorHAnsi"/>
          <w:color w:val="000000" w:themeColor="text1"/>
        </w:rPr>
        <w:t xml:space="preserve"> to </w:t>
      </w:r>
      <w:r w:rsidR="00285E3C">
        <w:rPr>
          <w:rFonts w:cstheme="minorHAnsi"/>
          <w:color w:val="000000" w:themeColor="text1"/>
        </w:rPr>
        <w:t>CPP and</w:t>
      </w:r>
      <w:r w:rsidR="008E3C93">
        <w:rPr>
          <w:rFonts w:cstheme="minorHAnsi"/>
          <w:color w:val="000000" w:themeColor="text1"/>
        </w:rPr>
        <w:t xml:space="preserve"> </w:t>
      </w:r>
      <w:r>
        <w:rPr>
          <w:rFonts w:cstheme="minorHAnsi"/>
          <w:color w:val="000000" w:themeColor="text1"/>
        </w:rPr>
        <w:t>engag</w:t>
      </w:r>
      <w:r w:rsidR="00285E3C">
        <w:rPr>
          <w:rFonts w:cstheme="minorHAnsi"/>
          <w:color w:val="000000" w:themeColor="text1"/>
        </w:rPr>
        <w:t>ing</w:t>
      </w:r>
      <w:r>
        <w:rPr>
          <w:rFonts w:cstheme="minorHAnsi"/>
          <w:color w:val="000000" w:themeColor="text1"/>
        </w:rPr>
        <w:t xml:space="preserve"> closely and proactively with CPP partner</w:t>
      </w:r>
      <w:r w:rsidR="007B6BF8">
        <w:rPr>
          <w:rFonts w:cstheme="minorHAnsi"/>
          <w:color w:val="000000" w:themeColor="text1"/>
        </w:rPr>
        <w:t>s</w:t>
      </w:r>
      <w:r>
        <w:rPr>
          <w:rFonts w:cstheme="minorHAnsi"/>
          <w:color w:val="000000" w:themeColor="text1"/>
        </w:rPr>
        <w:t xml:space="preserve"> to help them implement their plans and provide capacity development support</w:t>
      </w:r>
      <w:r w:rsidR="007B6BF8">
        <w:rPr>
          <w:rFonts w:cstheme="minorHAnsi"/>
          <w:color w:val="000000" w:themeColor="text1"/>
        </w:rPr>
        <w:t xml:space="preserve">. </w:t>
      </w:r>
      <w:r w:rsidR="004745B7">
        <w:rPr>
          <w:rFonts w:cstheme="minorHAnsi"/>
          <w:color w:val="000000" w:themeColor="text1"/>
        </w:rPr>
        <w:t xml:space="preserve">Most </w:t>
      </w:r>
      <w:r w:rsidR="00B661BE">
        <w:rPr>
          <w:rFonts w:cstheme="minorHAnsi"/>
          <w:color w:val="000000" w:themeColor="text1"/>
        </w:rPr>
        <w:t xml:space="preserve">of </w:t>
      </w:r>
      <w:r w:rsidR="004745B7">
        <w:rPr>
          <w:rFonts w:cstheme="minorHAnsi"/>
          <w:color w:val="000000" w:themeColor="text1"/>
        </w:rPr>
        <w:t>the function</w:t>
      </w:r>
      <w:r w:rsidR="0036378D">
        <w:rPr>
          <w:rFonts w:cstheme="minorHAnsi"/>
          <w:color w:val="000000" w:themeColor="text1"/>
        </w:rPr>
        <w:t>s</w:t>
      </w:r>
      <w:r w:rsidR="004745B7">
        <w:rPr>
          <w:rFonts w:cstheme="minorHAnsi"/>
          <w:color w:val="000000" w:themeColor="text1"/>
        </w:rPr>
        <w:t xml:space="preserve"> related to </w:t>
      </w:r>
      <w:r w:rsidR="00285E3C">
        <w:rPr>
          <w:rFonts w:cstheme="minorHAnsi"/>
          <w:color w:val="000000" w:themeColor="text1"/>
        </w:rPr>
        <w:t xml:space="preserve">financial and risk management, DFAT compliance and performance management will be performed by the </w:t>
      </w:r>
      <w:r w:rsidR="004745B7">
        <w:rPr>
          <w:rFonts w:cstheme="minorHAnsi"/>
          <w:color w:val="000000" w:themeColor="text1"/>
        </w:rPr>
        <w:t>BCEP PMT</w:t>
      </w:r>
      <w:r w:rsidR="00285E3C">
        <w:rPr>
          <w:rFonts w:cstheme="minorHAnsi"/>
          <w:color w:val="000000" w:themeColor="text1"/>
        </w:rPr>
        <w:t xml:space="preserve"> enabling </w:t>
      </w:r>
      <w:r w:rsidR="008E3C93">
        <w:rPr>
          <w:rFonts w:cstheme="minorHAnsi"/>
          <w:color w:val="000000" w:themeColor="text1"/>
        </w:rPr>
        <w:t xml:space="preserve">the CPPCO to </w:t>
      </w:r>
      <w:r w:rsidR="008C44E3">
        <w:rPr>
          <w:rFonts w:cstheme="minorHAnsi"/>
          <w:color w:val="000000" w:themeColor="text1"/>
        </w:rPr>
        <w:t>focus on supporting CPP</w:t>
      </w:r>
      <w:r w:rsidR="008E3C93">
        <w:rPr>
          <w:rFonts w:cstheme="minorHAnsi"/>
          <w:color w:val="000000" w:themeColor="text1"/>
        </w:rPr>
        <w:t xml:space="preserve"> partners</w:t>
      </w:r>
      <w:r w:rsidR="007B6BF8">
        <w:rPr>
          <w:rFonts w:cstheme="minorHAnsi"/>
          <w:color w:val="000000" w:themeColor="text1"/>
        </w:rPr>
        <w:t xml:space="preserve">. </w:t>
      </w:r>
      <w:r w:rsidR="008C44E3">
        <w:rPr>
          <w:rFonts w:cstheme="minorHAnsi"/>
          <w:color w:val="000000" w:themeColor="text1"/>
        </w:rPr>
        <w:t xml:space="preserve">The bottom-up processes involve the CPPCO filtering, aggregating, and analysing CPP partners results </w:t>
      </w:r>
      <w:r w:rsidR="004E5294">
        <w:rPr>
          <w:rFonts w:cstheme="minorHAnsi"/>
          <w:color w:val="000000" w:themeColor="text1"/>
        </w:rPr>
        <w:t xml:space="preserve">and facilitating collective forums </w:t>
      </w:r>
      <w:r w:rsidR="008C44E3">
        <w:rPr>
          <w:rFonts w:cstheme="minorHAnsi"/>
          <w:color w:val="000000" w:themeColor="text1"/>
        </w:rPr>
        <w:t xml:space="preserve">to </w:t>
      </w:r>
      <w:r w:rsidR="004E5294">
        <w:rPr>
          <w:rFonts w:cstheme="minorHAnsi"/>
          <w:color w:val="000000" w:themeColor="text1"/>
        </w:rPr>
        <w:t xml:space="preserve">share and crystalise learning, leading to joint actions. </w:t>
      </w:r>
    </w:p>
    <w:p w14:paraId="0FAD82D4" w14:textId="092A16E8" w:rsidR="00BF21DE" w:rsidRDefault="00264FDF" w:rsidP="00791619">
      <w:pPr>
        <w:jc w:val="both"/>
        <w:rPr>
          <w:rFonts w:cstheme="minorHAnsi"/>
          <w:color w:val="000000" w:themeColor="text1"/>
        </w:rPr>
      </w:pPr>
      <w:r>
        <w:rPr>
          <w:rFonts w:cstheme="minorHAnsi"/>
          <w:color w:val="000000" w:themeColor="text1"/>
        </w:rPr>
        <w:t xml:space="preserve">There are two critical factors </w:t>
      </w:r>
      <w:r w:rsidR="00BF21DE">
        <w:rPr>
          <w:rFonts w:cstheme="minorHAnsi"/>
          <w:color w:val="000000" w:themeColor="text1"/>
        </w:rPr>
        <w:t>for</w:t>
      </w:r>
      <w:r>
        <w:rPr>
          <w:rFonts w:cstheme="minorHAnsi"/>
          <w:color w:val="000000" w:themeColor="text1"/>
        </w:rPr>
        <w:t xml:space="preserve"> the</w:t>
      </w:r>
      <w:r w:rsidR="00BF21DE">
        <w:rPr>
          <w:rFonts w:cstheme="minorHAnsi"/>
          <w:color w:val="000000" w:themeColor="text1"/>
        </w:rPr>
        <w:t xml:space="preserve"> success </w:t>
      </w:r>
      <w:r>
        <w:rPr>
          <w:rFonts w:cstheme="minorHAnsi"/>
          <w:color w:val="000000" w:themeColor="text1"/>
        </w:rPr>
        <w:t>of the next</w:t>
      </w:r>
      <w:r w:rsidR="00BF21DE">
        <w:rPr>
          <w:rFonts w:cstheme="minorHAnsi"/>
          <w:color w:val="000000" w:themeColor="text1"/>
        </w:rPr>
        <w:t xml:space="preserve"> </w:t>
      </w:r>
      <w:r>
        <w:rPr>
          <w:rFonts w:cstheme="minorHAnsi"/>
          <w:color w:val="000000" w:themeColor="text1"/>
        </w:rPr>
        <w:t xml:space="preserve">phase. </w:t>
      </w:r>
      <w:r w:rsidR="0036378D">
        <w:rPr>
          <w:rFonts w:cstheme="minorHAnsi"/>
          <w:color w:val="000000" w:themeColor="text1"/>
        </w:rPr>
        <w:t>The first is</w:t>
      </w:r>
      <w:r>
        <w:rPr>
          <w:rFonts w:cstheme="minorHAnsi"/>
          <w:color w:val="000000" w:themeColor="text1"/>
        </w:rPr>
        <w:t xml:space="preserve"> that </w:t>
      </w:r>
      <w:r w:rsidR="00BF21DE">
        <w:rPr>
          <w:rFonts w:cstheme="minorHAnsi"/>
          <w:color w:val="000000" w:themeColor="text1"/>
        </w:rPr>
        <w:t xml:space="preserve">CPP partners </w:t>
      </w:r>
      <w:r>
        <w:rPr>
          <w:rFonts w:cstheme="minorHAnsi"/>
          <w:color w:val="000000" w:themeColor="text1"/>
        </w:rPr>
        <w:t xml:space="preserve">are proactively supported by the CPPCO to </w:t>
      </w:r>
      <w:r w:rsidR="0036378D">
        <w:rPr>
          <w:rFonts w:cstheme="minorHAnsi"/>
          <w:color w:val="000000" w:themeColor="text1"/>
        </w:rPr>
        <w:t xml:space="preserve">a) refine their development programming to take a more strategic, outcomes-focussed approach and b) </w:t>
      </w:r>
      <w:r>
        <w:rPr>
          <w:rFonts w:cstheme="minorHAnsi"/>
          <w:color w:val="000000" w:themeColor="text1"/>
        </w:rPr>
        <w:t xml:space="preserve">develop </w:t>
      </w:r>
      <w:r w:rsidR="000710B3">
        <w:rPr>
          <w:rFonts w:cstheme="minorHAnsi"/>
          <w:color w:val="000000" w:themeColor="text1"/>
        </w:rPr>
        <w:t xml:space="preserve">their organisational </w:t>
      </w:r>
      <w:r>
        <w:rPr>
          <w:rFonts w:cstheme="minorHAnsi"/>
          <w:color w:val="000000" w:themeColor="text1"/>
        </w:rPr>
        <w:t>capacity</w:t>
      </w:r>
      <w:r w:rsidR="000710B3">
        <w:rPr>
          <w:rFonts w:cstheme="minorHAnsi"/>
          <w:color w:val="000000" w:themeColor="text1"/>
        </w:rPr>
        <w:t>—particularly in the areas of policy engagement and social accountability, which are new for many partners</w:t>
      </w:r>
      <w:r w:rsidR="00034F3B">
        <w:rPr>
          <w:rFonts w:cstheme="minorHAnsi"/>
          <w:color w:val="000000" w:themeColor="text1"/>
        </w:rPr>
        <w:t xml:space="preserve">. </w:t>
      </w:r>
      <w:r>
        <w:rPr>
          <w:rFonts w:cstheme="minorHAnsi"/>
          <w:color w:val="000000" w:themeColor="text1"/>
        </w:rPr>
        <w:t xml:space="preserve"> The </w:t>
      </w:r>
      <w:r w:rsidR="0036378D">
        <w:rPr>
          <w:rFonts w:cstheme="minorHAnsi"/>
          <w:color w:val="000000" w:themeColor="text1"/>
        </w:rPr>
        <w:t xml:space="preserve">second </w:t>
      </w:r>
      <w:r>
        <w:rPr>
          <w:rFonts w:cstheme="minorHAnsi"/>
          <w:color w:val="000000" w:themeColor="text1"/>
        </w:rPr>
        <w:t xml:space="preserve">is that CPP partners are given the flexibility to </w:t>
      </w:r>
      <w:r w:rsidR="0066310D">
        <w:rPr>
          <w:rFonts w:cstheme="minorHAnsi"/>
          <w:color w:val="000000" w:themeColor="text1"/>
        </w:rPr>
        <w:t>adapt and develop</w:t>
      </w:r>
      <w:r>
        <w:rPr>
          <w:rFonts w:cstheme="minorHAnsi"/>
          <w:color w:val="000000" w:themeColor="text1"/>
        </w:rPr>
        <w:t xml:space="preserve"> their </w:t>
      </w:r>
      <w:r w:rsidR="0066310D">
        <w:rPr>
          <w:rFonts w:cstheme="minorHAnsi"/>
          <w:color w:val="000000" w:themeColor="text1"/>
        </w:rPr>
        <w:t xml:space="preserve">current activities </w:t>
      </w:r>
      <w:r w:rsidR="00B661BE">
        <w:rPr>
          <w:rFonts w:cstheme="minorHAnsi"/>
          <w:color w:val="000000" w:themeColor="text1"/>
        </w:rPr>
        <w:t xml:space="preserve">to this new approach </w:t>
      </w:r>
      <w:r>
        <w:rPr>
          <w:rFonts w:cstheme="minorHAnsi"/>
          <w:color w:val="000000" w:themeColor="text1"/>
        </w:rPr>
        <w:t xml:space="preserve">at a pace </w:t>
      </w:r>
      <w:r w:rsidR="00034F3B">
        <w:rPr>
          <w:rFonts w:cstheme="minorHAnsi"/>
          <w:color w:val="000000" w:themeColor="text1"/>
        </w:rPr>
        <w:t xml:space="preserve">that is appropriate for their organisation. For some CPP partners, their current activities may need to continue for much of CPP 4.1 and </w:t>
      </w:r>
      <w:r w:rsidR="000676F0">
        <w:rPr>
          <w:rFonts w:cstheme="minorHAnsi"/>
          <w:color w:val="000000" w:themeColor="text1"/>
        </w:rPr>
        <w:t>may</w:t>
      </w:r>
      <w:r w:rsidR="00034F3B">
        <w:rPr>
          <w:rFonts w:cstheme="minorHAnsi"/>
          <w:color w:val="000000" w:themeColor="text1"/>
        </w:rPr>
        <w:t xml:space="preserve"> only </w:t>
      </w:r>
      <w:r w:rsidR="000676F0">
        <w:rPr>
          <w:rFonts w:cstheme="minorHAnsi"/>
          <w:color w:val="000000" w:themeColor="text1"/>
        </w:rPr>
        <w:t xml:space="preserve">be changed by the start of CPP 4.2. </w:t>
      </w:r>
    </w:p>
    <w:bookmarkEnd w:id="67"/>
    <w:p w14:paraId="654AC3D7" w14:textId="38F46D07" w:rsidR="00735205" w:rsidRDefault="004745B7" w:rsidP="00791619">
      <w:pPr>
        <w:jc w:val="both"/>
        <w:rPr>
          <w:rFonts w:cstheme="minorHAnsi"/>
          <w:color w:val="000000" w:themeColor="text1"/>
        </w:rPr>
      </w:pPr>
      <w:r>
        <w:rPr>
          <w:rFonts w:cstheme="minorHAnsi"/>
          <w:color w:val="000000" w:themeColor="text1"/>
        </w:rPr>
        <w:t xml:space="preserve">The CPPCO and CPP partners will work together to set up </w:t>
      </w:r>
      <w:r w:rsidR="00735205">
        <w:rPr>
          <w:rFonts w:cstheme="minorHAnsi"/>
          <w:color w:val="000000" w:themeColor="text1"/>
        </w:rPr>
        <w:t>inter-linked</w:t>
      </w:r>
      <w:r>
        <w:rPr>
          <w:rFonts w:cstheme="minorHAnsi"/>
          <w:color w:val="000000" w:themeColor="text1"/>
        </w:rPr>
        <w:t xml:space="preserve"> delivery processes in the I</w:t>
      </w:r>
      <w:r w:rsidR="00D30C4F" w:rsidRPr="00D30C4F">
        <w:rPr>
          <w:rFonts w:cstheme="minorHAnsi"/>
          <w:color w:val="000000" w:themeColor="text1"/>
        </w:rPr>
        <w:t xml:space="preserve">nception </w:t>
      </w:r>
      <w:r w:rsidR="00D30C4F">
        <w:rPr>
          <w:rFonts w:cstheme="minorHAnsi"/>
          <w:color w:val="000000" w:themeColor="text1"/>
        </w:rPr>
        <w:t>Period</w:t>
      </w:r>
      <w:r w:rsidR="001B4E1B">
        <w:rPr>
          <w:rFonts w:cstheme="minorHAnsi"/>
          <w:color w:val="000000" w:themeColor="text1"/>
        </w:rPr>
        <w:t xml:space="preserve">. </w:t>
      </w:r>
      <w:r w:rsidR="00735205">
        <w:rPr>
          <w:rFonts w:cstheme="minorHAnsi"/>
          <w:color w:val="000000" w:themeColor="text1"/>
        </w:rPr>
        <w:t>The CPPCO will need to:</w:t>
      </w:r>
    </w:p>
    <w:p w14:paraId="735684A7" w14:textId="03EBBB99" w:rsidR="00735205" w:rsidRDefault="00735205" w:rsidP="00791619">
      <w:pPr>
        <w:pStyle w:val="ListParagraph"/>
        <w:numPr>
          <w:ilvl w:val="0"/>
          <w:numId w:val="28"/>
        </w:numPr>
        <w:jc w:val="both"/>
        <w:rPr>
          <w:rFonts w:cstheme="minorHAnsi"/>
          <w:color w:val="000000" w:themeColor="text1"/>
        </w:rPr>
      </w:pPr>
      <w:r w:rsidRPr="00735205">
        <w:rPr>
          <w:rFonts w:cstheme="minorHAnsi"/>
          <w:color w:val="000000" w:themeColor="text1"/>
        </w:rPr>
        <w:t xml:space="preserve">set </w:t>
      </w:r>
      <w:r>
        <w:rPr>
          <w:rFonts w:cstheme="minorHAnsi"/>
          <w:color w:val="000000" w:themeColor="text1"/>
        </w:rPr>
        <w:t xml:space="preserve">guidelines and </w:t>
      </w:r>
      <w:r w:rsidRPr="00735205">
        <w:rPr>
          <w:rFonts w:cstheme="minorHAnsi"/>
          <w:color w:val="000000" w:themeColor="text1"/>
        </w:rPr>
        <w:t>frameworks within which CPP partner</w:t>
      </w:r>
      <w:r>
        <w:rPr>
          <w:rFonts w:cstheme="minorHAnsi"/>
          <w:color w:val="000000" w:themeColor="text1"/>
        </w:rPr>
        <w:t>s can develop their own process</w:t>
      </w:r>
      <w:r w:rsidR="004A0775">
        <w:rPr>
          <w:rFonts w:cstheme="minorHAnsi"/>
          <w:color w:val="000000" w:themeColor="text1"/>
        </w:rPr>
        <w:t>es</w:t>
      </w:r>
      <w:r>
        <w:rPr>
          <w:rFonts w:cstheme="minorHAnsi"/>
          <w:color w:val="000000" w:themeColor="text1"/>
        </w:rPr>
        <w:t xml:space="preserve"> and plans; before then</w:t>
      </w:r>
    </w:p>
    <w:p w14:paraId="7B4F11CD" w14:textId="5DBC1A7C" w:rsidR="00BF21DE" w:rsidRDefault="00735205" w:rsidP="00791619">
      <w:pPr>
        <w:pStyle w:val="ListParagraph"/>
        <w:numPr>
          <w:ilvl w:val="0"/>
          <w:numId w:val="28"/>
        </w:numPr>
        <w:jc w:val="both"/>
        <w:rPr>
          <w:rFonts w:cstheme="minorHAnsi"/>
          <w:color w:val="000000" w:themeColor="text1"/>
        </w:rPr>
      </w:pPr>
      <w:r>
        <w:rPr>
          <w:rFonts w:cstheme="minorHAnsi"/>
          <w:color w:val="000000" w:themeColor="text1"/>
        </w:rPr>
        <w:t>finalising</w:t>
      </w:r>
      <w:r w:rsidRPr="00735205">
        <w:rPr>
          <w:rFonts w:cstheme="minorHAnsi"/>
          <w:color w:val="000000" w:themeColor="text1"/>
        </w:rPr>
        <w:t xml:space="preserve"> CPPCO processes based on CPP partner process</w:t>
      </w:r>
      <w:r>
        <w:rPr>
          <w:rFonts w:cstheme="minorHAnsi"/>
          <w:color w:val="000000" w:themeColor="text1"/>
        </w:rPr>
        <w:t>es and plans</w:t>
      </w:r>
    </w:p>
    <w:p w14:paraId="1450E084" w14:textId="330EDE9F" w:rsidR="00735205" w:rsidRPr="00735205" w:rsidRDefault="00735205" w:rsidP="00791619">
      <w:pPr>
        <w:jc w:val="both"/>
        <w:rPr>
          <w:rFonts w:cstheme="minorHAnsi"/>
          <w:color w:val="000000" w:themeColor="text1"/>
        </w:rPr>
      </w:pPr>
      <w:r>
        <w:rPr>
          <w:rFonts w:cstheme="minorHAnsi"/>
          <w:color w:val="000000" w:themeColor="text1"/>
        </w:rPr>
        <w:t>The key CPPCO and CPP partner processes are outlined below.</w:t>
      </w:r>
      <w:r w:rsidR="00307F7F">
        <w:rPr>
          <w:rFonts w:cstheme="minorHAnsi"/>
          <w:color w:val="000000" w:themeColor="text1"/>
        </w:rPr>
        <w:t xml:space="preserve">  </w:t>
      </w:r>
      <w:r w:rsidR="00F613AE">
        <w:rPr>
          <w:rFonts w:cstheme="minorHAnsi"/>
          <w:color w:val="000000" w:themeColor="text1"/>
        </w:rPr>
        <w:t xml:space="preserve">Each ANGO will support </w:t>
      </w:r>
      <w:r w:rsidR="00307F7F">
        <w:rPr>
          <w:rFonts w:cstheme="minorHAnsi"/>
          <w:color w:val="000000" w:themeColor="text1"/>
        </w:rPr>
        <w:t>CPP partner processes</w:t>
      </w:r>
      <w:r w:rsidR="000E5494">
        <w:rPr>
          <w:rFonts w:cstheme="minorHAnsi"/>
          <w:color w:val="000000" w:themeColor="text1"/>
        </w:rPr>
        <w:t xml:space="preserve">, with specific </w:t>
      </w:r>
      <w:r w:rsidR="00307F7F">
        <w:rPr>
          <w:rFonts w:cstheme="minorHAnsi"/>
          <w:color w:val="000000" w:themeColor="text1"/>
        </w:rPr>
        <w:t>role</w:t>
      </w:r>
      <w:r w:rsidR="000E5494">
        <w:rPr>
          <w:rFonts w:cstheme="minorHAnsi"/>
          <w:color w:val="000000" w:themeColor="text1"/>
        </w:rPr>
        <w:t>s</w:t>
      </w:r>
      <w:r w:rsidR="00307F7F">
        <w:rPr>
          <w:rFonts w:cstheme="minorHAnsi"/>
          <w:color w:val="000000" w:themeColor="text1"/>
        </w:rPr>
        <w:t xml:space="preserve"> </w:t>
      </w:r>
      <w:r w:rsidR="000E5494">
        <w:rPr>
          <w:rFonts w:cstheme="minorHAnsi"/>
          <w:color w:val="000000" w:themeColor="text1"/>
        </w:rPr>
        <w:t>to</w:t>
      </w:r>
      <w:r w:rsidR="00307F7F">
        <w:rPr>
          <w:rFonts w:cstheme="minorHAnsi"/>
          <w:color w:val="000000" w:themeColor="text1"/>
        </w:rPr>
        <w:t xml:space="preserve"> be defined in the inception period.</w:t>
      </w:r>
    </w:p>
    <w:p w14:paraId="2371FBB4" w14:textId="38753176" w:rsidR="00D30C4F" w:rsidRPr="00755031" w:rsidRDefault="00D30C4F" w:rsidP="00791619">
      <w:pPr>
        <w:pStyle w:val="Heading3"/>
        <w:jc w:val="both"/>
        <w:rPr>
          <w:b/>
          <w:bCs/>
        </w:rPr>
      </w:pPr>
      <w:r>
        <w:rPr>
          <w:b/>
          <w:bCs/>
        </w:rPr>
        <w:lastRenderedPageBreak/>
        <w:t xml:space="preserve">CPPCO </w:t>
      </w:r>
    </w:p>
    <w:p w14:paraId="66D1EADA" w14:textId="5EAEBE58" w:rsidR="00D30C4F" w:rsidRDefault="00805571" w:rsidP="00791619">
      <w:pPr>
        <w:jc w:val="both"/>
        <w:rPr>
          <w:color w:val="000000" w:themeColor="text1"/>
        </w:rPr>
      </w:pPr>
      <w:r>
        <w:rPr>
          <w:color w:val="000000" w:themeColor="text1"/>
        </w:rPr>
        <w:t>The CPPCO will lead development on the following</w:t>
      </w:r>
      <w:r w:rsidR="00D30C4F">
        <w:rPr>
          <w:color w:val="000000" w:themeColor="text1"/>
        </w:rPr>
        <w:t xml:space="preserve"> key processes </w:t>
      </w:r>
      <w:r>
        <w:rPr>
          <w:color w:val="000000" w:themeColor="text1"/>
        </w:rPr>
        <w:t>and deliverable</w:t>
      </w:r>
      <w:r w:rsidR="00B661BE">
        <w:rPr>
          <w:color w:val="000000" w:themeColor="text1"/>
        </w:rPr>
        <w:t>s</w:t>
      </w:r>
      <w:r w:rsidR="00D30C4F">
        <w:rPr>
          <w:color w:val="000000" w:themeColor="text1"/>
        </w:rPr>
        <w:t xml:space="preserve">: </w:t>
      </w:r>
    </w:p>
    <w:p w14:paraId="1E2B8B75" w14:textId="023BCE7F" w:rsidR="00D30C4F" w:rsidRPr="00095C2F" w:rsidRDefault="00D30C4F" w:rsidP="00791619">
      <w:pPr>
        <w:pStyle w:val="ListParagraph"/>
        <w:numPr>
          <w:ilvl w:val="0"/>
          <w:numId w:val="27"/>
        </w:numPr>
        <w:jc w:val="both"/>
        <w:rPr>
          <w:color w:val="000000" w:themeColor="text1"/>
        </w:rPr>
      </w:pPr>
      <w:r>
        <w:rPr>
          <w:b/>
          <w:bCs/>
          <w:color w:val="000000" w:themeColor="text1"/>
        </w:rPr>
        <w:t xml:space="preserve">CPP </w:t>
      </w:r>
      <w:r w:rsidRPr="00716724">
        <w:rPr>
          <w:b/>
          <w:bCs/>
          <w:color w:val="000000" w:themeColor="text1"/>
        </w:rPr>
        <w:t>Program Implementation Plan</w:t>
      </w:r>
      <w:r>
        <w:rPr>
          <w:b/>
          <w:bCs/>
          <w:color w:val="000000" w:themeColor="text1"/>
        </w:rPr>
        <w:t xml:space="preserve">: </w:t>
      </w:r>
      <w:r w:rsidR="00C16DCE">
        <w:rPr>
          <w:color w:val="000000" w:themeColor="text1"/>
        </w:rPr>
        <w:t>d</w:t>
      </w:r>
      <w:r w:rsidR="00805571">
        <w:rPr>
          <w:color w:val="000000" w:themeColor="text1"/>
        </w:rPr>
        <w:t xml:space="preserve">ue at the end of the </w:t>
      </w:r>
      <w:r w:rsidR="00C16DCE">
        <w:rPr>
          <w:color w:val="000000" w:themeColor="text1"/>
        </w:rPr>
        <w:t>i</w:t>
      </w:r>
      <w:r w:rsidR="00805571">
        <w:rPr>
          <w:color w:val="000000" w:themeColor="text1"/>
        </w:rPr>
        <w:t>nception period</w:t>
      </w:r>
      <w:r w:rsidRPr="00095C2F">
        <w:rPr>
          <w:color w:val="000000" w:themeColor="text1"/>
        </w:rPr>
        <w:t xml:space="preserve">, </w:t>
      </w:r>
      <w:r>
        <w:rPr>
          <w:color w:val="000000" w:themeColor="text1"/>
        </w:rPr>
        <w:t>the CPP Implementation Plan</w:t>
      </w:r>
      <w:r w:rsidRPr="00095C2F">
        <w:rPr>
          <w:color w:val="000000" w:themeColor="text1"/>
        </w:rPr>
        <w:t xml:space="preserve"> </w:t>
      </w:r>
      <w:r w:rsidR="00805571">
        <w:rPr>
          <w:color w:val="000000" w:themeColor="text1"/>
        </w:rPr>
        <w:t>will document the CPPCO’s approach to working with CPP partners to deliver the outcomes in the CPP</w:t>
      </w:r>
      <w:r w:rsidRPr="00095C2F">
        <w:rPr>
          <w:color w:val="000000" w:themeColor="text1"/>
        </w:rPr>
        <w:t xml:space="preserve"> program logic.</w:t>
      </w:r>
      <w:r>
        <w:rPr>
          <w:color w:val="000000" w:themeColor="text1"/>
        </w:rPr>
        <w:t xml:space="preserve"> This plan will cover</w:t>
      </w:r>
    </w:p>
    <w:p w14:paraId="0791CE51" w14:textId="4FAB0C6F" w:rsidR="00D30C4F" w:rsidRPr="00095C2F" w:rsidRDefault="00D30C4F" w:rsidP="00791619">
      <w:pPr>
        <w:pStyle w:val="ListParagraph"/>
        <w:numPr>
          <w:ilvl w:val="0"/>
          <w:numId w:val="26"/>
        </w:numPr>
        <w:jc w:val="both"/>
        <w:rPr>
          <w:rFonts w:cstheme="minorHAnsi"/>
          <w:color w:val="000000" w:themeColor="text1"/>
        </w:rPr>
      </w:pPr>
      <w:r w:rsidRPr="00095C2F">
        <w:rPr>
          <w:rFonts w:cstheme="minorHAnsi"/>
          <w:color w:val="000000" w:themeColor="text1"/>
        </w:rPr>
        <w:t xml:space="preserve">Program Background: </w:t>
      </w:r>
      <w:r w:rsidR="00805571">
        <w:rPr>
          <w:rFonts w:cstheme="minorHAnsi"/>
          <w:color w:val="000000" w:themeColor="text1"/>
        </w:rPr>
        <w:t xml:space="preserve">update on the problem </w:t>
      </w:r>
      <w:r w:rsidR="001B4E1B">
        <w:rPr>
          <w:rFonts w:cstheme="minorHAnsi"/>
          <w:color w:val="000000" w:themeColor="text1"/>
        </w:rPr>
        <w:t xml:space="preserve">of service delivery to PNG’s vulnerable and marginalised communities and relevant </w:t>
      </w:r>
      <w:r w:rsidRPr="00095C2F">
        <w:rPr>
          <w:rFonts w:cstheme="minorHAnsi"/>
          <w:color w:val="000000" w:themeColor="text1"/>
        </w:rPr>
        <w:t>lessons learned</w:t>
      </w:r>
    </w:p>
    <w:p w14:paraId="7FA49F7C" w14:textId="77777777" w:rsidR="00D30C4F" w:rsidRPr="00095C2F" w:rsidRDefault="00D30C4F" w:rsidP="00791619">
      <w:pPr>
        <w:pStyle w:val="ListParagraph"/>
        <w:numPr>
          <w:ilvl w:val="0"/>
          <w:numId w:val="26"/>
        </w:numPr>
        <w:jc w:val="both"/>
        <w:rPr>
          <w:rFonts w:cstheme="minorHAnsi"/>
          <w:color w:val="000000" w:themeColor="text1"/>
        </w:rPr>
      </w:pPr>
      <w:r w:rsidRPr="00095C2F">
        <w:rPr>
          <w:rFonts w:cstheme="minorHAnsi"/>
          <w:color w:val="000000" w:themeColor="text1"/>
        </w:rPr>
        <w:t xml:space="preserve">Overall program approach to deliver the Program Logic </w:t>
      </w:r>
    </w:p>
    <w:p w14:paraId="698762BD" w14:textId="100D61DA" w:rsidR="00D30C4F" w:rsidRPr="00095C2F" w:rsidRDefault="00D30C4F" w:rsidP="00791619">
      <w:pPr>
        <w:pStyle w:val="ListParagraph"/>
        <w:numPr>
          <w:ilvl w:val="0"/>
          <w:numId w:val="26"/>
        </w:numPr>
        <w:jc w:val="both"/>
        <w:rPr>
          <w:rFonts w:cstheme="minorHAnsi"/>
          <w:color w:val="000000" w:themeColor="text1"/>
        </w:rPr>
      </w:pPr>
      <w:r w:rsidRPr="00095C2F">
        <w:rPr>
          <w:rFonts w:cstheme="minorHAnsi"/>
          <w:color w:val="000000" w:themeColor="text1"/>
        </w:rPr>
        <w:t xml:space="preserve">Learning and </w:t>
      </w:r>
      <w:r w:rsidR="00F92671">
        <w:rPr>
          <w:rFonts w:cstheme="minorHAnsi"/>
          <w:color w:val="000000" w:themeColor="text1"/>
        </w:rPr>
        <w:t>c</w:t>
      </w:r>
      <w:r w:rsidRPr="00095C2F">
        <w:rPr>
          <w:rFonts w:cstheme="minorHAnsi"/>
          <w:color w:val="000000" w:themeColor="text1"/>
        </w:rPr>
        <w:t>ollaboration approach</w:t>
      </w:r>
      <w:r w:rsidR="0036378D">
        <w:rPr>
          <w:rFonts w:cstheme="minorHAnsi"/>
          <w:color w:val="000000" w:themeColor="text1"/>
        </w:rPr>
        <w:t xml:space="preserve"> (linked to MEL see below)</w:t>
      </w:r>
    </w:p>
    <w:p w14:paraId="0384DFB1" w14:textId="1F0B0AAD" w:rsidR="00D30C4F" w:rsidRPr="001B4E1B" w:rsidRDefault="00D30C4F" w:rsidP="00791619">
      <w:pPr>
        <w:pStyle w:val="ListParagraph"/>
        <w:numPr>
          <w:ilvl w:val="0"/>
          <w:numId w:val="26"/>
        </w:numPr>
        <w:jc w:val="both"/>
        <w:rPr>
          <w:rFonts w:cstheme="minorHAnsi"/>
          <w:color w:val="000000" w:themeColor="text1"/>
        </w:rPr>
      </w:pPr>
      <w:r w:rsidRPr="001B4E1B">
        <w:rPr>
          <w:rFonts w:cstheme="minorHAnsi"/>
          <w:color w:val="000000" w:themeColor="text1"/>
        </w:rPr>
        <w:t xml:space="preserve">GEDSI </w:t>
      </w:r>
      <w:r w:rsidR="001B4E1B">
        <w:rPr>
          <w:rFonts w:cstheme="minorHAnsi"/>
          <w:color w:val="000000" w:themeColor="text1"/>
        </w:rPr>
        <w:t>approach</w:t>
      </w:r>
      <w:r w:rsidRPr="001B4E1B">
        <w:rPr>
          <w:rFonts w:cstheme="minorHAnsi"/>
          <w:color w:val="000000" w:themeColor="text1"/>
        </w:rPr>
        <w:t xml:space="preserve"> (see below)</w:t>
      </w:r>
    </w:p>
    <w:p w14:paraId="42C21883" w14:textId="4A6D2506" w:rsidR="001B4E1B" w:rsidRDefault="001B4E1B" w:rsidP="00791619">
      <w:pPr>
        <w:pStyle w:val="ListParagraph"/>
        <w:numPr>
          <w:ilvl w:val="0"/>
          <w:numId w:val="26"/>
        </w:numPr>
        <w:jc w:val="both"/>
        <w:rPr>
          <w:rFonts w:cstheme="minorHAnsi"/>
          <w:color w:val="000000" w:themeColor="text1"/>
        </w:rPr>
      </w:pPr>
      <w:r>
        <w:rPr>
          <w:rFonts w:cstheme="minorHAnsi"/>
          <w:color w:val="000000" w:themeColor="text1"/>
        </w:rPr>
        <w:t xml:space="preserve">CPP Partner </w:t>
      </w:r>
      <w:r w:rsidR="00F92671">
        <w:rPr>
          <w:rFonts w:cstheme="minorHAnsi"/>
          <w:color w:val="000000" w:themeColor="text1"/>
        </w:rPr>
        <w:t>c</w:t>
      </w:r>
      <w:r>
        <w:rPr>
          <w:rFonts w:cstheme="minorHAnsi"/>
          <w:color w:val="000000" w:themeColor="text1"/>
        </w:rPr>
        <w:t>apacity development approach</w:t>
      </w:r>
      <w:r w:rsidR="007200B5">
        <w:rPr>
          <w:rFonts w:cstheme="minorHAnsi"/>
          <w:color w:val="000000" w:themeColor="text1"/>
        </w:rPr>
        <w:t xml:space="preserve"> (see below) </w:t>
      </w:r>
    </w:p>
    <w:p w14:paraId="213B0BEC" w14:textId="3843353E" w:rsidR="00F92671" w:rsidRDefault="00F92671" w:rsidP="00791619">
      <w:pPr>
        <w:pStyle w:val="ListParagraph"/>
        <w:numPr>
          <w:ilvl w:val="0"/>
          <w:numId w:val="26"/>
        </w:numPr>
        <w:jc w:val="both"/>
        <w:rPr>
          <w:rFonts w:cstheme="minorHAnsi"/>
          <w:color w:val="000000" w:themeColor="text1"/>
        </w:rPr>
      </w:pPr>
      <w:r>
        <w:rPr>
          <w:rFonts w:cstheme="minorHAnsi"/>
          <w:color w:val="000000" w:themeColor="text1"/>
        </w:rPr>
        <w:t>PNGC capacity development approach (see below)</w:t>
      </w:r>
    </w:p>
    <w:p w14:paraId="1B863B21" w14:textId="6C480029" w:rsidR="00D30C4F" w:rsidRPr="00095C2F" w:rsidRDefault="00D30C4F" w:rsidP="00791619">
      <w:pPr>
        <w:pStyle w:val="ListParagraph"/>
        <w:numPr>
          <w:ilvl w:val="0"/>
          <w:numId w:val="26"/>
        </w:numPr>
        <w:jc w:val="both"/>
        <w:rPr>
          <w:rFonts w:cstheme="minorHAnsi"/>
          <w:color w:val="000000" w:themeColor="text1"/>
        </w:rPr>
      </w:pPr>
      <w:r w:rsidRPr="00095C2F">
        <w:rPr>
          <w:rFonts w:cstheme="minorHAnsi"/>
          <w:color w:val="000000" w:themeColor="text1"/>
        </w:rPr>
        <w:t>Program governance and management arrangements</w:t>
      </w:r>
    </w:p>
    <w:p w14:paraId="079732D0" w14:textId="77777777" w:rsidR="00D30C4F" w:rsidRDefault="00D30C4F" w:rsidP="00791619">
      <w:pPr>
        <w:pStyle w:val="ListParagraph"/>
        <w:numPr>
          <w:ilvl w:val="0"/>
          <w:numId w:val="26"/>
        </w:numPr>
        <w:jc w:val="both"/>
        <w:rPr>
          <w:rFonts w:cstheme="minorHAnsi"/>
          <w:color w:val="000000" w:themeColor="text1"/>
        </w:rPr>
      </w:pPr>
      <w:r>
        <w:rPr>
          <w:rFonts w:cstheme="minorHAnsi"/>
          <w:color w:val="000000" w:themeColor="text1"/>
        </w:rPr>
        <w:t xml:space="preserve">Financial and risk management, including three-year budget </w:t>
      </w:r>
    </w:p>
    <w:p w14:paraId="2DED7C0C" w14:textId="77777777" w:rsidR="00D30C4F" w:rsidRDefault="00D30C4F" w:rsidP="00791619">
      <w:pPr>
        <w:pStyle w:val="ListParagraph"/>
        <w:ind w:left="360"/>
        <w:jc w:val="both"/>
        <w:rPr>
          <w:color w:val="000000" w:themeColor="text1"/>
        </w:rPr>
      </w:pPr>
    </w:p>
    <w:p w14:paraId="0ABC9D4C" w14:textId="37A75F0C" w:rsidR="00D30C4F" w:rsidRPr="001B4E1B" w:rsidRDefault="00D30C4F" w:rsidP="00791619">
      <w:pPr>
        <w:pStyle w:val="ListParagraph"/>
        <w:numPr>
          <w:ilvl w:val="0"/>
          <w:numId w:val="27"/>
        </w:numPr>
        <w:jc w:val="both"/>
        <w:rPr>
          <w:color w:val="000000" w:themeColor="text1"/>
        </w:rPr>
      </w:pPr>
      <w:r w:rsidRPr="00D04804">
        <w:rPr>
          <w:b/>
          <w:bCs/>
          <w:color w:val="000000" w:themeColor="text1"/>
        </w:rPr>
        <w:t xml:space="preserve">MEL </w:t>
      </w:r>
      <w:r w:rsidR="001C463A">
        <w:rPr>
          <w:b/>
          <w:bCs/>
          <w:color w:val="000000" w:themeColor="text1"/>
        </w:rPr>
        <w:t>system and f</w:t>
      </w:r>
      <w:r w:rsidRPr="00D04804">
        <w:rPr>
          <w:b/>
          <w:bCs/>
          <w:color w:val="000000" w:themeColor="text1"/>
        </w:rPr>
        <w:t>ramework</w:t>
      </w:r>
      <w:r>
        <w:rPr>
          <w:b/>
          <w:bCs/>
          <w:color w:val="000000" w:themeColor="text1"/>
        </w:rPr>
        <w:t xml:space="preserve">: </w:t>
      </w:r>
      <w:r w:rsidRPr="001B4E1B">
        <w:rPr>
          <w:color w:val="000000" w:themeColor="text1"/>
        </w:rPr>
        <w:t xml:space="preserve">The CPPCO will develop </w:t>
      </w:r>
      <w:r w:rsidR="001C463A">
        <w:rPr>
          <w:color w:val="000000" w:themeColor="text1"/>
        </w:rPr>
        <w:t xml:space="preserve">the MEL </w:t>
      </w:r>
      <w:r w:rsidR="009E0F4F">
        <w:rPr>
          <w:color w:val="000000" w:themeColor="text1"/>
        </w:rPr>
        <w:t xml:space="preserve">system </w:t>
      </w:r>
      <w:r w:rsidR="001C463A">
        <w:rPr>
          <w:color w:val="000000" w:themeColor="text1"/>
        </w:rPr>
        <w:t xml:space="preserve">to capture CPP partner results against the </w:t>
      </w:r>
      <w:r w:rsidR="0036378D">
        <w:rPr>
          <w:color w:val="000000" w:themeColor="text1"/>
        </w:rPr>
        <w:t xml:space="preserve">CPP </w:t>
      </w:r>
      <w:r w:rsidR="001C463A">
        <w:rPr>
          <w:color w:val="000000" w:themeColor="text1"/>
        </w:rPr>
        <w:t xml:space="preserve">Program logic and provide data to the PMT to inform overall progress against the BCEP Program logic. The arrangements for the CPP MEL system and framework are outlined in Section 6. </w:t>
      </w:r>
    </w:p>
    <w:p w14:paraId="00EB2449" w14:textId="77777777" w:rsidR="00D30C4F" w:rsidRPr="00D04804" w:rsidRDefault="00D30C4F" w:rsidP="00791619">
      <w:pPr>
        <w:pStyle w:val="ListParagraph"/>
        <w:ind w:left="360"/>
        <w:jc w:val="both"/>
        <w:rPr>
          <w:b/>
          <w:bCs/>
          <w:color w:val="000000" w:themeColor="text1"/>
        </w:rPr>
      </w:pPr>
    </w:p>
    <w:p w14:paraId="62B09885" w14:textId="77777777" w:rsidR="0036780D" w:rsidRDefault="00F92671" w:rsidP="00791619">
      <w:pPr>
        <w:pStyle w:val="ListParagraph"/>
        <w:numPr>
          <w:ilvl w:val="0"/>
          <w:numId w:val="27"/>
        </w:numPr>
        <w:jc w:val="both"/>
        <w:rPr>
          <w:color w:val="000000" w:themeColor="text1"/>
        </w:rPr>
      </w:pPr>
      <w:r w:rsidRPr="0036780D">
        <w:rPr>
          <w:b/>
          <w:bCs/>
          <w:color w:val="000000" w:themeColor="text1"/>
        </w:rPr>
        <w:t>Operations Manual</w:t>
      </w:r>
      <w:r w:rsidR="00810C77" w:rsidRPr="0036780D">
        <w:rPr>
          <w:b/>
          <w:bCs/>
          <w:color w:val="000000" w:themeColor="text1"/>
        </w:rPr>
        <w:t>:</w:t>
      </w:r>
      <w:r w:rsidR="00810C77">
        <w:rPr>
          <w:color w:val="000000" w:themeColor="text1"/>
        </w:rPr>
        <w:t xml:space="preserve"> The CPPCO will develop an Operations Manual to </w:t>
      </w:r>
      <w:r w:rsidR="00810C77" w:rsidRPr="00810C77">
        <w:rPr>
          <w:color w:val="000000" w:themeColor="text1"/>
        </w:rPr>
        <w:t>outline the operational systems and procedures for the efficient and effective implementation</w:t>
      </w:r>
      <w:r w:rsidR="00810C77">
        <w:rPr>
          <w:color w:val="000000" w:themeColor="text1"/>
        </w:rPr>
        <w:t xml:space="preserve"> of CPP. </w:t>
      </w:r>
      <w:r w:rsidR="0036780D">
        <w:rPr>
          <w:color w:val="000000" w:themeColor="text1"/>
        </w:rPr>
        <w:t>The CPPCO and CPP partners are the primary audience for the Operations Manual. The Operations Manual will complement the CPP Implementation Plan.</w:t>
      </w:r>
    </w:p>
    <w:p w14:paraId="6971F411" w14:textId="7A0E1F0B" w:rsidR="0036780D" w:rsidRDefault="00810C77" w:rsidP="00791619">
      <w:pPr>
        <w:pStyle w:val="ListParagraph"/>
        <w:ind w:left="360"/>
        <w:jc w:val="both"/>
        <w:rPr>
          <w:color w:val="000000" w:themeColor="text1"/>
        </w:rPr>
      </w:pPr>
      <w:r>
        <w:rPr>
          <w:color w:val="000000" w:themeColor="text1"/>
        </w:rPr>
        <w:t xml:space="preserve">The </w:t>
      </w:r>
      <w:r w:rsidR="0036780D">
        <w:rPr>
          <w:color w:val="000000" w:themeColor="text1"/>
        </w:rPr>
        <w:t xml:space="preserve">CPP </w:t>
      </w:r>
      <w:r>
        <w:rPr>
          <w:color w:val="000000" w:themeColor="text1"/>
        </w:rPr>
        <w:t>Operations Manual will focus on the systems and procedures that are specific to CPP, identifying when CPP will follow BCEP systems</w:t>
      </w:r>
      <w:r w:rsidR="0036780D">
        <w:rPr>
          <w:color w:val="000000" w:themeColor="text1"/>
        </w:rPr>
        <w:t xml:space="preserve">. The list below provides </w:t>
      </w:r>
      <w:proofErr w:type="spellStart"/>
      <w:r w:rsidR="0036780D">
        <w:rPr>
          <w:color w:val="000000" w:themeColor="text1"/>
        </w:rPr>
        <w:t>and</w:t>
      </w:r>
      <w:proofErr w:type="spellEnd"/>
      <w:r w:rsidR="0036780D">
        <w:rPr>
          <w:color w:val="000000" w:themeColor="text1"/>
        </w:rPr>
        <w:t xml:space="preserve"> indication of the different types of systems and procedures to be managed by the CPPCO and the BCEP PMT</w:t>
      </w:r>
      <w:r w:rsidR="009D785D">
        <w:rPr>
          <w:color w:val="000000" w:themeColor="text1"/>
        </w:rPr>
        <w:t xml:space="preserve">. The division of labour between the CPPCO and BCEP PMT will be clarified and confirmed in the Inception period </w:t>
      </w:r>
    </w:p>
    <w:p w14:paraId="53AD16AD" w14:textId="77777777" w:rsidR="0036780D" w:rsidRPr="0036780D" w:rsidRDefault="0036780D" w:rsidP="00791619">
      <w:pPr>
        <w:pStyle w:val="ListParagraph"/>
        <w:jc w:val="both"/>
        <w:rPr>
          <w:color w:val="000000" w:themeColor="text1"/>
        </w:rPr>
      </w:pPr>
    </w:p>
    <w:tbl>
      <w:tblPr>
        <w:tblStyle w:val="TableGrid"/>
        <w:tblW w:w="0" w:type="auto"/>
        <w:tblInd w:w="704" w:type="dxa"/>
        <w:tblLook w:val="04A0" w:firstRow="1" w:lastRow="0" w:firstColumn="1" w:lastColumn="0" w:noHBand="0" w:noVBand="1"/>
      </w:tblPr>
      <w:tblGrid>
        <w:gridCol w:w="3994"/>
        <w:gridCol w:w="3944"/>
      </w:tblGrid>
      <w:tr w:rsidR="0046449A" w:rsidRPr="001A54F6" w14:paraId="75C917E9" w14:textId="77777777" w:rsidTr="00F76377">
        <w:tc>
          <w:tcPr>
            <w:tcW w:w="3994" w:type="dxa"/>
            <w:shd w:val="clear" w:color="auto" w:fill="D9D9D9" w:themeFill="background1" w:themeFillShade="D9"/>
          </w:tcPr>
          <w:p w14:paraId="40FF1531" w14:textId="45D1FD71" w:rsidR="0036780D" w:rsidRPr="001A54F6" w:rsidRDefault="0046449A" w:rsidP="00791619">
            <w:pPr>
              <w:pStyle w:val="ListParagraph"/>
              <w:ind w:left="0"/>
              <w:jc w:val="both"/>
              <w:rPr>
                <w:b/>
                <w:bCs/>
                <w:color w:val="000000" w:themeColor="text1"/>
                <w:sz w:val="20"/>
                <w:szCs w:val="20"/>
              </w:rPr>
            </w:pPr>
            <w:r w:rsidRPr="001A54F6">
              <w:rPr>
                <w:b/>
                <w:bCs/>
                <w:color w:val="000000" w:themeColor="text1"/>
                <w:sz w:val="20"/>
                <w:szCs w:val="20"/>
              </w:rPr>
              <w:t>CPP Operations</w:t>
            </w:r>
          </w:p>
        </w:tc>
        <w:tc>
          <w:tcPr>
            <w:tcW w:w="3944" w:type="dxa"/>
            <w:shd w:val="clear" w:color="auto" w:fill="D9D9D9" w:themeFill="background1" w:themeFillShade="D9"/>
          </w:tcPr>
          <w:p w14:paraId="14DCCD9F" w14:textId="7743436D" w:rsidR="0036780D" w:rsidRPr="001A54F6" w:rsidRDefault="0046449A" w:rsidP="00791619">
            <w:pPr>
              <w:pStyle w:val="ListParagraph"/>
              <w:ind w:left="0"/>
              <w:jc w:val="both"/>
              <w:rPr>
                <w:b/>
                <w:bCs/>
                <w:color w:val="000000" w:themeColor="text1"/>
                <w:sz w:val="20"/>
                <w:szCs w:val="20"/>
              </w:rPr>
            </w:pPr>
            <w:r w:rsidRPr="001A54F6">
              <w:rPr>
                <w:b/>
                <w:bCs/>
                <w:color w:val="000000" w:themeColor="text1"/>
                <w:sz w:val="20"/>
                <w:szCs w:val="20"/>
              </w:rPr>
              <w:t>BCEP Operations</w:t>
            </w:r>
            <w:r w:rsidR="001A54F6" w:rsidRPr="001A54F6">
              <w:rPr>
                <w:b/>
                <w:bCs/>
                <w:color w:val="000000" w:themeColor="text1"/>
                <w:sz w:val="20"/>
                <w:szCs w:val="20"/>
              </w:rPr>
              <w:t xml:space="preserve"> (relevant to CPP)</w:t>
            </w:r>
          </w:p>
        </w:tc>
      </w:tr>
      <w:tr w:rsidR="0046449A" w:rsidRPr="001A54F6" w14:paraId="4BC9A49B" w14:textId="77777777" w:rsidTr="00F76377">
        <w:tc>
          <w:tcPr>
            <w:tcW w:w="3994" w:type="dxa"/>
          </w:tcPr>
          <w:p w14:paraId="3EA74CF7" w14:textId="4DBD6C04" w:rsidR="0036780D" w:rsidRPr="001A54F6" w:rsidRDefault="0036780D" w:rsidP="00791619">
            <w:pPr>
              <w:pStyle w:val="ListParagraph"/>
              <w:numPr>
                <w:ilvl w:val="0"/>
                <w:numId w:val="31"/>
              </w:numPr>
              <w:jc w:val="both"/>
              <w:rPr>
                <w:color w:val="000000" w:themeColor="text1"/>
                <w:sz w:val="20"/>
                <w:szCs w:val="20"/>
              </w:rPr>
            </w:pPr>
            <w:r w:rsidRPr="001A54F6">
              <w:rPr>
                <w:color w:val="000000" w:themeColor="text1"/>
                <w:sz w:val="20"/>
                <w:szCs w:val="20"/>
              </w:rPr>
              <w:t>Partner capacity development processes</w:t>
            </w:r>
            <w:r w:rsidR="001A54F6" w:rsidRPr="001A54F6">
              <w:rPr>
                <w:color w:val="000000" w:themeColor="text1"/>
                <w:sz w:val="20"/>
                <w:szCs w:val="20"/>
              </w:rPr>
              <w:t>, including MEL &amp; GEDSI technical support</w:t>
            </w:r>
          </w:p>
        </w:tc>
        <w:tc>
          <w:tcPr>
            <w:tcW w:w="3944" w:type="dxa"/>
          </w:tcPr>
          <w:p w14:paraId="33407B5E" w14:textId="02C039EE" w:rsidR="0036780D" w:rsidRPr="001A54F6" w:rsidRDefault="0036780D" w:rsidP="00791619">
            <w:pPr>
              <w:pStyle w:val="ListParagraph"/>
              <w:numPr>
                <w:ilvl w:val="0"/>
                <w:numId w:val="30"/>
              </w:numPr>
              <w:jc w:val="both"/>
              <w:rPr>
                <w:color w:val="000000" w:themeColor="text1"/>
                <w:sz w:val="20"/>
                <w:szCs w:val="20"/>
              </w:rPr>
            </w:pPr>
            <w:r w:rsidRPr="001A54F6">
              <w:rPr>
                <w:color w:val="000000" w:themeColor="text1"/>
                <w:sz w:val="20"/>
                <w:szCs w:val="20"/>
              </w:rPr>
              <w:t xml:space="preserve">Financial management, including </w:t>
            </w:r>
            <w:r w:rsidR="0046449A" w:rsidRPr="001A54F6">
              <w:rPr>
                <w:color w:val="000000" w:themeColor="text1"/>
                <w:sz w:val="20"/>
                <w:szCs w:val="20"/>
              </w:rPr>
              <w:t xml:space="preserve">partner </w:t>
            </w:r>
            <w:r w:rsidRPr="001A54F6">
              <w:rPr>
                <w:color w:val="000000" w:themeColor="text1"/>
                <w:sz w:val="20"/>
                <w:szCs w:val="20"/>
              </w:rPr>
              <w:t>grant disbursement</w:t>
            </w:r>
            <w:r w:rsidR="0046449A" w:rsidRPr="001A54F6">
              <w:rPr>
                <w:color w:val="000000" w:themeColor="text1"/>
                <w:sz w:val="20"/>
                <w:szCs w:val="20"/>
              </w:rPr>
              <w:t>s, acquittals, financial audits</w:t>
            </w:r>
            <w:r w:rsidR="00F76377">
              <w:rPr>
                <w:color w:val="000000" w:themeColor="text1"/>
                <w:sz w:val="20"/>
                <w:szCs w:val="20"/>
              </w:rPr>
              <w:t>,</w:t>
            </w:r>
            <w:r w:rsidR="0046449A" w:rsidRPr="001A54F6">
              <w:rPr>
                <w:color w:val="000000" w:themeColor="text1"/>
                <w:sz w:val="20"/>
                <w:szCs w:val="20"/>
              </w:rPr>
              <w:t xml:space="preserve"> and due diligence</w:t>
            </w:r>
          </w:p>
        </w:tc>
      </w:tr>
      <w:tr w:rsidR="0046449A" w:rsidRPr="001A54F6" w14:paraId="33357DC0" w14:textId="77777777" w:rsidTr="00F76377">
        <w:tc>
          <w:tcPr>
            <w:tcW w:w="3994" w:type="dxa"/>
          </w:tcPr>
          <w:p w14:paraId="7005CE76" w14:textId="77777777" w:rsidR="0036780D" w:rsidRPr="001A54F6" w:rsidRDefault="0046449A" w:rsidP="00791619">
            <w:pPr>
              <w:pStyle w:val="ListParagraph"/>
              <w:numPr>
                <w:ilvl w:val="0"/>
                <w:numId w:val="31"/>
              </w:numPr>
              <w:jc w:val="both"/>
              <w:rPr>
                <w:color w:val="000000" w:themeColor="text1"/>
                <w:sz w:val="20"/>
                <w:szCs w:val="20"/>
              </w:rPr>
            </w:pPr>
            <w:r w:rsidRPr="001A54F6">
              <w:rPr>
                <w:color w:val="000000" w:themeColor="text1"/>
                <w:sz w:val="20"/>
                <w:szCs w:val="20"/>
              </w:rPr>
              <w:t>Partner templates and guidelines:</w:t>
            </w:r>
          </w:p>
          <w:p w14:paraId="07C35E9A" w14:textId="66F7B997" w:rsidR="0046449A" w:rsidRPr="001A54F6" w:rsidRDefault="0046449A" w:rsidP="00791619">
            <w:pPr>
              <w:pStyle w:val="ListParagraph"/>
              <w:numPr>
                <w:ilvl w:val="1"/>
                <w:numId w:val="31"/>
              </w:numPr>
              <w:ind w:left="806"/>
              <w:jc w:val="both"/>
              <w:rPr>
                <w:color w:val="000000" w:themeColor="text1"/>
                <w:sz w:val="20"/>
                <w:szCs w:val="20"/>
              </w:rPr>
            </w:pPr>
            <w:r w:rsidRPr="001A54F6">
              <w:rPr>
                <w:color w:val="000000" w:themeColor="text1"/>
                <w:sz w:val="20"/>
                <w:szCs w:val="20"/>
              </w:rPr>
              <w:t>Planning</w:t>
            </w:r>
            <w:r w:rsidR="001A54F6" w:rsidRPr="001A54F6">
              <w:rPr>
                <w:color w:val="000000" w:themeColor="text1"/>
                <w:sz w:val="20"/>
                <w:szCs w:val="20"/>
              </w:rPr>
              <w:t xml:space="preserve"> and activity development</w:t>
            </w:r>
          </w:p>
          <w:p w14:paraId="4F464967" w14:textId="084986C1" w:rsidR="0046449A" w:rsidRPr="001A54F6" w:rsidRDefault="0046449A" w:rsidP="00791619">
            <w:pPr>
              <w:pStyle w:val="ListParagraph"/>
              <w:numPr>
                <w:ilvl w:val="1"/>
                <w:numId w:val="31"/>
              </w:numPr>
              <w:ind w:left="806"/>
              <w:jc w:val="both"/>
              <w:rPr>
                <w:color w:val="000000" w:themeColor="text1"/>
                <w:sz w:val="20"/>
                <w:szCs w:val="20"/>
              </w:rPr>
            </w:pPr>
            <w:r w:rsidRPr="001A54F6">
              <w:rPr>
                <w:color w:val="000000" w:themeColor="text1"/>
                <w:sz w:val="20"/>
                <w:szCs w:val="20"/>
              </w:rPr>
              <w:t xml:space="preserve">Reporting </w:t>
            </w:r>
          </w:p>
          <w:p w14:paraId="11BCB7E3" w14:textId="172BD9A7" w:rsidR="0046449A" w:rsidRPr="001A54F6" w:rsidRDefault="0046449A" w:rsidP="00791619">
            <w:pPr>
              <w:pStyle w:val="ListParagraph"/>
              <w:numPr>
                <w:ilvl w:val="1"/>
                <w:numId w:val="31"/>
              </w:numPr>
              <w:ind w:left="806"/>
              <w:jc w:val="both"/>
              <w:rPr>
                <w:color w:val="000000" w:themeColor="text1"/>
                <w:sz w:val="20"/>
                <w:szCs w:val="20"/>
              </w:rPr>
            </w:pPr>
            <w:r w:rsidRPr="001A54F6">
              <w:rPr>
                <w:color w:val="000000" w:themeColor="text1"/>
                <w:sz w:val="20"/>
                <w:szCs w:val="20"/>
              </w:rPr>
              <w:t>Budgeting (see below)</w:t>
            </w:r>
          </w:p>
        </w:tc>
        <w:tc>
          <w:tcPr>
            <w:tcW w:w="3944" w:type="dxa"/>
          </w:tcPr>
          <w:p w14:paraId="0FE73052" w14:textId="1FAAB0BF" w:rsidR="0036780D" w:rsidRPr="001A54F6" w:rsidRDefault="0036780D" w:rsidP="00791619">
            <w:pPr>
              <w:pStyle w:val="ListParagraph"/>
              <w:numPr>
                <w:ilvl w:val="0"/>
                <w:numId w:val="30"/>
              </w:numPr>
              <w:jc w:val="both"/>
              <w:rPr>
                <w:color w:val="000000" w:themeColor="text1"/>
                <w:sz w:val="20"/>
                <w:szCs w:val="20"/>
              </w:rPr>
            </w:pPr>
            <w:r w:rsidRPr="001A54F6">
              <w:rPr>
                <w:color w:val="000000" w:themeColor="text1"/>
                <w:sz w:val="20"/>
                <w:szCs w:val="20"/>
              </w:rPr>
              <w:t>Risk management and safeguarding</w:t>
            </w:r>
            <w:r w:rsidR="001A54F6" w:rsidRPr="001A54F6">
              <w:rPr>
                <w:color w:val="000000" w:themeColor="text1"/>
                <w:sz w:val="20"/>
                <w:szCs w:val="20"/>
              </w:rPr>
              <w:t xml:space="preserve"> compliance</w:t>
            </w:r>
          </w:p>
        </w:tc>
      </w:tr>
      <w:tr w:rsidR="0046449A" w:rsidRPr="001A54F6" w14:paraId="28366A8A" w14:textId="77777777" w:rsidTr="00F76377">
        <w:tc>
          <w:tcPr>
            <w:tcW w:w="3994" w:type="dxa"/>
          </w:tcPr>
          <w:p w14:paraId="2625FEED" w14:textId="51C9885E" w:rsidR="0036780D" w:rsidRPr="001A54F6" w:rsidRDefault="0046449A" w:rsidP="00791619">
            <w:pPr>
              <w:pStyle w:val="ListParagraph"/>
              <w:numPr>
                <w:ilvl w:val="0"/>
                <w:numId w:val="31"/>
              </w:numPr>
              <w:jc w:val="both"/>
              <w:rPr>
                <w:color w:val="000000" w:themeColor="text1"/>
                <w:sz w:val="20"/>
                <w:szCs w:val="20"/>
              </w:rPr>
            </w:pPr>
            <w:r w:rsidRPr="001A54F6">
              <w:rPr>
                <w:color w:val="000000" w:themeColor="text1"/>
                <w:sz w:val="20"/>
                <w:szCs w:val="20"/>
              </w:rPr>
              <w:t>Partner MEL and GEDSI guidelines</w:t>
            </w:r>
          </w:p>
        </w:tc>
        <w:tc>
          <w:tcPr>
            <w:tcW w:w="3944" w:type="dxa"/>
          </w:tcPr>
          <w:p w14:paraId="1AB18B37" w14:textId="2EFA099D" w:rsidR="0036780D" w:rsidRPr="001A54F6" w:rsidRDefault="0046449A" w:rsidP="00791619">
            <w:pPr>
              <w:pStyle w:val="ListParagraph"/>
              <w:numPr>
                <w:ilvl w:val="0"/>
                <w:numId w:val="30"/>
              </w:numPr>
              <w:jc w:val="both"/>
              <w:rPr>
                <w:color w:val="000000" w:themeColor="text1"/>
                <w:sz w:val="20"/>
                <w:szCs w:val="20"/>
              </w:rPr>
            </w:pPr>
            <w:r w:rsidRPr="001A54F6">
              <w:rPr>
                <w:color w:val="000000" w:themeColor="text1"/>
                <w:sz w:val="20"/>
                <w:szCs w:val="20"/>
              </w:rPr>
              <w:t xml:space="preserve">Recruitment, procurement, sub-contracting, and grant-making </w:t>
            </w:r>
          </w:p>
        </w:tc>
      </w:tr>
      <w:tr w:rsidR="0046449A" w:rsidRPr="001A54F6" w14:paraId="621A19EF" w14:textId="77777777" w:rsidTr="00F76377">
        <w:tc>
          <w:tcPr>
            <w:tcW w:w="3994" w:type="dxa"/>
          </w:tcPr>
          <w:p w14:paraId="581B9DAF" w14:textId="77777777" w:rsidR="0046449A" w:rsidRPr="001A54F6" w:rsidRDefault="001A54F6" w:rsidP="00791619">
            <w:pPr>
              <w:pStyle w:val="ListParagraph"/>
              <w:numPr>
                <w:ilvl w:val="0"/>
                <w:numId w:val="30"/>
              </w:numPr>
              <w:jc w:val="both"/>
              <w:rPr>
                <w:color w:val="000000" w:themeColor="text1"/>
                <w:sz w:val="20"/>
                <w:szCs w:val="20"/>
              </w:rPr>
            </w:pPr>
            <w:r w:rsidRPr="001A54F6">
              <w:rPr>
                <w:color w:val="000000" w:themeColor="text1"/>
                <w:sz w:val="20"/>
                <w:szCs w:val="20"/>
              </w:rPr>
              <w:t xml:space="preserve">CPP Management and governance: </w:t>
            </w:r>
          </w:p>
          <w:p w14:paraId="05047A51" w14:textId="77777777" w:rsidR="001A54F6" w:rsidRPr="001A54F6" w:rsidRDefault="001A54F6" w:rsidP="00791619">
            <w:pPr>
              <w:pStyle w:val="ListParagraph"/>
              <w:numPr>
                <w:ilvl w:val="1"/>
                <w:numId w:val="31"/>
              </w:numPr>
              <w:ind w:left="806"/>
              <w:jc w:val="both"/>
              <w:rPr>
                <w:color w:val="000000" w:themeColor="text1"/>
                <w:sz w:val="20"/>
                <w:szCs w:val="20"/>
              </w:rPr>
            </w:pPr>
            <w:r w:rsidRPr="001A54F6">
              <w:rPr>
                <w:color w:val="000000" w:themeColor="text1"/>
                <w:sz w:val="20"/>
                <w:szCs w:val="20"/>
              </w:rPr>
              <w:t>Structure and Terms of Reference for positions &amp; governance bodies</w:t>
            </w:r>
          </w:p>
          <w:p w14:paraId="2EB50743" w14:textId="5EF6D061" w:rsidR="001A54F6" w:rsidRPr="001A54F6" w:rsidRDefault="001A54F6" w:rsidP="00791619">
            <w:pPr>
              <w:pStyle w:val="ListParagraph"/>
              <w:numPr>
                <w:ilvl w:val="1"/>
                <w:numId w:val="31"/>
              </w:numPr>
              <w:ind w:left="806"/>
              <w:jc w:val="both"/>
              <w:rPr>
                <w:color w:val="000000" w:themeColor="text1"/>
                <w:sz w:val="20"/>
                <w:szCs w:val="20"/>
              </w:rPr>
            </w:pPr>
            <w:r w:rsidRPr="001A54F6">
              <w:rPr>
                <w:color w:val="000000" w:themeColor="text1"/>
                <w:sz w:val="20"/>
                <w:szCs w:val="20"/>
              </w:rPr>
              <w:t xml:space="preserve">Recording of minutes </w:t>
            </w:r>
            <w:proofErr w:type="spellStart"/>
            <w:r w:rsidRPr="001A54F6">
              <w:rPr>
                <w:color w:val="000000" w:themeColor="text1"/>
                <w:sz w:val="20"/>
                <w:szCs w:val="20"/>
              </w:rPr>
              <w:t>etcl</w:t>
            </w:r>
            <w:proofErr w:type="spellEnd"/>
          </w:p>
        </w:tc>
        <w:tc>
          <w:tcPr>
            <w:tcW w:w="3944" w:type="dxa"/>
          </w:tcPr>
          <w:p w14:paraId="71E46596" w14:textId="365E132C" w:rsidR="0046449A" w:rsidRPr="001A54F6" w:rsidRDefault="0046449A" w:rsidP="00791619">
            <w:pPr>
              <w:pStyle w:val="ListParagraph"/>
              <w:numPr>
                <w:ilvl w:val="0"/>
                <w:numId w:val="30"/>
              </w:numPr>
              <w:jc w:val="both"/>
              <w:rPr>
                <w:color w:val="000000" w:themeColor="text1"/>
                <w:sz w:val="20"/>
                <w:szCs w:val="20"/>
              </w:rPr>
            </w:pPr>
            <w:r w:rsidRPr="001A54F6">
              <w:rPr>
                <w:color w:val="000000" w:themeColor="text1"/>
                <w:sz w:val="20"/>
                <w:szCs w:val="20"/>
              </w:rPr>
              <w:t>Specialist technical assistance</w:t>
            </w:r>
            <w:r w:rsidR="001A54F6" w:rsidRPr="001A54F6">
              <w:rPr>
                <w:color w:val="000000" w:themeColor="text1"/>
                <w:sz w:val="20"/>
                <w:szCs w:val="20"/>
              </w:rPr>
              <w:t xml:space="preserve">: financial management, internal </w:t>
            </w:r>
            <w:proofErr w:type="gramStart"/>
            <w:r w:rsidR="001A54F6" w:rsidRPr="001A54F6">
              <w:rPr>
                <w:color w:val="000000" w:themeColor="text1"/>
                <w:sz w:val="20"/>
                <w:szCs w:val="20"/>
              </w:rPr>
              <w:t>governance</w:t>
            </w:r>
            <w:proofErr w:type="gramEnd"/>
            <w:r w:rsidR="001A54F6" w:rsidRPr="001A54F6">
              <w:rPr>
                <w:color w:val="000000" w:themeColor="text1"/>
                <w:sz w:val="20"/>
                <w:szCs w:val="20"/>
              </w:rPr>
              <w:t xml:space="preserve"> and programmatic areas </w:t>
            </w:r>
          </w:p>
        </w:tc>
      </w:tr>
      <w:tr w:rsidR="002772D5" w:rsidRPr="001A54F6" w14:paraId="509A3F6F" w14:textId="77777777" w:rsidTr="00F76377">
        <w:tc>
          <w:tcPr>
            <w:tcW w:w="3994" w:type="dxa"/>
          </w:tcPr>
          <w:p w14:paraId="3583B46C" w14:textId="502E0615" w:rsidR="002772D5" w:rsidRPr="001A54F6" w:rsidRDefault="002772D5" w:rsidP="00791619">
            <w:pPr>
              <w:pStyle w:val="ListParagraph"/>
              <w:numPr>
                <w:ilvl w:val="0"/>
                <w:numId w:val="30"/>
              </w:numPr>
              <w:jc w:val="both"/>
              <w:rPr>
                <w:color w:val="000000" w:themeColor="text1"/>
                <w:sz w:val="20"/>
                <w:szCs w:val="20"/>
              </w:rPr>
            </w:pPr>
            <w:r>
              <w:rPr>
                <w:color w:val="000000" w:themeColor="text1"/>
                <w:sz w:val="20"/>
                <w:szCs w:val="20"/>
              </w:rPr>
              <w:t>Internal communications</w:t>
            </w:r>
          </w:p>
        </w:tc>
        <w:tc>
          <w:tcPr>
            <w:tcW w:w="3944" w:type="dxa"/>
          </w:tcPr>
          <w:p w14:paraId="18AD6F79" w14:textId="442C6BC6" w:rsidR="002772D5" w:rsidRPr="001A54F6" w:rsidRDefault="002772D5" w:rsidP="00791619">
            <w:pPr>
              <w:pStyle w:val="ListParagraph"/>
              <w:numPr>
                <w:ilvl w:val="0"/>
                <w:numId w:val="30"/>
              </w:numPr>
              <w:jc w:val="both"/>
              <w:rPr>
                <w:color w:val="000000" w:themeColor="text1"/>
                <w:sz w:val="20"/>
                <w:szCs w:val="20"/>
              </w:rPr>
            </w:pPr>
            <w:r>
              <w:rPr>
                <w:color w:val="000000" w:themeColor="text1"/>
                <w:sz w:val="20"/>
                <w:szCs w:val="20"/>
              </w:rPr>
              <w:t>External communications</w:t>
            </w:r>
          </w:p>
        </w:tc>
      </w:tr>
    </w:tbl>
    <w:p w14:paraId="0FD0B9B8" w14:textId="58EBCF06" w:rsidR="00F92671" w:rsidRDefault="0036780D" w:rsidP="00791619">
      <w:pPr>
        <w:pStyle w:val="ListParagraph"/>
        <w:ind w:left="360"/>
        <w:jc w:val="both"/>
        <w:rPr>
          <w:color w:val="000000" w:themeColor="text1"/>
        </w:rPr>
      </w:pPr>
      <w:r>
        <w:rPr>
          <w:color w:val="000000" w:themeColor="text1"/>
        </w:rPr>
        <w:t xml:space="preserve"> </w:t>
      </w:r>
    </w:p>
    <w:p w14:paraId="498835AD" w14:textId="32D3984B" w:rsidR="001A54F6" w:rsidRPr="00F76377" w:rsidRDefault="001A54F6" w:rsidP="00791619">
      <w:pPr>
        <w:pStyle w:val="ListParagraph"/>
        <w:ind w:left="360"/>
        <w:jc w:val="both"/>
        <w:rPr>
          <w:rFonts w:cstheme="minorHAnsi"/>
          <w:color w:val="000000" w:themeColor="text1"/>
        </w:rPr>
      </w:pPr>
      <w:r w:rsidRPr="00F76377">
        <w:rPr>
          <w:rFonts w:cstheme="minorHAnsi"/>
          <w:color w:val="000000" w:themeColor="text1"/>
        </w:rPr>
        <w:t xml:space="preserve">The </w:t>
      </w:r>
      <w:r w:rsidR="00F76377" w:rsidRPr="00F76377">
        <w:rPr>
          <w:rFonts w:cstheme="minorHAnsi"/>
          <w:color w:val="000000" w:themeColor="text1"/>
        </w:rPr>
        <w:t xml:space="preserve">template </w:t>
      </w:r>
      <w:r w:rsidRPr="00F76377">
        <w:rPr>
          <w:rFonts w:cstheme="minorHAnsi"/>
          <w:color w:val="000000" w:themeColor="text1"/>
        </w:rPr>
        <w:t xml:space="preserve">for the development of CPP Partner </w:t>
      </w:r>
      <w:r w:rsidR="00F76377" w:rsidRPr="00F76377">
        <w:rPr>
          <w:rFonts w:cstheme="minorHAnsi"/>
          <w:color w:val="000000" w:themeColor="text1"/>
        </w:rPr>
        <w:t xml:space="preserve">budgets </w:t>
      </w:r>
      <w:r w:rsidRPr="00F76377">
        <w:rPr>
          <w:rFonts w:cstheme="minorHAnsi"/>
          <w:color w:val="000000" w:themeColor="text1"/>
        </w:rPr>
        <w:t xml:space="preserve">will include a guide for the proportion of grant to be </w:t>
      </w:r>
      <w:r w:rsidR="00F76377" w:rsidRPr="00F76377">
        <w:rPr>
          <w:rFonts w:cstheme="minorHAnsi"/>
          <w:color w:val="000000" w:themeColor="text1"/>
        </w:rPr>
        <w:t>allocate</w:t>
      </w:r>
      <w:r w:rsidR="00F76377">
        <w:rPr>
          <w:rFonts w:cstheme="minorHAnsi"/>
          <w:color w:val="000000" w:themeColor="text1"/>
        </w:rPr>
        <w:t>d</w:t>
      </w:r>
      <w:r w:rsidR="00F76377" w:rsidRPr="00F76377">
        <w:rPr>
          <w:rFonts w:cstheme="minorHAnsi"/>
          <w:color w:val="000000" w:themeColor="text1"/>
        </w:rPr>
        <w:t xml:space="preserve"> to</w:t>
      </w:r>
      <w:r w:rsidRPr="00F76377">
        <w:rPr>
          <w:rFonts w:cstheme="minorHAnsi"/>
          <w:color w:val="000000" w:themeColor="text1"/>
        </w:rPr>
        <w:t xml:space="preserve"> pillars and management lines. The table below is indicative only</w:t>
      </w:r>
      <w:r w:rsidR="008A01C4">
        <w:rPr>
          <w:rFonts w:cstheme="minorHAnsi"/>
          <w:color w:val="000000" w:themeColor="text1"/>
        </w:rPr>
        <w:t xml:space="preserve">. The </w:t>
      </w:r>
      <w:r w:rsidR="008A01C4">
        <w:rPr>
          <w:rFonts w:cstheme="minorHAnsi"/>
          <w:color w:val="000000" w:themeColor="text1"/>
        </w:rPr>
        <w:lastRenderedPageBreak/>
        <w:t>budget weightings are for</w:t>
      </w:r>
      <w:r w:rsidR="00F76377">
        <w:rPr>
          <w:rFonts w:cstheme="minorHAnsi"/>
          <w:color w:val="000000" w:themeColor="text1"/>
        </w:rPr>
        <w:t xml:space="preserve"> discuss</w:t>
      </w:r>
      <w:r w:rsidR="008A01C4">
        <w:rPr>
          <w:rFonts w:cstheme="minorHAnsi"/>
          <w:color w:val="000000" w:themeColor="text1"/>
        </w:rPr>
        <w:t>ion with all CPP partners</w:t>
      </w:r>
      <w:r w:rsidR="00F76377">
        <w:rPr>
          <w:rFonts w:cstheme="minorHAnsi"/>
          <w:color w:val="000000" w:themeColor="text1"/>
        </w:rPr>
        <w:t xml:space="preserve"> and confirm</w:t>
      </w:r>
      <w:r w:rsidR="008A01C4">
        <w:rPr>
          <w:rFonts w:cstheme="minorHAnsi"/>
          <w:color w:val="000000" w:themeColor="text1"/>
        </w:rPr>
        <w:t>ation</w:t>
      </w:r>
      <w:r w:rsidR="00F76377">
        <w:rPr>
          <w:rFonts w:cstheme="minorHAnsi"/>
          <w:color w:val="000000" w:themeColor="text1"/>
        </w:rPr>
        <w:t xml:space="preserve"> in the Inception period</w:t>
      </w:r>
      <w:r w:rsidRPr="00F76377">
        <w:rPr>
          <w:rFonts w:cstheme="minorHAnsi"/>
          <w:color w:val="000000" w:themeColor="text1"/>
        </w:rPr>
        <w:t xml:space="preserve">. </w:t>
      </w:r>
    </w:p>
    <w:tbl>
      <w:tblPr>
        <w:tblStyle w:val="TableGrid"/>
        <w:tblW w:w="0" w:type="auto"/>
        <w:jc w:val="center"/>
        <w:tblLook w:val="04A0" w:firstRow="1" w:lastRow="0" w:firstColumn="1" w:lastColumn="0" w:noHBand="0" w:noVBand="1"/>
      </w:tblPr>
      <w:tblGrid>
        <w:gridCol w:w="4820"/>
        <w:gridCol w:w="850"/>
      </w:tblGrid>
      <w:tr w:rsidR="001A54F6" w:rsidRPr="00183800" w14:paraId="47EC8985" w14:textId="77777777" w:rsidTr="00DB45FA">
        <w:trPr>
          <w:trHeight w:val="300"/>
          <w:jc w:val="center"/>
        </w:trPr>
        <w:tc>
          <w:tcPr>
            <w:tcW w:w="5670" w:type="dxa"/>
            <w:gridSpan w:val="2"/>
            <w:shd w:val="clear" w:color="auto" w:fill="BFBFBF" w:themeFill="background1" w:themeFillShade="BF"/>
            <w:hideMark/>
          </w:tcPr>
          <w:p w14:paraId="098011A8" w14:textId="77777777" w:rsidR="001A54F6" w:rsidRPr="00183800" w:rsidRDefault="001A54F6" w:rsidP="00791619">
            <w:pPr>
              <w:jc w:val="both"/>
              <w:rPr>
                <w:b/>
                <w:bCs/>
                <w:sz w:val="20"/>
                <w:szCs w:val="20"/>
              </w:rPr>
            </w:pPr>
            <w:r w:rsidRPr="00183800">
              <w:rPr>
                <w:b/>
                <w:bCs/>
                <w:sz w:val="20"/>
                <w:szCs w:val="20"/>
              </w:rPr>
              <w:t>Partner Grant Budgets: Indicative Breakdown</w:t>
            </w:r>
          </w:p>
          <w:p w14:paraId="11320B6A" w14:textId="77777777" w:rsidR="001A54F6" w:rsidRPr="00183800" w:rsidRDefault="001A54F6" w:rsidP="00791619">
            <w:pPr>
              <w:jc w:val="both"/>
              <w:rPr>
                <w:b/>
                <w:bCs/>
                <w:sz w:val="20"/>
                <w:szCs w:val="20"/>
              </w:rPr>
            </w:pPr>
          </w:p>
        </w:tc>
      </w:tr>
      <w:tr w:rsidR="001A54F6" w:rsidRPr="00183800" w14:paraId="35491580" w14:textId="77777777" w:rsidTr="00DB45FA">
        <w:trPr>
          <w:trHeight w:val="300"/>
          <w:jc w:val="center"/>
        </w:trPr>
        <w:tc>
          <w:tcPr>
            <w:tcW w:w="4820" w:type="dxa"/>
            <w:shd w:val="clear" w:color="auto" w:fill="BFBFBF" w:themeFill="background1" w:themeFillShade="BF"/>
          </w:tcPr>
          <w:p w14:paraId="58648D01" w14:textId="77777777" w:rsidR="001A54F6" w:rsidRPr="00183800" w:rsidRDefault="001A54F6" w:rsidP="00791619">
            <w:pPr>
              <w:jc w:val="both"/>
              <w:rPr>
                <w:b/>
                <w:bCs/>
                <w:sz w:val="20"/>
                <w:szCs w:val="20"/>
              </w:rPr>
            </w:pPr>
            <w:r w:rsidRPr="00183800">
              <w:rPr>
                <w:b/>
                <w:bCs/>
                <w:sz w:val="20"/>
                <w:szCs w:val="20"/>
              </w:rPr>
              <w:t> Budget line</w:t>
            </w:r>
          </w:p>
        </w:tc>
        <w:tc>
          <w:tcPr>
            <w:tcW w:w="850" w:type="dxa"/>
            <w:shd w:val="clear" w:color="auto" w:fill="BFBFBF" w:themeFill="background1" w:themeFillShade="BF"/>
          </w:tcPr>
          <w:p w14:paraId="24824977" w14:textId="77777777" w:rsidR="001A54F6" w:rsidRPr="00183800" w:rsidRDefault="001A54F6" w:rsidP="00791619">
            <w:pPr>
              <w:jc w:val="both"/>
              <w:rPr>
                <w:b/>
                <w:bCs/>
                <w:sz w:val="20"/>
                <w:szCs w:val="20"/>
              </w:rPr>
            </w:pPr>
            <w:r w:rsidRPr="00183800">
              <w:rPr>
                <w:b/>
                <w:bCs/>
                <w:sz w:val="20"/>
                <w:szCs w:val="20"/>
              </w:rPr>
              <w:t>%</w:t>
            </w:r>
          </w:p>
        </w:tc>
      </w:tr>
      <w:tr w:rsidR="001A54F6" w:rsidRPr="00183800" w14:paraId="127F7D3A" w14:textId="77777777" w:rsidTr="00DB45FA">
        <w:trPr>
          <w:trHeight w:val="300"/>
          <w:jc w:val="center"/>
        </w:trPr>
        <w:tc>
          <w:tcPr>
            <w:tcW w:w="4820" w:type="dxa"/>
            <w:hideMark/>
          </w:tcPr>
          <w:p w14:paraId="4FCA9CFA" w14:textId="77777777" w:rsidR="001A54F6" w:rsidRPr="00183800" w:rsidRDefault="001A54F6" w:rsidP="00791619">
            <w:pPr>
              <w:jc w:val="both"/>
              <w:rPr>
                <w:sz w:val="20"/>
                <w:szCs w:val="20"/>
              </w:rPr>
            </w:pPr>
            <w:r w:rsidRPr="00183800">
              <w:rPr>
                <w:sz w:val="20"/>
                <w:szCs w:val="20"/>
              </w:rPr>
              <w:t>Pillar 1: Information access and evidence generation</w:t>
            </w:r>
          </w:p>
        </w:tc>
        <w:tc>
          <w:tcPr>
            <w:tcW w:w="850" w:type="dxa"/>
            <w:hideMark/>
          </w:tcPr>
          <w:p w14:paraId="2AF4F59E" w14:textId="6F1889DA" w:rsidR="001A54F6" w:rsidRPr="00183800" w:rsidRDefault="009D785D" w:rsidP="00791619">
            <w:pPr>
              <w:jc w:val="both"/>
              <w:rPr>
                <w:sz w:val="20"/>
                <w:szCs w:val="20"/>
              </w:rPr>
            </w:pPr>
            <w:r>
              <w:rPr>
                <w:sz w:val="20"/>
                <w:szCs w:val="20"/>
              </w:rPr>
              <w:t>23</w:t>
            </w:r>
            <w:r w:rsidR="001A54F6" w:rsidRPr="00183800">
              <w:rPr>
                <w:sz w:val="20"/>
                <w:szCs w:val="20"/>
              </w:rPr>
              <w:t>%</w:t>
            </w:r>
          </w:p>
        </w:tc>
      </w:tr>
      <w:tr w:rsidR="001A54F6" w:rsidRPr="00183800" w14:paraId="168F7EFD" w14:textId="77777777" w:rsidTr="00DB45FA">
        <w:trPr>
          <w:trHeight w:val="297"/>
          <w:jc w:val="center"/>
        </w:trPr>
        <w:tc>
          <w:tcPr>
            <w:tcW w:w="4820" w:type="dxa"/>
            <w:hideMark/>
          </w:tcPr>
          <w:p w14:paraId="3FF3D0D8" w14:textId="77777777" w:rsidR="001A54F6" w:rsidRPr="00183800" w:rsidRDefault="001A54F6" w:rsidP="00791619">
            <w:pPr>
              <w:jc w:val="both"/>
              <w:rPr>
                <w:sz w:val="20"/>
                <w:szCs w:val="20"/>
              </w:rPr>
            </w:pPr>
            <w:r w:rsidRPr="00183800">
              <w:rPr>
                <w:sz w:val="20"/>
                <w:szCs w:val="20"/>
              </w:rPr>
              <w:t>Pillar 2: Social accountability</w:t>
            </w:r>
          </w:p>
        </w:tc>
        <w:tc>
          <w:tcPr>
            <w:tcW w:w="850" w:type="dxa"/>
            <w:hideMark/>
          </w:tcPr>
          <w:p w14:paraId="079FBFD8" w14:textId="77777777" w:rsidR="001A54F6" w:rsidRPr="00183800" w:rsidRDefault="001A54F6" w:rsidP="00791619">
            <w:pPr>
              <w:jc w:val="both"/>
              <w:rPr>
                <w:sz w:val="20"/>
                <w:szCs w:val="20"/>
              </w:rPr>
            </w:pPr>
            <w:r w:rsidRPr="00183800">
              <w:rPr>
                <w:sz w:val="20"/>
                <w:szCs w:val="20"/>
              </w:rPr>
              <w:t>15%</w:t>
            </w:r>
          </w:p>
        </w:tc>
      </w:tr>
      <w:tr w:rsidR="001A54F6" w:rsidRPr="00183800" w14:paraId="4FBF8F7F" w14:textId="77777777" w:rsidTr="00DB45FA">
        <w:trPr>
          <w:trHeight w:val="300"/>
          <w:jc w:val="center"/>
        </w:trPr>
        <w:tc>
          <w:tcPr>
            <w:tcW w:w="4820" w:type="dxa"/>
            <w:hideMark/>
          </w:tcPr>
          <w:p w14:paraId="1A076842" w14:textId="77777777" w:rsidR="001A54F6" w:rsidRPr="00183800" w:rsidRDefault="001A54F6" w:rsidP="00791619">
            <w:pPr>
              <w:jc w:val="both"/>
              <w:rPr>
                <w:sz w:val="20"/>
                <w:szCs w:val="20"/>
              </w:rPr>
            </w:pPr>
            <w:r w:rsidRPr="00183800">
              <w:rPr>
                <w:sz w:val="20"/>
                <w:szCs w:val="20"/>
              </w:rPr>
              <w:t>Pillar 3: Gender Equality Theology and GEDSI</w:t>
            </w:r>
          </w:p>
        </w:tc>
        <w:tc>
          <w:tcPr>
            <w:tcW w:w="850" w:type="dxa"/>
            <w:hideMark/>
          </w:tcPr>
          <w:p w14:paraId="2937763B" w14:textId="77777777" w:rsidR="001A54F6" w:rsidRPr="00183800" w:rsidRDefault="001A54F6" w:rsidP="00791619">
            <w:pPr>
              <w:jc w:val="both"/>
              <w:rPr>
                <w:sz w:val="20"/>
                <w:szCs w:val="20"/>
              </w:rPr>
            </w:pPr>
            <w:r w:rsidRPr="00183800">
              <w:rPr>
                <w:sz w:val="20"/>
                <w:szCs w:val="20"/>
              </w:rPr>
              <w:t>15%</w:t>
            </w:r>
          </w:p>
        </w:tc>
      </w:tr>
      <w:tr w:rsidR="001A54F6" w:rsidRPr="00183800" w14:paraId="7570A893" w14:textId="77777777" w:rsidTr="00DB45FA">
        <w:trPr>
          <w:trHeight w:val="300"/>
          <w:jc w:val="center"/>
        </w:trPr>
        <w:tc>
          <w:tcPr>
            <w:tcW w:w="4820" w:type="dxa"/>
            <w:hideMark/>
          </w:tcPr>
          <w:p w14:paraId="02F0E1B8" w14:textId="77777777" w:rsidR="001A54F6" w:rsidRPr="00183800" w:rsidRDefault="001A54F6" w:rsidP="00791619">
            <w:pPr>
              <w:jc w:val="both"/>
              <w:rPr>
                <w:sz w:val="20"/>
                <w:szCs w:val="20"/>
              </w:rPr>
            </w:pPr>
            <w:r w:rsidRPr="00183800">
              <w:rPr>
                <w:sz w:val="20"/>
                <w:szCs w:val="20"/>
              </w:rPr>
              <w:t>Pillar 4: Partner development and collaboration</w:t>
            </w:r>
          </w:p>
        </w:tc>
        <w:tc>
          <w:tcPr>
            <w:tcW w:w="850" w:type="dxa"/>
            <w:hideMark/>
          </w:tcPr>
          <w:p w14:paraId="6E0FF681" w14:textId="65F20E45" w:rsidR="001A54F6" w:rsidRPr="00183800" w:rsidRDefault="009D785D" w:rsidP="00791619">
            <w:pPr>
              <w:jc w:val="both"/>
              <w:rPr>
                <w:sz w:val="20"/>
                <w:szCs w:val="20"/>
              </w:rPr>
            </w:pPr>
            <w:r>
              <w:rPr>
                <w:sz w:val="20"/>
                <w:szCs w:val="20"/>
              </w:rPr>
              <w:t>20</w:t>
            </w:r>
            <w:r w:rsidR="001A54F6" w:rsidRPr="00183800">
              <w:rPr>
                <w:sz w:val="20"/>
                <w:szCs w:val="20"/>
              </w:rPr>
              <w:t>%</w:t>
            </w:r>
          </w:p>
        </w:tc>
      </w:tr>
      <w:tr w:rsidR="001A54F6" w:rsidRPr="00183800" w14:paraId="010102EE" w14:textId="77777777" w:rsidTr="00DB45FA">
        <w:trPr>
          <w:trHeight w:val="300"/>
          <w:jc w:val="center"/>
        </w:trPr>
        <w:tc>
          <w:tcPr>
            <w:tcW w:w="4820" w:type="dxa"/>
            <w:hideMark/>
          </w:tcPr>
          <w:p w14:paraId="7E000DF4" w14:textId="77777777" w:rsidR="001A54F6" w:rsidRPr="00183800" w:rsidRDefault="001A54F6" w:rsidP="00791619">
            <w:pPr>
              <w:jc w:val="both"/>
              <w:rPr>
                <w:sz w:val="20"/>
                <w:szCs w:val="20"/>
              </w:rPr>
            </w:pPr>
            <w:r w:rsidRPr="00183800">
              <w:rPr>
                <w:sz w:val="20"/>
                <w:szCs w:val="20"/>
              </w:rPr>
              <w:t xml:space="preserve">Management </w:t>
            </w:r>
          </w:p>
        </w:tc>
        <w:tc>
          <w:tcPr>
            <w:tcW w:w="850" w:type="dxa"/>
            <w:hideMark/>
          </w:tcPr>
          <w:p w14:paraId="632441E6" w14:textId="77777777" w:rsidR="001A54F6" w:rsidRPr="00183800" w:rsidRDefault="001A54F6" w:rsidP="00791619">
            <w:pPr>
              <w:jc w:val="both"/>
              <w:rPr>
                <w:sz w:val="20"/>
                <w:szCs w:val="20"/>
              </w:rPr>
            </w:pPr>
          </w:p>
        </w:tc>
      </w:tr>
      <w:tr w:rsidR="001A54F6" w:rsidRPr="00183800" w14:paraId="565DAEA2" w14:textId="77777777" w:rsidTr="00DB45FA">
        <w:trPr>
          <w:trHeight w:val="300"/>
          <w:jc w:val="center"/>
        </w:trPr>
        <w:tc>
          <w:tcPr>
            <w:tcW w:w="4820" w:type="dxa"/>
            <w:hideMark/>
          </w:tcPr>
          <w:p w14:paraId="1EDA06EE" w14:textId="77777777" w:rsidR="001A54F6" w:rsidRPr="00183800" w:rsidRDefault="001A54F6" w:rsidP="00791619">
            <w:pPr>
              <w:pStyle w:val="ListParagraph"/>
              <w:numPr>
                <w:ilvl w:val="0"/>
                <w:numId w:val="23"/>
              </w:numPr>
              <w:ind w:left="316" w:hanging="339"/>
              <w:jc w:val="both"/>
              <w:rPr>
                <w:sz w:val="20"/>
                <w:szCs w:val="20"/>
              </w:rPr>
            </w:pPr>
            <w:r w:rsidRPr="00183800">
              <w:rPr>
                <w:sz w:val="20"/>
                <w:szCs w:val="20"/>
              </w:rPr>
              <w:t>Prime program management and quality assurance</w:t>
            </w:r>
          </w:p>
        </w:tc>
        <w:tc>
          <w:tcPr>
            <w:tcW w:w="850" w:type="dxa"/>
            <w:hideMark/>
          </w:tcPr>
          <w:p w14:paraId="2D48A138" w14:textId="77777777" w:rsidR="001A54F6" w:rsidRPr="00183800" w:rsidRDefault="001A54F6" w:rsidP="00791619">
            <w:pPr>
              <w:jc w:val="both"/>
              <w:rPr>
                <w:sz w:val="20"/>
                <w:szCs w:val="20"/>
              </w:rPr>
            </w:pPr>
            <w:r w:rsidRPr="00183800">
              <w:rPr>
                <w:sz w:val="20"/>
                <w:szCs w:val="20"/>
              </w:rPr>
              <w:t>10%</w:t>
            </w:r>
          </w:p>
        </w:tc>
      </w:tr>
      <w:tr w:rsidR="001A54F6" w:rsidRPr="00183800" w14:paraId="538E917D" w14:textId="77777777" w:rsidTr="00DB45FA">
        <w:trPr>
          <w:trHeight w:val="300"/>
          <w:jc w:val="center"/>
        </w:trPr>
        <w:tc>
          <w:tcPr>
            <w:tcW w:w="4820" w:type="dxa"/>
            <w:hideMark/>
          </w:tcPr>
          <w:p w14:paraId="63015168" w14:textId="77777777" w:rsidR="001A54F6" w:rsidRPr="00183800" w:rsidRDefault="001A54F6" w:rsidP="00791619">
            <w:pPr>
              <w:pStyle w:val="ListParagraph"/>
              <w:numPr>
                <w:ilvl w:val="0"/>
                <w:numId w:val="23"/>
              </w:numPr>
              <w:ind w:left="316" w:hanging="339"/>
              <w:jc w:val="both"/>
              <w:rPr>
                <w:sz w:val="20"/>
                <w:szCs w:val="20"/>
              </w:rPr>
            </w:pPr>
            <w:r w:rsidRPr="00183800">
              <w:rPr>
                <w:sz w:val="20"/>
                <w:szCs w:val="20"/>
              </w:rPr>
              <w:t>In-country program management</w:t>
            </w:r>
          </w:p>
        </w:tc>
        <w:tc>
          <w:tcPr>
            <w:tcW w:w="850" w:type="dxa"/>
            <w:hideMark/>
          </w:tcPr>
          <w:p w14:paraId="449CEF21" w14:textId="77777777" w:rsidR="001A54F6" w:rsidRPr="00183800" w:rsidRDefault="001A54F6" w:rsidP="00791619">
            <w:pPr>
              <w:jc w:val="both"/>
              <w:rPr>
                <w:sz w:val="20"/>
                <w:szCs w:val="20"/>
              </w:rPr>
            </w:pPr>
            <w:r w:rsidRPr="00183800">
              <w:rPr>
                <w:sz w:val="20"/>
                <w:szCs w:val="20"/>
              </w:rPr>
              <w:t>8%</w:t>
            </w:r>
          </w:p>
        </w:tc>
      </w:tr>
      <w:tr w:rsidR="001A54F6" w:rsidRPr="00183800" w14:paraId="71B831A5" w14:textId="77777777" w:rsidTr="00DB45FA">
        <w:trPr>
          <w:trHeight w:val="300"/>
          <w:jc w:val="center"/>
        </w:trPr>
        <w:tc>
          <w:tcPr>
            <w:tcW w:w="4820" w:type="dxa"/>
            <w:hideMark/>
          </w:tcPr>
          <w:p w14:paraId="1F7053B6" w14:textId="77777777" w:rsidR="001A54F6" w:rsidRPr="00183800" w:rsidRDefault="001A54F6" w:rsidP="00791619">
            <w:pPr>
              <w:pStyle w:val="ListParagraph"/>
              <w:numPr>
                <w:ilvl w:val="0"/>
                <w:numId w:val="23"/>
              </w:numPr>
              <w:ind w:left="316" w:hanging="339"/>
              <w:jc w:val="both"/>
              <w:rPr>
                <w:sz w:val="20"/>
                <w:szCs w:val="20"/>
              </w:rPr>
            </w:pPr>
            <w:r w:rsidRPr="00183800">
              <w:rPr>
                <w:sz w:val="20"/>
                <w:szCs w:val="20"/>
              </w:rPr>
              <w:t>MEL</w:t>
            </w:r>
          </w:p>
        </w:tc>
        <w:tc>
          <w:tcPr>
            <w:tcW w:w="850" w:type="dxa"/>
            <w:hideMark/>
          </w:tcPr>
          <w:p w14:paraId="334824CA" w14:textId="626AD92E" w:rsidR="001A54F6" w:rsidRPr="00183800" w:rsidRDefault="005C2791" w:rsidP="00791619">
            <w:pPr>
              <w:jc w:val="both"/>
              <w:rPr>
                <w:sz w:val="20"/>
                <w:szCs w:val="20"/>
              </w:rPr>
            </w:pPr>
            <w:r>
              <w:rPr>
                <w:sz w:val="20"/>
                <w:szCs w:val="20"/>
              </w:rPr>
              <w:t>10</w:t>
            </w:r>
            <w:r w:rsidR="001A54F6" w:rsidRPr="00183800">
              <w:rPr>
                <w:sz w:val="20"/>
                <w:szCs w:val="20"/>
              </w:rPr>
              <w:t>%</w:t>
            </w:r>
          </w:p>
        </w:tc>
      </w:tr>
    </w:tbl>
    <w:p w14:paraId="77DE3475" w14:textId="77777777" w:rsidR="00F76377" w:rsidRPr="00F76377" w:rsidRDefault="00F76377" w:rsidP="00791619">
      <w:pPr>
        <w:pStyle w:val="ListParagraph"/>
        <w:ind w:left="360"/>
        <w:jc w:val="both"/>
      </w:pPr>
    </w:p>
    <w:p w14:paraId="1F8A4FD9" w14:textId="66AC379B" w:rsidR="00E03688" w:rsidRDefault="00E03688" w:rsidP="00791619">
      <w:pPr>
        <w:pStyle w:val="ListParagraph"/>
        <w:numPr>
          <w:ilvl w:val="0"/>
          <w:numId w:val="27"/>
        </w:numPr>
        <w:jc w:val="both"/>
      </w:pPr>
      <w:r w:rsidRPr="00E03688">
        <w:rPr>
          <w:b/>
          <w:bCs/>
        </w:rPr>
        <w:t xml:space="preserve">Consolidated </w:t>
      </w:r>
      <w:r w:rsidR="00F92671">
        <w:rPr>
          <w:b/>
          <w:bCs/>
        </w:rPr>
        <w:t>a</w:t>
      </w:r>
      <w:r w:rsidR="00536BBE" w:rsidRPr="00E03688">
        <w:rPr>
          <w:b/>
          <w:bCs/>
        </w:rPr>
        <w:t xml:space="preserve">nnual </w:t>
      </w:r>
      <w:r w:rsidRPr="00E03688">
        <w:rPr>
          <w:b/>
          <w:bCs/>
        </w:rPr>
        <w:t xml:space="preserve">CPP </w:t>
      </w:r>
      <w:r w:rsidR="00F92671">
        <w:rPr>
          <w:b/>
          <w:bCs/>
        </w:rPr>
        <w:t>w</w:t>
      </w:r>
      <w:r w:rsidR="00536BBE" w:rsidRPr="00E03688">
        <w:rPr>
          <w:b/>
          <w:bCs/>
        </w:rPr>
        <w:t>ork-plans and budgets</w:t>
      </w:r>
      <w:r w:rsidR="00536BBE">
        <w:t xml:space="preserve">: to be developed under the three-year </w:t>
      </w:r>
      <w:r>
        <w:t>Implementation P</w:t>
      </w:r>
      <w:r w:rsidR="00536BBE">
        <w:t>lan</w:t>
      </w:r>
      <w:r>
        <w:t xml:space="preserve"> for approval by DFAT on an annual basis. The consolidate Program work plan should provide a summary of CPP partner work-plans and include the CPPCO work-plan activities. </w:t>
      </w:r>
      <w:r w:rsidR="00536BBE">
        <w:t xml:space="preserve"> </w:t>
      </w:r>
      <w:r>
        <w:t xml:space="preserve"> </w:t>
      </w:r>
    </w:p>
    <w:p w14:paraId="7F6FBE4C" w14:textId="77777777" w:rsidR="00E03688" w:rsidRDefault="00E03688" w:rsidP="00791619">
      <w:pPr>
        <w:pStyle w:val="ListParagraph"/>
        <w:jc w:val="both"/>
      </w:pPr>
    </w:p>
    <w:p w14:paraId="06DC34FE" w14:textId="562714E2" w:rsidR="00536BBE" w:rsidRDefault="00536BBE" w:rsidP="00791619">
      <w:pPr>
        <w:pStyle w:val="ListParagraph"/>
        <w:numPr>
          <w:ilvl w:val="0"/>
          <w:numId w:val="27"/>
        </w:numPr>
        <w:jc w:val="both"/>
      </w:pPr>
      <w:r w:rsidRPr="00D84678">
        <w:rPr>
          <w:b/>
          <w:bCs/>
        </w:rPr>
        <w:t>Progress reports</w:t>
      </w:r>
      <w:r>
        <w:rPr>
          <w:b/>
          <w:bCs/>
        </w:rPr>
        <w:t xml:space="preserve"> and </w:t>
      </w:r>
      <w:r w:rsidR="00E03688">
        <w:rPr>
          <w:b/>
          <w:bCs/>
        </w:rPr>
        <w:t xml:space="preserve">partner </w:t>
      </w:r>
      <w:r>
        <w:rPr>
          <w:b/>
          <w:bCs/>
        </w:rPr>
        <w:t>annual audits</w:t>
      </w:r>
      <w:r>
        <w:t xml:space="preserve">: The </w:t>
      </w:r>
      <w:r w:rsidR="00E03688">
        <w:t xml:space="preserve">CPPCO </w:t>
      </w:r>
      <w:r w:rsidR="00F92671">
        <w:t xml:space="preserve">will collect CPP partner progress reports to assemble regular consolidated CPP progress reports. The BCEP PMT will be responsible for managing annual partner financial audits. </w:t>
      </w:r>
    </w:p>
    <w:p w14:paraId="4BFB6EC8" w14:textId="77777777" w:rsidR="00F92671" w:rsidRDefault="00F92671" w:rsidP="00791619">
      <w:pPr>
        <w:pStyle w:val="ListParagraph"/>
        <w:jc w:val="both"/>
      </w:pPr>
    </w:p>
    <w:p w14:paraId="237EB6D7" w14:textId="7A864112" w:rsidR="00B95405" w:rsidRDefault="00D30C4F" w:rsidP="00791619">
      <w:pPr>
        <w:pStyle w:val="ListParagraph"/>
        <w:numPr>
          <w:ilvl w:val="0"/>
          <w:numId w:val="27"/>
        </w:numPr>
        <w:jc w:val="both"/>
      </w:pPr>
      <w:r w:rsidRPr="00D04804">
        <w:rPr>
          <w:b/>
          <w:bCs/>
        </w:rPr>
        <w:t xml:space="preserve">GEDSI </w:t>
      </w:r>
      <w:r w:rsidR="001B4E1B">
        <w:rPr>
          <w:b/>
          <w:bCs/>
        </w:rPr>
        <w:t xml:space="preserve">approach and </w:t>
      </w:r>
      <w:r w:rsidRPr="00D04804">
        <w:rPr>
          <w:b/>
          <w:bCs/>
        </w:rPr>
        <w:t>action plan:</w:t>
      </w:r>
      <w:r w:rsidRPr="0012389B">
        <w:t xml:space="preserve">  </w:t>
      </w:r>
      <w:r w:rsidR="001C463A" w:rsidRPr="0012389B">
        <w:t xml:space="preserve">The </w:t>
      </w:r>
      <w:r w:rsidR="001C463A">
        <w:t xml:space="preserve">CPP GEDSI approach and action plan will based on </w:t>
      </w:r>
      <w:r w:rsidR="00B661BE">
        <w:t xml:space="preserve">CPP </w:t>
      </w:r>
      <w:r w:rsidR="001C463A" w:rsidRPr="0012389B">
        <w:t>partner GEDSI action plans</w:t>
      </w:r>
      <w:r w:rsidR="00550DA1">
        <w:t xml:space="preserve"> and aligned with BCEP’s GEDSI approach. The aim of the plan is to </w:t>
      </w:r>
      <w:r w:rsidR="001C463A" w:rsidRPr="0012389B">
        <w:t>promot</w:t>
      </w:r>
      <w:r w:rsidR="00550DA1">
        <w:t>e</w:t>
      </w:r>
      <w:r w:rsidR="001C463A" w:rsidRPr="0012389B">
        <w:t xml:space="preserve"> cross-partner learning and </w:t>
      </w:r>
      <w:r w:rsidR="00550DA1">
        <w:t xml:space="preserve">the achievement GEDSI changes through </w:t>
      </w:r>
      <w:r w:rsidR="00B661BE">
        <w:t xml:space="preserve">DFAT’s twin-track approach </w:t>
      </w:r>
      <w:r w:rsidR="00550DA1">
        <w:t>(combining mainstreaming and targeting).</w:t>
      </w:r>
      <w:r w:rsidR="002E684D">
        <w:t xml:space="preserve">  GEDSI support will focus on gender equality and disability inclusion </w:t>
      </w:r>
      <w:r w:rsidR="000E5494">
        <w:t xml:space="preserve">- </w:t>
      </w:r>
      <w:r w:rsidR="002E684D">
        <w:t xml:space="preserve">as disability inclusion was identified as an </w:t>
      </w:r>
      <w:r w:rsidR="00F37227">
        <w:t>area</w:t>
      </w:r>
      <w:r w:rsidR="002E684D">
        <w:t xml:space="preserve"> to improve by CPP partners.</w:t>
      </w:r>
      <w:r w:rsidR="00550DA1">
        <w:t xml:space="preserve"> The CPP </w:t>
      </w:r>
      <w:r w:rsidR="00B661BE" w:rsidRPr="0012389B">
        <w:t>GEDSI action plan</w:t>
      </w:r>
      <w:r w:rsidR="0036378D">
        <w:t xml:space="preserve"> </w:t>
      </w:r>
      <w:r w:rsidR="00550DA1">
        <w:t>is</w:t>
      </w:r>
      <w:r w:rsidR="00B661BE" w:rsidRPr="0012389B">
        <w:t xml:space="preserve"> expected to include </w:t>
      </w:r>
      <w:r w:rsidR="009E0F4F">
        <w:t>issues such as supporting</w:t>
      </w:r>
      <w:r w:rsidR="00B661BE" w:rsidRPr="0012389B">
        <w:t xml:space="preserve"> </w:t>
      </w:r>
      <w:r w:rsidR="00550DA1">
        <w:t xml:space="preserve">CPP partner learning on how to implement </w:t>
      </w:r>
      <w:r w:rsidR="00B661BE" w:rsidRPr="0012389B">
        <w:t xml:space="preserve">GET </w:t>
      </w:r>
      <w:r w:rsidR="00550DA1">
        <w:t>and monitor progress in</w:t>
      </w:r>
      <w:r w:rsidR="00B661BE" w:rsidRPr="0012389B">
        <w:t xml:space="preserve"> chang</w:t>
      </w:r>
      <w:r w:rsidR="00550DA1">
        <w:t>ing</w:t>
      </w:r>
      <w:r w:rsidR="00B661BE" w:rsidRPr="0012389B">
        <w:t xml:space="preserve"> </w:t>
      </w:r>
      <w:r w:rsidR="00550DA1">
        <w:t xml:space="preserve">the </w:t>
      </w:r>
      <w:r w:rsidR="00B661BE" w:rsidRPr="0012389B">
        <w:t>attitudes and behaviours of both community members and church leaders</w:t>
      </w:r>
      <w:r w:rsidR="003A2555">
        <w:t>.</w:t>
      </w:r>
      <w:r w:rsidR="00A201BB">
        <w:t xml:space="preserve">  </w:t>
      </w:r>
    </w:p>
    <w:p w14:paraId="10356558" w14:textId="77777777" w:rsidR="00F92671" w:rsidRDefault="00F92671" w:rsidP="00791619">
      <w:pPr>
        <w:pStyle w:val="ListParagraph"/>
        <w:jc w:val="both"/>
      </w:pPr>
    </w:p>
    <w:p w14:paraId="4D8087B8" w14:textId="43B97D0B" w:rsidR="00B5513C" w:rsidRDefault="00B95405" w:rsidP="00791619">
      <w:pPr>
        <w:pStyle w:val="ListParagraph"/>
        <w:numPr>
          <w:ilvl w:val="0"/>
          <w:numId w:val="27"/>
        </w:numPr>
        <w:jc w:val="both"/>
      </w:pPr>
      <w:r w:rsidRPr="00B5513C">
        <w:rPr>
          <w:b/>
          <w:bCs/>
          <w:lang w:eastAsia="en-AU"/>
        </w:rPr>
        <w:t>Capacity development approach</w:t>
      </w:r>
      <w:r w:rsidR="00B5513C">
        <w:rPr>
          <w:lang w:eastAsia="en-AU"/>
        </w:rPr>
        <w:t xml:space="preserve">: </w:t>
      </w:r>
      <w:r w:rsidR="0036378D">
        <w:t>The</w:t>
      </w:r>
      <w:r w:rsidR="00B5513C">
        <w:t xml:space="preserve"> CPP approach to capacity development </w:t>
      </w:r>
      <w:r w:rsidR="0036378D">
        <w:t xml:space="preserve">will be based on past learning and include: </w:t>
      </w:r>
    </w:p>
    <w:p w14:paraId="641BCC90" w14:textId="76FC40FB" w:rsidR="002A7FF8" w:rsidRDefault="002A7FF8" w:rsidP="00791619">
      <w:pPr>
        <w:pStyle w:val="ListParagraph"/>
        <w:numPr>
          <w:ilvl w:val="0"/>
          <w:numId w:val="29"/>
        </w:numPr>
        <w:jc w:val="both"/>
      </w:pPr>
      <w:r>
        <w:t>An initial</w:t>
      </w:r>
      <w:r w:rsidR="0036378D">
        <w:t xml:space="preserve"> organisational assessment </w:t>
      </w:r>
      <w:r>
        <w:t xml:space="preserve">on each PNG church partner conducted by the CPPCO jointly with </w:t>
      </w:r>
      <w:r w:rsidR="001732E5">
        <w:t>the</w:t>
      </w:r>
      <w:r>
        <w:t xml:space="preserve"> CPP partner</w:t>
      </w:r>
      <w:r w:rsidR="00A201BB">
        <w:t xml:space="preserve"> </w:t>
      </w:r>
      <w:r w:rsidR="00DF2D5E">
        <w:t>(PNG Church and</w:t>
      </w:r>
      <w:r w:rsidR="00A201BB">
        <w:t xml:space="preserve"> </w:t>
      </w:r>
      <w:r w:rsidR="00DF2D5E">
        <w:t>their</w:t>
      </w:r>
      <w:r w:rsidR="00A201BB">
        <w:t xml:space="preserve"> ANGO</w:t>
      </w:r>
      <w:r w:rsidR="00DF2D5E">
        <w:t>)</w:t>
      </w:r>
      <w:r>
        <w:t>. This assessment will identify capacity weaknesses and provide a baseline against which capacity development can be measured. The assessment will have a priority focus on capacity in strategic financial management, GEDS</w:t>
      </w:r>
      <w:r w:rsidR="00D40A82">
        <w:t>I</w:t>
      </w:r>
      <w:r>
        <w:t xml:space="preserve"> and MEL.</w:t>
      </w:r>
    </w:p>
    <w:p w14:paraId="6A4640A4" w14:textId="0A44A897" w:rsidR="001732E5" w:rsidRDefault="002A7FF8" w:rsidP="00791619">
      <w:pPr>
        <w:pStyle w:val="ListParagraph"/>
        <w:numPr>
          <w:ilvl w:val="0"/>
          <w:numId w:val="29"/>
        </w:numPr>
        <w:jc w:val="both"/>
      </w:pPr>
      <w:r>
        <w:t xml:space="preserve">Development of a </w:t>
      </w:r>
      <w:r w:rsidR="001732E5">
        <w:t xml:space="preserve">tailored </w:t>
      </w:r>
      <w:r>
        <w:t>capacity development plan</w:t>
      </w:r>
      <w:r w:rsidR="00F3519C">
        <w:t xml:space="preserve"> for each PNG partner. The plan will set specific organisational strengthening</w:t>
      </w:r>
      <w:r w:rsidR="00E9257E">
        <w:t xml:space="preserve"> </w:t>
      </w:r>
      <w:r w:rsidR="00F3519C">
        <w:t>targets, define the resources and budget required (</w:t>
      </w:r>
      <w:proofErr w:type="spellStart"/>
      <w:r w:rsidR="00F3519C">
        <w:t>eg.</w:t>
      </w:r>
      <w:proofErr w:type="spellEnd"/>
      <w:r w:rsidR="00F3519C">
        <w:t xml:space="preserve"> </w:t>
      </w:r>
      <w:r w:rsidR="000E5494">
        <w:t>w</w:t>
      </w:r>
      <w:r w:rsidR="00F3519C">
        <w:t xml:space="preserve">hether the ANGO will </w:t>
      </w:r>
      <w:r w:rsidR="000E5494">
        <w:t xml:space="preserve">be </w:t>
      </w:r>
      <w:r w:rsidR="00F3519C">
        <w:t xml:space="preserve">providing support or the CPPCO etc), and how progress will be measured. </w:t>
      </w:r>
      <w:r w:rsidR="001732E5">
        <w:t xml:space="preserve">  </w:t>
      </w:r>
    </w:p>
    <w:p w14:paraId="7114137E" w14:textId="5313C789" w:rsidR="00B5513C" w:rsidRDefault="001732E5" w:rsidP="00791619">
      <w:pPr>
        <w:pStyle w:val="ListParagraph"/>
        <w:numPr>
          <w:ilvl w:val="0"/>
          <w:numId w:val="29"/>
        </w:numPr>
        <w:jc w:val="both"/>
      </w:pPr>
      <w:r>
        <w:t>Regular progress monitoring and review of progress against targets</w:t>
      </w:r>
      <w:r w:rsidR="00D40A82">
        <w:t>.</w:t>
      </w:r>
    </w:p>
    <w:p w14:paraId="0BB029D1" w14:textId="5A5DC91B" w:rsidR="00B5513C" w:rsidRDefault="001732E5" w:rsidP="00791619">
      <w:pPr>
        <w:pStyle w:val="ListParagraph"/>
        <w:numPr>
          <w:ilvl w:val="0"/>
          <w:numId w:val="29"/>
        </w:numPr>
        <w:jc w:val="both"/>
      </w:pPr>
      <w:r>
        <w:t xml:space="preserve">Targets could include localisation, defined as the PNG Church partner having the capacity </w:t>
      </w:r>
      <w:r w:rsidR="00DF2D5E">
        <w:t xml:space="preserve">to </w:t>
      </w:r>
      <w:r>
        <w:t>take over grant management responsibilities from their ANGO partner.</w:t>
      </w:r>
    </w:p>
    <w:p w14:paraId="0040FF63" w14:textId="1C8D38E4" w:rsidR="00B5513C" w:rsidRDefault="001732E5" w:rsidP="00791619">
      <w:pPr>
        <w:pStyle w:val="ListParagraph"/>
        <w:numPr>
          <w:ilvl w:val="0"/>
          <w:numId w:val="29"/>
        </w:numPr>
        <w:jc w:val="both"/>
      </w:pPr>
      <w:r>
        <w:lastRenderedPageBreak/>
        <w:t xml:space="preserve">Promote collective CPP partner learning on areas of common </w:t>
      </w:r>
      <w:r w:rsidR="00213251">
        <w:t xml:space="preserve">organisational </w:t>
      </w:r>
      <w:r>
        <w:t>weaknesses through CPP working committees in financial management, GEDSI and MEL</w:t>
      </w:r>
      <w:r w:rsidR="00213251">
        <w:t>.</w:t>
      </w:r>
      <w:r>
        <w:rPr>
          <w:rStyle w:val="FootnoteReference"/>
        </w:rPr>
        <w:footnoteReference w:id="37"/>
      </w:r>
    </w:p>
    <w:p w14:paraId="70CC3C98" w14:textId="77777777" w:rsidR="00536BBE" w:rsidRDefault="00536BBE" w:rsidP="00791619">
      <w:pPr>
        <w:pStyle w:val="ListParagraph"/>
        <w:jc w:val="both"/>
      </w:pPr>
    </w:p>
    <w:p w14:paraId="7957B75C" w14:textId="5C82EA18" w:rsidR="007200B5" w:rsidRPr="0012389B" w:rsidRDefault="007200B5" w:rsidP="00791619">
      <w:pPr>
        <w:pStyle w:val="ListParagraph"/>
        <w:numPr>
          <w:ilvl w:val="0"/>
          <w:numId w:val="27"/>
        </w:numPr>
        <w:jc w:val="both"/>
        <w:rPr>
          <w:lang w:eastAsia="en-AU"/>
        </w:rPr>
      </w:pPr>
      <w:r w:rsidRPr="00D04804">
        <w:rPr>
          <w:b/>
          <w:bCs/>
          <w:color w:val="000000" w:themeColor="text1"/>
        </w:rPr>
        <w:t xml:space="preserve">PNGCC </w:t>
      </w:r>
      <w:r w:rsidR="00536BBE">
        <w:rPr>
          <w:b/>
          <w:bCs/>
          <w:color w:val="000000" w:themeColor="text1"/>
        </w:rPr>
        <w:t>c</w:t>
      </w:r>
      <w:r w:rsidRPr="00D04804">
        <w:rPr>
          <w:b/>
          <w:bCs/>
          <w:color w:val="000000" w:themeColor="text1"/>
        </w:rPr>
        <w:t xml:space="preserve">apacity </w:t>
      </w:r>
      <w:r w:rsidR="00536BBE">
        <w:rPr>
          <w:b/>
          <w:bCs/>
          <w:color w:val="000000" w:themeColor="text1"/>
        </w:rPr>
        <w:t>d</w:t>
      </w:r>
      <w:r w:rsidRPr="00D04804">
        <w:rPr>
          <w:b/>
          <w:bCs/>
          <w:color w:val="000000" w:themeColor="text1"/>
        </w:rPr>
        <w:t>evelopment</w:t>
      </w:r>
      <w:r w:rsidR="00F92671">
        <w:rPr>
          <w:b/>
          <w:bCs/>
          <w:color w:val="000000" w:themeColor="text1"/>
        </w:rPr>
        <w:t xml:space="preserve"> approach</w:t>
      </w:r>
      <w:r>
        <w:rPr>
          <w:color w:val="000000" w:themeColor="text1"/>
        </w:rPr>
        <w:t xml:space="preserve">: </w:t>
      </w:r>
      <w:r w:rsidRPr="0012389B">
        <w:rPr>
          <w:lang w:eastAsia="en-AU"/>
        </w:rPr>
        <w:t xml:space="preserve">The PNGCC’s involvement in CPP, unlike that of church partners (above), is not based on a grant agreement relationship. The program logic underpinning CPP outcomes is premised on PNGCC effectively performing its constitutional mandate and facilitating collective church policy engagement at the national level. To support the PNGCC fulfill this mandate the CPPCO will: </w:t>
      </w:r>
    </w:p>
    <w:p w14:paraId="35223318" w14:textId="4289C777" w:rsidR="007200B5" w:rsidRPr="0012389B" w:rsidRDefault="007200B5" w:rsidP="00791619">
      <w:pPr>
        <w:pStyle w:val="ListParagraph"/>
        <w:numPr>
          <w:ilvl w:val="0"/>
          <w:numId w:val="11"/>
        </w:numPr>
        <w:suppressAutoHyphens/>
        <w:jc w:val="both"/>
        <w:rPr>
          <w:lang w:eastAsia="en-AU"/>
        </w:rPr>
      </w:pPr>
      <w:r w:rsidRPr="0012389B">
        <w:rPr>
          <w:lang w:eastAsia="en-AU"/>
        </w:rPr>
        <w:t>Provide tailored organisational capacity development support based around PNGCC’s strategic plan</w:t>
      </w:r>
      <w:r w:rsidR="00C16DCE">
        <w:rPr>
          <w:lang w:eastAsia="en-AU"/>
        </w:rPr>
        <w:t>;</w:t>
      </w:r>
      <w:r w:rsidRPr="0012389B">
        <w:rPr>
          <w:lang w:eastAsia="en-AU"/>
        </w:rPr>
        <w:t xml:space="preserve"> and </w:t>
      </w:r>
    </w:p>
    <w:p w14:paraId="7C0EDE21" w14:textId="600124F5" w:rsidR="007200B5" w:rsidRDefault="00536BBE" w:rsidP="00791619">
      <w:pPr>
        <w:pStyle w:val="ListParagraph"/>
        <w:numPr>
          <w:ilvl w:val="0"/>
          <w:numId w:val="11"/>
        </w:numPr>
        <w:suppressAutoHyphens/>
        <w:jc w:val="both"/>
        <w:rPr>
          <w:lang w:eastAsia="en-AU"/>
        </w:rPr>
      </w:pPr>
      <w:r>
        <w:rPr>
          <w:lang w:eastAsia="en-AU"/>
        </w:rPr>
        <w:t>Support</w:t>
      </w:r>
      <w:r w:rsidR="007200B5" w:rsidRPr="0012389B">
        <w:rPr>
          <w:lang w:eastAsia="en-AU"/>
        </w:rPr>
        <w:t xml:space="preserve"> PNGCC to </w:t>
      </w:r>
      <w:r>
        <w:rPr>
          <w:lang w:eastAsia="en-AU"/>
        </w:rPr>
        <w:t>facilitate CPP</w:t>
      </w:r>
      <w:r w:rsidR="007200B5" w:rsidRPr="0012389B">
        <w:rPr>
          <w:lang w:eastAsia="en-AU"/>
        </w:rPr>
        <w:t xml:space="preserve"> learning and collaboration </w:t>
      </w:r>
      <w:r>
        <w:rPr>
          <w:lang w:eastAsia="en-AU"/>
        </w:rPr>
        <w:t>on social accountability</w:t>
      </w:r>
    </w:p>
    <w:p w14:paraId="63F0B195" w14:textId="2A359868" w:rsidR="00536BBE" w:rsidRDefault="009E0F4F" w:rsidP="00C16DCE">
      <w:pPr>
        <w:suppressAutoHyphens/>
        <w:jc w:val="both"/>
        <w:rPr>
          <w:lang w:eastAsia="en-AU"/>
        </w:rPr>
      </w:pPr>
      <w:r w:rsidRPr="0012389B">
        <w:rPr>
          <w:lang w:eastAsia="en-AU"/>
        </w:rPr>
        <w:t xml:space="preserve">In the current phase, preliminary work was commenced on PNGCC’s strategic plan. In the Inception Period, the CPPCO will support the PNGCC to complete this plan, including a budget, for endorsement by the organisation’s relevant governance body (Heads of Churches Forum or General Assembly). The plan is expected to cover the same components as partner program plans (see above). Once completed, the CPPCO will discuss how CPP can best support PNGCC to implement the plan, concentrating on those components most relevant to the Program’s outcomes. While PNGCC is unlikely to receive grant funding, technical assistance and other support could be considered, </w:t>
      </w:r>
      <w:r w:rsidR="00536BBE">
        <w:rPr>
          <w:lang w:eastAsia="en-AU"/>
        </w:rPr>
        <w:t>including</w:t>
      </w:r>
      <w:r w:rsidRPr="0012389B">
        <w:rPr>
          <w:lang w:eastAsia="en-AU"/>
        </w:rPr>
        <w:t xml:space="preserve"> funding office running costs.  </w:t>
      </w:r>
    </w:p>
    <w:p w14:paraId="5F9B1CB3" w14:textId="00B61282" w:rsidR="009E0F4F" w:rsidRPr="0012389B" w:rsidRDefault="009E0F4F" w:rsidP="00C16DCE">
      <w:pPr>
        <w:suppressAutoHyphens/>
        <w:jc w:val="both"/>
        <w:rPr>
          <w:lang w:eastAsia="en-AU"/>
        </w:rPr>
      </w:pPr>
      <w:r w:rsidRPr="0012389B">
        <w:rPr>
          <w:lang w:eastAsia="en-AU"/>
        </w:rPr>
        <w:t xml:space="preserve">The CPPCO will also look for opportunities for where PNGCC could leverage CPP’s resources. Examples include, timing SLG and PNGCC Heads of Church Forum (section 5) meetings, which include most of the same members, to take place sequentially at the same location; and co-locating the PNGCC office with the CPPCO office. </w:t>
      </w:r>
    </w:p>
    <w:p w14:paraId="57A50A12" w14:textId="0171B69D" w:rsidR="00D674B9" w:rsidRPr="0051589E" w:rsidRDefault="00D674B9" w:rsidP="00791619">
      <w:pPr>
        <w:pStyle w:val="Heading3"/>
        <w:jc w:val="both"/>
        <w:rPr>
          <w:b/>
          <w:bCs/>
        </w:rPr>
      </w:pPr>
      <w:bookmarkStart w:id="68" w:name="_Hlk98930809"/>
      <w:r w:rsidRPr="0051589E">
        <w:rPr>
          <w:b/>
          <w:bCs/>
        </w:rPr>
        <w:t>CPP Partner level</w:t>
      </w:r>
    </w:p>
    <w:p w14:paraId="02775179" w14:textId="7FA45ACE" w:rsidR="00D674B9" w:rsidRDefault="00B12D91" w:rsidP="00791619">
      <w:pPr>
        <w:jc w:val="both"/>
        <w:rPr>
          <w:rFonts w:cstheme="minorHAnsi"/>
          <w:color w:val="000000" w:themeColor="text1"/>
        </w:rPr>
      </w:pPr>
      <w:r>
        <w:rPr>
          <w:rFonts w:cstheme="minorHAnsi"/>
          <w:color w:val="000000" w:themeColor="text1"/>
        </w:rPr>
        <w:t>At the</w:t>
      </w:r>
      <w:r w:rsidR="00A835D1">
        <w:rPr>
          <w:rFonts w:cstheme="minorHAnsi"/>
          <w:color w:val="000000" w:themeColor="text1"/>
        </w:rPr>
        <w:t xml:space="preserve"> CPP partner</w:t>
      </w:r>
      <w:r>
        <w:rPr>
          <w:rFonts w:cstheme="minorHAnsi"/>
          <w:color w:val="000000" w:themeColor="text1"/>
        </w:rPr>
        <w:t xml:space="preserve"> level, the key process and tools for delivery are</w:t>
      </w:r>
      <w:r w:rsidR="00A835D1">
        <w:rPr>
          <w:rFonts w:cstheme="minorHAnsi"/>
          <w:color w:val="000000" w:themeColor="text1"/>
        </w:rPr>
        <w:t>:</w:t>
      </w:r>
    </w:p>
    <w:p w14:paraId="707A2F05" w14:textId="59185929" w:rsidR="00330252" w:rsidRDefault="00A835D1" w:rsidP="00791619">
      <w:pPr>
        <w:pStyle w:val="ListParagraph"/>
        <w:numPr>
          <w:ilvl w:val="0"/>
          <w:numId w:val="25"/>
        </w:numPr>
        <w:jc w:val="both"/>
        <w:rPr>
          <w:rFonts w:cstheme="minorHAnsi"/>
          <w:color w:val="000000" w:themeColor="text1"/>
        </w:rPr>
      </w:pPr>
      <w:r w:rsidRPr="008023AF">
        <w:rPr>
          <w:rFonts w:cstheme="minorHAnsi"/>
          <w:b/>
          <w:bCs/>
          <w:color w:val="000000" w:themeColor="text1"/>
        </w:rPr>
        <w:t>CPP Partner plans</w:t>
      </w:r>
      <w:r>
        <w:rPr>
          <w:rFonts w:cstheme="minorHAnsi"/>
          <w:color w:val="000000" w:themeColor="text1"/>
        </w:rPr>
        <w:t xml:space="preserve">: </w:t>
      </w:r>
      <w:r w:rsidR="00B12D91">
        <w:rPr>
          <w:rFonts w:cstheme="minorHAnsi"/>
          <w:color w:val="000000" w:themeColor="text1"/>
        </w:rPr>
        <w:t>To be</w:t>
      </w:r>
      <w:r>
        <w:rPr>
          <w:rFonts w:cstheme="minorHAnsi"/>
          <w:color w:val="000000" w:themeColor="text1"/>
        </w:rPr>
        <w:t xml:space="preserve"> develop</w:t>
      </w:r>
      <w:r w:rsidR="00B12D91">
        <w:rPr>
          <w:rFonts w:cstheme="minorHAnsi"/>
          <w:color w:val="000000" w:themeColor="text1"/>
        </w:rPr>
        <w:t>ed in the Inception period (July-December 2022)</w:t>
      </w:r>
      <w:r>
        <w:rPr>
          <w:rFonts w:cstheme="minorHAnsi"/>
          <w:color w:val="000000" w:themeColor="text1"/>
        </w:rPr>
        <w:t xml:space="preserve"> to cover the </w:t>
      </w:r>
      <w:r w:rsidR="00330252">
        <w:rPr>
          <w:rFonts w:cstheme="minorHAnsi"/>
          <w:color w:val="000000" w:themeColor="text1"/>
        </w:rPr>
        <w:t xml:space="preserve">three-year </w:t>
      </w:r>
      <w:r>
        <w:rPr>
          <w:rFonts w:cstheme="minorHAnsi"/>
          <w:color w:val="000000" w:themeColor="text1"/>
        </w:rPr>
        <w:t xml:space="preserve">period </w:t>
      </w:r>
      <w:r w:rsidR="00330252">
        <w:rPr>
          <w:rFonts w:cstheme="minorHAnsi"/>
          <w:color w:val="000000" w:themeColor="text1"/>
        </w:rPr>
        <w:t xml:space="preserve">under CPP 4.1 </w:t>
      </w:r>
      <w:r>
        <w:rPr>
          <w:rFonts w:cstheme="minorHAnsi"/>
          <w:color w:val="000000" w:themeColor="text1"/>
        </w:rPr>
        <w:t>from January 2003 to December 2005.</w:t>
      </w:r>
      <w:r w:rsidR="00330252">
        <w:rPr>
          <w:rFonts w:cstheme="minorHAnsi"/>
          <w:color w:val="000000" w:themeColor="text1"/>
        </w:rPr>
        <w:t xml:space="preserve"> </w:t>
      </w:r>
      <w:r w:rsidR="00A64751">
        <w:rPr>
          <w:rFonts w:cstheme="minorHAnsi"/>
          <w:color w:val="000000" w:themeColor="text1"/>
        </w:rPr>
        <w:t xml:space="preserve">These plans </w:t>
      </w:r>
      <w:r w:rsidR="00F76377">
        <w:rPr>
          <w:rFonts w:cstheme="minorHAnsi"/>
          <w:color w:val="000000" w:themeColor="text1"/>
        </w:rPr>
        <w:t>are to</w:t>
      </w:r>
      <w:r w:rsidR="00A64751">
        <w:rPr>
          <w:rFonts w:cstheme="minorHAnsi"/>
          <w:color w:val="000000" w:themeColor="text1"/>
        </w:rPr>
        <w:t xml:space="preserve"> be base</w:t>
      </w:r>
      <w:r w:rsidR="00F76377">
        <w:rPr>
          <w:rFonts w:cstheme="minorHAnsi"/>
          <w:color w:val="000000" w:themeColor="text1"/>
        </w:rPr>
        <w:t>d</w:t>
      </w:r>
      <w:r w:rsidR="00A64751">
        <w:rPr>
          <w:rFonts w:cstheme="minorHAnsi"/>
          <w:color w:val="000000" w:themeColor="text1"/>
        </w:rPr>
        <w:t xml:space="preserve"> on existing plans </w:t>
      </w:r>
      <w:r w:rsidR="00F76377">
        <w:rPr>
          <w:rFonts w:cstheme="minorHAnsi"/>
          <w:color w:val="000000" w:themeColor="text1"/>
        </w:rPr>
        <w:t>for those</w:t>
      </w:r>
      <w:r w:rsidR="00A64751">
        <w:rPr>
          <w:rFonts w:cstheme="minorHAnsi"/>
          <w:color w:val="000000" w:themeColor="text1"/>
        </w:rPr>
        <w:t xml:space="preserve"> CPP partners </w:t>
      </w:r>
      <w:r w:rsidR="00F76377">
        <w:rPr>
          <w:rFonts w:cstheme="minorHAnsi"/>
          <w:color w:val="000000" w:themeColor="text1"/>
        </w:rPr>
        <w:t xml:space="preserve">that </w:t>
      </w:r>
      <w:r w:rsidR="00A64751">
        <w:rPr>
          <w:rFonts w:cstheme="minorHAnsi"/>
          <w:color w:val="000000" w:themeColor="text1"/>
        </w:rPr>
        <w:t xml:space="preserve">already have </w:t>
      </w:r>
      <w:r w:rsidR="00F76377">
        <w:rPr>
          <w:rFonts w:cstheme="minorHAnsi"/>
          <w:color w:val="000000" w:themeColor="text1"/>
        </w:rPr>
        <w:t>such plans</w:t>
      </w:r>
      <w:r w:rsidR="00A64751">
        <w:rPr>
          <w:rFonts w:cstheme="minorHAnsi"/>
          <w:color w:val="000000" w:themeColor="text1"/>
        </w:rPr>
        <w:t>.</w:t>
      </w:r>
      <w:r>
        <w:rPr>
          <w:rFonts w:cstheme="minorHAnsi"/>
          <w:color w:val="000000" w:themeColor="text1"/>
        </w:rPr>
        <w:t xml:space="preserve"> </w:t>
      </w:r>
      <w:r w:rsidR="00330252">
        <w:rPr>
          <w:rFonts w:cstheme="minorHAnsi"/>
          <w:color w:val="000000" w:themeColor="text1"/>
        </w:rPr>
        <w:t>At the end of CPP 4.1, CPP partners will review their progress in implementing their plans and develop new four-year plans to cover the period under CPP 4.2 from January 2026 to December 2029.</w:t>
      </w:r>
    </w:p>
    <w:p w14:paraId="0CA775BD" w14:textId="77777777" w:rsidR="00330252" w:rsidRDefault="00330252" w:rsidP="00791619">
      <w:pPr>
        <w:pStyle w:val="ListParagraph"/>
        <w:ind w:left="360"/>
        <w:jc w:val="both"/>
        <w:rPr>
          <w:rFonts w:cstheme="minorHAnsi"/>
          <w:color w:val="000000" w:themeColor="text1"/>
        </w:rPr>
      </w:pPr>
    </w:p>
    <w:p w14:paraId="39F9D48C" w14:textId="1F68954D" w:rsidR="00AB5E55" w:rsidRDefault="00A835D1" w:rsidP="00791619">
      <w:pPr>
        <w:pStyle w:val="ListParagraph"/>
        <w:ind w:left="360"/>
        <w:jc w:val="both"/>
        <w:rPr>
          <w:rFonts w:cstheme="minorHAnsi"/>
          <w:color w:val="000000" w:themeColor="text1"/>
        </w:rPr>
      </w:pPr>
      <w:r>
        <w:rPr>
          <w:rFonts w:cstheme="minorHAnsi"/>
          <w:color w:val="000000" w:themeColor="text1"/>
        </w:rPr>
        <w:t>The</w:t>
      </w:r>
      <w:r w:rsidR="008C5322">
        <w:rPr>
          <w:rFonts w:cstheme="minorHAnsi"/>
          <w:color w:val="000000" w:themeColor="text1"/>
        </w:rPr>
        <w:t xml:space="preserve"> purpose of these plans is to provide a framework under which CPP partner</w:t>
      </w:r>
      <w:r w:rsidR="00B12D91">
        <w:rPr>
          <w:rFonts w:cstheme="minorHAnsi"/>
          <w:color w:val="000000" w:themeColor="text1"/>
        </w:rPr>
        <w:t>s</w:t>
      </w:r>
      <w:r w:rsidR="008C5322">
        <w:rPr>
          <w:rFonts w:cstheme="minorHAnsi"/>
          <w:color w:val="000000" w:themeColor="text1"/>
        </w:rPr>
        <w:t xml:space="preserve"> can deliver </w:t>
      </w:r>
      <w:r>
        <w:rPr>
          <w:rFonts w:cstheme="minorHAnsi"/>
          <w:color w:val="000000" w:themeColor="text1"/>
        </w:rPr>
        <w:t xml:space="preserve">activities </w:t>
      </w:r>
      <w:r w:rsidR="008C5322">
        <w:rPr>
          <w:rFonts w:cstheme="minorHAnsi"/>
          <w:color w:val="000000" w:themeColor="text1"/>
        </w:rPr>
        <w:t>to</w:t>
      </w:r>
      <w:r>
        <w:rPr>
          <w:rFonts w:cstheme="minorHAnsi"/>
          <w:color w:val="000000" w:themeColor="text1"/>
        </w:rPr>
        <w:t xml:space="preserve"> contribute to </w:t>
      </w:r>
      <w:r w:rsidR="009D785D">
        <w:rPr>
          <w:rFonts w:cstheme="minorHAnsi"/>
          <w:color w:val="000000" w:themeColor="text1"/>
        </w:rPr>
        <w:t xml:space="preserve">PNG church </w:t>
      </w:r>
      <w:r>
        <w:rPr>
          <w:rFonts w:cstheme="minorHAnsi"/>
          <w:color w:val="000000" w:themeColor="text1"/>
        </w:rPr>
        <w:t xml:space="preserve">outcomes </w:t>
      </w:r>
      <w:r w:rsidR="00F76377">
        <w:rPr>
          <w:rFonts w:cstheme="minorHAnsi"/>
          <w:color w:val="000000" w:themeColor="text1"/>
        </w:rPr>
        <w:t xml:space="preserve">that align with the </w:t>
      </w:r>
      <w:r w:rsidR="008C5322">
        <w:rPr>
          <w:rFonts w:cstheme="minorHAnsi"/>
          <w:color w:val="000000" w:themeColor="text1"/>
        </w:rPr>
        <w:t>pillar</w:t>
      </w:r>
      <w:r w:rsidR="008420B8">
        <w:rPr>
          <w:rFonts w:cstheme="minorHAnsi"/>
          <w:color w:val="000000" w:themeColor="text1"/>
        </w:rPr>
        <w:t>s</w:t>
      </w:r>
      <w:r w:rsidR="008C5322">
        <w:rPr>
          <w:rFonts w:cstheme="minorHAnsi"/>
          <w:color w:val="000000" w:themeColor="text1"/>
        </w:rPr>
        <w:t xml:space="preserve"> in the CPP program logic. In the Inception period, CPP partner</w:t>
      </w:r>
      <w:r w:rsidR="00B91D92">
        <w:rPr>
          <w:rFonts w:cstheme="minorHAnsi"/>
          <w:color w:val="000000" w:themeColor="text1"/>
        </w:rPr>
        <w:t>s</w:t>
      </w:r>
      <w:r w:rsidR="008C5322">
        <w:rPr>
          <w:rFonts w:cstheme="minorHAnsi"/>
          <w:color w:val="000000" w:themeColor="text1"/>
        </w:rPr>
        <w:t xml:space="preserve"> will review and revise their current activities </w:t>
      </w:r>
      <w:r w:rsidR="00B91D92">
        <w:rPr>
          <w:rFonts w:cstheme="minorHAnsi"/>
          <w:color w:val="000000" w:themeColor="text1"/>
        </w:rPr>
        <w:t>as well as</w:t>
      </w:r>
      <w:r w:rsidR="008C5322">
        <w:rPr>
          <w:rFonts w:cstheme="minorHAnsi"/>
          <w:color w:val="000000" w:themeColor="text1"/>
        </w:rPr>
        <w:t xml:space="preserve"> develop new activities to achieve CPP program results</w:t>
      </w:r>
      <w:r w:rsidR="00B91D92">
        <w:rPr>
          <w:rFonts w:cstheme="minorHAnsi"/>
          <w:color w:val="000000" w:themeColor="text1"/>
        </w:rPr>
        <w:t xml:space="preserve">. </w:t>
      </w:r>
      <w:r w:rsidR="00AB5E55">
        <w:rPr>
          <w:rFonts w:cstheme="minorHAnsi"/>
          <w:color w:val="000000" w:themeColor="text1"/>
        </w:rPr>
        <w:t xml:space="preserve"> </w:t>
      </w:r>
      <w:r w:rsidR="00CD1910">
        <w:rPr>
          <w:rFonts w:cstheme="minorHAnsi"/>
          <w:color w:val="000000" w:themeColor="text1"/>
        </w:rPr>
        <w:t>As an example</w:t>
      </w:r>
      <w:r w:rsidR="00435F8B">
        <w:rPr>
          <w:rFonts w:cstheme="minorHAnsi"/>
          <w:color w:val="000000" w:themeColor="text1"/>
        </w:rPr>
        <w:t xml:space="preserve">, </w:t>
      </w:r>
      <w:r w:rsidR="00AB5E55">
        <w:rPr>
          <w:rFonts w:cstheme="minorHAnsi"/>
          <w:color w:val="000000" w:themeColor="text1"/>
        </w:rPr>
        <w:t xml:space="preserve">Annex 7 </w:t>
      </w:r>
      <w:r w:rsidR="00CD1910">
        <w:rPr>
          <w:rFonts w:cstheme="minorHAnsi"/>
          <w:color w:val="000000" w:themeColor="text1"/>
        </w:rPr>
        <w:t>illustrate</w:t>
      </w:r>
      <w:r w:rsidR="00AB5E55">
        <w:rPr>
          <w:rFonts w:cstheme="minorHAnsi"/>
          <w:color w:val="000000" w:themeColor="text1"/>
        </w:rPr>
        <w:t xml:space="preserve">s </w:t>
      </w:r>
      <w:r w:rsidR="007474AA">
        <w:rPr>
          <w:rFonts w:cstheme="minorHAnsi"/>
          <w:color w:val="000000" w:themeColor="text1"/>
        </w:rPr>
        <w:t xml:space="preserve">how </w:t>
      </w:r>
      <w:r w:rsidR="00AB5E55">
        <w:rPr>
          <w:rFonts w:cstheme="minorHAnsi"/>
          <w:color w:val="000000" w:themeColor="text1"/>
        </w:rPr>
        <w:t>ADRA’s 2021-2022</w:t>
      </w:r>
      <w:r w:rsidR="00435F8B">
        <w:rPr>
          <w:rFonts w:cstheme="minorHAnsi"/>
          <w:color w:val="000000" w:themeColor="text1"/>
        </w:rPr>
        <w:t xml:space="preserve"> partner</w:t>
      </w:r>
      <w:r w:rsidR="00AB5E55">
        <w:rPr>
          <w:rFonts w:cstheme="minorHAnsi"/>
          <w:color w:val="000000" w:themeColor="text1"/>
        </w:rPr>
        <w:t xml:space="preserve"> </w:t>
      </w:r>
      <w:r w:rsidR="00435F8B">
        <w:rPr>
          <w:rFonts w:cstheme="minorHAnsi"/>
          <w:color w:val="000000" w:themeColor="text1"/>
        </w:rPr>
        <w:t xml:space="preserve">activity plan activities </w:t>
      </w:r>
      <w:r w:rsidR="007474AA">
        <w:rPr>
          <w:rFonts w:cstheme="minorHAnsi"/>
          <w:color w:val="000000" w:themeColor="text1"/>
        </w:rPr>
        <w:t>could be reviewed and revised to fit under the CPP</w:t>
      </w:r>
      <w:r w:rsidR="00435F8B">
        <w:rPr>
          <w:rFonts w:cstheme="minorHAnsi"/>
          <w:color w:val="000000" w:themeColor="text1"/>
        </w:rPr>
        <w:t xml:space="preserve"> program logic. </w:t>
      </w:r>
    </w:p>
    <w:p w14:paraId="1F83B1F8" w14:textId="77777777" w:rsidR="00AB5E55" w:rsidRDefault="00AB5E55" w:rsidP="00791619">
      <w:pPr>
        <w:pStyle w:val="ListParagraph"/>
        <w:ind w:left="360"/>
        <w:jc w:val="both"/>
        <w:rPr>
          <w:rFonts w:cstheme="minorHAnsi"/>
          <w:color w:val="000000" w:themeColor="text1"/>
        </w:rPr>
      </w:pPr>
    </w:p>
    <w:p w14:paraId="3B2D33F6" w14:textId="557EC718" w:rsidR="00A835D1" w:rsidRPr="00BE3A95" w:rsidRDefault="00435F8B" w:rsidP="00791619">
      <w:pPr>
        <w:pStyle w:val="ListParagraph"/>
        <w:ind w:left="360"/>
        <w:jc w:val="both"/>
        <w:rPr>
          <w:rFonts w:cstheme="minorHAnsi"/>
          <w:color w:val="000000" w:themeColor="text1"/>
        </w:rPr>
      </w:pPr>
      <w:r>
        <w:rPr>
          <w:rFonts w:cstheme="minorHAnsi"/>
          <w:color w:val="000000" w:themeColor="text1"/>
        </w:rPr>
        <w:t>With ANGO support, e</w:t>
      </w:r>
      <w:r w:rsidR="008C5322">
        <w:rPr>
          <w:rFonts w:cstheme="minorHAnsi"/>
          <w:color w:val="000000" w:themeColor="text1"/>
        </w:rPr>
        <w:t xml:space="preserve">ach CPP partner </w:t>
      </w:r>
      <w:r w:rsidR="00B91D92">
        <w:rPr>
          <w:rFonts w:cstheme="minorHAnsi"/>
          <w:color w:val="000000" w:themeColor="text1"/>
        </w:rPr>
        <w:t xml:space="preserve">will </w:t>
      </w:r>
      <w:r w:rsidR="007474AA">
        <w:rPr>
          <w:rFonts w:cstheme="minorHAnsi"/>
          <w:color w:val="000000" w:themeColor="text1"/>
        </w:rPr>
        <w:t xml:space="preserve">develop </w:t>
      </w:r>
      <w:r w:rsidR="00B91D92">
        <w:rPr>
          <w:rFonts w:cstheme="minorHAnsi"/>
          <w:color w:val="000000" w:themeColor="text1"/>
        </w:rPr>
        <w:t xml:space="preserve">activities in their </w:t>
      </w:r>
      <w:r w:rsidR="008C5322">
        <w:rPr>
          <w:rFonts w:cstheme="minorHAnsi"/>
          <w:color w:val="000000" w:themeColor="text1"/>
        </w:rPr>
        <w:t xml:space="preserve">comparative areas of strength </w:t>
      </w:r>
      <w:r w:rsidR="00B91D92">
        <w:rPr>
          <w:rFonts w:cstheme="minorHAnsi"/>
          <w:color w:val="000000" w:themeColor="text1"/>
        </w:rPr>
        <w:t>across</w:t>
      </w:r>
      <w:r>
        <w:rPr>
          <w:rFonts w:cstheme="minorHAnsi"/>
          <w:color w:val="000000" w:themeColor="text1"/>
        </w:rPr>
        <w:t xml:space="preserve"> CPP’s</w:t>
      </w:r>
      <w:r w:rsidR="008C5322">
        <w:rPr>
          <w:rFonts w:cstheme="minorHAnsi"/>
          <w:color w:val="000000" w:themeColor="text1"/>
        </w:rPr>
        <w:t xml:space="preserve"> </w:t>
      </w:r>
      <w:r>
        <w:rPr>
          <w:rFonts w:cstheme="minorHAnsi"/>
          <w:color w:val="000000" w:themeColor="text1"/>
        </w:rPr>
        <w:t xml:space="preserve">five </w:t>
      </w:r>
      <w:r w:rsidR="008C5322">
        <w:rPr>
          <w:rFonts w:cstheme="minorHAnsi"/>
          <w:color w:val="000000" w:themeColor="text1"/>
        </w:rPr>
        <w:t>thematic priority areas: health</w:t>
      </w:r>
      <w:r w:rsidR="00B91D92">
        <w:rPr>
          <w:rFonts w:cstheme="minorHAnsi"/>
          <w:color w:val="000000" w:themeColor="text1"/>
        </w:rPr>
        <w:t xml:space="preserve"> (including WASH and COVID-19 response)</w:t>
      </w:r>
      <w:r w:rsidR="008C5322">
        <w:rPr>
          <w:rFonts w:cstheme="minorHAnsi"/>
          <w:color w:val="000000" w:themeColor="text1"/>
        </w:rPr>
        <w:t>, education</w:t>
      </w:r>
      <w:r w:rsidR="00B91D92">
        <w:rPr>
          <w:rFonts w:cstheme="minorHAnsi"/>
          <w:color w:val="000000" w:themeColor="text1"/>
        </w:rPr>
        <w:t xml:space="preserve"> (including adult literacy)</w:t>
      </w:r>
      <w:r w:rsidR="008C5322">
        <w:rPr>
          <w:rFonts w:cstheme="minorHAnsi"/>
          <w:color w:val="000000" w:themeColor="text1"/>
        </w:rPr>
        <w:t xml:space="preserve">, GBR and SARV prevention, </w:t>
      </w:r>
      <w:r>
        <w:rPr>
          <w:rFonts w:cstheme="minorHAnsi"/>
          <w:color w:val="000000" w:themeColor="text1"/>
        </w:rPr>
        <w:t>community resilience</w:t>
      </w:r>
      <w:r w:rsidR="00CD1910">
        <w:rPr>
          <w:rFonts w:cstheme="minorHAnsi"/>
          <w:color w:val="000000" w:themeColor="text1"/>
        </w:rPr>
        <w:t xml:space="preserve"> (covering</w:t>
      </w:r>
      <w:r>
        <w:rPr>
          <w:rFonts w:cstheme="minorHAnsi"/>
          <w:color w:val="000000" w:themeColor="text1"/>
        </w:rPr>
        <w:t xml:space="preserve"> </w:t>
      </w:r>
      <w:r w:rsidR="00CD1910" w:rsidRPr="00946B4B">
        <w:t>climate change adaptation (CCA) and sustainable livelihoods</w:t>
      </w:r>
      <w:r w:rsidR="00CD1910">
        <w:t>)</w:t>
      </w:r>
      <w:r w:rsidR="00CD1910">
        <w:rPr>
          <w:rFonts w:cstheme="minorHAnsi"/>
          <w:color w:val="000000" w:themeColor="text1"/>
        </w:rPr>
        <w:t xml:space="preserve"> </w:t>
      </w:r>
      <w:r w:rsidR="008C5322">
        <w:rPr>
          <w:rFonts w:cstheme="minorHAnsi"/>
          <w:color w:val="000000" w:themeColor="text1"/>
        </w:rPr>
        <w:t xml:space="preserve">and </w:t>
      </w:r>
      <w:r w:rsidR="00B12D91">
        <w:rPr>
          <w:rFonts w:cstheme="minorHAnsi"/>
          <w:color w:val="000000" w:themeColor="text1"/>
        </w:rPr>
        <w:t>peacebuilding</w:t>
      </w:r>
      <w:r w:rsidR="008C5322">
        <w:rPr>
          <w:rFonts w:cstheme="minorHAnsi"/>
          <w:color w:val="000000" w:themeColor="text1"/>
        </w:rPr>
        <w:t>. These themati</w:t>
      </w:r>
      <w:r w:rsidR="00B12D91">
        <w:rPr>
          <w:rFonts w:cstheme="minorHAnsi"/>
          <w:color w:val="000000" w:themeColor="text1"/>
        </w:rPr>
        <w:t xml:space="preserve">c </w:t>
      </w:r>
      <w:r w:rsidR="00B12D91">
        <w:rPr>
          <w:rFonts w:cstheme="minorHAnsi"/>
          <w:color w:val="000000" w:themeColor="text1"/>
        </w:rPr>
        <w:lastRenderedPageBreak/>
        <w:t xml:space="preserve">priorities are based on </w:t>
      </w:r>
      <w:r w:rsidR="00B91D92">
        <w:rPr>
          <w:rFonts w:cstheme="minorHAnsi"/>
          <w:color w:val="000000" w:themeColor="text1"/>
        </w:rPr>
        <w:t xml:space="preserve">the </w:t>
      </w:r>
      <w:r w:rsidR="00B12D91">
        <w:rPr>
          <w:rFonts w:cstheme="minorHAnsi"/>
          <w:color w:val="000000" w:themeColor="text1"/>
        </w:rPr>
        <w:t xml:space="preserve">previous </w:t>
      </w:r>
      <w:r w:rsidR="00BE3A95">
        <w:rPr>
          <w:rFonts w:cstheme="minorHAnsi"/>
          <w:color w:val="000000" w:themeColor="text1"/>
        </w:rPr>
        <w:t>phases</w:t>
      </w:r>
      <w:r w:rsidR="006822FA">
        <w:rPr>
          <w:rFonts w:cstheme="minorHAnsi"/>
          <w:color w:val="000000" w:themeColor="text1"/>
        </w:rPr>
        <w:t xml:space="preserve">. </w:t>
      </w:r>
      <w:r w:rsidR="00330252">
        <w:rPr>
          <w:rFonts w:cstheme="minorHAnsi"/>
          <w:color w:val="000000" w:themeColor="text1"/>
        </w:rPr>
        <w:t xml:space="preserve">On discussion with DFAT, </w:t>
      </w:r>
      <w:r w:rsidR="008420B8">
        <w:rPr>
          <w:rFonts w:cstheme="minorHAnsi"/>
          <w:color w:val="000000" w:themeColor="text1"/>
        </w:rPr>
        <w:t xml:space="preserve">CPP partners </w:t>
      </w:r>
      <w:r w:rsidR="007474AA">
        <w:rPr>
          <w:rFonts w:cstheme="minorHAnsi"/>
          <w:color w:val="000000" w:themeColor="text1"/>
        </w:rPr>
        <w:t xml:space="preserve">have some flexibility </w:t>
      </w:r>
      <w:r w:rsidR="00330252">
        <w:rPr>
          <w:rFonts w:cstheme="minorHAnsi"/>
          <w:color w:val="000000" w:themeColor="text1"/>
        </w:rPr>
        <w:t>to work in other thematic areas of strategic relevance to the CPP</w:t>
      </w:r>
      <w:r w:rsidR="006822FA">
        <w:rPr>
          <w:rFonts w:cstheme="minorHAnsi"/>
          <w:color w:val="000000" w:themeColor="text1"/>
        </w:rPr>
        <w:t xml:space="preserve"> (and BCEP)</w:t>
      </w:r>
      <w:r w:rsidR="00330252">
        <w:rPr>
          <w:rFonts w:cstheme="minorHAnsi"/>
          <w:color w:val="000000" w:themeColor="text1"/>
        </w:rPr>
        <w:t xml:space="preserve"> program logic, </w:t>
      </w:r>
      <w:r w:rsidR="00AB5E55">
        <w:rPr>
          <w:rFonts w:cstheme="minorHAnsi"/>
          <w:color w:val="000000" w:themeColor="text1"/>
        </w:rPr>
        <w:t xml:space="preserve">where </w:t>
      </w:r>
      <w:r w:rsidR="003C7FE2">
        <w:rPr>
          <w:rFonts w:cstheme="minorHAnsi"/>
          <w:color w:val="000000" w:themeColor="text1"/>
        </w:rPr>
        <w:t>urgent</w:t>
      </w:r>
      <w:r w:rsidR="006822FA">
        <w:rPr>
          <w:rFonts w:cstheme="minorHAnsi"/>
          <w:color w:val="000000" w:themeColor="text1"/>
        </w:rPr>
        <w:t xml:space="preserve"> need</w:t>
      </w:r>
      <w:r w:rsidR="003C7FE2">
        <w:rPr>
          <w:rFonts w:cstheme="minorHAnsi"/>
          <w:color w:val="000000" w:themeColor="text1"/>
        </w:rPr>
        <w:t xml:space="preserve"> </w:t>
      </w:r>
      <w:r w:rsidR="006822FA">
        <w:rPr>
          <w:rFonts w:cstheme="minorHAnsi"/>
          <w:color w:val="000000" w:themeColor="text1"/>
        </w:rPr>
        <w:t>or</w:t>
      </w:r>
      <w:r w:rsidR="008420B8">
        <w:rPr>
          <w:rFonts w:cstheme="minorHAnsi"/>
          <w:color w:val="000000" w:themeColor="text1"/>
        </w:rPr>
        <w:t xml:space="preserve"> c</w:t>
      </w:r>
      <w:r w:rsidR="006822FA">
        <w:rPr>
          <w:rFonts w:cstheme="minorHAnsi"/>
          <w:color w:val="000000" w:themeColor="text1"/>
        </w:rPr>
        <w:t>hurch comparative advantage</w:t>
      </w:r>
      <w:r w:rsidR="008420B8">
        <w:rPr>
          <w:rFonts w:cstheme="minorHAnsi"/>
          <w:color w:val="000000" w:themeColor="text1"/>
        </w:rPr>
        <w:t xml:space="preserve"> can be demonstrated</w:t>
      </w:r>
      <w:r w:rsidR="00330252">
        <w:rPr>
          <w:rFonts w:cstheme="minorHAnsi"/>
          <w:color w:val="000000" w:themeColor="text1"/>
        </w:rPr>
        <w:t xml:space="preserve">. </w:t>
      </w:r>
    </w:p>
    <w:p w14:paraId="46CA79C0" w14:textId="0E7C3492" w:rsidR="00D640A5" w:rsidRDefault="00D640A5" w:rsidP="00791619">
      <w:pPr>
        <w:pStyle w:val="ListParagraph"/>
        <w:ind w:left="360"/>
        <w:jc w:val="both"/>
        <w:rPr>
          <w:rFonts w:cstheme="minorHAnsi"/>
          <w:color w:val="000000" w:themeColor="text1"/>
        </w:rPr>
      </w:pPr>
      <w:r>
        <w:rPr>
          <w:rFonts w:cstheme="minorHAnsi"/>
          <w:color w:val="000000" w:themeColor="text1"/>
        </w:rPr>
        <w:br/>
        <w:t xml:space="preserve">In Inception, the </w:t>
      </w:r>
      <w:r w:rsidR="008420B8">
        <w:rPr>
          <w:rFonts w:cstheme="minorHAnsi"/>
          <w:color w:val="000000" w:themeColor="text1"/>
        </w:rPr>
        <w:t>CPPCO</w:t>
      </w:r>
      <w:r>
        <w:rPr>
          <w:rFonts w:cstheme="minorHAnsi"/>
          <w:color w:val="000000" w:themeColor="text1"/>
        </w:rPr>
        <w:t xml:space="preserve"> will provide guidelines for the development of CPP Partner</w:t>
      </w:r>
      <w:r w:rsidR="00BE3A95">
        <w:rPr>
          <w:rFonts w:cstheme="minorHAnsi"/>
          <w:color w:val="000000" w:themeColor="text1"/>
        </w:rPr>
        <w:t xml:space="preserve"> Plan</w:t>
      </w:r>
      <w:r>
        <w:rPr>
          <w:rFonts w:cstheme="minorHAnsi"/>
          <w:color w:val="000000" w:themeColor="text1"/>
        </w:rPr>
        <w:t xml:space="preserve">s. These </w:t>
      </w:r>
      <w:r w:rsidR="006125B5">
        <w:rPr>
          <w:rFonts w:cstheme="minorHAnsi"/>
          <w:color w:val="000000" w:themeColor="text1"/>
        </w:rPr>
        <w:t>plans will cover</w:t>
      </w:r>
      <w:r>
        <w:rPr>
          <w:rFonts w:cstheme="minorHAnsi"/>
          <w:color w:val="000000" w:themeColor="text1"/>
        </w:rPr>
        <w:t>:</w:t>
      </w:r>
    </w:p>
    <w:p w14:paraId="502E40CF" w14:textId="0517EAC7" w:rsidR="00573635" w:rsidRDefault="00573635" w:rsidP="00791619">
      <w:pPr>
        <w:pStyle w:val="ListParagraph"/>
        <w:numPr>
          <w:ilvl w:val="0"/>
          <w:numId w:val="26"/>
        </w:numPr>
        <w:jc w:val="both"/>
        <w:rPr>
          <w:rFonts w:cstheme="minorHAnsi"/>
          <w:color w:val="000000" w:themeColor="text1"/>
        </w:rPr>
      </w:pPr>
      <w:r>
        <w:rPr>
          <w:rFonts w:cstheme="minorHAnsi"/>
          <w:color w:val="000000" w:themeColor="text1"/>
        </w:rPr>
        <w:t>Problem analysis: a</w:t>
      </w:r>
      <w:r w:rsidRPr="00573635">
        <w:rPr>
          <w:rFonts w:cstheme="minorHAnsi"/>
          <w:color w:val="000000" w:themeColor="text1"/>
        </w:rPr>
        <w:t xml:space="preserve">nalysis of specific governance </w:t>
      </w:r>
      <w:r>
        <w:rPr>
          <w:rFonts w:cstheme="minorHAnsi"/>
          <w:color w:val="000000" w:themeColor="text1"/>
        </w:rPr>
        <w:t xml:space="preserve">issues that the CPP partner is seeking to address (relating to the </w:t>
      </w:r>
      <w:r w:rsidR="00787E3A">
        <w:rPr>
          <w:rFonts w:cstheme="minorHAnsi"/>
          <w:color w:val="000000" w:themeColor="text1"/>
        </w:rPr>
        <w:t xml:space="preserve">better </w:t>
      </w:r>
      <w:r>
        <w:rPr>
          <w:rFonts w:cstheme="minorHAnsi"/>
          <w:color w:val="000000" w:themeColor="text1"/>
        </w:rPr>
        <w:t xml:space="preserve">delivery of public services and </w:t>
      </w:r>
      <w:r w:rsidR="00787E3A">
        <w:rPr>
          <w:rFonts w:cstheme="minorHAnsi"/>
          <w:color w:val="000000" w:themeColor="text1"/>
        </w:rPr>
        <w:t>goods that are inclusive of PNG’s vulnerable and marginalised communities)</w:t>
      </w:r>
      <w:r w:rsidRPr="00573635">
        <w:rPr>
          <w:rFonts w:cstheme="minorHAnsi"/>
          <w:color w:val="000000" w:themeColor="text1"/>
        </w:rPr>
        <w:t xml:space="preserve">. </w:t>
      </w:r>
    </w:p>
    <w:p w14:paraId="21B7FD6F" w14:textId="63F0AF4C" w:rsidR="00D640A5" w:rsidRDefault="00787E3A" w:rsidP="00791619">
      <w:pPr>
        <w:pStyle w:val="ListParagraph"/>
        <w:numPr>
          <w:ilvl w:val="0"/>
          <w:numId w:val="26"/>
        </w:numPr>
        <w:jc w:val="both"/>
        <w:rPr>
          <w:rFonts w:cstheme="minorHAnsi"/>
          <w:color w:val="000000" w:themeColor="text1"/>
        </w:rPr>
      </w:pPr>
      <w:r>
        <w:rPr>
          <w:rFonts w:cstheme="minorHAnsi"/>
          <w:color w:val="000000" w:themeColor="text1"/>
        </w:rPr>
        <w:t xml:space="preserve">Expected outcomes and change pathways. </w:t>
      </w:r>
      <w:r w:rsidR="00D640A5">
        <w:rPr>
          <w:rFonts w:cstheme="minorHAnsi"/>
          <w:color w:val="000000" w:themeColor="text1"/>
        </w:rPr>
        <w:t>CPP Partner</w:t>
      </w:r>
      <w:r>
        <w:rPr>
          <w:rFonts w:cstheme="minorHAnsi"/>
          <w:color w:val="000000" w:themeColor="text1"/>
        </w:rPr>
        <w:t>’s high-level outcomes</w:t>
      </w:r>
      <w:r w:rsidR="00D640A5">
        <w:rPr>
          <w:rFonts w:cstheme="minorHAnsi"/>
          <w:color w:val="000000" w:themeColor="text1"/>
        </w:rPr>
        <w:t xml:space="preserve"> </w:t>
      </w:r>
      <w:r>
        <w:rPr>
          <w:rFonts w:cstheme="minorHAnsi"/>
          <w:color w:val="000000" w:themeColor="text1"/>
        </w:rPr>
        <w:t xml:space="preserve">and the </w:t>
      </w:r>
      <w:r w:rsidR="00D640A5">
        <w:rPr>
          <w:rFonts w:cstheme="minorHAnsi"/>
          <w:color w:val="000000" w:themeColor="text1"/>
        </w:rPr>
        <w:t>logic models</w:t>
      </w:r>
      <w:r w:rsidR="00BE3A95">
        <w:rPr>
          <w:rFonts w:cstheme="minorHAnsi"/>
          <w:color w:val="000000" w:themeColor="text1"/>
        </w:rPr>
        <w:t xml:space="preserve"> </w:t>
      </w:r>
      <w:r>
        <w:rPr>
          <w:rFonts w:cstheme="minorHAnsi"/>
          <w:color w:val="000000" w:themeColor="text1"/>
        </w:rPr>
        <w:t xml:space="preserve">how </w:t>
      </w:r>
      <w:r w:rsidR="00BE3A95">
        <w:rPr>
          <w:rFonts w:cstheme="minorHAnsi"/>
          <w:color w:val="000000" w:themeColor="text1"/>
        </w:rPr>
        <w:t>activities will contribute to outcomes</w:t>
      </w:r>
    </w:p>
    <w:p w14:paraId="47EF9BFA" w14:textId="7A4D8990" w:rsidR="00BE3A95" w:rsidRDefault="008023AF" w:rsidP="00791619">
      <w:pPr>
        <w:pStyle w:val="ListParagraph"/>
        <w:numPr>
          <w:ilvl w:val="0"/>
          <w:numId w:val="26"/>
        </w:numPr>
        <w:jc w:val="both"/>
        <w:rPr>
          <w:rFonts w:cstheme="minorHAnsi"/>
          <w:color w:val="000000" w:themeColor="text1"/>
        </w:rPr>
      </w:pPr>
      <w:r>
        <w:rPr>
          <w:rFonts w:cstheme="minorHAnsi"/>
          <w:color w:val="000000" w:themeColor="text1"/>
        </w:rPr>
        <w:t>Implementation a</w:t>
      </w:r>
      <w:r w:rsidR="00BE3A95">
        <w:rPr>
          <w:rFonts w:cstheme="minorHAnsi"/>
          <w:color w:val="000000" w:themeColor="text1"/>
        </w:rPr>
        <w:t>ctivities</w:t>
      </w:r>
      <w:r>
        <w:rPr>
          <w:rFonts w:cstheme="minorHAnsi"/>
          <w:color w:val="000000" w:themeColor="text1"/>
        </w:rPr>
        <w:t>:</w:t>
      </w:r>
      <w:r w:rsidR="00BE3A95">
        <w:rPr>
          <w:rFonts w:cstheme="minorHAnsi"/>
          <w:color w:val="000000" w:themeColor="text1"/>
        </w:rPr>
        <w:t xml:space="preserve"> designed to deliver each part in the CPP Partner logic model</w:t>
      </w:r>
    </w:p>
    <w:p w14:paraId="785A4B31" w14:textId="52987E86" w:rsidR="00787E3A" w:rsidRDefault="00787E3A" w:rsidP="00791619">
      <w:pPr>
        <w:pStyle w:val="ListParagraph"/>
        <w:numPr>
          <w:ilvl w:val="0"/>
          <w:numId w:val="26"/>
        </w:numPr>
        <w:jc w:val="both"/>
        <w:rPr>
          <w:rFonts w:cstheme="minorHAnsi"/>
          <w:color w:val="000000" w:themeColor="text1"/>
        </w:rPr>
      </w:pPr>
      <w:r>
        <w:rPr>
          <w:rFonts w:cstheme="minorHAnsi"/>
          <w:color w:val="000000" w:themeColor="text1"/>
        </w:rPr>
        <w:t>Management and governance arrangements</w:t>
      </w:r>
    </w:p>
    <w:p w14:paraId="3F3AB3EB" w14:textId="6180CA93" w:rsidR="00787E3A" w:rsidRDefault="00787E3A" w:rsidP="00791619">
      <w:pPr>
        <w:pStyle w:val="ListParagraph"/>
        <w:numPr>
          <w:ilvl w:val="0"/>
          <w:numId w:val="26"/>
        </w:numPr>
        <w:jc w:val="both"/>
        <w:rPr>
          <w:rFonts w:cstheme="minorHAnsi"/>
          <w:color w:val="000000" w:themeColor="text1"/>
        </w:rPr>
      </w:pPr>
      <w:r>
        <w:rPr>
          <w:rFonts w:cstheme="minorHAnsi"/>
          <w:color w:val="000000" w:themeColor="text1"/>
        </w:rPr>
        <w:t>Financial and risk management</w:t>
      </w:r>
      <w:r w:rsidR="00B1628C">
        <w:rPr>
          <w:rFonts w:cstheme="minorHAnsi"/>
          <w:color w:val="000000" w:themeColor="text1"/>
        </w:rPr>
        <w:t xml:space="preserve">, including </w:t>
      </w:r>
      <w:r w:rsidR="008E5AE7">
        <w:rPr>
          <w:rFonts w:cstheme="minorHAnsi"/>
          <w:color w:val="000000" w:themeColor="text1"/>
        </w:rPr>
        <w:t>three-year</w:t>
      </w:r>
      <w:r w:rsidR="00B1628C">
        <w:rPr>
          <w:rFonts w:cstheme="minorHAnsi"/>
          <w:color w:val="000000" w:themeColor="text1"/>
        </w:rPr>
        <w:t xml:space="preserve"> budget</w:t>
      </w:r>
      <w:r w:rsidR="008E5AE7">
        <w:rPr>
          <w:rFonts w:cstheme="minorHAnsi"/>
          <w:color w:val="000000" w:themeColor="text1"/>
        </w:rPr>
        <w:t>s</w:t>
      </w:r>
      <w:r w:rsidR="000F0B2E">
        <w:rPr>
          <w:rFonts w:cstheme="minorHAnsi"/>
          <w:color w:val="000000" w:themeColor="text1"/>
        </w:rPr>
        <w:t xml:space="preserve"> </w:t>
      </w:r>
    </w:p>
    <w:p w14:paraId="43F4F889" w14:textId="38DAAB7C" w:rsidR="00787E3A" w:rsidRDefault="00787E3A" w:rsidP="00791619">
      <w:pPr>
        <w:pStyle w:val="ListParagraph"/>
        <w:numPr>
          <w:ilvl w:val="0"/>
          <w:numId w:val="26"/>
        </w:numPr>
        <w:jc w:val="both"/>
        <w:rPr>
          <w:rFonts w:cstheme="minorHAnsi"/>
          <w:color w:val="000000" w:themeColor="text1"/>
        </w:rPr>
      </w:pPr>
      <w:r>
        <w:rPr>
          <w:rFonts w:cstheme="minorHAnsi"/>
          <w:color w:val="000000" w:themeColor="text1"/>
        </w:rPr>
        <w:t>GEDSI Action</w:t>
      </w:r>
      <w:r w:rsidR="00D40A82">
        <w:rPr>
          <w:rFonts w:cstheme="minorHAnsi"/>
          <w:color w:val="000000" w:themeColor="text1"/>
        </w:rPr>
        <w:t xml:space="preserve"> Plans</w:t>
      </w:r>
      <w:r>
        <w:rPr>
          <w:rFonts w:cstheme="minorHAnsi"/>
          <w:color w:val="000000" w:themeColor="text1"/>
        </w:rPr>
        <w:t>: mainstreaming and targeted (</w:t>
      </w:r>
      <w:r w:rsidR="008023AF">
        <w:rPr>
          <w:rFonts w:cstheme="minorHAnsi"/>
          <w:color w:val="000000" w:themeColor="text1"/>
        </w:rPr>
        <w:t>under</w:t>
      </w:r>
      <w:r>
        <w:rPr>
          <w:rFonts w:cstheme="minorHAnsi"/>
          <w:color w:val="000000" w:themeColor="text1"/>
        </w:rPr>
        <w:t xml:space="preserve"> pillar 3)</w:t>
      </w:r>
    </w:p>
    <w:p w14:paraId="6062585E" w14:textId="58436EEE" w:rsidR="00787E3A" w:rsidRDefault="00787E3A" w:rsidP="00791619">
      <w:pPr>
        <w:pStyle w:val="ListParagraph"/>
        <w:numPr>
          <w:ilvl w:val="0"/>
          <w:numId w:val="26"/>
        </w:numPr>
        <w:jc w:val="both"/>
        <w:rPr>
          <w:rFonts w:cstheme="minorHAnsi"/>
          <w:color w:val="000000" w:themeColor="text1"/>
        </w:rPr>
      </w:pPr>
      <w:r>
        <w:rPr>
          <w:rFonts w:cstheme="minorHAnsi"/>
          <w:color w:val="000000" w:themeColor="text1"/>
        </w:rPr>
        <w:t xml:space="preserve">Capacity </w:t>
      </w:r>
      <w:r w:rsidR="008023AF">
        <w:rPr>
          <w:rFonts w:cstheme="minorHAnsi"/>
          <w:color w:val="000000" w:themeColor="text1"/>
        </w:rPr>
        <w:t>d</w:t>
      </w:r>
      <w:r>
        <w:rPr>
          <w:rFonts w:cstheme="minorHAnsi"/>
          <w:color w:val="000000" w:themeColor="text1"/>
        </w:rPr>
        <w:t xml:space="preserve">evelopment </w:t>
      </w:r>
      <w:r w:rsidR="008023AF">
        <w:rPr>
          <w:rFonts w:cstheme="minorHAnsi"/>
          <w:color w:val="000000" w:themeColor="text1"/>
        </w:rPr>
        <w:t xml:space="preserve">requirement and actions (see </w:t>
      </w:r>
      <w:r w:rsidR="008E5AE7">
        <w:rPr>
          <w:rFonts w:cstheme="minorHAnsi"/>
          <w:color w:val="000000" w:themeColor="text1"/>
        </w:rPr>
        <w:t>section above</w:t>
      </w:r>
      <w:r w:rsidR="008023AF">
        <w:rPr>
          <w:rFonts w:cstheme="minorHAnsi"/>
          <w:color w:val="000000" w:themeColor="text1"/>
        </w:rPr>
        <w:t xml:space="preserve">) </w:t>
      </w:r>
    </w:p>
    <w:p w14:paraId="025654C9" w14:textId="3E64CE56" w:rsidR="008023AF" w:rsidRDefault="008023AF" w:rsidP="00791619">
      <w:pPr>
        <w:pStyle w:val="ListParagraph"/>
        <w:numPr>
          <w:ilvl w:val="0"/>
          <w:numId w:val="26"/>
        </w:numPr>
        <w:jc w:val="both"/>
        <w:rPr>
          <w:rFonts w:cstheme="minorHAnsi"/>
          <w:color w:val="000000" w:themeColor="text1"/>
        </w:rPr>
      </w:pPr>
      <w:r>
        <w:rPr>
          <w:rFonts w:cstheme="minorHAnsi"/>
          <w:color w:val="000000" w:themeColor="text1"/>
        </w:rPr>
        <w:t xml:space="preserve">Media engagement requirement and actions (to support community information, </w:t>
      </w:r>
      <w:proofErr w:type="gramStart"/>
      <w:r>
        <w:rPr>
          <w:rFonts w:cstheme="minorHAnsi"/>
          <w:color w:val="000000" w:themeColor="text1"/>
        </w:rPr>
        <w:t>education</w:t>
      </w:r>
      <w:proofErr w:type="gramEnd"/>
      <w:r>
        <w:rPr>
          <w:rFonts w:cstheme="minorHAnsi"/>
          <w:color w:val="000000" w:themeColor="text1"/>
        </w:rPr>
        <w:t xml:space="preserve"> and communication activities)</w:t>
      </w:r>
    </w:p>
    <w:p w14:paraId="3C4C8F09" w14:textId="77777777" w:rsidR="00597CBB" w:rsidRDefault="00597CBB" w:rsidP="00597CBB">
      <w:pPr>
        <w:pStyle w:val="ListParagraph"/>
        <w:ind w:left="1080"/>
        <w:jc w:val="both"/>
        <w:rPr>
          <w:rFonts w:cstheme="minorHAnsi"/>
          <w:color w:val="000000" w:themeColor="text1"/>
        </w:rPr>
      </w:pPr>
    </w:p>
    <w:p w14:paraId="4BAB4290" w14:textId="14827CDB" w:rsidR="00B1628C" w:rsidRPr="00B1628C" w:rsidRDefault="00F76377" w:rsidP="00955E5F">
      <w:pPr>
        <w:pStyle w:val="ListParagraph"/>
        <w:ind w:left="360"/>
        <w:rPr>
          <w:rFonts w:cstheme="minorHAnsi"/>
          <w:color w:val="000000" w:themeColor="text1"/>
        </w:rPr>
      </w:pPr>
      <w:r>
        <w:rPr>
          <w:rFonts w:cstheme="minorHAnsi"/>
          <w:color w:val="000000" w:themeColor="text1"/>
        </w:rPr>
        <w:t xml:space="preserve">The </w:t>
      </w:r>
      <w:r w:rsidR="006125B5">
        <w:rPr>
          <w:rFonts w:cstheme="minorHAnsi"/>
          <w:color w:val="000000" w:themeColor="text1"/>
        </w:rPr>
        <w:t xml:space="preserve">CPPCO guidelines for development of CPP Partner Plans will </w:t>
      </w:r>
      <w:r w:rsidR="00500476">
        <w:rPr>
          <w:rFonts w:cstheme="minorHAnsi"/>
          <w:color w:val="000000" w:themeColor="text1"/>
        </w:rPr>
        <w:t xml:space="preserve">provide criteria for the types </w:t>
      </w:r>
      <w:r w:rsidR="000E5494">
        <w:rPr>
          <w:rFonts w:cstheme="minorHAnsi"/>
          <w:color w:val="000000" w:themeColor="text1"/>
        </w:rPr>
        <w:t xml:space="preserve">of </w:t>
      </w:r>
      <w:r w:rsidR="00500476">
        <w:rPr>
          <w:rFonts w:cstheme="minorHAnsi"/>
          <w:color w:val="000000" w:themeColor="text1"/>
        </w:rPr>
        <w:t>activities that are eligible for funding (</w:t>
      </w:r>
      <w:r w:rsidR="006125B5">
        <w:rPr>
          <w:rFonts w:cstheme="minorHAnsi"/>
          <w:color w:val="000000" w:themeColor="text1"/>
        </w:rPr>
        <w:t>such as</w:t>
      </w:r>
      <w:r w:rsidR="00500476">
        <w:rPr>
          <w:rFonts w:cstheme="minorHAnsi"/>
          <w:color w:val="000000" w:themeColor="text1"/>
        </w:rPr>
        <w:t xml:space="preserve"> those</w:t>
      </w:r>
      <w:r w:rsidR="006125B5">
        <w:rPr>
          <w:rFonts w:cstheme="minorHAnsi"/>
          <w:color w:val="000000" w:themeColor="text1"/>
        </w:rPr>
        <w:t xml:space="preserve"> </w:t>
      </w:r>
      <w:r w:rsidR="00500476">
        <w:rPr>
          <w:rFonts w:cstheme="minorHAnsi"/>
          <w:color w:val="000000" w:themeColor="text1"/>
        </w:rPr>
        <w:t xml:space="preserve">in </w:t>
      </w:r>
      <w:r w:rsidR="006125B5">
        <w:rPr>
          <w:rFonts w:cstheme="minorHAnsi"/>
          <w:color w:val="000000" w:themeColor="text1"/>
        </w:rPr>
        <w:t>alignment with CPP pillars</w:t>
      </w:r>
      <w:r w:rsidR="00500476">
        <w:rPr>
          <w:rFonts w:cstheme="minorHAnsi"/>
          <w:color w:val="000000" w:themeColor="text1"/>
        </w:rPr>
        <w:t xml:space="preserve"> with clear</w:t>
      </w:r>
      <w:r w:rsidR="006125B5">
        <w:rPr>
          <w:rFonts w:cstheme="minorHAnsi"/>
          <w:color w:val="000000" w:themeColor="text1"/>
        </w:rPr>
        <w:t xml:space="preserve"> GEDSI focus</w:t>
      </w:r>
      <w:r w:rsidR="00500476">
        <w:rPr>
          <w:rFonts w:cstheme="minorHAnsi"/>
          <w:color w:val="000000" w:themeColor="text1"/>
        </w:rPr>
        <w:t>) and are not eligible (such as most infrastructure development</w:t>
      </w:r>
      <w:r w:rsidR="00DF2D5E">
        <w:rPr>
          <w:rFonts w:cstheme="minorHAnsi"/>
          <w:color w:val="000000" w:themeColor="text1"/>
        </w:rPr>
        <w:t>/maintenance</w:t>
      </w:r>
      <w:r w:rsidR="00500476">
        <w:rPr>
          <w:rFonts w:cstheme="minorHAnsi"/>
          <w:color w:val="000000" w:themeColor="text1"/>
        </w:rPr>
        <w:t xml:space="preserve"> and any activities normally funded by </w:t>
      </w:r>
      <w:proofErr w:type="spellStart"/>
      <w:r w:rsidR="00500476">
        <w:rPr>
          <w:rFonts w:cstheme="minorHAnsi"/>
          <w:color w:val="000000" w:themeColor="text1"/>
        </w:rPr>
        <w:t>GoPNG</w:t>
      </w:r>
      <w:proofErr w:type="spellEnd"/>
      <w:r w:rsidR="00500476">
        <w:rPr>
          <w:rFonts w:cstheme="minorHAnsi"/>
          <w:color w:val="000000" w:themeColor="text1"/>
        </w:rPr>
        <w:t xml:space="preserve">). The CPPCO </w:t>
      </w:r>
      <w:r>
        <w:rPr>
          <w:rFonts w:cstheme="minorHAnsi"/>
          <w:color w:val="000000" w:themeColor="text1"/>
        </w:rPr>
        <w:t xml:space="preserve">will review CPP partner plans and provide feedback for strengthening before providing </w:t>
      </w:r>
      <w:r w:rsidR="008E5AE7">
        <w:rPr>
          <w:rFonts w:cstheme="minorHAnsi"/>
          <w:color w:val="000000" w:themeColor="text1"/>
        </w:rPr>
        <w:t xml:space="preserve">the plan </w:t>
      </w:r>
      <w:r>
        <w:rPr>
          <w:rFonts w:cstheme="minorHAnsi"/>
          <w:color w:val="000000" w:themeColor="text1"/>
        </w:rPr>
        <w:t>to DFAT for final approval</w:t>
      </w:r>
      <w:r w:rsidR="00B1628C">
        <w:rPr>
          <w:rFonts w:cstheme="minorHAnsi"/>
          <w:color w:val="000000" w:themeColor="text1"/>
        </w:rPr>
        <w:t xml:space="preserve">. </w:t>
      </w:r>
      <w:r w:rsidR="00B1628C">
        <w:rPr>
          <w:rFonts w:cstheme="minorHAnsi"/>
          <w:color w:val="000000" w:themeColor="text1"/>
        </w:rPr>
        <w:br/>
      </w:r>
    </w:p>
    <w:p w14:paraId="249DFA10" w14:textId="74D437D5" w:rsidR="00894B2C" w:rsidRDefault="00894B2C" w:rsidP="00791619">
      <w:pPr>
        <w:pStyle w:val="ListParagraph"/>
        <w:numPr>
          <w:ilvl w:val="0"/>
          <w:numId w:val="25"/>
        </w:numPr>
        <w:jc w:val="both"/>
        <w:rPr>
          <w:rFonts w:cstheme="minorHAnsi"/>
          <w:color w:val="000000" w:themeColor="text1"/>
        </w:rPr>
      </w:pPr>
      <w:r w:rsidRPr="00894B2C">
        <w:rPr>
          <w:rFonts w:cstheme="minorHAnsi"/>
          <w:b/>
          <w:bCs/>
          <w:color w:val="000000" w:themeColor="text1"/>
        </w:rPr>
        <w:t xml:space="preserve">Monitoring, Evaluation and Learning </w:t>
      </w:r>
      <w:r w:rsidR="00D84678">
        <w:rPr>
          <w:rFonts w:cstheme="minorHAnsi"/>
          <w:b/>
          <w:bCs/>
          <w:color w:val="000000" w:themeColor="text1"/>
        </w:rPr>
        <w:t xml:space="preserve">(MEL) </w:t>
      </w:r>
      <w:r w:rsidRPr="00894B2C">
        <w:rPr>
          <w:rFonts w:cstheme="minorHAnsi"/>
          <w:b/>
          <w:bCs/>
          <w:color w:val="000000" w:themeColor="text1"/>
        </w:rPr>
        <w:t>Framework</w:t>
      </w:r>
      <w:r>
        <w:rPr>
          <w:rFonts w:cstheme="minorHAnsi"/>
          <w:color w:val="000000" w:themeColor="text1"/>
        </w:rPr>
        <w:t xml:space="preserve">: to be based around the CPP partners logic model and activities (in the three-year plan). The </w:t>
      </w:r>
      <w:r w:rsidR="008B3F50">
        <w:rPr>
          <w:rFonts w:cstheme="minorHAnsi"/>
          <w:color w:val="000000" w:themeColor="text1"/>
        </w:rPr>
        <w:t>framework will include realistic and achievable indicators, where relevant, adopting indicators from the CPP MEL framework.</w:t>
      </w:r>
      <w:r w:rsidR="00D84678">
        <w:rPr>
          <w:rFonts w:cstheme="minorHAnsi"/>
          <w:color w:val="000000" w:themeColor="text1"/>
        </w:rPr>
        <w:t xml:space="preserve"> CPP Partner MEL frameworks will</w:t>
      </w:r>
      <w:r w:rsidR="008B3F50">
        <w:rPr>
          <w:rFonts w:cstheme="minorHAnsi"/>
          <w:color w:val="000000" w:themeColor="text1"/>
        </w:rPr>
        <w:t xml:space="preserve"> also outline </w:t>
      </w:r>
      <w:r w:rsidR="00D84678">
        <w:rPr>
          <w:rFonts w:cstheme="minorHAnsi"/>
          <w:color w:val="000000" w:themeColor="text1"/>
        </w:rPr>
        <w:t>their</w:t>
      </w:r>
      <w:r w:rsidR="008B3F50">
        <w:rPr>
          <w:rFonts w:cstheme="minorHAnsi"/>
          <w:color w:val="000000" w:themeColor="text1"/>
        </w:rPr>
        <w:t xml:space="preserve"> </w:t>
      </w:r>
      <w:r w:rsidR="00D84678">
        <w:rPr>
          <w:rFonts w:cstheme="minorHAnsi"/>
          <w:color w:val="000000" w:themeColor="text1"/>
        </w:rPr>
        <w:t xml:space="preserve">approach for </w:t>
      </w:r>
      <w:r w:rsidR="008B3F50">
        <w:rPr>
          <w:rFonts w:cstheme="minorHAnsi"/>
          <w:color w:val="000000" w:themeColor="text1"/>
        </w:rPr>
        <w:t>lead</w:t>
      </w:r>
      <w:r w:rsidR="00D84678">
        <w:rPr>
          <w:rFonts w:cstheme="minorHAnsi"/>
          <w:color w:val="000000" w:themeColor="text1"/>
        </w:rPr>
        <w:t>ing</w:t>
      </w:r>
      <w:r>
        <w:rPr>
          <w:rFonts w:cstheme="minorHAnsi"/>
          <w:color w:val="000000" w:themeColor="text1"/>
        </w:rPr>
        <w:t xml:space="preserve"> thematic working group</w:t>
      </w:r>
      <w:r w:rsidR="008B3F50">
        <w:rPr>
          <w:rFonts w:cstheme="minorHAnsi"/>
          <w:color w:val="000000" w:themeColor="text1"/>
        </w:rPr>
        <w:t>s they are responsible</w:t>
      </w:r>
      <w:r w:rsidR="00D84678">
        <w:rPr>
          <w:rFonts w:cstheme="minorHAnsi"/>
          <w:color w:val="000000" w:themeColor="text1"/>
        </w:rPr>
        <w:t xml:space="preserve"> for,</w:t>
      </w:r>
      <w:r w:rsidR="008B3F50">
        <w:rPr>
          <w:rFonts w:cstheme="minorHAnsi"/>
          <w:color w:val="000000" w:themeColor="text1"/>
        </w:rPr>
        <w:t xml:space="preserve"> such as learning question</w:t>
      </w:r>
      <w:r w:rsidR="00D84678">
        <w:rPr>
          <w:rFonts w:cstheme="minorHAnsi"/>
          <w:color w:val="000000" w:themeColor="text1"/>
        </w:rPr>
        <w:t>s</w:t>
      </w:r>
      <w:r w:rsidR="008B3F50">
        <w:rPr>
          <w:rFonts w:cstheme="minorHAnsi"/>
          <w:color w:val="000000" w:themeColor="text1"/>
        </w:rPr>
        <w:t xml:space="preserve"> to be explored over the life of the program.</w:t>
      </w:r>
    </w:p>
    <w:p w14:paraId="19EFED7D" w14:textId="77777777" w:rsidR="00894B2C" w:rsidRDefault="00894B2C" w:rsidP="00791619">
      <w:pPr>
        <w:pStyle w:val="ListParagraph"/>
        <w:ind w:left="360"/>
        <w:jc w:val="both"/>
        <w:rPr>
          <w:rFonts w:cstheme="minorHAnsi"/>
          <w:color w:val="000000" w:themeColor="text1"/>
        </w:rPr>
      </w:pPr>
    </w:p>
    <w:p w14:paraId="1DCB39B8" w14:textId="0C6EEC0E" w:rsidR="00894B2C" w:rsidRDefault="00894B2C" w:rsidP="00791619">
      <w:pPr>
        <w:pStyle w:val="ListParagraph"/>
        <w:numPr>
          <w:ilvl w:val="0"/>
          <w:numId w:val="25"/>
        </w:numPr>
        <w:jc w:val="both"/>
      </w:pPr>
      <w:r w:rsidRPr="00894B2C">
        <w:rPr>
          <w:b/>
          <w:bCs/>
        </w:rPr>
        <w:t>Annual Work-plans and budgets</w:t>
      </w:r>
      <w:r>
        <w:t xml:space="preserve">: to be developed under the three-year plan for approval by DFAT on an Annual basis. </w:t>
      </w:r>
    </w:p>
    <w:p w14:paraId="5D62CAE1" w14:textId="77777777" w:rsidR="00D84678" w:rsidRDefault="00D84678" w:rsidP="00791619">
      <w:pPr>
        <w:pStyle w:val="ListParagraph"/>
        <w:jc w:val="both"/>
      </w:pPr>
    </w:p>
    <w:p w14:paraId="1883B22E" w14:textId="3C9AD8A4" w:rsidR="00894B2C" w:rsidRDefault="00D84678" w:rsidP="00791619">
      <w:pPr>
        <w:pStyle w:val="ListParagraph"/>
        <w:numPr>
          <w:ilvl w:val="0"/>
          <w:numId w:val="25"/>
        </w:numPr>
        <w:jc w:val="both"/>
      </w:pPr>
      <w:r w:rsidRPr="00D84678">
        <w:rPr>
          <w:b/>
          <w:bCs/>
        </w:rPr>
        <w:t>Progress reports</w:t>
      </w:r>
      <w:r w:rsidR="00755031">
        <w:rPr>
          <w:b/>
          <w:bCs/>
        </w:rPr>
        <w:t xml:space="preserve"> and annual audits</w:t>
      </w:r>
      <w:r>
        <w:t xml:space="preserve">: The </w:t>
      </w:r>
      <w:r w:rsidR="008E5AE7">
        <w:t>CPPCO</w:t>
      </w:r>
      <w:r>
        <w:t xml:space="preserve"> will provide templates for progress reporting in line with the grant disbursement cycle. CPP partners are expect</w:t>
      </w:r>
      <w:r w:rsidR="00755031">
        <w:t>ed</w:t>
      </w:r>
      <w:r>
        <w:t xml:space="preserve"> to report six monthly against their three-year plans and annual work plans on activity implementation/achievement of results and budget delivery</w:t>
      </w:r>
      <w:r w:rsidR="00755031">
        <w:t xml:space="preserve">. CPP </w:t>
      </w:r>
      <w:r w:rsidR="00755031" w:rsidRPr="0012389B">
        <w:rPr>
          <w:color w:val="000000" w:themeColor="text1"/>
        </w:rPr>
        <w:t xml:space="preserve">Partners will </w:t>
      </w:r>
      <w:r w:rsidR="00755031">
        <w:rPr>
          <w:color w:val="000000" w:themeColor="text1"/>
        </w:rPr>
        <w:t xml:space="preserve">also </w:t>
      </w:r>
      <w:r w:rsidR="00755031" w:rsidRPr="0012389B">
        <w:rPr>
          <w:color w:val="000000" w:themeColor="text1"/>
        </w:rPr>
        <w:t>be required to undertake annual financial audits for accountability and learning/developmental p</w:t>
      </w:r>
      <w:r w:rsidR="00755031">
        <w:rPr>
          <w:color w:val="000000" w:themeColor="text1"/>
        </w:rPr>
        <w:t xml:space="preserve">urposes. </w:t>
      </w:r>
    </w:p>
    <w:p w14:paraId="50179BD0" w14:textId="77777777" w:rsidR="00095C2F" w:rsidRPr="00F96E4C" w:rsidRDefault="00095C2F" w:rsidP="00791619">
      <w:pPr>
        <w:pStyle w:val="ListParagraph"/>
        <w:ind w:left="360"/>
        <w:jc w:val="both"/>
        <w:rPr>
          <w:color w:val="000000" w:themeColor="text1"/>
        </w:rPr>
      </w:pPr>
    </w:p>
    <w:p w14:paraId="380CF097" w14:textId="5E797027" w:rsidR="00F41743" w:rsidRPr="0012389B" w:rsidRDefault="00071F98" w:rsidP="00791619">
      <w:pPr>
        <w:pStyle w:val="Heading1"/>
        <w:numPr>
          <w:ilvl w:val="0"/>
          <w:numId w:val="1"/>
        </w:numPr>
        <w:spacing w:after="240"/>
        <w:ind w:hanging="720"/>
        <w:jc w:val="both"/>
        <w:rPr>
          <w:rFonts w:ascii="Arial" w:hAnsi="Arial" w:cs="Arial"/>
          <w:sz w:val="28"/>
          <w:szCs w:val="28"/>
        </w:rPr>
      </w:pPr>
      <w:bookmarkStart w:id="69" w:name="_Toc99041667"/>
      <w:bookmarkEnd w:id="60"/>
      <w:bookmarkEnd w:id="68"/>
      <w:r w:rsidRPr="0012389B">
        <w:rPr>
          <w:rFonts w:ascii="Arial" w:hAnsi="Arial" w:cs="Arial"/>
          <w:sz w:val="28"/>
          <w:szCs w:val="28"/>
        </w:rPr>
        <w:t>Management and Governance</w:t>
      </w:r>
      <w:bookmarkEnd w:id="69"/>
    </w:p>
    <w:p w14:paraId="6C4F8456" w14:textId="1EDC1AEA" w:rsidR="00A62F5F" w:rsidRPr="0012389B" w:rsidRDefault="00071F98" w:rsidP="00791619">
      <w:pPr>
        <w:pStyle w:val="Heading2"/>
        <w:numPr>
          <w:ilvl w:val="1"/>
          <w:numId w:val="1"/>
        </w:numPr>
        <w:ind w:left="709" w:hanging="709"/>
        <w:jc w:val="both"/>
        <w:rPr>
          <w:b/>
          <w:bCs/>
          <w:sz w:val="24"/>
          <w:szCs w:val="24"/>
        </w:rPr>
      </w:pPr>
      <w:bookmarkStart w:id="70" w:name="_Toc97187837"/>
      <w:bookmarkStart w:id="71" w:name="_Toc97305468"/>
      <w:bookmarkStart w:id="72" w:name="_Toc99041668"/>
      <w:r w:rsidRPr="0012389B">
        <w:rPr>
          <w:b/>
          <w:bCs/>
          <w:sz w:val="24"/>
          <w:szCs w:val="24"/>
        </w:rPr>
        <w:t>S</w:t>
      </w:r>
      <w:r w:rsidR="00A62F5F" w:rsidRPr="0012389B">
        <w:rPr>
          <w:b/>
          <w:bCs/>
          <w:sz w:val="24"/>
          <w:szCs w:val="24"/>
        </w:rPr>
        <w:t>tructure</w:t>
      </w:r>
      <w:bookmarkEnd w:id="70"/>
      <w:bookmarkEnd w:id="71"/>
      <w:bookmarkEnd w:id="72"/>
    </w:p>
    <w:p w14:paraId="4194C9BC" w14:textId="39D0D7CA" w:rsidR="00A62F5F" w:rsidRPr="0012389B" w:rsidRDefault="00A62F5F" w:rsidP="00791619">
      <w:pPr>
        <w:pStyle w:val="BodyTextHanging"/>
        <w:spacing w:after="160" w:line="259" w:lineRule="auto"/>
        <w:jc w:val="both"/>
        <w:rPr>
          <w:rFonts w:asciiTheme="minorHAnsi" w:hAnsiTheme="minorHAnsi" w:cstheme="minorHAnsi"/>
          <w:lang w:val="en-AU" w:eastAsia="en-US"/>
        </w:rPr>
      </w:pPr>
      <w:r w:rsidRPr="0012389B">
        <w:rPr>
          <w:rFonts w:asciiTheme="minorHAnsi" w:hAnsiTheme="minorHAnsi" w:cstheme="minorHAnsi"/>
          <w:lang w:val="en-AU" w:eastAsia="en-US"/>
        </w:rPr>
        <w:t xml:space="preserve">The management and governance structure for the next phase of CPP are represented </w:t>
      </w:r>
      <w:r w:rsidRPr="002F024C">
        <w:rPr>
          <w:rFonts w:asciiTheme="minorHAnsi" w:hAnsiTheme="minorHAnsi" w:cstheme="minorHAnsi"/>
          <w:lang w:val="en-AU" w:eastAsia="en-US"/>
        </w:rPr>
        <w:t xml:space="preserve">in </w:t>
      </w:r>
      <w:r w:rsidR="005F222C" w:rsidRPr="002F024C">
        <w:rPr>
          <w:rFonts w:asciiTheme="minorHAnsi" w:hAnsiTheme="minorHAnsi" w:cstheme="minorHAnsi"/>
          <w:lang w:val="en-AU" w:eastAsia="en-US"/>
        </w:rPr>
        <w:t xml:space="preserve">Figure </w:t>
      </w:r>
      <w:r w:rsidR="002F024C" w:rsidRPr="002F024C">
        <w:rPr>
          <w:rFonts w:asciiTheme="minorHAnsi" w:hAnsiTheme="minorHAnsi" w:cstheme="minorHAnsi"/>
          <w:lang w:val="en-AU" w:eastAsia="en-US"/>
        </w:rPr>
        <w:t>3</w:t>
      </w:r>
      <w:r w:rsidRPr="002F024C">
        <w:rPr>
          <w:rFonts w:asciiTheme="minorHAnsi" w:hAnsiTheme="minorHAnsi" w:cstheme="minorHAnsi"/>
          <w:lang w:val="en-AU" w:eastAsia="en-US"/>
        </w:rPr>
        <w:t xml:space="preserve"> and explained further below.</w:t>
      </w:r>
      <w:r w:rsidRPr="0012389B">
        <w:rPr>
          <w:rFonts w:asciiTheme="minorHAnsi" w:hAnsiTheme="minorHAnsi" w:cstheme="minorHAnsi"/>
          <w:lang w:val="en-AU" w:eastAsia="en-US"/>
        </w:rPr>
        <w:t xml:space="preserve"> </w:t>
      </w:r>
    </w:p>
    <w:p w14:paraId="74FE70EC" w14:textId="77777777" w:rsidR="00C91221" w:rsidRDefault="00C91221" w:rsidP="00791619">
      <w:pPr>
        <w:pStyle w:val="Caption"/>
        <w:spacing w:after="0"/>
        <w:jc w:val="both"/>
        <w:sectPr w:rsidR="00C91221" w:rsidSect="00711F42">
          <w:pgSz w:w="11906" w:h="16838"/>
          <w:pgMar w:top="1440" w:right="1440" w:bottom="1440" w:left="1440" w:header="708" w:footer="708" w:gutter="0"/>
          <w:cols w:space="708"/>
          <w:docGrid w:linePitch="360"/>
        </w:sectPr>
      </w:pPr>
    </w:p>
    <w:p w14:paraId="040C10D6" w14:textId="4D52B33D" w:rsidR="00A62F5F" w:rsidRPr="0012389B" w:rsidRDefault="00A62F5F" w:rsidP="00791619">
      <w:pPr>
        <w:pStyle w:val="Caption"/>
        <w:spacing w:after="0"/>
        <w:jc w:val="both"/>
      </w:pPr>
      <w:r w:rsidRPr="00304609">
        <w:lastRenderedPageBreak/>
        <w:t xml:space="preserve">Figure </w:t>
      </w:r>
      <w:r w:rsidR="00304609" w:rsidRPr="00304609">
        <w:t>3</w:t>
      </w:r>
      <w:r w:rsidRPr="00304609">
        <w:t>: Management and Governance Structure</w:t>
      </w:r>
    </w:p>
    <w:p w14:paraId="5DEE858E" w14:textId="07A1C07E" w:rsidR="00A62F5F" w:rsidRPr="0012389B" w:rsidRDefault="00421265" w:rsidP="00791619">
      <w:pPr>
        <w:jc w:val="both"/>
        <w:rPr>
          <w:lang w:eastAsia="en-GB"/>
        </w:rPr>
      </w:pPr>
      <w:r>
        <w:rPr>
          <w:noProof/>
        </w:rPr>
        <w:drawing>
          <wp:inline distT="0" distB="0" distL="0" distR="0" wp14:anchorId="6A9730A3" wp14:editId="78E9F8D5">
            <wp:extent cx="5731510" cy="3961130"/>
            <wp:effectExtent l="0" t="0" r="0" b="0"/>
            <wp:docPr id="3" name="Picture 3" descr="This diagram visually depicts the management and governance structure of CPP, connecting PNG church partners with the managing contractor, DFAT and Government of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is diagram visually depicts the management and governance structure of CPP, connecting PNG church partners with the managing contractor, DFAT and Government of PNG.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3961130"/>
                    </a:xfrm>
                    <a:prstGeom prst="rect">
                      <a:avLst/>
                    </a:prstGeom>
                    <a:noFill/>
                    <a:ln>
                      <a:noFill/>
                    </a:ln>
                  </pic:spPr>
                </pic:pic>
              </a:graphicData>
            </a:graphic>
          </wp:inline>
        </w:drawing>
      </w:r>
    </w:p>
    <w:p w14:paraId="2286920C" w14:textId="50230976" w:rsidR="00A62F5F" w:rsidRPr="0012389B" w:rsidRDefault="00071F98" w:rsidP="00791619">
      <w:pPr>
        <w:pStyle w:val="Heading2"/>
        <w:numPr>
          <w:ilvl w:val="1"/>
          <w:numId w:val="1"/>
        </w:numPr>
        <w:ind w:left="709" w:hanging="709"/>
        <w:jc w:val="both"/>
        <w:rPr>
          <w:b/>
          <w:bCs/>
          <w:sz w:val="24"/>
          <w:szCs w:val="24"/>
        </w:rPr>
      </w:pPr>
      <w:bookmarkStart w:id="73" w:name="_Toc99041669"/>
      <w:r w:rsidRPr="0012389B">
        <w:rPr>
          <w:b/>
          <w:bCs/>
          <w:sz w:val="24"/>
          <w:szCs w:val="24"/>
        </w:rPr>
        <w:t>Responsibilities</w:t>
      </w:r>
      <w:bookmarkEnd w:id="73"/>
    </w:p>
    <w:p w14:paraId="1F9D9AB2" w14:textId="43AC1B3F" w:rsidR="00A62F5F" w:rsidRPr="0012389B" w:rsidRDefault="00A62F5F" w:rsidP="00791619">
      <w:pPr>
        <w:jc w:val="both"/>
        <w:rPr>
          <w:lang w:eastAsia="en-AU"/>
        </w:rPr>
      </w:pPr>
      <w:r w:rsidRPr="0012389B">
        <w:t xml:space="preserve">This section presents the key management and governance responsibilities at program and partner levels. </w:t>
      </w:r>
      <w:r w:rsidRPr="0012389B">
        <w:rPr>
          <w:lang w:eastAsia="en-AU"/>
        </w:rPr>
        <w:t xml:space="preserve">In the Inception </w:t>
      </w:r>
      <w:r w:rsidR="00B51D59" w:rsidRPr="0012389B">
        <w:rPr>
          <w:lang w:eastAsia="en-AU"/>
        </w:rPr>
        <w:t>Period</w:t>
      </w:r>
      <w:r w:rsidRPr="0012389B">
        <w:rPr>
          <w:lang w:eastAsia="en-AU"/>
        </w:rPr>
        <w:t xml:space="preserve">, the CPPCO (see </w:t>
      </w:r>
      <w:r w:rsidR="008E5AE7">
        <w:rPr>
          <w:lang w:eastAsia="en-AU"/>
        </w:rPr>
        <w:t xml:space="preserve">4.3 and </w:t>
      </w:r>
      <w:r w:rsidR="00421265">
        <w:rPr>
          <w:lang w:eastAsia="en-AU"/>
        </w:rPr>
        <w:t>5.3</w:t>
      </w:r>
      <w:r w:rsidRPr="0012389B">
        <w:rPr>
          <w:lang w:eastAsia="en-AU"/>
        </w:rPr>
        <w:t xml:space="preserve">) will develop the Program’s Operations Manual which will provide more detail on the roles and responsibilities outlined below. The Operations Manual will be developed in consultation with partners and approved by the Senior Church Leaders Group (SLG) at the end of the Inception </w:t>
      </w:r>
      <w:r w:rsidR="00B51D59" w:rsidRPr="0012389B">
        <w:rPr>
          <w:lang w:eastAsia="en-AU"/>
        </w:rPr>
        <w:t>Period</w:t>
      </w:r>
      <w:r w:rsidRPr="0012389B">
        <w:rPr>
          <w:lang w:eastAsia="en-AU"/>
        </w:rPr>
        <w:t xml:space="preserve">. </w:t>
      </w:r>
    </w:p>
    <w:p w14:paraId="7C446B50" w14:textId="77777777" w:rsidR="00A62F5F" w:rsidRPr="0012389B" w:rsidRDefault="00A62F5F" w:rsidP="00791619">
      <w:pPr>
        <w:jc w:val="both"/>
        <w:rPr>
          <w:lang w:eastAsia="en-AU"/>
        </w:rPr>
      </w:pPr>
      <w:r w:rsidRPr="0012389B">
        <w:rPr>
          <w:lang w:eastAsia="en-AU"/>
        </w:rPr>
        <w:t xml:space="preserve">The key program-level management and governance bodies and their functions are:  </w:t>
      </w:r>
    </w:p>
    <w:p w14:paraId="67D5D54B" w14:textId="4F95FF79" w:rsidR="00A62F5F" w:rsidRPr="0012389B" w:rsidRDefault="00421265" w:rsidP="00791619">
      <w:pPr>
        <w:jc w:val="both"/>
        <w:rPr>
          <w:b/>
          <w:bCs/>
          <w:lang w:eastAsia="en-AU"/>
        </w:rPr>
      </w:pPr>
      <w:r>
        <w:rPr>
          <w:b/>
          <w:bCs/>
          <w:lang w:eastAsia="en-AU"/>
        </w:rPr>
        <w:t>Apex Governance Committee</w:t>
      </w:r>
    </w:p>
    <w:p w14:paraId="46F61DF3" w14:textId="18D58122" w:rsidR="00421265" w:rsidRPr="0012389B" w:rsidRDefault="00A62F5F" w:rsidP="00791619">
      <w:pPr>
        <w:pStyle w:val="BodyText"/>
        <w:spacing w:after="160"/>
        <w:jc w:val="both"/>
        <w:rPr>
          <w:shd w:val="clear" w:color="auto" w:fill="FFFFFF" w:themeFill="background1"/>
        </w:rPr>
      </w:pPr>
      <w:r w:rsidRPr="0012389B">
        <w:rPr>
          <w:shd w:val="clear" w:color="auto" w:fill="FFFFFF" w:themeFill="background1"/>
        </w:rPr>
        <w:t xml:space="preserve">The current </w:t>
      </w:r>
      <w:r w:rsidR="00F7615D" w:rsidRPr="0012389B">
        <w:rPr>
          <w:shd w:val="clear" w:color="auto" w:fill="FFFFFF" w:themeFill="background1"/>
        </w:rPr>
        <w:t>Senior Church Leaders Group (</w:t>
      </w:r>
      <w:r w:rsidRPr="0012389B">
        <w:rPr>
          <w:shd w:val="clear" w:color="auto" w:fill="FFFFFF" w:themeFill="background1"/>
        </w:rPr>
        <w:t>SLG</w:t>
      </w:r>
      <w:r w:rsidR="00F7615D" w:rsidRPr="0012389B">
        <w:rPr>
          <w:shd w:val="clear" w:color="auto" w:fill="FFFFFF" w:themeFill="background1"/>
        </w:rPr>
        <w:t>)</w:t>
      </w:r>
      <w:r w:rsidRPr="0012389B">
        <w:rPr>
          <w:shd w:val="clear" w:color="auto" w:fill="FFFFFF" w:themeFill="background1"/>
        </w:rPr>
        <w:t xml:space="preserve"> continues from the current phase as CPP’s apex decision-making body</w:t>
      </w:r>
      <w:r w:rsidR="00421265">
        <w:rPr>
          <w:shd w:val="clear" w:color="auto" w:fill="FFFFFF" w:themeFill="background1"/>
        </w:rPr>
        <w:t xml:space="preserve">. </w:t>
      </w:r>
      <w:r w:rsidRPr="0012389B">
        <w:rPr>
          <w:shd w:val="clear" w:color="auto" w:fill="FFFFFF" w:themeFill="background1"/>
        </w:rPr>
        <w:t xml:space="preserve"> </w:t>
      </w:r>
      <w:r w:rsidR="00421265" w:rsidRPr="0012389B">
        <w:rPr>
          <w:shd w:val="clear" w:color="auto" w:fill="FFFFFF" w:themeFill="background1"/>
        </w:rPr>
        <w:t xml:space="preserve">The members of </w:t>
      </w:r>
      <w:r w:rsidR="00421265">
        <w:rPr>
          <w:shd w:val="clear" w:color="auto" w:fill="FFFFFF" w:themeFill="background1"/>
        </w:rPr>
        <w:t xml:space="preserve">CPP Apex Governance Committee </w:t>
      </w:r>
      <w:r w:rsidR="00421265" w:rsidRPr="0012389B">
        <w:rPr>
          <w:shd w:val="clear" w:color="auto" w:fill="FFFFFF" w:themeFill="background1"/>
        </w:rPr>
        <w:t xml:space="preserve">are the church leaders of the seven CPP partners, the General-Secretary of the PNGCC, an ANGO partners’ representative, </w:t>
      </w:r>
      <w:proofErr w:type="spellStart"/>
      <w:r w:rsidR="00421265" w:rsidRPr="0012389B">
        <w:rPr>
          <w:shd w:val="clear" w:color="auto" w:fill="FFFFFF" w:themeFill="background1"/>
        </w:rPr>
        <w:t>GoPNG</w:t>
      </w:r>
      <w:proofErr w:type="spellEnd"/>
      <w:r w:rsidR="00421265" w:rsidRPr="0012389B">
        <w:rPr>
          <w:shd w:val="clear" w:color="auto" w:fill="FFFFFF" w:themeFill="background1"/>
        </w:rPr>
        <w:t xml:space="preserve"> (</w:t>
      </w:r>
      <w:proofErr w:type="spellStart"/>
      <w:r w:rsidR="00421265" w:rsidRPr="0012389B">
        <w:rPr>
          <w:shd w:val="clear" w:color="auto" w:fill="FFFFFF" w:themeFill="background1"/>
        </w:rPr>
        <w:t>DfCDR</w:t>
      </w:r>
      <w:proofErr w:type="spellEnd"/>
      <w:r w:rsidR="00421265" w:rsidRPr="0012389B">
        <w:rPr>
          <w:shd w:val="clear" w:color="auto" w:fill="FFFFFF" w:themeFill="background1"/>
        </w:rPr>
        <w:t xml:space="preserve">) representative, and a </w:t>
      </w:r>
      <w:proofErr w:type="spellStart"/>
      <w:r w:rsidR="00421265" w:rsidRPr="0012389B">
        <w:rPr>
          <w:shd w:val="clear" w:color="auto" w:fill="FFFFFF" w:themeFill="background1"/>
        </w:rPr>
        <w:t>GoA</w:t>
      </w:r>
      <w:proofErr w:type="spellEnd"/>
      <w:r w:rsidR="00421265" w:rsidRPr="0012389B">
        <w:rPr>
          <w:shd w:val="clear" w:color="auto" w:fill="FFFFFF" w:themeFill="background1"/>
        </w:rPr>
        <w:t xml:space="preserve"> representative. To streamline governance arrangements, the current Partners Leadership Group, which has the same members as the SLG but sits under it</w:t>
      </w:r>
      <w:r w:rsidR="00421265">
        <w:rPr>
          <w:shd w:val="clear" w:color="auto" w:fill="FFFFFF" w:themeFill="background1"/>
        </w:rPr>
        <w:t xml:space="preserve"> will </w:t>
      </w:r>
      <w:r w:rsidR="00421265" w:rsidRPr="0012389B">
        <w:rPr>
          <w:shd w:val="clear" w:color="auto" w:fill="FFFFFF" w:themeFill="background1"/>
        </w:rPr>
        <w:t>not be continued.</w:t>
      </w:r>
    </w:p>
    <w:p w14:paraId="5B89FA2C" w14:textId="603F0A57" w:rsidR="00A62F5F" w:rsidRDefault="00421265" w:rsidP="00791619">
      <w:pPr>
        <w:pStyle w:val="BodyText"/>
        <w:spacing w:after="160"/>
        <w:jc w:val="both"/>
      </w:pPr>
      <w:r>
        <w:rPr>
          <w:shd w:val="clear" w:color="auto" w:fill="FFFFFF" w:themeFill="background1"/>
        </w:rPr>
        <w:t xml:space="preserve">The CPP Apex Governance Committee is </w:t>
      </w:r>
      <w:r w:rsidR="00A62F5F" w:rsidRPr="0012389B">
        <w:rPr>
          <w:shd w:val="clear" w:color="auto" w:fill="FFFFFF" w:themeFill="background1"/>
        </w:rPr>
        <w:t>responsib</w:t>
      </w:r>
      <w:r>
        <w:rPr>
          <w:shd w:val="clear" w:color="auto" w:fill="FFFFFF" w:themeFill="background1"/>
        </w:rPr>
        <w:t>le</w:t>
      </w:r>
      <w:r w:rsidR="00A62F5F" w:rsidRPr="0012389B">
        <w:rPr>
          <w:shd w:val="clear" w:color="auto" w:fill="FFFFFF" w:themeFill="background1"/>
        </w:rPr>
        <w:t xml:space="preserve"> for the program’s strategic direction and performance. </w:t>
      </w:r>
      <w:r w:rsidR="004832D2">
        <w:rPr>
          <w:shd w:val="clear" w:color="auto" w:fill="FFFFFF" w:themeFill="background1"/>
        </w:rPr>
        <w:t>This Committee</w:t>
      </w:r>
      <w:r w:rsidR="00A62F5F" w:rsidRPr="0012389B">
        <w:rPr>
          <w:shd w:val="clear" w:color="auto" w:fill="FFFFFF" w:themeFill="background1"/>
        </w:rPr>
        <w:t xml:space="preserve"> will meet biannually to review the Program’s performance and endorse reports, plans and other key documents (</w:t>
      </w:r>
      <w:r w:rsidR="00F7615D" w:rsidRPr="0012389B">
        <w:rPr>
          <w:shd w:val="clear" w:color="auto" w:fill="FFFFFF" w:themeFill="background1"/>
        </w:rPr>
        <w:t>for example, the m</w:t>
      </w:r>
      <w:r w:rsidR="00A62F5F" w:rsidRPr="0012389B">
        <w:rPr>
          <w:shd w:val="clear" w:color="auto" w:fill="FFFFFF" w:themeFill="background1"/>
        </w:rPr>
        <w:t>id-</w:t>
      </w:r>
      <w:r w:rsidR="00F7615D" w:rsidRPr="0012389B">
        <w:rPr>
          <w:shd w:val="clear" w:color="auto" w:fill="FFFFFF" w:themeFill="background1"/>
        </w:rPr>
        <w:t>t</w:t>
      </w:r>
      <w:r w:rsidR="00A62F5F" w:rsidRPr="0012389B">
        <w:rPr>
          <w:shd w:val="clear" w:color="auto" w:fill="FFFFFF" w:themeFill="background1"/>
        </w:rPr>
        <w:t xml:space="preserve">erm </w:t>
      </w:r>
      <w:r w:rsidR="00F7615D" w:rsidRPr="0012389B">
        <w:rPr>
          <w:shd w:val="clear" w:color="auto" w:fill="FFFFFF" w:themeFill="background1"/>
        </w:rPr>
        <w:t>r</w:t>
      </w:r>
      <w:r w:rsidR="00A62F5F" w:rsidRPr="0012389B">
        <w:rPr>
          <w:shd w:val="clear" w:color="auto" w:fill="FFFFFF" w:themeFill="background1"/>
        </w:rPr>
        <w:t xml:space="preserve">eview). The </w:t>
      </w:r>
      <w:r w:rsidR="00A62F5F" w:rsidRPr="0012389B">
        <w:t xml:space="preserve">heads of partners’ PNG development units (or relevant bodies responsible for CPP engagement) may attend </w:t>
      </w:r>
      <w:r w:rsidR="004832D2">
        <w:t>this Committee</w:t>
      </w:r>
      <w:r w:rsidR="00A62F5F" w:rsidRPr="0012389B">
        <w:t xml:space="preserve"> at the request of their Church leaders.  </w:t>
      </w:r>
    </w:p>
    <w:p w14:paraId="6D7C8824" w14:textId="5D7FB36E" w:rsidR="00C91221" w:rsidRDefault="00C91221" w:rsidP="00791619">
      <w:pPr>
        <w:pStyle w:val="BodyText"/>
        <w:spacing w:after="160"/>
        <w:jc w:val="both"/>
      </w:pPr>
    </w:p>
    <w:p w14:paraId="07136199" w14:textId="77777777" w:rsidR="00C91221" w:rsidRPr="00421265" w:rsidRDefault="00C91221" w:rsidP="00791619">
      <w:pPr>
        <w:pStyle w:val="BodyText"/>
        <w:spacing w:after="160"/>
        <w:jc w:val="both"/>
        <w:rPr>
          <w:shd w:val="clear" w:color="auto" w:fill="FFFFFF" w:themeFill="background1"/>
        </w:rPr>
      </w:pPr>
    </w:p>
    <w:p w14:paraId="574F59DA" w14:textId="65F793F2" w:rsidR="00A62F5F" w:rsidRPr="0012389B" w:rsidRDefault="00A62F5F" w:rsidP="00791619">
      <w:pPr>
        <w:jc w:val="both"/>
        <w:rPr>
          <w:b/>
          <w:bCs/>
          <w:lang w:eastAsia="en-AU"/>
        </w:rPr>
      </w:pPr>
      <w:bookmarkStart w:id="74" w:name="_Toc93415951"/>
      <w:bookmarkStart w:id="75" w:name="_Toc97187840"/>
      <w:r w:rsidRPr="0012389B">
        <w:rPr>
          <w:b/>
          <w:bCs/>
          <w:lang w:eastAsia="en-AU"/>
        </w:rPr>
        <w:lastRenderedPageBreak/>
        <w:t>DFAT</w:t>
      </w:r>
      <w:r w:rsidR="002F024C">
        <w:rPr>
          <w:b/>
          <w:bCs/>
          <w:lang w:eastAsia="en-AU"/>
        </w:rPr>
        <w:t xml:space="preserve"> </w:t>
      </w:r>
      <w:r w:rsidRPr="0012389B">
        <w:rPr>
          <w:b/>
          <w:bCs/>
          <w:lang w:eastAsia="en-AU"/>
        </w:rPr>
        <w:t xml:space="preserve">Justice, Accountability and Subnational Governance </w:t>
      </w:r>
      <w:bookmarkEnd w:id="74"/>
      <w:bookmarkEnd w:id="75"/>
    </w:p>
    <w:p w14:paraId="1A36E14E" w14:textId="2C1DE7DF" w:rsidR="00A62F5F" w:rsidRPr="0012389B" w:rsidRDefault="00A62F5F" w:rsidP="00791619">
      <w:pPr>
        <w:suppressAutoHyphens/>
        <w:jc w:val="both"/>
      </w:pPr>
      <w:r w:rsidRPr="0012389B">
        <w:t>The DFAT</w:t>
      </w:r>
      <w:r w:rsidR="002F024C">
        <w:t xml:space="preserve"> </w:t>
      </w:r>
      <w:r w:rsidR="00F7615D" w:rsidRPr="0012389B">
        <w:t xml:space="preserve">Justice, Accountability and Subnational </w:t>
      </w:r>
      <w:r w:rsidR="00F7615D" w:rsidRPr="002F024C">
        <w:t>Governance</w:t>
      </w:r>
      <w:r w:rsidR="00F7615D" w:rsidRPr="002F024C">
        <w:rPr>
          <w:lang w:eastAsia="en-AU"/>
        </w:rPr>
        <w:t xml:space="preserve"> (</w:t>
      </w:r>
      <w:r w:rsidRPr="002F024C">
        <w:t>JAS</w:t>
      </w:r>
      <w:r w:rsidR="00F7615D" w:rsidRPr="0012389B">
        <w:t>)</w:t>
      </w:r>
      <w:r w:rsidRPr="0012389B">
        <w:t xml:space="preserve"> Team is responsible for the efficient and effective delivery of CPP in line with the directions set by the CPP SLG.</w:t>
      </w:r>
      <w:r w:rsidRPr="0012389B">
        <w:rPr>
          <w:rStyle w:val="FootnoteReference"/>
        </w:rPr>
        <w:t xml:space="preserve"> </w:t>
      </w:r>
      <w:r w:rsidRPr="0012389B">
        <w:rPr>
          <w:rStyle w:val="FootnoteReference"/>
        </w:rPr>
        <w:footnoteReference w:id="38"/>
      </w:r>
      <w:r w:rsidRPr="0012389B">
        <w:t xml:space="preserve"> To perform this function, the JAS Team reviews and approves:</w:t>
      </w:r>
    </w:p>
    <w:p w14:paraId="466E3066" w14:textId="77777777" w:rsidR="00A62F5F" w:rsidRPr="0012389B" w:rsidRDefault="00A62F5F" w:rsidP="00791619">
      <w:pPr>
        <w:pStyle w:val="ListParagraph"/>
        <w:numPr>
          <w:ilvl w:val="0"/>
          <w:numId w:val="8"/>
        </w:numPr>
        <w:suppressAutoHyphens/>
        <w:ind w:left="567"/>
        <w:jc w:val="both"/>
      </w:pPr>
      <w:r w:rsidRPr="0012389B">
        <w:t xml:space="preserve">CPPCO program processes, plans, and reports and </w:t>
      </w:r>
    </w:p>
    <w:p w14:paraId="0C438257" w14:textId="77777777" w:rsidR="00A62F5F" w:rsidRPr="0012389B" w:rsidRDefault="00A62F5F" w:rsidP="00791619">
      <w:pPr>
        <w:pStyle w:val="ListParagraph"/>
        <w:numPr>
          <w:ilvl w:val="0"/>
          <w:numId w:val="8"/>
        </w:numPr>
        <w:suppressAutoHyphens/>
        <w:ind w:left="567"/>
        <w:jc w:val="both"/>
      </w:pPr>
      <w:r w:rsidRPr="0012389B">
        <w:t xml:space="preserve">Partner program plans and reports </w:t>
      </w:r>
    </w:p>
    <w:p w14:paraId="14EBE972" w14:textId="5E166EED" w:rsidR="00A62F5F" w:rsidRPr="0012389B" w:rsidRDefault="00A62F5F" w:rsidP="00791619">
      <w:pPr>
        <w:suppressAutoHyphens/>
        <w:jc w:val="both"/>
      </w:pPr>
      <w:r w:rsidRPr="0012389B">
        <w:t xml:space="preserve">The JAS Team will have formal management meetings with the CPPCO on at least a monthly basis, and more frequently during the </w:t>
      </w:r>
      <w:r w:rsidR="002F024C">
        <w:t>i</w:t>
      </w:r>
      <w:r w:rsidRPr="0012389B">
        <w:t xml:space="preserve">nception </w:t>
      </w:r>
      <w:r w:rsidR="002F024C">
        <w:t>p</w:t>
      </w:r>
      <w:r w:rsidR="00B51D59" w:rsidRPr="0012389B">
        <w:t>eriod</w:t>
      </w:r>
      <w:r w:rsidRPr="0012389B">
        <w:t>. They will directly engage with partners through regular participation in collaboration and learning forums.</w:t>
      </w:r>
    </w:p>
    <w:p w14:paraId="396789D7" w14:textId="6FD5D437" w:rsidR="00A62F5F" w:rsidRPr="0012389B" w:rsidRDefault="00A62F5F" w:rsidP="00791619">
      <w:pPr>
        <w:jc w:val="both"/>
        <w:rPr>
          <w:b/>
          <w:bCs/>
          <w:lang w:eastAsia="en-AU"/>
        </w:rPr>
      </w:pPr>
      <w:bookmarkStart w:id="76" w:name="_Toc93415952"/>
      <w:bookmarkStart w:id="77" w:name="_Toc97187841"/>
      <w:r w:rsidRPr="0012389B">
        <w:rPr>
          <w:b/>
          <w:bCs/>
          <w:lang w:eastAsia="en-AU"/>
        </w:rPr>
        <w:t xml:space="preserve">BCEP Program Management Team </w:t>
      </w:r>
      <w:bookmarkEnd w:id="76"/>
      <w:bookmarkEnd w:id="77"/>
    </w:p>
    <w:p w14:paraId="541FC543" w14:textId="793B39CA" w:rsidR="00A62F5F" w:rsidRPr="0012389B" w:rsidRDefault="00A62F5F" w:rsidP="00791619">
      <w:pPr>
        <w:jc w:val="both"/>
        <w:rPr>
          <w:lang w:eastAsia="en-AU"/>
        </w:rPr>
      </w:pPr>
      <w:r w:rsidRPr="0012389B">
        <w:rPr>
          <w:lang w:eastAsia="en-AU"/>
        </w:rPr>
        <w:t xml:space="preserve">Reporting to DFAT-JAS, the BCEP </w:t>
      </w:r>
      <w:r w:rsidR="00F7615D" w:rsidRPr="0012389B">
        <w:rPr>
          <w:lang w:eastAsia="en-AU"/>
        </w:rPr>
        <w:t>Program Management Team (</w:t>
      </w:r>
      <w:r w:rsidRPr="0012389B">
        <w:rPr>
          <w:lang w:eastAsia="en-AU"/>
        </w:rPr>
        <w:t>PMT</w:t>
      </w:r>
      <w:r w:rsidR="00F7615D" w:rsidRPr="0012389B">
        <w:rPr>
          <w:lang w:eastAsia="en-AU"/>
        </w:rPr>
        <w:t>)</w:t>
      </w:r>
      <w:r w:rsidRPr="0012389B">
        <w:rPr>
          <w:lang w:eastAsia="en-AU"/>
        </w:rPr>
        <w:t xml:space="preserve"> is responsible for the effective management of the overall BCEP program. </w:t>
      </w:r>
      <w:r w:rsidRPr="0012389B">
        <w:t xml:space="preserve">They will have oversight of </w:t>
      </w:r>
      <w:r w:rsidRPr="0012389B">
        <w:rPr>
          <w:lang w:eastAsia="en-AU"/>
        </w:rPr>
        <w:t>the CPPCO and provide technical support (</w:t>
      </w:r>
      <w:r w:rsidR="00F7615D" w:rsidRPr="0012389B">
        <w:rPr>
          <w:lang w:eastAsia="en-AU"/>
        </w:rPr>
        <w:t>including</w:t>
      </w:r>
      <w:r w:rsidRPr="0012389B">
        <w:rPr>
          <w:lang w:eastAsia="en-AU"/>
        </w:rPr>
        <w:t xml:space="preserve"> social accountability,</w:t>
      </w:r>
      <w:r w:rsidRPr="0012389B">
        <w:rPr>
          <w:vertAlign w:val="superscript"/>
          <w:lang w:eastAsia="en-AU"/>
        </w:rPr>
        <w:footnoteReference w:id="39"/>
      </w:r>
      <w:r w:rsidRPr="0012389B">
        <w:rPr>
          <w:lang w:eastAsia="en-AU"/>
        </w:rPr>
        <w:t xml:space="preserve"> coalition facilitation, policy advocacy and research). They will also provide the following services across BCEP, including to the CPP:</w:t>
      </w:r>
    </w:p>
    <w:p w14:paraId="61DF721B" w14:textId="77777777" w:rsidR="00A62F5F" w:rsidRPr="0012389B" w:rsidRDefault="00A62F5F" w:rsidP="00791619">
      <w:pPr>
        <w:pStyle w:val="ListParagraph"/>
        <w:numPr>
          <w:ilvl w:val="0"/>
          <w:numId w:val="8"/>
        </w:numPr>
        <w:suppressAutoHyphens/>
        <w:ind w:left="567"/>
        <w:jc w:val="both"/>
      </w:pPr>
      <w:r w:rsidRPr="0012389B">
        <w:t xml:space="preserve">collaboration and learning processes, including MEL, GEDSI, political economy analysis and communications </w:t>
      </w:r>
    </w:p>
    <w:p w14:paraId="54295CAF" w14:textId="7024E54E" w:rsidR="00A62F5F" w:rsidRPr="0012389B" w:rsidRDefault="00A62F5F" w:rsidP="00791619">
      <w:pPr>
        <w:pStyle w:val="ListParagraph"/>
        <w:numPr>
          <w:ilvl w:val="0"/>
          <w:numId w:val="8"/>
        </w:numPr>
        <w:suppressAutoHyphens/>
        <w:ind w:left="567"/>
        <w:jc w:val="both"/>
      </w:pPr>
      <w:r w:rsidRPr="0012389B">
        <w:t xml:space="preserve">administration of DFAT policies, including grants and financial management, risk management, and PSEAH and child protection </w:t>
      </w:r>
    </w:p>
    <w:p w14:paraId="51D58E79" w14:textId="77777777" w:rsidR="00A62F5F" w:rsidRPr="0012389B" w:rsidRDefault="00A62F5F" w:rsidP="00791619">
      <w:pPr>
        <w:pStyle w:val="ListParagraph"/>
        <w:numPr>
          <w:ilvl w:val="0"/>
          <w:numId w:val="8"/>
        </w:numPr>
        <w:suppressAutoHyphens/>
        <w:ind w:left="567"/>
        <w:jc w:val="both"/>
      </w:pPr>
      <w:r w:rsidRPr="0012389B">
        <w:t>Consolidated BCEP program performance, financial and risk reporting to DFAT (including CPP)</w:t>
      </w:r>
    </w:p>
    <w:p w14:paraId="08C79D30" w14:textId="77777777" w:rsidR="00A62F5F" w:rsidRPr="0012389B" w:rsidRDefault="00A62F5F" w:rsidP="00791619">
      <w:pPr>
        <w:pStyle w:val="ListParagraph"/>
        <w:numPr>
          <w:ilvl w:val="0"/>
          <w:numId w:val="8"/>
        </w:numPr>
        <w:suppressAutoHyphens/>
        <w:ind w:left="567"/>
        <w:jc w:val="both"/>
      </w:pPr>
      <w:r w:rsidRPr="0012389B">
        <w:t xml:space="preserve">Liaison with DFAT on all program issues. </w:t>
      </w:r>
    </w:p>
    <w:p w14:paraId="0566931A" w14:textId="48B0672B" w:rsidR="00304609" w:rsidRPr="001A59DA" w:rsidRDefault="00A62F5F" w:rsidP="00791619">
      <w:pPr>
        <w:jc w:val="both"/>
      </w:pPr>
      <w:r w:rsidRPr="0012389B">
        <w:rPr>
          <w:lang w:eastAsia="en-AU"/>
        </w:rPr>
        <w:t xml:space="preserve">The BCEP PMT will be run by </w:t>
      </w:r>
      <w:r w:rsidR="00741A1C">
        <w:rPr>
          <w:lang w:eastAsia="en-AU"/>
        </w:rPr>
        <w:t>the DFAT appointed MC</w:t>
      </w:r>
      <w:r w:rsidRPr="0012389B">
        <w:t>.</w:t>
      </w:r>
      <w:bookmarkStart w:id="78" w:name="_Toc93415953"/>
      <w:bookmarkStart w:id="79" w:name="_Toc97187842"/>
    </w:p>
    <w:p w14:paraId="4E2C816D" w14:textId="4B25F1D6" w:rsidR="00A62F5F" w:rsidRPr="0012389B" w:rsidRDefault="00A62F5F" w:rsidP="00791619">
      <w:pPr>
        <w:jc w:val="both"/>
        <w:rPr>
          <w:b/>
          <w:bCs/>
          <w:lang w:eastAsia="en-AU"/>
        </w:rPr>
      </w:pPr>
      <w:r w:rsidRPr="0012389B">
        <w:rPr>
          <w:b/>
          <w:bCs/>
          <w:lang w:eastAsia="en-AU"/>
        </w:rPr>
        <w:t>CPP</w:t>
      </w:r>
      <w:r w:rsidR="00D94610" w:rsidRPr="0012389B">
        <w:rPr>
          <w:b/>
          <w:bCs/>
          <w:lang w:eastAsia="en-AU"/>
        </w:rPr>
        <w:t xml:space="preserve"> </w:t>
      </w:r>
      <w:r w:rsidRPr="0012389B">
        <w:rPr>
          <w:b/>
          <w:bCs/>
          <w:lang w:eastAsia="en-AU"/>
        </w:rPr>
        <w:t>C</w:t>
      </w:r>
      <w:r w:rsidR="00D94610" w:rsidRPr="0012389B">
        <w:rPr>
          <w:b/>
          <w:bCs/>
          <w:lang w:eastAsia="en-AU"/>
        </w:rPr>
        <w:t xml:space="preserve">oordination </w:t>
      </w:r>
      <w:r w:rsidRPr="0012389B">
        <w:rPr>
          <w:b/>
          <w:bCs/>
          <w:lang w:eastAsia="en-AU"/>
        </w:rPr>
        <w:t>O</w:t>
      </w:r>
      <w:r w:rsidR="00D94610" w:rsidRPr="0012389B">
        <w:rPr>
          <w:b/>
          <w:bCs/>
          <w:lang w:eastAsia="en-AU"/>
        </w:rPr>
        <w:t>ffice</w:t>
      </w:r>
      <w:r w:rsidRPr="0012389B">
        <w:rPr>
          <w:b/>
          <w:bCs/>
          <w:lang w:eastAsia="en-AU"/>
        </w:rPr>
        <w:t xml:space="preserve"> </w:t>
      </w:r>
      <w:bookmarkEnd w:id="78"/>
      <w:bookmarkEnd w:id="79"/>
    </w:p>
    <w:p w14:paraId="1C6E137C" w14:textId="2E90942B" w:rsidR="00A62F5F" w:rsidRPr="0012389B" w:rsidRDefault="00741A1C" w:rsidP="00791619">
      <w:pPr>
        <w:jc w:val="both"/>
        <w:rPr>
          <w:lang w:eastAsia="en-AU"/>
        </w:rPr>
      </w:pPr>
      <w:r>
        <w:rPr>
          <w:lang w:eastAsia="en-AU"/>
        </w:rPr>
        <w:t>In the next phase the</w:t>
      </w:r>
      <w:r w:rsidR="00A62F5F" w:rsidRPr="0012389B">
        <w:rPr>
          <w:lang w:eastAsia="en-AU"/>
        </w:rPr>
        <w:t xml:space="preserve"> CPPCO </w:t>
      </w:r>
      <w:r>
        <w:rPr>
          <w:lang w:eastAsia="en-AU"/>
        </w:rPr>
        <w:t>is to have an enhance</w:t>
      </w:r>
      <w:r w:rsidR="00D40A82">
        <w:rPr>
          <w:lang w:eastAsia="en-AU"/>
        </w:rPr>
        <w:t>d</w:t>
      </w:r>
      <w:r>
        <w:rPr>
          <w:lang w:eastAsia="en-AU"/>
        </w:rPr>
        <w:t xml:space="preserve"> role to</w:t>
      </w:r>
      <w:r w:rsidR="00A62F5F" w:rsidRPr="0012389B">
        <w:rPr>
          <w:lang w:eastAsia="en-AU"/>
        </w:rPr>
        <w:t xml:space="preserve"> support partners </w:t>
      </w:r>
      <w:r>
        <w:rPr>
          <w:lang w:eastAsia="en-AU"/>
        </w:rPr>
        <w:t>a</w:t>
      </w:r>
      <w:r w:rsidR="00A62F5F" w:rsidRPr="0012389B">
        <w:rPr>
          <w:lang w:eastAsia="en-AU"/>
        </w:rPr>
        <w:t xml:space="preserve">s detailed in section 4.3.  In </w:t>
      </w:r>
      <w:r w:rsidR="004E3CEC">
        <w:rPr>
          <w:lang w:eastAsia="en-AU"/>
        </w:rPr>
        <w:t>summary</w:t>
      </w:r>
      <w:r w:rsidR="00A62F5F" w:rsidRPr="0012389B">
        <w:rPr>
          <w:lang w:eastAsia="en-AU"/>
        </w:rPr>
        <w:t xml:space="preserve">, the CPPCO’s </w:t>
      </w:r>
      <w:r w:rsidR="004E3CEC">
        <w:rPr>
          <w:lang w:eastAsia="en-AU"/>
        </w:rPr>
        <w:t xml:space="preserve">main </w:t>
      </w:r>
      <w:r w:rsidR="00A62F5F" w:rsidRPr="0012389B">
        <w:rPr>
          <w:lang w:eastAsia="en-AU"/>
        </w:rPr>
        <w:t>role</w:t>
      </w:r>
      <w:r w:rsidR="004E3CEC">
        <w:rPr>
          <w:lang w:eastAsia="en-AU"/>
        </w:rPr>
        <w:t>s</w:t>
      </w:r>
      <w:r w:rsidR="00A62F5F" w:rsidRPr="0012389B">
        <w:rPr>
          <w:lang w:eastAsia="en-AU"/>
        </w:rPr>
        <w:t xml:space="preserve"> include:</w:t>
      </w:r>
    </w:p>
    <w:p w14:paraId="7B1789DA" w14:textId="22B5D9C9" w:rsidR="004E3CEC" w:rsidRDefault="004E3CEC" w:rsidP="00791619">
      <w:pPr>
        <w:pStyle w:val="ListParagraph"/>
        <w:numPr>
          <w:ilvl w:val="0"/>
          <w:numId w:val="8"/>
        </w:numPr>
        <w:suppressAutoHyphens/>
        <w:ind w:left="567"/>
        <w:jc w:val="both"/>
      </w:pPr>
      <w:r>
        <w:t>P</w:t>
      </w:r>
      <w:r w:rsidRPr="004E3CEC">
        <w:t>roactively engag</w:t>
      </w:r>
      <w:r>
        <w:t>ing</w:t>
      </w:r>
      <w:r w:rsidRPr="004E3CEC">
        <w:t xml:space="preserve"> with partners to identify risks, solve problems</w:t>
      </w:r>
      <w:r>
        <w:t xml:space="preserve">, building </w:t>
      </w:r>
      <w:r w:rsidR="001A59DA">
        <w:t>capacity</w:t>
      </w:r>
      <w:r w:rsidRPr="004E3CEC">
        <w:t xml:space="preserve"> and document successe</w:t>
      </w:r>
      <w:r>
        <w:t xml:space="preserve">s </w:t>
      </w:r>
      <w:r w:rsidRPr="004E3CEC">
        <w:t xml:space="preserve">and </w:t>
      </w:r>
      <w:proofErr w:type="gramStart"/>
      <w:r w:rsidRPr="004E3CEC">
        <w:t>learning</w:t>
      </w:r>
      <w:r w:rsidR="001A59DA">
        <w:t>;</w:t>
      </w:r>
      <w:proofErr w:type="gramEnd"/>
    </w:p>
    <w:p w14:paraId="45EE2A34" w14:textId="3570AA32" w:rsidR="00A62F5F" w:rsidRPr="0012389B" w:rsidRDefault="00A62F5F" w:rsidP="00791619">
      <w:pPr>
        <w:pStyle w:val="ListParagraph"/>
        <w:numPr>
          <w:ilvl w:val="0"/>
          <w:numId w:val="8"/>
        </w:numPr>
        <w:suppressAutoHyphens/>
        <w:ind w:left="567"/>
        <w:jc w:val="both"/>
      </w:pPr>
      <w:r w:rsidRPr="0012389B">
        <w:t>Producing consolidated CPP program performance, financial and risk reporting to the BCEP PMT (including collating results from across partners</w:t>
      </w:r>
      <w:proofErr w:type="gramStart"/>
      <w:r w:rsidRPr="0012389B">
        <w:t>)</w:t>
      </w:r>
      <w:r w:rsidR="001A59DA">
        <w:t>;</w:t>
      </w:r>
      <w:proofErr w:type="gramEnd"/>
    </w:p>
    <w:p w14:paraId="5CD5E288" w14:textId="6B98B6A6" w:rsidR="00A62F5F" w:rsidRPr="0012389B" w:rsidRDefault="00A62F5F" w:rsidP="00791619">
      <w:pPr>
        <w:pStyle w:val="ListParagraph"/>
        <w:numPr>
          <w:ilvl w:val="0"/>
          <w:numId w:val="8"/>
        </w:numPr>
        <w:suppressAutoHyphens/>
        <w:ind w:left="567"/>
        <w:jc w:val="both"/>
      </w:pPr>
      <w:r w:rsidRPr="0012389B">
        <w:t>Coordinating with the BCEP on administration and compliance issues (including PSEAH and child protection</w:t>
      </w:r>
      <w:proofErr w:type="gramStart"/>
      <w:r w:rsidRPr="0012389B">
        <w:t>)</w:t>
      </w:r>
      <w:r w:rsidR="001A59DA">
        <w:t>;</w:t>
      </w:r>
      <w:proofErr w:type="gramEnd"/>
    </w:p>
    <w:p w14:paraId="14606CDA" w14:textId="24926D0F" w:rsidR="00A62F5F" w:rsidRPr="0012389B" w:rsidRDefault="00A62F5F" w:rsidP="00791619">
      <w:pPr>
        <w:pStyle w:val="ListParagraph"/>
        <w:numPr>
          <w:ilvl w:val="0"/>
          <w:numId w:val="8"/>
        </w:numPr>
        <w:suppressAutoHyphens/>
        <w:ind w:left="567"/>
        <w:jc w:val="both"/>
      </w:pPr>
      <w:r w:rsidRPr="0012389B">
        <w:t>Acting as secretariat for the other governance bodies (SLG, SDT etc)</w:t>
      </w:r>
      <w:r w:rsidR="001A59DA">
        <w:t>; and</w:t>
      </w:r>
      <w:r w:rsidRPr="0012389B">
        <w:t xml:space="preserve"> </w:t>
      </w:r>
    </w:p>
    <w:p w14:paraId="523C9AD2" w14:textId="77777777" w:rsidR="00A62F5F" w:rsidRPr="0012389B" w:rsidRDefault="00A62F5F" w:rsidP="00791619">
      <w:pPr>
        <w:pStyle w:val="ListParagraph"/>
        <w:numPr>
          <w:ilvl w:val="0"/>
          <w:numId w:val="8"/>
        </w:numPr>
        <w:suppressAutoHyphens/>
        <w:ind w:left="567"/>
        <w:jc w:val="both"/>
      </w:pPr>
      <w:r w:rsidRPr="0012389B">
        <w:t xml:space="preserve">Engaging regularly with DFAT-JAS on CPPCO implementation. </w:t>
      </w:r>
    </w:p>
    <w:p w14:paraId="64492F37" w14:textId="62A8F777" w:rsidR="00D11328" w:rsidRDefault="004E3CEC" w:rsidP="00791619">
      <w:pPr>
        <w:jc w:val="both"/>
      </w:pPr>
      <w:r w:rsidRPr="004E3CEC">
        <w:t xml:space="preserve">The CPPCO staffing complement will be configured to enable proactive engagement with partners and the provision of tailored capacity development support. </w:t>
      </w:r>
      <w:r>
        <w:t>At a minimum, t</w:t>
      </w:r>
      <w:r w:rsidRPr="004E3CEC">
        <w:t xml:space="preserve">he CPPCO will require </w:t>
      </w:r>
      <w:r>
        <w:t>dedicated professional</w:t>
      </w:r>
      <w:r w:rsidR="00D11328">
        <w:t>s</w:t>
      </w:r>
      <w:r w:rsidRPr="004E3CEC">
        <w:t xml:space="preserve"> in GEDSI</w:t>
      </w:r>
      <w:r w:rsidR="003A2555">
        <w:t xml:space="preserve"> (with specific focus on gender equality and disability inclusion)</w:t>
      </w:r>
      <w:r w:rsidR="00D11328">
        <w:t xml:space="preserve"> and</w:t>
      </w:r>
      <w:r w:rsidRPr="004E3CEC">
        <w:t xml:space="preserve"> </w:t>
      </w:r>
      <w:r w:rsidRPr="004E3CEC">
        <w:lastRenderedPageBreak/>
        <w:t xml:space="preserve">MEL, </w:t>
      </w:r>
      <w:r w:rsidR="00D11328">
        <w:t>as well as other project management/capacity development professional</w:t>
      </w:r>
      <w:r w:rsidR="00D40A82">
        <w:t>s</w:t>
      </w:r>
      <w:r w:rsidR="00D11328">
        <w:t xml:space="preserve"> that</w:t>
      </w:r>
      <w:r w:rsidRPr="004E3CEC">
        <w:t xml:space="preserve"> can provide ongoing, hands-on support to partners.</w:t>
      </w:r>
      <w:r w:rsidR="00D11328">
        <w:t xml:space="preserve"> </w:t>
      </w:r>
    </w:p>
    <w:p w14:paraId="7A0C49E5" w14:textId="48B2D56E" w:rsidR="00A62F5F" w:rsidRDefault="00A62F5F" w:rsidP="00791619">
      <w:pPr>
        <w:jc w:val="both"/>
        <w:rPr>
          <w:lang w:eastAsia="en-AU"/>
        </w:rPr>
      </w:pPr>
      <w:r w:rsidRPr="0012389B">
        <w:t>T</w:t>
      </w:r>
      <w:r w:rsidRPr="0012389B">
        <w:rPr>
          <w:lang w:eastAsia="en-AU"/>
        </w:rPr>
        <w:t>he MC will provide the CPPCO team and physical office.</w:t>
      </w:r>
      <w:r w:rsidRPr="0012389B">
        <w:rPr>
          <w:rStyle w:val="FootnoteReference"/>
          <w:lang w:eastAsia="en-AU"/>
        </w:rPr>
        <w:footnoteReference w:id="40"/>
      </w:r>
      <w:r w:rsidRPr="0012389B">
        <w:rPr>
          <w:lang w:eastAsia="en-AU"/>
        </w:rPr>
        <w:t xml:space="preserve"> The BCEP PMT is responsible for performance management of the CPPCO. At the same time, the CPPCO will work directly to DFAT-JAS, meeting them regularly. </w:t>
      </w:r>
    </w:p>
    <w:p w14:paraId="0FB2C44A" w14:textId="218287B9" w:rsidR="00D11328" w:rsidRDefault="00D11328" w:rsidP="00791619">
      <w:pPr>
        <w:jc w:val="both"/>
        <w:rPr>
          <w:lang w:eastAsia="en-AU"/>
        </w:rPr>
      </w:pPr>
      <w:r>
        <w:rPr>
          <w:lang w:eastAsia="en-AU"/>
        </w:rPr>
        <w:t>The division of responsibilities between the CPPCO and BCEP PMT will be confirmed in the Inception period. The table below is indicative</w:t>
      </w:r>
      <w:r w:rsidR="00702137">
        <w:rPr>
          <w:lang w:eastAsia="en-AU"/>
        </w:rPr>
        <w:t>:</w:t>
      </w:r>
    </w:p>
    <w:tbl>
      <w:tblPr>
        <w:tblStyle w:val="TableGrid"/>
        <w:tblW w:w="0" w:type="auto"/>
        <w:tblInd w:w="704" w:type="dxa"/>
        <w:tblLook w:val="04A0" w:firstRow="1" w:lastRow="0" w:firstColumn="1" w:lastColumn="0" w:noHBand="0" w:noVBand="1"/>
      </w:tblPr>
      <w:tblGrid>
        <w:gridCol w:w="2216"/>
        <w:gridCol w:w="3104"/>
        <w:gridCol w:w="2992"/>
      </w:tblGrid>
      <w:tr w:rsidR="00D11328" w:rsidRPr="001A54F6" w14:paraId="39F53964" w14:textId="77777777" w:rsidTr="00D11328">
        <w:tc>
          <w:tcPr>
            <w:tcW w:w="2216" w:type="dxa"/>
            <w:shd w:val="clear" w:color="auto" w:fill="D9D9D9" w:themeFill="background1" w:themeFillShade="D9"/>
          </w:tcPr>
          <w:p w14:paraId="346F6BA3" w14:textId="2F88E9A0" w:rsidR="00D11328" w:rsidRPr="001A54F6" w:rsidRDefault="00D11328" w:rsidP="00791619">
            <w:pPr>
              <w:pStyle w:val="ListParagraph"/>
              <w:ind w:left="0"/>
              <w:jc w:val="both"/>
              <w:rPr>
                <w:b/>
                <w:bCs/>
                <w:color w:val="000000" w:themeColor="text1"/>
                <w:sz w:val="20"/>
                <w:szCs w:val="20"/>
              </w:rPr>
            </w:pPr>
            <w:bookmarkStart w:id="80" w:name="_Toc97187844"/>
            <w:r>
              <w:rPr>
                <w:b/>
                <w:bCs/>
                <w:color w:val="000000" w:themeColor="text1"/>
                <w:sz w:val="20"/>
                <w:szCs w:val="20"/>
              </w:rPr>
              <w:t xml:space="preserve">Function </w:t>
            </w:r>
          </w:p>
        </w:tc>
        <w:tc>
          <w:tcPr>
            <w:tcW w:w="3104" w:type="dxa"/>
            <w:shd w:val="clear" w:color="auto" w:fill="D9D9D9" w:themeFill="background1" w:themeFillShade="D9"/>
          </w:tcPr>
          <w:p w14:paraId="1971A6FC" w14:textId="7344E0C2" w:rsidR="00D11328" w:rsidRPr="001A54F6" w:rsidRDefault="00D11328" w:rsidP="00791619">
            <w:pPr>
              <w:pStyle w:val="ListParagraph"/>
              <w:ind w:left="0"/>
              <w:jc w:val="both"/>
              <w:rPr>
                <w:b/>
                <w:bCs/>
                <w:color w:val="000000" w:themeColor="text1"/>
                <w:sz w:val="20"/>
                <w:szCs w:val="20"/>
              </w:rPr>
            </w:pPr>
            <w:r w:rsidRPr="001A54F6">
              <w:rPr>
                <w:b/>
                <w:bCs/>
                <w:color w:val="000000" w:themeColor="text1"/>
                <w:sz w:val="20"/>
                <w:szCs w:val="20"/>
              </w:rPr>
              <w:t>CPP Operations</w:t>
            </w:r>
          </w:p>
        </w:tc>
        <w:tc>
          <w:tcPr>
            <w:tcW w:w="2992" w:type="dxa"/>
            <w:shd w:val="clear" w:color="auto" w:fill="D9D9D9" w:themeFill="background1" w:themeFillShade="D9"/>
          </w:tcPr>
          <w:p w14:paraId="381FE086" w14:textId="77777777" w:rsidR="00D11328" w:rsidRPr="001A54F6" w:rsidRDefault="00D11328" w:rsidP="00791619">
            <w:pPr>
              <w:pStyle w:val="ListParagraph"/>
              <w:ind w:left="0"/>
              <w:jc w:val="both"/>
              <w:rPr>
                <w:b/>
                <w:bCs/>
                <w:color w:val="000000" w:themeColor="text1"/>
                <w:sz w:val="20"/>
                <w:szCs w:val="20"/>
              </w:rPr>
            </w:pPr>
            <w:r w:rsidRPr="001A54F6">
              <w:rPr>
                <w:b/>
                <w:bCs/>
                <w:color w:val="000000" w:themeColor="text1"/>
                <w:sz w:val="20"/>
                <w:szCs w:val="20"/>
              </w:rPr>
              <w:t>BCEP Operations (relevant to CPP)</w:t>
            </w:r>
          </w:p>
        </w:tc>
      </w:tr>
      <w:tr w:rsidR="00D11328" w:rsidRPr="001A54F6" w14:paraId="6EDE5304" w14:textId="77777777" w:rsidTr="00D11328">
        <w:tc>
          <w:tcPr>
            <w:tcW w:w="2216" w:type="dxa"/>
          </w:tcPr>
          <w:p w14:paraId="40FA0BA4" w14:textId="7CC35037" w:rsidR="00D11328" w:rsidRPr="00D11328" w:rsidRDefault="00B44BD1" w:rsidP="00791619">
            <w:pPr>
              <w:jc w:val="both"/>
              <w:rPr>
                <w:color w:val="000000" w:themeColor="text1"/>
                <w:sz w:val="20"/>
                <w:szCs w:val="20"/>
              </w:rPr>
            </w:pPr>
            <w:r>
              <w:rPr>
                <w:color w:val="000000" w:themeColor="text1"/>
                <w:sz w:val="20"/>
                <w:szCs w:val="20"/>
              </w:rPr>
              <w:t>Governance f</w:t>
            </w:r>
            <w:r w:rsidR="00D11328">
              <w:rPr>
                <w:color w:val="000000" w:themeColor="text1"/>
                <w:sz w:val="20"/>
                <w:szCs w:val="20"/>
              </w:rPr>
              <w:t>inancial manag</w:t>
            </w:r>
            <w:r>
              <w:rPr>
                <w:color w:val="000000" w:themeColor="text1"/>
                <w:sz w:val="20"/>
                <w:szCs w:val="20"/>
              </w:rPr>
              <w:t>e</w:t>
            </w:r>
            <w:r w:rsidR="00D11328">
              <w:rPr>
                <w:color w:val="000000" w:themeColor="text1"/>
                <w:sz w:val="20"/>
                <w:szCs w:val="20"/>
              </w:rPr>
              <w:t>ment</w:t>
            </w:r>
            <w:r>
              <w:rPr>
                <w:color w:val="000000" w:themeColor="text1"/>
                <w:sz w:val="20"/>
                <w:szCs w:val="20"/>
              </w:rPr>
              <w:t xml:space="preserve"> &amp; operations</w:t>
            </w:r>
          </w:p>
        </w:tc>
        <w:tc>
          <w:tcPr>
            <w:tcW w:w="3104" w:type="dxa"/>
          </w:tcPr>
          <w:p w14:paraId="52D4E320" w14:textId="289D954E" w:rsidR="00D11328" w:rsidRDefault="00B44BD1" w:rsidP="00791619">
            <w:pPr>
              <w:pStyle w:val="ListParagraph"/>
              <w:numPr>
                <w:ilvl w:val="0"/>
                <w:numId w:val="31"/>
              </w:numPr>
              <w:jc w:val="both"/>
              <w:rPr>
                <w:color w:val="000000" w:themeColor="text1"/>
                <w:sz w:val="20"/>
                <w:szCs w:val="20"/>
              </w:rPr>
            </w:pPr>
            <w:r>
              <w:rPr>
                <w:color w:val="000000" w:themeColor="text1"/>
                <w:sz w:val="20"/>
                <w:szCs w:val="20"/>
              </w:rPr>
              <w:t>CPP partner templates for developing budget and financial reports</w:t>
            </w:r>
          </w:p>
          <w:p w14:paraId="0FA77A76" w14:textId="44AD7667" w:rsidR="00B44BD1" w:rsidRPr="00B44BD1" w:rsidRDefault="00B44BD1" w:rsidP="00791619">
            <w:pPr>
              <w:pStyle w:val="ListParagraph"/>
              <w:numPr>
                <w:ilvl w:val="0"/>
                <w:numId w:val="30"/>
              </w:numPr>
              <w:jc w:val="both"/>
              <w:rPr>
                <w:color w:val="000000" w:themeColor="text1"/>
                <w:sz w:val="20"/>
                <w:szCs w:val="20"/>
              </w:rPr>
            </w:pPr>
            <w:r>
              <w:rPr>
                <w:color w:val="000000" w:themeColor="text1"/>
                <w:sz w:val="20"/>
                <w:szCs w:val="20"/>
              </w:rPr>
              <w:t xml:space="preserve">Support for </w:t>
            </w:r>
            <w:r w:rsidRPr="001A54F6">
              <w:rPr>
                <w:color w:val="000000" w:themeColor="text1"/>
                <w:sz w:val="20"/>
                <w:szCs w:val="20"/>
              </w:rPr>
              <w:t>CPP Management and governance</w:t>
            </w:r>
            <w:r>
              <w:rPr>
                <w:color w:val="000000" w:themeColor="text1"/>
                <w:sz w:val="20"/>
                <w:szCs w:val="20"/>
              </w:rPr>
              <w:t xml:space="preserve"> arrangements</w:t>
            </w:r>
          </w:p>
        </w:tc>
        <w:tc>
          <w:tcPr>
            <w:tcW w:w="2992" w:type="dxa"/>
          </w:tcPr>
          <w:p w14:paraId="48C95969" w14:textId="77777777" w:rsidR="00D11328" w:rsidRDefault="00B44BD1" w:rsidP="00791619">
            <w:pPr>
              <w:pStyle w:val="ListParagraph"/>
              <w:numPr>
                <w:ilvl w:val="0"/>
                <w:numId w:val="30"/>
              </w:numPr>
              <w:jc w:val="both"/>
              <w:rPr>
                <w:color w:val="000000" w:themeColor="text1"/>
                <w:sz w:val="20"/>
                <w:szCs w:val="20"/>
              </w:rPr>
            </w:pPr>
            <w:r>
              <w:rPr>
                <w:color w:val="000000" w:themeColor="text1"/>
                <w:sz w:val="20"/>
                <w:szCs w:val="20"/>
              </w:rPr>
              <w:t>P</w:t>
            </w:r>
            <w:r w:rsidR="00D11328" w:rsidRPr="001A54F6">
              <w:rPr>
                <w:color w:val="000000" w:themeColor="text1"/>
                <w:sz w:val="20"/>
                <w:szCs w:val="20"/>
              </w:rPr>
              <w:t>artner grant disbursements, acquittals, financial audits</w:t>
            </w:r>
            <w:r w:rsidR="00D11328">
              <w:rPr>
                <w:color w:val="000000" w:themeColor="text1"/>
                <w:sz w:val="20"/>
                <w:szCs w:val="20"/>
              </w:rPr>
              <w:t>,</w:t>
            </w:r>
            <w:r w:rsidR="00D11328" w:rsidRPr="001A54F6">
              <w:rPr>
                <w:color w:val="000000" w:themeColor="text1"/>
                <w:sz w:val="20"/>
                <w:szCs w:val="20"/>
              </w:rPr>
              <w:t xml:space="preserve"> and due diligence</w:t>
            </w:r>
          </w:p>
          <w:p w14:paraId="47529D71" w14:textId="77777777" w:rsidR="00B44BD1" w:rsidRDefault="00B44BD1" w:rsidP="00791619">
            <w:pPr>
              <w:pStyle w:val="ListParagraph"/>
              <w:numPr>
                <w:ilvl w:val="0"/>
                <w:numId w:val="30"/>
              </w:numPr>
              <w:jc w:val="both"/>
              <w:rPr>
                <w:color w:val="000000" w:themeColor="text1"/>
                <w:sz w:val="20"/>
                <w:szCs w:val="20"/>
              </w:rPr>
            </w:pPr>
            <w:r w:rsidRPr="001A54F6">
              <w:rPr>
                <w:color w:val="000000" w:themeColor="text1"/>
                <w:sz w:val="20"/>
                <w:szCs w:val="20"/>
              </w:rPr>
              <w:t>Risk management and safeguarding compliance</w:t>
            </w:r>
          </w:p>
          <w:p w14:paraId="2711BF22" w14:textId="59278291" w:rsidR="00B44BD1" w:rsidRPr="001A54F6" w:rsidRDefault="00B44BD1" w:rsidP="00791619">
            <w:pPr>
              <w:pStyle w:val="ListParagraph"/>
              <w:numPr>
                <w:ilvl w:val="0"/>
                <w:numId w:val="30"/>
              </w:numPr>
              <w:jc w:val="both"/>
              <w:rPr>
                <w:color w:val="000000" w:themeColor="text1"/>
                <w:sz w:val="20"/>
                <w:szCs w:val="20"/>
              </w:rPr>
            </w:pPr>
            <w:r>
              <w:rPr>
                <w:color w:val="000000" w:themeColor="text1"/>
                <w:sz w:val="20"/>
                <w:szCs w:val="20"/>
              </w:rPr>
              <w:t>Recruitment &amp; procurement</w:t>
            </w:r>
          </w:p>
        </w:tc>
      </w:tr>
      <w:tr w:rsidR="00D11328" w:rsidRPr="001A54F6" w14:paraId="087D3CED" w14:textId="77777777" w:rsidTr="00D11328">
        <w:tc>
          <w:tcPr>
            <w:tcW w:w="2216" w:type="dxa"/>
          </w:tcPr>
          <w:p w14:paraId="57722C45" w14:textId="23DC3BC1" w:rsidR="00D11328" w:rsidRPr="00D11328" w:rsidRDefault="00B44BD1" w:rsidP="00791619">
            <w:pPr>
              <w:jc w:val="both"/>
              <w:rPr>
                <w:color w:val="000000" w:themeColor="text1"/>
                <w:sz w:val="20"/>
                <w:szCs w:val="20"/>
              </w:rPr>
            </w:pPr>
            <w:r>
              <w:rPr>
                <w:color w:val="000000" w:themeColor="text1"/>
                <w:sz w:val="20"/>
                <w:szCs w:val="20"/>
              </w:rPr>
              <w:t>CPP Partner plans</w:t>
            </w:r>
          </w:p>
        </w:tc>
        <w:tc>
          <w:tcPr>
            <w:tcW w:w="3104" w:type="dxa"/>
          </w:tcPr>
          <w:p w14:paraId="6223AE39" w14:textId="1282B243" w:rsidR="00D11328" w:rsidRPr="001A54F6" w:rsidRDefault="00D11328" w:rsidP="00791619">
            <w:pPr>
              <w:pStyle w:val="ListParagraph"/>
              <w:numPr>
                <w:ilvl w:val="0"/>
                <w:numId w:val="31"/>
              </w:numPr>
              <w:jc w:val="both"/>
              <w:rPr>
                <w:color w:val="000000" w:themeColor="text1"/>
                <w:sz w:val="20"/>
                <w:szCs w:val="20"/>
              </w:rPr>
            </w:pPr>
            <w:r w:rsidRPr="001A54F6">
              <w:rPr>
                <w:color w:val="000000" w:themeColor="text1"/>
                <w:sz w:val="20"/>
                <w:szCs w:val="20"/>
              </w:rPr>
              <w:t>Partner templates</w:t>
            </w:r>
            <w:r w:rsidR="00B44BD1">
              <w:rPr>
                <w:color w:val="000000" w:themeColor="text1"/>
                <w:sz w:val="20"/>
                <w:szCs w:val="20"/>
              </w:rPr>
              <w:t xml:space="preserve">, </w:t>
            </w:r>
            <w:r w:rsidRPr="001A54F6">
              <w:rPr>
                <w:color w:val="000000" w:themeColor="text1"/>
                <w:sz w:val="20"/>
                <w:szCs w:val="20"/>
              </w:rPr>
              <w:t>guidelines</w:t>
            </w:r>
            <w:r w:rsidR="00B44BD1">
              <w:rPr>
                <w:color w:val="000000" w:themeColor="text1"/>
                <w:sz w:val="20"/>
                <w:szCs w:val="20"/>
              </w:rPr>
              <w:t xml:space="preserve"> &amp; assistance</w:t>
            </w:r>
            <w:r w:rsidRPr="001A54F6">
              <w:rPr>
                <w:color w:val="000000" w:themeColor="text1"/>
                <w:sz w:val="20"/>
                <w:szCs w:val="20"/>
              </w:rPr>
              <w:t>:</w:t>
            </w:r>
          </w:p>
          <w:p w14:paraId="0DDF9E98" w14:textId="77777777" w:rsidR="00D11328" w:rsidRPr="001A54F6" w:rsidRDefault="00D11328" w:rsidP="00791619">
            <w:pPr>
              <w:pStyle w:val="ListParagraph"/>
              <w:numPr>
                <w:ilvl w:val="1"/>
                <w:numId w:val="31"/>
              </w:numPr>
              <w:ind w:left="806"/>
              <w:jc w:val="both"/>
              <w:rPr>
                <w:color w:val="000000" w:themeColor="text1"/>
                <w:sz w:val="20"/>
                <w:szCs w:val="20"/>
              </w:rPr>
            </w:pPr>
            <w:r w:rsidRPr="001A54F6">
              <w:rPr>
                <w:color w:val="000000" w:themeColor="text1"/>
                <w:sz w:val="20"/>
                <w:szCs w:val="20"/>
              </w:rPr>
              <w:t>Planning and activity development</w:t>
            </w:r>
          </w:p>
          <w:p w14:paraId="56D3F78C" w14:textId="16A592D9" w:rsidR="00D11328" w:rsidRPr="001A54F6" w:rsidRDefault="00702137" w:rsidP="00791619">
            <w:pPr>
              <w:pStyle w:val="ListParagraph"/>
              <w:numPr>
                <w:ilvl w:val="1"/>
                <w:numId w:val="31"/>
              </w:numPr>
              <w:ind w:left="806"/>
              <w:jc w:val="both"/>
              <w:rPr>
                <w:color w:val="000000" w:themeColor="text1"/>
                <w:sz w:val="20"/>
                <w:szCs w:val="20"/>
              </w:rPr>
            </w:pPr>
            <w:r>
              <w:rPr>
                <w:color w:val="000000" w:themeColor="text1"/>
                <w:sz w:val="20"/>
                <w:szCs w:val="20"/>
              </w:rPr>
              <w:t xml:space="preserve">MEL &amp; </w:t>
            </w:r>
            <w:r w:rsidR="00D11328" w:rsidRPr="001A54F6">
              <w:rPr>
                <w:color w:val="000000" w:themeColor="text1"/>
                <w:sz w:val="20"/>
                <w:szCs w:val="20"/>
              </w:rPr>
              <w:t xml:space="preserve">Reporting </w:t>
            </w:r>
          </w:p>
          <w:p w14:paraId="1CCC96E5" w14:textId="77777777" w:rsidR="00D11328" w:rsidRPr="001A54F6" w:rsidRDefault="00D11328" w:rsidP="00791619">
            <w:pPr>
              <w:pStyle w:val="ListParagraph"/>
              <w:numPr>
                <w:ilvl w:val="1"/>
                <w:numId w:val="31"/>
              </w:numPr>
              <w:ind w:left="806"/>
              <w:jc w:val="both"/>
              <w:rPr>
                <w:color w:val="000000" w:themeColor="text1"/>
                <w:sz w:val="20"/>
                <w:szCs w:val="20"/>
              </w:rPr>
            </w:pPr>
            <w:r w:rsidRPr="001A54F6">
              <w:rPr>
                <w:color w:val="000000" w:themeColor="text1"/>
                <w:sz w:val="20"/>
                <w:szCs w:val="20"/>
              </w:rPr>
              <w:t>Budgeting (see below)</w:t>
            </w:r>
          </w:p>
        </w:tc>
        <w:tc>
          <w:tcPr>
            <w:tcW w:w="2992" w:type="dxa"/>
          </w:tcPr>
          <w:p w14:paraId="6FC58B48" w14:textId="3AE55728" w:rsidR="00B44BD1" w:rsidRPr="001A54F6" w:rsidRDefault="00B44BD1" w:rsidP="00791619">
            <w:pPr>
              <w:pStyle w:val="ListParagraph"/>
              <w:numPr>
                <w:ilvl w:val="0"/>
                <w:numId w:val="30"/>
              </w:numPr>
              <w:jc w:val="both"/>
              <w:rPr>
                <w:color w:val="000000" w:themeColor="text1"/>
                <w:sz w:val="20"/>
                <w:szCs w:val="20"/>
              </w:rPr>
            </w:pPr>
            <w:r>
              <w:rPr>
                <w:color w:val="000000" w:themeColor="text1"/>
                <w:sz w:val="20"/>
                <w:szCs w:val="20"/>
              </w:rPr>
              <w:t>Review</w:t>
            </w:r>
            <w:r w:rsidR="00702137">
              <w:rPr>
                <w:color w:val="000000" w:themeColor="text1"/>
                <w:sz w:val="20"/>
                <w:szCs w:val="20"/>
              </w:rPr>
              <w:t xml:space="preserve"> for alignment with BCEP processes</w:t>
            </w:r>
          </w:p>
        </w:tc>
      </w:tr>
      <w:tr w:rsidR="00D11328" w:rsidRPr="001A54F6" w14:paraId="738DF2A0" w14:textId="77777777" w:rsidTr="00D11328">
        <w:tc>
          <w:tcPr>
            <w:tcW w:w="2216" w:type="dxa"/>
          </w:tcPr>
          <w:p w14:paraId="2B104FA0" w14:textId="1BFA2FD5" w:rsidR="00D11328" w:rsidRPr="00D11328" w:rsidRDefault="00D11328" w:rsidP="00791619">
            <w:pPr>
              <w:jc w:val="both"/>
              <w:rPr>
                <w:color w:val="000000" w:themeColor="text1"/>
                <w:sz w:val="20"/>
                <w:szCs w:val="20"/>
              </w:rPr>
            </w:pPr>
            <w:r>
              <w:rPr>
                <w:color w:val="000000" w:themeColor="text1"/>
                <w:sz w:val="20"/>
                <w:szCs w:val="20"/>
              </w:rPr>
              <w:t xml:space="preserve">Partner capacity development </w:t>
            </w:r>
          </w:p>
        </w:tc>
        <w:tc>
          <w:tcPr>
            <w:tcW w:w="3104" w:type="dxa"/>
          </w:tcPr>
          <w:p w14:paraId="4564EA76" w14:textId="3E34945D" w:rsidR="00D11328" w:rsidRDefault="00D11328" w:rsidP="00791619">
            <w:pPr>
              <w:pStyle w:val="ListParagraph"/>
              <w:numPr>
                <w:ilvl w:val="0"/>
                <w:numId w:val="31"/>
              </w:numPr>
              <w:jc w:val="both"/>
              <w:rPr>
                <w:color w:val="000000" w:themeColor="text1"/>
                <w:sz w:val="20"/>
                <w:szCs w:val="20"/>
              </w:rPr>
            </w:pPr>
            <w:r>
              <w:rPr>
                <w:color w:val="000000" w:themeColor="text1"/>
                <w:sz w:val="20"/>
                <w:szCs w:val="20"/>
              </w:rPr>
              <w:t>Core organisational development</w:t>
            </w:r>
          </w:p>
          <w:p w14:paraId="7696B49F" w14:textId="7FEFC464" w:rsidR="00D11328" w:rsidRDefault="00D11328" w:rsidP="00791619">
            <w:pPr>
              <w:pStyle w:val="ListParagraph"/>
              <w:numPr>
                <w:ilvl w:val="0"/>
                <w:numId w:val="31"/>
              </w:numPr>
              <w:jc w:val="both"/>
              <w:rPr>
                <w:color w:val="000000" w:themeColor="text1"/>
                <w:sz w:val="20"/>
                <w:szCs w:val="20"/>
              </w:rPr>
            </w:pPr>
            <w:r w:rsidRPr="001A54F6">
              <w:rPr>
                <w:color w:val="000000" w:themeColor="text1"/>
                <w:sz w:val="20"/>
                <w:szCs w:val="20"/>
              </w:rPr>
              <w:t>MEL</w:t>
            </w:r>
            <w:r w:rsidR="00B44BD1">
              <w:rPr>
                <w:color w:val="000000" w:themeColor="text1"/>
                <w:sz w:val="20"/>
                <w:szCs w:val="20"/>
              </w:rPr>
              <w:t>,</w:t>
            </w:r>
            <w:r w:rsidRPr="001A54F6">
              <w:rPr>
                <w:color w:val="000000" w:themeColor="text1"/>
                <w:sz w:val="20"/>
                <w:szCs w:val="20"/>
              </w:rPr>
              <w:t xml:space="preserve"> GEDSI </w:t>
            </w:r>
          </w:p>
          <w:p w14:paraId="4796F5A3" w14:textId="122DB6A4" w:rsidR="00B44BD1" w:rsidRPr="001A54F6" w:rsidRDefault="00B44BD1" w:rsidP="00791619">
            <w:pPr>
              <w:pStyle w:val="ListParagraph"/>
              <w:numPr>
                <w:ilvl w:val="0"/>
                <w:numId w:val="31"/>
              </w:numPr>
              <w:jc w:val="both"/>
              <w:rPr>
                <w:color w:val="000000" w:themeColor="text1"/>
                <w:sz w:val="20"/>
                <w:szCs w:val="20"/>
              </w:rPr>
            </w:pPr>
            <w:r>
              <w:rPr>
                <w:color w:val="000000" w:themeColor="text1"/>
                <w:sz w:val="20"/>
                <w:szCs w:val="20"/>
              </w:rPr>
              <w:t xml:space="preserve">Social accountability </w:t>
            </w:r>
          </w:p>
        </w:tc>
        <w:tc>
          <w:tcPr>
            <w:tcW w:w="2992" w:type="dxa"/>
          </w:tcPr>
          <w:p w14:paraId="28F978DE" w14:textId="6F2FE0FD" w:rsidR="00B44BD1" w:rsidRDefault="00B44BD1" w:rsidP="00791619">
            <w:pPr>
              <w:pStyle w:val="ListParagraph"/>
              <w:numPr>
                <w:ilvl w:val="0"/>
                <w:numId w:val="30"/>
              </w:numPr>
              <w:jc w:val="both"/>
              <w:rPr>
                <w:color w:val="000000" w:themeColor="text1"/>
                <w:sz w:val="20"/>
                <w:szCs w:val="20"/>
              </w:rPr>
            </w:pPr>
            <w:r>
              <w:rPr>
                <w:color w:val="000000" w:themeColor="text1"/>
                <w:sz w:val="20"/>
                <w:szCs w:val="20"/>
              </w:rPr>
              <w:t>F</w:t>
            </w:r>
            <w:r w:rsidRPr="001A54F6">
              <w:rPr>
                <w:color w:val="000000" w:themeColor="text1"/>
                <w:sz w:val="20"/>
                <w:szCs w:val="20"/>
              </w:rPr>
              <w:t xml:space="preserve">inancial </w:t>
            </w:r>
            <w:r>
              <w:rPr>
                <w:color w:val="000000" w:themeColor="text1"/>
                <w:sz w:val="20"/>
                <w:szCs w:val="20"/>
              </w:rPr>
              <w:t xml:space="preserve">and risk </w:t>
            </w:r>
            <w:r w:rsidRPr="001A54F6">
              <w:rPr>
                <w:color w:val="000000" w:themeColor="text1"/>
                <w:sz w:val="20"/>
                <w:szCs w:val="20"/>
              </w:rPr>
              <w:t>management</w:t>
            </w:r>
          </w:p>
          <w:p w14:paraId="3E0EF597" w14:textId="77777777" w:rsidR="00B44BD1" w:rsidRDefault="00B44BD1" w:rsidP="00791619">
            <w:pPr>
              <w:pStyle w:val="ListParagraph"/>
              <w:numPr>
                <w:ilvl w:val="0"/>
                <w:numId w:val="30"/>
              </w:numPr>
              <w:jc w:val="both"/>
              <w:rPr>
                <w:color w:val="000000" w:themeColor="text1"/>
                <w:sz w:val="20"/>
                <w:szCs w:val="20"/>
              </w:rPr>
            </w:pPr>
            <w:r w:rsidRPr="001A54F6">
              <w:rPr>
                <w:color w:val="000000" w:themeColor="text1"/>
                <w:sz w:val="20"/>
                <w:szCs w:val="20"/>
              </w:rPr>
              <w:t xml:space="preserve">internal governance and </w:t>
            </w:r>
          </w:p>
          <w:p w14:paraId="055A4822" w14:textId="61B331D3" w:rsidR="00D11328" w:rsidRPr="001A54F6" w:rsidRDefault="00B44BD1" w:rsidP="00791619">
            <w:pPr>
              <w:pStyle w:val="ListParagraph"/>
              <w:numPr>
                <w:ilvl w:val="0"/>
                <w:numId w:val="30"/>
              </w:numPr>
              <w:jc w:val="both"/>
              <w:rPr>
                <w:color w:val="000000" w:themeColor="text1"/>
                <w:sz w:val="20"/>
                <w:szCs w:val="20"/>
              </w:rPr>
            </w:pPr>
            <w:r>
              <w:rPr>
                <w:color w:val="000000" w:themeColor="text1"/>
                <w:sz w:val="20"/>
                <w:szCs w:val="20"/>
              </w:rPr>
              <w:t xml:space="preserve">other specialist technical areas. </w:t>
            </w:r>
          </w:p>
        </w:tc>
      </w:tr>
      <w:tr w:rsidR="00D11328" w:rsidRPr="001A54F6" w14:paraId="411B204C" w14:textId="77777777" w:rsidTr="00D11328">
        <w:tc>
          <w:tcPr>
            <w:tcW w:w="2216" w:type="dxa"/>
          </w:tcPr>
          <w:p w14:paraId="60859C1A" w14:textId="6C68F4C7" w:rsidR="00D11328" w:rsidRPr="00D11328" w:rsidRDefault="00D11328" w:rsidP="00791619">
            <w:pPr>
              <w:jc w:val="both"/>
              <w:rPr>
                <w:color w:val="000000" w:themeColor="text1"/>
                <w:sz w:val="20"/>
                <w:szCs w:val="20"/>
              </w:rPr>
            </w:pPr>
            <w:r>
              <w:rPr>
                <w:color w:val="000000" w:themeColor="text1"/>
                <w:sz w:val="20"/>
                <w:szCs w:val="20"/>
              </w:rPr>
              <w:t>Communications</w:t>
            </w:r>
          </w:p>
        </w:tc>
        <w:tc>
          <w:tcPr>
            <w:tcW w:w="3104" w:type="dxa"/>
          </w:tcPr>
          <w:p w14:paraId="43E5C437" w14:textId="104274C0" w:rsidR="00D11328" w:rsidRPr="001A54F6" w:rsidRDefault="00D11328" w:rsidP="00791619">
            <w:pPr>
              <w:pStyle w:val="ListParagraph"/>
              <w:numPr>
                <w:ilvl w:val="0"/>
                <w:numId w:val="30"/>
              </w:numPr>
              <w:jc w:val="both"/>
              <w:rPr>
                <w:color w:val="000000" w:themeColor="text1"/>
                <w:sz w:val="20"/>
                <w:szCs w:val="20"/>
              </w:rPr>
            </w:pPr>
            <w:r>
              <w:rPr>
                <w:color w:val="000000" w:themeColor="text1"/>
                <w:sz w:val="20"/>
                <w:szCs w:val="20"/>
              </w:rPr>
              <w:t>Internal communications</w:t>
            </w:r>
          </w:p>
        </w:tc>
        <w:tc>
          <w:tcPr>
            <w:tcW w:w="2992" w:type="dxa"/>
          </w:tcPr>
          <w:p w14:paraId="60A550D7" w14:textId="77777777" w:rsidR="00D11328" w:rsidRPr="001A54F6" w:rsidRDefault="00D11328" w:rsidP="00791619">
            <w:pPr>
              <w:pStyle w:val="ListParagraph"/>
              <w:numPr>
                <w:ilvl w:val="0"/>
                <w:numId w:val="30"/>
              </w:numPr>
              <w:jc w:val="both"/>
              <w:rPr>
                <w:color w:val="000000" w:themeColor="text1"/>
                <w:sz w:val="20"/>
                <w:szCs w:val="20"/>
              </w:rPr>
            </w:pPr>
            <w:r>
              <w:rPr>
                <w:color w:val="000000" w:themeColor="text1"/>
                <w:sz w:val="20"/>
                <w:szCs w:val="20"/>
              </w:rPr>
              <w:t>External communications</w:t>
            </w:r>
          </w:p>
        </w:tc>
      </w:tr>
    </w:tbl>
    <w:p w14:paraId="61C8666E" w14:textId="77777777" w:rsidR="00702137" w:rsidRDefault="00702137" w:rsidP="00791619">
      <w:pPr>
        <w:jc w:val="both"/>
        <w:rPr>
          <w:b/>
          <w:bCs/>
          <w:lang w:eastAsia="en-AU"/>
        </w:rPr>
      </w:pPr>
    </w:p>
    <w:p w14:paraId="447BCDB4" w14:textId="279D8A1E" w:rsidR="00A62F5F" w:rsidRPr="0012389B" w:rsidRDefault="00A62F5F" w:rsidP="00791619">
      <w:pPr>
        <w:jc w:val="both"/>
        <w:rPr>
          <w:b/>
          <w:bCs/>
          <w:lang w:eastAsia="en-AU"/>
        </w:rPr>
      </w:pPr>
      <w:r w:rsidRPr="0012389B">
        <w:rPr>
          <w:b/>
          <w:bCs/>
          <w:lang w:eastAsia="en-AU"/>
        </w:rPr>
        <w:t>Strategic Development Team</w:t>
      </w:r>
      <w:bookmarkEnd w:id="80"/>
      <w:r w:rsidRPr="0012389B">
        <w:rPr>
          <w:b/>
          <w:bCs/>
          <w:lang w:eastAsia="en-AU"/>
        </w:rPr>
        <w:t xml:space="preserve"> </w:t>
      </w:r>
    </w:p>
    <w:p w14:paraId="5C8F4170" w14:textId="38EBE121" w:rsidR="00A62F5F" w:rsidRPr="0012389B" w:rsidRDefault="00A62F5F" w:rsidP="00791619">
      <w:pPr>
        <w:jc w:val="both"/>
      </w:pPr>
      <w:r w:rsidRPr="0012389B">
        <w:t xml:space="preserve">The </w:t>
      </w:r>
      <w:r w:rsidR="00D94610" w:rsidRPr="0012389B">
        <w:t>Strategic Development Team (</w:t>
      </w:r>
      <w:r w:rsidRPr="0012389B">
        <w:t>SDT</w:t>
      </w:r>
      <w:r w:rsidR="00D94610" w:rsidRPr="0012389B">
        <w:t xml:space="preserve">) </w:t>
      </w:r>
      <w:r w:rsidRPr="0012389B">
        <w:rPr>
          <w:rStyle w:val="FootnoteReference"/>
        </w:rPr>
        <w:footnoteReference w:id="41"/>
      </w:r>
      <w:r w:rsidRPr="0012389B">
        <w:t xml:space="preserve"> will have a similar function to that </w:t>
      </w:r>
      <w:r w:rsidR="00E9257E">
        <w:t>defined</w:t>
      </w:r>
      <w:r w:rsidRPr="0012389B">
        <w:t xml:space="preserve"> in the CPP Charter. However, compared with past phases, the SDT will be more focussed on strategic program issues and less on day-to-day operational/administrative issues. The SDT’s main means of strategic engagement will be through six-monthly forums where CPP’s performance and learning over the previous period will be reviewed and discussed (including financial progress). These forums could be timed to fit with CPP’s reporting cycle to DFAT. </w:t>
      </w:r>
    </w:p>
    <w:p w14:paraId="7ECE57BA" w14:textId="684DEE91" w:rsidR="00A62F5F" w:rsidRPr="0012389B" w:rsidRDefault="00A62F5F" w:rsidP="00791619">
      <w:pPr>
        <w:jc w:val="both"/>
      </w:pPr>
      <w:r w:rsidRPr="0012389B">
        <w:t xml:space="preserve">The membership of SDT will </w:t>
      </w:r>
      <w:r w:rsidR="006A18C7">
        <w:t>consist of the</w:t>
      </w:r>
      <w:r w:rsidRPr="0012389B">
        <w:t xml:space="preserve"> heads of development units </w:t>
      </w:r>
      <w:r w:rsidR="006A18C7">
        <w:t>of</w:t>
      </w:r>
      <w:r w:rsidRPr="0012389B">
        <w:t xml:space="preserve"> all </w:t>
      </w:r>
      <w:r w:rsidR="006A18C7">
        <w:t xml:space="preserve">PNG </w:t>
      </w:r>
      <w:r w:rsidRPr="0012389B">
        <w:t xml:space="preserve">partners; </w:t>
      </w:r>
      <w:r w:rsidR="006A18C7">
        <w:t>representatives of all</w:t>
      </w:r>
      <w:r w:rsidR="006A18C7" w:rsidRPr="0012389B">
        <w:t xml:space="preserve"> </w:t>
      </w:r>
      <w:r w:rsidRPr="0012389B">
        <w:t xml:space="preserve">ANGO </w:t>
      </w:r>
      <w:r w:rsidR="006A18C7">
        <w:t>partners</w:t>
      </w:r>
      <w:r w:rsidRPr="0012389B">
        <w:t xml:space="preserve">; and a representative from each of DFAT and </w:t>
      </w:r>
      <w:r w:rsidR="00DB65AE">
        <w:t>Office of Religion</w:t>
      </w:r>
      <w:r w:rsidRPr="0012389B">
        <w:t xml:space="preserve">. </w:t>
      </w:r>
    </w:p>
    <w:p w14:paraId="4D0865F1" w14:textId="27BCE96F" w:rsidR="00A62F5F" w:rsidRPr="0012389B" w:rsidRDefault="002772D5" w:rsidP="00791619">
      <w:pPr>
        <w:pStyle w:val="Heading2"/>
        <w:numPr>
          <w:ilvl w:val="1"/>
          <w:numId w:val="1"/>
        </w:numPr>
        <w:ind w:left="709" w:hanging="709"/>
        <w:jc w:val="both"/>
        <w:rPr>
          <w:b/>
          <w:bCs/>
          <w:sz w:val="24"/>
          <w:szCs w:val="24"/>
        </w:rPr>
      </w:pPr>
      <w:bookmarkStart w:id="81" w:name="_Toc97217468"/>
      <w:bookmarkStart w:id="82" w:name="_Toc97217469"/>
      <w:bookmarkStart w:id="83" w:name="_Toc97217470"/>
      <w:bookmarkStart w:id="84" w:name="_Toc97217471"/>
      <w:bookmarkStart w:id="85" w:name="_Toc97217479"/>
      <w:bookmarkStart w:id="86" w:name="_Toc99041670"/>
      <w:bookmarkEnd w:id="81"/>
      <w:bookmarkEnd w:id="82"/>
      <w:bookmarkEnd w:id="83"/>
      <w:bookmarkEnd w:id="84"/>
      <w:bookmarkEnd w:id="85"/>
      <w:r>
        <w:rPr>
          <w:b/>
          <w:bCs/>
          <w:sz w:val="24"/>
          <w:szCs w:val="24"/>
        </w:rPr>
        <w:lastRenderedPageBreak/>
        <w:t>Transition and Inception deliverables</w:t>
      </w:r>
      <w:bookmarkEnd w:id="86"/>
    </w:p>
    <w:p w14:paraId="088735B1" w14:textId="48F9BA2C" w:rsidR="00A62F5F" w:rsidRDefault="005F222C" w:rsidP="00791619">
      <w:pPr>
        <w:pStyle w:val="Heading3"/>
        <w:jc w:val="both"/>
        <w:rPr>
          <w:rStyle w:val="Heading3Char"/>
          <w:b/>
          <w:bCs/>
        </w:rPr>
      </w:pPr>
      <w:bookmarkStart w:id="87" w:name="_Toc93415956"/>
      <w:bookmarkStart w:id="88" w:name="_Toc97187848"/>
      <w:bookmarkStart w:id="89" w:name="_Hlk93415696"/>
      <w:r>
        <w:rPr>
          <w:rStyle w:val="Heading3Char"/>
          <w:b/>
          <w:bCs/>
        </w:rPr>
        <w:t>T</w:t>
      </w:r>
      <w:r w:rsidR="00A62F5F" w:rsidRPr="0012389B">
        <w:rPr>
          <w:rStyle w:val="Heading3Char"/>
          <w:b/>
          <w:bCs/>
        </w:rPr>
        <w:t>ransition</w:t>
      </w:r>
      <w:bookmarkEnd w:id="87"/>
      <w:bookmarkEnd w:id="88"/>
      <w:r w:rsidR="00A62F5F" w:rsidRPr="0012389B">
        <w:rPr>
          <w:rStyle w:val="Heading3Char"/>
          <w:b/>
          <w:bCs/>
        </w:rPr>
        <w:t xml:space="preserve"> </w:t>
      </w:r>
      <w:bookmarkEnd w:id="89"/>
    </w:p>
    <w:p w14:paraId="2F68033A" w14:textId="3654AEF2" w:rsidR="00350A9D" w:rsidRPr="00350A9D" w:rsidRDefault="00350A9D" w:rsidP="00791619">
      <w:pPr>
        <w:jc w:val="both"/>
      </w:pPr>
      <w:bookmarkStart w:id="90" w:name="_Toc93415957"/>
      <w:r>
        <w:t xml:space="preserve">The key activities and milestones in the transition </w:t>
      </w:r>
      <w:r w:rsidR="0052451B">
        <w:t xml:space="preserve">from phase 3 </w:t>
      </w:r>
      <w:r>
        <w:t>to the start of phase 4 are:</w:t>
      </w:r>
      <w:bookmarkEnd w:id="90"/>
    </w:p>
    <w:tbl>
      <w:tblPr>
        <w:tblStyle w:val="TableGrid"/>
        <w:tblW w:w="0" w:type="auto"/>
        <w:tblInd w:w="-23" w:type="dxa"/>
        <w:tblBorders>
          <w:top w:val="single" w:sz="2" w:space="0" w:color="44546A" w:themeColor="text2"/>
          <w:left w:val="single" w:sz="2" w:space="0" w:color="44546A" w:themeColor="text2"/>
          <w:bottom w:val="single" w:sz="2" w:space="0" w:color="44546A" w:themeColor="text2"/>
          <w:right w:val="single" w:sz="2" w:space="0" w:color="44546A" w:themeColor="text2"/>
          <w:insideH w:val="single" w:sz="2" w:space="0" w:color="44546A" w:themeColor="text2"/>
          <w:insideV w:val="single" w:sz="2" w:space="0" w:color="44546A" w:themeColor="text2"/>
        </w:tblBorders>
        <w:tblLook w:val="04A0" w:firstRow="1" w:lastRow="0" w:firstColumn="1" w:lastColumn="0" w:noHBand="0" w:noVBand="1"/>
      </w:tblPr>
      <w:tblGrid>
        <w:gridCol w:w="6569"/>
        <w:gridCol w:w="1195"/>
        <w:gridCol w:w="1279"/>
      </w:tblGrid>
      <w:tr w:rsidR="00491B5B" w:rsidRPr="004B7710" w14:paraId="494BDB9E" w14:textId="77777777" w:rsidTr="00371C0A">
        <w:trPr>
          <w:cantSplit/>
          <w:tblHeader/>
        </w:trPr>
        <w:tc>
          <w:tcPr>
            <w:tcW w:w="6569" w:type="dxa"/>
            <w:tcBorders>
              <w:top w:val="single" w:sz="2" w:space="0" w:color="44546A" w:themeColor="text2"/>
              <w:left w:val="single" w:sz="2" w:space="0" w:color="44546A" w:themeColor="text2"/>
              <w:bottom w:val="single" w:sz="2" w:space="0" w:color="44546A" w:themeColor="text2"/>
              <w:right w:val="single" w:sz="2" w:space="0" w:color="44546A" w:themeColor="text2"/>
            </w:tcBorders>
            <w:shd w:val="clear" w:color="auto" w:fill="B4C6E7" w:themeFill="accent1" w:themeFillTint="66"/>
            <w:hideMark/>
          </w:tcPr>
          <w:p w14:paraId="6FFFFF21" w14:textId="608C056A" w:rsidR="00491B5B" w:rsidRPr="004B7710" w:rsidRDefault="00491B5B" w:rsidP="00791619">
            <w:pPr>
              <w:jc w:val="both"/>
              <w:rPr>
                <w:b/>
                <w:color w:val="000000" w:themeColor="text1"/>
                <w:sz w:val="20"/>
                <w:szCs w:val="20"/>
              </w:rPr>
            </w:pPr>
            <w:bookmarkStart w:id="91" w:name="_Toc97187849"/>
            <w:r w:rsidRPr="004B7710">
              <w:rPr>
                <w:b/>
                <w:color w:val="000000" w:themeColor="text1"/>
                <w:sz w:val="20"/>
                <w:szCs w:val="20"/>
              </w:rPr>
              <w:t>Activity/deliverable</w:t>
            </w:r>
          </w:p>
        </w:tc>
        <w:tc>
          <w:tcPr>
            <w:tcW w:w="1195" w:type="dxa"/>
            <w:tcBorders>
              <w:top w:val="single" w:sz="2" w:space="0" w:color="44546A" w:themeColor="text2"/>
              <w:left w:val="single" w:sz="2" w:space="0" w:color="44546A" w:themeColor="text2"/>
              <w:bottom w:val="single" w:sz="2" w:space="0" w:color="44546A" w:themeColor="text2"/>
              <w:right w:val="single" w:sz="2" w:space="0" w:color="44546A" w:themeColor="text2"/>
            </w:tcBorders>
            <w:shd w:val="clear" w:color="auto" w:fill="B4C6E7" w:themeFill="accent1" w:themeFillTint="66"/>
          </w:tcPr>
          <w:p w14:paraId="6CEFFFE4" w14:textId="527A2F76" w:rsidR="00491B5B" w:rsidRPr="004B7710" w:rsidRDefault="00491B5B" w:rsidP="00791619">
            <w:pPr>
              <w:jc w:val="both"/>
              <w:rPr>
                <w:b/>
                <w:color w:val="000000" w:themeColor="text1"/>
                <w:sz w:val="20"/>
                <w:szCs w:val="20"/>
              </w:rPr>
            </w:pPr>
            <w:r w:rsidRPr="004B7710">
              <w:rPr>
                <w:b/>
                <w:color w:val="000000" w:themeColor="text1"/>
                <w:sz w:val="20"/>
                <w:szCs w:val="20"/>
              </w:rPr>
              <w:t>Resp.</w:t>
            </w:r>
          </w:p>
        </w:tc>
        <w:tc>
          <w:tcPr>
            <w:tcW w:w="1279" w:type="dxa"/>
            <w:tcBorders>
              <w:top w:val="single" w:sz="2" w:space="0" w:color="44546A" w:themeColor="text2"/>
              <w:left w:val="single" w:sz="2" w:space="0" w:color="44546A" w:themeColor="text2"/>
              <w:bottom w:val="single" w:sz="2" w:space="0" w:color="44546A" w:themeColor="text2"/>
              <w:right w:val="single" w:sz="2" w:space="0" w:color="44546A" w:themeColor="text2"/>
            </w:tcBorders>
            <w:shd w:val="clear" w:color="auto" w:fill="B4C6E7" w:themeFill="accent1" w:themeFillTint="66"/>
            <w:hideMark/>
          </w:tcPr>
          <w:p w14:paraId="4AEB8B4D" w14:textId="1175BD68" w:rsidR="00491B5B" w:rsidRPr="004B7710" w:rsidRDefault="00491B5B" w:rsidP="00791619">
            <w:pPr>
              <w:jc w:val="both"/>
              <w:rPr>
                <w:b/>
                <w:color w:val="000000" w:themeColor="text1"/>
                <w:sz w:val="20"/>
                <w:szCs w:val="20"/>
              </w:rPr>
            </w:pPr>
            <w:r w:rsidRPr="004B7710">
              <w:rPr>
                <w:b/>
                <w:color w:val="000000" w:themeColor="text1"/>
                <w:sz w:val="20"/>
                <w:szCs w:val="20"/>
              </w:rPr>
              <w:t xml:space="preserve">Month </w:t>
            </w:r>
          </w:p>
        </w:tc>
      </w:tr>
      <w:tr w:rsidR="00491B5B" w:rsidRPr="004B7710" w14:paraId="02AD1647" w14:textId="77777777" w:rsidTr="00371C0A">
        <w:trPr>
          <w:cantSplit/>
          <w:tblHeader/>
        </w:trPr>
        <w:tc>
          <w:tcPr>
            <w:tcW w:w="6569" w:type="dxa"/>
            <w:tcBorders>
              <w:top w:val="single" w:sz="2" w:space="0" w:color="44546A" w:themeColor="text2"/>
              <w:left w:val="single" w:sz="2" w:space="0" w:color="44546A" w:themeColor="text2"/>
              <w:bottom w:val="single" w:sz="2" w:space="0" w:color="44546A" w:themeColor="text2"/>
              <w:right w:val="single" w:sz="2" w:space="0" w:color="44546A" w:themeColor="text2"/>
            </w:tcBorders>
            <w:hideMark/>
          </w:tcPr>
          <w:p w14:paraId="7E3523A5" w14:textId="05C28C27" w:rsidR="00491B5B" w:rsidRPr="004B7710" w:rsidRDefault="00491B5B" w:rsidP="00791619">
            <w:pPr>
              <w:pStyle w:val="ListParagraph"/>
              <w:numPr>
                <w:ilvl w:val="0"/>
                <w:numId w:val="32"/>
              </w:numPr>
              <w:suppressAutoHyphens/>
              <w:jc w:val="both"/>
              <w:rPr>
                <w:color w:val="000000" w:themeColor="text1"/>
                <w:sz w:val="20"/>
                <w:szCs w:val="20"/>
              </w:rPr>
            </w:pPr>
            <w:r w:rsidRPr="004B7710">
              <w:rPr>
                <w:color w:val="000000" w:themeColor="text1"/>
                <w:sz w:val="20"/>
                <w:szCs w:val="20"/>
              </w:rPr>
              <w:t>BCEP PMT and CPPCO team mobilisation and office set-up</w:t>
            </w:r>
          </w:p>
        </w:tc>
        <w:tc>
          <w:tcPr>
            <w:tcW w:w="1195" w:type="dxa"/>
            <w:tcBorders>
              <w:top w:val="single" w:sz="2" w:space="0" w:color="44546A" w:themeColor="text2"/>
              <w:left w:val="single" w:sz="2" w:space="0" w:color="44546A" w:themeColor="text2"/>
              <w:bottom w:val="single" w:sz="2" w:space="0" w:color="44546A" w:themeColor="text2"/>
              <w:right w:val="single" w:sz="2" w:space="0" w:color="44546A" w:themeColor="text2"/>
            </w:tcBorders>
          </w:tcPr>
          <w:p w14:paraId="7361C4CB" w14:textId="385AB134" w:rsidR="00491B5B" w:rsidRPr="004B7710" w:rsidRDefault="00491B5B" w:rsidP="00791619">
            <w:pPr>
              <w:jc w:val="both"/>
              <w:rPr>
                <w:color w:val="000000" w:themeColor="text1"/>
                <w:sz w:val="20"/>
                <w:szCs w:val="20"/>
              </w:rPr>
            </w:pPr>
            <w:r w:rsidRPr="004B7710">
              <w:rPr>
                <w:color w:val="000000" w:themeColor="text1"/>
                <w:sz w:val="20"/>
                <w:szCs w:val="20"/>
              </w:rPr>
              <w:t>MC</w:t>
            </w:r>
          </w:p>
        </w:tc>
        <w:tc>
          <w:tcPr>
            <w:tcW w:w="1279" w:type="dxa"/>
            <w:tcBorders>
              <w:top w:val="single" w:sz="2" w:space="0" w:color="44546A" w:themeColor="text2"/>
              <w:left w:val="single" w:sz="2" w:space="0" w:color="44546A" w:themeColor="text2"/>
              <w:bottom w:val="single" w:sz="2" w:space="0" w:color="44546A" w:themeColor="text2"/>
              <w:right w:val="single" w:sz="2" w:space="0" w:color="44546A" w:themeColor="text2"/>
            </w:tcBorders>
            <w:hideMark/>
          </w:tcPr>
          <w:p w14:paraId="57A57CAE" w14:textId="4E38C81C" w:rsidR="00491B5B" w:rsidRPr="004B7710" w:rsidRDefault="00491B5B" w:rsidP="00791619">
            <w:pPr>
              <w:jc w:val="both"/>
              <w:rPr>
                <w:color w:val="000000" w:themeColor="text1"/>
                <w:sz w:val="20"/>
                <w:szCs w:val="20"/>
              </w:rPr>
            </w:pPr>
            <w:r w:rsidRPr="004B7710">
              <w:rPr>
                <w:color w:val="000000" w:themeColor="text1"/>
                <w:sz w:val="20"/>
                <w:szCs w:val="20"/>
              </w:rPr>
              <w:t>March-April</w:t>
            </w:r>
          </w:p>
        </w:tc>
      </w:tr>
      <w:tr w:rsidR="00491B5B" w:rsidRPr="004B7710" w14:paraId="6E1986EF" w14:textId="77777777" w:rsidTr="00371C0A">
        <w:trPr>
          <w:cantSplit/>
          <w:tblHeader/>
        </w:trPr>
        <w:tc>
          <w:tcPr>
            <w:tcW w:w="6569" w:type="dxa"/>
            <w:tcBorders>
              <w:top w:val="single" w:sz="2" w:space="0" w:color="44546A" w:themeColor="text2"/>
              <w:left w:val="single" w:sz="2" w:space="0" w:color="44546A" w:themeColor="text2"/>
              <w:bottom w:val="single" w:sz="4" w:space="0" w:color="44546A" w:themeColor="text2"/>
              <w:right w:val="single" w:sz="2" w:space="0" w:color="44546A" w:themeColor="text2"/>
            </w:tcBorders>
            <w:hideMark/>
          </w:tcPr>
          <w:p w14:paraId="453C46F5" w14:textId="4EBC5E4D" w:rsidR="00491B5B" w:rsidRPr="004B7710" w:rsidRDefault="00491B5B" w:rsidP="00791619">
            <w:pPr>
              <w:pStyle w:val="ListParagraph"/>
              <w:numPr>
                <w:ilvl w:val="0"/>
                <w:numId w:val="32"/>
              </w:numPr>
              <w:suppressAutoHyphens/>
              <w:jc w:val="both"/>
              <w:rPr>
                <w:color w:val="000000" w:themeColor="text1"/>
                <w:sz w:val="20"/>
                <w:szCs w:val="20"/>
              </w:rPr>
            </w:pPr>
            <w:r w:rsidRPr="004B7710">
              <w:rPr>
                <w:color w:val="000000" w:themeColor="text1"/>
                <w:sz w:val="20"/>
                <w:szCs w:val="20"/>
              </w:rPr>
              <w:t>BCEP PMT and CPPCO team meets with partners</w:t>
            </w:r>
          </w:p>
        </w:tc>
        <w:tc>
          <w:tcPr>
            <w:tcW w:w="1195" w:type="dxa"/>
            <w:tcBorders>
              <w:top w:val="single" w:sz="2" w:space="0" w:color="44546A" w:themeColor="text2"/>
              <w:left w:val="single" w:sz="2" w:space="0" w:color="44546A" w:themeColor="text2"/>
              <w:bottom w:val="single" w:sz="4" w:space="0" w:color="44546A" w:themeColor="text2"/>
              <w:right w:val="single" w:sz="2" w:space="0" w:color="44546A" w:themeColor="text2"/>
            </w:tcBorders>
          </w:tcPr>
          <w:p w14:paraId="6A4AC1E3" w14:textId="0E0636A2" w:rsidR="00491B5B" w:rsidRPr="004B7710" w:rsidRDefault="00491B5B" w:rsidP="00791619">
            <w:pPr>
              <w:jc w:val="both"/>
              <w:rPr>
                <w:color w:val="000000" w:themeColor="text1"/>
                <w:sz w:val="20"/>
                <w:szCs w:val="20"/>
              </w:rPr>
            </w:pPr>
            <w:r w:rsidRPr="004B7710">
              <w:rPr>
                <w:color w:val="000000" w:themeColor="text1"/>
                <w:sz w:val="20"/>
                <w:szCs w:val="20"/>
              </w:rPr>
              <w:t>MC</w:t>
            </w:r>
          </w:p>
        </w:tc>
        <w:tc>
          <w:tcPr>
            <w:tcW w:w="1279" w:type="dxa"/>
            <w:tcBorders>
              <w:top w:val="single" w:sz="2" w:space="0" w:color="44546A" w:themeColor="text2"/>
              <w:left w:val="single" w:sz="2" w:space="0" w:color="44546A" w:themeColor="text2"/>
              <w:bottom w:val="single" w:sz="4" w:space="0" w:color="44546A" w:themeColor="text2"/>
              <w:right w:val="single" w:sz="2" w:space="0" w:color="44546A" w:themeColor="text2"/>
            </w:tcBorders>
            <w:hideMark/>
          </w:tcPr>
          <w:p w14:paraId="347B0271" w14:textId="08C78BCC" w:rsidR="00491B5B" w:rsidRPr="004B7710" w:rsidRDefault="00491B5B" w:rsidP="00791619">
            <w:pPr>
              <w:jc w:val="both"/>
              <w:rPr>
                <w:color w:val="000000" w:themeColor="text1"/>
                <w:sz w:val="20"/>
                <w:szCs w:val="20"/>
              </w:rPr>
            </w:pPr>
            <w:r w:rsidRPr="004B7710">
              <w:rPr>
                <w:color w:val="000000" w:themeColor="text1"/>
                <w:sz w:val="20"/>
                <w:szCs w:val="20"/>
              </w:rPr>
              <w:t>March-April</w:t>
            </w:r>
          </w:p>
        </w:tc>
      </w:tr>
      <w:tr w:rsidR="00491B5B" w:rsidRPr="004B7710" w14:paraId="286C8ED3" w14:textId="77777777" w:rsidTr="00371C0A">
        <w:trPr>
          <w:cantSplit/>
          <w:tblHeader/>
        </w:trPr>
        <w:tc>
          <w:tcPr>
            <w:tcW w:w="6569" w:type="dxa"/>
            <w:tcBorders>
              <w:top w:val="single" w:sz="4" w:space="0" w:color="44546A" w:themeColor="text2"/>
              <w:left w:val="single" w:sz="2" w:space="0" w:color="44546A" w:themeColor="text2"/>
              <w:bottom w:val="single" w:sz="2" w:space="0" w:color="44546A" w:themeColor="text2"/>
              <w:right w:val="single" w:sz="2" w:space="0" w:color="44546A" w:themeColor="text2"/>
            </w:tcBorders>
            <w:hideMark/>
          </w:tcPr>
          <w:p w14:paraId="317D6F2F" w14:textId="68294D47" w:rsidR="00491B5B" w:rsidRPr="004B7710" w:rsidRDefault="004B7710" w:rsidP="00791619">
            <w:pPr>
              <w:pStyle w:val="ListParagraph"/>
              <w:numPr>
                <w:ilvl w:val="0"/>
                <w:numId w:val="32"/>
              </w:numPr>
              <w:suppressAutoHyphens/>
              <w:jc w:val="both"/>
              <w:rPr>
                <w:color w:val="000000" w:themeColor="text1"/>
                <w:sz w:val="20"/>
                <w:szCs w:val="20"/>
              </w:rPr>
            </w:pPr>
            <w:r w:rsidRPr="004B7710">
              <w:rPr>
                <w:color w:val="000000" w:themeColor="text1"/>
                <w:sz w:val="20"/>
                <w:szCs w:val="20"/>
              </w:rPr>
              <w:t xml:space="preserve">CPP </w:t>
            </w:r>
            <w:r w:rsidR="00491B5B" w:rsidRPr="004B7710">
              <w:rPr>
                <w:color w:val="000000" w:themeColor="text1"/>
                <w:sz w:val="20"/>
                <w:szCs w:val="20"/>
              </w:rPr>
              <w:t>Partner Grant Agreements</w:t>
            </w:r>
            <w:r w:rsidRPr="004B7710">
              <w:rPr>
                <w:color w:val="000000" w:themeColor="text1"/>
                <w:sz w:val="20"/>
                <w:szCs w:val="20"/>
              </w:rPr>
              <w:t xml:space="preserve"> novated from </w:t>
            </w:r>
            <w:proofErr w:type="spellStart"/>
            <w:r w:rsidRPr="004B7710">
              <w:rPr>
                <w:color w:val="000000" w:themeColor="text1"/>
                <w:sz w:val="20"/>
                <w:szCs w:val="20"/>
              </w:rPr>
              <w:t>Abt</w:t>
            </w:r>
            <w:proofErr w:type="spellEnd"/>
            <w:r w:rsidRPr="004B7710">
              <w:rPr>
                <w:color w:val="000000" w:themeColor="text1"/>
                <w:sz w:val="20"/>
                <w:szCs w:val="20"/>
              </w:rPr>
              <w:t xml:space="preserve"> to Cardno</w:t>
            </w:r>
          </w:p>
        </w:tc>
        <w:tc>
          <w:tcPr>
            <w:tcW w:w="1195" w:type="dxa"/>
            <w:tcBorders>
              <w:top w:val="single" w:sz="4" w:space="0" w:color="44546A" w:themeColor="text2"/>
              <w:left w:val="single" w:sz="2" w:space="0" w:color="44546A" w:themeColor="text2"/>
              <w:bottom w:val="single" w:sz="2" w:space="0" w:color="44546A" w:themeColor="text2"/>
              <w:right w:val="single" w:sz="2" w:space="0" w:color="44546A" w:themeColor="text2"/>
            </w:tcBorders>
          </w:tcPr>
          <w:p w14:paraId="15AEC096" w14:textId="5F07119E" w:rsidR="00491B5B" w:rsidRPr="004B7710" w:rsidRDefault="00371C0A" w:rsidP="00791619">
            <w:pPr>
              <w:jc w:val="both"/>
              <w:rPr>
                <w:color w:val="000000" w:themeColor="text1"/>
                <w:sz w:val="20"/>
                <w:szCs w:val="20"/>
              </w:rPr>
            </w:pPr>
            <w:r w:rsidRPr="004B7710">
              <w:rPr>
                <w:color w:val="000000" w:themeColor="text1"/>
                <w:sz w:val="20"/>
                <w:szCs w:val="20"/>
              </w:rPr>
              <w:t>MC</w:t>
            </w:r>
          </w:p>
        </w:tc>
        <w:tc>
          <w:tcPr>
            <w:tcW w:w="1279" w:type="dxa"/>
            <w:tcBorders>
              <w:top w:val="single" w:sz="4" w:space="0" w:color="44546A" w:themeColor="text2"/>
              <w:left w:val="single" w:sz="2" w:space="0" w:color="44546A" w:themeColor="text2"/>
              <w:bottom w:val="single" w:sz="2" w:space="0" w:color="44546A" w:themeColor="text2"/>
              <w:right w:val="single" w:sz="2" w:space="0" w:color="44546A" w:themeColor="text2"/>
            </w:tcBorders>
            <w:hideMark/>
          </w:tcPr>
          <w:p w14:paraId="341F1B71" w14:textId="50FD04D2" w:rsidR="00491B5B" w:rsidRPr="004B7710" w:rsidRDefault="00491B5B" w:rsidP="00791619">
            <w:pPr>
              <w:jc w:val="both"/>
              <w:rPr>
                <w:color w:val="000000" w:themeColor="text1"/>
                <w:sz w:val="20"/>
                <w:szCs w:val="20"/>
              </w:rPr>
            </w:pPr>
            <w:r w:rsidRPr="004B7710">
              <w:rPr>
                <w:color w:val="000000" w:themeColor="text1"/>
                <w:sz w:val="20"/>
                <w:szCs w:val="20"/>
              </w:rPr>
              <w:t>March</w:t>
            </w:r>
          </w:p>
        </w:tc>
      </w:tr>
      <w:tr w:rsidR="00491B5B" w:rsidRPr="004B7710" w14:paraId="2952235C" w14:textId="77777777" w:rsidTr="00371C0A">
        <w:trPr>
          <w:cantSplit/>
          <w:tblHeader/>
        </w:trPr>
        <w:tc>
          <w:tcPr>
            <w:tcW w:w="6569" w:type="dxa"/>
            <w:tcBorders>
              <w:top w:val="single" w:sz="4" w:space="0" w:color="44546A" w:themeColor="text2"/>
              <w:left w:val="single" w:sz="2" w:space="0" w:color="44546A" w:themeColor="text2"/>
              <w:bottom w:val="single" w:sz="2" w:space="0" w:color="44546A" w:themeColor="text2"/>
              <w:right w:val="single" w:sz="2" w:space="0" w:color="44546A" w:themeColor="text2"/>
            </w:tcBorders>
            <w:hideMark/>
          </w:tcPr>
          <w:p w14:paraId="67B00725" w14:textId="5A1F23B3" w:rsidR="00491B5B" w:rsidRPr="004B7710" w:rsidRDefault="004B7710" w:rsidP="00791619">
            <w:pPr>
              <w:pStyle w:val="ListParagraph"/>
              <w:numPr>
                <w:ilvl w:val="0"/>
                <w:numId w:val="32"/>
              </w:numPr>
              <w:suppressAutoHyphens/>
              <w:jc w:val="both"/>
              <w:rPr>
                <w:color w:val="000000" w:themeColor="text1"/>
                <w:sz w:val="20"/>
                <w:szCs w:val="20"/>
              </w:rPr>
            </w:pPr>
            <w:r w:rsidRPr="004B7710">
              <w:rPr>
                <w:color w:val="000000" w:themeColor="text1"/>
                <w:sz w:val="20"/>
                <w:szCs w:val="20"/>
              </w:rPr>
              <w:t xml:space="preserve">CPP Partner’s </w:t>
            </w:r>
            <w:r w:rsidR="00491B5B" w:rsidRPr="004B7710">
              <w:rPr>
                <w:color w:val="000000" w:themeColor="text1"/>
                <w:sz w:val="20"/>
                <w:szCs w:val="20"/>
              </w:rPr>
              <w:t>Inception Phase Core-activity Work-plans</w:t>
            </w:r>
          </w:p>
          <w:p w14:paraId="670F161E" w14:textId="77777777" w:rsidR="00491B5B" w:rsidRPr="004B7710" w:rsidRDefault="00491B5B" w:rsidP="00791619">
            <w:pPr>
              <w:pStyle w:val="ListParagraph"/>
              <w:numPr>
                <w:ilvl w:val="1"/>
                <w:numId w:val="32"/>
              </w:numPr>
              <w:suppressAutoHyphens/>
              <w:ind w:left="730"/>
              <w:jc w:val="both"/>
              <w:rPr>
                <w:color w:val="000000" w:themeColor="text1"/>
                <w:sz w:val="20"/>
                <w:szCs w:val="20"/>
              </w:rPr>
            </w:pPr>
            <w:r w:rsidRPr="004B7710">
              <w:rPr>
                <w:color w:val="000000" w:themeColor="text1"/>
                <w:sz w:val="20"/>
                <w:szCs w:val="20"/>
              </w:rPr>
              <w:t xml:space="preserve">Each partner to develop work-plans and budgets for priority, core activities to be implemented over the 6-month inception period July-December 2022 </w:t>
            </w:r>
          </w:p>
          <w:p w14:paraId="48D06A85" w14:textId="77777777" w:rsidR="00491B5B" w:rsidRPr="004B7710" w:rsidRDefault="00491B5B" w:rsidP="00791619">
            <w:pPr>
              <w:pStyle w:val="ListParagraph"/>
              <w:numPr>
                <w:ilvl w:val="1"/>
                <w:numId w:val="32"/>
              </w:numPr>
              <w:suppressAutoHyphens/>
              <w:ind w:left="730"/>
              <w:jc w:val="both"/>
              <w:rPr>
                <w:color w:val="000000" w:themeColor="text1"/>
                <w:sz w:val="20"/>
                <w:szCs w:val="20"/>
              </w:rPr>
            </w:pPr>
            <w:r w:rsidRPr="004B7710">
              <w:rPr>
                <w:color w:val="000000" w:themeColor="text1"/>
                <w:sz w:val="20"/>
                <w:szCs w:val="20"/>
              </w:rPr>
              <w:t>Priority activities are those which are essential to continue because</w:t>
            </w:r>
            <w:r w:rsidRPr="004B7710">
              <w:rPr>
                <w:color w:val="000000" w:themeColor="text1"/>
                <w:sz w:val="20"/>
                <w:szCs w:val="20"/>
              </w:rPr>
              <w:br/>
              <w:t xml:space="preserve">a) they will be core to the partners work in the next phase </w:t>
            </w:r>
            <w:r w:rsidRPr="004B7710">
              <w:rPr>
                <w:color w:val="000000" w:themeColor="text1"/>
                <w:sz w:val="20"/>
                <w:szCs w:val="20"/>
              </w:rPr>
              <w:br/>
              <w:t xml:space="preserve">b) disruption to the activity will undermine existing partnerships and beneficiary outcomes </w:t>
            </w:r>
          </w:p>
          <w:p w14:paraId="7E934030" w14:textId="77777777" w:rsidR="00491B5B" w:rsidRPr="004B7710" w:rsidRDefault="00491B5B" w:rsidP="00791619">
            <w:pPr>
              <w:pStyle w:val="ListParagraph"/>
              <w:numPr>
                <w:ilvl w:val="1"/>
                <w:numId w:val="32"/>
              </w:numPr>
              <w:suppressAutoHyphens/>
              <w:ind w:left="730"/>
              <w:jc w:val="both"/>
              <w:rPr>
                <w:color w:val="000000" w:themeColor="text1"/>
                <w:sz w:val="20"/>
                <w:szCs w:val="20"/>
              </w:rPr>
            </w:pPr>
            <w:r w:rsidRPr="004B7710">
              <w:rPr>
                <w:color w:val="000000" w:themeColor="text1"/>
                <w:sz w:val="20"/>
                <w:szCs w:val="20"/>
              </w:rPr>
              <w:t>CPPCO to provide template and guidelines for work plans</w:t>
            </w:r>
          </w:p>
          <w:p w14:paraId="72126367" w14:textId="77777777" w:rsidR="00491B5B" w:rsidRPr="004B7710" w:rsidRDefault="00491B5B" w:rsidP="00791619">
            <w:pPr>
              <w:pStyle w:val="ListParagraph"/>
              <w:numPr>
                <w:ilvl w:val="1"/>
                <w:numId w:val="32"/>
              </w:numPr>
              <w:suppressAutoHyphens/>
              <w:ind w:left="730"/>
              <w:jc w:val="both"/>
              <w:rPr>
                <w:color w:val="000000" w:themeColor="text1"/>
                <w:sz w:val="20"/>
                <w:szCs w:val="20"/>
              </w:rPr>
            </w:pPr>
            <w:r w:rsidRPr="004B7710">
              <w:rPr>
                <w:color w:val="000000" w:themeColor="text1"/>
                <w:sz w:val="20"/>
                <w:szCs w:val="20"/>
              </w:rPr>
              <w:t>Negotiation of new grant agreements for inception period</w:t>
            </w:r>
          </w:p>
        </w:tc>
        <w:tc>
          <w:tcPr>
            <w:tcW w:w="1195" w:type="dxa"/>
            <w:tcBorders>
              <w:top w:val="single" w:sz="4" w:space="0" w:color="44546A" w:themeColor="text2"/>
              <w:left w:val="single" w:sz="2" w:space="0" w:color="44546A" w:themeColor="text2"/>
              <w:bottom w:val="single" w:sz="2" w:space="0" w:color="44546A" w:themeColor="text2"/>
              <w:right w:val="single" w:sz="2" w:space="0" w:color="44546A" w:themeColor="text2"/>
            </w:tcBorders>
          </w:tcPr>
          <w:p w14:paraId="7B98DDDF" w14:textId="45BC30B7" w:rsidR="00491B5B" w:rsidRPr="004B7710" w:rsidRDefault="00371C0A" w:rsidP="00791619">
            <w:pPr>
              <w:jc w:val="both"/>
              <w:rPr>
                <w:color w:val="000000" w:themeColor="text1"/>
                <w:sz w:val="20"/>
                <w:szCs w:val="20"/>
              </w:rPr>
            </w:pPr>
            <w:r w:rsidRPr="004B7710">
              <w:rPr>
                <w:color w:val="000000" w:themeColor="text1"/>
                <w:sz w:val="20"/>
                <w:szCs w:val="20"/>
              </w:rPr>
              <w:t>CPP Partners</w:t>
            </w:r>
          </w:p>
        </w:tc>
        <w:tc>
          <w:tcPr>
            <w:tcW w:w="1279" w:type="dxa"/>
            <w:tcBorders>
              <w:top w:val="single" w:sz="4" w:space="0" w:color="44546A" w:themeColor="text2"/>
              <w:left w:val="single" w:sz="2" w:space="0" w:color="44546A" w:themeColor="text2"/>
              <w:bottom w:val="single" w:sz="2" w:space="0" w:color="44546A" w:themeColor="text2"/>
              <w:right w:val="single" w:sz="2" w:space="0" w:color="44546A" w:themeColor="text2"/>
            </w:tcBorders>
            <w:hideMark/>
          </w:tcPr>
          <w:p w14:paraId="467C4AE6" w14:textId="6C1EFB3A" w:rsidR="00491B5B" w:rsidRPr="004B7710" w:rsidRDefault="00491B5B" w:rsidP="00791619">
            <w:pPr>
              <w:jc w:val="both"/>
              <w:rPr>
                <w:color w:val="000000" w:themeColor="text1"/>
                <w:sz w:val="20"/>
                <w:szCs w:val="20"/>
              </w:rPr>
            </w:pPr>
            <w:r w:rsidRPr="004B7710">
              <w:rPr>
                <w:color w:val="000000" w:themeColor="text1"/>
                <w:sz w:val="20"/>
                <w:szCs w:val="20"/>
              </w:rPr>
              <w:t>April-June</w:t>
            </w:r>
          </w:p>
        </w:tc>
      </w:tr>
      <w:tr w:rsidR="00491B5B" w:rsidRPr="004B7710" w14:paraId="3BF00226" w14:textId="77777777" w:rsidTr="00371C0A">
        <w:trPr>
          <w:cantSplit/>
          <w:tblHeader/>
        </w:trPr>
        <w:tc>
          <w:tcPr>
            <w:tcW w:w="6569" w:type="dxa"/>
            <w:tcBorders>
              <w:top w:val="single" w:sz="2" w:space="0" w:color="44546A" w:themeColor="text2"/>
              <w:left w:val="single" w:sz="2" w:space="0" w:color="44546A" w:themeColor="text2"/>
              <w:bottom w:val="single" w:sz="2" w:space="0" w:color="44546A" w:themeColor="text2"/>
              <w:right w:val="single" w:sz="2" w:space="0" w:color="44546A" w:themeColor="text2"/>
            </w:tcBorders>
            <w:hideMark/>
          </w:tcPr>
          <w:p w14:paraId="4F23570A" w14:textId="28D5CB47" w:rsidR="00491B5B" w:rsidRPr="004B7710" w:rsidRDefault="00491B5B" w:rsidP="00791619">
            <w:pPr>
              <w:pStyle w:val="ListParagraph"/>
              <w:numPr>
                <w:ilvl w:val="0"/>
                <w:numId w:val="32"/>
              </w:numPr>
              <w:suppressAutoHyphens/>
              <w:jc w:val="both"/>
              <w:rPr>
                <w:bCs/>
                <w:color w:val="000000" w:themeColor="text1"/>
                <w:sz w:val="20"/>
                <w:szCs w:val="20"/>
              </w:rPr>
            </w:pPr>
            <w:r w:rsidRPr="004B7710">
              <w:rPr>
                <w:bCs/>
                <w:color w:val="000000" w:themeColor="text1"/>
                <w:sz w:val="20"/>
                <w:szCs w:val="20"/>
              </w:rPr>
              <w:t>CPPCO develop Program Inception Plan</w:t>
            </w:r>
            <w:r w:rsidR="004B7710" w:rsidRPr="004B7710">
              <w:rPr>
                <w:bCs/>
                <w:color w:val="000000" w:themeColor="text1"/>
                <w:sz w:val="20"/>
                <w:szCs w:val="20"/>
              </w:rPr>
              <w:t xml:space="preserve">, covering: </w:t>
            </w:r>
          </w:p>
          <w:p w14:paraId="19CEF393" w14:textId="77777777" w:rsidR="00491B5B" w:rsidRPr="004B7710" w:rsidRDefault="00491B5B" w:rsidP="00791619">
            <w:pPr>
              <w:pStyle w:val="ListParagraph"/>
              <w:numPr>
                <w:ilvl w:val="1"/>
                <w:numId w:val="32"/>
              </w:numPr>
              <w:suppressAutoHyphens/>
              <w:ind w:left="730"/>
              <w:jc w:val="both"/>
              <w:rPr>
                <w:color w:val="000000" w:themeColor="text1"/>
                <w:sz w:val="20"/>
                <w:szCs w:val="20"/>
              </w:rPr>
            </w:pPr>
            <w:r w:rsidRPr="004B7710">
              <w:rPr>
                <w:color w:val="000000" w:themeColor="text1"/>
                <w:sz w:val="20"/>
                <w:szCs w:val="20"/>
              </w:rPr>
              <w:t xml:space="preserve">Supporting partners to develop 3-year Development Plans and MEL Frameworks </w:t>
            </w:r>
          </w:p>
          <w:p w14:paraId="3363192F" w14:textId="77777777" w:rsidR="00491B5B" w:rsidRPr="004B7710" w:rsidRDefault="00491B5B" w:rsidP="00791619">
            <w:pPr>
              <w:pStyle w:val="ListParagraph"/>
              <w:numPr>
                <w:ilvl w:val="1"/>
                <w:numId w:val="32"/>
              </w:numPr>
              <w:suppressAutoHyphens/>
              <w:ind w:left="730"/>
              <w:jc w:val="both"/>
              <w:rPr>
                <w:color w:val="000000" w:themeColor="text1"/>
                <w:sz w:val="20"/>
                <w:szCs w:val="20"/>
              </w:rPr>
            </w:pPr>
            <w:r w:rsidRPr="004B7710">
              <w:rPr>
                <w:color w:val="000000" w:themeColor="text1"/>
                <w:sz w:val="20"/>
                <w:szCs w:val="20"/>
              </w:rPr>
              <w:t xml:space="preserve">Developing the CPP MEL Plan and Framework (in alignment with BCEP) (including reviewing the CPP Program Logic) </w:t>
            </w:r>
          </w:p>
          <w:p w14:paraId="7BC9DE30" w14:textId="77777777" w:rsidR="00491B5B" w:rsidRPr="004B7710" w:rsidRDefault="00491B5B" w:rsidP="00791619">
            <w:pPr>
              <w:pStyle w:val="ListParagraph"/>
              <w:numPr>
                <w:ilvl w:val="1"/>
                <w:numId w:val="32"/>
              </w:numPr>
              <w:suppressAutoHyphens/>
              <w:ind w:left="730"/>
              <w:jc w:val="both"/>
              <w:rPr>
                <w:color w:val="000000" w:themeColor="text1"/>
                <w:sz w:val="20"/>
                <w:szCs w:val="20"/>
              </w:rPr>
            </w:pPr>
            <w:r w:rsidRPr="004B7710">
              <w:rPr>
                <w:color w:val="000000" w:themeColor="text1"/>
                <w:sz w:val="20"/>
                <w:szCs w:val="20"/>
              </w:rPr>
              <w:t>Developing the CPP Operations Manual, with clear demarcation of roles between BCEP, PMT &amp; CPPCO on communications, risk management, financial management and DFAT compliance issues</w:t>
            </w:r>
          </w:p>
          <w:p w14:paraId="0A5DC789" w14:textId="77777777" w:rsidR="00491B5B" w:rsidRPr="004B7710" w:rsidRDefault="00491B5B" w:rsidP="00791619">
            <w:pPr>
              <w:pStyle w:val="ListParagraph"/>
              <w:numPr>
                <w:ilvl w:val="1"/>
                <w:numId w:val="32"/>
              </w:numPr>
              <w:suppressAutoHyphens/>
              <w:ind w:left="730"/>
              <w:jc w:val="both"/>
              <w:rPr>
                <w:color w:val="000000" w:themeColor="text1"/>
                <w:sz w:val="20"/>
                <w:szCs w:val="20"/>
              </w:rPr>
            </w:pPr>
            <w:r w:rsidRPr="004B7710">
              <w:rPr>
                <w:color w:val="000000" w:themeColor="text1"/>
                <w:sz w:val="20"/>
                <w:szCs w:val="20"/>
              </w:rPr>
              <w:t>Negotiating three-year grant agreements with partner following approval of their program plans.</w:t>
            </w:r>
          </w:p>
        </w:tc>
        <w:tc>
          <w:tcPr>
            <w:tcW w:w="1195" w:type="dxa"/>
            <w:tcBorders>
              <w:top w:val="single" w:sz="2" w:space="0" w:color="44546A" w:themeColor="text2"/>
              <w:left w:val="single" w:sz="2" w:space="0" w:color="44546A" w:themeColor="text2"/>
              <w:bottom w:val="single" w:sz="2" w:space="0" w:color="44546A" w:themeColor="text2"/>
              <w:right w:val="single" w:sz="2" w:space="0" w:color="44546A" w:themeColor="text2"/>
            </w:tcBorders>
          </w:tcPr>
          <w:p w14:paraId="27DFF548" w14:textId="264832CD" w:rsidR="00491B5B" w:rsidRPr="004B7710" w:rsidRDefault="00371C0A" w:rsidP="00791619">
            <w:pPr>
              <w:jc w:val="both"/>
              <w:rPr>
                <w:color w:val="000000" w:themeColor="text1"/>
                <w:sz w:val="20"/>
                <w:szCs w:val="20"/>
              </w:rPr>
            </w:pPr>
            <w:r w:rsidRPr="004B7710">
              <w:rPr>
                <w:color w:val="000000" w:themeColor="text1"/>
                <w:sz w:val="20"/>
                <w:szCs w:val="20"/>
              </w:rPr>
              <w:t>CPPCO</w:t>
            </w:r>
          </w:p>
        </w:tc>
        <w:tc>
          <w:tcPr>
            <w:tcW w:w="1279" w:type="dxa"/>
            <w:tcBorders>
              <w:top w:val="single" w:sz="2" w:space="0" w:color="44546A" w:themeColor="text2"/>
              <w:left w:val="single" w:sz="2" w:space="0" w:color="44546A" w:themeColor="text2"/>
              <w:bottom w:val="single" w:sz="2" w:space="0" w:color="44546A" w:themeColor="text2"/>
              <w:right w:val="single" w:sz="2" w:space="0" w:color="44546A" w:themeColor="text2"/>
            </w:tcBorders>
            <w:hideMark/>
          </w:tcPr>
          <w:p w14:paraId="4ABC7C0E" w14:textId="3284B351" w:rsidR="00491B5B" w:rsidRPr="004B7710" w:rsidRDefault="00491B5B" w:rsidP="00791619">
            <w:pPr>
              <w:jc w:val="both"/>
              <w:rPr>
                <w:color w:val="000000" w:themeColor="text1"/>
                <w:sz w:val="20"/>
                <w:szCs w:val="20"/>
              </w:rPr>
            </w:pPr>
            <w:r w:rsidRPr="004B7710">
              <w:rPr>
                <w:color w:val="000000" w:themeColor="text1"/>
                <w:sz w:val="20"/>
                <w:szCs w:val="20"/>
              </w:rPr>
              <w:t>July-Dec</w:t>
            </w:r>
          </w:p>
        </w:tc>
      </w:tr>
    </w:tbl>
    <w:p w14:paraId="5DBDC30B" w14:textId="0314E54C" w:rsidR="00A62F5F" w:rsidRDefault="00A62F5F" w:rsidP="00791619">
      <w:pPr>
        <w:pStyle w:val="Heading3"/>
        <w:jc w:val="both"/>
        <w:rPr>
          <w:rStyle w:val="Heading3Char"/>
          <w:b/>
          <w:bCs/>
        </w:rPr>
      </w:pPr>
      <w:r w:rsidRPr="0012389B">
        <w:rPr>
          <w:rStyle w:val="Heading3Char"/>
          <w:b/>
          <w:bCs/>
        </w:rPr>
        <w:t xml:space="preserve">Inception </w:t>
      </w:r>
      <w:bookmarkEnd w:id="91"/>
    </w:p>
    <w:p w14:paraId="53AD4F81" w14:textId="378C2346" w:rsidR="00491B5B" w:rsidRPr="00491B5B" w:rsidRDefault="0052451B" w:rsidP="00791619">
      <w:pPr>
        <w:jc w:val="both"/>
      </w:pPr>
      <w:r>
        <w:t>The key Inception period activities and deliverables at the start of phase 4.1 are:</w:t>
      </w:r>
    </w:p>
    <w:tbl>
      <w:tblPr>
        <w:tblStyle w:val="TableGrid"/>
        <w:tblW w:w="0" w:type="auto"/>
        <w:tblInd w:w="-23" w:type="dxa"/>
        <w:tblBorders>
          <w:top w:val="single" w:sz="2" w:space="0" w:color="44546A" w:themeColor="text2"/>
          <w:left w:val="single" w:sz="2" w:space="0" w:color="44546A" w:themeColor="text2"/>
          <w:bottom w:val="single" w:sz="2" w:space="0" w:color="44546A" w:themeColor="text2"/>
          <w:right w:val="single" w:sz="2" w:space="0" w:color="44546A" w:themeColor="text2"/>
          <w:insideH w:val="single" w:sz="2" w:space="0" w:color="44546A" w:themeColor="text2"/>
          <w:insideV w:val="single" w:sz="2" w:space="0" w:color="44546A" w:themeColor="text2"/>
        </w:tblBorders>
        <w:tblLook w:val="04A0" w:firstRow="1" w:lastRow="0" w:firstColumn="1" w:lastColumn="0" w:noHBand="0" w:noVBand="1"/>
      </w:tblPr>
      <w:tblGrid>
        <w:gridCol w:w="6533"/>
        <w:gridCol w:w="1195"/>
        <w:gridCol w:w="1315"/>
      </w:tblGrid>
      <w:tr w:rsidR="00371C0A" w:rsidRPr="0012389B" w14:paraId="46685F9A" w14:textId="77777777" w:rsidTr="00371C0A">
        <w:tc>
          <w:tcPr>
            <w:tcW w:w="6533" w:type="dxa"/>
            <w:shd w:val="clear" w:color="auto" w:fill="B4C6E7" w:themeFill="accent1" w:themeFillTint="66"/>
          </w:tcPr>
          <w:p w14:paraId="3B8A3F9F" w14:textId="77777777" w:rsidR="00371C0A" w:rsidRPr="0012389B" w:rsidRDefault="00371C0A" w:rsidP="00791619">
            <w:pPr>
              <w:jc w:val="both"/>
              <w:rPr>
                <w:b/>
                <w:color w:val="000000" w:themeColor="text1"/>
              </w:rPr>
            </w:pPr>
            <w:r w:rsidRPr="0012389B">
              <w:rPr>
                <w:b/>
                <w:color w:val="000000" w:themeColor="text1"/>
              </w:rPr>
              <w:t>Inception period activities</w:t>
            </w:r>
          </w:p>
        </w:tc>
        <w:tc>
          <w:tcPr>
            <w:tcW w:w="1195" w:type="dxa"/>
            <w:shd w:val="clear" w:color="auto" w:fill="B4C6E7" w:themeFill="accent1" w:themeFillTint="66"/>
          </w:tcPr>
          <w:p w14:paraId="41B77853" w14:textId="1F02CD1E" w:rsidR="00371C0A" w:rsidRPr="0012389B" w:rsidRDefault="00371C0A" w:rsidP="00791619">
            <w:pPr>
              <w:jc w:val="both"/>
              <w:rPr>
                <w:b/>
                <w:color w:val="000000" w:themeColor="text1"/>
              </w:rPr>
            </w:pPr>
            <w:r>
              <w:rPr>
                <w:b/>
                <w:color w:val="000000" w:themeColor="text1"/>
              </w:rPr>
              <w:t>Resp.</w:t>
            </w:r>
          </w:p>
        </w:tc>
        <w:tc>
          <w:tcPr>
            <w:tcW w:w="1315" w:type="dxa"/>
            <w:shd w:val="clear" w:color="auto" w:fill="B4C6E7" w:themeFill="accent1" w:themeFillTint="66"/>
          </w:tcPr>
          <w:p w14:paraId="53F057E2" w14:textId="036342C1" w:rsidR="00371C0A" w:rsidRPr="0012389B" w:rsidRDefault="00371C0A" w:rsidP="00791619">
            <w:pPr>
              <w:jc w:val="both"/>
              <w:rPr>
                <w:b/>
                <w:color w:val="000000" w:themeColor="text1"/>
              </w:rPr>
            </w:pPr>
            <w:r>
              <w:rPr>
                <w:b/>
                <w:color w:val="000000" w:themeColor="text1"/>
              </w:rPr>
              <w:t>Month</w:t>
            </w:r>
          </w:p>
        </w:tc>
      </w:tr>
      <w:tr w:rsidR="00371C0A" w:rsidRPr="0012389B" w14:paraId="334ECBE3" w14:textId="77777777" w:rsidTr="00371C0A">
        <w:tc>
          <w:tcPr>
            <w:tcW w:w="6533" w:type="dxa"/>
          </w:tcPr>
          <w:p w14:paraId="6C463287" w14:textId="695C8EEB" w:rsidR="00371C0A" w:rsidRDefault="00371C0A" w:rsidP="00791619">
            <w:pPr>
              <w:pStyle w:val="ListParagraph"/>
              <w:numPr>
                <w:ilvl w:val="0"/>
                <w:numId w:val="33"/>
              </w:numPr>
              <w:suppressAutoHyphens/>
              <w:jc w:val="both"/>
              <w:rPr>
                <w:bCs/>
                <w:color w:val="000000" w:themeColor="text1"/>
              </w:rPr>
            </w:pPr>
            <w:r>
              <w:rPr>
                <w:bCs/>
                <w:color w:val="000000" w:themeColor="text1"/>
              </w:rPr>
              <w:t xml:space="preserve">CPP </w:t>
            </w:r>
            <w:r w:rsidRPr="0012389B">
              <w:rPr>
                <w:bCs/>
                <w:color w:val="000000" w:themeColor="text1"/>
              </w:rPr>
              <w:t>Partner</w:t>
            </w:r>
            <w:r>
              <w:rPr>
                <w:bCs/>
                <w:color w:val="000000" w:themeColor="text1"/>
              </w:rPr>
              <w:t>:</w:t>
            </w:r>
          </w:p>
          <w:p w14:paraId="6F251A32" w14:textId="1A84C869" w:rsidR="00371C0A" w:rsidRPr="00491B5B" w:rsidRDefault="00371C0A" w:rsidP="00791619">
            <w:pPr>
              <w:pStyle w:val="ListParagraph"/>
              <w:numPr>
                <w:ilvl w:val="1"/>
                <w:numId w:val="33"/>
              </w:numPr>
              <w:suppressAutoHyphens/>
              <w:ind w:left="730"/>
              <w:jc w:val="both"/>
              <w:rPr>
                <w:bCs/>
                <w:color w:val="000000" w:themeColor="text1"/>
              </w:rPr>
            </w:pPr>
            <w:r>
              <w:rPr>
                <w:color w:val="000000" w:themeColor="text1"/>
              </w:rPr>
              <w:t>3</w:t>
            </w:r>
            <w:r w:rsidRPr="00491B5B">
              <w:rPr>
                <w:color w:val="000000" w:themeColor="text1"/>
              </w:rPr>
              <w:t xml:space="preserve">-year plans and </w:t>
            </w:r>
            <w:r>
              <w:rPr>
                <w:color w:val="000000" w:themeColor="text1"/>
              </w:rPr>
              <w:t>budgets</w:t>
            </w:r>
          </w:p>
          <w:p w14:paraId="5AE42F8E" w14:textId="331B1FC3" w:rsidR="00371C0A" w:rsidRPr="00491B5B" w:rsidRDefault="00371C0A" w:rsidP="00791619">
            <w:pPr>
              <w:pStyle w:val="ListParagraph"/>
              <w:numPr>
                <w:ilvl w:val="1"/>
                <w:numId w:val="33"/>
              </w:numPr>
              <w:suppressAutoHyphens/>
              <w:ind w:left="730"/>
              <w:jc w:val="both"/>
              <w:rPr>
                <w:bCs/>
                <w:color w:val="000000" w:themeColor="text1"/>
              </w:rPr>
            </w:pPr>
            <w:r w:rsidRPr="00491B5B">
              <w:rPr>
                <w:color w:val="000000" w:themeColor="text1"/>
              </w:rPr>
              <w:t xml:space="preserve">MEL frameworks </w:t>
            </w:r>
          </w:p>
          <w:p w14:paraId="63AD29CF" w14:textId="1EE3C9FB" w:rsidR="00371C0A" w:rsidRPr="00491B5B" w:rsidRDefault="00371C0A" w:rsidP="00791619">
            <w:pPr>
              <w:pStyle w:val="ListParagraph"/>
              <w:numPr>
                <w:ilvl w:val="1"/>
                <w:numId w:val="33"/>
              </w:numPr>
              <w:suppressAutoHyphens/>
              <w:ind w:left="730"/>
              <w:jc w:val="both"/>
              <w:rPr>
                <w:bCs/>
                <w:color w:val="000000" w:themeColor="text1"/>
              </w:rPr>
            </w:pPr>
            <w:r>
              <w:rPr>
                <w:color w:val="000000" w:themeColor="text1"/>
              </w:rPr>
              <w:t xml:space="preserve">First year detailed work plan and budget </w:t>
            </w:r>
            <w:r w:rsidRPr="00491B5B">
              <w:rPr>
                <w:color w:val="000000" w:themeColor="text1"/>
              </w:rPr>
              <w:br/>
              <w:t>(See 4.</w:t>
            </w:r>
            <w:r>
              <w:rPr>
                <w:color w:val="000000" w:themeColor="text1"/>
              </w:rPr>
              <w:t>3</w:t>
            </w:r>
            <w:r w:rsidRPr="00491B5B">
              <w:rPr>
                <w:color w:val="000000" w:themeColor="text1"/>
              </w:rPr>
              <w:t>)</w:t>
            </w:r>
          </w:p>
        </w:tc>
        <w:tc>
          <w:tcPr>
            <w:tcW w:w="1195" w:type="dxa"/>
          </w:tcPr>
          <w:p w14:paraId="4FA9BEAE" w14:textId="58002817" w:rsidR="00371C0A" w:rsidRPr="0012389B" w:rsidRDefault="00371C0A" w:rsidP="00791619">
            <w:pPr>
              <w:jc w:val="both"/>
              <w:rPr>
                <w:color w:val="000000" w:themeColor="text1"/>
              </w:rPr>
            </w:pPr>
            <w:r>
              <w:rPr>
                <w:color w:val="000000" w:themeColor="text1"/>
              </w:rPr>
              <w:t>CPP Partners</w:t>
            </w:r>
          </w:p>
        </w:tc>
        <w:tc>
          <w:tcPr>
            <w:tcW w:w="1315" w:type="dxa"/>
          </w:tcPr>
          <w:p w14:paraId="0529E54F" w14:textId="6AB57DD8" w:rsidR="00371C0A" w:rsidRPr="0012389B" w:rsidRDefault="00371C0A" w:rsidP="00791619">
            <w:pPr>
              <w:jc w:val="both"/>
              <w:rPr>
                <w:color w:val="000000" w:themeColor="text1"/>
              </w:rPr>
            </w:pPr>
            <w:r w:rsidRPr="0012389B">
              <w:rPr>
                <w:color w:val="000000" w:themeColor="text1"/>
              </w:rPr>
              <w:t>July-</w:t>
            </w:r>
            <w:r>
              <w:rPr>
                <w:color w:val="000000" w:themeColor="text1"/>
              </w:rPr>
              <w:t>December</w:t>
            </w:r>
          </w:p>
        </w:tc>
      </w:tr>
      <w:tr w:rsidR="00371C0A" w:rsidRPr="0012389B" w14:paraId="655E91CD" w14:textId="77777777" w:rsidTr="00371C0A">
        <w:tc>
          <w:tcPr>
            <w:tcW w:w="6533" w:type="dxa"/>
          </w:tcPr>
          <w:p w14:paraId="1A82E8B3" w14:textId="76BEF0D5" w:rsidR="00371C0A" w:rsidRPr="00371C0A" w:rsidRDefault="00371C0A" w:rsidP="00791619">
            <w:pPr>
              <w:pStyle w:val="ListParagraph"/>
              <w:numPr>
                <w:ilvl w:val="0"/>
                <w:numId w:val="33"/>
              </w:numPr>
              <w:suppressAutoHyphens/>
              <w:jc w:val="both"/>
              <w:rPr>
                <w:bCs/>
                <w:color w:val="000000" w:themeColor="text1"/>
              </w:rPr>
            </w:pPr>
            <w:r w:rsidRPr="0012389B">
              <w:rPr>
                <w:bCs/>
                <w:color w:val="000000" w:themeColor="text1"/>
              </w:rPr>
              <w:t xml:space="preserve">CPP Operations Manual </w:t>
            </w:r>
          </w:p>
        </w:tc>
        <w:tc>
          <w:tcPr>
            <w:tcW w:w="1195" w:type="dxa"/>
          </w:tcPr>
          <w:p w14:paraId="5EDEAC0A" w14:textId="1E673F2B" w:rsidR="00371C0A" w:rsidRPr="0012389B" w:rsidRDefault="00371C0A" w:rsidP="00791619">
            <w:pPr>
              <w:jc w:val="both"/>
              <w:rPr>
                <w:color w:val="000000" w:themeColor="text1"/>
              </w:rPr>
            </w:pPr>
            <w:r>
              <w:rPr>
                <w:color w:val="000000" w:themeColor="text1"/>
              </w:rPr>
              <w:t>CPPCO</w:t>
            </w:r>
          </w:p>
        </w:tc>
        <w:tc>
          <w:tcPr>
            <w:tcW w:w="1315" w:type="dxa"/>
          </w:tcPr>
          <w:p w14:paraId="2B25D4B9" w14:textId="3E04F2AD" w:rsidR="00371C0A" w:rsidRPr="0012389B" w:rsidRDefault="00371C0A" w:rsidP="00791619">
            <w:pPr>
              <w:jc w:val="both"/>
              <w:rPr>
                <w:color w:val="000000" w:themeColor="text1"/>
              </w:rPr>
            </w:pPr>
            <w:r w:rsidRPr="0012389B">
              <w:rPr>
                <w:color w:val="000000" w:themeColor="text1"/>
              </w:rPr>
              <w:t>July-Nov</w:t>
            </w:r>
          </w:p>
        </w:tc>
      </w:tr>
      <w:tr w:rsidR="00371C0A" w:rsidRPr="00371C0A" w14:paraId="737FB720" w14:textId="77777777" w:rsidTr="00371C0A">
        <w:tc>
          <w:tcPr>
            <w:tcW w:w="6533" w:type="dxa"/>
          </w:tcPr>
          <w:p w14:paraId="0FF4F941" w14:textId="65A8196E" w:rsidR="00371C0A" w:rsidRPr="00371C0A" w:rsidRDefault="00DA6F8E" w:rsidP="00791619">
            <w:pPr>
              <w:pStyle w:val="ListParagraph"/>
              <w:numPr>
                <w:ilvl w:val="0"/>
                <w:numId w:val="33"/>
              </w:numPr>
              <w:suppressAutoHyphens/>
              <w:jc w:val="both"/>
              <w:rPr>
                <w:bCs/>
                <w:color w:val="000000" w:themeColor="text1"/>
              </w:rPr>
            </w:pPr>
            <w:r>
              <w:rPr>
                <w:bCs/>
                <w:color w:val="000000" w:themeColor="text1"/>
              </w:rPr>
              <w:t>CPP</w:t>
            </w:r>
            <w:r w:rsidR="00371C0A" w:rsidRPr="00371C0A">
              <w:rPr>
                <w:bCs/>
                <w:color w:val="000000" w:themeColor="text1"/>
              </w:rPr>
              <w:t xml:space="preserve"> Implementation Plan</w:t>
            </w:r>
          </w:p>
        </w:tc>
        <w:tc>
          <w:tcPr>
            <w:tcW w:w="1195" w:type="dxa"/>
          </w:tcPr>
          <w:p w14:paraId="496191D7" w14:textId="0C8F2FDE" w:rsidR="00371C0A" w:rsidRPr="00371C0A" w:rsidRDefault="00371C0A" w:rsidP="00791619">
            <w:pPr>
              <w:jc w:val="both"/>
              <w:rPr>
                <w:bCs/>
                <w:color w:val="000000" w:themeColor="text1"/>
              </w:rPr>
            </w:pPr>
            <w:r>
              <w:rPr>
                <w:bCs/>
                <w:color w:val="000000" w:themeColor="text1"/>
              </w:rPr>
              <w:t>CPPCO</w:t>
            </w:r>
          </w:p>
        </w:tc>
        <w:tc>
          <w:tcPr>
            <w:tcW w:w="1315" w:type="dxa"/>
          </w:tcPr>
          <w:p w14:paraId="440AF5AD" w14:textId="1F7AE9A1" w:rsidR="00371C0A" w:rsidRPr="00371C0A" w:rsidRDefault="00371C0A" w:rsidP="00791619">
            <w:pPr>
              <w:jc w:val="both"/>
              <w:rPr>
                <w:bCs/>
                <w:color w:val="000000" w:themeColor="text1"/>
              </w:rPr>
            </w:pPr>
            <w:r w:rsidRPr="00371C0A">
              <w:rPr>
                <w:bCs/>
                <w:color w:val="000000" w:themeColor="text1"/>
              </w:rPr>
              <w:t>July-Nov</w:t>
            </w:r>
          </w:p>
        </w:tc>
      </w:tr>
      <w:tr w:rsidR="004B7710" w:rsidRPr="00371C0A" w14:paraId="250195D7" w14:textId="77777777" w:rsidTr="00371C0A">
        <w:tc>
          <w:tcPr>
            <w:tcW w:w="6533" w:type="dxa"/>
          </w:tcPr>
          <w:p w14:paraId="3E0AB792" w14:textId="48DE27A1" w:rsidR="004B7710" w:rsidRDefault="004B7710" w:rsidP="00791619">
            <w:pPr>
              <w:pStyle w:val="ListParagraph"/>
              <w:numPr>
                <w:ilvl w:val="0"/>
                <w:numId w:val="33"/>
              </w:numPr>
              <w:suppressAutoHyphens/>
              <w:jc w:val="both"/>
              <w:rPr>
                <w:bCs/>
                <w:color w:val="000000" w:themeColor="text1"/>
              </w:rPr>
            </w:pPr>
            <w:r>
              <w:rPr>
                <w:bCs/>
                <w:color w:val="000000" w:themeColor="text1"/>
              </w:rPr>
              <w:t>Internal</w:t>
            </w:r>
            <w:r w:rsidRPr="0012389B">
              <w:rPr>
                <w:bCs/>
                <w:color w:val="000000" w:themeColor="text1"/>
              </w:rPr>
              <w:t xml:space="preserve"> </w:t>
            </w:r>
            <w:r>
              <w:rPr>
                <w:bCs/>
                <w:color w:val="000000" w:themeColor="text1"/>
              </w:rPr>
              <w:t xml:space="preserve">CPP </w:t>
            </w:r>
            <w:r w:rsidRPr="0012389B">
              <w:rPr>
                <w:bCs/>
                <w:color w:val="000000" w:themeColor="text1"/>
              </w:rPr>
              <w:t xml:space="preserve">Communications Plan </w:t>
            </w:r>
            <w:r>
              <w:rPr>
                <w:bCs/>
                <w:color w:val="000000" w:themeColor="text1"/>
              </w:rPr>
              <w:t>(in alignment with BCEP Communications Plan)</w:t>
            </w:r>
          </w:p>
        </w:tc>
        <w:tc>
          <w:tcPr>
            <w:tcW w:w="1195" w:type="dxa"/>
          </w:tcPr>
          <w:p w14:paraId="3C312698" w14:textId="0D27A6DF" w:rsidR="004B7710" w:rsidRDefault="004B7710" w:rsidP="00791619">
            <w:pPr>
              <w:jc w:val="both"/>
              <w:rPr>
                <w:bCs/>
                <w:color w:val="000000" w:themeColor="text1"/>
              </w:rPr>
            </w:pPr>
            <w:r>
              <w:rPr>
                <w:color w:val="000000" w:themeColor="text1"/>
              </w:rPr>
              <w:t>CPPCO</w:t>
            </w:r>
          </w:p>
        </w:tc>
        <w:tc>
          <w:tcPr>
            <w:tcW w:w="1315" w:type="dxa"/>
          </w:tcPr>
          <w:p w14:paraId="44A264CB" w14:textId="45397B2C" w:rsidR="004B7710" w:rsidRPr="00371C0A" w:rsidRDefault="004B7710" w:rsidP="00791619">
            <w:pPr>
              <w:jc w:val="both"/>
              <w:rPr>
                <w:bCs/>
                <w:color w:val="000000" w:themeColor="text1"/>
              </w:rPr>
            </w:pPr>
            <w:r w:rsidRPr="0012389B">
              <w:rPr>
                <w:color w:val="000000" w:themeColor="text1"/>
              </w:rPr>
              <w:t>Jul-Oct 2022</w:t>
            </w:r>
          </w:p>
        </w:tc>
      </w:tr>
      <w:tr w:rsidR="004B7710" w:rsidRPr="00371C0A" w14:paraId="48FD7136" w14:textId="77777777" w:rsidTr="00371C0A">
        <w:tc>
          <w:tcPr>
            <w:tcW w:w="6533" w:type="dxa"/>
          </w:tcPr>
          <w:p w14:paraId="79C2A231" w14:textId="05F1C272" w:rsidR="004B7710" w:rsidRDefault="004B7710" w:rsidP="00791619">
            <w:pPr>
              <w:pStyle w:val="ListParagraph"/>
              <w:numPr>
                <w:ilvl w:val="0"/>
                <w:numId w:val="33"/>
              </w:numPr>
              <w:suppressAutoHyphens/>
              <w:jc w:val="both"/>
              <w:rPr>
                <w:bCs/>
                <w:color w:val="000000" w:themeColor="text1"/>
              </w:rPr>
            </w:pPr>
            <w:r>
              <w:rPr>
                <w:bCs/>
                <w:color w:val="000000" w:themeColor="text1"/>
              </w:rPr>
              <w:t>CPP Consolidated annual work plans and budgets</w:t>
            </w:r>
          </w:p>
        </w:tc>
        <w:tc>
          <w:tcPr>
            <w:tcW w:w="1195" w:type="dxa"/>
          </w:tcPr>
          <w:p w14:paraId="3AD52950" w14:textId="766EE8A6" w:rsidR="004B7710" w:rsidRDefault="004B7710" w:rsidP="00791619">
            <w:pPr>
              <w:jc w:val="both"/>
              <w:rPr>
                <w:bCs/>
                <w:color w:val="000000" w:themeColor="text1"/>
              </w:rPr>
            </w:pPr>
            <w:r>
              <w:rPr>
                <w:bCs/>
                <w:color w:val="000000" w:themeColor="text1"/>
              </w:rPr>
              <w:t>CPPCO</w:t>
            </w:r>
          </w:p>
        </w:tc>
        <w:tc>
          <w:tcPr>
            <w:tcW w:w="1315" w:type="dxa"/>
          </w:tcPr>
          <w:p w14:paraId="1E9EB11D" w14:textId="0BB67642" w:rsidR="004B7710" w:rsidRPr="00371C0A" w:rsidRDefault="004B7710" w:rsidP="00791619">
            <w:pPr>
              <w:jc w:val="both"/>
              <w:rPr>
                <w:bCs/>
                <w:color w:val="000000" w:themeColor="text1"/>
              </w:rPr>
            </w:pPr>
            <w:r w:rsidRPr="00371C0A">
              <w:rPr>
                <w:bCs/>
                <w:color w:val="000000" w:themeColor="text1"/>
              </w:rPr>
              <w:t xml:space="preserve">As </w:t>
            </w:r>
            <w:proofErr w:type="spellStart"/>
            <w:r w:rsidRPr="00371C0A">
              <w:rPr>
                <w:bCs/>
                <w:color w:val="000000" w:themeColor="text1"/>
              </w:rPr>
              <w:t>approp</w:t>
            </w:r>
            <w:proofErr w:type="spellEnd"/>
            <w:r w:rsidRPr="00371C0A">
              <w:rPr>
                <w:bCs/>
                <w:color w:val="000000" w:themeColor="text1"/>
              </w:rPr>
              <w:t>.</w:t>
            </w:r>
          </w:p>
        </w:tc>
      </w:tr>
      <w:tr w:rsidR="004B7710" w:rsidRPr="00371C0A" w14:paraId="68DF4518" w14:textId="77777777" w:rsidTr="00371C0A">
        <w:tc>
          <w:tcPr>
            <w:tcW w:w="6533" w:type="dxa"/>
          </w:tcPr>
          <w:p w14:paraId="05A13932" w14:textId="47E02E38" w:rsidR="004B7710" w:rsidRPr="00371C0A" w:rsidRDefault="004B7710" w:rsidP="00791619">
            <w:pPr>
              <w:pStyle w:val="ListParagraph"/>
              <w:numPr>
                <w:ilvl w:val="0"/>
                <w:numId w:val="33"/>
              </w:numPr>
              <w:suppressAutoHyphens/>
              <w:jc w:val="both"/>
              <w:rPr>
                <w:bCs/>
                <w:color w:val="000000" w:themeColor="text1"/>
              </w:rPr>
            </w:pPr>
            <w:r w:rsidRPr="00371C0A">
              <w:rPr>
                <w:bCs/>
                <w:color w:val="000000" w:themeColor="text1"/>
              </w:rPr>
              <w:t xml:space="preserve">6 monthly Program Progress Reports </w:t>
            </w:r>
          </w:p>
        </w:tc>
        <w:tc>
          <w:tcPr>
            <w:tcW w:w="1195" w:type="dxa"/>
          </w:tcPr>
          <w:p w14:paraId="00453583" w14:textId="2CED1D40" w:rsidR="004B7710" w:rsidRPr="00371C0A" w:rsidRDefault="004B7710" w:rsidP="00791619">
            <w:pPr>
              <w:jc w:val="both"/>
              <w:rPr>
                <w:bCs/>
                <w:color w:val="000000" w:themeColor="text1"/>
              </w:rPr>
            </w:pPr>
            <w:r>
              <w:rPr>
                <w:bCs/>
                <w:color w:val="000000" w:themeColor="text1"/>
              </w:rPr>
              <w:t>CPPCO</w:t>
            </w:r>
          </w:p>
        </w:tc>
        <w:tc>
          <w:tcPr>
            <w:tcW w:w="1315" w:type="dxa"/>
          </w:tcPr>
          <w:p w14:paraId="151BDC4D" w14:textId="3F24C277" w:rsidR="004B7710" w:rsidRPr="00371C0A" w:rsidRDefault="004B7710" w:rsidP="00791619">
            <w:pPr>
              <w:jc w:val="both"/>
              <w:rPr>
                <w:bCs/>
                <w:color w:val="000000" w:themeColor="text1"/>
              </w:rPr>
            </w:pPr>
            <w:r w:rsidRPr="00371C0A">
              <w:rPr>
                <w:bCs/>
                <w:color w:val="000000" w:themeColor="text1"/>
              </w:rPr>
              <w:t xml:space="preserve">As </w:t>
            </w:r>
            <w:proofErr w:type="spellStart"/>
            <w:r w:rsidRPr="00371C0A">
              <w:rPr>
                <w:bCs/>
                <w:color w:val="000000" w:themeColor="text1"/>
              </w:rPr>
              <w:t>approp</w:t>
            </w:r>
            <w:proofErr w:type="spellEnd"/>
            <w:r w:rsidRPr="00371C0A">
              <w:rPr>
                <w:bCs/>
                <w:color w:val="000000" w:themeColor="text1"/>
              </w:rPr>
              <w:t>.</w:t>
            </w:r>
          </w:p>
        </w:tc>
      </w:tr>
    </w:tbl>
    <w:p w14:paraId="508599A1" w14:textId="77777777" w:rsidR="00A62F5F" w:rsidRPr="0012389B" w:rsidRDefault="00A62F5F" w:rsidP="00791619">
      <w:pPr>
        <w:pStyle w:val="Heading1"/>
        <w:numPr>
          <w:ilvl w:val="0"/>
          <w:numId w:val="1"/>
        </w:numPr>
        <w:spacing w:after="240"/>
        <w:ind w:hanging="720"/>
        <w:jc w:val="both"/>
        <w:rPr>
          <w:rFonts w:ascii="Arial" w:hAnsi="Arial" w:cs="Arial"/>
          <w:sz w:val="28"/>
          <w:szCs w:val="28"/>
        </w:rPr>
      </w:pPr>
      <w:bookmarkStart w:id="92" w:name="_Toc97217481"/>
      <w:bookmarkStart w:id="93" w:name="_Toc97217482"/>
      <w:bookmarkStart w:id="94" w:name="_Toc97217483"/>
      <w:bookmarkStart w:id="95" w:name="_Toc97187853"/>
      <w:bookmarkStart w:id="96" w:name="_Toc97305471"/>
      <w:bookmarkStart w:id="97" w:name="_Toc99041671"/>
      <w:bookmarkEnd w:id="92"/>
      <w:bookmarkEnd w:id="93"/>
      <w:bookmarkEnd w:id="94"/>
      <w:r w:rsidRPr="0012389B">
        <w:rPr>
          <w:rFonts w:ascii="Arial" w:hAnsi="Arial" w:cs="Arial"/>
          <w:sz w:val="28"/>
          <w:szCs w:val="28"/>
        </w:rPr>
        <w:t xml:space="preserve">Program monitoring, </w:t>
      </w:r>
      <w:proofErr w:type="gramStart"/>
      <w:r w:rsidRPr="0012389B">
        <w:rPr>
          <w:rFonts w:ascii="Arial" w:hAnsi="Arial" w:cs="Arial"/>
          <w:sz w:val="28"/>
          <w:szCs w:val="28"/>
        </w:rPr>
        <w:t>evaluation</w:t>
      </w:r>
      <w:proofErr w:type="gramEnd"/>
      <w:r w:rsidRPr="0012389B">
        <w:rPr>
          <w:rFonts w:ascii="Arial" w:hAnsi="Arial" w:cs="Arial"/>
          <w:sz w:val="28"/>
          <w:szCs w:val="28"/>
        </w:rPr>
        <w:t xml:space="preserve"> and learning</w:t>
      </w:r>
      <w:bookmarkEnd w:id="95"/>
      <w:bookmarkEnd w:id="96"/>
      <w:bookmarkEnd w:id="97"/>
      <w:r w:rsidRPr="0012389B">
        <w:rPr>
          <w:rFonts w:ascii="Arial" w:hAnsi="Arial" w:cs="Arial"/>
          <w:sz w:val="28"/>
          <w:szCs w:val="28"/>
        </w:rPr>
        <w:t xml:space="preserve"> </w:t>
      </w:r>
    </w:p>
    <w:p w14:paraId="306392ED" w14:textId="1154B518" w:rsidR="00A62F5F" w:rsidRPr="0012389B" w:rsidRDefault="00A62F5F" w:rsidP="00791619">
      <w:pPr>
        <w:jc w:val="both"/>
      </w:pPr>
      <w:bookmarkStart w:id="98" w:name="_Hlk93415849"/>
      <w:r w:rsidRPr="0012389B">
        <w:rPr>
          <w:rFonts w:ascii="Calibri" w:hAnsi="Calibri" w:cs="Calibri"/>
          <w:color w:val="000000"/>
        </w:rPr>
        <w:t xml:space="preserve">Monitoring, </w:t>
      </w:r>
      <w:proofErr w:type="gramStart"/>
      <w:r w:rsidRPr="0012389B">
        <w:rPr>
          <w:rFonts w:ascii="Calibri" w:hAnsi="Calibri" w:cs="Calibri"/>
          <w:color w:val="000000"/>
        </w:rPr>
        <w:t>evaluation</w:t>
      </w:r>
      <w:proofErr w:type="gramEnd"/>
      <w:r w:rsidRPr="0012389B">
        <w:rPr>
          <w:rFonts w:ascii="Calibri" w:hAnsi="Calibri" w:cs="Calibri"/>
          <w:color w:val="000000"/>
        </w:rPr>
        <w:t xml:space="preserve"> and learning (MEL) supports accountability and demonstrates the effectiveness of program delivery and results. In particular, the MEL Framework (MELF) will address the challenges of aggregating data across partners to provide results for the whole program, with a balance between quantitative and qualitative date. The MELF provides evidence that contributes to ongoing program improvement. A draft MELF is included in </w:t>
      </w:r>
      <w:r w:rsidRPr="00304609">
        <w:rPr>
          <w:rFonts w:ascii="Calibri" w:hAnsi="Calibri" w:cs="Calibri"/>
          <w:color w:val="000000"/>
        </w:rPr>
        <w:t xml:space="preserve">Annex </w:t>
      </w:r>
      <w:r w:rsidR="00304609" w:rsidRPr="00304609">
        <w:rPr>
          <w:rFonts w:ascii="Calibri" w:hAnsi="Calibri" w:cs="Calibri"/>
          <w:color w:val="000000"/>
        </w:rPr>
        <w:t>1</w:t>
      </w:r>
      <w:r w:rsidRPr="00304609">
        <w:rPr>
          <w:rFonts w:ascii="Calibri" w:hAnsi="Calibri" w:cs="Calibri"/>
          <w:color w:val="000000"/>
        </w:rPr>
        <w:t>.</w:t>
      </w:r>
    </w:p>
    <w:p w14:paraId="770854FA" w14:textId="77777777" w:rsidR="00A62F5F" w:rsidRPr="0012389B" w:rsidRDefault="00A62F5F" w:rsidP="00791619">
      <w:pPr>
        <w:jc w:val="both"/>
        <w:rPr>
          <w:rFonts w:cstheme="minorHAnsi"/>
        </w:rPr>
      </w:pPr>
      <w:r w:rsidRPr="0012389B">
        <w:rPr>
          <w:rFonts w:cstheme="minorHAnsi"/>
        </w:rPr>
        <w:t>As specified in earlier sections, the two end of program outcomes for CPP4 are:</w:t>
      </w:r>
    </w:p>
    <w:p w14:paraId="15B0F495" w14:textId="77777777" w:rsidR="00A62F5F" w:rsidRPr="0012389B" w:rsidRDefault="00A62F5F" w:rsidP="00791619">
      <w:pPr>
        <w:pStyle w:val="ListParagraph"/>
        <w:numPr>
          <w:ilvl w:val="0"/>
          <w:numId w:val="3"/>
        </w:numPr>
        <w:jc w:val="both"/>
      </w:pPr>
      <w:r w:rsidRPr="0012389B">
        <w:lastRenderedPageBreak/>
        <w:t xml:space="preserve">Government and Church communities constructively engage to deliver inclusive development outcomes </w:t>
      </w:r>
    </w:p>
    <w:p w14:paraId="40A3B20C" w14:textId="77777777" w:rsidR="00A62F5F" w:rsidRPr="0012389B" w:rsidRDefault="00A62F5F" w:rsidP="00791619">
      <w:pPr>
        <w:pStyle w:val="ListParagraph"/>
        <w:numPr>
          <w:ilvl w:val="0"/>
          <w:numId w:val="3"/>
        </w:numPr>
        <w:jc w:val="both"/>
      </w:pPr>
      <w:r w:rsidRPr="0012389B">
        <w:t>Government and Church decision-makers actively promote gender equality, disability</w:t>
      </w:r>
      <w:r w:rsidR="00B928A6" w:rsidRPr="0012389B">
        <w:t>,</w:t>
      </w:r>
      <w:r w:rsidRPr="0012389B">
        <w:t xml:space="preserve"> and social inclusion </w:t>
      </w:r>
    </w:p>
    <w:p w14:paraId="62F25FDB" w14:textId="5469E7F4" w:rsidR="00A62F5F" w:rsidRPr="0012389B" w:rsidRDefault="00A62F5F" w:rsidP="00791619">
      <w:pPr>
        <w:pStyle w:val="Heading2"/>
        <w:numPr>
          <w:ilvl w:val="1"/>
          <w:numId w:val="1"/>
        </w:numPr>
        <w:ind w:left="709" w:hanging="709"/>
        <w:jc w:val="both"/>
        <w:rPr>
          <w:b/>
          <w:bCs/>
          <w:sz w:val="24"/>
          <w:szCs w:val="24"/>
        </w:rPr>
      </w:pPr>
      <w:bookmarkStart w:id="99" w:name="_Toc97187854"/>
      <w:bookmarkStart w:id="100" w:name="_Toc97305472"/>
      <w:bookmarkStart w:id="101" w:name="_Toc99041672"/>
      <w:r w:rsidRPr="0012389B">
        <w:rPr>
          <w:b/>
          <w:bCs/>
          <w:sz w:val="24"/>
          <w:szCs w:val="24"/>
        </w:rPr>
        <w:t>MEL Principles</w:t>
      </w:r>
      <w:bookmarkEnd w:id="99"/>
      <w:bookmarkEnd w:id="100"/>
      <w:bookmarkEnd w:id="101"/>
    </w:p>
    <w:p w14:paraId="07544B2D" w14:textId="684A8448" w:rsidR="00A62F5F" w:rsidRPr="0012389B" w:rsidRDefault="00A62F5F" w:rsidP="00791619">
      <w:pPr>
        <w:jc w:val="both"/>
      </w:pPr>
      <w:r w:rsidRPr="0012389B">
        <w:t xml:space="preserve">The MEL for this program will measure progress towards outcomes by articulating the timing and methods for data collection. It covers the </w:t>
      </w:r>
      <w:r w:rsidR="0009026B">
        <w:t xml:space="preserve">initial </w:t>
      </w:r>
      <w:proofErr w:type="gramStart"/>
      <w:r w:rsidR="0009026B">
        <w:t xml:space="preserve">3.5 </w:t>
      </w:r>
      <w:r w:rsidRPr="0012389B">
        <w:t>year</w:t>
      </w:r>
      <w:proofErr w:type="gramEnd"/>
      <w:r w:rsidRPr="0012389B">
        <w:t xml:space="preserve"> timeframe of the program and will be updated as needed to reflect changes in the program approach. It has been designed based on lessons learned from the mid-term review of CPP3 and with input from program partners throughout the design phase.</w:t>
      </w:r>
    </w:p>
    <w:p w14:paraId="47D49F11" w14:textId="77777777" w:rsidR="00A62F5F" w:rsidRPr="0012389B" w:rsidRDefault="00A62F5F" w:rsidP="00791619">
      <w:pPr>
        <w:jc w:val="both"/>
      </w:pPr>
      <w:r w:rsidRPr="0012389B">
        <w:t>The following principles will apply to MEL across the program:</w:t>
      </w:r>
    </w:p>
    <w:p w14:paraId="42E71EF9" w14:textId="77777777" w:rsidR="00A62F5F" w:rsidRPr="0012389B" w:rsidRDefault="00A62F5F" w:rsidP="00791619">
      <w:pPr>
        <w:jc w:val="both"/>
      </w:pPr>
      <w:r w:rsidRPr="0012389B">
        <w:rPr>
          <w:b/>
          <w:bCs/>
        </w:rPr>
        <w:t>Program improvement:</w:t>
      </w:r>
      <w:r w:rsidRPr="0012389B">
        <w:t xml:space="preserve">  Ongoing monitoring is focused on learning quickly and adapting strategies with a focus on increasing promising approaches.</w:t>
      </w:r>
    </w:p>
    <w:p w14:paraId="379C2175" w14:textId="77777777" w:rsidR="00A62F5F" w:rsidRPr="0012389B" w:rsidRDefault="00A62F5F" w:rsidP="00791619">
      <w:pPr>
        <w:jc w:val="both"/>
      </w:pPr>
      <w:r w:rsidRPr="0012389B">
        <w:rPr>
          <w:b/>
          <w:bCs/>
        </w:rPr>
        <w:t>Focus on outcomes over outputs:</w:t>
      </w:r>
      <w:r w:rsidRPr="0012389B">
        <w:t xml:space="preserve">  The MEL Framework strengthens focus on measuring, understanding, and communicating outcomes across the program. This is supported by the CPPCO as it a considerable shift from previous MEL approaches within CPP.</w:t>
      </w:r>
    </w:p>
    <w:p w14:paraId="7BBC47AA" w14:textId="77777777" w:rsidR="00A62F5F" w:rsidRPr="0012389B" w:rsidRDefault="00A62F5F" w:rsidP="00791619">
      <w:pPr>
        <w:jc w:val="both"/>
      </w:pPr>
      <w:r w:rsidRPr="0012389B">
        <w:rPr>
          <w:b/>
          <w:bCs/>
        </w:rPr>
        <w:t>Collaborative learning:</w:t>
      </w:r>
      <w:r w:rsidRPr="0012389B">
        <w:t xml:space="preserve">  The MEL Framework prioritises sharing lessons between CPP’s partners and the BCEP program. Given the complexity of this program, ways of working will need ongoing reflection and adjustment. </w:t>
      </w:r>
    </w:p>
    <w:p w14:paraId="01162D83" w14:textId="77777777" w:rsidR="00A62F5F" w:rsidRPr="0012389B" w:rsidRDefault="00A62F5F" w:rsidP="00791619">
      <w:pPr>
        <w:jc w:val="both"/>
      </w:pPr>
      <w:r w:rsidRPr="0012389B">
        <w:rPr>
          <w:b/>
          <w:bCs/>
        </w:rPr>
        <w:t>Promoting gender equality, disability, and social inclusion:</w:t>
      </w:r>
      <w:r w:rsidRPr="0012389B">
        <w:t xml:space="preserve">  The MEL Framework emphasises a twin-track approach to gender equality and social inclusion with a focus on both GEDSI mainstreaming across all activities and GEDSI-focused activities, aligned with the DFAT Gender Equality Strategy (2016-2020). The program is focused on documenting changes in social and gender attitudes and behaviours, in addition to sex and disability disaggregated data.</w:t>
      </w:r>
    </w:p>
    <w:p w14:paraId="4ADCABAB" w14:textId="41F8B15C" w:rsidR="00A62F5F" w:rsidRPr="0012389B" w:rsidRDefault="00A62F5F" w:rsidP="00791619">
      <w:pPr>
        <w:pStyle w:val="Heading2"/>
        <w:numPr>
          <w:ilvl w:val="1"/>
          <w:numId w:val="1"/>
        </w:numPr>
        <w:ind w:left="709" w:hanging="709"/>
        <w:jc w:val="both"/>
        <w:rPr>
          <w:b/>
          <w:bCs/>
          <w:sz w:val="24"/>
          <w:szCs w:val="24"/>
        </w:rPr>
      </w:pPr>
      <w:bookmarkStart w:id="102" w:name="_Toc97187855"/>
      <w:bookmarkStart w:id="103" w:name="_Toc97305473"/>
      <w:bookmarkStart w:id="104" w:name="_Toc99041673"/>
      <w:r w:rsidRPr="0012389B">
        <w:rPr>
          <w:b/>
          <w:bCs/>
          <w:sz w:val="24"/>
          <w:szCs w:val="24"/>
        </w:rPr>
        <w:t>Responsibility</w:t>
      </w:r>
      <w:bookmarkEnd w:id="102"/>
      <w:bookmarkEnd w:id="103"/>
      <w:bookmarkEnd w:id="104"/>
    </w:p>
    <w:p w14:paraId="0EB297FE" w14:textId="591DD338" w:rsidR="00A62F5F" w:rsidRPr="0012389B" w:rsidRDefault="00A62F5F" w:rsidP="00791619">
      <w:pPr>
        <w:jc w:val="both"/>
      </w:pPr>
      <w:r w:rsidRPr="0012389B">
        <w:t xml:space="preserve">The CPPCO will have overall responsibility for finalising and implementing the </w:t>
      </w:r>
      <w:r w:rsidR="002368B1">
        <w:t xml:space="preserve">CPP </w:t>
      </w:r>
      <w:r w:rsidRPr="0012389B">
        <w:t xml:space="preserve">Program MELF. </w:t>
      </w:r>
    </w:p>
    <w:p w14:paraId="747D942E" w14:textId="77777777" w:rsidR="00A62F5F" w:rsidRPr="0012389B" w:rsidRDefault="00A62F5F" w:rsidP="00791619">
      <w:pPr>
        <w:jc w:val="both"/>
      </w:pPr>
      <w:r w:rsidRPr="0012389B">
        <w:t xml:space="preserve">DFAT will appoint a Quality Technical and Review Group to conduct independent annual reviews of the progress of all BECP components, including CPP, in achieving outcomes. </w:t>
      </w:r>
    </w:p>
    <w:p w14:paraId="10AAAFA9" w14:textId="77777777" w:rsidR="00A62F5F" w:rsidRPr="0012389B" w:rsidRDefault="00A62F5F" w:rsidP="00791619">
      <w:pPr>
        <w:pStyle w:val="Heading2"/>
        <w:jc w:val="both"/>
        <w:rPr>
          <w:b/>
          <w:bCs/>
          <w:sz w:val="24"/>
          <w:szCs w:val="24"/>
        </w:rPr>
      </w:pPr>
      <w:bookmarkStart w:id="105" w:name="_Toc97187856"/>
      <w:bookmarkStart w:id="106" w:name="_Toc97305474"/>
      <w:bookmarkStart w:id="107" w:name="_Toc99041674"/>
      <w:r w:rsidRPr="0012389B">
        <w:rPr>
          <w:b/>
          <w:bCs/>
          <w:sz w:val="24"/>
          <w:szCs w:val="24"/>
        </w:rPr>
        <w:t>6.3</w:t>
      </w:r>
      <w:r w:rsidRPr="0012389B">
        <w:rPr>
          <w:b/>
          <w:bCs/>
          <w:sz w:val="24"/>
          <w:szCs w:val="24"/>
        </w:rPr>
        <w:tab/>
        <w:t>Implementation</w:t>
      </w:r>
      <w:bookmarkEnd w:id="105"/>
      <w:bookmarkEnd w:id="106"/>
      <w:bookmarkEnd w:id="107"/>
    </w:p>
    <w:p w14:paraId="7F219F1D" w14:textId="77777777" w:rsidR="00A62F5F" w:rsidRPr="0012389B" w:rsidRDefault="00A62F5F" w:rsidP="00791619">
      <w:pPr>
        <w:pStyle w:val="BodyTextHanging"/>
        <w:spacing w:after="160" w:line="259" w:lineRule="auto"/>
        <w:jc w:val="both"/>
        <w:rPr>
          <w:rFonts w:asciiTheme="minorHAnsi" w:hAnsiTheme="minorHAnsi" w:cstheme="minorHAnsi"/>
          <w:color w:val="auto"/>
          <w:lang w:val="en-AU" w:eastAsia="en-GB"/>
        </w:rPr>
      </w:pPr>
      <w:r w:rsidRPr="0012389B">
        <w:rPr>
          <w:rFonts w:asciiTheme="minorHAnsi" w:hAnsiTheme="minorHAnsi" w:cstheme="minorHAnsi"/>
          <w:color w:val="auto"/>
          <w:lang w:val="en-AU" w:eastAsia="en-GB"/>
        </w:rPr>
        <w:t>MEL processes are required at two levels:</w:t>
      </w:r>
    </w:p>
    <w:p w14:paraId="47E208A1" w14:textId="10C618E7" w:rsidR="00A62F5F" w:rsidRPr="0012389B" w:rsidRDefault="00A62F5F" w:rsidP="00791619">
      <w:pPr>
        <w:pStyle w:val="BodyTextHanging"/>
        <w:spacing w:after="160" w:line="259" w:lineRule="auto"/>
        <w:jc w:val="both"/>
        <w:rPr>
          <w:rFonts w:asciiTheme="minorHAnsi" w:hAnsiTheme="minorHAnsi"/>
          <w:color w:val="auto"/>
          <w:lang w:val="en-AU" w:eastAsia="en-US"/>
        </w:rPr>
      </w:pPr>
      <w:r w:rsidRPr="0012389B">
        <w:rPr>
          <w:rFonts w:asciiTheme="minorHAnsi" w:hAnsiTheme="minorHAnsi"/>
          <w:b/>
          <w:bCs/>
          <w:color w:val="auto"/>
          <w:lang w:val="en-AU" w:eastAsia="en-US"/>
        </w:rPr>
        <w:t>Program MEL</w:t>
      </w:r>
      <w:r w:rsidRPr="0012389B">
        <w:rPr>
          <w:rFonts w:asciiTheme="minorHAnsi" w:hAnsiTheme="minorHAnsi"/>
          <w:color w:val="auto"/>
          <w:lang w:val="en-AU" w:eastAsia="en-US"/>
        </w:rPr>
        <w:t>: The CPPCO will develop and implement a Program-level MEL system to aggregate results from individual partner program plans and collective interventions against the CPP theory of change (</w:t>
      </w:r>
      <w:proofErr w:type="spellStart"/>
      <w:r w:rsidRPr="0012389B">
        <w:rPr>
          <w:rFonts w:asciiTheme="minorHAnsi" w:hAnsiTheme="minorHAnsi"/>
          <w:color w:val="auto"/>
          <w:lang w:val="en-AU" w:eastAsia="en-US"/>
        </w:rPr>
        <w:t>ToC</w:t>
      </w:r>
      <w:proofErr w:type="spellEnd"/>
      <w:r w:rsidRPr="0012389B">
        <w:rPr>
          <w:rFonts w:asciiTheme="minorHAnsi" w:hAnsiTheme="minorHAnsi"/>
          <w:color w:val="auto"/>
          <w:lang w:val="en-AU" w:eastAsia="en-US"/>
        </w:rPr>
        <w:t xml:space="preserve">). The MEL system will include a MELF with a limited number of high-level qualitative and quantitative indicators under which the results from partners’ program plans can be captured. While each partners’ program plans will be different, they are expected to include </w:t>
      </w:r>
      <w:r w:rsidR="002368B1">
        <w:rPr>
          <w:rFonts w:asciiTheme="minorHAnsi" w:hAnsiTheme="minorHAnsi"/>
          <w:color w:val="auto"/>
          <w:lang w:val="en-AU" w:eastAsia="en-US"/>
        </w:rPr>
        <w:t>similar</w:t>
      </w:r>
      <w:r w:rsidR="002368B1" w:rsidRPr="0012389B">
        <w:rPr>
          <w:rFonts w:asciiTheme="minorHAnsi" w:hAnsiTheme="minorHAnsi"/>
          <w:color w:val="auto"/>
          <w:lang w:val="en-AU" w:eastAsia="en-US"/>
        </w:rPr>
        <w:t xml:space="preserve"> </w:t>
      </w:r>
      <w:r w:rsidRPr="0012389B">
        <w:rPr>
          <w:rFonts w:asciiTheme="minorHAnsi" w:hAnsiTheme="minorHAnsi"/>
          <w:color w:val="auto"/>
          <w:lang w:val="en-AU" w:eastAsia="en-US"/>
        </w:rPr>
        <w:t xml:space="preserve">outcomes, </w:t>
      </w:r>
      <w:r w:rsidR="002368B1">
        <w:rPr>
          <w:rFonts w:asciiTheme="minorHAnsi" w:hAnsiTheme="minorHAnsi"/>
          <w:color w:val="auto"/>
          <w:lang w:val="en-AU" w:eastAsia="en-US"/>
        </w:rPr>
        <w:t xml:space="preserve">and </w:t>
      </w:r>
      <w:r w:rsidRPr="0012389B">
        <w:rPr>
          <w:rFonts w:asciiTheme="minorHAnsi" w:hAnsiTheme="minorHAnsi"/>
          <w:color w:val="auto"/>
          <w:lang w:val="en-AU" w:eastAsia="en-US"/>
        </w:rPr>
        <w:t xml:space="preserve">indicators with common features (such as changes in the behaviour of community members and Church leaders) providing the basis for a cohesive, program-level </w:t>
      </w:r>
      <w:proofErr w:type="spellStart"/>
      <w:r w:rsidRPr="0012389B">
        <w:rPr>
          <w:rFonts w:asciiTheme="minorHAnsi" w:hAnsiTheme="minorHAnsi"/>
          <w:color w:val="auto"/>
          <w:lang w:val="en-AU" w:eastAsia="en-US"/>
        </w:rPr>
        <w:t>ToC</w:t>
      </w:r>
      <w:proofErr w:type="spellEnd"/>
      <w:r w:rsidRPr="0012389B">
        <w:rPr>
          <w:rFonts w:asciiTheme="minorHAnsi" w:hAnsiTheme="minorHAnsi"/>
          <w:color w:val="auto"/>
          <w:lang w:val="en-AU" w:eastAsia="en-US"/>
        </w:rPr>
        <w:t xml:space="preserve">. </w:t>
      </w:r>
    </w:p>
    <w:p w14:paraId="4571F44F" w14:textId="34D8C9A9" w:rsidR="00A62F5F" w:rsidRPr="0012389B" w:rsidRDefault="00A62F5F" w:rsidP="00791619">
      <w:pPr>
        <w:pStyle w:val="BodyTextHanging"/>
        <w:spacing w:after="160" w:line="259" w:lineRule="auto"/>
        <w:jc w:val="both"/>
        <w:rPr>
          <w:rFonts w:asciiTheme="minorHAnsi" w:hAnsiTheme="minorHAnsi"/>
          <w:color w:val="auto"/>
          <w:lang w:val="en-AU" w:eastAsia="en-US"/>
        </w:rPr>
      </w:pPr>
      <w:r w:rsidRPr="0012389B">
        <w:rPr>
          <w:rFonts w:asciiTheme="minorHAnsi" w:hAnsiTheme="minorHAnsi"/>
          <w:color w:val="auto"/>
          <w:lang w:val="en-AU" w:eastAsia="en-US"/>
        </w:rPr>
        <w:t xml:space="preserve">Program MEL will be used for progress reporting against the CPP </w:t>
      </w:r>
      <w:proofErr w:type="spellStart"/>
      <w:r w:rsidRPr="0012389B">
        <w:rPr>
          <w:rFonts w:asciiTheme="minorHAnsi" w:hAnsiTheme="minorHAnsi"/>
          <w:color w:val="auto"/>
          <w:lang w:val="en-AU" w:eastAsia="en-US"/>
        </w:rPr>
        <w:t>ToC</w:t>
      </w:r>
      <w:proofErr w:type="spellEnd"/>
      <w:r w:rsidRPr="0012389B">
        <w:rPr>
          <w:rFonts w:asciiTheme="minorHAnsi" w:hAnsiTheme="minorHAnsi"/>
          <w:color w:val="auto"/>
          <w:lang w:val="en-AU" w:eastAsia="en-US"/>
        </w:rPr>
        <w:t xml:space="preserve">, informing learning on how to improve, and providing data on CPP’s contribution to the higher-level outcomes in the BCEP </w:t>
      </w:r>
      <w:proofErr w:type="spellStart"/>
      <w:r w:rsidRPr="0012389B">
        <w:rPr>
          <w:rFonts w:asciiTheme="minorHAnsi" w:hAnsiTheme="minorHAnsi"/>
          <w:color w:val="auto"/>
          <w:lang w:val="en-AU" w:eastAsia="en-US"/>
        </w:rPr>
        <w:t>ToC</w:t>
      </w:r>
      <w:proofErr w:type="spellEnd"/>
      <w:r w:rsidRPr="0012389B">
        <w:rPr>
          <w:rFonts w:asciiTheme="minorHAnsi" w:hAnsiTheme="minorHAnsi"/>
          <w:color w:val="auto"/>
          <w:lang w:val="en-AU" w:eastAsia="en-US"/>
        </w:rPr>
        <w:t xml:space="preserve">. In the Inception Phase, the CPPCO will lead partners in a review and refinement of the CPP </w:t>
      </w:r>
      <w:proofErr w:type="spellStart"/>
      <w:r w:rsidRPr="0012389B">
        <w:rPr>
          <w:rFonts w:asciiTheme="minorHAnsi" w:hAnsiTheme="minorHAnsi"/>
          <w:color w:val="auto"/>
          <w:lang w:val="en-AU" w:eastAsia="en-US"/>
        </w:rPr>
        <w:t>ToC</w:t>
      </w:r>
      <w:proofErr w:type="spellEnd"/>
      <w:r w:rsidRPr="0012389B">
        <w:rPr>
          <w:rFonts w:asciiTheme="minorHAnsi" w:hAnsiTheme="minorHAnsi"/>
          <w:color w:val="auto"/>
          <w:lang w:val="en-AU" w:eastAsia="en-US"/>
        </w:rPr>
        <w:t xml:space="preserve"> and</w:t>
      </w:r>
      <w:r w:rsidR="002368B1">
        <w:rPr>
          <w:rFonts w:asciiTheme="minorHAnsi" w:hAnsiTheme="minorHAnsi"/>
          <w:color w:val="auto"/>
          <w:lang w:val="en-AU" w:eastAsia="en-US"/>
        </w:rPr>
        <w:t xml:space="preserve"> </w:t>
      </w:r>
      <w:proofErr w:type="gramStart"/>
      <w:r w:rsidR="002368B1">
        <w:rPr>
          <w:rFonts w:asciiTheme="minorHAnsi" w:hAnsiTheme="minorHAnsi"/>
          <w:color w:val="auto"/>
          <w:lang w:val="en-AU" w:eastAsia="en-US"/>
        </w:rPr>
        <w:t xml:space="preserve">the </w:t>
      </w:r>
      <w:r w:rsidRPr="0012389B">
        <w:rPr>
          <w:rFonts w:asciiTheme="minorHAnsi" w:hAnsiTheme="minorHAnsi"/>
          <w:color w:val="auto"/>
          <w:lang w:val="en-AU" w:eastAsia="en-US"/>
        </w:rPr>
        <w:t xml:space="preserve"> draft</w:t>
      </w:r>
      <w:proofErr w:type="gramEnd"/>
      <w:r w:rsidRPr="0012389B">
        <w:rPr>
          <w:rFonts w:asciiTheme="minorHAnsi" w:hAnsiTheme="minorHAnsi"/>
          <w:color w:val="auto"/>
          <w:lang w:val="en-AU" w:eastAsia="en-US"/>
        </w:rPr>
        <w:t xml:space="preserve"> MELF, ensuring alignment with the BCEP </w:t>
      </w:r>
      <w:proofErr w:type="spellStart"/>
      <w:r w:rsidRPr="0012389B">
        <w:rPr>
          <w:rFonts w:asciiTheme="minorHAnsi" w:hAnsiTheme="minorHAnsi"/>
          <w:color w:val="auto"/>
          <w:lang w:val="en-AU" w:eastAsia="en-US"/>
        </w:rPr>
        <w:t>ToC</w:t>
      </w:r>
      <w:proofErr w:type="spellEnd"/>
      <w:r w:rsidR="002368B1">
        <w:rPr>
          <w:rFonts w:asciiTheme="minorHAnsi" w:hAnsiTheme="minorHAnsi"/>
          <w:color w:val="auto"/>
          <w:lang w:val="en-AU" w:eastAsia="en-US"/>
        </w:rPr>
        <w:t xml:space="preserve"> and setting targets</w:t>
      </w:r>
      <w:r w:rsidRPr="0012389B">
        <w:rPr>
          <w:rFonts w:asciiTheme="minorHAnsi" w:hAnsiTheme="minorHAnsi"/>
          <w:color w:val="auto"/>
          <w:lang w:val="en-AU" w:eastAsia="en-US"/>
        </w:rPr>
        <w:t xml:space="preserve">. </w:t>
      </w:r>
    </w:p>
    <w:p w14:paraId="3FB66326" w14:textId="333E9F63" w:rsidR="00A62F5F" w:rsidRPr="0012389B" w:rsidRDefault="00A62F5F" w:rsidP="00791619">
      <w:pPr>
        <w:pStyle w:val="BodyTextHanging"/>
        <w:spacing w:after="160" w:line="259" w:lineRule="auto"/>
        <w:jc w:val="both"/>
        <w:rPr>
          <w:rFonts w:asciiTheme="minorHAnsi" w:hAnsiTheme="minorHAnsi"/>
          <w:color w:val="auto"/>
          <w:lang w:val="en-AU" w:eastAsia="en-US"/>
        </w:rPr>
      </w:pPr>
      <w:r w:rsidRPr="0012389B">
        <w:rPr>
          <w:rFonts w:asciiTheme="minorHAnsi" w:hAnsiTheme="minorHAnsi"/>
          <w:b/>
          <w:bCs/>
          <w:color w:val="auto"/>
          <w:lang w:val="en-AU" w:eastAsia="en-US"/>
        </w:rPr>
        <w:lastRenderedPageBreak/>
        <w:t>Partner MEL</w:t>
      </w:r>
      <w:r w:rsidRPr="0012389B">
        <w:rPr>
          <w:rFonts w:asciiTheme="minorHAnsi" w:hAnsiTheme="minorHAnsi"/>
          <w:color w:val="auto"/>
          <w:lang w:val="en-AU" w:eastAsia="en-US"/>
        </w:rPr>
        <w:t xml:space="preserve">: In the </w:t>
      </w:r>
      <w:r w:rsidR="00D0658B">
        <w:rPr>
          <w:rFonts w:asciiTheme="minorHAnsi" w:hAnsiTheme="minorHAnsi"/>
          <w:color w:val="auto"/>
          <w:lang w:val="en-AU" w:eastAsia="en-US"/>
        </w:rPr>
        <w:t>i</w:t>
      </w:r>
      <w:r w:rsidRPr="0012389B">
        <w:rPr>
          <w:rFonts w:asciiTheme="minorHAnsi" w:hAnsiTheme="minorHAnsi"/>
          <w:color w:val="auto"/>
          <w:lang w:val="en-AU" w:eastAsia="en-US"/>
        </w:rPr>
        <w:t>nception phase, the CPPCO will support each partner to develop their own MELF to meet their organisation’s unique strategic plans, priorities, stakeholders, and objectives, while also aligning with the program MELF. These Partner MELF</w:t>
      </w:r>
      <w:r w:rsidR="00D0658B">
        <w:rPr>
          <w:rFonts w:asciiTheme="minorHAnsi" w:hAnsiTheme="minorHAnsi"/>
          <w:color w:val="auto"/>
          <w:lang w:val="en-AU" w:eastAsia="en-US"/>
        </w:rPr>
        <w:t>s</w:t>
      </w:r>
      <w:r w:rsidRPr="0012389B">
        <w:rPr>
          <w:rFonts w:asciiTheme="minorHAnsi" w:hAnsiTheme="minorHAnsi"/>
          <w:color w:val="auto"/>
          <w:lang w:val="en-AU" w:eastAsia="en-US"/>
        </w:rPr>
        <w:t xml:space="preserve"> will provide information for partner progress reporting against their program plans. The CPPCO will take results information from these reports to show aggregate progress against the CPP </w:t>
      </w:r>
      <w:proofErr w:type="spellStart"/>
      <w:r w:rsidRPr="0012389B">
        <w:rPr>
          <w:rFonts w:asciiTheme="minorHAnsi" w:hAnsiTheme="minorHAnsi"/>
          <w:color w:val="auto"/>
          <w:lang w:val="en-AU" w:eastAsia="en-US"/>
        </w:rPr>
        <w:t>ToC</w:t>
      </w:r>
      <w:proofErr w:type="spellEnd"/>
      <w:r w:rsidRPr="0012389B">
        <w:rPr>
          <w:rFonts w:asciiTheme="minorHAnsi" w:hAnsiTheme="minorHAnsi"/>
          <w:color w:val="auto"/>
          <w:lang w:val="en-AU" w:eastAsia="en-US"/>
        </w:rPr>
        <w:t xml:space="preserve">. </w:t>
      </w:r>
    </w:p>
    <w:p w14:paraId="53068A96" w14:textId="77777777" w:rsidR="00A62F5F" w:rsidRPr="0012389B" w:rsidRDefault="00A62F5F" w:rsidP="00791619">
      <w:pPr>
        <w:pStyle w:val="Heading2"/>
        <w:jc w:val="both"/>
        <w:rPr>
          <w:b/>
          <w:bCs/>
          <w:sz w:val="24"/>
          <w:szCs w:val="24"/>
        </w:rPr>
      </w:pPr>
      <w:bookmarkStart w:id="108" w:name="_Toc97187857"/>
      <w:bookmarkStart w:id="109" w:name="_Toc97305475"/>
      <w:bookmarkStart w:id="110" w:name="_Toc99041675"/>
      <w:r w:rsidRPr="0012389B">
        <w:rPr>
          <w:b/>
          <w:bCs/>
          <w:sz w:val="24"/>
          <w:szCs w:val="24"/>
        </w:rPr>
        <w:t>6.4</w:t>
      </w:r>
      <w:r w:rsidRPr="0012389B">
        <w:rPr>
          <w:b/>
          <w:bCs/>
          <w:sz w:val="24"/>
          <w:szCs w:val="24"/>
        </w:rPr>
        <w:tab/>
        <w:t>Data collection</w:t>
      </w:r>
      <w:bookmarkEnd w:id="108"/>
      <w:bookmarkEnd w:id="109"/>
      <w:bookmarkEnd w:id="110"/>
    </w:p>
    <w:p w14:paraId="3CFF77E8" w14:textId="77777777" w:rsidR="00A62F5F" w:rsidRPr="0012389B" w:rsidRDefault="00A62F5F" w:rsidP="00791619">
      <w:pPr>
        <w:pStyle w:val="BodyTextHanging"/>
        <w:spacing w:after="160" w:line="259" w:lineRule="auto"/>
        <w:jc w:val="both"/>
        <w:rPr>
          <w:rFonts w:asciiTheme="minorHAnsi" w:hAnsiTheme="minorHAnsi" w:cstheme="minorHAnsi"/>
          <w:color w:val="auto"/>
          <w:lang w:val="en-AU" w:eastAsia="en-US"/>
        </w:rPr>
      </w:pPr>
      <w:r w:rsidRPr="0012389B">
        <w:rPr>
          <w:rFonts w:asciiTheme="minorHAnsi" w:hAnsiTheme="minorHAnsi" w:cstheme="minorHAnsi"/>
          <w:color w:val="auto"/>
          <w:lang w:val="en-AU" w:eastAsia="en-US"/>
        </w:rPr>
        <w:t xml:space="preserve">Appropriate MEL tools will be identified to best support the MEL system developed in the Inception Phase. However, for the sake of simplicity, systems could be based around ‘conventional’ result-based management tools that track changes from </w:t>
      </w:r>
      <w:proofErr w:type="spellStart"/>
      <w:r w:rsidRPr="0012389B">
        <w:rPr>
          <w:rFonts w:asciiTheme="minorHAnsi" w:hAnsiTheme="minorHAnsi" w:cstheme="minorHAnsi"/>
          <w:color w:val="auto"/>
          <w:lang w:val="en-AU" w:eastAsia="en-US"/>
        </w:rPr>
        <w:t>ToC</w:t>
      </w:r>
      <w:proofErr w:type="spellEnd"/>
      <w:r w:rsidRPr="0012389B">
        <w:rPr>
          <w:rFonts w:asciiTheme="minorHAnsi" w:hAnsiTheme="minorHAnsi" w:cstheme="minorHAnsi"/>
          <w:color w:val="auto"/>
          <w:lang w:val="en-AU" w:eastAsia="en-US"/>
        </w:rPr>
        <w:t xml:space="preserve"> outputs to outcomes. However, such conventional approaches often tend to rely on quantitative indicators which are not good at capturing changes in behaviours and relationships that characterise the influencing work proposed in the draft CPP </w:t>
      </w:r>
      <w:proofErr w:type="spellStart"/>
      <w:r w:rsidRPr="0012389B">
        <w:rPr>
          <w:rFonts w:asciiTheme="minorHAnsi" w:hAnsiTheme="minorHAnsi" w:cstheme="minorHAnsi"/>
          <w:color w:val="auto"/>
          <w:lang w:val="en-AU" w:eastAsia="en-US"/>
        </w:rPr>
        <w:t>ToC</w:t>
      </w:r>
      <w:proofErr w:type="spellEnd"/>
      <w:r w:rsidRPr="0012389B">
        <w:rPr>
          <w:rFonts w:asciiTheme="minorHAnsi" w:hAnsiTheme="minorHAnsi" w:cstheme="minorHAnsi"/>
          <w:color w:val="auto"/>
          <w:lang w:val="en-AU" w:eastAsia="en-US"/>
        </w:rPr>
        <w:t xml:space="preserve">; nor helpful to understand how and why changes have occurred. To meet these purposes, the design team proposes that conventional MEL tools could be complemented with the inclusion of more innovative tools to capture qualitative results. The draft MELF is being developed with some indicators based on tools being adopted by the overarching BCEP Program. </w:t>
      </w:r>
    </w:p>
    <w:p w14:paraId="2FA7C9D6" w14:textId="77777777" w:rsidR="00A62F5F" w:rsidRPr="0012389B" w:rsidRDefault="00A62F5F" w:rsidP="00791619">
      <w:pPr>
        <w:pStyle w:val="BodyTextHanging"/>
        <w:spacing w:after="160" w:line="259" w:lineRule="auto"/>
        <w:jc w:val="both"/>
        <w:rPr>
          <w:rFonts w:asciiTheme="minorHAnsi" w:hAnsiTheme="minorHAnsi" w:cstheme="minorHAnsi"/>
          <w:color w:val="auto"/>
          <w:lang w:val="en-AU" w:eastAsia="en-US"/>
        </w:rPr>
      </w:pPr>
      <w:r w:rsidRPr="0012389B">
        <w:rPr>
          <w:rFonts w:asciiTheme="minorHAnsi" w:hAnsiTheme="minorHAnsi" w:cstheme="minorHAnsi"/>
          <w:color w:val="auto"/>
          <w:lang w:val="en-AU" w:eastAsia="en-US"/>
        </w:rPr>
        <w:t xml:space="preserve">The following tools have proven useful in collecting the types of qualitative results mentioned above: </w:t>
      </w:r>
    </w:p>
    <w:p w14:paraId="52F6E651" w14:textId="0DAB5F3E" w:rsidR="00A62F5F" w:rsidRPr="0012389B" w:rsidRDefault="00A62F5F" w:rsidP="00791619">
      <w:pPr>
        <w:pStyle w:val="BodyTextHanging"/>
        <w:numPr>
          <w:ilvl w:val="0"/>
          <w:numId w:val="2"/>
        </w:numPr>
        <w:spacing w:after="160" w:line="259" w:lineRule="auto"/>
        <w:jc w:val="both"/>
        <w:rPr>
          <w:rFonts w:asciiTheme="minorHAnsi" w:hAnsiTheme="minorHAnsi" w:cstheme="minorHAnsi"/>
          <w:color w:val="auto"/>
          <w:lang w:val="en-AU" w:eastAsia="en-US"/>
        </w:rPr>
      </w:pPr>
      <w:r w:rsidRPr="0012389B">
        <w:rPr>
          <w:rFonts w:asciiTheme="minorHAnsi" w:hAnsiTheme="minorHAnsi" w:cstheme="minorHAnsi"/>
          <w:b/>
          <w:bCs/>
          <w:color w:val="auto"/>
          <w:lang w:val="en-AU" w:eastAsia="en-US"/>
        </w:rPr>
        <w:t>Outcome Mapping:</w:t>
      </w:r>
      <w:r w:rsidRPr="0012389B">
        <w:rPr>
          <w:rFonts w:asciiTheme="minorHAnsi" w:hAnsiTheme="minorHAnsi" w:cstheme="minorHAnsi"/>
          <w:color w:val="auto"/>
          <w:lang w:val="en-AU" w:eastAsia="en-US"/>
        </w:rPr>
        <w:t xml:space="preserve"> a planning, monitoring and evaluation approach that captures changes in the behaviour and relationships of key actors and has been used extensively on social accountability initiatives.</w:t>
      </w:r>
    </w:p>
    <w:p w14:paraId="64EE8784" w14:textId="77777777" w:rsidR="00A62F5F" w:rsidRPr="0012389B" w:rsidRDefault="00A62F5F" w:rsidP="00791619">
      <w:pPr>
        <w:pStyle w:val="BodyTextHanging"/>
        <w:numPr>
          <w:ilvl w:val="0"/>
          <w:numId w:val="2"/>
        </w:numPr>
        <w:spacing w:after="160" w:line="259" w:lineRule="auto"/>
        <w:jc w:val="both"/>
        <w:rPr>
          <w:rFonts w:asciiTheme="minorHAnsi" w:hAnsiTheme="minorHAnsi" w:cstheme="minorHAnsi"/>
          <w:color w:val="auto"/>
          <w:lang w:val="en-AU" w:eastAsia="en-US"/>
        </w:rPr>
      </w:pPr>
      <w:r w:rsidRPr="0012389B">
        <w:rPr>
          <w:rFonts w:asciiTheme="minorHAnsi" w:hAnsiTheme="minorHAnsi" w:cstheme="minorHAnsi"/>
          <w:b/>
          <w:bCs/>
          <w:color w:val="auto"/>
          <w:lang w:val="en-AU"/>
        </w:rPr>
        <w:t>Change Strategy Testing:</w:t>
      </w:r>
      <w:r w:rsidRPr="0012389B">
        <w:rPr>
          <w:rFonts w:asciiTheme="minorHAnsi" w:hAnsiTheme="minorHAnsi" w:cstheme="minorHAnsi"/>
          <w:color w:val="auto"/>
          <w:lang w:val="en-AU"/>
        </w:rPr>
        <w:t xml:space="preserve"> </w:t>
      </w:r>
      <w:r w:rsidRPr="0012389B">
        <w:rPr>
          <w:rFonts w:asciiTheme="minorHAnsi" w:hAnsiTheme="minorHAnsi" w:cstheme="minorHAnsi"/>
          <w:color w:val="auto"/>
          <w:lang w:val="en-AU" w:eastAsia="en-US"/>
        </w:rPr>
        <w:t>developed by The Asia Foundations in the Philippines for their DFAT-funded Coalitions of Change work and successfully applied in PNG under DCP.</w:t>
      </w:r>
      <w:r w:rsidRPr="0012389B">
        <w:rPr>
          <w:rFonts w:asciiTheme="minorHAnsi" w:hAnsiTheme="minorHAnsi" w:cstheme="minorHAnsi"/>
          <w:color w:val="auto"/>
          <w:lang w:val="en-AU"/>
        </w:rPr>
        <w:t xml:space="preserve"> </w:t>
      </w:r>
      <w:r w:rsidRPr="0012389B">
        <w:rPr>
          <w:rFonts w:asciiTheme="minorHAnsi" w:hAnsiTheme="minorHAnsi" w:cstheme="minorHAnsi"/>
          <w:color w:val="auto"/>
          <w:lang w:val="en-AU" w:eastAsia="en-US"/>
        </w:rPr>
        <w:t xml:space="preserve">This involves developing a Change Strategy in the design of each project, which is revised on a six-monthly basis or more frequently if required. The approach allows for new contextual or technical knowledge to be incorporated, results to be recorded, and objectives reviewed and revised. </w:t>
      </w:r>
    </w:p>
    <w:p w14:paraId="2DD1C7D8" w14:textId="77777777" w:rsidR="00A62F5F" w:rsidRPr="0012389B" w:rsidRDefault="00A62F5F" w:rsidP="00791619">
      <w:pPr>
        <w:pStyle w:val="BodyTextHanging"/>
        <w:numPr>
          <w:ilvl w:val="0"/>
          <w:numId w:val="2"/>
        </w:numPr>
        <w:spacing w:after="160" w:line="259" w:lineRule="auto"/>
        <w:jc w:val="both"/>
        <w:rPr>
          <w:rFonts w:asciiTheme="minorHAnsi" w:hAnsiTheme="minorHAnsi" w:cstheme="minorHAnsi"/>
          <w:color w:val="auto"/>
          <w:lang w:val="en-AU" w:eastAsia="en-US"/>
        </w:rPr>
      </w:pPr>
      <w:r w:rsidRPr="0012389B">
        <w:rPr>
          <w:rFonts w:asciiTheme="minorHAnsi" w:hAnsiTheme="minorHAnsi" w:cstheme="minorHAnsi"/>
          <w:b/>
          <w:bCs/>
          <w:color w:val="auto"/>
          <w:lang w:val="en-AU" w:eastAsia="en-US"/>
        </w:rPr>
        <w:t>KAP surveys</w:t>
      </w:r>
      <w:r w:rsidRPr="0012389B">
        <w:rPr>
          <w:rFonts w:asciiTheme="minorHAnsi" w:hAnsiTheme="minorHAnsi" w:cstheme="minorHAnsi"/>
          <w:color w:val="auto"/>
          <w:lang w:val="en-AU" w:eastAsia="en-US"/>
        </w:rPr>
        <w:t>:  The CPP partners and CPPCO will collaborate on the development of common knowledge, attitude and practice surveys and pre-post surveys to ensure that data is collected about GEDSI attitudes at the baseline, mid-line and at the end of project.</w:t>
      </w:r>
    </w:p>
    <w:p w14:paraId="63EC6ABB" w14:textId="77777777" w:rsidR="00A62F5F" w:rsidRPr="0012389B" w:rsidRDefault="00A62F5F" w:rsidP="00791619">
      <w:pPr>
        <w:pStyle w:val="BodyTextHanging"/>
        <w:spacing w:after="160" w:line="259" w:lineRule="auto"/>
        <w:jc w:val="both"/>
        <w:rPr>
          <w:rFonts w:asciiTheme="minorHAnsi" w:hAnsiTheme="minorHAnsi" w:cstheme="minorHAnsi"/>
          <w:color w:val="auto"/>
          <w:lang w:val="en-AU" w:eastAsia="en-US"/>
        </w:rPr>
      </w:pPr>
      <w:r w:rsidRPr="0012389B">
        <w:rPr>
          <w:rFonts w:asciiTheme="minorHAnsi" w:hAnsiTheme="minorHAnsi" w:cstheme="minorHAnsi"/>
          <w:color w:val="auto"/>
          <w:lang w:val="en-AU" w:eastAsia="en-US"/>
        </w:rPr>
        <w:t xml:space="preserve">The value of these approaches is that they help implementers to think strategically and provide useful information for reflection and learning. Moreover, tracking progress in this way produces evidence in support of claims of contribution to the results observed. </w:t>
      </w:r>
    </w:p>
    <w:p w14:paraId="7FC769C9" w14:textId="77777777" w:rsidR="00A62F5F" w:rsidRPr="0012389B" w:rsidRDefault="00A62F5F" w:rsidP="00791619">
      <w:pPr>
        <w:jc w:val="both"/>
        <w:rPr>
          <w:rFonts w:cstheme="minorHAnsi"/>
        </w:rPr>
      </w:pPr>
      <w:r w:rsidRPr="0012389B">
        <w:rPr>
          <w:rFonts w:cstheme="minorHAnsi"/>
          <w:b/>
          <w:bCs/>
        </w:rPr>
        <w:t>Results database:</w:t>
      </w:r>
      <w:r w:rsidRPr="0012389B">
        <w:rPr>
          <w:rFonts w:cstheme="minorHAnsi"/>
        </w:rPr>
        <w:t xml:space="preserve"> The BCEP design also proposes the development of a database to record qualitative and quantitative results data and financial information. The CPPCO should have access to this database to directly input CPP information.</w:t>
      </w:r>
    </w:p>
    <w:p w14:paraId="20324CC4" w14:textId="77777777" w:rsidR="00A62F5F" w:rsidRPr="0012389B" w:rsidRDefault="00A62F5F" w:rsidP="00791619">
      <w:pPr>
        <w:pStyle w:val="Heading2"/>
        <w:jc w:val="both"/>
        <w:rPr>
          <w:b/>
          <w:bCs/>
          <w:sz w:val="24"/>
          <w:szCs w:val="24"/>
        </w:rPr>
      </w:pPr>
      <w:bookmarkStart w:id="111" w:name="_Toc97187858"/>
      <w:bookmarkStart w:id="112" w:name="_Toc97305476"/>
      <w:bookmarkStart w:id="113" w:name="_Toc99041676"/>
      <w:r w:rsidRPr="0012389B">
        <w:rPr>
          <w:b/>
          <w:bCs/>
          <w:sz w:val="24"/>
          <w:szCs w:val="24"/>
        </w:rPr>
        <w:t>6.4</w:t>
      </w:r>
      <w:r w:rsidRPr="0012389B">
        <w:rPr>
          <w:b/>
          <w:bCs/>
          <w:sz w:val="24"/>
          <w:szCs w:val="24"/>
        </w:rPr>
        <w:tab/>
        <w:t>Planning and Reporting</w:t>
      </w:r>
      <w:bookmarkEnd w:id="111"/>
      <w:r w:rsidRPr="0012389B">
        <w:rPr>
          <w:b/>
          <w:bCs/>
          <w:sz w:val="24"/>
          <w:szCs w:val="24"/>
        </w:rPr>
        <w:t xml:space="preserve"> Cycles</w:t>
      </w:r>
      <w:bookmarkEnd w:id="112"/>
      <w:bookmarkEnd w:id="113"/>
    </w:p>
    <w:p w14:paraId="72953FEC" w14:textId="1AB622CC" w:rsidR="008A01C4" w:rsidRDefault="00A62F5F" w:rsidP="00791619">
      <w:pPr>
        <w:jc w:val="both"/>
        <w:rPr>
          <w:rFonts w:cstheme="minorHAnsi"/>
        </w:rPr>
      </w:pPr>
      <w:r w:rsidRPr="0012389B">
        <w:rPr>
          <w:rFonts w:cstheme="minorHAnsi"/>
        </w:rPr>
        <w:t xml:space="preserve">Partners will report to the CPPCO on a six-monthly basis. The CPPCO will use </w:t>
      </w:r>
      <w:r w:rsidR="00DF2D5E">
        <w:rPr>
          <w:rFonts w:cstheme="minorHAnsi"/>
        </w:rPr>
        <w:t>individual</w:t>
      </w:r>
      <w:r w:rsidR="00DF2D5E" w:rsidRPr="0012389B">
        <w:rPr>
          <w:rFonts w:cstheme="minorHAnsi"/>
        </w:rPr>
        <w:t xml:space="preserve"> </w:t>
      </w:r>
      <w:r w:rsidRPr="0012389B">
        <w:rPr>
          <w:rFonts w:cstheme="minorHAnsi"/>
        </w:rPr>
        <w:t xml:space="preserve">partner reports to prepare consolidated and summarised six monthly </w:t>
      </w:r>
      <w:r w:rsidR="00DF2D5E">
        <w:rPr>
          <w:rFonts w:cstheme="minorHAnsi"/>
        </w:rPr>
        <w:t xml:space="preserve">program </w:t>
      </w:r>
      <w:r w:rsidRPr="0012389B">
        <w:rPr>
          <w:rFonts w:cstheme="minorHAnsi"/>
        </w:rPr>
        <w:t xml:space="preserve">reports to DFAT. </w:t>
      </w:r>
      <w:r w:rsidR="00DF2D5E">
        <w:rPr>
          <w:rFonts w:cstheme="minorHAnsi"/>
        </w:rPr>
        <w:t xml:space="preserve">Program reports will </w:t>
      </w:r>
      <w:r w:rsidR="008A01C4">
        <w:rPr>
          <w:rFonts w:cstheme="minorHAnsi"/>
        </w:rPr>
        <w:t>also provide</w:t>
      </w:r>
      <w:r w:rsidR="00DF2D5E">
        <w:rPr>
          <w:rFonts w:cstheme="minorHAnsi"/>
        </w:rPr>
        <w:t xml:space="preserve"> </w:t>
      </w:r>
      <w:r w:rsidR="002B2B1A">
        <w:rPr>
          <w:rFonts w:cstheme="minorHAnsi"/>
        </w:rPr>
        <w:t xml:space="preserve">information on </w:t>
      </w:r>
      <w:r w:rsidR="008A01C4">
        <w:rPr>
          <w:rFonts w:cstheme="minorHAnsi"/>
        </w:rPr>
        <w:t>CPPCO’s activities including the</w:t>
      </w:r>
      <w:r w:rsidR="00DF2D5E">
        <w:rPr>
          <w:rFonts w:cstheme="minorHAnsi"/>
        </w:rPr>
        <w:t xml:space="preserve"> </w:t>
      </w:r>
      <w:r w:rsidR="00DF2D5E" w:rsidRPr="00DF2D5E">
        <w:rPr>
          <w:rFonts w:cstheme="minorHAnsi"/>
        </w:rPr>
        <w:t xml:space="preserve">effectiveness of </w:t>
      </w:r>
      <w:r w:rsidR="008A01C4">
        <w:rPr>
          <w:rFonts w:cstheme="minorHAnsi"/>
        </w:rPr>
        <w:t>its</w:t>
      </w:r>
      <w:r w:rsidR="00DF2D5E" w:rsidRPr="00DF2D5E">
        <w:rPr>
          <w:rFonts w:cstheme="minorHAnsi"/>
        </w:rPr>
        <w:t xml:space="preserve"> capacity development support to partners. These </w:t>
      </w:r>
      <w:r w:rsidR="008A01C4">
        <w:rPr>
          <w:rFonts w:cstheme="minorHAnsi"/>
        </w:rPr>
        <w:t xml:space="preserve">program </w:t>
      </w:r>
      <w:r w:rsidR="00DF2D5E" w:rsidRPr="00DF2D5E">
        <w:rPr>
          <w:rFonts w:cstheme="minorHAnsi"/>
        </w:rPr>
        <w:t xml:space="preserve">reports </w:t>
      </w:r>
      <w:r w:rsidR="008A01C4">
        <w:rPr>
          <w:rFonts w:cstheme="minorHAnsi"/>
        </w:rPr>
        <w:t xml:space="preserve">to DFAT </w:t>
      </w:r>
      <w:r w:rsidR="00DF2D5E" w:rsidRPr="00DF2D5E">
        <w:rPr>
          <w:rFonts w:cstheme="minorHAnsi"/>
        </w:rPr>
        <w:t>will be provided to CPP partners and</w:t>
      </w:r>
      <w:r w:rsidR="008A01C4">
        <w:rPr>
          <w:rFonts w:cstheme="minorHAnsi"/>
        </w:rPr>
        <w:t xml:space="preserve"> be </w:t>
      </w:r>
      <w:r w:rsidR="008A01C4" w:rsidRPr="00DF2D5E">
        <w:rPr>
          <w:rFonts w:cstheme="minorHAnsi"/>
        </w:rPr>
        <w:t>discussed</w:t>
      </w:r>
      <w:r w:rsidR="00DF2D5E" w:rsidRPr="00DF2D5E">
        <w:rPr>
          <w:rFonts w:cstheme="minorHAnsi"/>
        </w:rPr>
        <w:t xml:space="preserve"> in SDT reflection meetings. </w:t>
      </w:r>
    </w:p>
    <w:p w14:paraId="44B7C1B6" w14:textId="2C435604" w:rsidR="00A62F5F" w:rsidRPr="0012389B" w:rsidRDefault="00A62F5F" w:rsidP="00791619">
      <w:pPr>
        <w:jc w:val="both"/>
        <w:rPr>
          <w:rFonts w:cstheme="minorHAnsi"/>
        </w:rPr>
      </w:pPr>
      <w:r w:rsidRPr="0012389B">
        <w:rPr>
          <w:rFonts w:cstheme="minorHAnsi"/>
        </w:rPr>
        <w:t xml:space="preserve">Similarly, partners will prepare annual plans against their three-year program plans. From partner program plans, and against the three Program Implementation Plan, the CPPCO will develop annual </w:t>
      </w:r>
      <w:r w:rsidRPr="0012389B">
        <w:rPr>
          <w:rFonts w:cstheme="minorHAnsi"/>
        </w:rPr>
        <w:lastRenderedPageBreak/>
        <w:t>plans to submit to DFAT</w:t>
      </w:r>
      <w:r w:rsidR="008A01C4">
        <w:rPr>
          <w:rFonts w:cstheme="minorHAnsi"/>
        </w:rPr>
        <w:t>, which will also be shared with CPP partners and discussed in SDT reflection meetings</w:t>
      </w:r>
      <w:r w:rsidRPr="0012389B">
        <w:rPr>
          <w:rFonts w:cstheme="minorHAnsi"/>
        </w:rPr>
        <w:t xml:space="preserve">. </w:t>
      </w:r>
    </w:p>
    <w:p w14:paraId="588F3A08" w14:textId="77777777" w:rsidR="00A62F5F" w:rsidRPr="0012389B" w:rsidRDefault="00A62F5F" w:rsidP="00791619">
      <w:pPr>
        <w:pStyle w:val="Heading2"/>
        <w:jc w:val="both"/>
        <w:rPr>
          <w:b/>
          <w:bCs/>
          <w:sz w:val="24"/>
          <w:szCs w:val="24"/>
        </w:rPr>
      </w:pPr>
      <w:bookmarkStart w:id="114" w:name="_Toc97187859"/>
      <w:bookmarkStart w:id="115" w:name="_Toc97305477"/>
      <w:bookmarkStart w:id="116" w:name="_Toc99041677"/>
      <w:r w:rsidRPr="0012389B">
        <w:rPr>
          <w:b/>
          <w:bCs/>
          <w:sz w:val="24"/>
          <w:szCs w:val="24"/>
        </w:rPr>
        <w:t>6.5</w:t>
      </w:r>
      <w:r w:rsidRPr="0012389B">
        <w:rPr>
          <w:b/>
          <w:bCs/>
          <w:sz w:val="24"/>
          <w:szCs w:val="24"/>
        </w:rPr>
        <w:tab/>
        <w:t>Learning Processes</w:t>
      </w:r>
      <w:bookmarkEnd w:id="114"/>
      <w:bookmarkEnd w:id="115"/>
      <w:bookmarkEnd w:id="116"/>
    </w:p>
    <w:p w14:paraId="09B239B9" w14:textId="77777777" w:rsidR="00A62F5F" w:rsidRPr="0012389B" w:rsidRDefault="00A62F5F" w:rsidP="00791619">
      <w:pPr>
        <w:suppressAutoHyphens/>
        <w:jc w:val="both"/>
      </w:pPr>
      <w:r w:rsidRPr="0012389B">
        <w:t xml:space="preserve">Partner collaboration and learning lies at the heart of CPP. The CPPCO will be responsible for oversighting all collaboration and learning initiatives, though individual partners may lead thematic working groups in identified areas, following current CPP practices. </w:t>
      </w:r>
    </w:p>
    <w:p w14:paraId="155D2881" w14:textId="77777777" w:rsidR="00A62F5F" w:rsidRPr="0012389B" w:rsidRDefault="00A62F5F" w:rsidP="00791619">
      <w:pPr>
        <w:pStyle w:val="BodyTextHanging"/>
        <w:spacing w:after="160" w:line="259" w:lineRule="auto"/>
        <w:jc w:val="both"/>
        <w:rPr>
          <w:rFonts w:cstheme="minorHAnsi"/>
          <w:color w:val="auto"/>
          <w:lang w:val="en-AU"/>
        </w:rPr>
      </w:pPr>
      <w:r w:rsidRPr="0012389B">
        <w:rPr>
          <w:color w:val="auto"/>
          <w:lang w:val="en-AU"/>
        </w:rPr>
        <w:t xml:space="preserve">In the Inception Phase, the CPPCO will develop learning processes as part of setting up the CPP MEL systems. Learning processes will align with BCEP learning processes and include </w:t>
      </w:r>
      <w:r w:rsidRPr="0012389B">
        <w:rPr>
          <w:rFonts w:cstheme="minorHAnsi"/>
          <w:color w:val="auto"/>
          <w:lang w:val="en-AU"/>
        </w:rPr>
        <w:t>learning objectives, questions, and topics and how these are expected to contribute toward effectiveness. The draft MELF has been set up to measure the contribution of CPP learning to CPP outcomes. The CPPCO will have capacity to fund applied research to support learning objectives.</w:t>
      </w:r>
    </w:p>
    <w:p w14:paraId="31E79C7B" w14:textId="77777777" w:rsidR="00A62F5F" w:rsidRPr="0012389B" w:rsidRDefault="00A62F5F" w:rsidP="00791619">
      <w:pPr>
        <w:pStyle w:val="BodyTextHanging"/>
        <w:spacing w:after="160" w:line="259" w:lineRule="auto"/>
        <w:jc w:val="both"/>
        <w:rPr>
          <w:lang w:val="en-AU"/>
        </w:rPr>
      </w:pPr>
      <w:r w:rsidRPr="0012389B">
        <w:rPr>
          <w:color w:val="auto"/>
          <w:lang w:val="en-AU"/>
        </w:rPr>
        <w:t>More broadly, the CPPCO will develop learning processes and culture across the program to facilitate all partners to learn before, during and after delivery. The aim is to develop a positive learning culture that accelerates learning, both from success and failure, and that is backed by effective communications so that successes can be taken to scale where possible and that there is ‘failing fast’ to avoid replication of unsuccessful interventions.</w:t>
      </w:r>
    </w:p>
    <w:p w14:paraId="1D6AD654" w14:textId="77777777" w:rsidR="00A62F5F" w:rsidRPr="0012389B" w:rsidRDefault="00A62F5F" w:rsidP="00791619">
      <w:pPr>
        <w:pStyle w:val="BodyTextHanging"/>
        <w:spacing w:after="160" w:line="259" w:lineRule="auto"/>
        <w:jc w:val="both"/>
        <w:rPr>
          <w:color w:val="auto"/>
          <w:lang w:val="en-AU"/>
        </w:rPr>
      </w:pPr>
      <w:r w:rsidRPr="0012389B">
        <w:rPr>
          <w:color w:val="auto"/>
          <w:lang w:val="en-AU"/>
        </w:rPr>
        <w:t>The aim is to strengthen CPP collaboration and learning by going beyond existing partners to include other BCEP partners. Established CPP processes for collaboration and learning will be continued and new BCEP process added. The main learning mechanisms will be:</w:t>
      </w:r>
    </w:p>
    <w:p w14:paraId="26AD1E79" w14:textId="09353737" w:rsidR="00A62F5F" w:rsidRPr="0012389B" w:rsidRDefault="00A62F5F" w:rsidP="00791619">
      <w:pPr>
        <w:pStyle w:val="BodyTextHanging"/>
        <w:numPr>
          <w:ilvl w:val="0"/>
          <w:numId w:val="9"/>
        </w:numPr>
        <w:spacing w:after="160" w:line="259" w:lineRule="auto"/>
        <w:ind w:hanging="357"/>
        <w:jc w:val="both"/>
        <w:rPr>
          <w:rFonts w:asciiTheme="minorHAnsi" w:hAnsiTheme="minorHAnsi" w:cstheme="minorHAnsi"/>
          <w:color w:val="auto"/>
          <w:lang w:val="en-AU" w:eastAsia="en-US"/>
        </w:rPr>
      </w:pPr>
      <w:r w:rsidRPr="0012389B">
        <w:rPr>
          <w:rFonts w:asciiTheme="minorHAnsi" w:hAnsiTheme="minorHAnsi" w:cstheme="minorHAnsi"/>
          <w:b/>
          <w:bCs/>
          <w:color w:val="auto"/>
          <w:lang w:val="en-AU" w:eastAsia="en-US"/>
        </w:rPr>
        <w:t>BCEP Learning processes:</w:t>
      </w:r>
      <w:r w:rsidRPr="0012389B">
        <w:rPr>
          <w:rFonts w:asciiTheme="minorHAnsi" w:hAnsiTheme="minorHAnsi" w:cstheme="minorHAnsi"/>
          <w:color w:val="auto"/>
          <w:lang w:val="en-AU" w:eastAsia="en-US"/>
        </w:rPr>
        <w:t xml:space="preserve"> These will be facilitated by the BCEP PMT and will focus on learning between BCEP components to build coordination and synergy and breakdown silos. As the program evolves, learning opportunities will be developed to promote coordination with other Australian sectoral investments where accountability of service providers is an important factor (</w:t>
      </w:r>
      <w:r w:rsidR="000F2809" w:rsidRPr="0012389B">
        <w:rPr>
          <w:rFonts w:asciiTheme="minorHAnsi" w:hAnsiTheme="minorHAnsi" w:cstheme="minorHAnsi"/>
          <w:color w:val="auto"/>
          <w:lang w:val="en-AU" w:eastAsia="en-US"/>
        </w:rPr>
        <w:t xml:space="preserve">for </w:t>
      </w:r>
      <w:r w:rsidR="00BE5759" w:rsidRPr="0012389B">
        <w:rPr>
          <w:rFonts w:asciiTheme="minorHAnsi" w:hAnsiTheme="minorHAnsi" w:cstheme="minorHAnsi"/>
          <w:color w:val="auto"/>
          <w:lang w:val="en-AU" w:eastAsia="en-US"/>
        </w:rPr>
        <w:t>example,</w:t>
      </w:r>
      <w:r w:rsidRPr="0012389B">
        <w:rPr>
          <w:rFonts w:asciiTheme="minorHAnsi" w:hAnsiTheme="minorHAnsi" w:cstheme="minorHAnsi"/>
          <w:color w:val="auto"/>
          <w:lang w:val="en-AU" w:eastAsia="en-US"/>
        </w:rPr>
        <w:t xml:space="preserve"> </w:t>
      </w:r>
      <w:r w:rsidR="002368B1">
        <w:t>DFAT’s Law and Justice program on GBV and SARV</w:t>
      </w:r>
      <w:r w:rsidR="00B37FBB">
        <w:t xml:space="preserve"> policy advocacy</w:t>
      </w:r>
      <w:r w:rsidR="002368B1">
        <w:t xml:space="preserve">, </w:t>
      </w:r>
      <w:r w:rsidR="00B37FBB" w:rsidRPr="00B37FBB">
        <w:t xml:space="preserve">PNG Partnerships for Improving </w:t>
      </w:r>
      <w:proofErr w:type="gramStart"/>
      <w:r w:rsidR="00B37FBB" w:rsidRPr="00B37FBB">
        <w:t>Education</w:t>
      </w:r>
      <w:proofErr w:type="gramEnd"/>
      <w:r w:rsidR="00B37FBB" w:rsidRPr="00B37FBB">
        <w:t xml:space="preserve"> </w:t>
      </w:r>
      <w:r w:rsidR="00B37FBB">
        <w:t>and the PNG</w:t>
      </w:r>
      <w:r w:rsidR="00B37FBB" w:rsidRPr="00B37FBB">
        <w:t xml:space="preserve">-Australia Transition to Health </w:t>
      </w:r>
      <w:r w:rsidR="002368B1">
        <w:rPr>
          <w:rFonts w:asciiTheme="minorHAnsi" w:hAnsiTheme="minorHAnsi" w:cstheme="minorHAnsi"/>
          <w:color w:val="auto"/>
          <w:lang w:val="en-AU" w:eastAsia="en-US"/>
        </w:rPr>
        <w:t xml:space="preserve">on education </w:t>
      </w:r>
      <w:r w:rsidR="00B37FBB">
        <w:rPr>
          <w:rFonts w:asciiTheme="minorHAnsi" w:hAnsiTheme="minorHAnsi" w:cstheme="minorHAnsi"/>
          <w:color w:val="auto"/>
          <w:lang w:val="en-AU" w:eastAsia="en-US"/>
        </w:rPr>
        <w:t>and health policy advocacy</w:t>
      </w:r>
      <w:r w:rsidRPr="0012389B">
        <w:rPr>
          <w:rFonts w:asciiTheme="minorHAnsi" w:hAnsiTheme="minorHAnsi" w:cstheme="minorHAnsi"/>
          <w:color w:val="auto"/>
          <w:lang w:val="en-AU" w:eastAsia="en-US"/>
        </w:rPr>
        <w:t>).</w:t>
      </w:r>
      <w:r w:rsidR="00F37227">
        <w:rPr>
          <w:rStyle w:val="FootnoteReference"/>
          <w:rFonts w:asciiTheme="minorHAnsi" w:hAnsiTheme="minorHAnsi" w:cstheme="minorHAnsi"/>
          <w:color w:val="auto"/>
          <w:lang w:val="en-AU" w:eastAsia="en-US"/>
        </w:rPr>
        <w:footnoteReference w:id="42"/>
      </w:r>
      <w:r w:rsidRPr="0012389B">
        <w:rPr>
          <w:rFonts w:asciiTheme="minorHAnsi" w:hAnsiTheme="minorHAnsi" w:cstheme="minorHAnsi"/>
          <w:color w:val="auto"/>
          <w:lang w:val="en-AU" w:eastAsia="en-US"/>
        </w:rPr>
        <w:t xml:space="preserve"> </w:t>
      </w:r>
      <w:r w:rsidR="00B37FBB">
        <w:rPr>
          <w:rFonts w:asciiTheme="minorHAnsi" w:hAnsiTheme="minorHAnsi" w:cstheme="minorHAnsi"/>
          <w:color w:val="auto"/>
          <w:lang w:val="en-AU" w:eastAsia="en-US"/>
        </w:rPr>
        <w:t>Up to two</w:t>
      </w:r>
      <w:r w:rsidRPr="0012389B">
        <w:rPr>
          <w:rFonts w:asciiTheme="minorHAnsi" w:hAnsiTheme="minorHAnsi" w:cstheme="minorHAnsi"/>
          <w:color w:val="auto"/>
          <w:lang w:val="en-AU" w:eastAsia="en-US"/>
        </w:rPr>
        <w:t xml:space="preserve"> BCEP learning events </w:t>
      </w:r>
      <w:r w:rsidR="00F37227">
        <w:rPr>
          <w:rFonts w:asciiTheme="minorHAnsi" w:hAnsiTheme="minorHAnsi" w:cstheme="minorHAnsi"/>
          <w:color w:val="auto"/>
          <w:lang w:val="en-AU" w:eastAsia="en-US"/>
        </w:rPr>
        <w:t xml:space="preserve">will be facilitated </w:t>
      </w:r>
      <w:r w:rsidRPr="0012389B">
        <w:rPr>
          <w:rFonts w:asciiTheme="minorHAnsi" w:hAnsiTheme="minorHAnsi" w:cstheme="minorHAnsi"/>
          <w:color w:val="auto"/>
          <w:lang w:val="en-AU" w:eastAsia="en-US"/>
        </w:rPr>
        <w:t xml:space="preserve">on identified topics per year. </w:t>
      </w:r>
    </w:p>
    <w:p w14:paraId="5A76C625" w14:textId="0ECBF1C3" w:rsidR="00A62F5F" w:rsidRPr="0012389B" w:rsidRDefault="00A62F5F" w:rsidP="00791619">
      <w:pPr>
        <w:pStyle w:val="BodyTextHanging"/>
        <w:numPr>
          <w:ilvl w:val="0"/>
          <w:numId w:val="12"/>
        </w:numPr>
        <w:spacing w:after="160" w:line="259" w:lineRule="auto"/>
        <w:ind w:hanging="357"/>
        <w:jc w:val="both"/>
        <w:rPr>
          <w:rFonts w:asciiTheme="minorHAnsi" w:hAnsiTheme="minorHAnsi" w:cstheme="minorHAnsi"/>
          <w:color w:val="auto"/>
          <w:lang w:val="en-AU" w:eastAsia="en-US"/>
        </w:rPr>
      </w:pPr>
      <w:r w:rsidRPr="0012389B">
        <w:rPr>
          <w:rFonts w:asciiTheme="minorHAnsi" w:hAnsiTheme="minorHAnsi" w:cstheme="minorHAnsi"/>
          <w:b/>
          <w:bCs/>
          <w:color w:val="auto"/>
          <w:lang w:val="en-AU" w:eastAsia="en-US"/>
        </w:rPr>
        <w:t>CPP Learning processes:</w:t>
      </w:r>
      <w:r w:rsidRPr="0012389B">
        <w:rPr>
          <w:rFonts w:asciiTheme="minorHAnsi" w:hAnsiTheme="minorHAnsi" w:cstheme="minorHAnsi"/>
          <w:color w:val="auto"/>
          <w:lang w:val="en-AU" w:eastAsia="en-US"/>
        </w:rPr>
        <w:t xml:space="preserve"> The CPPCO will facilitate learning reflection processes on thematic areas and overall progress against the CPP </w:t>
      </w:r>
      <w:proofErr w:type="spellStart"/>
      <w:r w:rsidRPr="0012389B">
        <w:rPr>
          <w:rFonts w:asciiTheme="minorHAnsi" w:hAnsiTheme="minorHAnsi" w:cstheme="minorHAnsi"/>
          <w:color w:val="auto"/>
          <w:lang w:val="en-AU" w:eastAsia="en-US"/>
        </w:rPr>
        <w:t>ToC</w:t>
      </w:r>
      <w:proofErr w:type="spellEnd"/>
      <w:r w:rsidRPr="0012389B">
        <w:rPr>
          <w:rFonts w:asciiTheme="minorHAnsi" w:hAnsiTheme="minorHAnsi" w:cstheme="minorHAnsi"/>
          <w:color w:val="auto"/>
          <w:lang w:val="en-AU" w:eastAsia="en-US"/>
        </w:rPr>
        <w:t xml:space="preserve">. The former processes will build on existing CPP forums and groups for GEDSI, </w:t>
      </w:r>
      <w:r w:rsidR="000A5CD8" w:rsidRPr="0012389B">
        <w:rPr>
          <w:rFonts w:asciiTheme="minorHAnsi" w:hAnsiTheme="minorHAnsi" w:cstheme="minorHAnsi"/>
          <w:color w:val="auto"/>
          <w:lang w:val="en-AU" w:eastAsia="en-US"/>
        </w:rPr>
        <w:t>MEL</w:t>
      </w:r>
      <w:r w:rsidRPr="0012389B">
        <w:rPr>
          <w:rFonts w:asciiTheme="minorHAnsi" w:hAnsiTheme="minorHAnsi" w:cstheme="minorHAnsi"/>
          <w:color w:val="auto"/>
          <w:lang w:val="en-AU" w:eastAsia="en-US"/>
        </w:rPr>
        <w:t>, and financial management. The latter processes will focus on learning between partners on effective program implementation to deliver outcomes. CPP Learning is also expected to involve around 1-2 learning events on identified topics per year. Processes include:</w:t>
      </w:r>
    </w:p>
    <w:p w14:paraId="0A055855" w14:textId="77777777" w:rsidR="00E36753" w:rsidRDefault="00A62F5F" w:rsidP="00791619">
      <w:pPr>
        <w:pStyle w:val="ListParagraph"/>
        <w:numPr>
          <w:ilvl w:val="0"/>
          <w:numId w:val="4"/>
        </w:numPr>
        <w:suppressAutoHyphens/>
        <w:ind w:hanging="357"/>
        <w:jc w:val="both"/>
        <w:rPr>
          <w:rFonts w:cstheme="minorHAnsi"/>
        </w:rPr>
      </w:pPr>
      <w:r w:rsidRPr="0012389B">
        <w:rPr>
          <w:rFonts w:cstheme="minorHAnsi"/>
          <w:b/>
          <w:bCs/>
        </w:rPr>
        <w:t xml:space="preserve">Thematic Working Groups. </w:t>
      </w:r>
      <w:r w:rsidRPr="0012389B">
        <w:rPr>
          <w:rFonts w:cstheme="minorHAnsi"/>
        </w:rPr>
        <w:t>The CPPCO will continue to facilitate CPP Thematic Working Groups</w:t>
      </w:r>
      <w:r w:rsidR="0052451B">
        <w:rPr>
          <w:rFonts w:cstheme="minorHAnsi"/>
        </w:rPr>
        <w:t xml:space="preserve">, led by CPP partners. The topic for these groups will be discussed and agree with CPP partner in the Inception period, but some of the current thematic work groups are expected to continue. In addition, a </w:t>
      </w:r>
      <w:r w:rsidR="0052451B" w:rsidRPr="0012389B">
        <w:rPr>
          <w:rFonts w:cstheme="minorHAnsi"/>
        </w:rPr>
        <w:t xml:space="preserve">Social Accountability </w:t>
      </w:r>
      <w:r w:rsidR="0052451B">
        <w:rPr>
          <w:rFonts w:cstheme="minorHAnsi"/>
        </w:rPr>
        <w:t>thematic working group</w:t>
      </w:r>
      <w:r w:rsidR="00E36753">
        <w:rPr>
          <w:rFonts w:cstheme="minorHAnsi"/>
        </w:rPr>
        <w:t xml:space="preserve">, led by the PNGCC will be established. </w:t>
      </w:r>
    </w:p>
    <w:p w14:paraId="199C7081" w14:textId="31EA12B6" w:rsidR="00A62F5F" w:rsidRPr="00E36753" w:rsidRDefault="00304609" w:rsidP="00791619">
      <w:pPr>
        <w:pStyle w:val="ListParagraph"/>
        <w:numPr>
          <w:ilvl w:val="0"/>
          <w:numId w:val="4"/>
        </w:numPr>
        <w:suppressAutoHyphens/>
        <w:ind w:hanging="357"/>
        <w:jc w:val="both"/>
        <w:rPr>
          <w:rFonts w:cstheme="minorHAnsi"/>
        </w:rPr>
      </w:pPr>
      <w:r>
        <w:rPr>
          <w:rFonts w:cstheme="minorHAnsi"/>
          <w:b/>
          <w:bCs/>
        </w:rPr>
        <w:t>Standing</w:t>
      </w:r>
      <w:r w:rsidR="00E36753">
        <w:rPr>
          <w:rFonts w:cstheme="minorHAnsi"/>
          <w:b/>
          <w:bCs/>
        </w:rPr>
        <w:t xml:space="preserve"> Committees.</w:t>
      </w:r>
      <w:r w:rsidR="00E36753">
        <w:rPr>
          <w:rFonts w:cstheme="minorHAnsi"/>
        </w:rPr>
        <w:t xml:space="preserve"> The CPPCO will facilitate and lead </w:t>
      </w:r>
      <w:r>
        <w:rPr>
          <w:rFonts w:cstheme="minorHAnsi"/>
        </w:rPr>
        <w:t>standing</w:t>
      </w:r>
      <w:r w:rsidR="00E36753">
        <w:rPr>
          <w:rFonts w:cstheme="minorHAnsi"/>
        </w:rPr>
        <w:t xml:space="preserve"> committee</w:t>
      </w:r>
      <w:r>
        <w:rPr>
          <w:rFonts w:cstheme="minorHAnsi"/>
        </w:rPr>
        <w:t>s (SC)</w:t>
      </w:r>
      <w:r w:rsidR="00E36753">
        <w:rPr>
          <w:rFonts w:cstheme="minorHAnsi"/>
        </w:rPr>
        <w:t xml:space="preserve"> to promote organisation development in the three key areas of: GEDSI, MEL and financial </w:t>
      </w:r>
      <w:r w:rsidR="00E36753">
        <w:rPr>
          <w:rFonts w:cstheme="minorHAnsi"/>
        </w:rPr>
        <w:lastRenderedPageBreak/>
        <w:t>management. These working committees will build on the CPP groups already established in these areas.</w:t>
      </w:r>
    </w:p>
    <w:p w14:paraId="2194D065" w14:textId="30F2E3E4" w:rsidR="00A62F5F" w:rsidRPr="0012389B" w:rsidRDefault="00A62F5F" w:rsidP="00791619">
      <w:pPr>
        <w:pStyle w:val="ListParagraph"/>
        <w:numPr>
          <w:ilvl w:val="0"/>
          <w:numId w:val="4"/>
        </w:numPr>
        <w:suppressAutoHyphens/>
        <w:ind w:hanging="357"/>
        <w:jc w:val="both"/>
      </w:pPr>
      <w:r w:rsidRPr="0012389B">
        <w:rPr>
          <w:rFonts w:cstheme="minorHAnsi"/>
          <w:b/>
          <w:bCs/>
        </w:rPr>
        <w:t xml:space="preserve">CPP Six-monthly partner reflections and learning forums. </w:t>
      </w:r>
      <w:r w:rsidRPr="0012389B">
        <w:rPr>
          <w:rFonts w:cstheme="minorHAnsi"/>
        </w:rPr>
        <w:t xml:space="preserve">These will </w:t>
      </w:r>
      <w:r w:rsidRPr="0012389B">
        <w:rPr>
          <w:lang w:eastAsia="en-AU"/>
        </w:rPr>
        <w:t>mainly comprise the members of the SDT and should include finance team representatives.</w:t>
      </w:r>
      <w:r w:rsidRPr="0012389B">
        <w:rPr>
          <w:vertAlign w:val="superscript"/>
          <w:lang w:eastAsia="en-AU"/>
        </w:rPr>
        <w:footnoteReference w:id="43"/>
      </w:r>
      <w:r w:rsidRPr="0012389B">
        <w:rPr>
          <w:lang w:eastAsia="en-AU"/>
        </w:rPr>
        <w:t xml:space="preserve"> </w:t>
      </w:r>
      <w:r w:rsidRPr="0012389B">
        <w:t>These meetings focus on reviewing program progress as captured in six-monthly reports to DFAT with a focus on discussing learning and analysing how to improve program outcomes. These will be facilitated by the CPPCO and involve the current members</w:t>
      </w:r>
      <w:r w:rsidRPr="0012389B">
        <w:rPr>
          <w:rStyle w:val="FootnoteReference"/>
        </w:rPr>
        <w:footnoteReference w:id="44"/>
      </w:r>
      <w:r w:rsidRPr="0012389B">
        <w:t xml:space="preserve"> of the SDT/</w:t>
      </w:r>
      <w:proofErr w:type="spellStart"/>
      <w:r w:rsidRPr="0012389B">
        <w:t>SoG</w:t>
      </w:r>
      <w:proofErr w:type="spellEnd"/>
      <w:r w:rsidR="000F2809" w:rsidRPr="0012389B">
        <w:t xml:space="preserve">. </w:t>
      </w:r>
      <w:r w:rsidRPr="0012389B">
        <w:rPr>
          <w:rStyle w:val="FootnoteReference"/>
        </w:rPr>
        <w:footnoteReference w:id="45"/>
      </w:r>
    </w:p>
    <w:p w14:paraId="650B69C3" w14:textId="77777777" w:rsidR="00A62F5F" w:rsidRPr="0012389B" w:rsidRDefault="00A62F5F" w:rsidP="00791619">
      <w:pPr>
        <w:pStyle w:val="Heading2"/>
        <w:jc w:val="both"/>
        <w:rPr>
          <w:b/>
          <w:bCs/>
          <w:sz w:val="24"/>
          <w:szCs w:val="24"/>
        </w:rPr>
      </w:pPr>
      <w:bookmarkStart w:id="117" w:name="_Toc97305478"/>
      <w:bookmarkStart w:id="118" w:name="_Toc99041678"/>
      <w:r w:rsidRPr="0012389B">
        <w:rPr>
          <w:b/>
          <w:bCs/>
          <w:sz w:val="24"/>
          <w:szCs w:val="24"/>
        </w:rPr>
        <w:t xml:space="preserve">6.6 </w:t>
      </w:r>
      <w:bookmarkStart w:id="119" w:name="_Toc61015722"/>
      <w:bookmarkEnd w:id="98"/>
      <w:r w:rsidRPr="0012389B">
        <w:rPr>
          <w:b/>
          <w:bCs/>
          <w:sz w:val="24"/>
          <w:szCs w:val="24"/>
        </w:rPr>
        <w:tab/>
        <w:t>Resourc</w:t>
      </w:r>
      <w:bookmarkEnd w:id="119"/>
      <w:r w:rsidRPr="0012389B">
        <w:rPr>
          <w:b/>
          <w:bCs/>
          <w:sz w:val="24"/>
          <w:szCs w:val="24"/>
        </w:rPr>
        <w:t>es</w:t>
      </w:r>
      <w:bookmarkEnd w:id="117"/>
      <w:bookmarkEnd w:id="118"/>
    </w:p>
    <w:p w14:paraId="01E54B17" w14:textId="1EF41E3A" w:rsidR="00A62F5F" w:rsidRPr="0012389B" w:rsidRDefault="00A62F5F" w:rsidP="00791619">
      <w:pPr>
        <w:pStyle w:val="BodyTextHanging"/>
        <w:spacing w:after="160" w:line="259" w:lineRule="auto"/>
        <w:jc w:val="both"/>
        <w:rPr>
          <w:color w:val="auto"/>
          <w:lang w:val="en-AU"/>
        </w:rPr>
      </w:pPr>
      <w:r w:rsidRPr="0012389B">
        <w:rPr>
          <w:color w:val="auto"/>
          <w:lang w:val="en-AU"/>
        </w:rPr>
        <w:t xml:space="preserve">CPP resourcing for MEL is expected to follow BCEP resourcing levels. The CPPCO is expected to spend approximately </w:t>
      </w:r>
      <w:r w:rsidR="00304609">
        <w:rPr>
          <w:color w:val="auto"/>
          <w:lang w:val="en-AU"/>
        </w:rPr>
        <w:t>10</w:t>
      </w:r>
      <w:r w:rsidRPr="0012389B">
        <w:rPr>
          <w:color w:val="auto"/>
          <w:lang w:val="en-AU"/>
        </w:rPr>
        <w:t xml:space="preserve">% of its budget on MEL resources. The CPPCO is expected to have a similar structure to the current phase, with 6-7 full-time professionals. This will include one senior MEL professional and a junior professional, primarily responsible for data collation. However, all members of the CPPCO will have some responsibility for MEL, under the leadership of the senior MEL CPPCO professional. This senior CPPCO MEL professional will be responsible for developing and implementing the CPP MEL plan and framework, as well as oversighting MEL capacity development to partners. They will work closely with the BCEP MEL professional (in the BCEP Program Management Team). </w:t>
      </w:r>
    </w:p>
    <w:p w14:paraId="547E5E63" w14:textId="2632BB58" w:rsidR="00A62F5F" w:rsidRPr="0012389B" w:rsidRDefault="00A62F5F" w:rsidP="00791619">
      <w:pPr>
        <w:pStyle w:val="BodyTextHanging"/>
        <w:spacing w:after="160" w:line="259" w:lineRule="auto"/>
        <w:jc w:val="both"/>
        <w:rPr>
          <w:color w:val="auto"/>
          <w:lang w:val="en-AU"/>
        </w:rPr>
      </w:pPr>
      <w:r w:rsidRPr="0012389B">
        <w:rPr>
          <w:color w:val="auto"/>
          <w:lang w:val="en-AU"/>
        </w:rPr>
        <w:t xml:space="preserve">Similarly, each partner is expected to allocate </w:t>
      </w:r>
      <w:r w:rsidR="00E36753">
        <w:rPr>
          <w:color w:val="auto"/>
          <w:lang w:val="en-AU"/>
        </w:rPr>
        <w:t>7</w:t>
      </w:r>
      <w:r w:rsidR="00BF03D8">
        <w:rPr>
          <w:color w:val="auto"/>
          <w:lang w:val="en-AU"/>
        </w:rPr>
        <w:t>-10</w:t>
      </w:r>
      <w:r w:rsidRPr="0012389B">
        <w:rPr>
          <w:color w:val="auto"/>
          <w:lang w:val="en-AU"/>
        </w:rPr>
        <w:t xml:space="preserve">% of their budgets to MEL. Most partners already have dedicated MEL professionals. In the Inception Phase, the CPPCO will work with partners to confirm their MEL resourcing requirements when helping them develop their own MELF.   </w:t>
      </w:r>
    </w:p>
    <w:p w14:paraId="0EF7DC2E" w14:textId="2F624ACC" w:rsidR="00A62F5F" w:rsidRPr="0012389B" w:rsidRDefault="00A62F5F" w:rsidP="00791619">
      <w:pPr>
        <w:pStyle w:val="BodyTextHanging"/>
        <w:spacing w:after="160" w:line="259" w:lineRule="auto"/>
        <w:jc w:val="both"/>
        <w:rPr>
          <w:color w:val="auto"/>
          <w:lang w:val="en-AU"/>
        </w:rPr>
      </w:pPr>
      <w:r w:rsidRPr="0012389B">
        <w:rPr>
          <w:color w:val="auto"/>
          <w:lang w:val="en-AU"/>
        </w:rPr>
        <w:t xml:space="preserve">In recognition of the limited expertise in MEL in PNG, the CPP </w:t>
      </w:r>
      <w:r w:rsidR="000A5CD8" w:rsidRPr="0012389B">
        <w:rPr>
          <w:color w:val="auto"/>
          <w:lang w:val="en-AU"/>
        </w:rPr>
        <w:t>MEL</w:t>
      </w:r>
      <w:r w:rsidRPr="0012389B">
        <w:rPr>
          <w:color w:val="auto"/>
          <w:lang w:val="en-AU"/>
        </w:rPr>
        <w:t xml:space="preserve"> working group provide an important mechanism for developing the skills of partners as well as CPPCO staff. </w:t>
      </w:r>
    </w:p>
    <w:p w14:paraId="55C67D84" w14:textId="77777777" w:rsidR="00A62F5F" w:rsidRPr="0012389B" w:rsidRDefault="00A62F5F" w:rsidP="00791619">
      <w:pPr>
        <w:jc w:val="both"/>
        <w:rPr>
          <w:rFonts w:cstheme="minorHAnsi"/>
          <w:color w:val="000000" w:themeColor="text1"/>
          <w:highlight w:val="cyan"/>
        </w:rPr>
      </w:pPr>
      <w:r w:rsidRPr="0012389B">
        <w:rPr>
          <w:rFonts w:cstheme="minorHAnsi"/>
        </w:rPr>
        <w:t xml:space="preserve">The development of three-year partner program plans with MEL Frameworks, capacity development plans and budgets are one of the main innovations of the next phase. The CPPCO will provide detailed guidance and support to partners in the development of these program plans (see section 5.2). </w:t>
      </w:r>
    </w:p>
    <w:p w14:paraId="779EF64A" w14:textId="53CDD9A4" w:rsidR="00A62F5F" w:rsidRPr="0012389B" w:rsidRDefault="00A62F5F" w:rsidP="00791619">
      <w:pPr>
        <w:suppressAutoHyphens/>
        <w:contextualSpacing/>
        <w:jc w:val="both"/>
        <w:rPr>
          <w:rFonts w:cstheme="minorHAnsi"/>
          <w:color w:val="000000" w:themeColor="text1"/>
        </w:rPr>
      </w:pPr>
      <w:r w:rsidRPr="0012389B">
        <w:rPr>
          <w:rFonts w:cstheme="minorHAnsi"/>
          <w:color w:val="000000" w:themeColor="text1"/>
        </w:rPr>
        <w:t>For partners who have existing development work program plans, CPP will seek to base funding around these existing strategies. Partner will be asked to identify elements of their strategies most relevant to CPP outcomes.</w:t>
      </w:r>
    </w:p>
    <w:p w14:paraId="285B6E7E" w14:textId="77777777" w:rsidR="00A62F5F" w:rsidRPr="0012389B" w:rsidRDefault="00A62F5F" w:rsidP="00791619">
      <w:pPr>
        <w:pStyle w:val="Heading2"/>
        <w:jc w:val="both"/>
        <w:rPr>
          <w:b/>
          <w:bCs/>
          <w:sz w:val="24"/>
          <w:szCs w:val="24"/>
        </w:rPr>
      </w:pPr>
      <w:bookmarkStart w:id="120" w:name="_Toc97187860"/>
      <w:bookmarkStart w:id="121" w:name="_Toc97305479"/>
      <w:bookmarkStart w:id="122" w:name="_Toc99041679"/>
      <w:r w:rsidRPr="0012389B">
        <w:rPr>
          <w:b/>
          <w:bCs/>
          <w:sz w:val="24"/>
          <w:szCs w:val="24"/>
        </w:rPr>
        <w:t>6.6</w:t>
      </w:r>
      <w:r w:rsidRPr="0012389B">
        <w:rPr>
          <w:b/>
          <w:bCs/>
          <w:sz w:val="24"/>
          <w:szCs w:val="24"/>
        </w:rPr>
        <w:tab/>
        <w:t>Evaluation</w:t>
      </w:r>
      <w:bookmarkEnd w:id="120"/>
      <w:bookmarkEnd w:id="121"/>
      <w:bookmarkEnd w:id="122"/>
    </w:p>
    <w:p w14:paraId="56AAAA1E" w14:textId="6FF80F8B" w:rsidR="00A62F5F" w:rsidRPr="0012389B" w:rsidRDefault="00A62F5F" w:rsidP="00791619">
      <w:pPr>
        <w:pStyle w:val="BodyTextHanging"/>
        <w:spacing w:after="160"/>
        <w:jc w:val="both"/>
        <w:rPr>
          <w:rFonts w:asciiTheme="minorHAnsi" w:hAnsiTheme="minorHAnsi"/>
          <w:color w:val="auto"/>
          <w:lang w:val="en-AU" w:eastAsia="en-US"/>
        </w:rPr>
      </w:pPr>
      <w:r w:rsidRPr="0012389B">
        <w:rPr>
          <w:rFonts w:asciiTheme="minorHAnsi" w:hAnsiTheme="minorHAnsi"/>
          <w:color w:val="auto"/>
          <w:lang w:val="en-AU" w:eastAsia="en-US"/>
        </w:rPr>
        <w:t xml:space="preserve">The next phase of CPP is to be implemented over </w:t>
      </w:r>
      <w:r w:rsidR="00C0284E">
        <w:rPr>
          <w:rFonts w:asciiTheme="minorHAnsi" w:hAnsiTheme="minorHAnsi"/>
          <w:color w:val="auto"/>
          <w:lang w:val="en-AU" w:eastAsia="en-US"/>
        </w:rPr>
        <w:t>7.5</w:t>
      </w:r>
      <w:r w:rsidRPr="0012389B">
        <w:rPr>
          <w:rFonts w:asciiTheme="minorHAnsi" w:hAnsiTheme="minorHAnsi"/>
          <w:color w:val="auto"/>
          <w:lang w:val="en-AU" w:eastAsia="en-US"/>
        </w:rPr>
        <w:t xml:space="preserve"> years, divided into an initial </w:t>
      </w:r>
      <w:proofErr w:type="gramStart"/>
      <w:r w:rsidR="00C0284E">
        <w:rPr>
          <w:rFonts w:asciiTheme="minorHAnsi" w:hAnsiTheme="minorHAnsi"/>
          <w:color w:val="auto"/>
          <w:lang w:val="en-AU" w:eastAsia="en-US"/>
        </w:rPr>
        <w:t xml:space="preserve">3.5 </w:t>
      </w:r>
      <w:r w:rsidRPr="0012389B">
        <w:rPr>
          <w:rFonts w:asciiTheme="minorHAnsi" w:hAnsiTheme="minorHAnsi"/>
          <w:color w:val="auto"/>
          <w:lang w:val="en-AU" w:eastAsia="en-US"/>
        </w:rPr>
        <w:t>year</w:t>
      </w:r>
      <w:proofErr w:type="gramEnd"/>
      <w:r w:rsidRPr="0012389B">
        <w:rPr>
          <w:rFonts w:asciiTheme="minorHAnsi" w:hAnsiTheme="minorHAnsi"/>
          <w:color w:val="auto"/>
          <w:lang w:val="en-AU" w:eastAsia="en-US"/>
        </w:rPr>
        <w:t xml:space="preserve"> </w:t>
      </w:r>
      <w:r w:rsidR="00B51D59" w:rsidRPr="0012389B">
        <w:rPr>
          <w:rFonts w:asciiTheme="minorHAnsi" w:hAnsiTheme="minorHAnsi"/>
          <w:color w:val="auto"/>
          <w:lang w:val="en-AU" w:eastAsia="en-US"/>
        </w:rPr>
        <w:t>period</w:t>
      </w:r>
      <w:r w:rsidRPr="0012389B">
        <w:rPr>
          <w:rFonts w:asciiTheme="minorHAnsi" w:hAnsiTheme="minorHAnsi"/>
          <w:color w:val="auto"/>
          <w:lang w:val="en-AU" w:eastAsia="en-US"/>
        </w:rPr>
        <w:t xml:space="preserve">, with a possible four-year extension. An independent </w:t>
      </w:r>
      <w:r w:rsidR="00F97B6E" w:rsidRPr="0012389B">
        <w:rPr>
          <w:rFonts w:asciiTheme="minorHAnsi" w:hAnsiTheme="minorHAnsi"/>
          <w:color w:val="auto"/>
          <w:lang w:val="en-AU" w:eastAsia="en-US"/>
        </w:rPr>
        <w:t>m</w:t>
      </w:r>
      <w:r w:rsidRPr="0012389B">
        <w:rPr>
          <w:rFonts w:asciiTheme="minorHAnsi" w:hAnsiTheme="minorHAnsi"/>
          <w:color w:val="auto"/>
          <w:lang w:val="en-AU" w:eastAsia="en-US"/>
        </w:rPr>
        <w:t>id</w:t>
      </w:r>
      <w:r w:rsidR="00F97B6E" w:rsidRPr="0012389B">
        <w:rPr>
          <w:rFonts w:asciiTheme="minorHAnsi" w:hAnsiTheme="minorHAnsi"/>
          <w:color w:val="auto"/>
          <w:lang w:val="en-AU" w:eastAsia="en-US"/>
        </w:rPr>
        <w:t>-t</w:t>
      </w:r>
      <w:r w:rsidRPr="0012389B">
        <w:rPr>
          <w:rFonts w:asciiTheme="minorHAnsi" w:hAnsiTheme="minorHAnsi"/>
          <w:color w:val="auto"/>
          <w:lang w:val="en-AU" w:eastAsia="en-US"/>
        </w:rPr>
        <w:t xml:space="preserve">erm </w:t>
      </w:r>
      <w:r w:rsidR="00F97B6E" w:rsidRPr="0012389B">
        <w:rPr>
          <w:rFonts w:asciiTheme="minorHAnsi" w:hAnsiTheme="minorHAnsi"/>
          <w:color w:val="auto"/>
          <w:lang w:val="en-AU" w:eastAsia="en-US"/>
        </w:rPr>
        <w:t>r</w:t>
      </w:r>
      <w:r w:rsidRPr="0012389B">
        <w:rPr>
          <w:rFonts w:asciiTheme="minorHAnsi" w:hAnsiTheme="minorHAnsi"/>
          <w:color w:val="auto"/>
          <w:lang w:val="en-AU" w:eastAsia="en-US"/>
        </w:rPr>
        <w:t xml:space="preserve">eview of CPP will be conducted </w:t>
      </w:r>
      <w:r w:rsidR="002547E9">
        <w:rPr>
          <w:rFonts w:asciiTheme="minorHAnsi" w:hAnsiTheme="minorHAnsi"/>
          <w:color w:val="auto"/>
          <w:lang w:val="en-AU" w:eastAsia="en-US"/>
        </w:rPr>
        <w:t>a</w:t>
      </w:r>
      <w:r w:rsidR="002D78A4">
        <w:rPr>
          <w:rFonts w:asciiTheme="minorHAnsi" w:hAnsiTheme="minorHAnsi"/>
          <w:color w:val="auto"/>
          <w:lang w:val="en-AU" w:eastAsia="en-US"/>
        </w:rPr>
        <w:t>fter</w:t>
      </w:r>
      <w:r w:rsidR="002547E9">
        <w:rPr>
          <w:rFonts w:asciiTheme="minorHAnsi" w:hAnsiTheme="minorHAnsi"/>
          <w:color w:val="auto"/>
          <w:lang w:val="en-AU" w:eastAsia="en-US"/>
        </w:rPr>
        <w:t xml:space="preserve"> approximately </w:t>
      </w:r>
      <w:r w:rsidRPr="0012389B">
        <w:rPr>
          <w:rFonts w:asciiTheme="minorHAnsi" w:hAnsiTheme="minorHAnsi"/>
          <w:color w:val="auto"/>
          <w:lang w:val="en-AU" w:eastAsia="en-US"/>
        </w:rPr>
        <w:t>three years</w:t>
      </w:r>
      <w:r w:rsidR="002D78A4">
        <w:rPr>
          <w:rFonts w:asciiTheme="minorHAnsi" w:hAnsiTheme="minorHAnsi"/>
          <w:color w:val="auto"/>
          <w:lang w:val="en-AU" w:eastAsia="en-US"/>
        </w:rPr>
        <w:t xml:space="preserve"> of</w:t>
      </w:r>
      <w:r w:rsidRPr="0012389B">
        <w:rPr>
          <w:rFonts w:asciiTheme="minorHAnsi" w:hAnsiTheme="minorHAnsi"/>
          <w:color w:val="auto"/>
          <w:lang w:val="en-AU" w:eastAsia="en-US"/>
        </w:rPr>
        <w:t xml:space="preserve"> implementation to assess effectiveness and likelihood of achieving program outcomes by the end of the four-year </w:t>
      </w:r>
      <w:r w:rsidR="0079184B">
        <w:rPr>
          <w:rFonts w:asciiTheme="minorHAnsi" w:hAnsiTheme="minorHAnsi"/>
          <w:color w:val="auto"/>
          <w:lang w:val="en-AU" w:eastAsia="en-US"/>
        </w:rPr>
        <w:t xml:space="preserve">extension </w:t>
      </w:r>
      <w:r w:rsidR="00B51D59" w:rsidRPr="0012389B">
        <w:rPr>
          <w:rFonts w:asciiTheme="minorHAnsi" w:hAnsiTheme="minorHAnsi"/>
          <w:color w:val="auto"/>
          <w:lang w:val="en-AU" w:eastAsia="en-US"/>
        </w:rPr>
        <w:t>period</w:t>
      </w:r>
      <w:r w:rsidRPr="0012389B">
        <w:rPr>
          <w:rFonts w:asciiTheme="minorHAnsi" w:hAnsiTheme="minorHAnsi"/>
          <w:color w:val="auto"/>
          <w:lang w:val="en-AU" w:eastAsia="en-US"/>
        </w:rPr>
        <w:t xml:space="preserve">. This review will be used to determine whether CPP is continued into the second </w:t>
      </w:r>
      <w:r w:rsidR="00B51D59" w:rsidRPr="0012389B">
        <w:rPr>
          <w:rFonts w:asciiTheme="minorHAnsi" w:hAnsiTheme="minorHAnsi"/>
          <w:color w:val="auto"/>
          <w:lang w:val="en-AU" w:eastAsia="en-US"/>
        </w:rPr>
        <w:t>period</w:t>
      </w:r>
      <w:r w:rsidRPr="0012389B">
        <w:rPr>
          <w:rFonts w:asciiTheme="minorHAnsi" w:hAnsiTheme="minorHAnsi"/>
          <w:color w:val="auto"/>
          <w:lang w:val="en-AU" w:eastAsia="en-US"/>
        </w:rPr>
        <w:t xml:space="preserve">. The CPP evaluation will also inform a similar </w:t>
      </w:r>
      <w:r w:rsidR="00F97B6E" w:rsidRPr="0012389B">
        <w:rPr>
          <w:rFonts w:asciiTheme="minorHAnsi" w:hAnsiTheme="minorHAnsi"/>
          <w:color w:val="auto"/>
          <w:lang w:val="en-AU" w:eastAsia="en-US"/>
        </w:rPr>
        <w:t>m</w:t>
      </w:r>
      <w:r w:rsidRPr="0012389B">
        <w:rPr>
          <w:rFonts w:asciiTheme="minorHAnsi" w:hAnsiTheme="minorHAnsi"/>
          <w:color w:val="auto"/>
          <w:lang w:val="en-AU" w:eastAsia="en-US"/>
        </w:rPr>
        <w:t>id</w:t>
      </w:r>
      <w:r w:rsidR="00F97B6E" w:rsidRPr="0012389B">
        <w:rPr>
          <w:rFonts w:asciiTheme="minorHAnsi" w:hAnsiTheme="minorHAnsi"/>
          <w:color w:val="auto"/>
          <w:lang w:val="en-AU" w:eastAsia="en-US"/>
        </w:rPr>
        <w:t>-t</w:t>
      </w:r>
      <w:r w:rsidRPr="0012389B">
        <w:rPr>
          <w:rFonts w:asciiTheme="minorHAnsi" w:hAnsiTheme="minorHAnsi"/>
          <w:color w:val="auto"/>
          <w:lang w:val="en-AU" w:eastAsia="en-US"/>
        </w:rPr>
        <w:t xml:space="preserve">erm </w:t>
      </w:r>
      <w:r w:rsidR="00F97B6E" w:rsidRPr="0012389B">
        <w:rPr>
          <w:rFonts w:asciiTheme="minorHAnsi" w:hAnsiTheme="minorHAnsi"/>
          <w:color w:val="auto"/>
          <w:lang w:val="en-AU" w:eastAsia="en-US"/>
        </w:rPr>
        <w:t>r</w:t>
      </w:r>
      <w:r w:rsidRPr="0012389B">
        <w:rPr>
          <w:rFonts w:asciiTheme="minorHAnsi" w:hAnsiTheme="minorHAnsi"/>
          <w:color w:val="auto"/>
          <w:lang w:val="en-AU" w:eastAsia="en-US"/>
        </w:rPr>
        <w:t xml:space="preserve">eview of the overall BCEP. </w:t>
      </w:r>
    </w:p>
    <w:p w14:paraId="0B5F4E34" w14:textId="77777777" w:rsidR="0002526B" w:rsidRDefault="00A62F5F" w:rsidP="00791619">
      <w:pPr>
        <w:pStyle w:val="BodyTextHanging"/>
        <w:spacing w:after="160"/>
        <w:jc w:val="both"/>
        <w:rPr>
          <w:rFonts w:asciiTheme="minorHAnsi" w:hAnsiTheme="minorHAnsi"/>
          <w:color w:val="auto"/>
          <w:lang w:val="en-AU" w:eastAsia="en-US"/>
        </w:rPr>
      </w:pPr>
      <w:r w:rsidRPr="0012389B">
        <w:rPr>
          <w:rFonts w:asciiTheme="minorHAnsi" w:hAnsiTheme="minorHAnsi"/>
          <w:color w:val="auto"/>
          <w:lang w:val="en-AU" w:eastAsia="en-US"/>
        </w:rPr>
        <w:t>In addition, the CPP will support evaluations of individual partners’ strategic and thematic collective action work.</w:t>
      </w:r>
    </w:p>
    <w:p w14:paraId="58DD0777" w14:textId="7564014B" w:rsidR="00A62F5F" w:rsidRPr="0012389B" w:rsidRDefault="00A62F5F" w:rsidP="00791619">
      <w:pPr>
        <w:pStyle w:val="Heading1"/>
        <w:numPr>
          <w:ilvl w:val="0"/>
          <w:numId w:val="1"/>
        </w:numPr>
        <w:spacing w:after="240"/>
        <w:ind w:hanging="720"/>
        <w:jc w:val="both"/>
        <w:rPr>
          <w:rFonts w:ascii="Arial" w:hAnsi="Arial" w:cs="Arial"/>
          <w:sz w:val="28"/>
          <w:szCs w:val="28"/>
        </w:rPr>
      </w:pPr>
      <w:bookmarkStart w:id="123" w:name="_Toc99041680"/>
      <w:bookmarkStart w:id="124" w:name="_Toc97305480"/>
      <w:bookmarkStart w:id="125" w:name="_Toc97187861"/>
      <w:r w:rsidRPr="0012389B">
        <w:rPr>
          <w:rFonts w:ascii="Arial" w:hAnsi="Arial" w:cs="Arial"/>
          <w:sz w:val="28"/>
          <w:szCs w:val="28"/>
        </w:rPr>
        <w:lastRenderedPageBreak/>
        <w:t>Budget</w:t>
      </w:r>
      <w:bookmarkEnd w:id="123"/>
      <w:r w:rsidRPr="0012389B">
        <w:rPr>
          <w:rFonts w:ascii="Arial" w:hAnsi="Arial" w:cs="Arial"/>
          <w:sz w:val="28"/>
          <w:szCs w:val="28"/>
        </w:rPr>
        <w:t xml:space="preserve"> </w:t>
      </w:r>
      <w:bookmarkEnd w:id="124"/>
      <w:bookmarkEnd w:id="125"/>
    </w:p>
    <w:p w14:paraId="254548F3" w14:textId="18928519" w:rsidR="00AE4DEE" w:rsidRDefault="00A62F5F" w:rsidP="00791619">
      <w:pPr>
        <w:pStyle w:val="Heading2"/>
        <w:numPr>
          <w:ilvl w:val="1"/>
          <w:numId w:val="1"/>
        </w:numPr>
        <w:ind w:left="709" w:hanging="709"/>
        <w:jc w:val="both"/>
        <w:rPr>
          <w:b/>
          <w:bCs/>
          <w:sz w:val="24"/>
          <w:szCs w:val="24"/>
        </w:rPr>
      </w:pPr>
      <w:bookmarkStart w:id="126" w:name="_Toc97187862"/>
      <w:bookmarkStart w:id="127" w:name="_Toc97305481"/>
      <w:bookmarkStart w:id="128" w:name="_Toc99041681"/>
      <w:r w:rsidRPr="0012389B">
        <w:rPr>
          <w:b/>
          <w:bCs/>
          <w:sz w:val="24"/>
          <w:szCs w:val="24"/>
        </w:rPr>
        <w:t xml:space="preserve">High level </w:t>
      </w:r>
      <w:r w:rsidR="00A758FF" w:rsidRPr="0012389B">
        <w:rPr>
          <w:b/>
          <w:bCs/>
          <w:sz w:val="24"/>
          <w:szCs w:val="24"/>
        </w:rPr>
        <w:t xml:space="preserve">Program </w:t>
      </w:r>
      <w:r w:rsidRPr="0012389B">
        <w:rPr>
          <w:b/>
          <w:bCs/>
          <w:sz w:val="24"/>
          <w:szCs w:val="24"/>
        </w:rPr>
        <w:t>budget breakdown</w:t>
      </w:r>
      <w:bookmarkEnd w:id="126"/>
      <w:bookmarkEnd w:id="127"/>
      <w:bookmarkEnd w:id="128"/>
    </w:p>
    <w:p w14:paraId="4808C475" w14:textId="2F27C1D4" w:rsidR="00E36753" w:rsidRDefault="00E36753" w:rsidP="00791619">
      <w:pPr>
        <w:jc w:val="both"/>
      </w:pPr>
      <w:r>
        <w:t xml:space="preserve">Table </w:t>
      </w:r>
      <w:r w:rsidR="002D78A4">
        <w:t>1</w:t>
      </w:r>
      <w:r>
        <w:t xml:space="preserve"> below provides a high-level break</w:t>
      </w:r>
      <w:r w:rsidR="00315761">
        <w:t>down</w:t>
      </w:r>
      <w:r>
        <w:t xml:space="preserve"> of the budget</w:t>
      </w:r>
      <w:r w:rsidR="00B84C0D">
        <w:t xml:space="preserve"> for CPP 4.1</w:t>
      </w:r>
      <w:r>
        <w:t xml:space="preserve">. </w:t>
      </w:r>
      <w:r w:rsidR="00B84C0D">
        <w:t xml:space="preserve">This budget is further explained below. </w:t>
      </w:r>
    </w:p>
    <w:p w14:paraId="2D80B499" w14:textId="158FF461" w:rsidR="00B84C0D" w:rsidRPr="00B84C0D" w:rsidRDefault="00B84C0D" w:rsidP="00791619">
      <w:pPr>
        <w:pStyle w:val="Caption"/>
        <w:spacing w:after="0"/>
        <w:jc w:val="both"/>
      </w:pPr>
      <w:r w:rsidRPr="00B84C0D">
        <w:t xml:space="preserve">Table </w:t>
      </w:r>
      <w:r w:rsidR="0002526B">
        <w:t>1</w:t>
      </w:r>
      <w:r w:rsidRPr="00B84C0D">
        <w:t>: Indicative, high-level CPP 4.1 budget breakdown</w:t>
      </w:r>
    </w:p>
    <w:tbl>
      <w:tblPr>
        <w:tblStyle w:val="TableGrid"/>
        <w:tblW w:w="0" w:type="auto"/>
        <w:tblLook w:val="04A0" w:firstRow="1" w:lastRow="0" w:firstColumn="1" w:lastColumn="0" w:noHBand="0" w:noVBand="1"/>
      </w:tblPr>
      <w:tblGrid>
        <w:gridCol w:w="3153"/>
        <w:gridCol w:w="1149"/>
        <w:gridCol w:w="1149"/>
        <w:gridCol w:w="1149"/>
        <w:gridCol w:w="1149"/>
        <w:gridCol w:w="1267"/>
      </w:tblGrid>
      <w:tr w:rsidR="005A35E5" w:rsidRPr="00B84C0D" w14:paraId="7D0CD8DF" w14:textId="77777777" w:rsidTr="00B84C0D">
        <w:trPr>
          <w:trHeight w:val="290"/>
        </w:trPr>
        <w:tc>
          <w:tcPr>
            <w:tcW w:w="3153" w:type="dxa"/>
            <w:shd w:val="clear" w:color="auto" w:fill="BFBFBF" w:themeFill="background1" w:themeFillShade="BF"/>
            <w:noWrap/>
            <w:hideMark/>
          </w:tcPr>
          <w:p w14:paraId="5BCCAAAE" w14:textId="77777777" w:rsidR="005A35E5" w:rsidRPr="00B84C0D" w:rsidRDefault="005A35E5" w:rsidP="00791619">
            <w:pPr>
              <w:jc w:val="both"/>
              <w:rPr>
                <w:rFonts w:cstheme="minorHAnsi"/>
                <w:b/>
                <w:bCs/>
                <w:sz w:val="20"/>
                <w:szCs w:val="20"/>
              </w:rPr>
            </w:pPr>
            <w:r w:rsidRPr="00B84C0D">
              <w:rPr>
                <w:rFonts w:cstheme="minorHAnsi"/>
                <w:b/>
                <w:bCs/>
                <w:sz w:val="20"/>
                <w:szCs w:val="20"/>
              </w:rPr>
              <w:t>Item</w:t>
            </w:r>
          </w:p>
        </w:tc>
        <w:tc>
          <w:tcPr>
            <w:tcW w:w="1149" w:type="dxa"/>
            <w:shd w:val="clear" w:color="auto" w:fill="BFBFBF" w:themeFill="background1" w:themeFillShade="BF"/>
            <w:noWrap/>
            <w:hideMark/>
          </w:tcPr>
          <w:p w14:paraId="55BCABFA" w14:textId="77777777" w:rsidR="005A35E5" w:rsidRPr="00B84C0D" w:rsidRDefault="005A35E5" w:rsidP="00791619">
            <w:pPr>
              <w:jc w:val="both"/>
              <w:rPr>
                <w:rFonts w:cstheme="minorHAnsi"/>
                <w:b/>
                <w:bCs/>
                <w:sz w:val="20"/>
                <w:szCs w:val="20"/>
              </w:rPr>
            </w:pPr>
            <w:r w:rsidRPr="00B84C0D">
              <w:rPr>
                <w:rFonts w:cstheme="minorHAnsi"/>
                <w:b/>
                <w:bCs/>
                <w:sz w:val="20"/>
                <w:szCs w:val="20"/>
              </w:rPr>
              <w:t xml:space="preserve"> Year 1  </w:t>
            </w:r>
          </w:p>
        </w:tc>
        <w:tc>
          <w:tcPr>
            <w:tcW w:w="1149" w:type="dxa"/>
            <w:shd w:val="clear" w:color="auto" w:fill="BFBFBF" w:themeFill="background1" w:themeFillShade="BF"/>
            <w:noWrap/>
            <w:hideMark/>
          </w:tcPr>
          <w:p w14:paraId="421E7CB2" w14:textId="77777777" w:rsidR="005A35E5" w:rsidRPr="00B84C0D" w:rsidRDefault="005A35E5" w:rsidP="00791619">
            <w:pPr>
              <w:jc w:val="both"/>
              <w:rPr>
                <w:rFonts w:cstheme="minorHAnsi"/>
                <w:b/>
                <w:bCs/>
                <w:sz w:val="20"/>
                <w:szCs w:val="20"/>
              </w:rPr>
            </w:pPr>
            <w:r w:rsidRPr="00B84C0D">
              <w:rPr>
                <w:rFonts w:cstheme="minorHAnsi"/>
                <w:b/>
                <w:bCs/>
                <w:sz w:val="20"/>
                <w:szCs w:val="20"/>
              </w:rPr>
              <w:t xml:space="preserve">Year 2 </w:t>
            </w:r>
          </w:p>
        </w:tc>
        <w:tc>
          <w:tcPr>
            <w:tcW w:w="1149" w:type="dxa"/>
            <w:shd w:val="clear" w:color="auto" w:fill="BFBFBF" w:themeFill="background1" w:themeFillShade="BF"/>
            <w:noWrap/>
            <w:hideMark/>
          </w:tcPr>
          <w:p w14:paraId="26A2A191" w14:textId="77777777" w:rsidR="005A35E5" w:rsidRPr="00B84C0D" w:rsidRDefault="005A35E5" w:rsidP="00791619">
            <w:pPr>
              <w:jc w:val="both"/>
              <w:rPr>
                <w:rFonts w:cstheme="minorHAnsi"/>
                <w:b/>
                <w:bCs/>
                <w:sz w:val="20"/>
                <w:szCs w:val="20"/>
              </w:rPr>
            </w:pPr>
            <w:r w:rsidRPr="00B84C0D">
              <w:rPr>
                <w:rFonts w:cstheme="minorHAnsi"/>
                <w:b/>
                <w:bCs/>
                <w:sz w:val="20"/>
                <w:szCs w:val="20"/>
              </w:rPr>
              <w:t xml:space="preserve">Year 3 </w:t>
            </w:r>
          </w:p>
        </w:tc>
        <w:tc>
          <w:tcPr>
            <w:tcW w:w="1149" w:type="dxa"/>
            <w:shd w:val="clear" w:color="auto" w:fill="BFBFBF" w:themeFill="background1" w:themeFillShade="BF"/>
            <w:noWrap/>
            <w:hideMark/>
          </w:tcPr>
          <w:p w14:paraId="481CF68A" w14:textId="77777777" w:rsidR="005A35E5" w:rsidRPr="00B84C0D" w:rsidRDefault="005A35E5" w:rsidP="00791619">
            <w:pPr>
              <w:jc w:val="both"/>
              <w:rPr>
                <w:rFonts w:cstheme="minorHAnsi"/>
                <w:b/>
                <w:bCs/>
                <w:sz w:val="20"/>
                <w:szCs w:val="20"/>
              </w:rPr>
            </w:pPr>
            <w:r w:rsidRPr="00B84C0D">
              <w:rPr>
                <w:rFonts w:cstheme="minorHAnsi"/>
                <w:b/>
                <w:bCs/>
                <w:sz w:val="20"/>
                <w:szCs w:val="20"/>
              </w:rPr>
              <w:t>Year 4</w:t>
            </w:r>
          </w:p>
        </w:tc>
        <w:tc>
          <w:tcPr>
            <w:tcW w:w="1267" w:type="dxa"/>
            <w:shd w:val="clear" w:color="auto" w:fill="BFBFBF" w:themeFill="background1" w:themeFillShade="BF"/>
            <w:noWrap/>
            <w:hideMark/>
          </w:tcPr>
          <w:p w14:paraId="1A2AF52F" w14:textId="2A53F75C" w:rsidR="005A35E5" w:rsidRPr="00B84C0D" w:rsidRDefault="005A35E5" w:rsidP="00791619">
            <w:pPr>
              <w:jc w:val="both"/>
              <w:rPr>
                <w:rFonts w:cstheme="minorHAnsi"/>
                <w:b/>
                <w:bCs/>
                <w:sz w:val="20"/>
                <w:szCs w:val="20"/>
              </w:rPr>
            </w:pPr>
            <w:r w:rsidRPr="00B84C0D">
              <w:rPr>
                <w:rFonts w:cstheme="minorHAnsi"/>
                <w:b/>
                <w:bCs/>
                <w:sz w:val="20"/>
                <w:szCs w:val="20"/>
              </w:rPr>
              <w:t xml:space="preserve">Total </w:t>
            </w:r>
          </w:p>
        </w:tc>
      </w:tr>
      <w:tr w:rsidR="005A35E5" w:rsidRPr="00B84C0D" w14:paraId="5B3654AB" w14:textId="77777777" w:rsidTr="00B84C0D">
        <w:trPr>
          <w:trHeight w:val="280"/>
        </w:trPr>
        <w:tc>
          <w:tcPr>
            <w:tcW w:w="3153" w:type="dxa"/>
            <w:noWrap/>
            <w:vAlign w:val="bottom"/>
            <w:hideMark/>
          </w:tcPr>
          <w:p w14:paraId="72C0F5AC" w14:textId="3CF4C2C8" w:rsidR="005A35E5" w:rsidRPr="00B84C0D" w:rsidRDefault="005A35E5" w:rsidP="00791619">
            <w:pPr>
              <w:jc w:val="both"/>
              <w:rPr>
                <w:rFonts w:cstheme="minorHAnsi"/>
                <w:sz w:val="20"/>
                <w:szCs w:val="20"/>
              </w:rPr>
            </w:pPr>
            <w:r w:rsidRPr="00B84C0D">
              <w:rPr>
                <w:rFonts w:cstheme="minorHAnsi"/>
                <w:sz w:val="20"/>
                <w:szCs w:val="20"/>
              </w:rPr>
              <w:t xml:space="preserve">Partner grants </w:t>
            </w:r>
          </w:p>
        </w:tc>
        <w:tc>
          <w:tcPr>
            <w:tcW w:w="1149" w:type="dxa"/>
            <w:noWrap/>
            <w:hideMark/>
          </w:tcPr>
          <w:p w14:paraId="6F9DC5A9" w14:textId="3BF27F5A" w:rsidR="005A35E5" w:rsidRPr="00B84C0D" w:rsidRDefault="005A35E5" w:rsidP="00791619">
            <w:pPr>
              <w:jc w:val="both"/>
              <w:rPr>
                <w:rFonts w:cstheme="minorHAnsi"/>
                <w:sz w:val="20"/>
                <w:szCs w:val="20"/>
              </w:rPr>
            </w:pPr>
            <w:r w:rsidRPr="00B84C0D">
              <w:rPr>
                <w:rFonts w:cstheme="minorHAnsi"/>
                <w:sz w:val="20"/>
                <w:szCs w:val="20"/>
              </w:rPr>
              <w:t xml:space="preserve">      6,300,000 </w:t>
            </w:r>
          </w:p>
        </w:tc>
        <w:tc>
          <w:tcPr>
            <w:tcW w:w="1149" w:type="dxa"/>
            <w:noWrap/>
            <w:hideMark/>
          </w:tcPr>
          <w:p w14:paraId="12B4E01B" w14:textId="77777777" w:rsidR="005A35E5" w:rsidRPr="00B84C0D" w:rsidRDefault="005A35E5" w:rsidP="00791619">
            <w:pPr>
              <w:jc w:val="both"/>
              <w:rPr>
                <w:rFonts w:cstheme="minorHAnsi"/>
                <w:sz w:val="20"/>
                <w:szCs w:val="20"/>
              </w:rPr>
            </w:pPr>
            <w:r w:rsidRPr="00B84C0D">
              <w:rPr>
                <w:rFonts w:cstheme="minorHAnsi"/>
                <w:sz w:val="20"/>
                <w:szCs w:val="20"/>
              </w:rPr>
              <w:t xml:space="preserve">            6,300,000 </w:t>
            </w:r>
          </w:p>
        </w:tc>
        <w:tc>
          <w:tcPr>
            <w:tcW w:w="1149" w:type="dxa"/>
            <w:noWrap/>
            <w:hideMark/>
          </w:tcPr>
          <w:p w14:paraId="40061B17" w14:textId="77777777" w:rsidR="005A35E5" w:rsidRPr="00B84C0D" w:rsidRDefault="005A35E5" w:rsidP="00791619">
            <w:pPr>
              <w:jc w:val="both"/>
              <w:rPr>
                <w:rFonts w:cstheme="minorHAnsi"/>
                <w:sz w:val="20"/>
                <w:szCs w:val="20"/>
              </w:rPr>
            </w:pPr>
            <w:r w:rsidRPr="00B84C0D">
              <w:rPr>
                <w:rFonts w:cstheme="minorHAnsi"/>
                <w:sz w:val="20"/>
                <w:szCs w:val="20"/>
              </w:rPr>
              <w:t xml:space="preserve">            6,300,000 </w:t>
            </w:r>
          </w:p>
        </w:tc>
        <w:tc>
          <w:tcPr>
            <w:tcW w:w="1149" w:type="dxa"/>
            <w:noWrap/>
            <w:hideMark/>
          </w:tcPr>
          <w:p w14:paraId="454A0C6F" w14:textId="77777777" w:rsidR="005A35E5" w:rsidRPr="00B84C0D" w:rsidRDefault="005A35E5" w:rsidP="00791619">
            <w:pPr>
              <w:jc w:val="both"/>
              <w:rPr>
                <w:rFonts w:cstheme="minorHAnsi"/>
                <w:sz w:val="20"/>
                <w:szCs w:val="20"/>
              </w:rPr>
            </w:pPr>
            <w:r w:rsidRPr="00B84C0D">
              <w:rPr>
                <w:rFonts w:cstheme="minorHAnsi"/>
                <w:sz w:val="20"/>
                <w:szCs w:val="20"/>
              </w:rPr>
              <w:t xml:space="preserve">            6,300,000 </w:t>
            </w:r>
          </w:p>
        </w:tc>
        <w:tc>
          <w:tcPr>
            <w:tcW w:w="1267" w:type="dxa"/>
            <w:noWrap/>
            <w:hideMark/>
          </w:tcPr>
          <w:p w14:paraId="44CBD850" w14:textId="77777777" w:rsidR="005A35E5" w:rsidRPr="00B84C0D" w:rsidRDefault="005A35E5" w:rsidP="00791619">
            <w:pPr>
              <w:jc w:val="both"/>
              <w:rPr>
                <w:rFonts w:cstheme="minorHAnsi"/>
                <w:sz w:val="20"/>
                <w:szCs w:val="20"/>
              </w:rPr>
            </w:pPr>
            <w:r w:rsidRPr="00B84C0D">
              <w:rPr>
                <w:rFonts w:cstheme="minorHAnsi"/>
                <w:sz w:val="20"/>
                <w:szCs w:val="20"/>
              </w:rPr>
              <w:t xml:space="preserve">              25,200,000 </w:t>
            </w:r>
          </w:p>
        </w:tc>
      </w:tr>
      <w:tr w:rsidR="005A35E5" w:rsidRPr="00B84C0D" w14:paraId="4779EA89" w14:textId="77777777" w:rsidTr="00B84C0D">
        <w:trPr>
          <w:trHeight w:val="290"/>
        </w:trPr>
        <w:tc>
          <w:tcPr>
            <w:tcW w:w="9016" w:type="dxa"/>
            <w:gridSpan w:val="6"/>
            <w:noWrap/>
            <w:hideMark/>
          </w:tcPr>
          <w:p w14:paraId="561A3BEE" w14:textId="04BB4E9C" w:rsidR="005A35E5" w:rsidRPr="00B84C0D" w:rsidRDefault="005A35E5" w:rsidP="00791619">
            <w:pPr>
              <w:jc w:val="both"/>
              <w:rPr>
                <w:rFonts w:cstheme="minorHAnsi"/>
                <w:sz w:val="20"/>
                <w:szCs w:val="20"/>
              </w:rPr>
            </w:pPr>
            <w:r w:rsidRPr="00B84C0D">
              <w:rPr>
                <w:rFonts w:cstheme="minorHAnsi"/>
                <w:sz w:val="20"/>
                <w:szCs w:val="20"/>
              </w:rPr>
              <w:t>CPPCO: </w:t>
            </w:r>
          </w:p>
        </w:tc>
      </w:tr>
      <w:tr w:rsidR="005A35E5" w:rsidRPr="00B84C0D" w14:paraId="065BDDB9" w14:textId="77777777" w:rsidTr="00B84C0D">
        <w:trPr>
          <w:trHeight w:val="290"/>
        </w:trPr>
        <w:tc>
          <w:tcPr>
            <w:tcW w:w="3153" w:type="dxa"/>
            <w:noWrap/>
            <w:hideMark/>
          </w:tcPr>
          <w:p w14:paraId="2B2751C7" w14:textId="021E1C20" w:rsidR="005A35E5" w:rsidRPr="00B84C0D" w:rsidRDefault="005A35E5" w:rsidP="00791619">
            <w:pPr>
              <w:jc w:val="both"/>
              <w:rPr>
                <w:rFonts w:cstheme="minorHAnsi"/>
                <w:sz w:val="20"/>
                <w:szCs w:val="20"/>
              </w:rPr>
            </w:pPr>
            <w:r w:rsidRPr="00B84C0D">
              <w:rPr>
                <w:rFonts w:cstheme="minorHAnsi"/>
                <w:sz w:val="20"/>
                <w:szCs w:val="20"/>
              </w:rPr>
              <w:t xml:space="preserve">a) Core functions (staff </w:t>
            </w:r>
            <w:r w:rsidR="00B84C0D">
              <w:rPr>
                <w:rFonts w:cstheme="minorHAnsi"/>
                <w:sz w:val="20"/>
                <w:szCs w:val="20"/>
              </w:rPr>
              <w:t>&amp;</w:t>
            </w:r>
            <w:r w:rsidRPr="00B84C0D">
              <w:rPr>
                <w:rFonts w:cstheme="minorHAnsi"/>
                <w:sz w:val="20"/>
                <w:szCs w:val="20"/>
              </w:rPr>
              <w:t xml:space="preserve"> op</w:t>
            </w:r>
            <w:r w:rsidR="00B84C0D">
              <w:rPr>
                <w:rFonts w:cstheme="minorHAnsi"/>
                <w:sz w:val="20"/>
                <w:szCs w:val="20"/>
              </w:rPr>
              <w:t>s</w:t>
            </w:r>
            <w:r w:rsidRPr="00B84C0D">
              <w:rPr>
                <w:rFonts w:cstheme="minorHAnsi"/>
                <w:sz w:val="20"/>
                <w:szCs w:val="20"/>
              </w:rPr>
              <w:t xml:space="preserve">) </w:t>
            </w:r>
          </w:p>
        </w:tc>
        <w:tc>
          <w:tcPr>
            <w:tcW w:w="1149" w:type="dxa"/>
            <w:noWrap/>
            <w:vAlign w:val="center"/>
            <w:hideMark/>
          </w:tcPr>
          <w:p w14:paraId="1E790820" w14:textId="633BFD5A" w:rsidR="005A35E5" w:rsidRPr="00B84C0D" w:rsidRDefault="005A35E5" w:rsidP="00791619">
            <w:pPr>
              <w:jc w:val="both"/>
              <w:rPr>
                <w:rFonts w:cstheme="minorHAnsi"/>
                <w:sz w:val="20"/>
                <w:szCs w:val="20"/>
              </w:rPr>
            </w:pPr>
            <w:r w:rsidRPr="00B84C0D">
              <w:rPr>
                <w:rFonts w:cstheme="minorHAnsi"/>
                <w:sz w:val="20"/>
                <w:szCs w:val="20"/>
              </w:rPr>
              <w:t xml:space="preserve">              650,000 </w:t>
            </w:r>
          </w:p>
        </w:tc>
        <w:tc>
          <w:tcPr>
            <w:tcW w:w="1149" w:type="dxa"/>
            <w:noWrap/>
            <w:vAlign w:val="center"/>
            <w:hideMark/>
          </w:tcPr>
          <w:p w14:paraId="24397C62" w14:textId="77777777" w:rsidR="005A35E5" w:rsidRPr="00B84C0D" w:rsidRDefault="005A35E5" w:rsidP="00791619">
            <w:pPr>
              <w:jc w:val="both"/>
              <w:rPr>
                <w:rFonts w:cstheme="minorHAnsi"/>
                <w:sz w:val="20"/>
                <w:szCs w:val="20"/>
              </w:rPr>
            </w:pPr>
            <w:r w:rsidRPr="00B84C0D">
              <w:rPr>
                <w:rFonts w:cstheme="minorHAnsi"/>
                <w:sz w:val="20"/>
                <w:szCs w:val="20"/>
              </w:rPr>
              <w:t xml:space="preserve">                650,000 </w:t>
            </w:r>
          </w:p>
        </w:tc>
        <w:tc>
          <w:tcPr>
            <w:tcW w:w="1149" w:type="dxa"/>
            <w:noWrap/>
            <w:vAlign w:val="center"/>
            <w:hideMark/>
          </w:tcPr>
          <w:p w14:paraId="4C657D63" w14:textId="77777777" w:rsidR="005A35E5" w:rsidRPr="00B84C0D" w:rsidRDefault="005A35E5" w:rsidP="00791619">
            <w:pPr>
              <w:jc w:val="both"/>
              <w:rPr>
                <w:rFonts w:cstheme="minorHAnsi"/>
                <w:sz w:val="20"/>
                <w:szCs w:val="20"/>
              </w:rPr>
            </w:pPr>
            <w:r w:rsidRPr="00B84C0D">
              <w:rPr>
                <w:rFonts w:cstheme="minorHAnsi"/>
                <w:sz w:val="20"/>
                <w:szCs w:val="20"/>
              </w:rPr>
              <w:t xml:space="preserve">                650,000 </w:t>
            </w:r>
          </w:p>
        </w:tc>
        <w:tc>
          <w:tcPr>
            <w:tcW w:w="1149" w:type="dxa"/>
            <w:noWrap/>
            <w:vAlign w:val="center"/>
            <w:hideMark/>
          </w:tcPr>
          <w:p w14:paraId="6C882B3C" w14:textId="77777777" w:rsidR="005A35E5" w:rsidRPr="00B84C0D" w:rsidRDefault="005A35E5" w:rsidP="00791619">
            <w:pPr>
              <w:jc w:val="both"/>
              <w:rPr>
                <w:rFonts w:cstheme="minorHAnsi"/>
                <w:sz w:val="20"/>
                <w:szCs w:val="20"/>
              </w:rPr>
            </w:pPr>
            <w:r w:rsidRPr="00B84C0D">
              <w:rPr>
                <w:rFonts w:cstheme="minorHAnsi"/>
                <w:sz w:val="20"/>
                <w:szCs w:val="20"/>
              </w:rPr>
              <w:t xml:space="preserve">                650,000 </w:t>
            </w:r>
          </w:p>
        </w:tc>
        <w:tc>
          <w:tcPr>
            <w:tcW w:w="1267" w:type="dxa"/>
            <w:noWrap/>
            <w:vAlign w:val="center"/>
            <w:hideMark/>
          </w:tcPr>
          <w:p w14:paraId="3EEF88B2" w14:textId="77777777" w:rsidR="005A35E5" w:rsidRPr="00B84C0D" w:rsidRDefault="005A35E5" w:rsidP="00791619">
            <w:pPr>
              <w:jc w:val="both"/>
              <w:rPr>
                <w:rFonts w:cstheme="minorHAnsi"/>
                <w:sz w:val="20"/>
                <w:szCs w:val="20"/>
              </w:rPr>
            </w:pPr>
            <w:r w:rsidRPr="00B84C0D">
              <w:rPr>
                <w:rFonts w:cstheme="minorHAnsi"/>
                <w:sz w:val="20"/>
                <w:szCs w:val="20"/>
              </w:rPr>
              <w:t xml:space="preserve">                2,600,000 </w:t>
            </w:r>
          </w:p>
        </w:tc>
      </w:tr>
      <w:tr w:rsidR="005A35E5" w:rsidRPr="00B84C0D" w14:paraId="79DD3E36" w14:textId="77777777" w:rsidTr="00B84C0D">
        <w:trPr>
          <w:trHeight w:val="290"/>
        </w:trPr>
        <w:tc>
          <w:tcPr>
            <w:tcW w:w="3153" w:type="dxa"/>
            <w:noWrap/>
            <w:hideMark/>
          </w:tcPr>
          <w:p w14:paraId="0D55B982" w14:textId="4E19C24D" w:rsidR="005A35E5" w:rsidRPr="00B84C0D" w:rsidRDefault="005A35E5" w:rsidP="00791619">
            <w:pPr>
              <w:jc w:val="both"/>
              <w:rPr>
                <w:rFonts w:cstheme="minorHAnsi"/>
                <w:sz w:val="20"/>
                <w:szCs w:val="20"/>
              </w:rPr>
            </w:pPr>
            <w:r w:rsidRPr="00B84C0D">
              <w:rPr>
                <w:rFonts w:cstheme="minorHAnsi"/>
                <w:sz w:val="20"/>
                <w:szCs w:val="20"/>
              </w:rPr>
              <w:t xml:space="preserve">b) Programming support &amp; capacity development: </w:t>
            </w:r>
          </w:p>
        </w:tc>
        <w:tc>
          <w:tcPr>
            <w:tcW w:w="1149" w:type="dxa"/>
            <w:noWrap/>
            <w:vAlign w:val="center"/>
            <w:hideMark/>
          </w:tcPr>
          <w:p w14:paraId="2CBA65A7" w14:textId="77777777" w:rsidR="005A35E5" w:rsidRPr="00B84C0D" w:rsidRDefault="005A35E5" w:rsidP="00791619">
            <w:pPr>
              <w:jc w:val="both"/>
              <w:rPr>
                <w:rFonts w:cstheme="minorHAnsi"/>
                <w:sz w:val="20"/>
                <w:szCs w:val="20"/>
              </w:rPr>
            </w:pPr>
            <w:r w:rsidRPr="00B84C0D">
              <w:rPr>
                <w:rFonts w:cstheme="minorHAnsi"/>
                <w:sz w:val="20"/>
                <w:szCs w:val="20"/>
              </w:rPr>
              <w:t> </w:t>
            </w:r>
          </w:p>
        </w:tc>
        <w:tc>
          <w:tcPr>
            <w:tcW w:w="1149" w:type="dxa"/>
            <w:noWrap/>
            <w:vAlign w:val="center"/>
            <w:hideMark/>
          </w:tcPr>
          <w:p w14:paraId="05DA7EB4" w14:textId="77777777" w:rsidR="005A35E5" w:rsidRPr="00B84C0D" w:rsidRDefault="005A35E5" w:rsidP="00791619">
            <w:pPr>
              <w:jc w:val="both"/>
              <w:rPr>
                <w:rFonts w:cstheme="minorHAnsi"/>
                <w:sz w:val="20"/>
                <w:szCs w:val="20"/>
              </w:rPr>
            </w:pPr>
            <w:r w:rsidRPr="00B84C0D">
              <w:rPr>
                <w:rFonts w:cstheme="minorHAnsi"/>
                <w:sz w:val="20"/>
                <w:szCs w:val="20"/>
              </w:rPr>
              <w:t> </w:t>
            </w:r>
          </w:p>
        </w:tc>
        <w:tc>
          <w:tcPr>
            <w:tcW w:w="1149" w:type="dxa"/>
            <w:noWrap/>
            <w:vAlign w:val="center"/>
            <w:hideMark/>
          </w:tcPr>
          <w:p w14:paraId="2A3B7A5C" w14:textId="77777777" w:rsidR="005A35E5" w:rsidRPr="00B84C0D" w:rsidRDefault="005A35E5" w:rsidP="00791619">
            <w:pPr>
              <w:jc w:val="both"/>
              <w:rPr>
                <w:rFonts w:cstheme="minorHAnsi"/>
                <w:sz w:val="20"/>
                <w:szCs w:val="20"/>
              </w:rPr>
            </w:pPr>
            <w:r w:rsidRPr="00B84C0D">
              <w:rPr>
                <w:rFonts w:cstheme="minorHAnsi"/>
                <w:sz w:val="20"/>
                <w:szCs w:val="20"/>
              </w:rPr>
              <w:t> </w:t>
            </w:r>
          </w:p>
        </w:tc>
        <w:tc>
          <w:tcPr>
            <w:tcW w:w="1149" w:type="dxa"/>
            <w:noWrap/>
            <w:vAlign w:val="center"/>
            <w:hideMark/>
          </w:tcPr>
          <w:p w14:paraId="46D1F363" w14:textId="77777777" w:rsidR="005A35E5" w:rsidRPr="00B84C0D" w:rsidRDefault="005A35E5" w:rsidP="00791619">
            <w:pPr>
              <w:jc w:val="both"/>
              <w:rPr>
                <w:rFonts w:cstheme="minorHAnsi"/>
                <w:sz w:val="20"/>
                <w:szCs w:val="20"/>
              </w:rPr>
            </w:pPr>
            <w:r w:rsidRPr="00B84C0D">
              <w:rPr>
                <w:rFonts w:cstheme="minorHAnsi"/>
                <w:sz w:val="20"/>
                <w:szCs w:val="20"/>
              </w:rPr>
              <w:t> </w:t>
            </w:r>
          </w:p>
        </w:tc>
        <w:tc>
          <w:tcPr>
            <w:tcW w:w="1267" w:type="dxa"/>
            <w:noWrap/>
            <w:vAlign w:val="center"/>
            <w:hideMark/>
          </w:tcPr>
          <w:p w14:paraId="7F73003E" w14:textId="77777777" w:rsidR="005A35E5" w:rsidRPr="00B84C0D" w:rsidRDefault="005A35E5" w:rsidP="00791619">
            <w:pPr>
              <w:jc w:val="both"/>
              <w:rPr>
                <w:rFonts w:cstheme="minorHAnsi"/>
                <w:sz w:val="20"/>
                <w:szCs w:val="20"/>
              </w:rPr>
            </w:pPr>
            <w:r w:rsidRPr="00B84C0D">
              <w:rPr>
                <w:rFonts w:cstheme="minorHAnsi"/>
                <w:sz w:val="20"/>
                <w:szCs w:val="20"/>
              </w:rPr>
              <w:t> </w:t>
            </w:r>
          </w:p>
        </w:tc>
      </w:tr>
      <w:tr w:rsidR="005A35E5" w:rsidRPr="00B84C0D" w14:paraId="1B53297D" w14:textId="77777777" w:rsidTr="00B84C0D">
        <w:trPr>
          <w:trHeight w:val="290"/>
        </w:trPr>
        <w:tc>
          <w:tcPr>
            <w:tcW w:w="3153" w:type="dxa"/>
            <w:noWrap/>
            <w:vAlign w:val="bottom"/>
            <w:hideMark/>
          </w:tcPr>
          <w:p w14:paraId="37A888D7" w14:textId="61CAE777" w:rsidR="005A35E5" w:rsidRPr="00B84C0D" w:rsidRDefault="005A35E5" w:rsidP="00791619">
            <w:pPr>
              <w:pStyle w:val="ListParagraph"/>
              <w:numPr>
                <w:ilvl w:val="0"/>
                <w:numId w:val="12"/>
              </w:numPr>
              <w:ind w:left="457"/>
              <w:jc w:val="both"/>
              <w:rPr>
                <w:rFonts w:cstheme="minorHAnsi"/>
                <w:sz w:val="20"/>
                <w:szCs w:val="20"/>
              </w:rPr>
            </w:pPr>
            <w:r w:rsidRPr="00B84C0D">
              <w:rPr>
                <w:rFonts w:cstheme="minorHAnsi"/>
                <w:sz w:val="20"/>
                <w:szCs w:val="20"/>
              </w:rPr>
              <w:t xml:space="preserve">Social Accountability </w:t>
            </w:r>
          </w:p>
        </w:tc>
        <w:tc>
          <w:tcPr>
            <w:tcW w:w="1149" w:type="dxa"/>
            <w:noWrap/>
            <w:vAlign w:val="center"/>
            <w:hideMark/>
          </w:tcPr>
          <w:p w14:paraId="5796773F" w14:textId="026C1BA4" w:rsidR="005A35E5" w:rsidRPr="00B84C0D" w:rsidRDefault="005A35E5" w:rsidP="00791619">
            <w:pPr>
              <w:jc w:val="both"/>
              <w:rPr>
                <w:rFonts w:cstheme="minorHAnsi"/>
                <w:sz w:val="20"/>
                <w:szCs w:val="20"/>
              </w:rPr>
            </w:pPr>
            <w:r w:rsidRPr="00B84C0D">
              <w:rPr>
                <w:rFonts w:cstheme="minorHAnsi"/>
                <w:sz w:val="20"/>
                <w:szCs w:val="20"/>
              </w:rPr>
              <w:t xml:space="preserve">            500,000 </w:t>
            </w:r>
          </w:p>
        </w:tc>
        <w:tc>
          <w:tcPr>
            <w:tcW w:w="1149" w:type="dxa"/>
            <w:noWrap/>
            <w:vAlign w:val="center"/>
            <w:hideMark/>
          </w:tcPr>
          <w:p w14:paraId="42698F3E" w14:textId="77777777" w:rsidR="005A35E5" w:rsidRPr="00B84C0D" w:rsidRDefault="005A35E5" w:rsidP="00791619">
            <w:pPr>
              <w:jc w:val="both"/>
              <w:rPr>
                <w:rFonts w:cstheme="minorHAnsi"/>
                <w:sz w:val="20"/>
                <w:szCs w:val="20"/>
              </w:rPr>
            </w:pPr>
            <w:r w:rsidRPr="00B84C0D">
              <w:rPr>
                <w:rFonts w:cstheme="minorHAnsi"/>
                <w:sz w:val="20"/>
                <w:szCs w:val="20"/>
              </w:rPr>
              <w:t xml:space="preserve">                500,000 </w:t>
            </w:r>
          </w:p>
        </w:tc>
        <w:tc>
          <w:tcPr>
            <w:tcW w:w="1149" w:type="dxa"/>
            <w:noWrap/>
            <w:vAlign w:val="center"/>
            <w:hideMark/>
          </w:tcPr>
          <w:p w14:paraId="66A911D1" w14:textId="77777777" w:rsidR="005A35E5" w:rsidRPr="00B84C0D" w:rsidRDefault="005A35E5" w:rsidP="00791619">
            <w:pPr>
              <w:jc w:val="both"/>
              <w:rPr>
                <w:rFonts w:cstheme="minorHAnsi"/>
                <w:sz w:val="20"/>
                <w:szCs w:val="20"/>
              </w:rPr>
            </w:pPr>
            <w:r w:rsidRPr="00B84C0D">
              <w:rPr>
                <w:rFonts w:cstheme="minorHAnsi"/>
                <w:sz w:val="20"/>
                <w:szCs w:val="20"/>
              </w:rPr>
              <w:t xml:space="preserve">                500,000 </w:t>
            </w:r>
          </w:p>
        </w:tc>
        <w:tc>
          <w:tcPr>
            <w:tcW w:w="1149" w:type="dxa"/>
            <w:noWrap/>
            <w:vAlign w:val="center"/>
            <w:hideMark/>
          </w:tcPr>
          <w:p w14:paraId="7F1D6606" w14:textId="77777777" w:rsidR="005A35E5" w:rsidRPr="00B84C0D" w:rsidRDefault="005A35E5" w:rsidP="00791619">
            <w:pPr>
              <w:jc w:val="both"/>
              <w:rPr>
                <w:rFonts w:cstheme="minorHAnsi"/>
                <w:sz w:val="20"/>
                <w:szCs w:val="20"/>
              </w:rPr>
            </w:pPr>
            <w:r w:rsidRPr="00B84C0D">
              <w:rPr>
                <w:rFonts w:cstheme="minorHAnsi"/>
                <w:sz w:val="20"/>
                <w:szCs w:val="20"/>
              </w:rPr>
              <w:t xml:space="preserve">                500,000 </w:t>
            </w:r>
          </w:p>
        </w:tc>
        <w:tc>
          <w:tcPr>
            <w:tcW w:w="1267" w:type="dxa"/>
            <w:noWrap/>
            <w:vAlign w:val="center"/>
            <w:hideMark/>
          </w:tcPr>
          <w:p w14:paraId="25DFF1FC" w14:textId="77777777" w:rsidR="005A35E5" w:rsidRPr="00B84C0D" w:rsidRDefault="005A35E5" w:rsidP="00791619">
            <w:pPr>
              <w:jc w:val="both"/>
              <w:rPr>
                <w:rFonts w:cstheme="minorHAnsi"/>
                <w:sz w:val="20"/>
                <w:szCs w:val="20"/>
              </w:rPr>
            </w:pPr>
            <w:r w:rsidRPr="00B84C0D">
              <w:rPr>
                <w:rFonts w:cstheme="minorHAnsi"/>
                <w:sz w:val="20"/>
                <w:szCs w:val="20"/>
              </w:rPr>
              <w:t xml:space="preserve">                2,000,000 </w:t>
            </w:r>
          </w:p>
        </w:tc>
      </w:tr>
      <w:tr w:rsidR="005A35E5" w:rsidRPr="00B84C0D" w14:paraId="499B1973" w14:textId="77777777" w:rsidTr="00B84C0D">
        <w:trPr>
          <w:trHeight w:val="290"/>
        </w:trPr>
        <w:tc>
          <w:tcPr>
            <w:tcW w:w="3153" w:type="dxa"/>
            <w:noWrap/>
            <w:vAlign w:val="bottom"/>
            <w:hideMark/>
          </w:tcPr>
          <w:p w14:paraId="606B6B30" w14:textId="77777777" w:rsidR="005A35E5" w:rsidRPr="00B84C0D" w:rsidRDefault="005A35E5" w:rsidP="00791619">
            <w:pPr>
              <w:pStyle w:val="ListParagraph"/>
              <w:numPr>
                <w:ilvl w:val="0"/>
                <w:numId w:val="12"/>
              </w:numPr>
              <w:ind w:left="457"/>
              <w:jc w:val="both"/>
              <w:rPr>
                <w:rFonts w:cstheme="minorHAnsi"/>
                <w:sz w:val="20"/>
                <w:szCs w:val="20"/>
              </w:rPr>
            </w:pPr>
            <w:r w:rsidRPr="00B84C0D">
              <w:rPr>
                <w:rFonts w:cstheme="minorHAnsi"/>
                <w:sz w:val="20"/>
                <w:szCs w:val="20"/>
              </w:rPr>
              <w:t xml:space="preserve">Technical Assistance (various) </w:t>
            </w:r>
          </w:p>
        </w:tc>
        <w:tc>
          <w:tcPr>
            <w:tcW w:w="1149" w:type="dxa"/>
            <w:noWrap/>
            <w:vAlign w:val="center"/>
            <w:hideMark/>
          </w:tcPr>
          <w:p w14:paraId="13FBF4EB" w14:textId="77777777" w:rsidR="005A35E5" w:rsidRPr="00B84C0D" w:rsidRDefault="005A35E5" w:rsidP="00791619">
            <w:pPr>
              <w:jc w:val="both"/>
              <w:rPr>
                <w:rFonts w:cstheme="minorHAnsi"/>
                <w:sz w:val="20"/>
                <w:szCs w:val="20"/>
              </w:rPr>
            </w:pPr>
            <w:r w:rsidRPr="00B84C0D">
              <w:rPr>
                <w:rFonts w:cstheme="minorHAnsi"/>
                <w:sz w:val="20"/>
                <w:szCs w:val="20"/>
              </w:rPr>
              <w:t xml:space="preserve">                200,000 </w:t>
            </w:r>
          </w:p>
        </w:tc>
        <w:tc>
          <w:tcPr>
            <w:tcW w:w="1149" w:type="dxa"/>
            <w:noWrap/>
            <w:vAlign w:val="center"/>
            <w:hideMark/>
          </w:tcPr>
          <w:p w14:paraId="43EFA51A" w14:textId="77777777" w:rsidR="005A35E5" w:rsidRPr="00B84C0D" w:rsidRDefault="005A35E5" w:rsidP="00791619">
            <w:pPr>
              <w:jc w:val="both"/>
              <w:rPr>
                <w:rFonts w:cstheme="minorHAnsi"/>
                <w:sz w:val="20"/>
                <w:szCs w:val="20"/>
              </w:rPr>
            </w:pPr>
            <w:r w:rsidRPr="00B84C0D">
              <w:rPr>
                <w:rFonts w:cstheme="minorHAnsi"/>
                <w:sz w:val="20"/>
                <w:szCs w:val="20"/>
              </w:rPr>
              <w:t xml:space="preserve">                200,000 </w:t>
            </w:r>
          </w:p>
        </w:tc>
        <w:tc>
          <w:tcPr>
            <w:tcW w:w="1149" w:type="dxa"/>
            <w:noWrap/>
            <w:vAlign w:val="center"/>
            <w:hideMark/>
          </w:tcPr>
          <w:p w14:paraId="5B9DA618" w14:textId="77777777" w:rsidR="005A35E5" w:rsidRPr="00B84C0D" w:rsidRDefault="005A35E5" w:rsidP="00791619">
            <w:pPr>
              <w:jc w:val="both"/>
              <w:rPr>
                <w:rFonts w:cstheme="minorHAnsi"/>
                <w:sz w:val="20"/>
                <w:szCs w:val="20"/>
              </w:rPr>
            </w:pPr>
            <w:r w:rsidRPr="00B84C0D">
              <w:rPr>
                <w:rFonts w:cstheme="minorHAnsi"/>
                <w:sz w:val="20"/>
                <w:szCs w:val="20"/>
              </w:rPr>
              <w:t xml:space="preserve">                200,000 </w:t>
            </w:r>
          </w:p>
        </w:tc>
        <w:tc>
          <w:tcPr>
            <w:tcW w:w="1149" w:type="dxa"/>
            <w:noWrap/>
            <w:vAlign w:val="center"/>
            <w:hideMark/>
          </w:tcPr>
          <w:p w14:paraId="49F9C3C8" w14:textId="77777777" w:rsidR="005A35E5" w:rsidRPr="00B84C0D" w:rsidRDefault="005A35E5" w:rsidP="00791619">
            <w:pPr>
              <w:jc w:val="both"/>
              <w:rPr>
                <w:rFonts w:cstheme="minorHAnsi"/>
                <w:sz w:val="20"/>
                <w:szCs w:val="20"/>
              </w:rPr>
            </w:pPr>
            <w:r w:rsidRPr="00B84C0D">
              <w:rPr>
                <w:rFonts w:cstheme="minorHAnsi"/>
                <w:sz w:val="20"/>
                <w:szCs w:val="20"/>
              </w:rPr>
              <w:t xml:space="preserve">                200,000 </w:t>
            </w:r>
          </w:p>
        </w:tc>
        <w:tc>
          <w:tcPr>
            <w:tcW w:w="1267" w:type="dxa"/>
            <w:noWrap/>
            <w:vAlign w:val="center"/>
            <w:hideMark/>
          </w:tcPr>
          <w:p w14:paraId="0DD89A10" w14:textId="77777777" w:rsidR="005A35E5" w:rsidRPr="00B84C0D" w:rsidRDefault="005A35E5" w:rsidP="00791619">
            <w:pPr>
              <w:jc w:val="both"/>
              <w:rPr>
                <w:rFonts w:cstheme="minorHAnsi"/>
                <w:sz w:val="20"/>
                <w:szCs w:val="20"/>
              </w:rPr>
            </w:pPr>
            <w:r w:rsidRPr="00B84C0D">
              <w:rPr>
                <w:rFonts w:cstheme="minorHAnsi"/>
                <w:sz w:val="20"/>
                <w:szCs w:val="20"/>
              </w:rPr>
              <w:t xml:space="preserve">                   800,000 </w:t>
            </w:r>
          </w:p>
        </w:tc>
      </w:tr>
      <w:tr w:rsidR="005A35E5" w:rsidRPr="00B84C0D" w14:paraId="25B97AD1" w14:textId="77777777" w:rsidTr="00B84C0D">
        <w:trPr>
          <w:trHeight w:val="290"/>
        </w:trPr>
        <w:tc>
          <w:tcPr>
            <w:tcW w:w="3153" w:type="dxa"/>
            <w:noWrap/>
            <w:vAlign w:val="bottom"/>
            <w:hideMark/>
          </w:tcPr>
          <w:p w14:paraId="5E2C2F1C" w14:textId="77777777" w:rsidR="005A35E5" w:rsidRPr="00B84C0D" w:rsidRDefault="005A35E5" w:rsidP="00791619">
            <w:pPr>
              <w:pStyle w:val="ListParagraph"/>
              <w:numPr>
                <w:ilvl w:val="0"/>
                <w:numId w:val="12"/>
              </w:numPr>
              <w:ind w:left="457"/>
              <w:jc w:val="both"/>
              <w:rPr>
                <w:rFonts w:cstheme="minorHAnsi"/>
                <w:sz w:val="20"/>
                <w:szCs w:val="20"/>
              </w:rPr>
            </w:pPr>
            <w:r w:rsidRPr="00B84C0D">
              <w:rPr>
                <w:rFonts w:cstheme="minorHAnsi"/>
                <w:sz w:val="20"/>
                <w:szCs w:val="20"/>
              </w:rPr>
              <w:t>PNGCC capacity development</w:t>
            </w:r>
          </w:p>
        </w:tc>
        <w:tc>
          <w:tcPr>
            <w:tcW w:w="1149" w:type="dxa"/>
            <w:noWrap/>
            <w:vAlign w:val="center"/>
            <w:hideMark/>
          </w:tcPr>
          <w:p w14:paraId="6018394F" w14:textId="77777777" w:rsidR="005A35E5" w:rsidRPr="00B84C0D" w:rsidRDefault="005A35E5" w:rsidP="00791619">
            <w:pPr>
              <w:jc w:val="both"/>
              <w:rPr>
                <w:rFonts w:cstheme="minorHAnsi"/>
                <w:sz w:val="20"/>
                <w:szCs w:val="20"/>
              </w:rPr>
            </w:pPr>
            <w:r w:rsidRPr="00B84C0D">
              <w:rPr>
                <w:rFonts w:cstheme="minorHAnsi"/>
                <w:sz w:val="20"/>
                <w:szCs w:val="20"/>
              </w:rPr>
              <w:t xml:space="preserve">                150,000 </w:t>
            </w:r>
          </w:p>
        </w:tc>
        <w:tc>
          <w:tcPr>
            <w:tcW w:w="1149" w:type="dxa"/>
            <w:noWrap/>
            <w:vAlign w:val="center"/>
            <w:hideMark/>
          </w:tcPr>
          <w:p w14:paraId="1C5B7A5F" w14:textId="77777777" w:rsidR="005A35E5" w:rsidRPr="00B84C0D" w:rsidRDefault="005A35E5" w:rsidP="00791619">
            <w:pPr>
              <w:jc w:val="both"/>
              <w:rPr>
                <w:rFonts w:cstheme="minorHAnsi"/>
                <w:sz w:val="20"/>
                <w:szCs w:val="20"/>
              </w:rPr>
            </w:pPr>
            <w:r w:rsidRPr="00B84C0D">
              <w:rPr>
                <w:rFonts w:cstheme="minorHAnsi"/>
                <w:sz w:val="20"/>
                <w:szCs w:val="20"/>
              </w:rPr>
              <w:t xml:space="preserve">                150,000 </w:t>
            </w:r>
          </w:p>
        </w:tc>
        <w:tc>
          <w:tcPr>
            <w:tcW w:w="1149" w:type="dxa"/>
            <w:noWrap/>
            <w:vAlign w:val="center"/>
            <w:hideMark/>
          </w:tcPr>
          <w:p w14:paraId="7C724CD9" w14:textId="77777777" w:rsidR="005A35E5" w:rsidRPr="00B84C0D" w:rsidRDefault="005A35E5" w:rsidP="00791619">
            <w:pPr>
              <w:jc w:val="both"/>
              <w:rPr>
                <w:rFonts w:cstheme="minorHAnsi"/>
                <w:sz w:val="20"/>
                <w:szCs w:val="20"/>
              </w:rPr>
            </w:pPr>
            <w:r w:rsidRPr="00B84C0D">
              <w:rPr>
                <w:rFonts w:cstheme="minorHAnsi"/>
                <w:sz w:val="20"/>
                <w:szCs w:val="20"/>
              </w:rPr>
              <w:t xml:space="preserve">                150,000 </w:t>
            </w:r>
          </w:p>
        </w:tc>
        <w:tc>
          <w:tcPr>
            <w:tcW w:w="1149" w:type="dxa"/>
            <w:noWrap/>
            <w:vAlign w:val="center"/>
            <w:hideMark/>
          </w:tcPr>
          <w:p w14:paraId="47FB25D4" w14:textId="77777777" w:rsidR="005A35E5" w:rsidRPr="00B84C0D" w:rsidRDefault="005A35E5" w:rsidP="00791619">
            <w:pPr>
              <w:jc w:val="both"/>
              <w:rPr>
                <w:rFonts w:cstheme="minorHAnsi"/>
                <w:sz w:val="20"/>
                <w:szCs w:val="20"/>
              </w:rPr>
            </w:pPr>
            <w:r w:rsidRPr="00B84C0D">
              <w:rPr>
                <w:rFonts w:cstheme="minorHAnsi"/>
                <w:sz w:val="20"/>
                <w:szCs w:val="20"/>
              </w:rPr>
              <w:t xml:space="preserve">                150,000 </w:t>
            </w:r>
          </w:p>
        </w:tc>
        <w:tc>
          <w:tcPr>
            <w:tcW w:w="1267" w:type="dxa"/>
            <w:noWrap/>
            <w:vAlign w:val="center"/>
            <w:hideMark/>
          </w:tcPr>
          <w:p w14:paraId="08E71FBE" w14:textId="77777777" w:rsidR="005A35E5" w:rsidRPr="00B84C0D" w:rsidRDefault="005A35E5" w:rsidP="00791619">
            <w:pPr>
              <w:jc w:val="both"/>
              <w:rPr>
                <w:rFonts w:cstheme="minorHAnsi"/>
                <w:sz w:val="20"/>
                <w:szCs w:val="20"/>
              </w:rPr>
            </w:pPr>
            <w:r w:rsidRPr="00B84C0D">
              <w:rPr>
                <w:rFonts w:cstheme="minorHAnsi"/>
                <w:sz w:val="20"/>
                <w:szCs w:val="20"/>
              </w:rPr>
              <w:t xml:space="preserve">                   600,000 </w:t>
            </w:r>
          </w:p>
        </w:tc>
      </w:tr>
      <w:tr w:rsidR="005A35E5" w:rsidRPr="00B84C0D" w14:paraId="31CDD24C" w14:textId="77777777" w:rsidTr="00B84C0D">
        <w:trPr>
          <w:trHeight w:val="290"/>
        </w:trPr>
        <w:tc>
          <w:tcPr>
            <w:tcW w:w="3153" w:type="dxa"/>
            <w:noWrap/>
            <w:vAlign w:val="bottom"/>
            <w:hideMark/>
          </w:tcPr>
          <w:p w14:paraId="57A95FA4" w14:textId="77777777" w:rsidR="005A35E5" w:rsidRPr="00B84C0D" w:rsidRDefault="005A35E5" w:rsidP="00791619">
            <w:pPr>
              <w:pStyle w:val="ListParagraph"/>
              <w:numPr>
                <w:ilvl w:val="0"/>
                <w:numId w:val="12"/>
              </w:numPr>
              <w:ind w:left="457"/>
              <w:jc w:val="both"/>
              <w:rPr>
                <w:rFonts w:cstheme="minorHAnsi"/>
                <w:sz w:val="20"/>
                <w:szCs w:val="20"/>
              </w:rPr>
            </w:pPr>
            <w:r w:rsidRPr="00B84C0D">
              <w:rPr>
                <w:rFonts w:cstheme="minorHAnsi"/>
                <w:sz w:val="20"/>
                <w:szCs w:val="20"/>
              </w:rPr>
              <w:t xml:space="preserve">Research and Learning </w:t>
            </w:r>
          </w:p>
        </w:tc>
        <w:tc>
          <w:tcPr>
            <w:tcW w:w="1149" w:type="dxa"/>
            <w:noWrap/>
            <w:vAlign w:val="center"/>
            <w:hideMark/>
          </w:tcPr>
          <w:p w14:paraId="17C70DDE" w14:textId="77777777" w:rsidR="005A35E5" w:rsidRPr="00B84C0D" w:rsidRDefault="005A35E5" w:rsidP="00791619">
            <w:pPr>
              <w:jc w:val="both"/>
              <w:rPr>
                <w:rFonts w:cstheme="minorHAnsi"/>
                <w:sz w:val="20"/>
                <w:szCs w:val="20"/>
              </w:rPr>
            </w:pPr>
            <w:r w:rsidRPr="00B84C0D">
              <w:rPr>
                <w:rFonts w:cstheme="minorHAnsi"/>
                <w:sz w:val="20"/>
                <w:szCs w:val="20"/>
              </w:rPr>
              <w:t xml:space="preserve">                  50,000 </w:t>
            </w:r>
          </w:p>
        </w:tc>
        <w:tc>
          <w:tcPr>
            <w:tcW w:w="1149" w:type="dxa"/>
            <w:noWrap/>
            <w:vAlign w:val="center"/>
            <w:hideMark/>
          </w:tcPr>
          <w:p w14:paraId="4A6BB7B8" w14:textId="77777777" w:rsidR="005A35E5" w:rsidRPr="00B84C0D" w:rsidRDefault="005A35E5" w:rsidP="00791619">
            <w:pPr>
              <w:jc w:val="both"/>
              <w:rPr>
                <w:rFonts w:cstheme="minorHAnsi"/>
                <w:sz w:val="20"/>
                <w:szCs w:val="20"/>
              </w:rPr>
            </w:pPr>
            <w:r w:rsidRPr="00B84C0D">
              <w:rPr>
                <w:rFonts w:cstheme="minorHAnsi"/>
                <w:sz w:val="20"/>
                <w:szCs w:val="20"/>
              </w:rPr>
              <w:t xml:space="preserve">                  50,000 </w:t>
            </w:r>
          </w:p>
        </w:tc>
        <w:tc>
          <w:tcPr>
            <w:tcW w:w="1149" w:type="dxa"/>
            <w:noWrap/>
            <w:vAlign w:val="center"/>
            <w:hideMark/>
          </w:tcPr>
          <w:p w14:paraId="33081885" w14:textId="77777777" w:rsidR="00DB45FA" w:rsidRDefault="005A35E5" w:rsidP="00791619">
            <w:pPr>
              <w:jc w:val="both"/>
              <w:rPr>
                <w:rFonts w:cstheme="minorHAnsi"/>
                <w:sz w:val="20"/>
                <w:szCs w:val="20"/>
              </w:rPr>
            </w:pPr>
            <w:r w:rsidRPr="00B84C0D">
              <w:rPr>
                <w:rFonts w:cstheme="minorHAnsi"/>
                <w:sz w:val="20"/>
                <w:szCs w:val="20"/>
              </w:rPr>
              <w:t xml:space="preserve">              </w:t>
            </w:r>
          </w:p>
          <w:p w14:paraId="2173DEEB" w14:textId="29DA33F5" w:rsidR="005A35E5" w:rsidRPr="00B84C0D" w:rsidRDefault="005A35E5" w:rsidP="00791619">
            <w:pPr>
              <w:jc w:val="both"/>
              <w:rPr>
                <w:rFonts w:cstheme="minorHAnsi"/>
                <w:sz w:val="20"/>
                <w:szCs w:val="20"/>
              </w:rPr>
            </w:pPr>
            <w:r w:rsidRPr="00B84C0D">
              <w:rPr>
                <w:rFonts w:cstheme="minorHAnsi"/>
                <w:sz w:val="20"/>
                <w:szCs w:val="20"/>
              </w:rPr>
              <w:t xml:space="preserve">    50,000 </w:t>
            </w:r>
          </w:p>
        </w:tc>
        <w:tc>
          <w:tcPr>
            <w:tcW w:w="1149" w:type="dxa"/>
            <w:noWrap/>
            <w:vAlign w:val="center"/>
            <w:hideMark/>
          </w:tcPr>
          <w:p w14:paraId="753BA560" w14:textId="77777777" w:rsidR="005A35E5" w:rsidRPr="00B84C0D" w:rsidRDefault="005A35E5" w:rsidP="00791619">
            <w:pPr>
              <w:jc w:val="both"/>
              <w:rPr>
                <w:rFonts w:cstheme="minorHAnsi"/>
                <w:sz w:val="20"/>
                <w:szCs w:val="20"/>
              </w:rPr>
            </w:pPr>
            <w:r w:rsidRPr="00B84C0D">
              <w:rPr>
                <w:rFonts w:cstheme="minorHAnsi"/>
                <w:sz w:val="20"/>
                <w:szCs w:val="20"/>
              </w:rPr>
              <w:t xml:space="preserve">                  50,000 </w:t>
            </w:r>
          </w:p>
        </w:tc>
        <w:tc>
          <w:tcPr>
            <w:tcW w:w="1267" w:type="dxa"/>
            <w:noWrap/>
            <w:vAlign w:val="center"/>
            <w:hideMark/>
          </w:tcPr>
          <w:p w14:paraId="0C444312" w14:textId="77777777" w:rsidR="005A35E5" w:rsidRPr="00B84C0D" w:rsidRDefault="005A35E5" w:rsidP="00791619">
            <w:pPr>
              <w:jc w:val="both"/>
              <w:rPr>
                <w:rFonts w:cstheme="minorHAnsi"/>
                <w:sz w:val="20"/>
                <w:szCs w:val="20"/>
              </w:rPr>
            </w:pPr>
            <w:r w:rsidRPr="00B84C0D">
              <w:rPr>
                <w:rFonts w:cstheme="minorHAnsi"/>
                <w:sz w:val="20"/>
                <w:szCs w:val="20"/>
              </w:rPr>
              <w:t xml:space="preserve">                   200,000 </w:t>
            </w:r>
          </w:p>
        </w:tc>
      </w:tr>
      <w:tr w:rsidR="005A35E5" w:rsidRPr="00B84C0D" w14:paraId="588E80A3" w14:textId="77777777" w:rsidTr="00B84C0D">
        <w:trPr>
          <w:trHeight w:val="290"/>
        </w:trPr>
        <w:tc>
          <w:tcPr>
            <w:tcW w:w="3153" w:type="dxa"/>
            <w:noWrap/>
            <w:vAlign w:val="bottom"/>
            <w:hideMark/>
          </w:tcPr>
          <w:p w14:paraId="40096F66" w14:textId="77777777" w:rsidR="005A35E5" w:rsidRPr="00B84C0D" w:rsidRDefault="005A35E5" w:rsidP="00791619">
            <w:pPr>
              <w:pStyle w:val="ListParagraph"/>
              <w:numPr>
                <w:ilvl w:val="0"/>
                <w:numId w:val="12"/>
              </w:numPr>
              <w:ind w:left="457"/>
              <w:jc w:val="both"/>
              <w:rPr>
                <w:rFonts w:cstheme="minorHAnsi"/>
                <w:sz w:val="20"/>
                <w:szCs w:val="20"/>
              </w:rPr>
            </w:pPr>
            <w:r w:rsidRPr="00B84C0D">
              <w:rPr>
                <w:rFonts w:cstheme="minorHAnsi"/>
                <w:sz w:val="20"/>
                <w:szCs w:val="20"/>
              </w:rPr>
              <w:t>DFAT strategic opportunities (TBD)</w:t>
            </w:r>
          </w:p>
        </w:tc>
        <w:tc>
          <w:tcPr>
            <w:tcW w:w="1149" w:type="dxa"/>
            <w:noWrap/>
            <w:vAlign w:val="center"/>
            <w:hideMark/>
          </w:tcPr>
          <w:p w14:paraId="450361F6" w14:textId="77777777" w:rsidR="005A35E5" w:rsidRPr="00B84C0D" w:rsidRDefault="005A35E5" w:rsidP="00791619">
            <w:pPr>
              <w:jc w:val="both"/>
              <w:rPr>
                <w:rFonts w:cstheme="minorHAnsi"/>
                <w:sz w:val="20"/>
                <w:szCs w:val="20"/>
              </w:rPr>
            </w:pPr>
            <w:r w:rsidRPr="00B84C0D">
              <w:rPr>
                <w:rFonts w:cstheme="minorHAnsi"/>
                <w:sz w:val="20"/>
                <w:szCs w:val="20"/>
              </w:rPr>
              <w:t xml:space="preserve">                150,000 </w:t>
            </w:r>
          </w:p>
        </w:tc>
        <w:tc>
          <w:tcPr>
            <w:tcW w:w="1149" w:type="dxa"/>
            <w:noWrap/>
            <w:vAlign w:val="center"/>
            <w:hideMark/>
          </w:tcPr>
          <w:p w14:paraId="2DD20644" w14:textId="77777777" w:rsidR="005A35E5" w:rsidRPr="00B84C0D" w:rsidRDefault="005A35E5" w:rsidP="00791619">
            <w:pPr>
              <w:jc w:val="both"/>
              <w:rPr>
                <w:rFonts w:cstheme="minorHAnsi"/>
                <w:sz w:val="20"/>
                <w:szCs w:val="20"/>
              </w:rPr>
            </w:pPr>
            <w:r w:rsidRPr="00B84C0D">
              <w:rPr>
                <w:rFonts w:cstheme="minorHAnsi"/>
                <w:sz w:val="20"/>
                <w:szCs w:val="20"/>
              </w:rPr>
              <w:t xml:space="preserve">                150,000 </w:t>
            </w:r>
          </w:p>
        </w:tc>
        <w:tc>
          <w:tcPr>
            <w:tcW w:w="1149" w:type="dxa"/>
            <w:noWrap/>
            <w:vAlign w:val="center"/>
            <w:hideMark/>
          </w:tcPr>
          <w:p w14:paraId="6D4727C1" w14:textId="77777777" w:rsidR="005A35E5" w:rsidRPr="00B84C0D" w:rsidRDefault="005A35E5" w:rsidP="00791619">
            <w:pPr>
              <w:jc w:val="both"/>
              <w:rPr>
                <w:rFonts w:cstheme="minorHAnsi"/>
                <w:sz w:val="20"/>
                <w:szCs w:val="20"/>
              </w:rPr>
            </w:pPr>
            <w:r w:rsidRPr="00B84C0D">
              <w:rPr>
                <w:rFonts w:cstheme="minorHAnsi"/>
                <w:sz w:val="20"/>
                <w:szCs w:val="20"/>
              </w:rPr>
              <w:t xml:space="preserve">                150,000 </w:t>
            </w:r>
          </w:p>
        </w:tc>
        <w:tc>
          <w:tcPr>
            <w:tcW w:w="1149" w:type="dxa"/>
            <w:noWrap/>
            <w:vAlign w:val="center"/>
            <w:hideMark/>
          </w:tcPr>
          <w:p w14:paraId="5DCD1B23" w14:textId="77777777" w:rsidR="005A35E5" w:rsidRPr="00B84C0D" w:rsidRDefault="005A35E5" w:rsidP="00791619">
            <w:pPr>
              <w:jc w:val="both"/>
              <w:rPr>
                <w:rFonts w:cstheme="minorHAnsi"/>
                <w:sz w:val="20"/>
                <w:szCs w:val="20"/>
              </w:rPr>
            </w:pPr>
            <w:r w:rsidRPr="00B84C0D">
              <w:rPr>
                <w:rFonts w:cstheme="minorHAnsi"/>
                <w:sz w:val="20"/>
                <w:szCs w:val="20"/>
              </w:rPr>
              <w:t xml:space="preserve">                150,000 </w:t>
            </w:r>
          </w:p>
        </w:tc>
        <w:tc>
          <w:tcPr>
            <w:tcW w:w="1267" w:type="dxa"/>
            <w:noWrap/>
            <w:vAlign w:val="center"/>
            <w:hideMark/>
          </w:tcPr>
          <w:p w14:paraId="2096E9A7" w14:textId="77777777" w:rsidR="005A35E5" w:rsidRPr="00B84C0D" w:rsidRDefault="005A35E5" w:rsidP="00791619">
            <w:pPr>
              <w:jc w:val="both"/>
              <w:rPr>
                <w:rFonts w:cstheme="minorHAnsi"/>
                <w:sz w:val="20"/>
                <w:szCs w:val="20"/>
              </w:rPr>
            </w:pPr>
            <w:r w:rsidRPr="00B84C0D">
              <w:rPr>
                <w:rFonts w:cstheme="minorHAnsi"/>
                <w:sz w:val="20"/>
                <w:szCs w:val="20"/>
              </w:rPr>
              <w:t xml:space="preserve">                   600,000 </w:t>
            </w:r>
          </w:p>
        </w:tc>
      </w:tr>
      <w:tr w:rsidR="005A35E5" w:rsidRPr="00B84C0D" w14:paraId="1CD95712" w14:textId="77777777" w:rsidTr="00B84C0D">
        <w:trPr>
          <w:trHeight w:val="290"/>
        </w:trPr>
        <w:tc>
          <w:tcPr>
            <w:tcW w:w="3153" w:type="dxa"/>
            <w:noWrap/>
            <w:vAlign w:val="bottom"/>
            <w:hideMark/>
          </w:tcPr>
          <w:p w14:paraId="6DE9C64D" w14:textId="5EBA0D24" w:rsidR="005A35E5" w:rsidRPr="00B84C0D" w:rsidRDefault="005A35E5" w:rsidP="00791619">
            <w:pPr>
              <w:jc w:val="both"/>
              <w:rPr>
                <w:rFonts w:cstheme="minorHAnsi"/>
                <w:b/>
                <w:bCs/>
                <w:sz w:val="20"/>
                <w:szCs w:val="20"/>
              </w:rPr>
            </w:pPr>
            <w:r w:rsidRPr="00B84C0D">
              <w:rPr>
                <w:rFonts w:cstheme="minorHAnsi"/>
                <w:b/>
                <w:bCs/>
                <w:sz w:val="20"/>
                <w:szCs w:val="20"/>
              </w:rPr>
              <w:t xml:space="preserve">Subtotal </w:t>
            </w:r>
          </w:p>
        </w:tc>
        <w:tc>
          <w:tcPr>
            <w:tcW w:w="1149" w:type="dxa"/>
            <w:noWrap/>
            <w:vAlign w:val="center"/>
            <w:hideMark/>
          </w:tcPr>
          <w:p w14:paraId="3C69770D" w14:textId="77777777" w:rsidR="005A35E5" w:rsidRPr="00B84C0D" w:rsidRDefault="005A35E5" w:rsidP="00791619">
            <w:pPr>
              <w:jc w:val="both"/>
              <w:rPr>
                <w:rFonts w:cstheme="minorHAnsi"/>
                <w:sz w:val="20"/>
                <w:szCs w:val="20"/>
              </w:rPr>
            </w:pPr>
            <w:r w:rsidRPr="00B84C0D">
              <w:rPr>
                <w:rFonts w:cstheme="minorHAnsi"/>
                <w:sz w:val="20"/>
                <w:szCs w:val="20"/>
              </w:rPr>
              <w:t xml:space="preserve">            1,700,000 </w:t>
            </w:r>
          </w:p>
        </w:tc>
        <w:tc>
          <w:tcPr>
            <w:tcW w:w="1149" w:type="dxa"/>
            <w:noWrap/>
            <w:vAlign w:val="center"/>
            <w:hideMark/>
          </w:tcPr>
          <w:p w14:paraId="350909F6" w14:textId="77777777" w:rsidR="005A35E5" w:rsidRPr="00B84C0D" w:rsidRDefault="005A35E5" w:rsidP="00791619">
            <w:pPr>
              <w:jc w:val="both"/>
              <w:rPr>
                <w:rFonts w:cstheme="minorHAnsi"/>
                <w:sz w:val="20"/>
                <w:szCs w:val="20"/>
              </w:rPr>
            </w:pPr>
            <w:r w:rsidRPr="00B84C0D">
              <w:rPr>
                <w:rFonts w:cstheme="minorHAnsi"/>
                <w:sz w:val="20"/>
                <w:szCs w:val="20"/>
              </w:rPr>
              <w:t xml:space="preserve">            1,700,000 </w:t>
            </w:r>
          </w:p>
        </w:tc>
        <w:tc>
          <w:tcPr>
            <w:tcW w:w="1149" w:type="dxa"/>
            <w:noWrap/>
            <w:vAlign w:val="center"/>
            <w:hideMark/>
          </w:tcPr>
          <w:p w14:paraId="36CFECD9" w14:textId="77777777" w:rsidR="005A35E5" w:rsidRPr="00B84C0D" w:rsidRDefault="005A35E5" w:rsidP="00791619">
            <w:pPr>
              <w:jc w:val="both"/>
              <w:rPr>
                <w:rFonts w:cstheme="minorHAnsi"/>
                <w:sz w:val="20"/>
                <w:szCs w:val="20"/>
              </w:rPr>
            </w:pPr>
            <w:r w:rsidRPr="00B84C0D">
              <w:rPr>
                <w:rFonts w:cstheme="minorHAnsi"/>
                <w:sz w:val="20"/>
                <w:szCs w:val="20"/>
              </w:rPr>
              <w:t xml:space="preserve">            1,700,000 </w:t>
            </w:r>
          </w:p>
        </w:tc>
        <w:tc>
          <w:tcPr>
            <w:tcW w:w="1149" w:type="dxa"/>
            <w:noWrap/>
            <w:vAlign w:val="center"/>
            <w:hideMark/>
          </w:tcPr>
          <w:p w14:paraId="61BE0970" w14:textId="77777777" w:rsidR="005A35E5" w:rsidRPr="00B84C0D" w:rsidRDefault="005A35E5" w:rsidP="00791619">
            <w:pPr>
              <w:jc w:val="both"/>
              <w:rPr>
                <w:rFonts w:cstheme="minorHAnsi"/>
                <w:sz w:val="20"/>
                <w:szCs w:val="20"/>
              </w:rPr>
            </w:pPr>
            <w:r w:rsidRPr="00B84C0D">
              <w:rPr>
                <w:rFonts w:cstheme="minorHAnsi"/>
                <w:sz w:val="20"/>
                <w:szCs w:val="20"/>
              </w:rPr>
              <w:t xml:space="preserve">            1,700,000 </w:t>
            </w:r>
          </w:p>
        </w:tc>
        <w:tc>
          <w:tcPr>
            <w:tcW w:w="1267" w:type="dxa"/>
            <w:noWrap/>
            <w:vAlign w:val="center"/>
            <w:hideMark/>
          </w:tcPr>
          <w:p w14:paraId="527CE7E6" w14:textId="77777777" w:rsidR="005A35E5" w:rsidRPr="00B84C0D" w:rsidRDefault="005A35E5" w:rsidP="00791619">
            <w:pPr>
              <w:jc w:val="both"/>
              <w:rPr>
                <w:rFonts w:cstheme="minorHAnsi"/>
                <w:sz w:val="20"/>
                <w:szCs w:val="20"/>
              </w:rPr>
            </w:pPr>
            <w:r w:rsidRPr="00B84C0D">
              <w:rPr>
                <w:rFonts w:cstheme="minorHAnsi"/>
                <w:sz w:val="20"/>
                <w:szCs w:val="20"/>
              </w:rPr>
              <w:t xml:space="preserve">                6,800,000 </w:t>
            </w:r>
          </w:p>
        </w:tc>
      </w:tr>
      <w:tr w:rsidR="005A35E5" w:rsidRPr="00B84C0D" w14:paraId="4474CD36" w14:textId="77777777" w:rsidTr="00B84C0D">
        <w:trPr>
          <w:trHeight w:val="300"/>
        </w:trPr>
        <w:tc>
          <w:tcPr>
            <w:tcW w:w="3153" w:type="dxa"/>
            <w:noWrap/>
            <w:vAlign w:val="bottom"/>
            <w:hideMark/>
          </w:tcPr>
          <w:p w14:paraId="78EE67D7" w14:textId="7A263A46" w:rsidR="005A35E5" w:rsidRPr="00B84C0D" w:rsidRDefault="005A35E5" w:rsidP="00791619">
            <w:pPr>
              <w:jc w:val="both"/>
              <w:rPr>
                <w:rFonts w:cstheme="minorHAnsi"/>
                <w:b/>
                <w:bCs/>
                <w:sz w:val="20"/>
                <w:szCs w:val="20"/>
              </w:rPr>
            </w:pPr>
            <w:r w:rsidRPr="00B84C0D">
              <w:rPr>
                <w:rFonts w:cstheme="minorHAnsi"/>
                <w:b/>
                <w:bCs/>
                <w:sz w:val="20"/>
                <w:szCs w:val="20"/>
              </w:rPr>
              <w:t xml:space="preserve">Total </w:t>
            </w:r>
          </w:p>
        </w:tc>
        <w:tc>
          <w:tcPr>
            <w:tcW w:w="1149" w:type="dxa"/>
            <w:noWrap/>
            <w:vAlign w:val="center"/>
            <w:hideMark/>
          </w:tcPr>
          <w:p w14:paraId="6D128D21" w14:textId="77777777" w:rsidR="005A35E5" w:rsidRPr="00B84C0D" w:rsidRDefault="005A35E5" w:rsidP="00791619">
            <w:pPr>
              <w:jc w:val="both"/>
              <w:rPr>
                <w:rFonts w:cstheme="minorHAnsi"/>
                <w:sz w:val="20"/>
                <w:szCs w:val="20"/>
              </w:rPr>
            </w:pPr>
            <w:r w:rsidRPr="00B84C0D">
              <w:rPr>
                <w:rFonts w:cstheme="minorHAnsi"/>
                <w:sz w:val="20"/>
                <w:szCs w:val="20"/>
              </w:rPr>
              <w:t xml:space="preserve">            8,000,000 </w:t>
            </w:r>
          </w:p>
        </w:tc>
        <w:tc>
          <w:tcPr>
            <w:tcW w:w="1149" w:type="dxa"/>
            <w:noWrap/>
            <w:vAlign w:val="center"/>
            <w:hideMark/>
          </w:tcPr>
          <w:p w14:paraId="7BBD1CA7" w14:textId="77777777" w:rsidR="005A35E5" w:rsidRPr="00B84C0D" w:rsidRDefault="005A35E5" w:rsidP="00791619">
            <w:pPr>
              <w:jc w:val="both"/>
              <w:rPr>
                <w:rFonts w:cstheme="minorHAnsi"/>
                <w:sz w:val="20"/>
                <w:szCs w:val="20"/>
              </w:rPr>
            </w:pPr>
            <w:r w:rsidRPr="00B84C0D">
              <w:rPr>
                <w:rFonts w:cstheme="minorHAnsi"/>
                <w:sz w:val="20"/>
                <w:szCs w:val="20"/>
              </w:rPr>
              <w:t xml:space="preserve">            8,000,000 </w:t>
            </w:r>
          </w:p>
        </w:tc>
        <w:tc>
          <w:tcPr>
            <w:tcW w:w="1149" w:type="dxa"/>
            <w:noWrap/>
            <w:vAlign w:val="center"/>
            <w:hideMark/>
          </w:tcPr>
          <w:p w14:paraId="210121A4" w14:textId="77777777" w:rsidR="005A35E5" w:rsidRPr="00B84C0D" w:rsidRDefault="005A35E5" w:rsidP="00791619">
            <w:pPr>
              <w:jc w:val="both"/>
              <w:rPr>
                <w:rFonts w:cstheme="minorHAnsi"/>
                <w:sz w:val="20"/>
                <w:szCs w:val="20"/>
              </w:rPr>
            </w:pPr>
            <w:r w:rsidRPr="00B84C0D">
              <w:rPr>
                <w:rFonts w:cstheme="minorHAnsi"/>
                <w:sz w:val="20"/>
                <w:szCs w:val="20"/>
              </w:rPr>
              <w:t xml:space="preserve">            8,000,000 </w:t>
            </w:r>
          </w:p>
        </w:tc>
        <w:tc>
          <w:tcPr>
            <w:tcW w:w="1149" w:type="dxa"/>
            <w:noWrap/>
            <w:vAlign w:val="center"/>
            <w:hideMark/>
          </w:tcPr>
          <w:p w14:paraId="43744481" w14:textId="77777777" w:rsidR="005A35E5" w:rsidRPr="00B84C0D" w:rsidRDefault="005A35E5" w:rsidP="00791619">
            <w:pPr>
              <w:jc w:val="both"/>
              <w:rPr>
                <w:rFonts w:cstheme="minorHAnsi"/>
                <w:sz w:val="20"/>
                <w:szCs w:val="20"/>
              </w:rPr>
            </w:pPr>
            <w:r w:rsidRPr="00B84C0D">
              <w:rPr>
                <w:rFonts w:cstheme="minorHAnsi"/>
                <w:sz w:val="20"/>
                <w:szCs w:val="20"/>
              </w:rPr>
              <w:t xml:space="preserve">            8,000,000 </w:t>
            </w:r>
          </w:p>
        </w:tc>
        <w:tc>
          <w:tcPr>
            <w:tcW w:w="1267" w:type="dxa"/>
            <w:noWrap/>
            <w:vAlign w:val="center"/>
            <w:hideMark/>
          </w:tcPr>
          <w:p w14:paraId="5E74DDFB" w14:textId="77777777" w:rsidR="005A35E5" w:rsidRPr="00B84C0D" w:rsidRDefault="005A35E5" w:rsidP="00791619">
            <w:pPr>
              <w:jc w:val="both"/>
              <w:rPr>
                <w:rFonts w:cstheme="minorHAnsi"/>
                <w:sz w:val="20"/>
                <w:szCs w:val="20"/>
              </w:rPr>
            </w:pPr>
            <w:r w:rsidRPr="00B84C0D">
              <w:rPr>
                <w:rFonts w:cstheme="minorHAnsi"/>
                <w:sz w:val="20"/>
                <w:szCs w:val="20"/>
              </w:rPr>
              <w:t xml:space="preserve">              32,000,000 </w:t>
            </w:r>
          </w:p>
        </w:tc>
      </w:tr>
    </w:tbl>
    <w:p w14:paraId="6E0C66A5" w14:textId="41EEF7DE" w:rsidR="00AE4DEE" w:rsidRPr="0012389B" w:rsidRDefault="00AE4DEE" w:rsidP="00791619">
      <w:pPr>
        <w:jc w:val="both"/>
      </w:pPr>
    </w:p>
    <w:p w14:paraId="0F245E69" w14:textId="6064B042" w:rsidR="00A758FF" w:rsidRPr="0012389B" w:rsidRDefault="00ED498C" w:rsidP="00791619">
      <w:pPr>
        <w:jc w:val="both"/>
      </w:pPr>
      <w:r w:rsidRPr="0012389B">
        <w:t xml:space="preserve">The </w:t>
      </w:r>
      <w:r w:rsidR="00D94384" w:rsidRPr="0012389B">
        <w:t xml:space="preserve">CPP total annual budget is </w:t>
      </w:r>
      <w:r w:rsidRPr="0012389B">
        <w:t xml:space="preserve">set at </w:t>
      </w:r>
      <w:r w:rsidR="00D94384" w:rsidRPr="0012389B">
        <w:t xml:space="preserve">AUD 8 million per year, which is the same as the current phase of the </w:t>
      </w:r>
      <w:r w:rsidRPr="0012389B">
        <w:t xml:space="preserve">program. </w:t>
      </w:r>
      <w:r w:rsidR="00A758FF" w:rsidRPr="0012389B">
        <w:t>The budget breakdown is indicative only and there is scope to move funding across budget lines with DFAT’s approval</w:t>
      </w:r>
      <w:r w:rsidR="00315761">
        <w:t>.</w:t>
      </w:r>
    </w:p>
    <w:p w14:paraId="07A7DAD7" w14:textId="3E878562" w:rsidR="00D94384" w:rsidRPr="0012389B" w:rsidRDefault="00ED498C" w:rsidP="00791619">
      <w:pPr>
        <w:jc w:val="both"/>
      </w:pPr>
      <w:r w:rsidRPr="0012389B">
        <w:t xml:space="preserve">To provide the CPPCO with increased resources and capacity to support </w:t>
      </w:r>
      <w:r w:rsidR="00B565F5" w:rsidRPr="0012389B">
        <w:t>partner capacity</w:t>
      </w:r>
      <w:r w:rsidRPr="0012389B">
        <w:t xml:space="preserve"> development and social accountability activities, the grant ceiling for each partner has dropped slightly </w:t>
      </w:r>
      <w:r w:rsidR="00A758FF" w:rsidRPr="0012389B">
        <w:t xml:space="preserve">from the current phase </w:t>
      </w:r>
      <w:r w:rsidRPr="0012389B">
        <w:t xml:space="preserve">to AUD900,000 </w:t>
      </w:r>
      <w:r w:rsidR="00E36753">
        <w:t>per annum.</w:t>
      </w:r>
      <w:r w:rsidR="00A93EFF">
        <w:t xml:space="preserve"> This is exclusive of dedicated funding for social accountability </w:t>
      </w:r>
      <w:r w:rsidR="005216E6">
        <w:t>pilot activities (and technical support), additional strategic opportunities (such as responding to emerging crises)</w:t>
      </w:r>
      <w:r w:rsidR="00E13469">
        <w:t xml:space="preserve"> and capacity building of PNGCC.</w:t>
      </w:r>
      <w:r w:rsidR="00E36753">
        <w:t xml:space="preserve"> </w:t>
      </w:r>
      <w:r w:rsidR="00E13469">
        <w:t>A</w:t>
      </w:r>
      <w:r w:rsidRPr="0012389B">
        <w:t xml:space="preserve">dditional funding may be available to CPP partners who meet expenditure forecasts and acquittal </w:t>
      </w:r>
      <w:r w:rsidR="00B565F5" w:rsidRPr="0012389B">
        <w:t xml:space="preserve">requirements </w:t>
      </w:r>
      <w:r w:rsidR="00E36753">
        <w:t>(</w:t>
      </w:r>
      <w:r w:rsidR="00B565F5" w:rsidRPr="0012389B">
        <w:t>if</w:t>
      </w:r>
      <w:r w:rsidRPr="0012389B">
        <w:t xml:space="preserve"> ther</w:t>
      </w:r>
      <w:r w:rsidR="00B565F5" w:rsidRPr="0012389B">
        <w:t>e are underspends across components of the BCEP program</w:t>
      </w:r>
      <w:r w:rsidR="00E36753">
        <w:t>)</w:t>
      </w:r>
      <w:r w:rsidR="00B565F5" w:rsidRPr="0012389B">
        <w:t xml:space="preserve">. </w:t>
      </w:r>
    </w:p>
    <w:p w14:paraId="3105BFCE" w14:textId="705A2178" w:rsidR="00B565F5" w:rsidRPr="0012389B" w:rsidRDefault="00B565F5" w:rsidP="00791619">
      <w:pPr>
        <w:jc w:val="both"/>
      </w:pPr>
      <w:r w:rsidRPr="0012389B">
        <w:t xml:space="preserve">For transparency, the budget outlines the CPPCO key budget lines </w:t>
      </w:r>
    </w:p>
    <w:p w14:paraId="2C0DB861" w14:textId="77777777" w:rsidR="00A758FF" w:rsidRPr="0012389B" w:rsidRDefault="00B565F5" w:rsidP="00791619">
      <w:pPr>
        <w:pStyle w:val="ListParagraph"/>
        <w:numPr>
          <w:ilvl w:val="0"/>
          <w:numId w:val="22"/>
        </w:numPr>
        <w:jc w:val="both"/>
      </w:pPr>
      <w:r w:rsidRPr="0012389B">
        <w:t>Core functions (staff and operations): this includes costs for BCEP PMT oversight and support (note 2)</w:t>
      </w:r>
    </w:p>
    <w:p w14:paraId="4F883220" w14:textId="1AE05AF2" w:rsidR="00B565F5" w:rsidRPr="0012389B" w:rsidRDefault="00B565F5" w:rsidP="00791619">
      <w:pPr>
        <w:pStyle w:val="ListParagraph"/>
        <w:numPr>
          <w:ilvl w:val="0"/>
          <w:numId w:val="22"/>
        </w:numPr>
        <w:jc w:val="both"/>
      </w:pPr>
      <w:r w:rsidRPr="0012389B">
        <w:t xml:space="preserve">Programming support &amp; capacity development: </w:t>
      </w:r>
    </w:p>
    <w:p w14:paraId="36F7D708" w14:textId="292ACDA1" w:rsidR="00B565F5" w:rsidRPr="0012389B" w:rsidRDefault="00B565F5" w:rsidP="00791619">
      <w:pPr>
        <w:pStyle w:val="ListParagraph"/>
        <w:numPr>
          <w:ilvl w:val="0"/>
          <w:numId w:val="18"/>
        </w:numPr>
        <w:ind w:hanging="371"/>
        <w:jc w:val="both"/>
      </w:pPr>
      <w:r w:rsidRPr="0012389B">
        <w:t>Social Accountability (an indicative amount</w:t>
      </w:r>
      <w:r w:rsidR="00E36753">
        <w:t>)</w:t>
      </w:r>
    </w:p>
    <w:p w14:paraId="5D012CD7" w14:textId="767209EF" w:rsidR="00B565F5" w:rsidRPr="0012389B" w:rsidRDefault="00B565F5" w:rsidP="00791619">
      <w:pPr>
        <w:pStyle w:val="ListParagraph"/>
        <w:numPr>
          <w:ilvl w:val="0"/>
          <w:numId w:val="18"/>
        </w:numPr>
        <w:ind w:hanging="371"/>
        <w:jc w:val="both"/>
      </w:pPr>
      <w:r w:rsidRPr="0012389B">
        <w:t>Technical Assistance (various) (estimate)</w:t>
      </w:r>
    </w:p>
    <w:p w14:paraId="11221345" w14:textId="077BCA58" w:rsidR="00B565F5" w:rsidRPr="0012389B" w:rsidRDefault="00B565F5" w:rsidP="00791619">
      <w:pPr>
        <w:pStyle w:val="ListParagraph"/>
        <w:numPr>
          <w:ilvl w:val="0"/>
          <w:numId w:val="18"/>
        </w:numPr>
        <w:ind w:hanging="371"/>
        <w:jc w:val="both"/>
      </w:pPr>
      <w:r w:rsidRPr="0012389B">
        <w:t>PNGCC capacity development (estimate, based on DFAT advice)</w:t>
      </w:r>
    </w:p>
    <w:p w14:paraId="6349E567" w14:textId="51C68423" w:rsidR="00B565F5" w:rsidRPr="0012389B" w:rsidRDefault="00B565F5" w:rsidP="00791619">
      <w:pPr>
        <w:pStyle w:val="ListParagraph"/>
        <w:numPr>
          <w:ilvl w:val="0"/>
          <w:numId w:val="18"/>
        </w:numPr>
        <w:ind w:hanging="371"/>
        <w:jc w:val="both"/>
      </w:pPr>
      <w:r w:rsidRPr="0012389B">
        <w:t>Research and Learning (estimate</w:t>
      </w:r>
      <w:r w:rsidR="00E36753">
        <w:t>d)</w:t>
      </w:r>
    </w:p>
    <w:p w14:paraId="621172D2" w14:textId="5942EBCF" w:rsidR="005A35E5" w:rsidRPr="0012389B" w:rsidRDefault="00B565F5" w:rsidP="00791619">
      <w:pPr>
        <w:pStyle w:val="ListParagraph"/>
        <w:numPr>
          <w:ilvl w:val="0"/>
          <w:numId w:val="18"/>
        </w:numPr>
        <w:ind w:hanging="371"/>
        <w:jc w:val="both"/>
      </w:pPr>
      <w:r w:rsidRPr="0012389B">
        <w:t xml:space="preserve">DFAT strategic opportunities </w:t>
      </w:r>
      <w:r w:rsidR="00A758FF" w:rsidRPr="0012389B">
        <w:t>(for DFAT use</w:t>
      </w:r>
      <w:r w:rsidRPr="0012389B">
        <w:t>)</w:t>
      </w:r>
    </w:p>
    <w:p w14:paraId="7BF26F48" w14:textId="70814237" w:rsidR="00A62F5F" w:rsidRPr="0012389B" w:rsidRDefault="00A62F5F" w:rsidP="00791619">
      <w:pPr>
        <w:pStyle w:val="Heading1"/>
        <w:numPr>
          <w:ilvl w:val="0"/>
          <w:numId w:val="1"/>
        </w:numPr>
        <w:spacing w:after="240"/>
        <w:ind w:hanging="720"/>
        <w:jc w:val="both"/>
        <w:rPr>
          <w:rFonts w:ascii="Arial" w:hAnsi="Arial"/>
          <w:sz w:val="28"/>
        </w:rPr>
      </w:pPr>
      <w:bookmarkStart w:id="129" w:name="_Toc97187864"/>
      <w:bookmarkStart w:id="130" w:name="_Toc97305483"/>
      <w:bookmarkStart w:id="131" w:name="_Toc99041682"/>
      <w:r w:rsidRPr="0012389B">
        <w:rPr>
          <w:rFonts w:ascii="Arial" w:hAnsi="Arial"/>
          <w:sz w:val="28"/>
        </w:rPr>
        <w:lastRenderedPageBreak/>
        <w:t>Risk management and safeguards</w:t>
      </w:r>
      <w:bookmarkEnd w:id="129"/>
      <w:bookmarkEnd w:id="130"/>
      <w:bookmarkEnd w:id="131"/>
    </w:p>
    <w:p w14:paraId="3ED913DE" w14:textId="0ACC0CE6" w:rsidR="00C06C43" w:rsidRPr="0012389B" w:rsidRDefault="00C06C43" w:rsidP="00791619">
      <w:pPr>
        <w:jc w:val="both"/>
      </w:pPr>
      <w:r w:rsidRPr="0012389B">
        <w:t>CPP is a high-risk investment, as assessed against DFAT’s Risks and Safeguard Tool. The most important strategic risks and control measures are summarised here (</w:t>
      </w:r>
      <w:r w:rsidR="00531F58" w:rsidRPr="0012389B">
        <w:t>see</w:t>
      </w:r>
      <w:r w:rsidRPr="0012389B">
        <w:t xml:space="preserve"> Annex </w:t>
      </w:r>
      <w:r w:rsidR="002279B9">
        <w:t>2</w:t>
      </w:r>
      <w:r w:rsidRPr="0012389B">
        <w:t>)</w:t>
      </w:r>
    </w:p>
    <w:p w14:paraId="28DBF202" w14:textId="340034AE" w:rsidR="00C06C43" w:rsidRPr="0012389B" w:rsidRDefault="00C06C43" w:rsidP="00791619">
      <w:pPr>
        <w:pStyle w:val="Heading2"/>
        <w:numPr>
          <w:ilvl w:val="1"/>
          <w:numId w:val="1"/>
        </w:numPr>
        <w:ind w:left="709" w:hanging="709"/>
        <w:jc w:val="both"/>
        <w:rPr>
          <w:b/>
          <w:bCs/>
          <w:sz w:val="24"/>
          <w:szCs w:val="24"/>
        </w:rPr>
      </w:pPr>
      <w:bookmarkStart w:id="132" w:name="_Toc99041683"/>
      <w:r w:rsidRPr="0012389B">
        <w:rPr>
          <w:b/>
          <w:bCs/>
          <w:sz w:val="24"/>
          <w:szCs w:val="24"/>
        </w:rPr>
        <w:t>Key Risks</w:t>
      </w:r>
      <w:r w:rsidR="00B471A0" w:rsidRPr="0012389B">
        <w:rPr>
          <w:b/>
          <w:bCs/>
          <w:sz w:val="24"/>
          <w:szCs w:val="24"/>
        </w:rPr>
        <w:t xml:space="preserve"> and mitigation</w:t>
      </w:r>
      <w:bookmarkEnd w:id="132"/>
      <w:r w:rsidR="00B471A0" w:rsidRPr="0012389B">
        <w:rPr>
          <w:b/>
          <w:bCs/>
          <w:sz w:val="24"/>
          <w:szCs w:val="24"/>
        </w:rPr>
        <w:t xml:space="preserve"> </w:t>
      </w:r>
    </w:p>
    <w:tbl>
      <w:tblPr>
        <w:tblStyle w:val="TableGrid"/>
        <w:tblW w:w="0" w:type="auto"/>
        <w:tblLook w:val="04A0" w:firstRow="1" w:lastRow="0" w:firstColumn="1" w:lastColumn="0" w:noHBand="0" w:noVBand="1"/>
      </w:tblPr>
      <w:tblGrid>
        <w:gridCol w:w="4508"/>
        <w:gridCol w:w="4508"/>
      </w:tblGrid>
      <w:tr w:rsidR="00B471A0" w:rsidRPr="0012389B" w14:paraId="094D9B09" w14:textId="77777777" w:rsidTr="003871E2">
        <w:trPr>
          <w:tblHeader/>
        </w:trPr>
        <w:tc>
          <w:tcPr>
            <w:tcW w:w="4508" w:type="dxa"/>
            <w:shd w:val="clear" w:color="auto" w:fill="D9D9D9" w:themeFill="background1" w:themeFillShade="D9"/>
          </w:tcPr>
          <w:p w14:paraId="2BD4B320" w14:textId="3AAAF847" w:rsidR="00B471A0" w:rsidRPr="0012389B" w:rsidRDefault="00C80A8F" w:rsidP="00791619">
            <w:pPr>
              <w:spacing w:before="60" w:after="60"/>
              <w:jc w:val="both"/>
              <w:rPr>
                <w:b/>
                <w:bCs/>
                <w:sz w:val="20"/>
                <w:szCs w:val="20"/>
              </w:rPr>
            </w:pPr>
            <w:r w:rsidRPr="0012389B">
              <w:rPr>
                <w:b/>
                <w:bCs/>
                <w:sz w:val="20"/>
                <w:szCs w:val="20"/>
              </w:rPr>
              <w:t>Major risks</w:t>
            </w:r>
            <w:r w:rsidR="00B471A0" w:rsidRPr="0012389B">
              <w:rPr>
                <w:b/>
                <w:bCs/>
                <w:sz w:val="20"/>
                <w:szCs w:val="20"/>
              </w:rPr>
              <w:t xml:space="preserve"> </w:t>
            </w:r>
          </w:p>
        </w:tc>
        <w:tc>
          <w:tcPr>
            <w:tcW w:w="4508" w:type="dxa"/>
            <w:shd w:val="clear" w:color="auto" w:fill="D9D9D9" w:themeFill="background1" w:themeFillShade="D9"/>
          </w:tcPr>
          <w:p w14:paraId="19E88BF3" w14:textId="0AB97FB1" w:rsidR="00B471A0" w:rsidRPr="0012389B" w:rsidRDefault="00C80A8F" w:rsidP="00791619">
            <w:pPr>
              <w:spacing w:before="60" w:after="60"/>
              <w:jc w:val="both"/>
              <w:rPr>
                <w:b/>
                <w:bCs/>
                <w:sz w:val="20"/>
                <w:szCs w:val="20"/>
              </w:rPr>
            </w:pPr>
            <w:r w:rsidRPr="0012389B">
              <w:rPr>
                <w:b/>
                <w:bCs/>
                <w:sz w:val="20"/>
                <w:szCs w:val="20"/>
              </w:rPr>
              <w:t>Mitigations</w:t>
            </w:r>
          </w:p>
        </w:tc>
      </w:tr>
      <w:tr w:rsidR="00C80A8F" w:rsidRPr="0012389B" w14:paraId="7D270E67" w14:textId="77777777" w:rsidTr="00C80A8F">
        <w:tc>
          <w:tcPr>
            <w:tcW w:w="9016" w:type="dxa"/>
            <w:gridSpan w:val="2"/>
            <w:shd w:val="clear" w:color="auto" w:fill="F2F2F2" w:themeFill="background1" w:themeFillShade="F2"/>
          </w:tcPr>
          <w:p w14:paraId="4A140595" w14:textId="14AE6747" w:rsidR="00C80A8F" w:rsidRPr="0012389B" w:rsidRDefault="00C80A8F" w:rsidP="00791619">
            <w:pPr>
              <w:pStyle w:val="ListParagraph"/>
              <w:numPr>
                <w:ilvl w:val="0"/>
                <w:numId w:val="21"/>
              </w:numPr>
              <w:spacing w:before="60" w:after="60"/>
              <w:ind w:left="357" w:hanging="357"/>
              <w:jc w:val="both"/>
              <w:rPr>
                <w:b/>
                <w:bCs/>
                <w:sz w:val="20"/>
                <w:szCs w:val="20"/>
              </w:rPr>
            </w:pPr>
            <w:r w:rsidRPr="0012389B">
              <w:rPr>
                <w:b/>
                <w:bCs/>
                <w:sz w:val="20"/>
                <w:szCs w:val="20"/>
              </w:rPr>
              <w:t>Operating context</w:t>
            </w:r>
          </w:p>
        </w:tc>
      </w:tr>
      <w:tr w:rsidR="00B471A0" w:rsidRPr="0012389B" w14:paraId="1A5FDEB6" w14:textId="77777777" w:rsidTr="00B471A0">
        <w:tc>
          <w:tcPr>
            <w:tcW w:w="4508" w:type="dxa"/>
          </w:tcPr>
          <w:p w14:paraId="01414CC4" w14:textId="015F750B" w:rsidR="00B471A0" w:rsidRPr="0012389B" w:rsidRDefault="00B471A0" w:rsidP="00791619">
            <w:pPr>
              <w:pStyle w:val="ListParagraph"/>
              <w:numPr>
                <w:ilvl w:val="0"/>
                <w:numId w:val="4"/>
              </w:numPr>
              <w:suppressAutoHyphens/>
              <w:ind w:left="457"/>
              <w:jc w:val="both"/>
              <w:rPr>
                <w:rFonts w:cstheme="minorHAnsi"/>
                <w:sz w:val="20"/>
                <w:szCs w:val="20"/>
              </w:rPr>
            </w:pPr>
            <w:r w:rsidRPr="0012389B">
              <w:rPr>
                <w:rFonts w:cstheme="minorHAnsi"/>
                <w:sz w:val="20"/>
                <w:szCs w:val="20"/>
              </w:rPr>
              <w:t>Ongoing COVID-19 pandemic, which could disrupt Program inception and implementation, making it difficult for the Program to develop trusting stakeholder relationships which are vital to the success of the Program</w:t>
            </w:r>
          </w:p>
        </w:tc>
        <w:tc>
          <w:tcPr>
            <w:tcW w:w="4508" w:type="dxa"/>
          </w:tcPr>
          <w:p w14:paraId="412A99ED" w14:textId="657B8BC2" w:rsidR="00B471A0" w:rsidRPr="0012389B" w:rsidRDefault="00C80A8F" w:rsidP="00791619">
            <w:pPr>
              <w:pStyle w:val="ListParagraph"/>
              <w:numPr>
                <w:ilvl w:val="0"/>
                <w:numId w:val="4"/>
              </w:numPr>
              <w:suppressAutoHyphens/>
              <w:ind w:left="342"/>
              <w:jc w:val="both"/>
              <w:rPr>
                <w:rFonts w:cstheme="minorHAnsi"/>
                <w:sz w:val="20"/>
                <w:szCs w:val="20"/>
              </w:rPr>
            </w:pPr>
            <w:r w:rsidRPr="0012389B">
              <w:rPr>
                <w:rFonts w:cstheme="minorHAnsi"/>
                <w:sz w:val="20"/>
                <w:szCs w:val="20"/>
              </w:rPr>
              <w:t>To respond to COVID-19 issues, the MC will be required to develop a Business Continuity Plan and a Risk and Safeguard Management Plan during the inception period to ensure essential functions can be carried out, while reducing COVID-19 risk to personnel as far as possible</w:t>
            </w:r>
          </w:p>
        </w:tc>
      </w:tr>
      <w:tr w:rsidR="00B471A0" w:rsidRPr="0012389B" w14:paraId="55871519" w14:textId="77777777" w:rsidTr="00B471A0">
        <w:tc>
          <w:tcPr>
            <w:tcW w:w="4508" w:type="dxa"/>
          </w:tcPr>
          <w:p w14:paraId="54A3C3A2" w14:textId="6BA5D34C" w:rsidR="00B471A0" w:rsidRPr="0012389B" w:rsidRDefault="00B471A0" w:rsidP="00791619">
            <w:pPr>
              <w:pStyle w:val="ListParagraph"/>
              <w:numPr>
                <w:ilvl w:val="0"/>
                <w:numId w:val="4"/>
              </w:numPr>
              <w:suppressAutoHyphens/>
              <w:ind w:left="457" w:hanging="357"/>
              <w:jc w:val="both"/>
              <w:rPr>
                <w:sz w:val="20"/>
                <w:szCs w:val="20"/>
              </w:rPr>
            </w:pPr>
            <w:r w:rsidRPr="0012389B">
              <w:rPr>
                <w:rFonts w:cstheme="minorHAnsi"/>
                <w:sz w:val="20"/>
                <w:szCs w:val="20"/>
              </w:rPr>
              <w:t xml:space="preserve">National elections in May 2022 could district program partners and beneficiaries over several months and disrupt consultation plans in the Inception period.  </w:t>
            </w:r>
          </w:p>
        </w:tc>
        <w:tc>
          <w:tcPr>
            <w:tcW w:w="4508" w:type="dxa"/>
          </w:tcPr>
          <w:p w14:paraId="29950900" w14:textId="684ECEB9" w:rsidR="00B471A0" w:rsidRPr="0012389B" w:rsidRDefault="00C80A8F" w:rsidP="00791619">
            <w:pPr>
              <w:pStyle w:val="ListParagraph"/>
              <w:numPr>
                <w:ilvl w:val="0"/>
                <w:numId w:val="4"/>
              </w:numPr>
              <w:suppressAutoHyphens/>
              <w:ind w:left="342"/>
              <w:jc w:val="both"/>
              <w:rPr>
                <w:sz w:val="20"/>
                <w:szCs w:val="20"/>
              </w:rPr>
            </w:pPr>
            <w:r w:rsidRPr="0012389B">
              <w:rPr>
                <w:rFonts w:cstheme="minorHAnsi"/>
                <w:sz w:val="20"/>
                <w:szCs w:val="20"/>
              </w:rPr>
              <w:t>To respond to potential disruption from the election, Program and partner plans will have flexibility to respond to changing priorities and context</w:t>
            </w:r>
          </w:p>
        </w:tc>
      </w:tr>
      <w:tr w:rsidR="00C80A8F" w:rsidRPr="0012389B" w14:paraId="38B5E8DB" w14:textId="77777777" w:rsidTr="00C80A8F">
        <w:tc>
          <w:tcPr>
            <w:tcW w:w="9016" w:type="dxa"/>
            <w:gridSpan w:val="2"/>
            <w:shd w:val="clear" w:color="auto" w:fill="F2F2F2" w:themeFill="background1" w:themeFillShade="F2"/>
          </w:tcPr>
          <w:p w14:paraId="02E8D166" w14:textId="125C5E63" w:rsidR="00C80A8F" w:rsidRPr="0012389B" w:rsidRDefault="00C80A8F" w:rsidP="00791619">
            <w:pPr>
              <w:pStyle w:val="ListParagraph"/>
              <w:numPr>
                <w:ilvl w:val="0"/>
                <w:numId w:val="21"/>
              </w:numPr>
              <w:spacing w:before="60" w:after="60"/>
              <w:ind w:left="357" w:hanging="357"/>
              <w:jc w:val="both"/>
              <w:rPr>
                <w:b/>
                <w:bCs/>
                <w:sz w:val="20"/>
                <w:szCs w:val="20"/>
              </w:rPr>
            </w:pPr>
            <w:r w:rsidRPr="0012389B">
              <w:rPr>
                <w:b/>
                <w:bCs/>
                <w:sz w:val="20"/>
                <w:szCs w:val="20"/>
              </w:rPr>
              <w:t>Implementation to achieve end of program outcomes</w:t>
            </w:r>
          </w:p>
        </w:tc>
      </w:tr>
      <w:tr w:rsidR="00C80A8F" w:rsidRPr="0012389B" w14:paraId="20A0DC01" w14:textId="77777777" w:rsidTr="00B471A0">
        <w:tc>
          <w:tcPr>
            <w:tcW w:w="4508" w:type="dxa"/>
          </w:tcPr>
          <w:p w14:paraId="5108B1BA" w14:textId="29FCAD61" w:rsidR="00C80A8F" w:rsidRPr="0012389B" w:rsidRDefault="00C80A8F" w:rsidP="00791619">
            <w:pPr>
              <w:pStyle w:val="ListParagraph"/>
              <w:numPr>
                <w:ilvl w:val="0"/>
                <w:numId w:val="4"/>
              </w:numPr>
              <w:suppressAutoHyphens/>
              <w:ind w:left="457"/>
              <w:jc w:val="both"/>
              <w:rPr>
                <w:rFonts w:cstheme="minorHAnsi"/>
                <w:sz w:val="20"/>
                <w:szCs w:val="20"/>
              </w:rPr>
            </w:pPr>
            <w:r w:rsidRPr="0012389B">
              <w:rPr>
                <w:rFonts w:cstheme="minorHAnsi"/>
                <w:sz w:val="20"/>
                <w:szCs w:val="20"/>
              </w:rPr>
              <w:t>End of program outcome 1: constructive citizen-government engagement. In delivering services on behalf of government, churches are also agents of the state, potentially compromising their status as trusted intermediaries. Moreover, as churches have some direct power over delivery of services, focussing on citizen-government engagement could distract from where problems could be solved by more effective community-church engagement. A final risk is whether churches have the capacity and experience to take a problem-solving approach.</w:t>
            </w:r>
            <w:r w:rsidRPr="0012389B">
              <w:rPr>
                <w:rStyle w:val="FootnoteReference"/>
                <w:sz w:val="20"/>
                <w:szCs w:val="20"/>
              </w:rPr>
              <w:t xml:space="preserve"> </w:t>
            </w:r>
            <w:r w:rsidRPr="0012389B">
              <w:rPr>
                <w:rStyle w:val="FootnoteReference"/>
                <w:sz w:val="20"/>
                <w:szCs w:val="20"/>
              </w:rPr>
              <w:footnoteReference w:id="46"/>
            </w:r>
            <w:r w:rsidRPr="0012389B">
              <w:rPr>
                <w:rFonts w:cstheme="minorHAnsi"/>
                <w:sz w:val="20"/>
                <w:szCs w:val="20"/>
              </w:rPr>
              <w:t xml:space="preserve">  </w:t>
            </w:r>
          </w:p>
        </w:tc>
        <w:tc>
          <w:tcPr>
            <w:tcW w:w="4508" w:type="dxa"/>
          </w:tcPr>
          <w:p w14:paraId="5C62B1D6" w14:textId="3EFC3A6F" w:rsidR="00C80A8F" w:rsidRPr="0012389B" w:rsidRDefault="00531F58" w:rsidP="00791619">
            <w:pPr>
              <w:pStyle w:val="ListParagraph"/>
              <w:numPr>
                <w:ilvl w:val="0"/>
                <w:numId w:val="4"/>
              </w:numPr>
              <w:suppressAutoHyphens/>
              <w:ind w:left="342" w:hanging="342"/>
              <w:jc w:val="both"/>
              <w:rPr>
                <w:rFonts w:cstheme="minorHAnsi"/>
                <w:sz w:val="20"/>
                <w:szCs w:val="20"/>
              </w:rPr>
            </w:pPr>
            <w:r w:rsidRPr="0012389B">
              <w:rPr>
                <w:rFonts w:cstheme="minorHAnsi"/>
                <w:sz w:val="20"/>
                <w:szCs w:val="20"/>
              </w:rPr>
              <w:t>Support</w:t>
            </w:r>
            <w:r w:rsidR="00C80A8F" w:rsidRPr="0012389B">
              <w:rPr>
                <w:rFonts w:cstheme="minorHAnsi"/>
                <w:sz w:val="20"/>
                <w:szCs w:val="20"/>
              </w:rPr>
              <w:t xml:space="preserve"> partners to develop their own social accountability/problem solving approaches. This method involves first strengthening churches own internal accountability understanding, culture and processes before supporting churches to pilot their approaches. </w:t>
            </w:r>
          </w:p>
          <w:p w14:paraId="559718D7" w14:textId="77777777" w:rsidR="00C80A8F" w:rsidRPr="0012389B" w:rsidRDefault="00C80A8F" w:rsidP="00791619">
            <w:pPr>
              <w:suppressAutoHyphens/>
              <w:jc w:val="both"/>
              <w:rPr>
                <w:rFonts w:cstheme="minorHAnsi"/>
                <w:sz w:val="20"/>
                <w:szCs w:val="20"/>
              </w:rPr>
            </w:pPr>
          </w:p>
        </w:tc>
      </w:tr>
      <w:tr w:rsidR="00C80A8F" w:rsidRPr="0012389B" w14:paraId="2493EC26" w14:textId="77777777" w:rsidTr="00B471A0">
        <w:tc>
          <w:tcPr>
            <w:tcW w:w="4508" w:type="dxa"/>
          </w:tcPr>
          <w:p w14:paraId="34017DCE" w14:textId="072A7CE1" w:rsidR="00C80A8F" w:rsidRPr="0012389B" w:rsidRDefault="00C80A8F" w:rsidP="00791619">
            <w:pPr>
              <w:pStyle w:val="ListParagraph"/>
              <w:numPr>
                <w:ilvl w:val="0"/>
                <w:numId w:val="4"/>
              </w:numPr>
              <w:ind w:left="457"/>
              <w:jc w:val="both"/>
              <w:rPr>
                <w:rFonts w:cstheme="minorHAnsi"/>
                <w:sz w:val="20"/>
                <w:szCs w:val="20"/>
              </w:rPr>
            </w:pPr>
            <w:r w:rsidRPr="0012389B">
              <w:rPr>
                <w:rFonts w:cstheme="minorHAnsi"/>
                <w:sz w:val="20"/>
                <w:szCs w:val="20"/>
              </w:rPr>
              <w:t xml:space="preserve">End of program outcome 2: inclusive citizen-government engagement. Some church leaders, </w:t>
            </w:r>
            <w:r w:rsidR="00BA1C33">
              <w:rPr>
                <w:rFonts w:cstheme="minorHAnsi"/>
                <w:sz w:val="20"/>
                <w:szCs w:val="20"/>
              </w:rPr>
              <w:t xml:space="preserve">and male champions, </w:t>
            </w:r>
            <w:r w:rsidRPr="0012389B">
              <w:rPr>
                <w:rFonts w:cstheme="minorHAnsi"/>
                <w:sz w:val="20"/>
                <w:szCs w:val="20"/>
              </w:rPr>
              <w:t xml:space="preserve">particularly in remote and rural areas reinforce discriminatory social norms. Challenging norms and attitudes, particularly regarding gender equality can result backlash and increased violence against women.  </w:t>
            </w:r>
          </w:p>
        </w:tc>
        <w:tc>
          <w:tcPr>
            <w:tcW w:w="4508" w:type="dxa"/>
          </w:tcPr>
          <w:p w14:paraId="38440581" w14:textId="630C0F24" w:rsidR="00C80A8F" w:rsidRPr="0012389B" w:rsidRDefault="00531F58" w:rsidP="00791619">
            <w:pPr>
              <w:pStyle w:val="ListParagraph"/>
              <w:numPr>
                <w:ilvl w:val="0"/>
                <w:numId w:val="4"/>
              </w:numPr>
              <w:suppressAutoHyphens/>
              <w:ind w:left="342" w:hanging="342"/>
              <w:jc w:val="both"/>
              <w:rPr>
                <w:rFonts w:cstheme="minorHAnsi"/>
                <w:sz w:val="20"/>
                <w:szCs w:val="20"/>
              </w:rPr>
            </w:pPr>
            <w:r w:rsidRPr="0012389B">
              <w:rPr>
                <w:rFonts w:cstheme="minorHAnsi"/>
                <w:sz w:val="20"/>
                <w:szCs w:val="20"/>
              </w:rPr>
              <w:t>S</w:t>
            </w:r>
            <w:r w:rsidR="00C80A8F" w:rsidRPr="0012389B">
              <w:rPr>
                <w:rFonts w:cstheme="minorHAnsi"/>
                <w:sz w:val="20"/>
                <w:szCs w:val="20"/>
              </w:rPr>
              <w:t>upported</w:t>
            </w:r>
            <w:r w:rsidRPr="0012389B">
              <w:rPr>
                <w:rFonts w:cstheme="minorHAnsi"/>
                <w:sz w:val="20"/>
                <w:szCs w:val="20"/>
              </w:rPr>
              <w:t xml:space="preserve"> partners</w:t>
            </w:r>
            <w:r w:rsidR="00C80A8F" w:rsidRPr="0012389B">
              <w:rPr>
                <w:rFonts w:cstheme="minorHAnsi"/>
                <w:sz w:val="20"/>
                <w:szCs w:val="20"/>
              </w:rPr>
              <w:t xml:space="preserve"> to carefully select the issues on which they seek to influence change and identify leaders who are champions in those areas. </w:t>
            </w:r>
            <w:r w:rsidRPr="0012389B">
              <w:rPr>
                <w:rFonts w:cstheme="minorHAnsi"/>
                <w:sz w:val="20"/>
                <w:szCs w:val="20"/>
              </w:rPr>
              <w:t>Develop strategies to influence attitudes and behaviours of Church leaders</w:t>
            </w:r>
            <w:r w:rsidR="00C80A8F" w:rsidRPr="0012389B">
              <w:rPr>
                <w:rFonts w:cstheme="minorHAnsi"/>
                <w:sz w:val="20"/>
                <w:szCs w:val="20"/>
              </w:rPr>
              <w:t>. At the PNGCC level, the Program will facilitate open communication between church leaders on the importance of supporting strong GEDSI policies. At the partner level, GEDSI action plans and learning on their implementation will be widely shared with CPP and the broader BCEP program.</w:t>
            </w:r>
            <w:r w:rsidRPr="0012389B">
              <w:rPr>
                <w:rFonts w:cstheme="minorHAnsi"/>
                <w:sz w:val="20"/>
                <w:szCs w:val="20"/>
              </w:rPr>
              <w:t xml:space="preserve"> Program will monitor for signs of a potential backlash and change program to avoid this.</w:t>
            </w:r>
            <w:r w:rsidR="00C80A8F" w:rsidRPr="0012389B">
              <w:rPr>
                <w:rFonts w:cstheme="minorHAnsi"/>
                <w:sz w:val="20"/>
                <w:szCs w:val="20"/>
              </w:rPr>
              <w:t xml:space="preserve">  </w:t>
            </w:r>
          </w:p>
        </w:tc>
      </w:tr>
    </w:tbl>
    <w:p w14:paraId="526A7B3F" w14:textId="11A62839" w:rsidR="00C06C43" w:rsidRPr="0012389B" w:rsidRDefault="00C06C43" w:rsidP="00791619">
      <w:pPr>
        <w:pStyle w:val="Heading2"/>
        <w:numPr>
          <w:ilvl w:val="1"/>
          <w:numId w:val="1"/>
        </w:numPr>
        <w:ind w:left="709" w:hanging="709"/>
        <w:jc w:val="both"/>
        <w:rPr>
          <w:b/>
          <w:bCs/>
          <w:sz w:val="24"/>
          <w:szCs w:val="24"/>
        </w:rPr>
      </w:pPr>
      <w:bookmarkStart w:id="133" w:name="_Toc99041684"/>
      <w:r w:rsidRPr="0012389B">
        <w:rPr>
          <w:b/>
          <w:bCs/>
          <w:sz w:val="24"/>
          <w:szCs w:val="24"/>
        </w:rPr>
        <w:t>Risk control</w:t>
      </w:r>
      <w:r w:rsidR="009626A4" w:rsidRPr="0012389B">
        <w:rPr>
          <w:b/>
          <w:bCs/>
          <w:sz w:val="24"/>
          <w:szCs w:val="24"/>
        </w:rPr>
        <w:t xml:space="preserve"> policies and processes</w:t>
      </w:r>
      <w:bookmarkEnd w:id="133"/>
    </w:p>
    <w:p w14:paraId="5A0704BD" w14:textId="2A3B6875" w:rsidR="00C06C43" w:rsidRPr="0012389B" w:rsidRDefault="00C06C43" w:rsidP="00791619">
      <w:pPr>
        <w:jc w:val="both"/>
      </w:pPr>
      <w:r w:rsidRPr="0012389B">
        <w:t>Risks will be carefully managed by DFAT-JAS to ensure that program implementation is not negatively impacted</w:t>
      </w:r>
      <w:r w:rsidR="00717E3F" w:rsidRPr="0012389B">
        <w:t xml:space="preserve"> by risks</w:t>
      </w:r>
      <w:r w:rsidRPr="0012389B">
        <w:t xml:space="preserve">. Post will ensure that the MC is assessing and managing risks according to DFAT’s </w:t>
      </w:r>
      <w:r w:rsidRPr="0012389B">
        <w:lastRenderedPageBreak/>
        <w:t xml:space="preserve">requirements. These requirements will be stipulated in the head contract and assessed on a regular basis. </w:t>
      </w:r>
    </w:p>
    <w:p w14:paraId="5A4DB33B" w14:textId="79369196" w:rsidR="00C06C43" w:rsidRPr="0012389B" w:rsidRDefault="00C06C43" w:rsidP="00791619">
      <w:pPr>
        <w:jc w:val="both"/>
      </w:pPr>
      <w:r w:rsidRPr="0012389B">
        <w:t xml:space="preserve">The MC will update the Risks and Safeguards Assessment in the Inception Report and in all future progress reports (Six-Monthly). In the Inception </w:t>
      </w:r>
      <w:r w:rsidR="00717E3F" w:rsidRPr="0012389B">
        <w:t>Period</w:t>
      </w:r>
      <w:r w:rsidRPr="0012389B">
        <w:t xml:space="preserve">, the MC will put in place a rigorous risk management and fraud control system in accordance with DFAT’s requirements as outlined in DFAT’s Risk Management Guide for Aid Investments (which includes the Risk and Safeguards Tool) and Fraud Control Toolkit for Funding Recipients. </w:t>
      </w:r>
    </w:p>
    <w:p w14:paraId="453DE67C" w14:textId="3A533229" w:rsidR="009626A4" w:rsidRPr="0012389B" w:rsidRDefault="00C06C43" w:rsidP="00791619">
      <w:pPr>
        <w:jc w:val="both"/>
      </w:pPr>
      <w:r w:rsidRPr="0012389B">
        <w:t>This system will ensure that that DFAT’s policies are adhered to by all CPP part</w:t>
      </w:r>
      <w:r w:rsidR="00717E3F" w:rsidRPr="0012389B">
        <w:t>n</w:t>
      </w:r>
      <w:r w:rsidRPr="0012389B">
        <w:t>er</w:t>
      </w:r>
      <w:r w:rsidR="00717E3F" w:rsidRPr="0012389B">
        <w:t>s</w:t>
      </w:r>
      <w:r w:rsidRPr="0012389B">
        <w:t xml:space="preserve">, including environment and social safeguards, fraud control, child protection and prevention of sexual abuse and harassment, gender equality and social inclusion, and health and safety. </w:t>
      </w:r>
    </w:p>
    <w:p w14:paraId="465BD8DA" w14:textId="6104AB5C" w:rsidR="009626A4" w:rsidRPr="0012389B" w:rsidRDefault="009626A4" w:rsidP="00791619">
      <w:pPr>
        <w:spacing w:before="120" w:after="120" w:line="240" w:lineRule="auto"/>
        <w:jc w:val="both"/>
      </w:pPr>
      <w:r w:rsidRPr="0012389B">
        <w:t>ANGOs have Child Protection and PSEAH policies are compliant with all DFAT safeguards as part of their DFAT NGO accreditation. As the prime grant holders, ANGOs provide ongoing support to PNG church partners with oversight from the CPPCO. Support to compliance of PNG Church partners will be a priority focus of the organisational capacity development plans.</w:t>
      </w:r>
    </w:p>
    <w:p w14:paraId="4C9AF072" w14:textId="77777777" w:rsidR="009626A4" w:rsidRPr="0012389B" w:rsidRDefault="009626A4" w:rsidP="00791619">
      <w:pPr>
        <w:spacing w:before="120" w:after="120" w:line="240" w:lineRule="auto"/>
        <w:jc w:val="both"/>
      </w:pPr>
      <w:r w:rsidRPr="0012389B">
        <w:t>Child protection and PSEAH: The risk of child protection SEAH incidences is rated as high due to the dispersed nature of the implementation of the CPP. The PSEAH and Child Protection risks will be mitigated ANGOs and the CPPO through ongoing training and support for both Child protection and PSEAH for PNG church partners.  This support includes do no harm approaches, identifying and mitigating risks and collaborating with partners and stakeholders throughout implementation.</w:t>
      </w:r>
    </w:p>
    <w:p w14:paraId="71E1BFD6" w14:textId="72BFEB6D" w:rsidR="00C06C43" w:rsidRPr="0012389B" w:rsidRDefault="00C06C43" w:rsidP="00791619">
      <w:pPr>
        <w:jc w:val="both"/>
      </w:pPr>
      <w:r w:rsidRPr="0012389B">
        <w:t>The MC is responsible for monitoring and reporting compliance with DFAT policies. They are also responsible for communication with</w:t>
      </w:r>
      <w:r w:rsidR="002D37DC" w:rsidRPr="0012389B">
        <w:t>,</w:t>
      </w:r>
      <w:r w:rsidRPr="0012389B">
        <w:t xml:space="preserve"> and training of, all Program staff and sub-contractors/grantees in the implementation of policies and tools to ensure adherence throughout implementation. The MC will build into sub-contractor/grantee agreements, their obligations for understanding and adherence to DFAT policies. Auditing and reporting requirements outlined in these policies will also be included in operational procedures including regular updates to DFAT’s Risk and Safeguard Tool and compliance reported six-monthly (and the Inception Report). The MC must have experience in the effective management of fiduciary risk and fraud control to DFAT requirements and report to DFAT on a regular basis as outlined in the head contract. This will include oversight of partner compliance with operational policies, requiring expertise at the operational level, to review partner financial reports and undertake additional due diligence and risk processes to ensure compliance with safeguards and financial policies. </w:t>
      </w:r>
    </w:p>
    <w:sectPr w:rsidR="00C06C43" w:rsidRPr="0012389B" w:rsidSect="00711F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6E407" w14:textId="77777777" w:rsidR="0028061A" w:rsidRDefault="0028061A" w:rsidP="009E161C">
      <w:pPr>
        <w:spacing w:after="0" w:line="240" w:lineRule="auto"/>
      </w:pPr>
      <w:r>
        <w:separator/>
      </w:r>
    </w:p>
  </w:endnote>
  <w:endnote w:type="continuationSeparator" w:id="0">
    <w:p w14:paraId="5F6D1D90" w14:textId="77777777" w:rsidR="0028061A" w:rsidRDefault="0028061A" w:rsidP="009E161C">
      <w:pPr>
        <w:spacing w:after="0" w:line="240" w:lineRule="auto"/>
      </w:pPr>
      <w:r>
        <w:continuationSeparator/>
      </w:r>
    </w:p>
  </w:endnote>
  <w:endnote w:type="continuationNotice" w:id="1">
    <w:p w14:paraId="31A6FD36" w14:textId="77777777" w:rsidR="0028061A" w:rsidRDefault="002806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3032558"/>
      <w:docPartObj>
        <w:docPartGallery w:val="Page Numbers (Bottom of Page)"/>
        <w:docPartUnique/>
      </w:docPartObj>
    </w:sdtPr>
    <w:sdtEndPr>
      <w:rPr>
        <w:noProof/>
      </w:rPr>
    </w:sdtEndPr>
    <w:sdtContent>
      <w:p w14:paraId="04B29E3E" w14:textId="1F450D4D" w:rsidR="00DB45FA" w:rsidRDefault="00DB45FA" w:rsidP="00C73207">
        <w:pPr>
          <w:pStyle w:val="Footer"/>
          <w:pBdr>
            <w:top w:val="single" w:sz="4" w:space="1" w:color="auto"/>
          </w:pBdr>
          <w:jc w:val="right"/>
        </w:pPr>
        <w:r>
          <w:fldChar w:fldCharType="begin"/>
        </w:r>
        <w:r>
          <w:instrText xml:space="preserve"> PAGE   \* MERGEFORMAT </w:instrText>
        </w:r>
        <w:r>
          <w:fldChar w:fldCharType="separate"/>
        </w:r>
        <w:r>
          <w:rPr>
            <w:noProof/>
          </w:rPr>
          <w:t>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5634042"/>
      <w:docPartObj>
        <w:docPartGallery w:val="Page Numbers (Bottom of Page)"/>
        <w:docPartUnique/>
      </w:docPartObj>
    </w:sdtPr>
    <w:sdtEndPr>
      <w:rPr>
        <w:noProof/>
      </w:rPr>
    </w:sdtEndPr>
    <w:sdtContent>
      <w:p w14:paraId="5A8C071C" w14:textId="77777777" w:rsidR="00DB45FA" w:rsidRDefault="00DB45FA" w:rsidP="00C73207">
        <w:pPr>
          <w:pStyle w:val="Footer"/>
          <w:pBdr>
            <w:top w:val="single" w:sz="4" w:space="1" w:color="auto"/>
          </w:pBdr>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9400996"/>
      <w:docPartObj>
        <w:docPartGallery w:val="Page Numbers (Bottom of Page)"/>
        <w:docPartUnique/>
      </w:docPartObj>
    </w:sdtPr>
    <w:sdtEndPr>
      <w:rPr>
        <w:noProof/>
      </w:rPr>
    </w:sdtEndPr>
    <w:sdtContent>
      <w:p w14:paraId="5AB25059" w14:textId="77777777" w:rsidR="00DB45FA" w:rsidRDefault="00DB45F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C14652" w14:textId="77777777" w:rsidR="00DB45FA" w:rsidRDefault="00DB45F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7244870"/>
      <w:docPartObj>
        <w:docPartGallery w:val="Page Numbers (Bottom of Page)"/>
        <w:docPartUnique/>
      </w:docPartObj>
    </w:sdtPr>
    <w:sdtEndPr>
      <w:rPr>
        <w:noProof/>
      </w:rPr>
    </w:sdtEndPr>
    <w:sdtContent>
      <w:p w14:paraId="397752B3" w14:textId="3CCF7D0F" w:rsidR="00DB45FA" w:rsidRDefault="00DB45FA">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32273" w14:textId="77777777" w:rsidR="0028061A" w:rsidRDefault="0028061A" w:rsidP="009E161C">
      <w:pPr>
        <w:spacing w:after="0" w:line="240" w:lineRule="auto"/>
      </w:pPr>
      <w:r>
        <w:separator/>
      </w:r>
    </w:p>
  </w:footnote>
  <w:footnote w:type="continuationSeparator" w:id="0">
    <w:p w14:paraId="07C41CAE" w14:textId="77777777" w:rsidR="0028061A" w:rsidRDefault="0028061A" w:rsidP="009E161C">
      <w:pPr>
        <w:spacing w:after="0" w:line="240" w:lineRule="auto"/>
      </w:pPr>
      <w:r>
        <w:continuationSeparator/>
      </w:r>
    </w:p>
  </w:footnote>
  <w:footnote w:type="continuationNotice" w:id="1">
    <w:p w14:paraId="7E1C290E" w14:textId="77777777" w:rsidR="0028061A" w:rsidRDefault="0028061A">
      <w:pPr>
        <w:spacing w:after="0" w:line="240" w:lineRule="auto"/>
      </w:pPr>
    </w:p>
  </w:footnote>
  <w:footnote w:id="2">
    <w:p w14:paraId="582787C8" w14:textId="77777777" w:rsidR="00DB45FA" w:rsidRPr="002D2786" w:rsidRDefault="00DB45FA" w:rsidP="00D818CA">
      <w:pPr>
        <w:pStyle w:val="FootnoteText"/>
        <w:rPr>
          <w:sz w:val="18"/>
          <w:szCs w:val="18"/>
        </w:rPr>
      </w:pPr>
      <w:r w:rsidRPr="002D2786">
        <w:rPr>
          <w:rStyle w:val="FootnoteReference"/>
          <w:sz w:val="18"/>
          <w:szCs w:val="18"/>
        </w:rPr>
        <w:footnoteRef/>
      </w:r>
      <w:r w:rsidRPr="002D2786">
        <w:rPr>
          <w:sz w:val="18"/>
          <w:szCs w:val="18"/>
        </w:rPr>
        <w:t xml:space="preserve"> P. 11.  </w:t>
      </w:r>
      <w:proofErr w:type="gramStart"/>
      <w:r w:rsidRPr="002D2786">
        <w:rPr>
          <w:sz w:val="18"/>
          <w:szCs w:val="18"/>
        </w:rPr>
        <w:t>July,</w:t>
      </w:r>
      <w:proofErr w:type="gramEnd"/>
      <w:r w:rsidRPr="002D2786">
        <w:rPr>
          <w:sz w:val="18"/>
          <w:szCs w:val="18"/>
        </w:rPr>
        <w:t xml:space="preserve"> 2021, CPP Charter</w:t>
      </w:r>
    </w:p>
  </w:footnote>
  <w:footnote w:id="3">
    <w:p w14:paraId="2BF1EF10" w14:textId="77777777" w:rsidR="00DB45FA" w:rsidRPr="00523D81" w:rsidRDefault="00DB45FA" w:rsidP="00D714A9">
      <w:pPr>
        <w:spacing w:after="0" w:line="256" w:lineRule="auto"/>
        <w:contextualSpacing/>
        <w:rPr>
          <w:sz w:val="18"/>
          <w:szCs w:val="18"/>
        </w:rPr>
      </w:pPr>
      <w:r w:rsidRPr="00523D81">
        <w:rPr>
          <w:rStyle w:val="FootnoteReference"/>
          <w:sz w:val="18"/>
          <w:szCs w:val="18"/>
        </w:rPr>
        <w:footnoteRef/>
      </w:r>
      <w:r w:rsidRPr="00523D81">
        <w:rPr>
          <w:sz w:val="18"/>
          <w:szCs w:val="18"/>
        </w:rPr>
        <w:t xml:space="preserve"> Name recently change from </w:t>
      </w:r>
      <w:r w:rsidRPr="00523D81">
        <w:rPr>
          <w:rFonts w:cstheme="minorHAnsi"/>
          <w:sz w:val="18"/>
          <w:szCs w:val="18"/>
        </w:rPr>
        <w:t>Anglican Board of Missions</w:t>
      </w:r>
      <w:r>
        <w:rPr>
          <w:rFonts w:cstheme="minorHAnsi"/>
          <w:sz w:val="18"/>
          <w:szCs w:val="18"/>
        </w:rPr>
        <w:t xml:space="preserve"> </w:t>
      </w:r>
      <w:r w:rsidRPr="00523D81">
        <w:rPr>
          <w:rFonts w:cstheme="minorHAnsi"/>
          <w:sz w:val="18"/>
          <w:szCs w:val="18"/>
        </w:rPr>
        <w:t>Australia</w:t>
      </w:r>
    </w:p>
  </w:footnote>
  <w:footnote w:id="4">
    <w:p w14:paraId="3743DA58" w14:textId="31EDAA4A" w:rsidR="00DB45FA" w:rsidRPr="001B03A2" w:rsidRDefault="00DB45FA">
      <w:pPr>
        <w:pStyle w:val="FootnoteText"/>
        <w:rPr>
          <w:sz w:val="18"/>
          <w:szCs w:val="18"/>
        </w:rPr>
      </w:pPr>
      <w:r w:rsidRPr="001B03A2">
        <w:rPr>
          <w:rStyle w:val="FootnoteReference"/>
          <w:sz w:val="18"/>
          <w:szCs w:val="18"/>
        </w:rPr>
        <w:footnoteRef/>
      </w:r>
      <w:r w:rsidRPr="001B03A2">
        <w:rPr>
          <w:sz w:val="18"/>
          <w:szCs w:val="18"/>
        </w:rPr>
        <w:t xml:space="preserve"> Adapted from </w:t>
      </w:r>
      <w:proofErr w:type="spellStart"/>
      <w:r w:rsidRPr="001B03A2">
        <w:rPr>
          <w:sz w:val="18"/>
          <w:szCs w:val="18"/>
        </w:rPr>
        <w:t>Abt</w:t>
      </w:r>
      <w:proofErr w:type="spellEnd"/>
      <w:r w:rsidRPr="001B03A2">
        <w:rPr>
          <w:sz w:val="18"/>
          <w:szCs w:val="18"/>
        </w:rPr>
        <w:t>, November 2021, The Logic of Collective Action.</w:t>
      </w:r>
    </w:p>
  </w:footnote>
  <w:footnote w:id="5">
    <w:p w14:paraId="03F5673C" w14:textId="571C79A5" w:rsidR="00DB45FA" w:rsidRPr="007710E2" w:rsidRDefault="00DB45FA">
      <w:pPr>
        <w:pStyle w:val="FootnoteText"/>
        <w:rPr>
          <w:sz w:val="18"/>
          <w:szCs w:val="18"/>
        </w:rPr>
      </w:pPr>
      <w:r>
        <w:rPr>
          <w:rStyle w:val="FootnoteReference"/>
        </w:rPr>
        <w:footnoteRef/>
      </w:r>
      <w:r>
        <w:t xml:space="preserve"> </w:t>
      </w:r>
      <w:r w:rsidRPr="007710E2">
        <w:rPr>
          <w:sz w:val="18"/>
          <w:szCs w:val="18"/>
        </w:rPr>
        <w:t xml:space="preserve">CPP Charter, July 2021 </w:t>
      </w:r>
    </w:p>
  </w:footnote>
  <w:footnote w:id="6">
    <w:p w14:paraId="0DA25003" w14:textId="77777777" w:rsidR="00DB45FA" w:rsidRPr="00831F49" w:rsidRDefault="00DB45FA">
      <w:pPr>
        <w:pStyle w:val="FootnoteText"/>
        <w:rPr>
          <w:sz w:val="18"/>
        </w:rPr>
      </w:pPr>
      <w:r>
        <w:rPr>
          <w:rStyle w:val="FootnoteReference"/>
        </w:rPr>
        <w:footnoteRef/>
      </w:r>
      <w:r>
        <w:t xml:space="preserve"> </w:t>
      </w:r>
      <w:r w:rsidRPr="00831F49">
        <w:rPr>
          <w:sz w:val="18"/>
        </w:rPr>
        <w:t>DFAT Gender Equality and Women’s Empowerment Strategy 2016-2020</w:t>
      </w:r>
    </w:p>
  </w:footnote>
  <w:footnote w:id="7">
    <w:p w14:paraId="250223C0" w14:textId="77777777" w:rsidR="00DB45FA" w:rsidRDefault="00DB45FA" w:rsidP="00950F50">
      <w:pPr>
        <w:pStyle w:val="FootnoteText"/>
      </w:pPr>
      <w:r>
        <w:rPr>
          <w:rStyle w:val="FootnoteReference"/>
        </w:rPr>
        <w:footnoteRef/>
      </w:r>
      <w:r>
        <w:t xml:space="preserve"> </w:t>
      </w:r>
      <w:r w:rsidRPr="00174356">
        <w:rPr>
          <w:sz w:val="18"/>
          <w:szCs w:val="18"/>
        </w:rPr>
        <w:t>Localisation Note:  DFAT’s Approach to Localisation</w:t>
      </w:r>
      <w:r>
        <w:rPr>
          <w:sz w:val="18"/>
          <w:szCs w:val="18"/>
        </w:rPr>
        <w:t xml:space="preserve"> (2021)</w:t>
      </w:r>
    </w:p>
  </w:footnote>
  <w:footnote w:id="8">
    <w:p w14:paraId="13DE311D" w14:textId="77777777" w:rsidR="00DB45FA" w:rsidRPr="00992CEB" w:rsidRDefault="00DB45FA" w:rsidP="00D660D5">
      <w:pPr>
        <w:pStyle w:val="FootnoteText"/>
        <w:rPr>
          <w:sz w:val="18"/>
          <w:szCs w:val="18"/>
        </w:rPr>
      </w:pPr>
      <w:r>
        <w:rPr>
          <w:rStyle w:val="FootnoteReference"/>
        </w:rPr>
        <w:footnoteRef/>
      </w:r>
      <w:r>
        <w:t xml:space="preserve"> </w:t>
      </w:r>
      <w:r w:rsidRPr="00992CEB">
        <w:rPr>
          <w:sz w:val="18"/>
          <w:szCs w:val="18"/>
        </w:rPr>
        <w:t>Adapted from ODI, 2014, ROMA: A guide to policy engagement and influenc</w:t>
      </w:r>
      <w:r>
        <w:rPr>
          <w:sz w:val="18"/>
          <w:szCs w:val="18"/>
        </w:rPr>
        <w:t xml:space="preserve">e. </w:t>
      </w:r>
    </w:p>
  </w:footnote>
  <w:footnote w:id="9">
    <w:p w14:paraId="101EA5DC" w14:textId="54220DA1" w:rsidR="00DB45FA" w:rsidRPr="00A112B9" w:rsidRDefault="00DB45FA" w:rsidP="00D660D5">
      <w:pPr>
        <w:pStyle w:val="FootnoteText"/>
        <w:rPr>
          <w:sz w:val="18"/>
          <w:szCs w:val="18"/>
        </w:rPr>
      </w:pPr>
      <w:r>
        <w:rPr>
          <w:rStyle w:val="FootnoteReference"/>
        </w:rPr>
        <w:footnoteRef/>
      </w:r>
      <w:r>
        <w:t xml:space="preserve"> </w:t>
      </w:r>
      <w:r w:rsidRPr="00A112B9">
        <w:rPr>
          <w:sz w:val="18"/>
          <w:szCs w:val="18"/>
        </w:rPr>
        <w:t xml:space="preserve">From ITAD, </w:t>
      </w:r>
      <w:r>
        <w:rPr>
          <w:sz w:val="18"/>
          <w:szCs w:val="18"/>
        </w:rPr>
        <w:t>‘</w:t>
      </w:r>
      <w:r w:rsidRPr="00A112B9">
        <w:rPr>
          <w:sz w:val="18"/>
          <w:szCs w:val="18"/>
        </w:rPr>
        <w:t>What works for Social Accountability?</w:t>
      </w:r>
      <w:r>
        <w:rPr>
          <w:sz w:val="18"/>
          <w:szCs w:val="18"/>
        </w:rPr>
        <w:t>’,</w:t>
      </w:r>
      <w:r w:rsidRPr="00A112B9">
        <w:rPr>
          <w:sz w:val="18"/>
          <w:szCs w:val="18"/>
        </w:rPr>
        <w:t xml:space="preserve"> Findings from DFID’s Macro Evaluation, Policy Briefing, June 2017. </w:t>
      </w:r>
      <w:r w:rsidRPr="00A112B9">
        <w:rPr>
          <w:rFonts w:cs="Arial"/>
          <w:color w:val="000000" w:themeColor="text1"/>
          <w:sz w:val="18"/>
          <w:szCs w:val="18"/>
        </w:rPr>
        <w:t>Critics of social accountability however point to an ‘accountability trap’ in which the contribution to improved services remains localised and short-lived if social accountability initiatives are not part of a more strategic intervention in policy making</w:t>
      </w:r>
    </w:p>
  </w:footnote>
  <w:footnote w:id="10">
    <w:p w14:paraId="17ECBCF6" w14:textId="7FDBAF82" w:rsidR="00DB45FA" w:rsidRPr="000E6E04" w:rsidRDefault="00DB45FA">
      <w:pPr>
        <w:pStyle w:val="FootnoteText"/>
        <w:rPr>
          <w:sz w:val="18"/>
          <w:szCs w:val="18"/>
        </w:rPr>
      </w:pPr>
      <w:r w:rsidRPr="000E6E04">
        <w:rPr>
          <w:rStyle w:val="FootnoteReference"/>
          <w:sz w:val="18"/>
          <w:szCs w:val="18"/>
        </w:rPr>
        <w:footnoteRef/>
      </w:r>
      <w:r w:rsidRPr="000E6E04">
        <w:rPr>
          <w:sz w:val="18"/>
          <w:szCs w:val="18"/>
        </w:rPr>
        <w:t xml:space="preserve"> </w:t>
      </w:r>
      <w:hyperlink r:id="rId1" w:history="1">
        <w:r w:rsidRPr="007A7D3A">
          <w:rPr>
            <w:rStyle w:val="Hyperlink"/>
            <w:sz w:val="18"/>
            <w:szCs w:val="18"/>
          </w:rPr>
          <w:t>https://www.dfat.gov.au/geo/papua-new-guinea/papua-new-guinea-australia-comprehensive-strategic-and-economic-partnership</w:t>
        </w:r>
      </w:hyperlink>
      <w:r>
        <w:rPr>
          <w:sz w:val="18"/>
          <w:szCs w:val="18"/>
        </w:rPr>
        <w:t xml:space="preserve"> </w:t>
      </w:r>
    </w:p>
  </w:footnote>
  <w:footnote w:id="11">
    <w:p w14:paraId="0DBFBA63" w14:textId="77777777" w:rsidR="00DB45FA" w:rsidRPr="00275B92" w:rsidRDefault="00DB45FA" w:rsidP="000B4FAB">
      <w:pPr>
        <w:pStyle w:val="FootnoteText"/>
        <w:rPr>
          <w:sz w:val="18"/>
          <w:szCs w:val="18"/>
        </w:rPr>
      </w:pPr>
      <w:r w:rsidRPr="00275B92">
        <w:rPr>
          <w:rStyle w:val="FootnoteReference"/>
          <w:sz w:val="18"/>
          <w:szCs w:val="18"/>
        </w:rPr>
        <w:footnoteRef/>
      </w:r>
      <w:r w:rsidRPr="00275B92">
        <w:rPr>
          <w:sz w:val="18"/>
          <w:szCs w:val="18"/>
        </w:rPr>
        <w:t xml:space="preserve"> According to the last national census in 2011</w:t>
      </w:r>
    </w:p>
  </w:footnote>
  <w:footnote w:id="12">
    <w:p w14:paraId="5D170688" w14:textId="77777777" w:rsidR="00DB45FA" w:rsidRPr="0010666E" w:rsidRDefault="00DB45FA" w:rsidP="00275FE6">
      <w:pPr>
        <w:pStyle w:val="FootnoteText"/>
      </w:pPr>
      <w:r>
        <w:rPr>
          <w:rStyle w:val="FootnoteReference"/>
        </w:rPr>
        <w:footnoteRef/>
      </w:r>
      <w:r>
        <w:t xml:space="preserve"> Section D.2, DFAT, 2021, BCEP Investment Design Document</w:t>
      </w:r>
    </w:p>
  </w:footnote>
  <w:footnote w:id="13">
    <w:p w14:paraId="0C91BE60" w14:textId="024FA09F" w:rsidR="00DB45FA" w:rsidRPr="001A2680" w:rsidRDefault="00DB45FA">
      <w:pPr>
        <w:pStyle w:val="FootnoteText"/>
        <w:rPr>
          <w:sz w:val="18"/>
          <w:szCs w:val="18"/>
        </w:rPr>
      </w:pPr>
      <w:r w:rsidRPr="001A2680">
        <w:rPr>
          <w:rStyle w:val="FootnoteReference"/>
          <w:sz w:val="18"/>
          <w:szCs w:val="18"/>
        </w:rPr>
        <w:footnoteRef/>
      </w:r>
      <w:r w:rsidRPr="001A2680">
        <w:rPr>
          <w:sz w:val="18"/>
          <w:szCs w:val="18"/>
        </w:rPr>
        <w:t xml:space="preserve"> The Justice, Accountability and Subnational Team of the Department for Foreign Affairs and Trade (DFAT) at the Australia High Commission (AHC) in Port Moresby commissioned a design team through the Quality Technical and Assurance</w:t>
      </w:r>
      <w:r>
        <w:rPr>
          <w:sz w:val="18"/>
          <w:szCs w:val="18"/>
        </w:rPr>
        <w:t xml:space="preserve"> Group managed by OPM Australia. </w:t>
      </w:r>
    </w:p>
  </w:footnote>
  <w:footnote w:id="14">
    <w:p w14:paraId="5C37CA46" w14:textId="71A972DA" w:rsidR="00DB45FA" w:rsidRPr="001A2680" w:rsidRDefault="00DB45FA">
      <w:pPr>
        <w:pStyle w:val="FootnoteText"/>
        <w:rPr>
          <w:sz w:val="18"/>
          <w:szCs w:val="18"/>
        </w:rPr>
      </w:pPr>
      <w:r>
        <w:rPr>
          <w:rStyle w:val="FootnoteReference"/>
        </w:rPr>
        <w:footnoteRef/>
      </w:r>
      <w:r>
        <w:t xml:space="preserve"> </w:t>
      </w:r>
      <w:r w:rsidRPr="001A2680">
        <w:rPr>
          <w:sz w:val="18"/>
          <w:szCs w:val="18"/>
        </w:rPr>
        <w:t xml:space="preserve">The CPP provided an experienced manager from one of the partners as a core member of the design team and a senior leader from the PNGCC to provide quality review and strategic advice. </w:t>
      </w:r>
    </w:p>
  </w:footnote>
  <w:footnote w:id="15">
    <w:p w14:paraId="050179ED" w14:textId="4D865C31" w:rsidR="00DB45FA" w:rsidRPr="00F72F9A" w:rsidRDefault="00DB45FA">
      <w:pPr>
        <w:pStyle w:val="FootnoteText"/>
        <w:rPr>
          <w:sz w:val="18"/>
          <w:szCs w:val="18"/>
        </w:rPr>
      </w:pPr>
      <w:r>
        <w:rPr>
          <w:rStyle w:val="FootnoteReference"/>
        </w:rPr>
        <w:footnoteRef/>
      </w:r>
      <w:r>
        <w:t xml:space="preserve"> </w:t>
      </w:r>
      <w:r w:rsidRPr="00F72F9A">
        <w:rPr>
          <w:sz w:val="18"/>
          <w:szCs w:val="18"/>
        </w:rPr>
        <w:t>The topics were: CPP’s outcomes and theory of change; aligning partner priorities with CPP outcomes; and implementation arrangements</w:t>
      </w:r>
    </w:p>
  </w:footnote>
  <w:footnote w:id="16">
    <w:p w14:paraId="1CD934ED" w14:textId="77777777" w:rsidR="00DB45FA" w:rsidRPr="00275B92" w:rsidRDefault="00DB45FA" w:rsidP="0025299F">
      <w:pPr>
        <w:pStyle w:val="FootnoteText"/>
        <w:rPr>
          <w:sz w:val="18"/>
          <w:szCs w:val="18"/>
        </w:rPr>
      </w:pPr>
      <w:r w:rsidRPr="00275B92">
        <w:rPr>
          <w:rStyle w:val="FootnoteReference"/>
          <w:sz w:val="18"/>
          <w:szCs w:val="18"/>
        </w:rPr>
        <w:footnoteRef/>
      </w:r>
      <w:r w:rsidRPr="00275B92">
        <w:rPr>
          <w:sz w:val="18"/>
          <w:szCs w:val="18"/>
        </w:rPr>
        <w:t xml:space="preserve"> The use of the ‘mainline’ term in PNG differs significantly from its original use in the USA where it refers to the traditional, established ‘protestant denominations of the USA in contrast with evangelical, fundamentalist, and charismatic Protestant denominations’ (from: </w:t>
      </w:r>
      <w:hyperlink r:id="rId2" w:history="1">
        <w:r w:rsidRPr="00275B92">
          <w:rPr>
            <w:rStyle w:val="Hyperlink"/>
            <w:sz w:val="18"/>
            <w:szCs w:val="18"/>
          </w:rPr>
          <w:t>https://en.wikipedia.org/wiki/Mainline_Protestant</w:t>
        </w:r>
      </w:hyperlink>
      <w:r w:rsidRPr="00275B92">
        <w:rPr>
          <w:sz w:val="18"/>
          <w:szCs w:val="18"/>
        </w:rPr>
        <w:t xml:space="preserve"> </w:t>
      </w:r>
    </w:p>
  </w:footnote>
  <w:footnote w:id="17">
    <w:p w14:paraId="74F479D7" w14:textId="77777777" w:rsidR="00DB45FA" w:rsidRPr="0010666E" w:rsidRDefault="00DB45FA" w:rsidP="0031697F">
      <w:pPr>
        <w:pStyle w:val="FootnoteText"/>
      </w:pPr>
      <w:r>
        <w:rPr>
          <w:rStyle w:val="FootnoteReference"/>
        </w:rPr>
        <w:footnoteRef/>
      </w:r>
      <w:r>
        <w:t xml:space="preserve"> </w:t>
      </w:r>
      <w:r w:rsidRPr="00756DD5">
        <w:rPr>
          <w:sz w:val="18"/>
          <w:szCs w:val="18"/>
        </w:rPr>
        <w:t>Section D.2, DFAT, 2021, BCEP Investment Design Document</w:t>
      </w:r>
    </w:p>
  </w:footnote>
  <w:footnote w:id="18">
    <w:p w14:paraId="42F1DB79" w14:textId="6EE9895C" w:rsidR="00DB45FA" w:rsidRPr="007710E2" w:rsidRDefault="00DB45FA" w:rsidP="00756DD5">
      <w:pPr>
        <w:pStyle w:val="FootnoteText"/>
        <w:rPr>
          <w:sz w:val="18"/>
          <w:szCs w:val="18"/>
        </w:rPr>
      </w:pPr>
      <w:r w:rsidRPr="00463491">
        <w:rPr>
          <w:rStyle w:val="FootnoteReference"/>
          <w:sz w:val="18"/>
          <w:szCs w:val="18"/>
        </w:rPr>
        <w:footnoteRef/>
      </w:r>
      <w:r w:rsidRPr="00463491">
        <w:rPr>
          <w:sz w:val="18"/>
          <w:szCs w:val="18"/>
        </w:rPr>
        <w:t xml:space="preserve"> Gibbs, </w:t>
      </w:r>
      <w:r>
        <w:rPr>
          <w:sz w:val="18"/>
          <w:szCs w:val="18"/>
        </w:rPr>
        <w:t xml:space="preserve">Phillip </w:t>
      </w:r>
      <w:r w:rsidRPr="00463491">
        <w:rPr>
          <w:sz w:val="18"/>
          <w:szCs w:val="18"/>
        </w:rPr>
        <w:t>200</w:t>
      </w:r>
      <w:r>
        <w:rPr>
          <w:sz w:val="18"/>
          <w:szCs w:val="18"/>
        </w:rPr>
        <w:t>5,</w:t>
      </w:r>
      <w:r w:rsidRPr="00756DD5">
        <w:t xml:space="preserve"> </w:t>
      </w:r>
      <w:r w:rsidRPr="00756DD5">
        <w:rPr>
          <w:sz w:val="18"/>
          <w:szCs w:val="18"/>
        </w:rPr>
        <w:t>S</w:t>
      </w:r>
      <w:r>
        <w:rPr>
          <w:sz w:val="18"/>
          <w:szCs w:val="18"/>
        </w:rPr>
        <w:t>S</w:t>
      </w:r>
      <w:r w:rsidRPr="00756DD5">
        <w:rPr>
          <w:sz w:val="18"/>
          <w:szCs w:val="18"/>
        </w:rPr>
        <w:t>GM Working Paper 2005/</w:t>
      </w:r>
      <w:proofErr w:type="gramStart"/>
      <w:r w:rsidRPr="00756DD5">
        <w:rPr>
          <w:sz w:val="18"/>
          <w:szCs w:val="18"/>
        </w:rPr>
        <w:t>1</w:t>
      </w:r>
      <w:r>
        <w:rPr>
          <w:sz w:val="18"/>
          <w:szCs w:val="18"/>
        </w:rPr>
        <w:t>,</w:t>
      </w:r>
      <w:r w:rsidRPr="00756DD5">
        <w:rPr>
          <w:sz w:val="18"/>
          <w:szCs w:val="18"/>
        </w:rPr>
        <w:t>Political</w:t>
      </w:r>
      <w:proofErr w:type="gramEnd"/>
      <w:r w:rsidRPr="00756DD5">
        <w:rPr>
          <w:sz w:val="18"/>
          <w:szCs w:val="18"/>
        </w:rPr>
        <w:t xml:space="preserve"> Discourse and Religious Narratives of Church and State in Papua New Guinea</w:t>
      </w:r>
    </w:p>
  </w:footnote>
  <w:footnote w:id="19">
    <w:p w14:paraId="76730A94" w14:textId="348A3119" w:rsidR="00DB45FA" w:rsidRPr="007710E2" w:rsidRDefault="00DB45FA" w:rsidP="00DB07B7">
      <w:pPr>
        <w:pStyle w:val="FootnoteText"/>
        <w:rPr>
          <w:sz w:val="18"/>
          <w:szCs w:val="18"/>
        </w:rPr>
      </w:pPr>
      <w:r>
        <w:rPr>
          <w:rStyle w:val="FootnoteReference"/>
        </w:rPr>
        <w:footnoteRef/>
      </w:r>
      <w:r>
        <w:t xml:space="preserve"> </w:t>
      </w:r>
      <w:r w:rsidRPr="007710E2">
        <w:rPr>
          <w:sz w:val="18"/>
          <w:szCs w:val="18"/>
        </w:rPr>
        <w:t>Gibbs, 200</w:t>
      </w:r>
      <w:r>
        <w:rPr>
          <w:sz w:val="18"/>
          <w:szCs w:val="18"/>
        </w:rPr>
        <w:t>5 ibid</w:t>
      </w:r>
    </w:p>
  </w:footnote>
  <w:footnote w:id="20">
    <w:p w14:paraId="64BBC21E" w14:textId="77777777" w:rsidR="00DB45FA" w:rsidRPr="000C3546" w:rsidRDefault="00DB45FA" w:rsidP="00D01B05">
      <w:pPr>
        <w:pStyle w:val="FootnoteText"/>
        <w:rPr>
          <w:sz w:val="18"/>
          <w:szCs w:val="18"/>
        </w:rPr>
      </w:pPr>
      <w:r w:rsidRPr="000C3546">
        <w:rPr>
          <w:rStyle w:val="FootnoteReference"/>
          <w:sz w:val="18"/>
          <w:szCs w:val="18"/>
        </w:rPr>
        <w:footnoteRef/>
      </w:r>
      <w:r w:rsidRPr="000C3546">
        <w:rPr>
          <w:sz w:val="18"/>
          <w:szCs w:val="18"/>
        </w:rPr>
        <w:t xml:space="preserve"> See, p 13-14, Denoon, D. 2005</w:t>
      </w:r>
    </w:p>
  </w:footnote>
  <w:footnote w:id="21">
    <w:p w14:paraId="77108AE7" w14:textId="77777777" w:rsidR="00DB45FA" w:rsidRPr="00C91030" w:rsidRDefault="00DB45FA" w:rsidP="003C194D">
      <w:pPr>
        <w:pStyle w:val="FootnoteText"/>
        <w:rPr>
          <w:sz w:val="18"/>
          <w:szCs w:val="18"/>
        </w:rPr>
      </w:pPr>
      <w:r w:rsidRPr="00C91030">
        <w:rPr>
          <w:rStyle w:val="FootnoteReference"/>
          <w:sz w:val="18"/>
          <w:szCs w:val="18"/>
        </w:rPr>
        <w:footnoteRef/>
      </w:r>
      <w:r w:rsidRPr="00C91030">
        <w:rPr>
          <w:sz w:val="18"/>
          <w:szCs w:val="18"/>
        </w:rPr>
        <w:t xml:space="preserve"> The Lutheran Church is not in </w:t>
      </w:r>
      <w:r>
        <w:rPr>
          <w:sz w:val="18"/>
          <w:szCs w:val="18"/>
        </w:rPr>
        <w:t>the Autonomous Region of Bougainville.</w:t>
      </w:r>
    </w:p>
  </w:footnote>
  <w:footnote w:id="22">
    <w:p w14:paraId="30C4F58D" w14:textId="77777777" w:rsidR="00DB45FA" w:rsidRPr="00756DD5" w:rsidRDefault="00DB45FA" w:rsidP="00E91C83">
      <w:pPr>
        <w:pStyle w:val="FootnoteText"/>
        <w:rPr>
          <w:sz w:val="18"/>
          <w:szCs w:val="18"/>
        </w:rPr>
      </w:pPr>
      <w:r w:rsidRPr="00756DD5">
        <w:rPr>
          <w:rStyle w:val="FootnoteReference"/>
          <w:sz w:val="18"/>
          <w:szCs w:val="18"/>
        </w:rPr>
        <w:footnoteRef/>
      </w:r>
      <w:r w:rsidRPr="00756DD5">
        <w:rPr>
          <w:sz w:val="18"/>
          <w:szCs w:val="18"/>
        </w:rPr>
        <w:t xml:space="preserve"> Unlike the health sector, where church health workers are directly employed by the church service provider, in education, the government employs all teachers including those working in church schools.</w:t>
      </w:r>
    </w:p>
  </w:footnote>
  <w:footnote w:id="23">
    <w:p w14:paraId="290054DE" w14:textId="77777777" w:rsidR="00DB45FA" w:rsidRPr="00756DD5" w:rsidRDefault="00DB45FA" w:rsidP="006F401A">
      <w:pPr>
        <w:pStyle w:val="FootnoteText"/>
        <w:rPr>
          <w:sz w:val="18"/>
          <w:szCs w:val="18"/>
        </w:rPr>
      </w:pPr>
      <w:r w:rsidRPr="00756DD5">
        <w:rPr>
          <w:rStyle w:val="FootnoteReference"/>
          <w:sz w:val="18"/>
          <w:szCs w:val="18"/>
        </w:rPr>
        <w:footnoteRef/>
      </w:r>
      <w:r w:rsidRPr="00756DD5">
        <w:rPr>
          <w:sz w:val="18"/>
          <w:szCs w:val="18"/>
        </w:rPr>
        <w:t xml:space="preserve"> The </w:t>
      </w:r>
      <w:proofErr w:type="spellStart"/>
      <w:r w:rsidRPr="00756DD5">
        <w:rPr>
          <w:sz w:val="18"/>
          <w:szCs w:val="18"/>
        </w:rPr>
        <w:t>Gutnius</w:t>
      </w:r>
      <w:proofErr w:type="spellEnd"/>
      <w:r w:rsidRPr="00756DD5">
        <w:rPr>
          <w:sz w:val="18"/>
          <w:szCs w:val="18"/>
        </w:rPr>
        <w:t xml:space="preserve"> Lutheran Church of PNG is only member of PNGCC that is not a CPP partner</w:t>
      </w:r>
    </w:p>
  </w:footnote>
  <w:footnote w:id="24">
    <w:p w14:paraId="00F43832" w14:textId="4F0B2B13" w:rsidR="00DB45FA" w:rsidRPr="002D2786" w:rsidRDefault="00DB45FA">
      <w:pPr>
        <w:pStyle w:val="FootnoteText"/>
        <w:rPr>
          <w:sz w:val="18"/>
          <w:szCs w:val="18"/>
        </w:rPr>
      </w:pPr>
      <w:r w:rsidRPr="002D2786">
        <w:rPr>
          <w:rStyle w:val="FootnoteReference"/>
          <w:sz w:val="18"/>
          <w:szCs w:val="18"/>
        </w:rPr>
        <w:footnoteRef/>
      </w:r>
      <w:r w:rsidRPr="002D2786">
        <w:rPr>
          <w:sz w:val="18"/>
          <w:szCs w:val="18"/>
        </w:rPr>
        <w:t xml:space="preserve"> P. 11.  </w:t>
      </w:r>
      <w:proofErr w:type="gramStart"/>
      <w:r w:rsidRPr="002D2786">
        <w:rPr>
          <w:sz w:val="18"/>
          <w:szCs w:val="18"/>
        </w:rPr>
        <w:t>July,</w:t>
      </w:r>
      <w:proofErr w:type="gramEnd"/>
      <w:r w:rsidRPr="002D2786">
        <w:rPr>
          <w:sz w:val="18"/>
          <w:szCs w:val="18"/>
        </w:rPr>
        <w:t xml:space="preserve"> 2021, CPP Charter</w:t>
      </w:r>
    </w:p>
  </w:footnote>
  <w:footnote w:id="25">
    <w:p w14:paraId="5D0ABDDC" w14:textId="77777777" w:rsidR="00DB45FA" w:rsidRPr="002D2786" w:rsidRDefault="00DB45FA" w:rsidP="00D65F55">
      <w:pPr>
        <w:pStyle w:val="FootnoteText"/>
        <w:rPr>
          <w:sz w:val="18"/>
          <w:szCs w:val="18"/>
        </w:rPr>
      </w:pPr>
      <w:r w:rsidRPr="002D2786">
        <w:rPr>
          <w:rStyle w:val="FootnoteReference"/>
          <w:sz w:val="18"/>
          <w:szCs w:val="18"/>
        </w:rPr>
        <w:footnoteRef/>
      </w:r>
      <w:r w:rsidRPr="002D2786">
        <w:rPr>
          <w:sz w:val="18"/>
          <w:szCs w:val="18"/>
        </w:rPr>
        <w:t xml:space="preserve"> P. 10 July 2021, Church Partnership Program Partnership Charter</w:t>
      </w:r>
    </w:p>
  </w:footnote>
  <w:footnote w:id="26">
    <w:p w14:paraId="60D65D6F" w14:textId="2E4C717C" w:rsidR="00DB45FA" w:rsidRPr="002D2786" w:rsidRDefault="00DB45FA" w:rsidP="00C52BD2">
      <w:pPr>
        <w:pStyle w:val="FootnoteText"/>
        <w:rPr>
          <w:sz w:val="18"/>
          <w:szCs w:val="18"/>
        </w:rPr>
      </w:pPr>
      <w:r w:rsidRPr="002D2786">
        <w:rPr>
          <w:rStyle w:val="FootnoteReference"/>
          <w:sz w:val="18"/>
          <w:szCs w:val="18"/>
        </w:rPr>
        <w:footnoteRef/>
      </w:r>
      <w:r w:rsidRPr="002D2786">
        <w:rPr>
          <w:sz w:val="18"/>
          <w:szCs w:val="18"/>
        </w:rPr>
        <w:t xml:space="preserve"> Gibbs, 200</w:t>
      </w:r>
      <w:r>
        <w:rPr>
          <w:sz w:val="18"/>
          <w:szCs w:val="18"/>
        </w:rPr>
        <w:t>5, ibid</w:t>
      </w:r>
    </w:p>
  </w:footnote>
  <w:footnote w:id="27">
    <w:p w14:paraId="284CF8AF" w14:textId="708D2D25" w:rsidR="00DB45FA" w:rsidRPr="00C27693" w:rsidRDefault="00DB45FA" w:rsidP="00AB7C88">
      <w:pPr>
        <w:pStyle w:val="FootnoteText"/>
        <w:rPr>
          <w:sz w:val="18"/>
          <w:szCs w:val="18"/>
        </w:rPr>
      </w:pPr>
      <w:r w:rsidRPr="00C27693">
        <w:rPr>
          <w:rStyle w:val="FootnoteReference"/>
          <w:sz w:val="18"/>
          <w:szCs w:val="18"/>
        </w:rPr>
        <w:footnoteRef/>
      </w:r>
      <w:r w:rsidRPr="00C27693">
        <w:rPr>
          <w:sz w:val="18"/>
          <w:szCs w:val="18"/>
        </w:rPr>
        <w:t xml:space="preserve"> </w:t>
      </w:r>
      <w:r>
        <w:rPr>
          <w:sz w:val="18"/>
          <w:szCs w:val="18"/>
        </w:rPr>
        <w:t>Note, the</w:t>
      </w:r>
      <w:r w:rsidRPr="00C27693">
        <w:rPr>
          <w:sz w:val="18"/>
          <w:szCs w:val="18"/>
        </w:rPr>
        <w:t xml:space="preserve"> ELCPNG is </w:t>
      </w:r>
      <w:r>
        <w:rPr>
          <w:sz w:val="18"/>
          <w:szCs w:val="18"/>
        </w:rPr>
        <w:t xml:space="preserve">the only CPP partner </w:t>
      </w:r>
      <w:r w:rsidRPr="00C27693">
        <w:rPr>
          <w:sz w:val="18"/>
          <w:szCs w:val="18"/>
        </w:rPr>
        <w:t xml:space="preserve">not </w:t>
      </w:r>
      <w:r>
        <w:rPr>
          <w:sz w:val="18"/>
          <w:szCs w:val="18"/>
        </w:rPr>
        <w:t xml:space="preserve">to </w:t>
      </w:r>
      <w:r w:rsidRPr="00C27693">
        <w:rPr>
          <w:sz w:val="18"/>
          <w:szCs w:val="18"/>
        </w:rPr>
        <w:t>situat</w:t>
      </w:r>
      <w:r>
        <w:rPr>
          <w:sz w:val="18"/>
          <w:szCs w:val="18"/>
        </w:rPr>
        <w:t>e</w:t>
      </w:r>
      <w:r w:rsidRPr="00C27693">
        <w:rPr>
          <w:sz w:val="18"/>
          <w:szCs w:val="18"/>
        </w:rPr>
        <w:t xml:space="preserve"> </w:t>
      </w:r>
      <w:r>
        <w:rPr>
          <w:sz w:val="18"/>
          <w:szCs w:val="18"/>
        </w:rPr>
        <w:t xml:space="preserve">their </w:t>
      </w:r>
      <w:r w:rsidRPr="00C27693">
        <w:rPr>
          <w:sz w:val="18"/>
          <w:szCs w:val="18"/>
        </w:rPr>
        <w:t xml:space="preserve">CPP office within the church’s development unit. To maximize integration, in the current ELCPNG structure, the CPP office </w:t>
      </w:r>
      <w:r>
        <w:rPr>
          <w:sz w:val="18"/>
          <w:szCs w:val="18"/>
        </w:rPr>
        <w:t>is</w:t>
      </w:r>
      <w:r w:rsidRPr="00C27693">
        <w:rPr>
          <w:sz w:val="18"/>
          <w:szCs w:val="18"/>
        </w:rPr>
        <w:t xml:space="preserve"> situated in the Support Services Department while development services (together with health services and education services) are in the Social Services Department.</w:t>
      </w:r>
    </w:p>
  </w:footnote>
  <w:footnote w:id="28">
    <w:p w14:paraId="2E589D82" w14:textId="77777777" w:rsidR="00DB45FA" w:rsidRPr="00D21F5C" w:rsidRDefault="00DB45FA" w:rsidP="009B03DB">
      <w:pPr>
        <w:pStyle w:val="FootnoteText"/>
        <w:rPr>
          <w:sz w:val="18"/>
          <w:szCs w:val="18"/>
        </w:rPr>
      </w:pPr>
      <w:r w:rsidRPr="00D21F5C">
        <w:rPr>
          <w:rStyle w:val="FootnoteReference"/>
          <w:sz w:val="18"/>
          <w:szCs w:val="18"/>
        </w:rPr>
        <w:footnoteRef/>
      </w:r>
      <w:r w:rsidRPr="00D21F5C">
        <w:rPr>
          <w:sz w:val="18"/>
          <w:szCs w:val="18"/>
        </w:rPr>
        <w:t xml:space="preserve"> Governance Partnership, 2019, Guna – </w:t>
      </w:r>
      <w:proofErr w:type="spellStart"/>
      <w:r w:rsidRPr="00D21F5C">
        <w:rPr>
          <w:sz w:val="18"/>
          <w:szCs w:val="18"/>
        </w:rPr>
        <w:t>Goreku</w:t>
      </w:r>
      <w:proofErr w:type="spellEnd"/>
      <w:r w:rsidRPr="00D21F5C">
        <w:rPr>
          <w:sz w:val="18"/>
          <w:szCs w:val="18"/>
        </w:rPr>
        <w:t xml:space="preserve"> </w:t>
      </w:r>
      <w:proofErr w:type="spellStart"/>
      <w:r w:rsidRPr="00D21F5C">
        <w:rPr>
          <w:sz w:val="18"/>
          <w:szCs w:val="18"/>
        </w:rPr>
        <w:t>Stretim</w:t>
      </w:r>
      <w:proofErr w:type="spellEnd"/>
      <w:r w:rsidRPr="00D21F5C">
        <w:rPr>
          <w:sz w:val="18"/>
          <w:szCs w:val="18"/>
        </w:rPr>
        <w:t xml:space="preserve"> </w:t>
      </w:r>
      <w:proofErr w:type="spellStart"/>
      <w:r w:rsidRPr="00D21F5C">
        <w:rPr>
          <w:sz w:val="18"/>
          <w:szCs w:val="18"/>
        </w:rPr>
        <w:t>Hauslain</w:t>
      </w:r>
      <w:proofErr w:type="spellEnd"/>
      <w:r w:rsidRPr="00D21F5C">
        <w:rPr>
          <w:sz w:val="18"/>
          <w:szCs w:val="18"/>
        </w:rPr>
        <w:t xml:space="preserve"> Association Enabling change from within: A case study of local solu</w:t>
      </w:r>
      <w:r w:rsidRPr="00D21F5C">
        <w:rPr>
          <w:rFonts w:hint="eastAsia"/>
          <w:sz w:val="18"/>
          <w:szCs w:val="18"/>
        </w:rPr>
        <w:t>t</w:t>
      </w:r>
      <w:r w:rsidRPr="00D21F5C">
        <w:rPr>
          <w:sz w:val="18"/>
          <w:szCs w:val="18"/>
        </w:rPr>
        <w:t>ions for social change</w:t>
      </w:r>
    </w:p>
  </w:footnote>
  <w:footnote w:id="29">
    <w:p w14:paraId="775B5A79" w14:textId="77777777" w:rsidR="00DB45FA" w:rsidRPr="002A20DD" w:rsidRDefault="00DB45FA" w:rsidP="003743DC">
      <w:pPr>
        <w:pStyle w:val="FootnoteText"/>
        <w:rPr>
          <w:sz w:val="18"/>
          <w:szCs w:val="18"/>
        </w:rPr>
      </w:pPr>
      <w:r w:rsidRPr="002A20DD">
        <w:rPr>
          <w:rStyle w:val="FootnoteReference"/>
          <w:sz w:val="18"/>
          <w:szCs w:val="18"/>
        </w:rPr>
        <w:footnoteRef/>
      </w:r>
      <w:r w:rsidRPr="002A20DD">
        <w:rPr>
          <w:sz w:val="18"/>
          <w:szCs w:val="18"/>
        </w:rPr>
        <w:t xml:space="preserve"> This section is based on Martin </w:t>
      </w:r>
      <w:proofErr w:type="spellStart"/>
      <w:r w:rsidRPr="002A20DD">
        <w:rPr>
          <w:sz w:val="18"/>
          <w:szCs w:val="18"/>
        </w:rPr>
        <w:t>Brash’s</w:t>
      </w:r>
      <w:proofErr w:type="spellEnd"/>
      <w:r w:rsidRPr="002A20DD">
        <w:rPr>
          <w:sz w:val="18"/>
          <w:szCs w:val="18"/>
        </w:rPr>
        <w:t xml:space="preserve"> analysis </w:t>
      </w:r>
      <w:r>
        <w:rPr>
          <w:sz w:val="18"/>
          <w:szCs w:val="18"/>
        </w:rPr>
        <w:t xml:space="preserve">developed for the Oil Search Foundation for </w:t>
      </w:r>
      <w:r w:rsidRPr="002A20DD">
        <w:rPr>
          <w:sz w:val="18"/>
          <w:szCs w:val="18"/>
        </w:rPr>
        <w:t xml:space="preserve">how to build effective partnerships by addressing the dynamics of PNG’s socio-cultural context. </w:t>
      </w:r>
    </w:p>
  </w:footnote>
  <w:footnote w:id="30">
    <w:p w14:paraId="6E69CD97" w14:textId="77777777" w:rsidR="00DB45FA" w:rsidRPr="00A112B9" w:rsidRDefault="00DB45FA" w:rsidP="007C4B10">
      <w:pPr>
        <w:pStyle w:val="FootnoteText"/>
        <w:rPr>
          <w:sz w:val="18"/>
          <w:szCs w:val="18"/>
        </w:rPr>
      </w:pPr>
      <w:r>
        <w:rPr>
          <w:rStyle w:val="FootnoteReference"/>
        </w:rPr>
        <w:footnoteRef/>
      </w:r>
      <w:r>
        <w:t xml:space="preserve"> </w:t>
      </w:r>
      <w:r w:rsidRPr="00A112B9">
        <w:rPr>
          <w:sz w:val="18"/>
          <w:szCs w:val="18"/>
        </w:rPr>
        <w:t xml:space="preserve">From ITAD, </w:t>
      </w:r>
      <w:r>
        <w:rPr>
          <w:sz w:val="18"/>
          <w:szCs w:val="18"/>
        </w:rPr>
        <w:t>‘</w:t>
      </w:r>
      <w:r w:rsidRPr="00A112B9">
        <w:rPr>
          <w:sz w:val="18"/>
          <w:szCs w:val="18"/>
        </w:rPr>
        <w:t>What works for Social Accountability?</w:t>
      </w:r>
      <w:r>
        <w:rPr>
          <w:sz w:val="18"/>
          <w:szCs w:val="18"/>
        </w:rPr>
        <w:t>’,</w:t>
      </w:r>
      <w:r w:rsidRPr="00A112B9">
        <w:rPr>
          <w:sz w:val="18"/>
          <w:szCs w:val="18"/>
        </w:rPr>
        <w:t xml:space="preserve"> Findings from DFID’s Macro Evaluation, Policy Briefing, June 2017. </w:t>
      </w:r>
      <w:r w:rsidRPr="00A112B9">
        <w:rPr>
          <w:rFonts w:cs="Arial"/>
          <w:color w:val="000000" w:themeColor="text1"/>
          <w:sz w:val="18"/>
          <w:szCs w:val="18"/>
        </w:rPr>
        <w:t>Critics of social accountability however point to an ‘accountability trap’ in which the contribution to improved services remains localised and short-lived if social accountability initiatives are not part of a more strategic intervention in policy making</w:t>
      </w:r>
    </w:p>
  </w:footnote>
  <w:footnote w:id="31">
    <w:p w14:paraId="267B7108" w14:textId="77777777" w:rsidR="00DB45FA" w:rsidRPr="00003CB3" w:rsidRDefault="00DB45FA" w:rsidP="00983DCF">
      <w:pPr>
        <w:pStyle w:val="FootnoteText"/>
        <w:rPr>
          <w:sz w:val="18"/>
          <w:szCs w:val="18"/>
        </w:rPr>
      </w:pPr>
      <w:r w:rsidRPr="00003CB3">
        <w:rPr>
          <w:rStyle w:val="FootnoteReference"/>
          <w:sz w:val="18"/>
          <w:szCs w:val="18"/>
        </w:rPr>
        <w:footnoteRef/>
      </w:r>
      <w:r w:rsidRPr="00003CB3">
        <w:rPr>
          <w:sz w:val="18"/>
          <w:szCs w:val="18"/>
        </w:rPr>
        <w:t xml:space="preserve"> There are many other achievements at the project level. This list is a summary of high-level achievements. </w:t>
      </w:r>
    </w:p>
  </w:footnote>
  <w:footnote w:id="32">
    <w:p w14:paraId="68ABFCD2" w14:textId="77777777" w:rsidR="00DB45FA" w:rsidRPr="00003CB3" w:rsidRDefault="00DB45FA" w:rsidP="00983DCF">
      <w:pPr>
        <w:pStyle w:val="FootnoteText"/>
        <w:rPr>
          <w:sz w:val="18"/>
          <w:szCs w:val="18"/>
        </w:rPr>
      </w:pPr>
      <w:r w:rsidRPr="00003CB3">
        <w:rPr>
          <w:rStyle w:val="FootnoteReference"/>
          <w:sz w:val="18"/>
          <w:szCs w:val="18"/>
        </w:rPr>
        <w:footnoteRef/>
      </w:r>
      <w:r w:rsidRPr="00003CB3">
        <w:rPr>
          <w:sz w:val="18"/>
          <w:szCs w:val="18"/>
        </w:rPr>
        <w:t xml:space="preserve"> DFAT Gender Equality and Women’s Empowerment Strategy (2016-2020) and D</w:t>
      </w:r>
    </w:p>
  </w:footnote>
  <w:footnote w:id="33">
    <w:p w14:paraId="290EF7FB" w14:textId="77777777" w:rsidR="00DB45FA" w:rsidRPr="00003CB3" w:rsidRDefault="00DB45FA" w:rsidP="00983DCF">
      <w:pPr>
        <w:pStyle w:val="FootnoteText"/>
        <w:rPr>
          <w:rFonts w:cstheme="minorHAnsi"/>
          <w:sz w:val="18"/>
          <w:szCs w:val="18"/>
        </w:rPr>
      </w:pPr>
      <w:r w:rsidRPr="00003CB3">
        <w:rPr>
          <w:rStyle w:val="FootnoteReference"/>
          <w:rFonts w:cstheme="minorHAnsi"/>
          <w:sz w:val="18"/>
          <w:szCs w:val="18"/>
        </w:rPr>
        <w:footnoteRef/>
      </w:r>
      <w:r w:rsidRPr="00003CB3">
        <w:rPr>
          <w:rFonts w:cstheme="minorHAnsi"/>
          <w:sz w:val="18"/>
          <w:szCs w:val="18"/>
        </w:rPr>
        <w:t xml:space="preserve"> PNG QTAG, </w:t>
      </w:r>
      <w:r w:rsidRPr="00003CB3">
        <w:rPr>
          <w:rFonts w:cstheme="minorHAnsi"/>
          <w:i/>
          <w:iCs/>
          <w:sz w:val="18"/>
          <w:szCs w:val="18"/>
        </w:rPr>
        <w:t>Church Partnership Program Mid-term Review</w:t>
      </w:r>
      <w:r w:rsidRPr="00003CB3">
        <w:rPr>
          <w:rFonts w:cstheme="minorHAnsi"/>
          <w:sz w:val="18"/>
          <w:szCs w:val="18"/>
        </w:rPr>
        <w:t xml:space="preserve">, 29. </w:t>
      </w:r>
    </w:p>
  </w:footnote>
  <w:footnote w:id="34">
    <w:p w14:paraId="18ABC45A" w14:textId="29A822F6" w:rsidR="00DB45FA" w:rsidRPr="00003CB3" w:rsidRDefault="00DB45FA">
      <w:pPr>
        <w:pStyle w:val="FootnoteText"/>
        <w:rPr>
          <w:sz w:val="18"/>
          <w:szCs w:val="18"/>
        </w:rPr>
      </w:pPr>
      <w:r w:rsidRPr="00003CB3">
        <w:rPr>
          <w:rStyle w:val="FootnoteReference"/>
          <w:sz w:val="18"/>
          <w:szCs w:val="18"/>
        </w:rPr>
        <w:footnoteRef/>
      </w:r>
      <w:r w:rsidRPr="00003CB3">
        <w:rPr>
          <w:sz w:val="18"/>
          <w:szCs w:val="18"/>
        </w:rPr>
        <w:t xml:space="preserve"> </w:t>
      </w:r>
      <w:r>
        <w:rPr>
          <w:sz w:val="18"/>
          <w:szCs w:val="18"/>
        </w:rPr>
        <w:t>These lessons are drawn from the CPP-3</w:t>
      </w:r>
      <w:r w:rsidRPr="00003CB3">
        <w:rPr>
          <w:sz w:val="18"/>
          <w:szCs w:val="18"/>
        </w:rPr>
        <w:t xml:space="preserve"> Mid-Tern Review, </w:t>
      </w:r>
      <w:proofErr w:type="spellStart"/>
      <w:r w:rsidRPr="00003CB3">
        <w:rPr>
          <w:sz w:val="18"/>
          <w:szCs w:val="18"/>
        </w:rPr>
        <w:t>Abt</w:t>
      </w:r>
      <w:proofErr w:type="spellEnd"/>
      <w:r w:rsidRPr="00003CB3">
        <w:rPr>
          <w:sz w:val="18"/>
          <w:szCs w:val="18"/>
        </w:rPr>
        <w:t xml:space="preserve"> Associate’s:  Targeted Study:  Localisation within the Church Partnership Program (2021)</w:t>
      </w:r>
      <w:r>
        <w:rPr>
          <w:sz w:val="18"/>
          <w:szCs w:val="18"/>
        </w:rPr>
        <w:t>, and design team discussions with stakeholders.</w:t>
      </w:r>
    </w:p>
  </w:footnote>
  <w:footnote w:id="35">
    <w:p w14:paraId="4B3566B7" w14:textId="77777777" w:rsidR="00DB45FA" w:rsidRDefault="00DB45FA" w:rsidP="00EC48DC">
      <w:pPr>
        <w:pStyle w:val="FootnoteText"/>
      </w:pPr>
      <w:r>
        <w:rPr>
          <w:rStyle w:val="FootnoteReference"/>
        </w:rPr>
        <w:footnoteRef/>
      </w:r>
      <w:r>
        <w:t xml:space="preserve"> And/or the individual PNG Church partner’s policy that is equivalent CPP’s GET </w:t>
      </w:r>
    </w:p>
  </w:footnote>
  <w:footnote w:id="36">
    <w:p w14:paraId="2B80D1E8" w14:textId="77777777" w:rsidR="00DB45FA" w:rsidRPr="000B2D95" w:rsidRDefault="00DB45FA" w:rsidP="00741D2C">
      <w:pPr>
        <w:pStyle w:val="FootnoteText"/>
        <w:rPr>
          <w:lang w:val="en-US"/>
        </w:rPr>
      </w:pPr>
      <w:r>
        <w:rPr>
          <w:rStyle w:val="FootnoteReference"/>
        </w:rPr>
        <w:footnoteRef/>
      </w:r>
      <w:r>
        <w:t xml:space="preserve"> The MC was selected through an open procurement with responsibility for managing the overall BCEP program, including CPP.</w:t>
      </w:r>
    </w:p>
  </w:footnote>
  <w:footnote w:id="37">
    <w:p w14:paraId="7A9A68C3" w14:textId="1F51E6C1" w:rsidR="00DB45FA" w:rsidRPr="00213251" w:rsidRDefault="00DB45FA">
      <w:pPr>
        <w:pStyle w:val="FootnoteText"/>
        <w:rPr>
          <w:sz w:val="18"/>
          <w:szCs w:val="18"/>
        </w:rPr>
      </w:pPr>
      <w:r w:rsidRPr="00213251">
        <w:rPr>
          <w:rStyle w:val="FootnoteReference"/>
          <w:sz w:val="18"/>
          <w:szCs w:val="18"/>
        </w:rPr>
        <w:footnoteRef/>
      </w:r>
      <w:r w:rsidRPr="00213251">
        <w:rPr>
          <w:sz w:val="18"/>
          <w:szCs w:val="18"/>
        </w:rPr>
        <w:t xml:space="preserve"> The term “working committees” refers to groups that were set up in previous phases in key operational and strategic areas. Working committees are distinct from </w:t>
      </w:r>
      <w:r>
        <w:rPr>
          <w:sz w:val="18"/>
          <w:szCs w:val="18"/>
        </w:rPr>
        <w:t>“</w:t>
      </w:r>
      <w:r w:rsidRPr="00213251">
        <w:rPr>
          <w:sz w:val="18"/>
          <w:szCs w:val="18"/>
        </w:rPr>
        <w:t>thematic working groups</w:t>
      </w:r>
      <w:r>
        <w:rPr>
          <w:sz w:val="18"/>
          <w:szCs w:val="18"/>
        </w:rPr>
        <w:t>”</w:t>
      </w:r>
      <w:r w:rsidRPr="00213251">
        <w:rPr>
          <w:sz w:val="18"/>
          <w:szCs w:val="18"/>
        </w:rPr>
        <w:t xml:space="preserve"> which will also be continued from previous phases </w:t>
      </w:r>
      <w:r>
        <w:rPr>
          <w:sz w:val="18"/>
          <w:szCs w:val="18"/>
        </w:rPr>
        <w:t>in programmatic priority areas, such health etc.</w:t>
      </w:r>
    </w:p>
  </w:footnote>
  <w:footnote w:id="38">
    <w:p w14:paraId="6546FCFB" w14:textId="77777777" w:rsidR="00DB45FA" w:rsidRPr="005E024B" w:rsidRDefault="00DB45FA" w:rsidP="00A62F5F">
      <w:pPr>
        <w:pStyle w:val="FootnoteText"/>
        <w:rPr>
          <w:sz w:val="18"/>
          <w:szCs w:val="18"/>
        </w:rPr>
      </w:pPr>
      <w:r w:rsidRPr="005E024B">
        <w:rPr>
          <w:rStyle w:val="FootnoteReference"/>
          <w:sz w:val="18"/>
          <w:szCs w:val="18"/>
        </w:rPr>
        <w:footnoteRef/>
      </w:r>
      <w:r w:rsidRPr="005E024B">
        <w:rPr>
          <w:sz w:val="18"/>
          <w:szCs w:val="18"/>
        </w:rPr>
        <w:t xml:space="preserve"> Ultimately, the DFAT-JAS team is responsible to the Governments of Australia and PNG under the Comprehensive Strategic Economic Partnership (CSEP), for the efficient and effective delivery of CPP </w:t>
      </w:r>
    </w:p>
  </w:footnote>
  <w:footnote w:id="39">
    <w:p w14:paraId="6F641022" w14:textId="5278F3EB" w:rsidR="00DB45FA" w:rsidRPr="005E024B" w:rsidRDefault="00DB45FA" w:rsidP="00A62F5F">
      <w:pPr>
        <w:pStyle w:val="FootnoteText"/>
        <w:rPr>
          <w:sz w:val="18"/>
          <w:szCs w:val="18"/>
        </w:rPr>
      </w:pPr>
      <w:r w:rsidRPr="005E024B">
        <w:rPr>
          <w:rStyle w:val="FootnoteReference"/>
          <w:sz w:val="18"/>
          <w:szCs w:val="18"/>
        </w:rPr>
        <w:footnoteRef/>
      </w:r>
      <w:r w:rsidRPr="005E024B">
        <w:rPr>
          <w:sz w:val="18"/>
          <w:szCs w:val="18"/>
        </w:rPr>
        <w:t xml:space="preserve"> Both the CPPCO and the BCEP PMT are expected to include designated Social Accountability experts. The BCEP PMT will oversight and coordinate with the CPPCO/Tearfund to ensure complementarity and learning in relation to social accountability work. The design document will integrate the Social Accountability approach and work-plan the partners have developed with Tearfund over 2021.</w:t>
      </w:r>
    </w:p>
  </w:footnote>
  <w:footnote w:id="40">
    <w:p w14:paraId="6CCBD838" w14:textId="7338DD32" w:rsidR="00DB45FA" w:rsidRPr="008A4A04" w:rsidRDefault="00DB45FA" w:rsidP="00A62F5F">
      <w:pPr>
        <w:pStyle w:val="FootnoteText"/>
        <w:rPr>
          <w:sz w:val="18"/>
          <w:szCs w:val="18"/>
        </w:rPr>
      </w:pPr>
      <w:r w:rsidRPr="008A4A04">
        <w:rPr>
          <w:rStyle w:val="FootnoteReference"/>
          <w:sz w:val="18"/>
          <w:szCs w:val="18"/>
        </w:rPr>
        <w:footnoteRef/>
      </w:r>
      <w:r w:rsidRPr="008A4A04">
        <w:rPr>
          <w:sz w:val="18"/>
          <w:szCs w:val="18"/>
        </w:rPr>
        <w:t xml:space="preserve"> The location of the CPPCO office is a matter for the MC and DFAT</w:t>
      </w:r>
      <w:r>
        <w:rPr>
          <w:sz w:val="18"/>
          <w:szCs w:val="18"/>
        </w:rPr>
        <w:t xml:space="preserve"> in the Inception Period</w:t>
      </w:r>
      <w:r w:rsidRPr="008A4A04">
        <w:rPr>
          <w:sz w:val="18"/>
          <w:szCs w:val="18"/>
        </w:rPr>
        <w:t xml:space="preserve">. Several partners requested that the CPPCO be set up in a separate office to the BCEP PMT to facilitate partner engagement in the Program and preserve CPP’s well-established identity as a distinct, faith-based development initiative. </w:t>
      </w:r>
      <w:r>
        <w:rPr>
          <w:sz w:val="18"/>
          <w:szCs w:val="18"/>
        </w:rPr>
        <w:t>However, t</w:t>
      </w:r>
      <w:r w:rsidRPr="008A4A04">
        <w:rPr>
          <w:sz w:val="18"/>
          <w:szCs w:val="18"/>
        </w:rPr>
        <w:t xml:space="preserve">he considerable cost of a separate offices (potentially leaving less funding for CPPCO core functions) needs to be weighed against </w:t>
      </w:r>
      <w:r>
        <w:rPr>
          <w:sz w:val="18"/>
          <w:szCs w:val="18"/>
        </w:rPr>
        <w:t>such</w:t>
      </w:r>
      <w:r w:rsidRPr="008A4A04">
        <w:rPr>
          <w:sz w:val="18"/>
          <w:szCs w:val="18"/>
        </w:rPr>
        <w:t xml:space="preserve"> potential benefits. </w:t>
      </w:r>
    </w:p>
  </w:footnote>
  <w:footnote w:id="41">
    <w:p w14:paraId="6332BD86" w14:textId="77777777" w:rsidR="00DB45FA" w:rsidRPr="001C7302" w:rsidRDefault="00DB45FA" w:rsidP="00A62F5F">
      <w:pPr>
        <w:pStyle w:val="FootnoteText"/>
        <w:rPr>
          <w:sz w:val="18"/>
          <w:szCs w:val="18"/>
        </w:rPr>
      </w:pPr>
      <w:r w:rsidRPr="001C7302">
        <w:rPr>
          <w:rStyle w:val="FootnoteReference"/>
          <w:sz w:val="18"/>
          <w:szCs w:val="18"/>
        </w:rPr>
        <w:footnoteRef/>
      </w:r>
      <w:r w:rsidRPr="001C7302">
        <w:rPr>
          <w:sz w:val="18"/>
          <w:szCs w:val="18"/>
        </w:rPr>
        <w:t xml:space="preserve"> In the CPP Charter, the SDT is called the Senior Operations Group (SOG) but in practice is more commonly referred to by the former name. </w:t>
      </w:r>
    </w:p>
  </w:footnote>
  <w:footnote w:id="42">
    <w:p w14:paraId="45F1733F" w14:textId="012BA29F" w:rsidR="00F37227" w:rsidRPr="00955E5F" w:rsidRDefault="00F37227">
      <w:pPr>
        <w:pStyle w:val="FootnoteText"/>
        <w:rPr>
          <w:sz w:val="18"/>
          <w:szCs w:val="18"/>
        </w:rPr>
      </w:pPr>
      <w:r w:rsidRPr="00955E5F">
        <w:rPr>
          <w:rStyle w:val="FootnoteReference"/>
          <w:sz w:val="18"/>
          <w:szCs w:val="18"/>
        </w:rPr>
        <w:footnoteRef/>
      </w:r>
      <w:r w:rsidRPr="00955E5F">
        <w:rPr>
          <w:sz w:val="18"/>
          <w:szCs w:val="18"/>
        </w:rPr>
        <w:t xml:space="preserve"> In the Inception Period, the MC will work with DFAT to identify opportunities and mechanisms for building synergies with these and other DFAT programs.</w:t>
      </w:r>
    </w:p>
  </w:footnote>
  <w:footnote w:id="43">
    <w:p w14:paraId="2C9DAE26" w14:textId="77777777" w:rsidR="00DB45FA" w:rsidRPr="00E36753" w:rsidRDefault="00DB45FA" w:rsidP="00A62F5F">
      <w:pPr>
        <w:pStyle w:val="FootnoteText"/>
        <w:rPr>
          <w:sz w:val="18"/>
          <w:szCs w:val="18"/>
        </w:rPr>
      </w:pPr>
      <w:r w:rsidRPr="00E36753">
        <w:rPr>
          <w:rStyle w:val="FootnoteReference"/>
          <w:sz w:val="18"/>
          <w:szCs w:val="18"/>
        </w:rPr>
        <w:footnoteRef/>
      </w:r>
      <w:r w:rsidRPr="00E36753">
        <w:rPr>
          <w:sz w:val="18"/>
          <w:szCs w:val="18"/>
        </w:rPr>
        <w:t xml:space="preserve"> In the early days it is unlikely the finance staff will feel confident about participating but part of building the capacity is to build the general understanding that a strong finance voice is part of the mutually beneficial systematic approach</w:t>
      </w:r>
    </w:p>
  </w:footnote>
  <w:footnote w:id="44">
    <w:p w14:paraId="382EB3EF" w14:textId="77777777" w:rsidR="00DB45FA" w:rsidRPr="00E36753" w:rsidRDefault="00DB45FA" w:rsidP="00A62F5F">
      <w:pPr>
        <w:pStyle w:val="FootnoteText"/>
        <w:rPr>
          <w:sz w:val="18"/>
          <w:szCs w:val="18"/>
        </w:rPr>
      </w:pPr>
      <w:r w:rsidRPr="00E36753">
        <w:rPr>
          <w:rStyle w:val="FootnoteReference"/>
          <w:sz w:val="18"/>
          <w:szCs w:val="18"/>
        </w:rPr>
        <w:footnoteRef/>
      </w:r>
      <w:r w:rsidRPr="00E36753">
        <w:rPr>
          <w:sz w:val="18"/>
          <w:szCs w:val="18"/>
        </w:rPr>
        <w:t xml:space="preserve"> The current membership consists of: Heads of development units across CPP PNG Churches; two ANGO representatives representing all ANGOs; DFAT; and </w:t>
      </w:r>
      <w:proofErr w:type="spellStart"/>
      <w:r w:rsidRPr="00E36753">
        <w:rPr>
          <w:sz w:val="18"/>
          <w:szCs w:val="18"/>
        </w:rPr>
        <w:t>OoR</w:t>
      </w:r>
      <w:proofErr w:type="spellEnd"/>
      <w:r w:rsidRPr="00E36753">
        <w:rPr>
          <w:sz w:val="18"/>
          <w:szCs w:val="18"/>
        </w:rPr>
        <w:t xml:space="preserve"> representative. </w:t>
      </w:r>
    </w:p>
  </w:footnote>
  <w:footnote w:id="45">
    <w:p w14:paraId="72B9A047" w14:textId="77777777" w:rsidR="00DB45FA" w:rsidRPr="00E36753" w:rsidRDefault="00DB45FA" w:rsidP="00A62F5F">
      <w:pPr>
        <w:pStyle w:val="FootnoteText"/>
        <w:rPr>
          <w:sz w:val="18"/>
          <w:szCs w:val="18"/>
        </w:rPr>
      </w:pPr>
      <w:r w:rsidRPr="00E36753">
        <w:rPr>
          <w:rStyle w:val="FootnoteReference"/>
          <w:sz w:val="18"/>
          <w:szCs w:val="18"/>
        </w:rPr>
        <w:footnoteRef/>
      </w:r>
      <w:r w:rsidRPr="00E36753">
        <w:rPr>
          <w:sz w:val="18"/>
          <w:szCs w:val="18"/>
        </w:rPr>
        <w:t xml:space="preserve"> The SDT (Senior Development Team) was renamed the </w:t>
      </w:r>
      <w:proofErr w:type="spellStart"/>
      <w:r w:rsidRPr="00E36753">
        <w:rPr>
          <w:sz w:val="18"/>
          <w:szCs w:val="18"/>
        </w:rPr>
        <w:t>SoG</w:t>
      </w:r>
      <w:proofErr w:type="spellEnd"/>
      <w:r w:rsidRPr="00E36753">
        <w:rPr>
          <w:sz w:val="18"/>
          <w:szCs w:val="18"/>
        </w:rPr>
        <w:t xml:space="preserve"> (Senior Operations Group) in the most recent CPP Charter</w:t>
      </w:r>
    </w:p>
  </w:footnote>
  <w:footnote w:id="46">
    <w:p w14:paraId="75AE6B51" w14:textId="77777777" w:rsidR="00DB45FA" w:rsidRPr="00BF062B" w:rsidRDefault="00DB45FA" w:rsidP="00C80A8F">
      <w:pPr>
        <w:pStyle w:val="FootnoteText"/>
        <w:rPr>
          <w:sz w:val="18"/>
          <w:szCs w:val="18"/>
        </w:rPr>
      </w:pPr>
      <w:r w:rsidRPr="00BF062B">
        <w:rPr>
          <w:rStyle w:val="FootnoteReference"/>
          <w:sz w:val="18"/>
          <w:szCs w:val="18"/>
        </w:rPr>
        <w:footnoteRef/>
      </w:r>
      <w:r w:rsidRPr="00BF062B">
        <w:rPr>
          <w:sz w:val="18"/>
          <w:szCs w:val="18"/>
        </w:rPr>
        <w:t xml:space="preserve"> A problem-solving approach is almost the opposite to the ‘assets-based’ approach that is emphasized in the CPP Charter. A recent DCP Case study on CPP’s collective action work questioned partners capacity to take a problem-solving approach (</w:t>
      </w:r>
      <w:proofErr w:type="spellStart"/>
      <w:r w:rsidRPr="00BF062B">
        <w:rPr>
          <w:sz w:val="18"/>
          <w:szCs w:val="18"/>
        </w:rPr>
        <w:t>Abt</w:t>
      </w:r>
      <w:proofErr w:type="spellEnd"/>
      <w:r w:rsidRPr="00BF062B">
        <w:rPr>
          <w:sz w:val="18"/>
          <w:szCs w:val="18"/>
        </w:rPr>
        <w:t xml:space="preserve">, November 2021)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E5254" w14:textId="54145EF4" w:rsidR="00DB45FA" w:rsidRPr="00096E4A" w:rsidRDefault="00DB45FA" w:rsidP="00096E4A">
    <w:pPr>
      <w:pStyle w:val="Header"/>
      <w:pBdr>
        <w:bottom w:val="single" w:sz="4" w:space="1" w:color="auto"/>
      </w:pBdr>
      <w:rPr>
        <w:sz w:val="20"/>
        <w:szCs w:val="20"/>
      </w:rPr>
    </w:pPr>
    <w:r w:rsidRPr="00096E4A">
      <w:rPr>
        <w:sz w:val="20"/>
        <w:szCs w:val="20"/>
      </w:rPr>
      <w:t>CPP</w:t>
    </w:r>
    <w:r>
      <w:rPr>
        <w:sz w:val="20"/>
        <w:szCs w:val="20"/>
      </w:rPr>
      <w:t>-4</w:t>
    </w:r>
    <w:r w:rsidRPr="00096E4A">
      <w:rPr>
        <w:sz w:val="20"/>
        <w:szCs w:val="20"/>
      </w:rPr>
      <w:t xml:space="preserve"> Design</w:t>
    </w:r>
    <w:r>
      <w:rPr>
        <w:sz w:val="20"/>
        <w:szCs w:val="20"/>
      </w:rPr>
      <w:t xml:space="preserve"> Document</w:t>
    </w:r>
    <w:r w:rsidRPr="00096E4A">
      <w:rPr>
        <w:sz w:val="20"/>
        <w:szCs w:val="20"/>
      </w:rPr>
      <w:t xml:space="preserve">: </w:t>
    </w:r>
    <w:r w:rsidR="007A45F8">
      <w:rPr>
        <w:sz w:val="20"/>
        <w:szCs w:val="20"/>
      </w:rPr>
      <w:t>FINAL 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61F3"/>
    <w:multiLevelType w:val="hybridMultilevel"/>
    <w:tmpl w:val="D98A30C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 w15:restartNumberingAfterBreak="0">
    <w:nsid w:val="00FA24C0"/>
    <w:multiLevelType w:val="hybridMultilevel"/>
    <w:tmpl w:val="39863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BC40D9"/>
    <w:multiLevelType w:val="hybridMultilevel"/>
    <w:tmpl w:val="FC78411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7575687"/>
    <w:multiLevelType w:val="multilevel"/>
    <w:tmpl w:val="F16C7202"/>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AA05E3A"/>
    <w:multiLevelType w:val="hybridMultilevel"/>
    <w:tmpl w:val="46CC8C2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D883BF1"/>
    <w:multiLevelType w:val="hybridMultilevel"/>
    <w:tmpl w:val="93F0E404"/>
    <w:lvl w:ilvl="0" w:tplc="DC7C2CB6">
      <w:start w:val="1"/>
      <w:numFmt w:val="bullet"/>
      <w:lvlText w:val="•"/>
      <w:lvlJc w:val="left"/>
      <w:pPr>
        <w:ind w:left="962" w:hanging="720"/>
      </w:pPr>
      <w:rPr>
        <w:rFonts w:ascii="Calibri" w:eastAsiaTheme="minorHAnsi" w:hAnsi="Calibri" w:cs="Calibri" w:hint="default"/>
      </w:rPr>
    </w:lvl>
    <w:lvl w:ilvl="1" w:tplc="0C090003" w:tentative="1">
      <w:start w:val="1"/>
      <w:numFmt w:val="bullet"/>
      <w:lvlText w:val="o"/>
      <w:lvlJc w:val="left"/>
      <w:pPr>
        <w:ind w:left="1322" w:hanging="360"/>
      </w:pPr>
      <w:rPr>
        <w:rFonts w:ascii="Courier New" w:hAnsi="Courier New" w:cs="Courier New" w:hint="default"/>
      </w:rPr>
    </w:lvl>
    <w:lvl w:ilvl="2" w:tplc="0C090005" w:tentative="1">
      <w:start w:val="1"/>
      <w:numFmt w:val="bullet"/>
      <w:lvlText w:val=""/>
      <w:lvlJc w:val="left"/>
      <w:pPr>
        <w:ind w:left="2042" w:hanging="360"/>
      </w:pPr>
      <w:rPr>
        <w:rFonts w:ascii="Wingdings" w:hAnsi="Wingdings" w:hint="default"/>
      </w:rPr>
    </w:lvl>
    <w:lvl w:ilvl="3" w:tplc="0C090001" w:tentative="1">
      <w:start w:val="1"/>
      <w:numFmt w:val="bullet"/>
      <w:lvlText w:val=""/>
      <w:lvlJc w:val="left"/>
      <w:pPr>
        <w:ind w:left="2762" w:hanging="360"/>
      </w:pPr>
      <w:rPr>
        <w:rFonts w:ascii="Symbol" w:hAnsi="Symbol" w:hint="default"/>
      </w:rPr>
    </w:lvl>
    <w:lvl w:ilvl="4" w:tplc="0C090003" w:tentative="1">
      <w:start w:val="1"/>
      <w:numFmt w:val="bullet"/>
      <w:lvlText w:val="o"/>
      <w:lvlJc w:val="left"/>
      <w:pPr>
        <w:ind w:left="3482" w:hanging="360"/>
      </w:pPr>
      <w:rPr>
        <w:rFonts w:ascii="Courier New" w:hAnsi="Courier New" w:cs="Courier New" w:hint="default"/>
      </w:rPr>
    </w:lvl>
    <w:lvl w:ilvl="5" w:tplc="0C090005" w:tentative="1">
      <w:start w:val="1"/>
      <w:numFmt w:val="bullet"/>
      <w:lvlText w:val=""/>
      <w:lvlJc w:val="left"/>
      <w:pPr>
        <w:ind w:left="4202" w:hanging="360"/>
      </w:pPr>
      <w:rPr>
        <w:rFonts w:ascii="Wingdings" w:hAnsi="Wingdings" w:hint="default"/>
      </w:rPr>
    </w:lvl>
    <w:lvl w:ilvl="6" w:tplc="0C090001" w:tentative="1">
      <w:start w:val="1"/>
      <w:numFmt w:val="bullet"/>
      <w:lvlText w:val=""/>
      <w:lvlJc w:val="left"/>
      <w:pPr>
        <w:ind w:left="4922" w:hanging="360"/>
      </w:pPr>
      <w:rPr>
        <w:rFonts w:ascii="Symbol" w:hAnsi="Symbol" w:hint="default"/>
      </w:rPr>
    </w:lvl>
    <w:lvl w:ilvl="7" w:tplc="0C090003" w:tentative="1">
      <w:start w:val="1"/>
      <w:numFmt w:val="bullet"/>
      <w:lvlText w:val="o"/>
      <w:lvlJc w:val="left"/>
      <w:pPr>
        <w:ind w:left="5642" w:hanging="360"/>
      </w:pPr>
      <w:rPr>
        <w:rFonts w:ascii="Courier New" w:hAnsi="Courier New" w:cs="Courier New" w:hint="default"/>
      </w:rPr>
    </w:lvl>
    <w:lvl w:ilvl="8" w:tplc="0C090005" w:tentative="1">
      <w:start w:val="1"/>
      <w:numFmt w:val="bullet"/>
      <w:lvlText w:val=""/>
      <w:lvlJc w:val="left"/>
      <w:pPr>
        <w:ind w:left="6362" w:hanging="360"/>
      </w:pPr>
      <w:rPr>
        <w:rFonts w:ascii="Wingdings" w:hAnsi="Wingdings" w:hint="default"/>
      </w:rPr>
    </w:lvl>
  </w:abstractNum>
  <w:abstractNum w:abstractNumId="6" w15:restartNumberingAfterBreak="0">
    <w:nsid w:val="0FF37F50"/>
    <w:multiLevelType w:val="hybridMultilevel"/>
    <w:tmpl w:val="94223FA4"/>
    <w:lvl w:ilvl="0" w:tplc="C81EC3B0">
      <w:start w:val="1"/>
      <w:numFmt w:val="decimal"/>
      <w:lvlText w:val="%1."/>
      <w:lvlJc w:val="left"/>
      <w:pPr>
        <w:ind w:left="360" w:hanging="360"/>
      </w:pPr>
      <w:rPr>
        <w:rFonts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02765A1"/>
    <w:multiLevelType w:val="multilevel"/>
    <w:tmpl w:val="935CC8A6"/>
    <w:lvl w:ilvl="0">
      <w:start w:val="1"/>
      <w:numFmt w:val="decimal"/>
      <w:lvlText w:val="%1."/>
      <w:lvlJc w:val="left"/>
      <w:pPr>
        <w:ind w:left="36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0484E8A"/>
    <w:multiLevelType w:val="hybridMultilevel"/>
    <w:tmpl w:val="8A626D3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3D34CEB"/>
    <w:multiLevelType w:val="hybridMultilevel"/>
    <w:tmpl w:val="13D2CB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5D54AA0"/>
    <w:multiLevelType w:val="hybridMultilevel"/>
    <w:tmpl w:val="1EE45E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6F35B1"/>
    <w:multiLevelType w:val="hybridMultilevel"/>
    <w:tmpl w:val="26D64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E778B8"/>
    <w:multiLevelType w:val="hybridMultilevel"/>
    <w:tmpl w:val="12442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91430D"/>
    <w:multiLevelType w:val="hybridMultilevel"/>
    <w:tmpl w:val="513A6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0E5237"/>
    <w:multiLevelType w:val="multilevel"/>
    <w:tmpl w:val="1750B590"/>
    <w:lvl w:ilvl="0">
      <w:start w:val="1"/>
      <w:numFmt w:val="decimal"/>
      <w:lvlText w:val="%1."/>
      <w:lvlJc w:val="left"/>
      <w:pPr>
        <w:ind w:left="720" w:hanging="360"/>
      </w:pPr>
      <w:rPr>
        <w:rFonts w:hint="default"/>
        <w:b w:val="0"/>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6A21A6"/>
    <w:multiLevelType w:val="hybridMultilevel"/>
    <w:tmpl w:val="42B69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8162C0"/>
    <w:multiLevelType w:val="hybridMultilevel"/>
    <w:tmpl w:val="4D12082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4667C4D"/>
    <w:multiLevelType w:val="hybridMultilevel"/>
    <w:tmpl w:val="DE50218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5221D54"/>
    <w:multiLevelType w:val="hybridMultilevel"/>
    <w:tmpl w:val="97DC6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5792610"/>
    <w:multiLevelType w:val="hybridMultilevel"/>
    <w:tmpl w:val="EDBA781A"/>
    <w:lvl w:ilvl="0" w:tplc="DC7C2CB6">
      <w:start w:val="1"/>
      <w:numFmt w:val="bullet"/>
      <w:lvlText w:val="•"/>
      <w:lvlJc w:val="left"/>
      <w:pPr>
        <w:ind w:left="1440" w:hanging="72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378A648F"/>
    <w:multiLevelType w:val="multilevel"/>
    <w:tmpl w:val="2EC0D364"/>
    <w:lvl w:ilvl="0">
      <w:start w:val="4"/>
      <w:numFmt w:val="decimal"/>
      <w:lvlText w:val="%1"/>
      <w:lvlJc w:val="left"/>
      <w:pPr>
        <w:ind w:left="360" w:hanging="360"/>
      </w:pPr>
      <w:rPr>
        <w:rFonts w:hint="default"/>
      </w:rPr>
    </w:lvl>
    <w:lvl w:ilvl="1">
      <w:start w:val="3"/>
      <w:numFmt w:val="decimal"/>
      <w:lvlText w:val="%1.%2"/>
      <w:lvlJc w:val="left"/>
      <w:pPr>
        <w:ind w:left="2771" w:hanging="360"/>
      </w:pPr>
      <w:rPr>
        <w:rFonts w:hint="default"/>
      </w:rPr>
    </w:lvl>
    <w:lvl w:ilvl="2">
      <w:start w:val="1"/>
      <w:numFmt w:val="decimal"/>
      <w:lvlText w:val="%1.%2.%3"/>
      <w:lvlJc w:val="left"/>
      <w:pPr>
        <w:ind w:left="5542" w:hanging="720"/>
      </w:pPr>
      <w:rPr>
        <w:rFonts w:hint="default"/>
      </w:rPr>
    </w:lvl>
    <w:lvl w:ilvl="3">
      <w:start w:val="1"/>
      <w:numFmt w:val="decimal"/>
      <w:lvlText w:val="%1.%2.%3.%4"/>
      <w:lvlJc w:val="left"/>
      <w:pPr>
        <w:ind w:left="7953" w:hanging="720"/>
      </w:pPr>
      <w:rPr>
        <w:rFonts w:hint="default"/>
      </w:rPr>
    </w:lvl>
    <w:lvl w:ilvl="4">
      <w:start w:val="1"/>
      <w:numFmt w:val="decimal"/>
      <w:lvlText w:val="%1.%2.%3.%4.%5"/>
      <w:lvlJc w:val="left"/>
      <w:pPr>
        <w:ind w:left="10724" w:hanging="1080"/>
      </w:pPr>
      <w:rPr>
        <w:rFonts w:hint="default"/>
      </w:rPr>
    </w:lvl>
    <w:lvl w:ilvl="5">
      <w:start w:val="1"/>
      <w:numFmt w:val="decimal"/>
      <w:lvlText w:val="%1.%2.%3.%4.%5.%6"/>
      <w:lvlJc w:val="left"/>
      <w:pPr>
        <w:ind w:left="13135" w:hanging="1080"/>
      </w:pPr>
      <w:rPr>
        <w:rFonts w:hint="default"/>
      </w:rPr>
    </w:lvl>
    <w:lvl w:ilvl="6">
      <w:start w:val="1"/>
      <w:numFmt w:val="decimal"/>
      <w:lvlText w:val="%1.%2.%3.%4.%5.%6.%7"/>
      <w:lvlJc w:val="left"/>
      <w:pPr>
        <w:ind w:left="15906" w:hanging="1440"/>
      </w:pPr>
      <w:rPr>
        <w:rFonts w:hint="default"/>
      </w:rPr>
    </w:lvl>
    <w:lvl w:ilvl="7">
      <w:start w:val="1"/>
      <w:numFmt w:val="decimal"/>
      <w:lvlText w:val="%1.%2.%3.%4.%5.%6.%7.%8"/>
      <w:lvlJc w:val="left"/>
      <w:pPr>
        <w:ind w:left="18317" w:hanging="1440"/>
      </w:pPr>
      <w:rPr>
        <w:rFonts w:hint="default"/>
      </w:rPr>
    </w:lvl>
    <w:lvl w:ilvl="8">
      <w:start w:val="1"/>
      <w:numFmt w:val="decimal"/>
      <w:lvlText w:val="%1.%2.%3.%4.%5.%6.%7.%8.%9"/>
      <w:lvlJc w:val="left"/>
      <w:pPr>
        <w:ind w:left="21088" w:hanging="1800"/>
      </w:pPr>
      <w:rPr>
        <w:rFonts w:hint="default"/>
      </w:rPr>
    </w:lvl>
  </w:abstractNum>
  <w:abstractNum w:abstractNumId="21" w15:restartNumberingAfterBreak="0">
    <w:nsid w:val="3C542BC6"/>
    <w:multiLevelType w:val="hybridMultilevel"/>
    <w:tmpl w:val="8DF6B3C2"/>
    <w:lvl w:ilvl="0" w:tplc="DC7C2CB6">
      <w:start w:val="1"/>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0BA53E4"/>
    <w:multiLevelType w:val="hybridMultilevel"/>
    <w:tmpl w:val="54CC6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3A2610"/>
    <w:multiLevelType w:val="hybridMultilevel"/>
    <w:tmpl w:val="F08020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5841666"/>
    <w:multiLevelType w:val="hybridMultilevel"/>
    <w:tmpl w:val="F4F287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9A5E41"/>
    <w:multiLevelType w:val="hybridMultilevel"/>
    <w:tmpl w:val="4ECEA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ED5667"/>
    <w:multiLevelType w:val="hybridMultilevel"/>
    <w:tmpl w:val="1570E028"/>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521120DB"/>
    <w:multiLevelType w:val="hybridMultilevel"/>
    <w:tmpl w:val="2B50E980"/>
    <w:lvl w:ilvl="0" w:tplc="0C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5437789C"/>
    <w:multiLevelType w:val="hybridMultilevel"/>
    <w:tmpl w:val="712C05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52D6916"/>
    <w:multiLevelType w:val="hybridMultilevel"/>
    <w:tmpl w:val="60DEB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6072476"/>
    <w:multiLevelType w:val="hybridMultilevel"/>
    <w:tmpl w:val="094278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60A7897"/>
    <w:multiLevelType w:val="hybridMultilevel"/>
    <w:tmpl w:val="F72AB1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67F7C34"/>
    <w:multiLevelType w:val="hybridMultilevel"/>
    <w:tmpl w:val="275C37B0"/>
    <w:lvl w:ilvl="0" w:tplc="A38A5644">
      <w:start w:val="1"/>
      <w:numFmt w:val="decimal"/>
      <w:lvlText w:val="%1."/>
      <w:lvlJc w:val="left"/>
      <w:pPr>
        <w:ind w:left="360" w:hanging="360"/>
      </w:pPr>
      <w:rPr>
        <w:rFonts w:hint="default"/>
        <w:b w:val="0"/>
        <w:bCs w:val="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56BC42F3"/>
    <w:multiLevelType w:val="hybridMultilevel"/>
    <w:tmpl w:val="EC2CD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A1C2FA8"/>
    <w:multiLevelType w:val="hybridMultilevel"/>
    <w:tmpl w:val="E8AE0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E105D86"/>
    <w:multiLevelType w:val="hybridMultilevel"/>
    <w:tmpl w:val="F0A0C2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F5D2FFB"/>
    <w:multiLevelType w:val="hybridMultilevel"/>
    <w:tmpl w:val="F90012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0E57BC5"/>
    <w:multiLevelType w:val="hybridMultilevel"/>
    <w:tmpl w:val="10E8CFD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61152D3D"/>
    <w:multiLevelType w:val="hybridMultilevel"/>
    <w:tmpl w:val="29F2896C"/>
    <w:lvl w:ilvl="0" w:tplc="C792D64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2F47148"/>
    <w:multiLevelType w:val="hybridMultilevel"/>
    <w:tmpl w:val="7422D3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3D6642D"/>
    <w:multiLevelType w:val="multilevel"/>
    <w:tmpl w:val="09008352"/>
    <w:lvl w:ilvl="0">
      <w:start w:val="1"/>
      <w:numFmt w:val="decimal"/>
      <w:lvlText w:val="%1."/>
      <w:lvlJc w:val="left"/>
      <w:pPr>
        <w:ind w:left="720" w:hanging="360"/>
      </w:pPr>
      <w:rPr>
        <w:rFonts w:hint="default"/>
      </w:rPr>
    </w:lvl>
    <w:lvl w:ilvl="1">
      <w:start w:val="1"/>
      <w:numFmt w:val="decimal"/>
      <w:isLgl/>
      <w:lvlText w:val="%1.%2"/>
      <w:lvlJc w:val="left"/>
      <w:pPr>
        <w:ind w:left="2771" w:hanging="360"/>
      </w:pPr>
      <w:rPr>
        <w:rFonts w:hint="default"/>
        <w:b/>
        <w:bCs/>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47B1819"/>
    <w:multiLevelType w:val="hybridMultilevel"/>
    <w:tmpl w:val="7AA6A7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54F56F8"/>
    <w:multiLevelType w:val="hybridMultilevel"/>
    <w:tmpl w:val="5EEC1AC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43" w15:restartNumberingAfterBreak="0">
    <w:nsid w:val="664542A2"/>
    <w:multiLevelType w:val="hybridMultilevel"/>
    <w:tmpl w:val="FA22769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68AA0DDC"/>
    <w:multiLevelType w:val="hybridMultilevel"/>
    <w:tmpl w:val="B4D8333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6A98286C"/>
    <w:multiLevelType w:val="hybridMultilevel"/>
    <w:tmpl w:val="F4504A8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AE104FC"/>
    <w:multiLevelType w:val="hybridMultilevel"/>
    <w:tmpl w:val="E0E412A8"/>
    <w:lvl w:ilvl="0" w:tplc="0F34B40A">
      <w:start w:val="1"/>
      <w:numFmt w:val="lowerLetter"/>
      <w:lvlText w:val="%1)"/>
      <w:lvlJc w:val="left"/>
      <w:pPr>
        <w:tabs>
          <w:tab w:val="num" w:pos="720"/>
        </w:tabs>
        <w:ind w:left="720" w:hanging="360"/>
      </w:pPr>
    </w:lvl>
    <w:lvl w:ilvl="1" w:tplc="94F8848C" w:tentative="1">
      <w:start w:val="1"/>
      <w:numFmt w:val="lowerLetter"/>
      <w:lvlText w:val="%2)"/>
      <w:lvlJc w:val="left"/>
      <w:pPr>
        <w:tabs>
          <w:tab w:val="num" w:pos="1440"/>
        </w:tabs>
        <w:ind w:left="1440" w:hanging="360"/>
      </w:pPr>
    </w:lvl>
    <w:lvl w:ilvl="2" w:tplc="65CCDF2A" w:tentative="1">
      <w:start w:val="1"/>
      <w:numFmt w:val="lowerLetter"/>
      <w:lvlText w:val="%3)"/>
      <w:lvlJc w:val="left"/>
      <w:pPr>
        <w:tabs>
          <w:tab w:val="num" w:pos="2160"/>
        </w:tabs>
        <w:ind w:left="2160" w:hanging="360"/>
      </w:pPr>
    </w:lvl>
    <w:lvl w:ilvl="3" w:tplc="E6DE9186" w:tentative="1">
      <w:start w:val="1"/>
      <w:numFmt w:val="lowerLetter"/>
      <w:lvlText w:val="%4)"/>
      <w:lvlJc w:val="left"/>
      <w:pPr>
        <w:tabs>
          <w:tab w:val="num" w:pos="2880"/>
        </w:tabs>
        <w:ind w:left="2880" w:hanging="360"/>
      </w:pPr>
    </w:lvl>
    <w:lvl w:ilvl="4" w:tplc="54B63B7E" w:tentative="1">
      <w:start w:val="1"/>
      <w:numFmt w:val="lowerLetter"/>
      <w:lvlText w:val="%5)"/>
      <w:lvlJc w:val="left"/>
      <w:pPr>
        <w:tabs>
          <w:tab w:val="num" w:pos="3600"/>
        </w:tabs>
        <w:ind w:left="3600" w:hanging="360"/>
      </w:pPr>
    </w:lvl>
    <w:lvl w:ilvl="5" w:tplc="9F0C2A8A" w:tentative="1">
      <w:start w:val="1"/>
      <w:numFmt w:val="lowerLetter"/>
      <w:lvlText w:val="%6)"/>
      <w:lvlJc w:val="left"/>
      <w:pPr>
        <w:tabs>
          <w:tab w:val="num" w:pos="4320"/>
        </w:tabs>
        <w:ind w:left="4320" w:hanging="360"/>
      </w:pPr>
    </w:lvl>
    <w:lvl w:ilvl="6" w:tplc="54FE0492" w:tentative="1">
      <w:start w:val="1"/>
      <w:numFmt w:val="lowerLetter"/>
      <w:lvlText w:val="%7)"/>
      <w:lvlJc w:val="left"/>
      <w:pPr>
        <w:tabs>
          <w:tab w:val="num" w:pos="5040"/>
        </w:tabs>
        <w:ind w:left="5040" w:hanging="360"/>
      </w:pPr>
    </w:lvl>
    <w:lvl w:ilvl="7" w:tplc="AF5497F8" w:tentative="1">
      <w:start w:val="1"/>
      <w:numFmt w:val="lowerLetter"/>
      <w:lvlText w:val="%8)"/>
      <w:lvlJc w:val="left"/>
      <w:pPr>
        <w:tabs>
          <w:tab w:val="num" w:pos="5760"/>
        </w:tabs>
        <w:ind w:left="5760" w:hanging="360"/>
      </w:pPr>
    </w:lvl>
    <w:lvl w:ilvl="8" w:tplc="B0F06FBE" w:tentative="1">
      <w:start w:val="1"/>
      <w:numFmt w:val="lowerLetter"/>
      <w:lvlText w:val="%9)"/>
      <w:lvlJc w:val="left"/>
      <w:pPr>
        <w:tabs>
          <w:tab w:val="num" w:pos="6480"/>
        </w:tabs>
        <w:ind w:left="6480" w:hanging="360"/>
      </w:pPr>
    </w:lvl>
  </w:abstractNum>
  <w:abstractNum w:abstractNumId="47" w15:restartNumberingAfterBreak="0">
    <w:nsid w:val="6B252BC1"/>
    <w:multiLevelType w:val="multilevel"/>
    <w:tmpl w:val="60425FB8"/>
    <w:lvl w:ilvl="0">
      <w:start w:val="1"/>
      <w:numFmt w:val="decimal"/>
      <w:lvlText w:val="%1."/>
      <w:lvlJc w:val="left"/>
      <w:pPr>
        <w:ind w:left="720" w:hanging="360"/>
      </w:pPr>
    </w:lvl>
    <w:lvl w:ilvl="1">
      <w:start w:val="3"/>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48" w15:restartNumberingAfterBreak="0">
    <w:nsid w:val="6ED24CF9"/>
    <w:multiLevelType w:val="multilevel"/>
    <w:tmpl w:val="1D0E5237"/>
    <w:styleLink w:val="CurrentList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5383FEC"/>
    <w:multiLevelType w:val="hybridMultilevel"/>
    <w:tmpl w:val="1570E028"/>
    <w:lvl w:ilvl="0" w:tplc="1D7ED01A">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78F35AE9"/>
    <w:multiLevelType w:val="hybridMultilevel"/>
    <w:tmpl w:val="CE8419A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51" w15:restartNumberingAfterBreak="0">
    <w:nsid w:val="7CDA1AA6"/>
    <w:multiLevelType w:val="multilevel"/>
    <w:tmpl w:val="935CC8A6"/>
    <w:lvl w:ilvl="0">
      <w:start w:val="1"/>
      <w:numFmt w:val="decimal"/>
      <w:lvlText w:val="%1."/>
      <w:lvlJc w:val="left"/>
      <w:pPr>
        <w:ind w:left="36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0"/>
  </w:num>
  <w:num w:numId="2">
    <w:abstractNumId w:val="30"/>
  </w:num>
  <w:num w:numId="3">
    <w:abstractNumId w:val="22"/>
  </w:num>
  <w:num w:numId="4">
    <w:abstractNumId w:val="13"/>
  </w:num>
  <w:num w:numId="5">
    <w:abstractNumId w:val="35"/>
  </w:num>
  <w:num w:numId="6">
    <w:abstractNumId w:val="14"/>
  </w:num>
  <w:num w:numId="7">
    <w:abstractNumId w:val="32"/>
  </w:num>
  <w:num w:numId="8">
    <w:abstractNumId w:val="34"/>
  </w:num>
  <w:num w:numId="9">
    <w:abstractNumId w:val="12"/>
  </w:num>
  <w:num w:numId="10">
    <w:abstractNumId w:val="29"/>
  </w:num>
  <w:num w:numId="11">
    <w:abstractNumId w:val="39"/>
  </w:num>
  <w:num w:numId="12">
    <w:abstractNumId w:val="33"/>
  </w:num>
  <w:num w:numId="13">
    <w:abstractNumId w:val="48"/>
  </w:num>
  <w:num w:numId="14">
    <w:abstractNumId w:val="41"/>
  </w:num>
  <w:num w:numId="15">
    <w:abstractNumId w:val="8"/>
  </w:num>
  <w:num w:numId="16">
    <w:abstractNumId w:val="50"/>
  </w:num>
  <w:num w:numId="17">
    <w:abstractNumId w:val="49"/>
  </w:num>
  <w:num w:numId="18">
    <w:abstractNumId w:val="21"/>
  </w:num>
  <w:num w:numId="19">
    <w:abstractNumId w:val="26"/>
  </w:num>
  <w:num w:numId="20">
    <w:abstractNumId w:val="1"/>
  </w:num>
  <w:num w:numId="21">
    <w:abstractNumId w:val="2"/>
  </w:num>
  <w:num w:numId="22">
    <w:abstractNumId w:val="45"/>
  </w:num>
  <w:num w:numId="23">
    <w:abstractNumId w:val="5"/>
  </w:num>
  <w:num w:numId="24">
    <w:abstractNumId w:val="15"/>
  </w:num>
  <w:num w:numId="25">
    <w:abstractNumId w:val="6"/>
  </w:num>
  <w:num w:numId="26">
    <w:abstractNumId w:val="16"/>
  </w:num>
  <w:num w:numId="27">
    <w:abstractNumId w:val="37"/>
  </w:num>
  <w:num w:numId="28">
    <w:abstractNumId w:val="0"/>
  </w:num>
  <w:num w:numId="29">
    <w:abstractNumId w:val="18"/>
  </w:num>
  <w:num w:numId="30">
    <w:abstractNumId w:val="27"/>
  </w:num>
  <w:num w:numId="31">
    <w:abstractNumId w:val="44"/>
  </w:num>
  <w:num w:numId="32">
    <w:abstractNumId w:val="5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20"/>
  </w:num>
  <w:num w:numId="35">
    <w:abstractNumId w:val="3"/>
  </w:num>
  <w:num w:numId="36">
    <w:abstractNumId w:val="31"/>
  </w:num>
  <w:num w:numId="37">
    <w:abstractNumId w:val="28"/>
  </w:num>
  <w:num w:numId="38">
    <w:abstractNumId w:val="9"/>
  </w:num>
  <w:num w:numId="39">
    <w:abstractNumId w:val="23"/>
  </w:num>
  <w:num w:numId="40">
    <w:abstractNumId w:val="17"/>
  </w:num>
  <w:num w:numId="41">
    <w:abstractNumId w:val="24"/>
  </w:num>
  <w:num w:numId="42">
    <w:abstractNumId w:val="19"/>
  </w:num>
  <w:num w:numId="43">
    <w:abstractNumId w:val="38"/>
  </w:num>
  <w:num w:numId="44">
    <w:abstractNumId w:val="46"/>
  </w:num>
  <w:num w:numId="45">
    <w:abstractNumId w:val="42"/>
  </w:num>
  <w:num w:numId="46">
    <w:abstractNumId w:val="11"/>
  </w:num>
  <w:num w:numId="47">
    <w:abstractNumId w:val="4"/>
  </w:num>
  <w:num w:numId="48">
    <w:abstractNumId w:val="47"/>
  </w:num>
  <w:num w:numId="49">
    <w:abstractNumId w:val="25"/>
  </w:num>
  <w:num w:numId="50">
    <w:abstractNumId w:val="10"/>
  </w:num>
  <w:num w:numId="51">
    <w:abstractNumId w:val="43"/>
  </w:num>
  <w:num w:numId="52">
    <w:abstractNumId w:val="3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332A7B8-3E10-45DD-8D1F-26C6F57E0B11}"/>
    <w:docVar w:name="dgnword-eventsink" w:val="337585848"/>
  </w:docVars>
  <w:rsids>
    <w:rsidRoot w:val="0028515E"/>
    <w:rsid w:val="00000757"/>
    <w:rsid w:val="000016B6"/>
    <w:rsid w:val="00003CB3"/>
    <w:rsid w:val="00004262"/>
    <w:rsid w:val="00007088"/>
    <w:rsid w:val="0001049E"/>
    <w:rsid w:val="00010BDD"/>
    <w:rsid w:val="00013216"/>
    <w:rsid w:val="000176E6"/>
    <w:rsid w:val="000178DD"/>
    <w:rsid w:val="0002526B"/>
    <w:rsid w:val="0002552F"/>
    <w:rsid w:val="00025BB4"/>
    <w:rsid w:val="00026345"/>
    <w:rsid w:val="0002639B"/>
    <w:rsid w:val="000263E1"/>
    <w:rsid w:val="00026DAA"/>
    <w:rsid w:val="00027266"/>
    <w:rsid w:val="0002773E"/>
    <w:rsid w:val="00027F66"/>
    <w:rsid w:val="00030B90"/>
    <w:rsid w:val="00030FB2"/>
    <w:rsid w:val="0003261F"/>
    <w:rsid w:val="000331C1"/>
    <w:rsid w:val="0003447D"/>
    <w:rsid w:val="00034F3B"/>
    <w:rsid w:val="00035314"/>
    <w:rsid w:val="00036466"/>
    <w:rsid w:val="0003685F"/>
    <w:rsid w:val="00037295"/>
    <w:rsid w:val="000372D1"/>
    <w:rsid w:val="0003769A"/>
    <w:rsid w:val="0004223A"/>
    <w:rsid w:val="00045478"/>
    <w:rsid w:val="000454B6"/>
    <w:rsid w:val="00045F29"/>
    <w:rsid w:val="000470A8"/>
    <w:rsid w:val="000473C8"/>
    <w:rsid w:val="00050C1C"/>
    <w:rsid w:val="000523E3"/>
    <w:rsid w:val="00053602"/>
    <w:rsid w:val="0005489A"/>
    <w:rsid w:val="00054929"/>
    <w:rsid w:val="00054FF1"/>
    <w:rsid w:val="00055048"/>
    <w:rsid w:val="000564B9"/>
    <w:rsid w:val="00057526"/>
    <w:rsid w:val="00064808"/>
    <w:rsid w:val="000655FD"/>
    <w:rsid w:val="00066166"/>
    <w:rsid w:val="000676F0"/>
    <w:rsid w:val="00070ECE"/>
    <w:rsid w:val="000710B3"/>
    <w:rsid w:val="00071F98"/>
    <w:rsid w:val="00077560"/>
    <w:rsid w:val="00080DD0"/>
    <w:rsid w:val="00080E82"/>
    <w:rsid w:val="00080F83"/>
    <w:rsid w:val="000816B2"/>
    <w:rsid w:val="0008223D"/>
    <w:rsid w:val="000824B3"/>
    <w:rsid w:val="00083732"/>
    <w:rsid w:val="00084CCC"/>
    <w:rsid w:val="00086B4F"/>
    <w:rsid w:val="00087878"/>
    <w:rsid w:val="0009026B"/>
    <w:rsid w:val="0009034F"/>
    <w:rsid w:val="00090B1F"/>
    <w:rsid w:val="00091C4B"/>
    <w:rsid w:val="00092231"/>
    <w:rsid w:val="000926E9"/>
    <w:rsid w:val="0009290D"/>
    <w:rsid w:val="0009480C"/>
    <w:rsid w:val="00095C2F"/>
    <w:rsid w:val="00096436"/>
    <w:rsid w:val="00096690"/>
    <w:rsid w:val="00096E4A"/>
    <w:rsid w:val="000A023D"/>
    <w:rsid w:val="000A1188"/>
    <w:rsid w:val="000A2813"/>
    <w:rsid w:val="000A3A52"/>
    <w:rsid w:val="000A47EA"/>
    <w:rsid w:val="000A4898"/>
    <w:rsid w:val="000A4CA9"/>
    <w:rsid w:val="000A523B"/>
    <w:rsid w:val="000A5CD8"/>
    <w:rsid w:val="000B05CA"/>
    <w:rsid w:val="000B1FCB"/>
    <w:rsid w:val="000B2AF9"/>
    <w:rsid w:val="000B2D95"/>
    <w:rsid w:val="000B4536"/>
    <w:rsid w:val="000B478A"/>
    <w:rsid w:val="000B4AA8"/>
    <w:rsid w:val="000B4FAB"/>
    <w:rsid w:val="000B5725"/>
    <w:rsid w:val="000B7211"/>
    <w:rsid w:val="000B78DB"/>
    <w:rsid w:val="000C0A76"/>
    <w:rsid w:val="000C1269"/>
    <w:rsid w:val="000C3546"/>
    <w:rsid w:val="000C6003"/>
    <w:rsid w:val="000C6AFD"/>
    <w:rsid w:val="000C6EBA"/>
    <w:rsid w:val="000C7119"/>
    <w:rsid w:val="000C74F0"/>
    <w:rsid w:val="000C7F24"/>
    <w:rsid w:val="000D03AC"/>
    <w:rsid w:val="000D0746"/>
    <w:rsid w:val="000D467F"/>
    <w:rsid w:val="000D56C1"/>
    <w:rsid w:val="000D5D26"/>
    <w:rsid w:val="000D6E31"/>
    <w:rsid w:val="000E030A"/>
    <w:rsid w:val="000E0FC4"/>
    <w:rsid w:val="000E31C1"/>
    <w:rsid w:val="000E4025"/>
    <w:rsid w:val="000E40B8"/>
    <w:rsid w:val="000E4288"/>
    <w:rsid w:val="000E5426"/>
    <w:rsid w:val="000E5494"/>
    <w:rsid w:val="000E55AC"/>
    <w:rsid w:val="000E614E"/>
    <w:rsid w:val="000E6DB4"/>
    <w:rsid w:val="000E6E04"/>
    <w:rsid w:val="000E7EE2"/>
    <w:rsid w:val="000F0B21"/>
    <w:rsid w:val="000F0B2E"/>
    <w:rsid w:val="000F1894"/>
    <w:rsid w:val="000F24E5"/>
    <w:rsid w:val="000F2809"/>
    <w:rsid w:val="000F2958"/>
    <w:rsid w:val="000F2D8F"/>
    <w:rsid w:val="000F3262"/>
    <w:rsid w:val="000F3D64"/>
    <w:rsid w:val="000F41B7"/>
    <w:rsid w:val="000F4AB2"/>
    <w:rsid w:val="000F55E1"/>
    <w:rsid w:val="000F6C84"/>
    <w:rsid w:val="000F75F6"/>
    <w:rsid w:val="0010008A"/>
    <w:rsid w:val="001025EE"/>
    <w:rsid w:val="00104AA5"/>
    <w:rsid w:val="00104BB6"/>
    <w:rsid w:val="0010514A"/>
    <w:rsid w:val="001054AF"/>
    <w:rsid w:val="0010551E"/>
    <w:rsid w:val="001056D5"/>
    <w:rsid w:val="0010666E"/>
    <w:rsid w:val="001066F3"/>
    <w:rsid w:val="00110730"/>
    <w:rsid w:val="00111DC3"/>
    <w:rsid w:val="00114DCE"/>
    <w:rsid w:val="00115371"/>
    <w:rsid w:val="00115895"/>
    <w:rsid w:val="0011601F"/>
    <w:rsid w:val="00116265"/>
    <w:rsid w:val="001166D9"/>
    <w:rsid w:val="00116BF4"/>
    <w:rsid w:val="001201C2"/>
    <w:rsid w:val="00120B41"/>
    <w:rsid w:val="00120FAD"/>
    <w:rsid w:val="00122A37"/>
    <w:rsid w:val="0012389B"/>
    <w:rsid w:val="001239D4"/>
    <w:rsid w:val="00125F42"/>
    <w:rsid w:val="00126A47"/>
    <w:rsid w:val="00127924"/>
    <w:rsid w:val="001304ED"/>
    <w:rsid w:val="00131005"/>
    <w:rsid w:val="0013193B"/>
    <w:rsid w:val="001329AD"/>
    <w:rsid w:val="00132B69"/>
    <w:rsid w:val="0013331C"/>
    <w:rsid w:val="00133678"/>
    <w:rsid w:val="001340C3"/>
    <w:rsid w:val="00134C41"/>
    <w:rsid w:val="001353D7"/>
    <w:rsid w:val="00137938"/>
    <w:rsid w:val="00137FBD"/>
    <w:rsid w:val="00142E93"/>
    <w:rsid w:val="001464B7"/>
    <w:rsid w:val="0014681D"/>
    <w:rsid w:val="0015095D"/>
    <w:rsid w:val="001512A8"/>
    <w:rsid w:val="001548CF"/>
    <w:rsid w:val="00155C1E"/>
    <w:rsid w:val="001566B0"/>
    <w:rsid w:val="00157480"/>
    <w:rsid w:val="00160AA8"/>
    <w:rsid w:val="001612A0"/>
    <w:rsid w:val="00161399"/>
    <w:rsid w:val="00161C6E"/>
    <w:rsid w:val="00162018"/>
    <w:rsid w:val="00164DB0"/>
    <w:rsid w:val="00165065"/>
    <w:rsid w:val="0016716E"/>
    <w:rsid w:val="00170418"/>
    <w:rsid w:val="001732E5"/>
    <w:rsid w:val="00174356"/>
    <w:rsid w:val="00174366"/>
    <w:rsid w:val="00174E55"/>
    <w:rsid w:val="0017691E"/>
    <w:rsid w:val="00177F8D"/>
    <w:rsid w:val="00181394"/>
    <w:rsid w:val="001815D4"/>
    <w:rsid w:val="00182505"/>
    <w:rsid w:val="00183800"/>
    <w:rsid w:val="00183812"/>
    <w:rsid w:val="00183A2A"/>
    <w:rsid w:val="0018431D"/>
    <w:rsid w:val="001848CA"/>
    <w:rsid w:val="00184F19"/>
    <w:rsid w:val="00184F2D"/>
    <w:rsid w:val="00185822"/>
    <w:rsid w:val="00187E47"/>
    <w:rsid w:val="00192642"/>
    <w:rsid w:val="001931CA"/>
    <w:rsid w:val="00193E9C"/>
    <w:rsid w:val="001946C4"/>
    <w:rsid w:val="00194894"/>
    <w:rsid w:val="001A0823"/>
    <w:rsid w:val="001A0F4C"/>
    <w:rsid w:val="001A2680"/>
    <w:rsid w:val="001A3CB9"/>
    <w:rsid w:val="001A4788"/>
    <w:rsid w:val="001A54F6"/>
    <w:rsid w:val="001A59DA"/>
    <w:rsid w:val="001A5A73"/>
    <w:rsid w:val="001A6C70"/>
    <w:rsid w:val="001B03A2"/>
    <w:rsid w:val="001B1842"/>
    <w:rsid w:val="001B1EDE"/>
    <w:rsid w:val="001B2178"/>
    <w:rsid w:val="001B2545"/>
    <w:rsid w:val="001B2E1B"/>
    <w:rsid w:val="001B39E0"/>
    <w:rsid w:val="001B4DAA"/>
    <w:rsid w:val="001B4E1B"/>
    <w:rsid w:val="001B61B4"/>
    <w:rsid w:val="001C2E45"/>
    <w:rsid w:val="001C3D70"/>
    <w:rsid w:val="001C463A"/>
    <w:rsid w:val="001C7302"/>
    <w:rsid w:val="001C75AF"/>
    <w:rsid w:val="001D1A0A"/>
    <w:rsid w:val="001D1BDC"/>
    <w:rsid w:val="001D1EA5"/>
    <w:rsid w:val="001D26C8"/>
    <w:rsid w:val="001D2702"/>
    <w:rsid w:val="001D4AB5"/>
    <w:rsid w:val="001D533B"/>
    <w:rsid w:val="001D5698"/>
    <w:rsid w:val="001D7043"/>
    <w:rsid w:val="001E4539"/>
    <w:rsid w:val="001E6009"/>
    <w:rsid w:val="001E6F57"/>
    <w:rsid w:val="001E77FD"/>
    <w:rsid w:val="001F1729"/>
    <w:rsid w:val="001F2C49"/>
    <w:rsid w:val="001F408F"/>
    <w:rsid w:val="001F4A5A"/>
    <w:rsid w:val="001F4D72"/>
    <w:rsid w:val="001F4E0E"/>
    <w:rsid w:val="001F53FF"/>
    <w:rsid w:val="001F6A68"/>
    <w:rsid w:val="00200CC8"/>
    <w:rsid w:val="00200F96"/>
    <w:rsid w:val="0020146D"/>
    <w:rsid w:val="002016A1"/>
    <w:rsid w:val="00201A30"/>
    <w:rsid w:val="00201B40"/>
    <w:rsid w:val="0020204C"/>
    <w:rsid w:val="00203E8B"/>
    <w:rsid w:val="00204BDE"/>
    <w:rsid w:val="0020636D"/>
    <w:rsid w:val="00211DE2"/>
    <w:rsid w:val="0021224C"/>
    <w:rsid w:val="00212631"/>
    <w:rsid w:val="00213251"/>
    <w:rsid w:val="00214B39"/>
    <w:rsid w:val="00215104"/>
    <w:rsid w:val="002152DD"/>
    <w:rsid w:val="002153B1"/>
    <w:rsid w:val="002158EA"/>
    <w:rsid w:val="00216162"/>
    <w:rsid w:val="00217616"/>
    <w:rsid w:val="002201C7"/>
    <w:rsid w:val="0022100F"/>
    <w:rsid w:val="002211A2"/>
    <w:rsid w:val="002212CA"/>
    <w:rsid w:val="00221BF2"/>
    <w:rsid w:val="002232BF"/>
    <w:rsid w:val="002234C1"/>
    <w:rsid w:val="00223D56"/>
    <w:rsid w:val="002279B9"/>
    <w:rsid w:val="00230B34"/>
    <w:rsid w:val="00231B67"/>
    <w:rsid w:val="002326F5"/>
    <w:rsid w:val="00232A6D"/>
    <w:rsid w:val="00232D5A"/>
    <w:rsid w:val="00233D17"/>
    <w:rsid w:val="00234C92"/>
    <w:rsid w:val="00235E39"/>
    <w:rsid w:val="00235F13"/>
    <w:rsid w:val="002368B1"/>
    <w:rsid w:val="00240371"/>
    <w:rsid w:val="002410C1"/>
    <w:rsid w:val="002416A6"/>
    <w:rsid w:val="0024229A"/>
    <w:rsid w:val="00242AF4"/>
    <w:rsid w:val="00243FB0"/>
    <w:rsid w:val="00244FF2"/>
    <w:rsid w:val="00245BEB"/>
    <w:rsid w:val="00247BB1"/>
    <w:rsid w:val="00247DF0"/>
    <w:rsid w:val="00250BD0"/>
    <w:rsid w:val="002524D6"/>
    <w:rsid w:val="0025299F"/>
    <w:rsid w:val="002537B9"/>
    <w:rsid w:val="002547E9"/>
    <w:rsid w:val="00255842"/>
    <w:rsid w:val="002560F2"/>
    <w:rsid w:val="00256A76"/>
    <w:rsid w:val="00256D91"/>
    <w:rsid w:val="00257ACB"/>
    <w:rsid w:val="00260D1E"/>
    <w:rsid w:val="00261061"/>
    <w:rsid w:val="00262265"/>
    <w:rsid w:val="0026387E"/>
    <w:rsid w:val="00264FDF"/>
    <w:rsid w:val="00265A16"/>
    <w:rsid w:val="00265B7C"/>
    <w:rsid w:val="0027013F"/>
    <w:rsid w:val="00275B92"/>
    <w:rsid w:val="00275FE6"/>
    <w:rsid w:val="002772D5"/>
    <w:rsid w:val="00277A8E"/>
    <w:rsid w:val="00277EA7"/>
    <w:rsid w:val="002804A1"/>
    <w:rsid w:val="0028061A"/>
    <w:rsid w:val="00281311"/>
    <w:rsid w:val="00282380"/>
    <w:rsid w:val="0028515E"/>
    <w:rsid w:val="00285E3C"/>
    <w:rsid w:val="002871B2"/>
    <w:rsid w:val="00290DEF"/>
    <w:rsid w:val="0029164B"/>
    <w:rsid w:val="002918E6"/>
    <w:rsid w:val="00292206"/>
    <w:rsid w:val="00292495"/>
    <w:rsid w:val="00294AB5"/>
    <w:rsid w:val="00295551"/>
    <w:rsid w:val="00296465"/>
    <w:rsid w:val="00297054"/>
    <w:rsid w:val="00297CBF"/>
    <w:rsid w:val="002A20DD"/>
    <w:rsid w:val="002A2710"/>
    <w:rsid w:val="002A3332"/>
    <w:rsid w:val="002A3688"/>
    <w:rsid w:val="002A45E7"/>
    <w:rsid w:val="002A681C"/>
    <w:rsid w:val="002A6B36"/>
    <w:rsid w:val="002A7FF8"/>
    <w:rsid w:val="002B075C"/>
    <w:rsid w:val="002B1FFD"/>
    <w:rsid w:val="002B21EE"/>
    <w:rsid w:val="002B2B1A"/>
    <w:rsid w:val="002B3697"/>
    <w:rsid w:val="002B38E2"/>
    <w:rsid w:val="002B40F4"/>
    <w:rsid w:val="002B4B51"/>
    <w:rsid w:val="002B53C0"/>
    <w:rsid w:val="002B5EB6"/>
    <w:rsid w:val="002C0002"/>
    <w:rsid w:val="002C15A6"/>
    <w:rsid w:val="002C41CB"/>
    <w:rsid w:val="002C46F1"/>
    <w:rsid w:val="002C46F5"/>
    <w:rsid w:val="002C5139"/>
    <w:rsid w:val="002C640D"/>
    <w:rsid w:val="002C6A07"/>
    <w:rsid w:val="002C6B14"/>
    <w:rsid w:val="002C76E8"/>
    <w:rsid w:val="002C79F5"/>
    <w:rsid w:val="002D16D3"/>
    <w:rsid w:val="002D1AA9"/>
    <w:rsid w:val="002D1F57"/>
    <w:rsid w:val="002D2786"/>
    <w:rsid w:val="002D37DC"/>
    <w:rsid w:val="002D5A3F"/>
    <w:rsid w:val="002D6B2C"/>
    <w:rsid w:val="002D6C60"/>
    <w:rsid w:val="002D6E06"/>
    <w:rsid w:val="002D78A4"/>
    <w:rsid w:val="002E0334"/>
    <w:rsid w:val="002E04F2"/>
    <w:rsid w:val="002E0891"/>
    <w:rsid w:val="002E327A"/>
    <w:rsid w:val="002E4699"/>
    <w:rsid w:val="002E4CAD"/>
    <w:rsid w:val="002E684D"/>
    <w:rsid w:val="002E7E34"/>
    <w:rsid w:val="002E7F74"/>
    <w:rsid w:val="002F024C"/>
    <w:rsid w:val="002F06F3"/>
    <w:rsid w:val="002F07BF"/>
    <w:rsid w:val="002F135D"/>
    <w:rsid w:val="002F1B24"/>
    <w:rsid w:val="002F222E"/>
    <w:rsid w:val="002F2EA8"/>
    <w:rsid w:val="002F2ED6"/>
    <w:rsid w:val="002F45F9"/>
    <w:rsid w:val="002F4659"/>
    <w:rsid w:val="002F46E8"/>
    <w:rsid w:val="002F5313"/>
    <w:rsid w:val="002F6E43"/>
    <w:rsid w:val="00300ABE"/>
    <w:rsid w:val="00301007"/>
    <w:rsid w:val="003025CD"/>
    <w:rsid w:val="00304609"/>
    <w:rsid w:val="00304616"/>
    <w:rsid w:val="003055BF"/>
    <w:rsid w:val="00305E53"/>
    <w:rsid w:val="00307F7F"/>
    <w:rsid w:val="003112DB"/>
    <w:rsid w:val="00311AFB"/>
    <w:rsid w:val="00312194"/>
    <w:rsid w:val="00312955"/>
    <w:rsid w:val="0031468F"/>
    <w:rsid w:val="00315761"/>
    <w:rsid w:val="00315CF1"/>
    <w:rsid w:val="0031697F"/>
    <w:rsid w:val="00320006"/>
    <w:rsid w:val="003202F4"/>
    <w:rsid w:val="003213C9"/>
    <w:rsid w:val="003221B0"/>
    <w:rsid w:val="003233AA"/>
    <w:rsid w:val="0032666E"/>
    <w:rsid w:val="00327B0F"/>
    <w:rsid w:val="00330252"/>
    <w:rsid w:val="0033026E"/>
    <w:rsid w:val="003302B6"/>
    <w:rsid w:val="003303FE"/>
    <w:rsid w:val="0033189A"/>
    <w:rsid w:val="003324A4"/>
    <w:rsid w:val="00332603"/>
    <w:rsid w:val="003326C8"/>
    <w:rsid w:val="003335AC"/>
    <w:rsid w:val="003400D5"/>
    <w:rsid w:val="003432B2"/>
    <w:rsid w:val="00343AE5"/>
    <w:rsid w:val="00344562"/>
    <w:rsid w:val="003447BE"/>
    <w:rsid w:val="00346C5C"/>
    <w:rsid w:val="00347FC4"/>
    <w:rsid w:val="0035045C"/>
    <w:rsid w:val="00350A9D"/>
    <w:rsid w:val="00351D5C"/>
    <w:rsid w:val="00352C42"/>
    <w:rsid w:val="003543F1"/>
    <w:rsid w:val="0035610E"/>
    <w:rsid w:val="00356F37"/>
    <w:rsid w:val="003604B4"/>
    <w:rsid w:val="003606E8"/>
    <w:rsid w:val="0036185B"/>
    <w:rsid w:val="003620C5"/>
    <w:rsid w:val="00362C84"/>
    <w:rsid w:val="0036378D"/>
    <w:rsid w:val="00363BC0"/>
    <w:rsid w:val="00364C36"/>
    <w:rsid w:val="00364EEE"/>
    <w:rsid w:val="003656AE"/>
    <w:rsid w:val="00365A66"/>
    <w:rsid w:val="00365BB8"/>
    <w:rsid w:val="00366A20"/>
    <w:rsid w:val="0036780D"/>
    <w:rsid w:val="00370862"/>
    <w:rsid w:val="00370F56"/>
    <w:rsid w:val="00371C0A"/>
    <w:rsid w:val="003723EC"/>
    <w:rsid w:val="0037291B"/>
    <w:rsid w:val="00372B35"/>
    <w:rsid w:val="00372C75"/>
    <w:rsid w:val="003743DC"/>
    <w:rsid w:val="00374F30"/>
    <w:rsid w:val="003758F7"/>
    <w:rsid w:val="00375B78"/>
    <w:rsid w:val="003776DA"/>
    <w:rsid w:val="003779D3"/>
    <w:rsid w:val="00381152"/>
    <w:rsid w:val="0038154E"/>
    <w:rsid w:val="00383B5E"/>
    <w:rsid w:val="0038506A"/>
    <w:rsid w:val="0038599F"/>
    <w:rsid w:val="003868C3"/>
    <w:rsid w:val="00386DA7"/>
    <w:rsid w:val="003871E2"/>
    <w:rsid w:val="00387660"/>
    <w:rsid w:val="00396010"/>
    <w:rsid w:val="00397334"/>
    <w:rsid w:val="00397DF6"/>
    <w:rsid w:val="003A02AA"/>
    <w:rsid w:val="003A0D33"/>
    <w:rsid w:val="003A213E"/>
    <w:rsid w:val="003A2555"/>
    <w:rsid w:val="003A2EC0"/>
    <w:rsid w:val="003A3799"/>
    <w:rsid w:val="003A3F01"/>
    <w:rsid w:val="003A7F6B"/>
    <w:rsid w:val="003B1065"/>
    <w:rsid w:val="003B2E91"/>
    <w:rsid w:val="003B33DD"/>
    <w:rsid w:val="003B4B7A"/>
    <w:rsid w:val="003B54E7"/>
    <w:rsid w:val="003B6421"/>
    <w:rsid w:val="003B7D45"/>
    <w:rsid w:val="003C04D7"/>
    <w:rsid w:val="003C194D"/>
    <w:rsid w:val="003C360B"/>
    <w:rsid w:val="003C36B6"/>
    <w:rsid w:val="003C4F7C"/>
    <w:rsid w:val="003C5FD6"/>
    <w:rsid w:val="003C672A"/>
    <w:rsid w:val="003C6ECD"/>
    <w:rsid w:val="003C7FE2"/>
    <w:rsid w:val="003D26B9"/>
    <w:rsid w:val="003D3C4F"/>
    <w:rsid w:val="003D4712"/>
    <w:rsid w:val="003D75D3"/>
    <w:rsid w:val="003D7960"/>
    <w:rsid w:val="003E1677"/>
    <w:rsid w:val="003E1AB9"/>
    <w:rsid w:val="003E2DAD"/>
    <w:rsid w:val="003E2F62"/>
    <w:rsid w:val="003E5CFD"/>
    <w:rsid w:val="003E799A"/>
    <w:rsid w:val="003F0AF7"/>
    <w:rsid w:val="003F19B4"/>
    <w:rsid w:val="003F2CCB"/>
    <w:rsid w:val="003F3DB1"/>
    <w:rsid w:val="003F3FF3"/>
    <w:rsid w:val="003F4B59"/>
    <w:rsid w:val="00401EE2"/>
    <w:rsid w:val="004027CE"/>
    <w:rsid w:val="00404A4E"/>
    <w:rsid w:val="00406C72"/>
    <w:rsid w:val="00406E39"/>
    <w:rsid w:val="00410E8A"/>
    <w:rsid w:val="004120B6"/>
    <w:rsid w:val="00412F54"/>
    <w:rsid w:val="0041309C"/>
    <w:rsid w:val="00413D50"/>
    <w:rsid w:val="00413E30"/>
    <w:rsid w:val="004148BA"/>
    <w:rsid w:val="00415161"/>
    <w:rsid w:val="004152AB"/>
    <w:rsid w:val="00415CFB"/>
    <w:rsid w:val="00415D97"/>
    <w:rsid w:val="00417D8D"/>
    <w:rsid w:val="00420DD5"/>
    <w:rsid w:val="00421265"/>
    <w:rsid w:val="00422FC5"/>
    <w:rsid w:val="004246BA"/>
    <w:rsid w:val="00424822"/>
    <w:rsid w:val="00424E4C"/>
    <w:rsid w:val="00425B6D"/>
    <w:rsid w:val="004262FE"/>
    <w:rsid w:val="0042685F"/>
    <w:rsid w:val="00426BAE"/>
    <w:rsid w:val="00427E3E"/>
    <w:rsid w:val="00430898"/>
    <w:rsid w:val="00430D6F"/>
    <w:rsid w:val="0043280F"/>
    <w:rsid w:val="00435C4B"/>
    <w:rsid w:val="00435F8B"/>
    <w:rsid w:val="00436939"/>
    <w:rsid w:val="00441117"/>
    <w:rsid w:val="00441459"/>
    <w:rsid w:val="00442877"/>
    <w:rsid w:val="004429CB"/>
    <w:rsid w:val="00443A77"/>
    <w:rsid w:val="00444614"/>
    <w:rsid w:val="004454E1"/>
    <w:rsid w:val="0044662E"/>
    <w:rsid w:val="00446654"/>
    <w:rsid w:val="0045054C"/>
    <w:rsid w:val="0045222E"/>
    <w:rsid w:val="00453305"/>
    <w:rsid w:val="004533FF"/>
    <w:rsid w:val="00453956"/>
    <w:rsid w:val="00457C6F"/>
    <w:rsid w:val="0046017B"/>
    <w:rsid w:val="004604A3"/>
    <w:rsid w:val="00461770"/>
    <w:rsid w:val="00461823"/>
    <w:rsid w:val="004626EC"/>
    <w:rsid w:val="00463491"/>
    <w:rsid w:val="00463902"/>
    <w:rsid w:val="00463BBE"/>
    <w:rsid w:val="004642FC"/>
    <w:rsid w:val="0046449A"/>
    <w:rsid w:val="0046636A"/>
    <w:rsid w:val="004723DD"/>
    <w:rsid w:val="004731B5"/>
    <w:rsid w:val="0047401A"/>
    <w:rsid w:val="004745B7"/>
    <w:rsid w:val="00474744"/>
    <w:rsid w:val="0047713B"/>
    <w:rsid w:val="00477B06"/>
    <w:rsid w:val="00481FA0"/>
    <w:rsid w:val="004832D2"/>
    <w:rsid w:val="00484608"/>
    <w:rsid w:val="004863CC"/>
    <w:rsid w:val="00486E4A"/>
    <w:rsid w:val="00491B5B"/>
    <w:rsid w:val="004935A5"/>
    <w:rsid w:val="0049586E"/>
    <w:rsid w:val="00495F94"/>
    <w:rsid w:val="004A0775"/>
    <w:rsid w:val="004A4FDA"/>
    <w:rsid w:val="004A551A"/>
    <w:rsid w:val="004A6130"/>
    <w:rsid w:val="004A768D"/>
    <w:rsid w:val="004A7F78"/>
    <w:rsid w:val="004B02C6"/>
    <w:rsid w:val="004B0970"/>
    <w:rsid w:val="004B4A69"/>
    <w:rsid w:val="004B7710"/>
    <w:rsid w:val="004B77B6"/>
    <w:rsid w:val="004C207A"/>
    <w:rsid w:val="004C2D5C"/>
    <w:rsid w:val="004C3C87"/>
    <w:rsid w:val="004C5339"/>
    <w:rsid w:val="004C57D4"/>
    <w:rsid w:val="004C5B37"/>
    <w:rsid w:val="004C5FDE"/>
    <w:rsid w:val="004C600E"/>
    <w:rsid w:val="004C7175"/>
    <w:rsid w:val="004C7CFB"/>
    <w:rsid w:val="004D03A3"/>
    <w:rsid w:val="004D06C4"/>
    <w:rsid w:val="004D1796"/>
    <w:rsid w:val="004D38CE"/>
    <w:rsid w:val="004D39F5"/>
    <w:rsid w:val="004D3A00"/>
    <w:rsid w:val="004D7469"/>
    <w:rsid w:val="004D74F5"/>
    <w:rsid w:val="004D75F3"/>
    <w:rsid w:val="004D7C0B"/>
    <w:rsid w:val="004E0860"/>
    <w:rsid w:val="004E3230"/>
    <w:rsid w:val="004E391F"/>
    <w:rsid w:val="004E3CEC"/>
    <w:rsid w:val="004E51C1"/>
    <w:rsid w:val="004E5294"/>
    <w:rsid w:val="004E6603"/>
    <w:rsid w:val="004E6B5E"/>
    <w:rsid w:val="004E7865"/>
    <w:rsid w:val="004F0275"/>
    <w:rsid w:val="004F1DF4"/>
    <w:rsid w:val="004F229B"/>
    <w:rsid w:val="004F2362"/>
    <w:rsid w:val="004F2FB4"/>
    <w:rsid w:val="004F3334"/>
    <w:rsid w:val="004F4877"/>
    <w:rsid w:val="004F4EEE"/>
    <w:rsid w:val="004F583C"/>
    <w:rsid w:val="004F7ACD"/>
    <w:rsid w:val="00500476"/>
    <w:rsid w:val="005004DB"/>
    <w:rsid w:val="00500BE0"/>
    <w:rsid w:val="00502F9C"/>
    <w:rsid w:val="005062A8"/>
    <w:rsid w:val="0050685D"/>
    <w:rsid w:val="00507AC7"/>
    <w:rsid w:val="00512111"/>
    <w:rsid w:val="005134E6"/>
    <w:rsid w:val="00514AF6"/>
    <w:rsid w:val="00514DF8"/>
    <w:rsid w:val="0051589E"/>
    <w:rsid w:val="00515E15"/>
    <w:rsid w:val="00515EBE"/>
    <w:rsid w:val="005164D0"/>
    <w:rsid w:val="00516A9C"/>
    <w:rsid w:val="00517B2F"/>
    <w:rsid w:val="00517E14"/>
    <w:rsid w:val="00520BAF"/>
    <w:rsid w:val="00520C9D"/>
    <w:rsid w:val="00520F56"/>
    <w:rsid w:val="005216E6"/>
    <w:rsid w:val="00523191"/>
    <w:rsid w:val="00523D81"/>
    <w:rsid w:val="0052451B"/>
    <w:rsid w:val="0052562D"/>
    <w:rsid w:val="00525B64"/>
    <w:rsid w:val="00526663"/>
    <w:rsid w:val="00531A37"/>
    <w:rsid w:val="00531F58"/>
    <w:rsid w:val="00533655"/>
    <w:rsid w:val="005339EC"/>
    <w:rsid w:val="00534FC3"/>
    <w:rsid w:val="00536BBE"/>
    <w:rsid w:val="0054164A"/>
    <w:rsid w:val="00541B86"/>
    <w:rsid w:val="00542527"/>
    <w:rsid w:val="005429C2"/>
    <w:rsid w:val="005438B5"/>
    <w:rsid w:val="00543C9C"/>
    <w:rsid w:val="005440F5"/>
    <w:rsid w:val="005447A1"/>
    <w:rsid w:val="00550DA1"/>
    <w:rsid w:val="0055157A"/>
    <w:rsid w:val="00552ACF"/>
    <w:rsid w:val="00552FF0"/>
    <w:rsid w:val="00553768"/>
    <w:rsid w:val="005549EA"/>
    <w:rsid w:val="00554F59"/>
    <w:rsid w:val="005552D9"/>
    <w:rsid w:val="00555920"/>
    <w:rsid w:val="00556375"/>
    <w:rsid w:val="00556E73"/>
    <w:rsid w:val="0055712F"/>
    <w:rsid w:val="00562BC0"/>
    <w:rsid w:val="00562CE6"/>
    <w:rsid w:val="005638E9"/>
    <w:rsid w:val="005668AA"/>
    <w:rsid w:val="00567158"/>
    <w:rsid w:val="00570C54"/>
    <w:rsid w:val="00573635"/>
    <w:rsid w:val="00574D48"/>
    <w:rsid w:val="00583FD4"/>
    <w:rsid w:val="00585708"/>
    <w:rsid w:val="005871C5"/>
    <w:rsid w:val="00587BF5"/>
    <w:rsid w:val="005904C8"/>
    <w:rsid w:val="00590A63"/>
    <w:rsid w:val="005912AB"/>
    <w:rsid w:val="00592E3A"/>
    <w:rsid w:val="005937B4"/>
    <w:rsid w:val="00593CC7"/>
    <w:rsid w:val="0059462E"/>
    <w:rsid w:val="00597CBB"/>
    <w:rsid w:val="00597D0E"/>
    <w:rsid w:val="005A0207"/>
    <w:rsid w:val="005A038F"/>
    <w:rsid w:val="005A07DB"/>
    <w:rsid w:val="005A0CC6"/>
    <w:rsid w:val="005A1C88"/>
    <w:rsid w:val="005A35E5"/>
    <w:rsid w:val="005A3AB2"/>
    <w:rsid w:val="005A531E"/>
    <w:rsid w:val="005A5814"/>
    <w:rsid w:val="005A5BF4"/>
    <w:rsid w:val="005A612D"/>
    <w:rsid w:val="005B3267"/>
    <w:rsid w:val="005B4262"/>
    <w:rsid w:val="005B4813"/>
    <w:rsid w:val="005B56C1"/>
    <w:rsid w:val="005B6BD6"/>
    <w:rsid w:val="005B70ED"/>
    <w:rsid w:val="005C023D"/>
    <w:rsid w:val="005C2791"/>
    <w:rsid w:val="005C2C94"/>
    <w:rsid w:val="005C3BEF"/>
    <w:rsid w:val="005C43FD"/>
    <w:rsid w:val="005C4B80"/>
    <w:rsid w:val="005C4D4D"/>
    <w:rsid w:val="005C4DBA"/>
    <w:rsid w:val="005C6AB1"/>
    <w:rsid w:val="005C7487"/>
    <w:rsid w:val="005D0F72"/>
    <w:rsid w:val="005D1493"/>
    <w:rsid w:val="005D1507"/>
    <w:rsid w:val="005D180E"/>
    <w:rsid w:val="005D206B"/>
    <w:rsid w:val="005D24AB"/>
    <w:rsid w:val="005D3CD4"/>
    <w:rsid w:val="005D403B"/>
    <w:rsid w:val="005D458F"/>
    <w:rsid w:val="005D5599"/>
    <w:rsid w:val="005D5822"/>
    <w:rsid w:val="005D5E30"/>
    <w:rsid w:val="005D75AF"/>
    <w:rsid w:val="005D7DFD"/>
    <w:rsid w:val="005E0249"/>
    <w:rsid w:val="005E024B"/>
    <w:rsid w:val="005E230C"/>
    <w:rsid w:val="005E5280"/>
    <w:rsid w:val="005E5BA1"/>
    <w:rsid w:val="005E5FA2"/>
    <w:rsid w:val="005E644D"/>
    <w:rsid w:val="005E77F2"/>
    <w:rsid w:val="005F0FB1"/>
    <w:rsid w:val="005F20B1"/>
    <w:rsid w:val="005F222C"/>
    <w:rsid w:val="005F2E68"/>
    <w:rsid w:val="005F4777"/>
    <w:rsid w:val="005F48FC"/>
    <w:rsid w:val="005F5800"/>
    <w:rsid w:val="005F6843"/>
    <w:rsid w:val="00600E01"/>
    <w:rsid w:val="006024BA"/>
    <w:rsid w:val="00602794"/>
    <w:rsid w:val="006031AB"/>
    <w:rsid w:val="00604156"/>
    <w:rsid w:val="006042FE"/>
    <w:rsid w:val="00605609"/>
    <w:rsid w:val="006076C3"/>
    <w:rsid w:val="00610A63"/>
    <w:rsid w:val="006125B5"/>
    <w:rsid w:val="00612BBA"/>
    <w:rsid w:val="00613FAD"/>
    <w:rsid w:val="0061416F"/>
    <w:rsid w:val="00615F7D"/>
    <w:rsid w:val="0061655D"/>
    <w:rsid w:val="00617028"/>
    <w:rsid w:val="006240C0"/>
    <w:rsid w:val="00626B40"/>
    <w:rsid w:val="00630C1F"/>
    <w:rsid w:val="006318F0"/>
    <w:rsid w:val="00633BAF"/>
    <w:rsid w:val="006346E0"/>
    <w:rsid w:val="0063606E"/>
    <w:rsid w:val="00636155"/>
    <w:rsid w:val="00636848"/>
    <w:rsid w:val="006372F6"/>
    <w:rsid w:val="0063768B"/>
    <w:rsid w:val="00640AD5"/>
    <w:rsid w:val="0064133F"/>
    <w:rsid w:val="0064206C"/>
    <w:rsid w:val="00644172"/>
    <w:rsid w:val="00644A7D"/>
    <w:rsid w:val="00644ADA"/>
    <w:rsid w:val="00646787"/>
    <w:rsid w:val="00647DA4"/>
    <w:rsid w:val="006506E8"/>
    <w:rsid w:val="00650B0B"/>
    <w:rsid w:val="00653A73"/>
    <w:rsid w:val="006546E7"/>
    <w:rsid w:val="00660D3A"/>
    <w:rsid w:val="0066211A"/>
    <w:rsid w:val="0066238B"/>
    <w:rsid w:val="006623CC"/>
    <w:rsid w:val="00662813"/>
    <w:rsid w:val="00662CEB"/>
    <w:rsid w:val="0066310D"/>
    <w:rsid w:val="006634EA"/>
    <w:rsid w:val="0066598C"/>
    <w:rsid w:val="00665A5C"/>
    <w:rsid w:val="00666590"/>
    <w:rsid w:val="00666EEB"/>
    <w:rsid w:val="00667E1A"/>
    <w:rsid w:val="00670DB6"/>
    <w:rsid w:val="00672946"/>
    <w:rsid w:val="006730B2"/>
    <w:rsid w:val="00674018"/>
    <w:rsid w:val="00674706"/>
    <w:rsid w:val="00677FD9"/>
    <w:rsid w:val="00680B92"/>
    <w:rsid w:val="0068229A"/>
    <w:rsid w:val="006822FA"/>
    <w:rsid w:val="006831B2"/>
    <w:rsid w:val="006833A7"/>
    <w:rsid w:val="006837C8"/>
    <w:rsid w:val="0068430F"/>
    <w:rsid w:val="00684F89"/>
    <w:rsid w:val="00685056"/>
    <w:rsid w:val="006878A9"/>
    <w:rsid w:val="0069023B"/>
    <w:rsid w:val="0069026C"/>
    <w:rsid w:val="006906C9"/>
    <w:rsid w:val="006910DB"/>
    <w:rsid w:val="0069484C"/>
    <w:rsid w:val="00694C8A"/>
    <w:rsid w:val="00694E22"/>
    <w:rsid w:val="00696557"/>
    <w:rsid w:val="006A053E"/>
    <w:rsid w:val="006A18C7"/>
    <w:rsid w:val="006A2AC1"/>
    <w:rsid w:val="006A3E87"/>
    <w:rsid w:val="006A421A"/>
    <w:rsid w:val="006A658C"/>
    <w:rsid w:val="006B0499"/>
    <w:rsid w:val="006B25DE"/>
    <w:rsid w:val="006B427A"/>
    <w:rsid w:val="006B49A5"/>
    <w:rsid w:val="006B5136"/>
    <w:rsid w:val="006B59CB"/>
    <w:rsid w:val="006B6A98"/>
    <w:rsid w:val="006C0C0A"/>
    <w:rsid w:val="006C1869"/>
    <w:rsid w:val="006C255E"/>
    <w:rsid w:val="006C387F"/>
    <w:rsid w:val="006C43E4"/>
    <w:rsid w:val="006C695B"/>
    <w:rsid w:val="006D1E89"/>
    <w:rsid w:val="006D28E0"/>
    <w:rsid w:val="006D302A"/>
    <w:rsid w:val="006D45C5"/>
    <w:rsid w:val="006D64BA"/>
    <w:rsid w:val="006D7065"/>
    <w:rsid w:val="006E0520"/>
    <w:rsid w:val="006E3410"/>
    <w:rsid w:val="006E409B"/>
    <w:rsid w:val="006E4357"/>
    <w:rsid w:val="006E48E6"/>
    <w:rsid w:val="006E7F4C"/>
    <w:rsid w:val="006F01AB"/>
    <w:rsid w:val="006F0299"/>
    <w:rsid w:val="006F13F9"/>
    <w:rsid w:val="006F2147"/>
    <w:rsid w:val="006F332D"/>
    <w:rsid w:val="006F401A"/>
    <w:rsid w:val="0070020F"/>
    <w:rsid w:val="00700DE9"/>
    <w:rsid w:val="00701F61"/>
    <w:rsid w:val="00702137"/>
    <w:rsid w:val="00704DD7"/>
    <w:rsid w:val="00705A82"/>
    <w:rsid w:val="00705D0D"/>
    <w:rsid w:val="00707625"/>
    <w:rsid w:val="0070786D"/>
    <w:rsid w:val="007105A0"/>
    <w:rsid w:val="007112EE"/>
    <w:rsid w:val="00711F42"/>
    <w:rsid w:val="00712166"/>
    <w:rsid w:val="007135B1"/>
    <w:rsid w:val="00714121"/>
    <w:rsid w:val="00716724"/>
    <w:rsid w:val="00717E3F"/>
    <w:rsid w:val="007200B5"/>
    <w:rsid w:val="00724255"/>
    <w:rsid w:val="00725570"/>
    <w:rsid w:val="007256FB"/>
    <w:rsid w:val="00725857"/>
    <w:rsid w:val="0072606F"/>
    <w:rsid w:val="007318F6"/>
    <w:rsid w:val="0073270D"/>
    <w:rsid w:val="0073393F"/>
    <w:rsid w:val="0073446D"/>
    <w:rsid w:val="00735205"/>
    <w:rsid w:val="00735239"/>
    <w:rsid w:val="00735A7B"/>
    <w:rsid w:val="00736089"/>
    <w:rsid w:val="00737370"/>
    <w:rsid w:val="00737846"/>
    <w:rsid w:val="007412C2"/>
    <w:rsid w:val="00741A1C"/>
    <w:rsid w:val="00741D2C"/>
    <w:rsid w:val="007421E3"/>
    <w:rsid w:val="007436EB"/>
    <w:rsid w:val="007446BA"/>
    <w:rsid w:val="00744B1C"/>
    <w:rsid w:val="00745316"/>
    <w:rsid w:val="00745393"/>
    <w:rsid w:val="007457EC"/>
    <w:rsid w:val="0074608B"/>
    <w:rsid w:val="007474AA"/>
    <w:rsid w:val="0074794D"/>
    <w:rsid w:val="00750B23"/>
    <w:rsid w:val="0075439A"/>
    <w:rsid w:val="00755031"/>
    <w:rsid w:val="007552BC"/>
    <w:rsid w:val="00755D0A"/>
    <w:rsid w:val="00755F4B"/>
    <w:rsid w:val="00756C6F"/>
    <w:rsid w:val="00756DD5"/>
    <w:rsid w:val="00756FCE"/>
    <w:rsid w:val="007573C8"/>
    <w:rsid w:val="00757F6C"/>
    <w:rsid w:val="007603C2"/>
    <w:rsid w:val="00762E55"/>
    <w:rsid w:val="007639DD"/>
    <w:rsid w:val="007651D8"/>
    <w:rsid w:val="007677A2"/>
    <w:rsid w:val="007710E2"/>
    <w:rsid w:val="00771196"/>
    <w:rsid w:val="007714AD"/>
    <w:rsid w:val="007718C6"/>
    <w:rsid w:val="00771B62"/>
    <w:rsid w:val="00771E50"/>
    <w:rsid w:val="00771EC7"/>
    <w:rsid w:val="007729D6"/>
    <w:rsid w:val="0078162A"/>
    <w:rsid w:val="00782CB8"/>
    <w:rsid w:val="00784B04"/>
    <w:rsid w:val="00787E3A"/>
    <w:rsid w:val="007901FC"/>
    <w:rsid w:val="00790DD2"/>
    <w:rsid w:val="00791619"/>
    <w:rsid w:val="0079184B"/>
    <w:rsid w:val="007934C4"/>
    <w:rsid w:val="007934F0"/>
    <w:rsid w:val="0079374B"/>
    <w:rsid w:val="00795152"/>
    <w:rsid w:val="0079541E"/>
    <w:rsid w:val="00795DEF"/>
    <w:rsid w:val="007A106E"/>
    <w:rsid w:val="007A3097"/>
    <w:rsid w:val="007A380E"/>
    <w:rsid w:val="007A4163"/>
    <w:rsid w:val="007A41D7"/>
    <w:rsid w:val="007A45F8"/>
    <w:rsid w:val="007A4AD6"/>
    <w:rsid w:val="007A7A93"/>
    <w:rsid w:val="007B05FC"/>
    <w:rsid w:val="007B10C4"/>
    <w:rsid w:val="007B153E"/>
    <w:rsid w:val="007B2A0A"/>
    <w:rsid w:val="007B3D02"/>
    <w:rsid w:val="007B44A2"/>
    <w:rsid w:val="007B6408"/>
    <w:rsid w:val="007B6BF8"/>
    <w:rsid w:val="007B727B"/>
    <w:rsid w:val="007B73BA"/>
    <w:rsid w:val="007C04AD"/>
    <w:rsid w:val="007C1A9C"/>
    <w:rsid w:val="007C4B10"/>
    <w:rsid w:val="007C7274"/>
    <w:rsid w:val="007D06B5"/>
    <w:rsid w:val="007D1123"/>
    <w:rsid w:val="007D15B2"/>
    <w:rsid w:val="007D2BAD"/>
    <w:rsid w:val="007D2FC5"/>
    <w:rsid w:val="007D320A"/>
    <w:rsid w:val="007D4254"/>
    <w:rsid w:val="007D4406"/>
    <w:rsid w:val="007D4B61"/>
    <w:rsid w:val="007D4FFD"/>
    <w:rsid w:val="007D5CA4"/>
    <w:rsid w:val="007D6032"/>
    <w:rsid w:val="007D67C8"/>
    <w:rsid w:val="007D6AFE"/>
    <w:rsid w:val="007E1DD1"/>
    <w:rsid w:val="007E233D"/>
    <w:rsid w:val="007E6990"/>
    <w:rsid w:val="007E6E47"/>
    <w:rsid w:val="007F1C5F"/>
    <w:rsid w:val="007F3EE2"/>
    <w:rsid w:val="007F3FBB"/>
    <w:rsid w:val="007F44E8"/>
    <w:rsid w:val="007F61EE"/>
    <w:rsid w:val="007F75DC"/>
    <w:rsid w:val="008023AF"/>
    <w:rsid w:val="008040A6"/>
    <w:rsid w:val="00804A4E"/>
    <w:rsid w:val="00804D6D"/>
    <w:rsid w:val="00805571"/>
    <w:rsid w:val="00810C77"/>
    <w:rsid w:val="008127DC"/>
    <w:rsid w:val="0081301E"/>
    <w:rsid w:val="00813D34"/>
    <w:rsid w:val="00815E26"/>
    <w:rsid w:val="00816A08"/>
    <w:rsid w:val="00816A9F"/>
    <w:rsid w:val="00816AB3"/>
    <w:rsid w:val="00817258"/>
    <w:rsid w:val="008217BC"/>
    <w:rsid w:val="008230C5"/>
    <w:rsid w:val="00823184"/>
    <w:rsid w:val="00823B38"/>
    <w:rsid w:val="008243E7"/>
    <w:rsid w:val="00827541"/>
    <w:rsid w:val="00827EC8"/>
    <w:rsid w:val="00830AD4"/>
    <w:rsid w:val="00830F7F"/>
    <w:rsid w:val="008311E0"/>
    <w:rsid w:val="00831B36"/>
    <w:rsid w:val="00831F49"/>
    <w:rsid w:val="0083366B"/>
    <w:rsid w:val="00833EB9"/>
    <w:rsid w:val="008341A5"/>
    <w:rsid w:val="008359BC"/>
    <w:rsid w:val="0083643D"/>
    <w:rsid w:val="008369B2"/>
    <w:rsid w:val="00836EFD"/>
    <w:rsid w:val="00840377"/>
    <w:rsid w:val="00840DE2"/>
    <w:rsid w:val="00840EB6"/>
    <w:rsid w:val="00841776"/>
    <w:rsid w:val="00841AC6"/>
    <w:rsid w:val="00841FC5"/>
    <w:rsid w:val="008420B8"/>
    <w:rsid w:val="00843C61"/>
    <w:rsid w:val="00846002"/>
    <w:rsid w:val="00847367"/>
    <w:rsid w:val="00847919"/>
    <w:rsid w:val="00847CBD"/>
    <w:rsid w:val="008512B4"/>
    <w:rsid w:val="008525E2"/>
    <w:rsid w:val="00853062"/>
    <w:rsid w:val="008535AF"/>
    <w:rsid w:val="00853761"/>
    <w:rsid w:val="00853F1F"/>
    <w:rsid w:val="00854CA0"/>
    <w:rsid w:val="00854E82"/>
    <w:rsid w:val="00856367"/>
    <w:rsid w:val="008563E9"/>
    <w:rsid w:val="00856A3C"/>
    <w:rsid w:val="00856D32"/>
    <w:rsid w:val="00860D92"/>
    <w:rsid w:val="00860EF0"/>
    <w:rsid w:val="00863A04"/>
    <w:rsid w:val="008662A9"/>
    <w:rsid w:val="008678A3"/>
    <w:rsid w:val="00870410"/>
    <w:rsid w:val="00872C1F"/>
    <w:rsid w:val="008739FF"/>
    <w:rsid w:val="00874A91"/>
    <w:rsid w:val="00874B45"/>
    <w:rsid w:val="00875B8A"/>
    <w:rsid w:val="00875EE2"/>
    <w:rsid w:val="008816A2"/>
    <w:rsid w:val="00884FA9"/>
    <w:rsid w:val="0088517D"/>
    <w:rsid w:val="008870D4"/>
    <w:rsid w:val="00887597"/>
    <w:rsid w:val="0089018F"/>
    <w:rsid w:val="00894B2C"/>
    <w:rsid w:val="00895967"/>
    <w:rsid w:val="00895FB8"/>
    <w:rsid w:val="008A0180"/>
    <w:rsid w:val="008A01C4"/>
    <w:rsid w:val="008A054F"/>
    <w:rsid w:val="008A1498"/>
    <w:rsid w:val="008A196C"/>
    <w:rsid w:val="008A4A04"/>
    <w:rsid w:val="008A6318"/>
    <w:rsid w:val="008A6575"/>
    <w:rsid w:val="008A7031"/>
    <w:rsid w:val="008B13A8"/>
    <w:rsid w:val="008B2D82"/>
    <w:rsid w:val="008B34DA"/>
    <w:rsid w:val="008B3F50"/>
    <w:rsid w:val="008B46CB"/>
    <w:rsid w:val="008B52DC"/>
    <w:rsid w:val="008C0EE5"/>
    <w:rsid w:val="008C3A31"/>
    <w:rsid w:val="008C44E3"/>
    <w:rsid w:val="008C5322"/>
    <w:rsid w:val="008C730E"/>
    <w:rsid w:val="008D20C6"/>
    <w:rsid w:val="008D2FF8"/>
    <w:rsid w:val="008D448F"/>
    <w:rsid w:val="008D5F8C"/>
    <w:rsid w:val="008D6A93"/>
    <w:rsid w:val="008D6DFA"/>
    <w:rsid w:val="008D77FA"/>
    <w:rsid w:val="008D7ED3"/>
    <w:rsid w:val="008E21C2"/>
    <w:rsid w:val="008E3C93"/>
    <w:rsid w:val="008E5917"/>
    <w:rsid w:val="008E5AE7"/>
    <w:rsid w:val="008E7C43"/>
    <w:rsid w:val="008E7F54"/>
    <w:rsid w:val="008F1D1E"/>
    <w:rsid w:val="008F4856"/>
    <w:rsid w:val="008F5488"/>
    <w:rsid w:val="008F589C"/>
    <w:rsid w:val="008F61E0"/>
    <w:rsid w:val="008F701A"/>
    <w:rsid w:val="009012D9"/>
    <w:rsid w:val="00903FCA"/>
    <w:rsid w:val="009078AF"/>
    <w:rsid w:val="00907DD9"/>
    <w:rsid w:val="009101C1"/>
    <w:rsid w:val="009115A0"/>
    <w:rsid w:val="009117D9"/>
    <w:rsid w:val="00911C4B"/>
    <w:rsid w:val="0091551D"/>
    <w:rsid w:val="00917D44"/>
    <w:rsid w:val="009217B4"/>
    <w:rsid w:val="00921A0A"/>
    <w:rsid w:val="00921C00"/>
    <w:rsid w:val="00921C90"/>
    <w:rsid w:val="00924F17"/>
    <w:rsid w:val="00924F99"/>
    <w:rsid w:val="009251C6"/>
    <w:rsid w:val="00927E7E"/>
    <w:rsid w:val="00931A95"/>
    <w:rsid w:val="00932684"/>
    <w:rsid w:val="00932F18"/>
    <w:rsid w:val="00933BB5"/>
    <w:rsid w:val="0093425F"/>
    <w:rsid w:val="0093434B"/>
    <w:rsid w:val="0093500B"/>
    <w:rsid w:val="00937B1A"/>
    <w:rsid w:val="009402CF"/>
    <w:rsid w:val="00942C36"/>
    <w:rsid w:val="0094355D"/>
    <w:rsid w:val="009436EF"/>
    <w:rsid w:val="00943BA5"/>
    <w:rsid w:val="009446D5"/>
    <w:rsid w:val="0094539E"/>
    <w:rsid w:val="00947E0D"/>
    <w:rsid w:val="00950F50"/>
    <w:rsid w:val="00951A35"/>
    <w:rsid w:val="00953D7C"/>
    <w:rsid w:val="00954400"/>
    <w:rsid w:val="009551B2"/>
    <w:rsid w:val="00955846"/>
    <w:rsid w:val="00955E5F"/>
    <w:rsid w:val="00956765"/>
    <w:rsid w:val="009573A2"/>
    <w:rsid w:val="00957873"/>
    <w:rsid w:val="00960564"/>
    <w:rsid w:val="00960F40"/>
    <w:rsid w:val="009623A3"/>
    <w:rsid w:val="009626A4"/>
    <w:rsid w:val="00962C7D"/>
    <w:rsid w:val="00965D60"/>
    <w:rsid w:val="009666BC"/>
    <w:rsid w:val="0096791D"/>
    <w:rsid w:val="00967B2D"/>
    <w:rsid w:val="00970240"/>
    <w:rsid w:val="00970BD4"/>
    <w:rsid w:val="00970F78"/>
    <w:rsid w:val="00971136"/>
    <w:rsid w:val="00972D12"/>
    <w:rsid w:val="00972FAC"/>
    <w:rsid w:val="00973EF3"/>
    <w:rsid w:val="00974DAD"/>
    <w:rsid w:val="009763CE"/>
    <w:rsid w:val="00976AB9"/>
    <w:rsid w:val="009772BD"/>
    <w:rsid w:val="00983DCF"/>
    <w:rsid w:val="00983FEA"/>
    <w:rsid w:val="009845EF"/>
    <w:rsid w:val="0098487A"/>
    <w:rsid w:val="00984893"/>
    <w:rsid w:val="00985796"/>
    <w:rsid w:val="009866B8"/>
    <w:rsid w:val="00986B4F"/>
    <w:rsid w:val="00987F9B"/>
    <w:rsid w:val="00990AEE"/>
    <w:rsid w:val="00990F7F"/>
    <w:rsid w:val="00992B63"/>
    <w:rsid w:val="00992CEB"/>
    <w:rsid w:val="00993297"/>
    <w:rsid w:val="00994AB5"/>
    <w:rsid w:val="00995752"/>
    <w:rsid w:val="00995C25"/>
    <w:rsid w:val="00996508"/>
    <w:rsid w:val="00997F6C"/>
    <w:rsid w:val="009A2EFD"/>
    <w:rsid w:val="009A304F"/>
    <w:rsid w:val="009A3F6A"/>
    <w:rsid w:val="009A414B"/>
    <w:rsid w:val="009A599C"/>
    <w:rsid w:val="009A5FBC"/>
    <w:rsid w:val="009A603C"/>
    <w:rsid w:val="009A6F23"/>
    <w:rsid w:val="009A7249"/>
    <w:rsid w:val="009B0199"/>
    <w:rsid w:val="009B03DB"/>
    <w:rsid w:val="009B0610"/>
    <w:rsid w:val="009B0878"/>
    <w:rsid w:val="009B1962"/>
    <w:rsid w:val="009B2564"/>
    <w:rsid w:val="009B48E3"/>
    <w:rsid w:val="009B7DF0"/>
    <w:rsid w:val="009C116F"/>
    <w:rsid w:val="009C1295"/>
    <w:rsid w:val="009C37CC"/>
    <w:rsid w:val="009C3E25"/>
    <w:rsid w:val="009C5CEC"/>
    <w:rsid w:val="009C75BE"/>
    <w:rsid w:val="009C7CB6"/>
    <w:rsid w:val="009D02AB"/>
    <w:rsid w:val="009D02C8"/>
    <w:rsid w:val="009D74A5"/>
    <w:rsid w:val="009D785D"/>
    <w:rsid w:val="009E0F4F"/>
    <w:rsid w:val="009E161C"/>
    <w:rsid w:val="009E170E"/>
    <w:rsid w:val="009E21C8"/>
    <w:rsid w:val="009E337D"/>
    <w:rsid w:val="009E368D"/>
    <w:rsid w:val="009E3F45"/>
    <w:rsid w:val="009E43A5"/>
    <w:rsid w:val="009E43CA"/>
    <w:rsid w:val="009E4525"/>
    <w:rsid w:val="009E5657"/>
    <w:rsid w:val="009E56B0"/>
    <w:rsid w:val="009E5EB4"/>
    <w:rsid w:val="009F0167"/>
    <w:rsid w:val="009F0237"/>
    <w:rsid w:val="009F0CDE"/>
    <w:rsid w:val="009F209B"/>
    <w:rsid w:val="009F245D"/>
    <w:rsid w:val="009F27B8"/>
    <w:rsid w:val="009F300B"/>
    <w:rsid w:val="009F46F7"/>
    <w:rsid w:val="009F7A30"/>
    <w:rsid w:val="00A00544"/>
    <w:rsid w:val="00A033A1"/>
    <w:rsid w:val="00A03643"/>
    <w:rsid w:val="00A0402A"/>
    <w:rsid w:val="00A04B52"/>
    <w:rsid w:val="00A04CE1"/>
    <w:rsid w:val="00A06123"/>
    <w:rsid w:val="00A06D91"/>
    <w:rsid w:val="00A079FA"/>
    <w:rsid w:val="00A112B9"/>
    <w:rsid w:val="00A11AAB"/>
    <w:rsid w:val="00A145F1"/>
    <w:rsid w:val="00A15ED4"/>
    <w:rsid w:val="00A17B78"/>
    <w:rsid w:val="00A201BB"/>
    <w:rsid w:val="00A234D9"/>
    <w:rsid w:val="00A239ED"/>
    <w:rsid w:val="00A325DA"/>
    <w:rsid w:val="00A32F4C"/>
    <w:rsid w:val="00A3308E"/>
    <w:rsid w:val="00A33A1F"/>
    <w:rsid w:val="00A33D5C"/>
    <w:rsid w:val="00A3407C"/>
    <w:rsid w:val="00A3473A"/>
    <w:rsid w:val="00A3536E"/>
    <w:rsid w:val="00A37BC4"/>
    <w:rsid w:val="00A411C0"/>
    <w:rsid w:val="00A41A1F"/>
    <w:rsid w:val="00A42DC6"/>
    <w:rsid w:val="00A432DD"/>
    <w:rsid w:val="00A4439F"/>
    <w:rsid w:val="00A44D72"/>
    <w:rsid w:val="00A47FAA"/>
    <w:rsid w:val="00A50699"/>
    <w:rsid w:val="00A50875"/>
    <w:rsid w:val="00A52CE3"/>
    <w:rsid w:val="00A532F3"/>
    <w:rsid w:val="00A533AF"/>
    <w:rsid w:val="00A57ABC"/>
    <w:rsid w:val="00A57AE2"/>
    <w:rsid w:val="00A60FDC"/>
    <w:rsid w:val="00A615B5"/>
    <w:rsid w:val="00A615BF"/>
    <w:rsid w:val="00A62F5F"/>
    <w:rsid w:val="00A63255"/>
    <w:rsid w:val="00A63CF9"/>
    <w:rsid w:val="00A64751"/>
    <w:rsid w:val="00A67C03"/>
    <w:rsid w:val="00A71FFC"/>
    <w:rsid w:val="00A72675"/>
    <w:rsid w:val="00A73864"/>
    <w:rsid w:val="00A73ADB"/>
    <w:rsid w:val="00A74DA2"/>
    <w:rsid w:val="00A758FF"/>
    <w:rsid w:val="00A76CA5"/>
    <w:rsid w:val="00A835D1"/>
    <w:rsid w:val="00A8410E"/>
    <w:rsid w:val="00A87432"/>
    <w:rsid w:val="00A8755D"/>
    <w:rsid w:val="00A91CE4"/>
    <w:rsid w:val="00A9276B"/>
    <w:rsid w:val="00A93EFF"/>
    <w:rsid w:val="00A940C3"/>
    <w:rsid w:val="00A95088"/>
    <w:rsid w:val="00A97906"/>
    <w:rsid w:val="00A97933"/>
    <w:rsid w:val="00A97E31"/>
    <w:rsid w:val="00AA0526"/>
    <w:rsid w:val="00AA1329"/>
    <w:rsid w:val="00AA2952"/>
    <w:rsid w:val="00AA2BEF"/>
    <w:rsid w:val="00AA5B28"/>
    <w:rsid w:val="00AA65C9"/>
    <w:rsid w:val="00AA662C"/>
    <w:rsid w:val="00AB2D6B"/>
    <w:rsid w:val="00AB4343"/>
    <w:rsid w:val="00AB5752"/>
    <w:rsid w:val="00AB5E55"/>
    <w:rsid w:val="00AB7C88"/>
    <w:rsid w:val="00AC0E9B"/>
    <w:rsid w:val="00AC2313"/>
    <w:rsid w:val="00AC26C5"/>
    <w:rsid w:val="00AC2F70"/>
    <w:rsid w:val="00AC5E3D"/>
    <w:rsid w:val="00AC6178"/>
    <w:rsid w:val="00AC7EC3"/>
    <w:rsid w:val="00AD28C0"/>
    <w:rsid w:val="00AD3C39"/>
    <w:rsid w:val="00AD4453"/>
    <w:rsid w:val="00AD51AE"/>
    <w:rsid w:val="00AD59C3"/>
    <w:rsid w:val="00AD5F02"/>
    <w:rsid w:val="00AD6E2E"/>
    <w:rsid w:val="00AD70FE"/>
    <w:rsid w:val="00AD76EE"/>
    <w:rsid w:val="00AE04A5"/>
    <w:rsid w:val="00AE20B2"/>
    <w:rsid w:val="00AE4DEE"/>
    <w:rsid w:val="00AE5011"/>
    <w:rsid w:val="00AE576E"/>
    <w:rsid w:val="00AF1065"/>
    <w:rsid w:val="00AF2EC0"/>
    <w:rsid w:val="00AF3577"/>
    <w:rsid w:val="00AF3A27"/>
    <w:rsid w:val="00AF4695"/>
    <w:rsid w:val="00AF5633"/>
    <w:rsid w:val="00B02446"/>
    <w:rsid w:val="00B02DF0"/>
    <w:rsid w:val="00B031A5"/>
    <w:rsid w:val="00B05147"/>
    <w:rsid w:val="00B06864"/>
    <w:rsid w:val="00B106C2"/>
    <w:rsid w:val="00B11C18"/>
    <w:rsid w:val="00B12630"/>
    <w:rsid w:val="00B129A2"/>
    <w:rsid w:val="00B12D91"/>
    <w:rsid w:val="00B154B0"/>
    <w:rsid w:val="00B1628C"/>
    <w:rsid w:val="00B1675E"/>
    <w:rsid w:val="00B1729F"/>
    <w:rsid w:val="00B1730D"/>
    <w:rsid w:val="00B178B2"/>
    <w:rsid w:val="00B20236"/>
    <w:rsid w:val="00B21095"/>
    <w:rsid w:val="00B22056"/>
    <w:rsid w:val="00B24AC5"/>
    <w:rsid w:val="00B25591"/>
    <w:rsid w:val="00B25B32"/>
    <w:rsid w:val="00B271F5"/>
    <w:rsid w:val="00B27402"/>
    <w:rsid w:val="00B31010"/>
    <w:rsid w:val="00B3129F"/>
    <w:rsid w:val="00B37EC7"/>
    <w:rsid w:val="00B37FBB"/>
    <w:rsid w:val="00B415C1"/>
    <w:rsid w:val="00B42FA8"/>
    <w:rsid w:val="00B43DEF"/>
    <w:rsid w:val="00B44419"/>
    <w:rsid w:val="00B444B9"/>
    <w:rsid w:val="00B44BD1"/>
    <w:rsid w:val="00B45CEE"/>
    <w:rsid w:val="00B463C6"/>
    <w:rsid w:val="00B46A7E"/>
    <w:rsid w:val="00B471A0"/>
    <w:rsid w:val="00B4766C"/>
    <w:rsid w:val="00B50777"/>
    <w:rsid w:val="00B50D6D"/>
    <w:rsid w:val="00B5158F"/>
    <w:rsid w:val="00B5169C"/>
    <w:rsid w:val="00B51D59"/>
    <w:rsid w:val="00B528CA"/>
    <w:rsid w:val="00B54A85"/>
    <w:rsid w:val="00B5513C"/>
    <w:rsid w:val="00B55CA0"/>
    <w:rsid w:val="00B565F5"/>
    <w:rsid w:val="00B566DA"/>
    <w:rsid w:val="00B604A0"/>
    <w:rsid w:val="00B61E14"/>
    <w:rsid w:val="00B661BE"/>
    <w:rsid w:val="00B665E3"/>
    <w:rsid w:val="00B67C5B"/>
    <w:rsid w:val="00B70696"/>
    <w:rsid w:val="00B70741"/>
    <w:rsid w:val="00B708A1"/>
    <w:rsid w:val="00B7242A"/>
    <w:rsid w:val="00B755C6"/>
    <w:rsid w:val="00B75A30"/>
    <w:rsid w:val="00B75CF7"/>
    <w:rsid w:val="00B75DC6"/>
    <w:rsid w:val="00B81134"/>
    <w:rsid w:val="00B816AD"/>
    <w:rsid w:val="00B82A78"/>
    <w:rsid w:val="00B8468C"/>
    <w:rsid w:val="00B84C0D"/>
    <w:rsid w:val="00B84F8C"/>
    <w:rsid w:val="00B91D92"/>
    <w:rsid w:val="00B921D6"/>
    <w:rsid w:val="00B9238B"/>
    <w:rsid w:val="00B928A6"/>
    <w:rsid w:val="00B92A6C"/>
    <w:rsid w:val="00B931F1"/>
    <w:rsid w:val="00B9492E"/>
    <w:rsid w:val="00B95405"/>
    <w:rsid w:val="00B96584"/>
    <w:rsid w:val="00B97450"/>
    <w:rsid w:val="00B976D0"/>
    <w:rsid w:val="00BA1C33"/>
    <w:rsid w:val="00BA24ED"/>
    <w:rsid w:val="00BA3C55"/>
    <w:rsid w:val="00BA40DD"/>
    <w:rsid w:val="00BA43A6"/>
    <w:rsid w:val="00BA48A7"/>
    <w:rsid w:val="00BB1596"/>
    <w:rsid w:val="00BB15B0"/>
    <w:rsid w:val="00BB3164"/>
    <w:rsid w:val="00BB34BA"/>
    <w:rsid w:val="00BB5D0D"/>
    <w:rsid w:val="00BB7863"/>
    <w:rsid w:val="00BC143D"/>
    <w:rsid w:val="00BC650E"/>
    <w:rsid w:val="00BD09A7"/>
    <w:rsid w:val="00BD1626"/>
    <w:rsid w:val="00BD19AD"/>
    <w:rsid w:val="00BD23C9"/>
    <w:rsid w:val="00BD646C"/>
    <w:rsid w:val="00BD6A59"/>
    <w:rsid w:val="00BD6C98"/>
    <w:rsid w:val="00BE02AA"/>
    <w:rsid w:val="00BE0CD1"/>
    <w:rsid w:val="00BE0ED4"/>
    <w:rsid w:val="00BE1604"/>
    <w:rsid w:val="00BE2E28"/>
    <w:rsid w:val="00BE339D"/>
    <w:rsid w:val="00BE38A5"/>
    <w:rsid w:val="00BE3A95"/>
    <w:rsid w:val="00BE4413"/>
    <w:rsid w:val="00BE4993"/>
    <w:rsid w:val="00BE5759"/>
    <w:rsid w:val="00BE6293"/>
    <w:rsid w:val="00BE65A0"/>
    <w:rsid w:val="00BE690E"/>
    <w:rsid w:val="00BE7498"/>
    <w:rsid w:val="00BE79A1"/>
    <w:rsid w:val="00BF03A2"/>
    <w:rsid w:val="00BF03D8"/>
    <w:rsid w:val="00BF0612"/>
    <w:rsid w:val="00BF062B"/>
    <w:rsid w:val="00BF1AB5"/>
    <w:rsid w:val="00BF21DE"/>
    <w:rsid w:val="00BF3B4D"/>
    <w:rsid w:val="00BF3C37"/>
    <w:rsid w:val="00BF3F9A"/>
    <w:rsid w:val="00BF56BF"/>
    <w:rsid w:val="00C0198B"/>
    <w:rsid w:val="00C0284E"/>
    <w:rsid w:val="00C02D69"/>
    <w:rsid w:val="00C0339F"/>
    <w:rsid w:val="00C03490"/>
    <w:rsid w:val="00C05822"/>
    <w:rsid w:val="00C06C43"/>
    <w:rsid w:val="00C110E3"/>
    <w:rsid w:val="00C11D1D"/>
    <w:rsid w:val="00C1307C"/>
    <w:rsid w:val="00C14E3F"/>
    <w:rsid w:val="00C1589B"/>
    <w:rsid w:val="00C159FF"/>
    <w:rsid w:val="00C15E30"/>
    <w:rsid w:val="00C16A59"/>
    <w:rsid w:val="00C16DCE"/>
    <w:rsid w:val="00C17F74"/>
    <w:rsid w:val="00C17FE3"/>
    <w:rsid w:val="00C20951"/>
    <w:rsid w:val="00C21D24"/>
    <w:rsid w:val="00C27693"/>
    <w:rsid w:val="00C30D0B"/>
    <w:rsid w:val="00C310E0"/>
    <w:rsid w:val="00C33F27"/>
    <w:rsid w:val="00C3549F"/>
    <w:rsid w:val="00C37A56"/>
    <w:rsid w:val="00C406CE"/>
    <w:rsid w:val="00C418DB"/>
    <w:rsid w:val="00C42246"/>
    <w:rsid w:val="00C4369E"/>
    <w:rsid w:val="00C45239"/>
    <w:rsid w:val="00C456E4"/>
    <w:rsid w:val="00C4649E"/>
    <w:rsid w:val="00C46623"/>
    <w:rsid w:val="00C47CDB"/>
    <w:rsid w:val="00C513F4"/>
    <w:rsid w:val="00C51DFF"/>
    <w:rsid w:val="00C52984"/>
    <w:rsid w:val="00C52BD2"/>
    <w:rsid w:val="00C53AB7"/>
    <w:rsid w:val="00C554AE"/>
    <w:rsid w:val="00C56F09"/>
    <w:rsid w:val="00C60365"/>
    <w:rsid w:val="00C6042D"/>
    <w:rsid w:val="00C60C09"/>
    <w:rsid w:val="00C641E0"/>
    <w:rsid w:val="00C64D60"/>
    <w:rsid w:val="00C65377"/>
    <w:rsid w:val="00C66A74"/>
    <w:rsid w:val="00C7037E"/>
    <w:rsid w:val="00C70AF2"/>
    <w:rsid w:val="00C73207"/>
    <w:rsid w:val="00C7436F"/>
    <w:rsid w:val="00C754AC"/>
    <w:rsid w:val="00C75AD0"/>
    <w:rsid w:val="00C76108"/>
    <w:rsid w:val="00C8086C"/>
    <w:rsid w:val="00C80A8F"/>
    <w:rsid w:val="00C8176A"/>
    <w:rsid w:val="00C820FC"/>
    <w:rsid w:val="00C82795"/>
    <w:rsid w:val="00C836C6"/>
    <w:rsid w:val="00C84296"/>
    <w:rsid w:val="00C8724F"/>
    <w:rsid w:val="00C903C1"/>
    <w:rsid w:val="00C904FB"/>
    <w:rsid w:val="00C91030"/>
    <w:rsid w:val="00C91221"/>
    <w:rsid w:val="00C91251"/>
    <w:rsid w:val="00C91271"/>
    <w:rsid w:val="00C92303"/>
    <w:rsid w:val="00C927FD"/>
    <w:rsid w:val="00C95E73"/>
    <w:rsid w:val="00C979C3"/>
    <w:rsid w:val="00CA10E6"/>
    <w:rsid w:val="00CA4433"/>
    <w:rsid w:val="00CA52B4"/>
    <w:rsid w:val="00CA74A7"/>
    <w:rsid w:val="00CA74C3"/>
    <w:rsid w:val="00CA7A42"/>
    <w:rsid w:val="00CB0589"/>
    <w:rsid w:val="00CB2CF5"/>
    <w:rsid w:val="00CB4384"/>
    <w:rsid w:val="00CB6BDF"/>
    <w:rsid w:val="00CB6EBE"/>
    <w:rsid w:val="00CC0FC3"/>
    <w:rsid w:val="00CC1678"/>
    <w:rsid w:val="00CC31AB"/>
    <w:rsid w:val="00CC5415"/>
    <w:rsid w:val="00CC648A"/>
    <w:rsid w:val="00CD17AD"/>
    <w:rsid w:val="00CD1910"/>
    <w:rsid w:val="00CD2640"/>
    <w:rsid w:val="00CD2964"/>
    <w:rsid w:val="00CD2967"/>
    <w:rsid w:val="00CD625F"/>
    <w:rsid w:val="00CD6C6B"/>
    <w:rsid w:val="00CD6F13"/>
    <w:rsid w:val="00CD7AD2"/>
    <w:rsid w:val="00CE0104"/>
    <w:rsid w:val="00CE02B5"/>
    <w:rsid w:val="00CE15CA"/>
    <w:rsid w:val="00CE320D"/>
    <w:rsid w:val="00CE3C55"/>
    <w:rsid w:val="00CE476E"/>
    <w:rsid w:val="00CE5501"/>
    <w:rsid w:val="00CE5570"/>
    <w:rsid w:val="00CE68DC"/>
    <w:rsid w:val="00CF078F"/>
    <w:rsid w:val="00CF14CE"/>
    <w:rsid w:val="00CF1893"/>
    <w:rsid w:val="00CF2B47"/>
    <w:rsid w:val="00CF4C31"/>
    <w:rsid w:val="00CF5DBE"/>
    <w:rsid w:val="00CF70BD"/>
    <w:rsid w:val="00CF768D"/>
    <w:rsid w:val="00CF7E6D"/>
    <w:rsid w:val="00D00CA2"/>
    <w:rsid w:val="00D00E97"/>
    <w:rsid w:val="00D01B05"/>
    <w:rsid w:val="00D02033"/>
    <w:rsid w:val="00D04804"/>
    <w:rsid w:val="00D052E6"/>
    <w:rsid w:val="00D0658B"/>
    <w:rsid w:val="00D06806"/>
    <w:rsid w:val="00D06A72"/>
    <w:rsid w:val="00D07666"/>
    <w:rsid w:val="00D11328"/>
    <w:rsid w:val="00D11360"/>
    <w:rsid w:val="00D12580"/>
    <w:rsid w:val="00D13B45"/>
    <w:rsid w:val="00D13BDC"/>
    <w:rsid w:val="00D13FF7"/>
    <w:rsid w:val="00D14E5B"/>
    <w:rsid w:val="00D15A90"/>
    <w:rsid w:val="00D15E4A"/>
    <w:rsid w:val="00D1799B"/>
    <w:rsid w:val="00D17D59"/>
    <w:rsid w:val="00D17F54"/>
    <w:rsid w:val="00D20D2A"/>
    <w:rsid w:val="00D21A15"/>
    <w:rsid w:val="00D21EF3"/>
    <w:rsid w:val="00D21F5C"/>
    <w:rsid w:val="00D242C1"/>
    <w:rsid w:val="00D2629A"/>
    <w:rsid w:val="00D26928"/>
    <w:rsid w:val="00D27C8B"/>
    <w:rsid w:val="00D30242"/>
    <w:rsid w:val="00D30C4F"/>
    <w:rsid w:val="00D31777"/>
    <w:rsid w:val="00D334CE"/>
    <w:rsid w:val="00D33D25"/>
    <w:rsid w:val="00D3415C"/>
    <w:rsid w:val="00D35D8E"/>
    <w:rsid w:val="00D37FC4"/>
    <w:rsid w:val="00D40A82"/>
    <w:rsid w:val="00D4181D"/>
    <w:rsid w:val="00D4410F"/>
    <w:rsid w:val="00D443B7"/>
    <w:rsid w:val="00D45EB6"/>
    <w:rsid w:val="00D46B2F"/>
    <w:rsid w:val="00D472BB"/>
    <w:rsid w:val="00D47C42"/>
    <w:rsid w:val="00D50FD0"/>
    <w:rsid w:val="00D51E98"/>
    <w:rsid w:val="00D52BD1"/>
    <w:rsid w:val="00D5416D"/>
    <w:rsid w:val="00D6003B"/>
    <w:rsid w:val="00D62DCF"/>
    <w:rsid w:val="00D63474"/>
    <w:rsid w:val="00D640A5"/>
    <w:rsid w:val="00D65F55"/>
    <w:rsid w:val="00D660D5"/>
    <w:rsid w:val="00D66561"/>
    <w:rsid w:val="00D674B9"/>
    <w:rsid w:val="00D67DDE"/>
    <w:rsid w:val="00D67E2F"/>
    <w:rsid w:val="00D712FC"/>
    <w:rsid w:val="00D714A9"/>
    <w:rsid w:val="00D7281E"/>
    <w:rsid w:val="00D72C7C"/>
    <w:rsid w:val="00D72F82"/>
    <w:rsid w:val="00D734ED"/>
    <w:rsid w:val="00D73618"/>
    <w:rsid w:val="00D76D4A"/>
    <w:rsid w:val="00D77833"/>
    <w:rsid w:val="00D8000D"/>
    <w:rsid w:val="00D808C1"/>
    <w:rsid w:val="00D80EF9"/>
    <w:rsid w:val="00D81153"/>
    <w:rsid w:val="00D818CA"/>
    <w:rsid w:val="00D8409E"/>
    <w:rsid w:val="00D84678"/>
    <w:rsid w:val="00D84D19"/>
    <w:rsid w:val="00D86B77"/>
    <w:rsid w:val="00D879B7"/>
    <w:rsid w:val="00D9006E"/>
    <w:rsid w:val="00D92ECB"/>
    <w:rsid w:val="00D93B86"/>
    <w:rsid w:val="00D94384"/>
    <w:rsid w:val="00D94610"/>
    <w:rsid w:val="00D96983"/>
    <w:rsid w:val="00D9791A"/>
    <w:rsid w:val="00DA23C1"/>
    <w:rsid w:val="00DA3E47"/>
    <w:rsid w:val="00DA3FAB"/>
    <w:rsid w:val="00DA4F74"/>
    <w:rsid w:val="00DA5EAE"/>
    <w:rsid w:val="00DA6B87"/>
    <w:rsid w:val="00DA6F8E"/>
    <w:rsid w:val="00DA7B26"/>
    <w:rsid w:val="00DA7F8C"/>
    <w:rsid w:val="00DB07B7"/>
    <w:rsid w:val="00DB098D"/>
    <w:rsid w:val="00DB3DDB"/>
    <w:rsid w:val="00DB45FA"/>
    <w:rsid w:val="00DB5958"/>
    <w:rsid w:val="00DB65AE"/>
    <w:rsid w:val="00DB6DCC"/>
    <w:rsid w:val="00DB7AB0"/>
    <w:rsid w:val="00DC0A5B"/>
    <w:rsid w:val="00DC1087"/>
    <w:rsid w:val="00DC1989"/>
    <w:rsid w:val="00DC1FFC"/>
    <w:rsid w:val="00DC2BF4"/>
    <w:rsid w:val="00DC2CDB"/>
    <w:rsid w:val="00DC382F"/>
    <w:rsid w:val="00DC3905"/>
    <w:rsid w:val="00DC4247"/>
    <w:rsid w:val="00DC459E"/>
    <w:rsid w:val="00DD0D1D"/>
    <w:rsid w:val="00DD12FF"/>
    <w:rsid w:val="00DD1798"/>
    <w:rsid w:val="00DD1991"/>
    <w:rsid w:val="00DD1D21"/>
    <w:rsid w:val="00DD3350"/>
    <w:rsid w:val="00DD4B1E"/>
    <w:rsid w:val="00DD5741"/>
    <w:rsid w:val="00DD6524"/>
    <w:rsid w:val="00DD7692"/>
    <w:rsid w:val="00DE1B35"/>
    <w:rsid w:val="00DE2265"/>
    <w:rsid w:val="00DE3AC5"/>
    <w:rsid w:val="00DE515A"/>
    <w:rsid w:val="00DE67D6"/>
    <w:rsid w:val="00DE6A24"/>
    <w:rsid w:val="00DE6E81"/>
    <w:rsid w:val="00DE719D"/>
    <w:rsid w:val="00DF0A3C"/>
    <w:rsid w:val="00DF19E0"/>
    <w:rsid w:val="00DF24AF"/>
    <w:rsid w:val="00DF2728"/>
    <w:rsid w:val="00DF2AF4"/>
    <w:rsid w:val="00DF2D5E"/>
    <w:rsid w:val="00DF580D"/>
    <w:rsid w:val="00DF6A07"/>
    <w:rsid w:val="00DF7B3E"/>
    <w:rsid w:val="00E00975"/>
    <w:rsid w:val="00E020A5"/>
    <w:rsid w:val="00E0251B"/>
    <w:rsid w:val="00E02687"/>
    <w:rsid w:val="00E03688"/>
    <w:rsid w:val="00E05F0C"/>
    <w:rsid w:val="00E0619A"/>
    <w:rsid w:val="00E10ADA"/>
    <w:rsid w:val="00E11346"/>
    <w:rsid w:val="00E122D3"/>
    <w:rsid w:val="00E13469"/>
    <w:rsid w:val="00E134D8"/>
    <w:rsid w:val="00E137BD"/>
    <w:rsid w:val="00E1591D"/>
    <w:rsid w:val="00E16D2F"/>
    <w:rsid w:val="00E17DAF"/>
    <w:rsid w:val="00E21FF7"/>
    <w:rsid w:val="00E2230C"/>
    <w:rsid w:val="00E22A4E"/>
    <w:rsid w:val="00E230AA"/>
    <w:rsid w:val="00E2711F"/>
    <w:rsid w:val="00E272DC"/>
    <w:rsid w:val="00E31525"/>
    <w:rsid w:val="00E318D7"/>
    <w:rsid w:val="00E33B51"/>
    <w:rsid w:val="00E34FE7"/>
    <w:rsid w:val="00E359DB"/>
    <w:rsid w:val="00E36753"/>
    <w:rsid w:val="00E37A9E"/>
    <w:rsid w:val="00E37B04"/>
    <w:rsid w:val="00E40DCC"/>
    <w:rsid w:val="00E42072"/>
    <w:rsid w:val="00E42285"/>
    <w:rsid w:val="00E42929"/>
    <w:rsid w:val="00E445A1"/>
    <w:rsid w:val="00E46468"/>
    <w:rsid w:val="00E4670B"/>
    <w:rsid w:val="00E476B0"/>
    <w:rsid w:val="00E515A4"/>
    <w:rsid w:val="00E52E29"/>
    <w:rsid w:val="00E535A1"/>
    <w:rsid w:val="00E54EC0"/>
    <w:rsid w:val="00E57BEA"/>
    <w:rsid w:val="00E6093B"/>
    <w:rsid w:val="00E60B47"/>
    <w:rsid w:val="00E611A8"/>
    <w:rsid w:val="00E6145E"/>
    <w:rsid w:val="00E62159"/>
    <w:rsid w:val="00E64F29"/>
    <w:rsid w:val="00E64FBA"/>
    <w:rsid w:val="00E653BF"/>
    <w:rsid w:val="00E65AFD"/>
    <w:rsid w:val="00E667B9"/>
    <w:rsid w:val="00E67096"/>
    <w:rsid w:val="00E672F4"/>
    <w:rsid w:val="00E67670"/>
    <w:rsid w:val="00E7220A"/>
    <w:rsid w:val="00E724EE"/>
    <w:rsid w:val="00E7265B"/>
    <w:rsid w:val="00E72C91"/>
    <w:rsid w:val="00E73132"/>
    <w:rsid w:val="00E754D3"/>
    <w:rsid w:val="00E7550A"/>
    <w:rsid w:val="00E75D5C"/>
    <w:rsid w:val="00E76E3E"/>
    <w:rsid w:val="00E778EA"/>
    <w:rsid w:val="00E77E10"/>
    <w:rsid w:val="00E8122B"/>
    <w:rsid w:val="00E82A65"/>
    <w:rsid w:val="00E86546"/>
    <w:rsid w:val="00E86712"/>
    <w:rsid w:val="00E91939"/>
    <w:rsid w:val="00E91C10"/>
    <w:rsid w:val="00E91C83"/>
    <w:rsid w:val="00E92125"/>
    <w:rsid w:val="00E9219F"/>
    <w:rsid w:val="00E9257E"/>
    <w:rsid w:val="00E92765"/>
    <w:rsid w:val="00E96E0E"/>
    <w:rsid w:val="00E97735"/>
    <w:rsid w:val="00E97804"/>
    <w:rsid w:val="00E97927"/>
    <w:rsid w:val="00EA096A"/>
    <w:rsid w:val="00EA2A9D"/>
    <w:rsid w:val="00EA35BD"/>
    <w:rsid w:val="00EA4C57"/>
    <w:rsid w:val="00EA4F5F"/>
    <w:rsid w:val="00EA57AD"/>
    <w:rsid w:val="00EA5A05"/>
    <w:rsid w:val="00EB0466"/>
    <w:rsid w:val="00EB12D6"/>
    <w:rsid w:val="00EB1A1B"/>
    <w:rsid w:val="00EB21D4"/>
    <w:rsid w:val="00EB2A66"/>
    <w:rsid w:val="00EB5964"/>
    <w:rsid w:val="00EC27DA"/>
    <w:rsid w:val="00EC3305"/>
    <w:rsid w:val="00EC48DC"/>
    <w:rsid w:val="00EC62EC"/>
    <w:rsid w:val="00ED0967"/>
    <w:rsid w:val="00ED0FF0"/>
    <w:rsid w:val="00ED18D0"/>
    <w:rsid w:val="00ED498C"/>
    <w:rsid w:val="00ED5041"/>
    <w:rsid w:val="00ED74B7"/>
    <w:rsid w:val="00ED7866"/>
    <w:rsid w:val="00EE5250"/>
    <w:rsid w:val="00EE5AE5"/>
    <w:rsid w:val="00EE6D33"/>
    <w:rsid w:val="00EE77B8"/>
    <w:rsid w:val="00EF1919"/>
    <w:rsid w:val="00EF1C5B"/>
    <w:rsid w:val="00EF25C1"/>
    <w:rsid w:val="00EF46FA"/>
    <w:rsid w:val="00EF648F"/>
    <w:rsid w:val="00EF6DE4"/>
    <w:rsid w:val="00EF70B5"/>
    <w:rsid w:val="00F0198B"/>
    <w:rsid w:val="00F02CF0"/>
    <w:rsid w:val="00F0380D"/>
    <w:rsid w:val="00F04422"/>
    <w:rsid w:val="00F05A4E"/>
    <w:rsid w:val="00F063BD"/>
    <w:rsid w:val="00F066B5"/>
    <w:rsid w:val="00F100B5"/>
    <w:rsid w:val="00F104CF"/>
    <w:rsid w:val="00F109A0"/>
    <w:rsid w:val="00F11EAD"/>
    <w:rsid w:val="00F12593"/>
    <w:rsid w:val="00F12FAD"/>
    <w:rsid w:val="00F13B94"/>
    <w:rsid w:val="00F14B1F"/>
    <w:rsid w:val="00F15DB2"/>
    <w:rsid w:val="00F16376"/>
    <w:rsid w:val="00F16B80"/>
    <w:rsid w:val="00F174B0"/>
    <w:rsid w:val="00F20453"/>
    <w:rsid w:val="00F21C66"/>
    <w:rsid w:val="00F22992"/>
    <w:rsid w:val="00F24A45"/>
    <w:rsid w:val="00F253A7"/>
    <w:rsid w:val="00F2661A"/>
    <w:rsid w:val="00F3200B"/>
    <w:rsid w:val="00F347B4"/>
    <w:rsid w:val="00F349CE"/>
    <w:rsid w:val="00F3519C"/>
    <w:rsid w:val="00F37227"/>
    <w:rsid w:val="00F3726B"/>
    <w:rsid w:val="00F3769C"/>
    <w:rsid w:val="00F3787D"/>
    <w:rsid w:val="00F41743"/>
    <w:rsid w:val="00F4206A"/>
    <w:rsid w:val="00F444F9"/>
    <w:rsid w:val="00F451D9"/>
    <w:rsid w:val="00F474BC"/>
    <w:rsid w:val="00F50250"/>
    <w:rsid w:val="00F5079D"/>
    <w:rsid w:val="00F50C2B"/>
    <w:rsid w:val="00F5145E"/>
    <w:rsid w:val="00F5428F"/>
    <w:rsid w:val="00F551D9"/>
    <w:rsid w:val="00F55DE9"/>
    <w:rsid w:val="00F56A08"/>
    <w:rsid w:val="00F6021A"/>
    <w:rsid w:val="00F606C4"/>
    <w:rsid w:val="00F6093E"/>
    <w:rsid w:val="00F60AA3"/>
    <w:rsid w:val="00F613AE"/>
    <w:rsid w:val="00F6317F"/>
    <w:rsid w:val="00F636F8"/>
    <w:rsid w:val="00F63897"/>
    <w:rsid w:val="00F63CD7"/>
    <w:rsid w:val="00F6422B"/>
    <w:rsid w:val="00F646B9"/>
    <w:rsid w:val="00F70639"/>
    <w:rsid w:val="00F7160B"/>
    <w:rsid w:val="00F716D2"/>
    <w:rsid w:val="00F71786"/>
    <w:rsid w:val="00F719EE"/>
    <w:rsid w:val="00F71BB1"/>
    <w:rsid w:val="00F72F9A"/>
    <w:rsid w:val="00F75821"/>
    <w:rsid w:val="00F7615D"/>
    <w:rsid w:val="00F76377"/>
    <w:rsid w:val="00F77F43"/>
    <w:rsid w:val="00F8236B"/>
    <w:rsid w:val="00F839C8"/>
    <w:rsid w:val="00F8443A"/>
    <w:rsid w:val="00F84578"/>
    <w:rsid w:val="00F84FA6"/>
    <w:rsid w:val="00F855F6"/>
    <w:rsid w:val="00F86040"/>
    <w:rsid w:val="00F86E61"/>
    <w:rsid w:val="00F879D6"/>
    <w:rsid w:val="00F923D1"/>
    <w:rsid w:val="00F92671"/>
    <w:rsid w:val="00F940A9"/>
    <w:rsid w:val="00F96591"/>
    <w:rsid w:val="00F96E4C"/>
    <w:rsid w:val="00F96EB9"/>
    <w:rsid w:val="00F97778"/>
    <w:rsid w:val="00F97B6E"/>
    <w:rsid w:val="00FA112E"/>
    <w:rsid w:val="00FB06DF"/>
    <w:rsid w:val="00FB0E5F"/>
    <w:rsid w:val="00FB50BA"/>
    <w:rsid w:val="00FB5D9E"/>
    <w:rsid w:val="00FB69B8"/>
    <w:rsid w:val="00FB6F31"/>
    <w:rsid w:val="00FB773E"/>
    <w:rsid w:val="00FC15F8"/>
    <w:rsid w:val="00FC1C9D"/>
    <w:rsid w:val="00FC4D46"/>
    <w:rsid w:val="00FC6B0C"/>
    <w:rsid w:val="00FD2C38"/>
    <w:rsid w:val="00FD2DBB"/>
    <w:rsid w:val="00FD474C"/>
    <w:rsid w:val="00FD5CD2"/>
    <w:rsid w:val="00FD755D"/>
    <w:rsid w:val="00FD7944"/>
    <w:rsid w:val="00FE0D70"/>
    <w:rsid w:val="00FE245F"/>
    <w:rsid w:val="00FE32AD"/>
    <w:rsid w:val="00FE35FD"/>
    <w:rsid w:val="00FE41A7"/>
    <w:rsid w:val="00FE4AD1"/>
    <w:rsid w:val="00FE53A5"/>
    <w:rsid w:val="00FE717D"/>
    <w:rsid w:val="00FE7194"/>
    <w:rsid w:val="00FE7330"/>
    <w:rsid w:val="00FF0331"/>
    <w:rsid w:val="00FF03E5"/>
    <w:rsid w:val="00FF2779"/>
    <w:rsid w:val="00FF2883"/>
    <w:rsid w:val="00FF340D"/>
    <w:rsid w:val="00FF3A72"/>
    <w:rsid w:val="00FF4CF7"/>
    <w:rsid w:val="00FF5F9C"/>
    <w:rsid w:val="00FF71C9"/>
    <w:rsid w:val="00FF73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FAD9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6B5"/>
  </w:style>
  <w:style w:type="paragraph" w:styleId="Heading1">
    <w:name w:val="heading 1"/>
    <w:basedOn w:val="Normal"/>
    <w:next w:val="Normal"/>
    <w:link w:val="Heading1Char"/>
    <w:uiPriority w:val="9"/>
    <w:qFormat/>
    <w:rsid w:val="00BD19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D3A0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8515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8515E"/>
    <w:rPr>
      <w:rFonts w:asciiTheme="majorHAnsi" w:eastAsiaTheme="majorEastAsia" w:hAnsiTheme="majorHAnsi" w:cstheme="majorBidi"/>
      <w:color w:val="1F3763" w:themeColor="accent1" w:themeShade="7F"/>
      <w:sz w:val="24"/>
      <w:szCs w:val="24"/>
    </w:rPr>
  </w:style>
  <w:style w:type="paragraph" w:styleId="ListParagraph">
    <w:name w:val="List Paragraph"/>
    <w:aliases w:val="List Paragraph1,List Paragraph11,Bullet1,L,CV text,Table text,F5 List Paragraph,Dot pt,List Paragraph111,Medium Grid 1 - Accent 21,Numbered Paragraph,List Paragraph2,Bulleted Para,NFP GP Bulleted List,FooterText,numbered,Inputs,DWA List 1"/>
    <w:basedOn w:val="Normal"/>
    <w:link w:val="ListParagraphChar"/>
    <w:uiPriority w:val="34"/>
    <w:qFormat/>
    <w:rsid w:val="0028515E"/>
    <w:pPr>
      <w:ind w:left="720"/>
      <w:contextualSpacing/>
    </w:pPr>
  </w:style>
  <w:style w:type="table" w:styleId="TableGrid">
    <w:name w:val="Table Grid"/>
    <w:basedOn w:val="TableNormal"/>
    <w:uiPriority w:val="39"/>
    <w:rsid w:val="00285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single space,Nbpage Moens,Fußnote,Footnote Text Char Char Char Char,Footnote Text Char Char,ft,fn,FOOTNOTES,Footnote Text Char1 Char,Footnote Text Char Char Char Char Char Char Char Char Char Char,(NECG) Footnote Text Char Char Char,f,A"/>
    <w:basedOn w:val="Normal"/>
    <w:link w:val="FootnoteTextChar"/>
    <w:uiPriority w:val="99"/>
    <w:unhideWhenUsed/>
    <w:qFormat/>
    <w:rsid w:val="009E161C"/>
    <w:pPr>
      <w:spacing w:after="0" w:line="240" w:lineRule="auto"/>
    </w:pPr>
    <w:rPr>
      <w:sz w:val="20"/>
      <w:szCs w:val="20"/>
    </w:rPr>
  </w:style>
  <w:style w:type="character" w:customStyle="1" w:styleId="FootnoteTextChar">
    <w:name w:val="Footnote Text Char"/>
    <w:aliases w:val="single space Char,Nbpage Moens Char,Fußnote Char,Footnote Text Char Char Char Char Char,Footnote Text Char Char Char,ft Char,fn Char,FOOTNOTES Char,Footnote Text Char1 Char Char,(NECG) Footnote Text Char Char Char Char,f Char,A Char"/>
    <w:basedOn w:val="DefaultParagraphFont"/>
    <w:link w:val="FootnoteText"/>
    <w:uiPriority w:val="99"/>
    <w:qFormat/>
    <w:rsid w:val="009E161C"/>
    <w:rPr>
      <w:sz w:val="20"/>
      <w:szCs w:val="20"/>
    </w:rPr>
  </w:style>
  <w:style w:type="character" w:styleId="FootnoteReference">
    <w:name w:val="footnote reference"/>
    <w:aliases w:val="ftref,16 Point,Superscript 6 Point,BVI fnr Char Char Char1 Char1 Char,BVI fnr Car Car Char Char Char1 Char1 Char,BVI fnr Car Char Char Char1 Char1 Char,BVI fnr Car Car Car Car Char Char1 Char1 Char1 Char,Char Char,Footnote,Ref,fr,FO"/>
    <w:basedOn w:val="DefaultParagraphFont"/>
    <w:link w:val="referencianotaalpieChar"/>
    <w:uiPriority w:val="99"/>
    <w:unhideWhenUsed/>
    <w:qFormat/>
    <w:rsid w:val="009E161C"/>
    <w:rPr>
      <w:vertAlign w:val="superscript"/>
    </w:rPr>
  </w:style>
  <w:style w:type="paragraph" w:customStyle="1" w:styleId="Default">
    <w:name w:val="Default"/>
    <w:rsid w:val="009E161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4D3A00"/>
    <w:rPr>
      <w:rFonts w:asciiTheme="majorHAnsi" w:eastAsiaTheme="majorEastAsia" w:hAnsiTheme="majorHAnsi" w:cstheme="majorBidi"/>
      <w:color w:val="2F5496" w:themeColor="accent1" w:themeShade="BF"/>
      <w:sz w:val="26"/>
      <w:szCs w:val="26"/>
    </w:rPr>
  </w:style>
  <w:style w:type="paragraph" w:customStyle="1" w:styleId="referencianotaalpieChar">
    <w:name w:val="referencia nota al pie Char"/>
    <w:aliases w:val="BVI fnr Car Car Car Car Char Char,BVI fnr Char Char Char Char,BVI fnr Car Car Char Char Char Char"/>
    <w:basedOn w:val="Normal"/>
    <w:link w:val="FootnoteReference"/>
    <w:uiPriority w:val="99"/>
    <w:rsid w:val="000C3546"/>
    <w:pPr>
      <w:spacing w:before="120" w:line="240" w:lineRule="exact"/>
      <w:jc w:val="both"/>
    </w:pPr>
    <w:rPr>
      <w:vertAlign w:val="superscript"/>
    </w:rPr>
  </w:style>
  <w:style w:type="character" w:styleId="Hyperlink">
    <w:name w:val="Hyperlink"/>
    <w:basedOn w:val="DefaultParagraphFont"/>
    <w:uiPriority w:val="99"/>
    <w:unhideWhenUsed/>
    <w:rsid w:val="00050C1C"/>
    <w:rPr>
      <w:color w:val="0563C1" w:themeColor="hyperlink"/>
      <w:u w:val="single"/>
    </w:rPr>
  </w:style>
  <w:style w:type="character" w:customStyle="1" w:styleId="UnresolvedMention1">
    <w:name w:val="Unresolved Mention1"/>
    <w:basedOn w:val="DefaultParagraphFont"/>
    <w:uiPriority w:val="99"/>
    <w:semiHidden/>
    <w:unhideWhenUsed/>
    <w:rsid w:val="00050C1C"/>
    <w:rPr>
      <w:color w:val="605E5C"/>
      <w:shd w:val="clear" w:color="auto" w:fill="E1DFDD"/>
    </w:rPr>
  </w:style>
  <w:style w:type="character" w:styleId="CommentReference">
    <w:name w:val="annotation reference"/>
    <w:basedOn w:val="DefaultParagraphFont"/>
    <w:uiPriority w:val="99"/>
    <w:semiHidden/>
    <w:unhideWhenUsed/>
    <w:rsid w:val="00A74DA2"/>
    <w:rPr>
      <w:sz w:val="16"/>
      <w:szCs w:val="16"/>
    </w:rPr>
  </w:style>
  <w:style w:type="paragraph" w:styleId="CommentText">
    <w:name w:val="annotation text"/>
    <w:basedOn w:val="Normal"/>
    <w:link w:val="CommentTextChar"/>
    <w:uiPriority w:val="99"/>
    <w:unhideWhenUsed/>
    <w:rsid w:val="00A74DA2"/>
    <w:pPr>
      <w:spacing w:line="240" w:lineRule="auto"/>
    </w:pPr>
    <w:rPr>
      <w:sz w:val="20"/>
      <w:szCs w:val="20"/>
    </w:rPr>
  </w:style>
  <w:style w:type="character" w:customStyle="1" w:styleId="CommentTextChar">
    <w:name w:val="Comment Text Char"/>
    <w:basedOn w:val="DefaultParagraphFont"/>
    <w:link w:val="CommentText"/>
    <w:uiPriority w:val="99"/>
    <w:rsid w:val="00A74DA2"/>
    <w:rPr>
      <w:sz w:val="20"/>
      <w:szCs w:val="20"/>
    </w:rPr>
  </w:style>
  <w:style w:type="character" w:customStyle="1" w:styleId="Heading1Char">
    <w:name w:val="Heading 1 Char"/>
    <w:basedOn w:val="DefaultParagraphFont"/>
    <w:link w:val="Heading1"/>
    <w:uiPriority w:val="9"/>
    <w:rsid w:val="00BD19AD"/>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EB12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12D6"/>
  </w:style>
  <w:style w:type="paragraph" w:styleId="Footer">
    <w:name w:val="footer"/>
    <w:aliases w:val="Footer2"/>
    <w:basedOn w:val="Normal"/>
    <w:link w:val="FooterChar"/>
    <w:uiPriority w:val="99"/>
    <w:unhideWhenUsed/>
    <w:rsid w:val="00EB12D6"/>
    <w:pPr>
      <w:tabs>
        <w:tab w:val="center" w:pos="4513"/>
        <w:tab w:val="right" w:pos="9026"/>
      </w:tabs>
      <w:spacing w:after="0" w:line="240" w:lineRule="auto"/>
    </w:pPr>
  </w:style>
  <w:style w:type="character" w:customStyle="1" w:styleId="FooterChar">
    <w:name w:val="Footer Char"/>
    <w:aliases w:val="Footer2 Char"/>
    <w:basedOn w:val="DefaultParagraphFont"/>
    <w:link w:val="Footer"/>
    <w:uiPriority w:val="99"/>
    <w:rsid w:val="00EB12D6"/>
  </w:style>
  <w:style w:type="character" w:customStyle="1" w:styleId="ListParagraphChar">
    <w:name w:val="List Paragraph Char"/>
    <w:aliases w:val="List Paragraph1 Char,List Paragraph11 Char,Bullet1 Char,L Char,CV text Char,Table text Char,F5 List Paragraph Char,Dot pt Char,List Paragraph111 Char,Medium Grid 1 - Accent 21 Char,Numbered Paragraph Char,List Paragraph2 Char"/>
    <w:basedOn w:val="DefaultParagraphFont"/>
    <w:link w:val="ListParagraph"/>
    <w:uiPriority w:val="34"/>
    <w:qFormat/>
    <w:locked/>
    <w:rsid w:val="00C73207"/>
  </w:style>
  <w:style w:type="paragraph" w:customStyle="1" w:styleId="gmail-m-4640253992850652765msolistparagraph">
    <w:name w:val="gmail-m_-4640253992850652765msolistparagraph"/>
    <w:basedOn w:val="Normal"/>
    <w:uiPriority w:val="99"/>
    <w:rsid w:val="00F96EB9"/>
    <w:pPr>
      <w:spacing w:before="100" w:beforeAutospacing="1" w:after="100" w:afterAutospacing="1" w:line="240" w:lineRule="auto"/>
    </w:pPr>
    <w:rPr>
      <w:rFonts w:ascii="Calibri" w:hAnsi="Calibri" w:cs="Calibri"/>
      <w:lang w:eastAsia="en-AU"/>
    </w:rPr>
  </w:style>
  <w:style w:type="paragraph" w:customStyle="1" w:styleId="BodyTextHanging">
    <w:name w:val="Body Text Hanging"/>
    <w:basedOn w:val="BodyText"/>
    <w:link w:val="BodyTextHangingChar"/>
    <w:qFormat/>
    <w:rsid w:val="007A41D7"/>
    <w:pPr>
      <w:suppressAutoHyphens/>
      <w:spacing w:line="240" w:lineRule="auto"/>
    </w:pPr>
    <w:rPr>
      <w:rFonts w:ascii="Calibri" w:hAnsi="Calibri"/>
      <w:color w:val="000000" w:themeColor="text1"/>
      <w:lang w:val="en-GB" w:eastAsia="en-AU"/>
    </w:rPr>
  </w:style>
  <w:style w:type="character" w:customStyle="1" w:styleId="BodyTextHangingChar">
    <w:name w:val="Body Text Hanging Char"/>
    <w:basedOn w:val="BodyTextChar"/>
    <w:link w:val="BodyTextHanging"/>
    <w:rsid w:val="007A41D7"/>
    <w:rPr>
      <w:rFonts w:ascii="Calibri" w:hAnsi="Calibri"/>
      <w:color w:val="000000" w:themeColor="text1"/>
      <w:lang w:val="en-GB" w:eastAsia="en-AU"/>
    </w:rPr>
  </w:style>
  <w:style w:type="paragraph" w:styleId="BodyText">
    <w:name w:val="Body Text"/>
    <w:basedOn w:val="Normal"/>
    <w:link w:val="BodyTextChar"/>
    <w:uiPriority w:val="99"/>
    <w:unhideWhenUsed/>
    <w:rsid w:val="007A41D7"/>
    <w:pPr>
      <w:spacing w:after="120"/>
    </w:pPr>
  </w:style>
  <w:style w:type="character" w:customStyle="1" w:styleId="BodyTextChar">
    <w:name w:val="Body Text Char"/>
    <w:basedOn w:val="DefaultParagraphFont"/>
    <w:link w:val="BodyText"/>
    <w:uiPriority w:val="99"/>
    <w:rsid w:val="007A41D7"/>
  </w:style>
  <w:style w:type="paragraph" w:styleId="BalloonText">
    <w:name w:val="Balloon Text"/>
    <w:basedOn w:val="Normal"/>
    <w:link w:val="BalloonTextChar"/>
    <w:uiPriority w:val="99"/>
    <w:semiHidden/>
    <w:unhideWhenUsed/>
    <w:rsid w:val="007573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3C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F20B1"/>
    <w:rPr>
      <w:b/>
      <w:bCs/>
    </w:rPr>
  </w:style>
  <w:style w:type="character" w:customStyle="1" w:styleId="CommentSubjectChar">
    <w:name w:val="Comment Subject Char"/>
    <w:basedOn w:val="CommentTextChar"/>
    <w:link w:val="CommentSubject"/>
    <w:uiPriority w:val="99"/>
    <w:semiHidden/>
    <w:rsid w:val="005F20B1"/>
    <w:rPr>
      <w:b/>
      <w:bCs/>
      <w:sz w:val="20"/>
      <w:szCs w:val="20"/>
    </w:rPr>
  </w:style>
  <w:style w:type="character" w:styleId="UnresolvedMention">
    <w:name w:val="Unresolved Mention"/>
    <w:basedOn w:val="DefaultParagraphFont"/>
    <w:uiPriority w:val="99"/>
    <w:semiHidden/>
    <w:unhideWhenUsed/>
    <w:rsid w:val="00BF3B4D"/>
    <w:rPr>
      <w:color w:val="605E5C"/>
      <w:shd w:val="clear" w:color="auto" w:fill="E1DFDD"/>
    </w:rPr>
  </w:style>
  <w:style w:type="paragraph" w:styleId="Revision">
    <w:name w:val="Revision"/>
    <w:hidden/>
    <w:uiPriority w:val="99"/>
    <w:semiHidden/>
    <w:rsid w:val="00BF3B4D"/>
    <w:pPr>
      <w:spacing w:after="0" w:line="240" w:lineRule="auto"/>
    </w:pPr>
  </w:style>
  <w:style w:type="paragraph" w:styleId="Title">
    <w:name w:val="Title"/>
    <w:basedOn w:val="Normal"/>
    <w:next w:val="Normal"/>
    <w:link w:val="TitleChar"/>
    <w:uiPriority w:val="10"/>
    <w:qFormat/>
    <w:rsid w:val="003604B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04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04B4"/>
    <w:pPr>
      <w:spacing w:line="256"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604B4"/>
    <w:rPr>
      <w:rFonts w:eastAsiaTheme="minorEastAsia"/>
      <w:color w:val="5A5A5A" w:themeColor="text1" w:themeTint="A5"/>
      <w:spacing w:val="15"/>
    </w:rPr>
  </w:style>
  <w:style w:type="paragraph" w:styleId="TOCHeading">
    <w:name w:val="TOC Heading"/>
    <w:basedOn w:val="Heading1"/>
    <w:next w:val="Normal"/>
    <w:uiPriority w:val="39"/>
    <w:unhideWhenUsed/>
    <w:qFormat/>
    <w:rsid w:val="003604B4"/>
    <w:pPr>
      <w:outlineLvl w:val="9"/>
    </w:pPr>
  </w:style>
  <w:style w:type="paragraph" w:styleId="TOC1">
    <w:name w:val="toc 1"/>
    <w:basedOn w:val="Normal"/>
    <w:next w:val="Normal"/>
    <w:autoRedefine/>
    <w:uiPriority w:val="39"/>
    <w:unhideWhenUsed/>
    <w:rsid w:val="00344562"/>
    <w:pPr>
      <w:tabs>
        <w:tab w:val="left" w:pos="440"/>
        <w:tab w:val="right" w:leader="dot" w:pos="9016"/>
      </w:tabs>
      <w:spacing w:after="0" w:line="240" w:lineRule="auto"/>
    </w:pPr>
    <w:rPr>
      <w:rFonts w:cstheme="minorHAnsi"/>
      <w:b/>
      <w:bCs/>
      <w:noProof/>
    </w:rPr>
  </w:style>
  <w:style w:type="paragraph" w:styleId="TOC2">
    <w:name w:val="toc 2"/>
    <w:basedOn w:val="Normal"/>
    <w:next w:val="Normal"/>
    <w:autoRedefine/>
    <w:uiPriority w:val="39"/>
    <w:unhideWhenUsed/>
    <w:rsid w:val="00344562"/>
    <w:pPr>
      <w:tabs>
        <w:tab w:val="left" w:pos="851"/>
        <w:tab w:val="right" w:leader="dot" w:pos="9016"/>
      </w:tabs>
      <w:spacing w:after="0" w:line="240" w:lineRule="auto"/>
      <w:ind w:left="851" w:hanging="851"/>
    </w:pPr>
  </w:style>
  <w:style w:type="paragraph" w:styleId="TOC3">
    <w:name w:val="toc 3"/>
    <w:basedOn w:val="Normal"/>
    <w:next w:val="Normal"/>
    <w:autoRedefine/>
    <w:uiPriority w:val="39"/>
    <w:unhideWhenUsed/>
    <w:rsid w:val="0008223D"/>
    <w:pPr>
      <w:tabs>
        <w:tab w:val="right" w:leader="dot" w:pos="9016"/>
      </w:tabs>
      <w:spacing w:after="0" w:line="240" w:lineRule="auto"/>
      <w:ind w:left="851" w:hanging="567"/>
    </w:pPr>
  </w:style>
  <w:style w:type="paragraph" w:styleId="Caption">
    <w:name w:val="caption"/>
    <w:basedOn w:val="Normal"/>
    <w:next w:val="Normal"/>
    <w:uiPriority w:val="35"/>
    <w:unhideWhenUsed/>
    <w:qFormat/>
    <w:rsid w:val="00D45EB6"/>
    <w:pPr>
      <w:spacing w:after="200" w:line="240" w:lineRule="auto"/>
    </w:pPr>
    <w:rPr>
      <w:rFonts w:eastAsiaTheme="minorEastAsia"/>
      <w:b/>
      <w:bCs/>
      <w:color w:val="4472C4" w:themeColor="accent1"/>
      <w:sz w:val="18"/>
      <w:szCs w:val="18"/>
      <w:lang w:eastAsia="en-GB"/>
    </w:rPr>
  </w:style>
  <w:style w:type="table" w:styleId="GridTable5Dark-Accent5">
    <w:name w:val="Grid Table 5 Dark Accent 5"/>
    <w:basedOn w:val="TableNormal"/>
    <w:uiPriority w:val="50"/>
    <w:rsid w:val="00D45EB6"/>
    <w:pPr>
      <w:spacing w:after="0" w:line="240" w:lineRule="auto"/>
    </w:pPr>
    <w:rPr>
      <w:rFonts w:eastAsiaTheme="minorEastAsia"/>
      <w:lang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customStyle="1" w:styleId="footnotenumberCharChar">
    <w:name w:val="footnote number Char Char"/>
    <w:aliases w:val="BVI fnr Char,BVI fnr Car Car Char,BVI fnr Car Char,BVI fnr Car Car Car Car Char Char Char,BVI fnr Car Car Car Car Char Char Char Char Char Char,BVI fnr Car Car Car Car Char Char Char1, BVI fnr Char, BVI fnr Car Car Char"/>
    <w:basedOn w:val="Normal"/>
    <w:next w:val="FootnoteText"/>
    <w:uiPriority w:val="99"/>
    <w:rsid w:val="00D45EB6"/>
    <w:pPr>
      <w:spacing w:line="240" w:lineRule="exact"/>
      <w:jc w:val="both"/>
    </w:pPr>
    <w:rPr>
      <w:rFonts w:eastAsiaTheme="minorEastAsia"/>
      <w:vertAlign w:val="superscript"/>
      <w:lang w:eastAsia="en-GB"/>
    </w:rPr>
  </w:style>
  <w:style w:type="character" w:styleId="PageNumber">
    <w:name w:val="page number"/>
    <w:basedOn w:val="DefaultParagraphFont"/>
    <w:uiPriority w:val="99"/>
    <w:semiHidden/>
    <w:unhideWhenUsed/>
    <w:rsid w:val="00D45EB6"/>
  </w:style>
  <w:style w:type="paragraph" w:styleId="NormalWeb">
    <w:name w:val="Normal (Web)"/>
    <w:basedOn w:val="Normal"/>
    <w:uiPriority w:val="99"/>
    <w:unhideWhenUsed/>
    <w:rsid w:val="00B9492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21C66"/>
    <w:rPr>
      <w:rFonts w:ascii="Calibri" w:hAnsi="Calibri" w:cs="Calibri" w:hint="default"/>
      <w:b w:val="0"/>
      <w:bCs w:val="0"/>
      <w:color w:val="44546A" w:themeColor="text2"/>
    </w:rPr>
  </w:style>
  <w:style w:type="paragraph" w:customStyle="1" w:styleId="Box1Text">
    <w:name w:val="Box 1 Text"/>
    <w:basedOn w:val="Normal"/>
    <w:qFormat/>
    <w:rsid w:val="00F21C66"/>
    <w:pPr>
      <w:pBdr>
        <w:top w:val="single" w:sz="4" w:space="6" w:color="4472C4" w:themeColor="accent1"/>
        <w:left w:val="single" w:sz="4" w:space="6" w:color="4472C4" w:themeColor="accent1"/>
        <w:bottom w:val="single" w:sz="4" w:space="6" w:color="4472C4" w:themeColor="accent1"/>
        <w:right w:val="single" w:sz="4" w:space="6" w:color="4472C4" w:themeColor="accent1"/>
      </w:pBdr>
      <w:shd w:val="clear" w:color="auto" w:fill="FFFFFF" w:themeFill="background1"/>
      <w:suppressAutoHyphens/>
      <w:spacing w:before="180" w:after="80" w:line="240" w:lineRule="atLeast"/>
      <w:ind w:left="1304" w:right="170" w:hanging="1134"/>
    </w:pPr>
    <w:rPr>
      <w:color w:val="44546A" w:themeColor="text2"/>
    </w:rPr>
  </w:style>
  <w:style w:type="paragraph" w:customStyle="1" w:styleId="ftrefCharCharChar">
    <w:name w:val="ftref Char Char Char"/>
    <w:aliases w:val="Footnote Reference_LVL6 Char Char Char,Char Char Char Char Car Char Char Char Char,BVI fnr Char Char Char Char Char,BVI fnr Car Car Char Char Char Char Char,fr Char Char,f1,BVI fnr Char Car1 Car Char"/>
    <w:basedOn w:val="Normal"/>
    <w:uiPriority w:val="99"/>
    <w:rsid w:val="00E7265B"/>
    <w:pPr>
      <w:spacing w:after="120" w:line="240" w:lineRule="exact"/>
      <w:jc w:val="both"/>
    </w:pPr>
    <w:rPr>
      <w:rFonts w:ascii="Calibri Light" w:hAnsi="Calibri Light"/>
      <w:color w:val="404040"/>
      <w:vertAlign w:val="superscript"/>
      <w:lang w:val="en-GB"/>
    </w:rPr>
  </w:style>
  <w:style w:type="numbering" w:customStyle="1" w:styleId="CurrentList1">
    <w:name w:val="Current List1"/>
    <w:uiPriority w:val="99"/>
    <w:rsid w:val="00FF2779"/>
    <w:pPr>
      <w:numPr>
        <w:numId w:val="13"/>
      </w:numPr>
    </w:pPr>
  </w:style>
  <w:style w:type="table" w:styleId="TableGridLight">
    <w:name w:val="Grid Table Light"/>
    <w:basedOn w:val="TableNormal"/>
    <w:uiPriority w:val="40"/>
    <w:rsid w:val="00D640A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00277">
      <w:bodyDiv w:val="1"/>
      <w:marLeft w:val="0"/>
      <w:marRight w:val="0"/>
      <w:marTop w:val="0"/>
      <w:marBottom w:val="0"/>
      <w:divBdr>
        <w:top w:val="none" w:sz="0" w:space="0" w:color="auto"/>
        <w:left w:val="none" w:sz="0" w:space="0" w:color="auto"/>
        <w:bottom w:val="none" w:sz="0" w:space="0" w:color="auto"/>
        <w:right w:val="none" w:sz="0" w:space="0" w:color="auto"/>
      </w:divBdr>
    </w:div>
    <w:div w:id="107047721">
      <w:bodyDiv w:val="1"/>
      <w:marLeft w:val="0"/>
      <w:marRight w:val="0"/>
      <w:marTop w:val="0"/>
      <w:marBottom w:val="0"/>
      <w:divBdr>
        <w:top w:val="none" w:sz="0" w:space="0" w:color="auto"/>
        <w:left w:val="none" w:sz="0" w:space="0" w:color="auto"/>
        <w:bottom w:val="none" w:sz="0" w:space="0" w:color="auto"/>
        <w:right w:val="none" w:sz="0" w:space="0" w:color="auto"/>
      </w:divBdr>
    </w:div>
    <w:div w:id="267155105">
      <w:bodyDiv w:val="1"/>
      <w:marLeft w:val="0"/>
      <w:marRight w:val="0"/>
      <w:marTop w:val="0"/>
      <w:marBottom w:val="0"/>
      <w:divBdr>
        <w:top w:val="none" w:sz="0" w:space="0" w:color="auto"/>
        <w:left w:val="none" w:sz="0" w:space="0" w:color="auto"/>
        <w:bottom w:val="none" w:sz="0" w:space="0" w:color="auto"/>
        <w:right w:val="none" w:sz="0" w:space="0" w:color="auto"/>
      </w:divBdr>
    </w:div>
    <w:div w:id="380448488">
      <w:bodyDiv w:val="1"/>
      <w:marLeft w:val="0"/>
      <w:marRight w:val="0"/>
      <w:marTop w:val="0"/>
      <w:marBottom w:val="0"/>
      <w:divBdr>
        <w:top w:val="none" w:sz="0" w:space="0" w:color="auto"/>
        <w:left w:val="none" w:sz="0" w:space="0" w:color="auto"/>
        <w:bottom w:val="none" w:sz="0" w:space="0" w:color="auto"/>
        <w:right w:val="none" w:sz="0" w:space="0" w:color="auto"/>
      </w:divBdr>
      <w:divsChild>
        <w:div w:id="1131554548">
          <w:marLeft w:val="562"/>
          <w:marRight w:val="0"/>
          <w:marTop w:val="0"/>
          <w:marBottom w:val="0"/>
          <w:divBdr>
            <w:top w:val="none" w:sz="0" w:space="0" w:color="auto"/>
            <w:left w:val="none" w:sz="0" w:space="0" w:color="auto"/>
            <w:bottom w:val="none" w:sz="0" w:space="0" w:color="auto"/>
            <w:right w:val="none" w:sz="0" w:space="0" w:color="auto"/>
          </w:divBdr>
        </w:div>
        <w:div w:id="778987502">
          <w:marLeft w:val="562"/>
          <w:marRight w:val="0"/>
          <w:marTop w:val="0"/>
          <w:marBottom w:val="0"/>
          <w:divBdr>
            <w:top w:val="none" w:sz="0" w:space="0" w:color="auto"/>
            <w:left w:val="none" w:sz="0" w:space="0" w:color="auto"/>
            <w:bottom w:val="none" w:sz="0" w:space="0" w:color="auto"/>
            <w:right w:val="none" w:sz="0" w:space="0" w:color="auto"/>
          </w:divBdr>
        </w:div>
        <w:div w:id="345526588">
          <w:marLeft w:val="562"/>
          <w:marRight w:val="0"/>
          <w:marTop w:val="0"/>
          <w:marBottom w:val="0"/>
          <w:divBdr>
            <w:top w:val="none" w:sz="0" w:space="0" w:color="auto"/>
            <w:left w:val="none" w:sz="0" w:space="0" w:color="auto"/>
            <w:bottom w:val="none" w:sz="0" w:space="0" w:color="auto"/>
            <w:right w:val="none" w:sz="0" w:space="0" w:color="auto"/>
          </w:divBdr>
        </w:div>
        <w:div w:id="1256788823">
          <w:marLeft w:val="562"/>
          <w:marRight w:val="0"/>
          <w:marTop w:val="0"/>
          <w:marBottom w:val="0"/>
          <w:divBdr>
            <w:top w:val="none" w:sz="0" w:space="0" w:color="auto"/>
            <w:left w:val="none" w:sz="0" w:space="0" w:color="auto"/>
            <w:bottom w:val="none" w:sz="0" w:space="0" w:color="auto"/>
            <w:right w:val="none" w:sz="0" w:space="0" w:color="auto"/>
          </w:divBdr>
        </w:div>
        <w:div w:id="1475097676">
          <w:marLeft w:val="562"/>
          <w:marRight w:val="0"/>
          <w:marTop w:val="0"/>
          <w:marBottom w:val="0"/>
          <w:divBdr>
            <w:top w:val="none" w:sz="0" w:space="0" w:color="auto"/>
            <w:left w:val="none" w:sz="0" w:space="0" w:color="auto"/>
            <w:bottom w:val="none" w:sz="0" w:space="0" w:color="auto"/>
            <w:right w:val="none" w:sz="0" w:space="0" w:color="auto"/>
          </w:divBdr>
        </w:div>
        <w:div w:id="895287487">
          <w:marLeft w:val="562"/>
          <w:marRight w:val="0"/>
          <w:marTop w:val="0"/>
          <w:marBottom w:val="0"/>
          <w:divBdr>
            <w:top w:val="none" w:sz="0" w:space="0" w:color="auto"/>
            <w:left w:val="none" w:sz="0" w:space="0" w:color="auto"/>
            <w:bottom w:val="none" w:sz="0" w:space="0" w:color="auto"/>
            <w:right w:val="none" w:sz="0" w:space="0" w:color="auto"/>
          </w:divBdr>
        </w:div>
        <w:div w:id="930747398">
          <w:marLeft w:val="562"/>
          <w:marRight w:val="0"/>
          <w:marTop w:val="0"/>
          <w:marBottom w:val="0"/>
          <w:divBdr>
            <w:top w:val="none" w:sz="0" w:space="0" w:color="auto"/>
            <w:left w:val="none" w:sz="0" w:space="0" w:color="auto"/>
            <w:bottom w:val="none" w:sz="0" w:space="0" w:color="auto"/>
            <w:right w:val="none" w:sz="0" w:space="0" w:color="auto"/>
          </w:divBdr>
        </w:div>
        <w:div w:id="37822230">
          <w:marLeft w:val="562"/>
          <w:marRight w:val="0"/>
          <w:marTop w:val="0"/>
          <w:marBottom w:val="0"/>
          <w:divBdr>
            <w:top w:val="none" w:sz="0" w:space="0" w:color="auto"/>
            <w:left w:val="none" w:sz="0" w:space="0" w:color="auto"/>
            <w:bottom w:val="none" w:sz="0" w:space="0" w:color="auto"/>
            <w:right w:val="none" w:sz="0" w:space="0" w:color="auto"/>
          </w:divBdr>
        </w:div>
      </w:divsChild>
    </w:div>
    <w:div w:id="494031790">
      <w:bodyDiv w:val="1"/>
      <w:marLeft w:val="0"/>
      <w:marRight w:val="0"/>
      <w:marTop w:val="0"/>
      <w:marBottom w:val="0"/>
      <w:divBdr>
        <w:top w:val="none" w:sz="0" w:space="0" w:color="auto"/>
        <w:left w:val="none" w:sz="0" w:space="0" w:color="auto"/>
        <w:bottom w:val="none" w:sz="0" w:space="0" w:color="auto"/>
        <w:right w:val="none" w:sz="0" w:space="0" w:color="auto"/>
      </w:divBdr>
    </w:div>
    <w:div w:id="537663953">
      <w:bodyDiv w:val="1"/>
      <w:marLeft w:val="0"/>
      <w:marRight w:val="0"/>
      <w:marTop w:val="0"/>
      <w:marBottom w:val="0"/>
      <w:divBdr>
        <w:top w:val="none" w:sz="0" w:space="0" w:color="auto"/>
        <w:left w:val="none" w:sz="0" w:space="0" w:color="auto"/>
        <w:bottom w:val="none" w:sz="0" w:space="0" w:color="auto"/>
        <w:right w:val="none" w:sz="0" w:space="0" w:color="auto"/>
      </w:divBdr>
    </w:div>
    <w:div w:id="592708001">
      <w:bodyDiv w:val="1"/>
      <w:marLeft w:val="0"/>
      <w:marRight w:val="0"/>
      <w:marTop w:val="0"/>
      <w:marBottom w:val="0"/>
      <w:divBdr>
        <w:top w:val="none" w:sz="0" w:space="0" w:color="auto"/>
        <w:left w:val="none" w:sz="0" w:space="0" w:color="auto"/>
        <w:bottom w:val="none" w:sz="0" w:space="0" w:color="auto"/>
        <w:right w:val="none" w:sz="0" w:space="0" w:color="auto"/>
      </w:divBdr>
    </w:div>
    <w:div w:id="726881594">
      <w:bodyDiv w:val="1"/>
      <w:marLeft w:val="0"/>
      <w:marRight w:val="0"/>
      <w:marTop w:val="0"/>
      <w:marBottom w:val="0"/>
      <w:divBdr>
        <w:top w:val="none" w:sz="0" w:space="0" w:color="auto"/>
        <w:left w:val="none" w:sz="0" w:space="0" w:color="auto"/>
        <w:bottom w:val="none" w:sz="0" w:space="0" w:color="auto"/>
        <w:right w:val="none" w:sz="0" w:space="0" w:color="auto"/>
      </w:divBdr>
    </w:div>
    <w:div w:id="736168114">
      <w:bodyDiv w:val="1"/>
      <w:marLeft w:val="0"/>
      <w:marRight w:val="0"/>
      <w:marTop w:val="0"/>
      <w:marBottom w:val="0"/>
      <w:divBdr>
        <w:top w:val="none" w:sz="0" w:space="0" w:color="auto"/>
        <w:left w:val="none" w:sz="0" w:space="0" w:color="auto"/>
        <w:bottom w:val="none" w:sz="0" w:space="0" w:color="auto"/>
        <w:right w:val="none" w:sz="0" w:space="0" w:color="auto"/>
      </w:divBdr>
    </w:div>
    <w:div w:id="750615942">
      <w:bodyDiv w:val="1"/>
      <w:marLeft w:val="0"/>
      <w:marRight w:val="0"/>
      <w:marTop w:val="0"/>
      <w:marBottom w:val="0"/>
      <w:divBdr>
        <w:top w:val="none" w:sz="0" w:space="0" w:color="auto"/>
        <w:left w:val="none" w:sz="0" w:space="0" w:color="auto"/>
        <w:bottom w:val="none" w:sz="0" w:space="0" w:color="auto"/>
        <w:right w:val="none" w:sz="0" w:space="0" w:color="auto"/>
      </w:divBdr>
    </w:div>
    <w:div w:id="750926348">
      <w:bodyDiv w:val="1"/>
      <w:marLeft w:val="0"/>
      <w:marRight w:val="0"/>
      <w:marTop w:val="0"/>
      <w:marBottom w:val="0"/>
      <w:divBdr>
        <w:top w:val="none" w:sz="0" w:space="0" w:color="auto"/>
        <w:left w:val="none" w:sz="0" w:space="0" w:color="auto"/>
        <w:bottom w:val="none" w:sz="0" w:space="0" w:color="auto"/>
        <w:right w:val="none" w:sz="0" w:space="0" w:color="auto"/>
      </w:divBdr>
    </w:div>
    <w:div w:id="763723484">
      <w:bodyDiv w:val="1"/>
      <w:marLeft w:val="0"/>
      <w:marRight w:val="0"/>
      <w:marTop w:val="0"/>
      <w:marBottom w:val="0"/>
      <w:divBdr>
        <w:top w:val="none" w:sz="0" w:space="0" w:color="auto"/>
        <w:left w:val="none" w:sz="0" w:space="0" w:color="auto"/>
        <w:bottom w:val="none" w:sz="0" w:space="0" w:color="auto"/>
        <w:right w:val="none" w:sz="0" w:space="0" w:color="auto"/>
      </w:divBdr>
    </w:div>
    <w:div w:id="969239063">
      <w:bodyDiv w:val="1"/>
      <w:marLeft w:val="0"/>
      <w:marRight w:val="0"/>
      <w:marTop w:val="0"/>
      <w:marBottom w:val="0"/>
      <w:divBdr>
        <w:top w:val="none" w:sz="0" w:space="0" w:color="auto"/>
        <w:left w:val="none" w:sz="0" w:space="0" w:color="auto"/>
        <w:bottom w:val="none" w:sz="0" w:space="0" w:color="auto"/>
        <w:right w:val="none" w:sz="0" w:space="0" w:color="auto"/>
      </w:divBdr>
    </w:div>
    <w:div w:id="1046951123">
      <w:bodyDiv w:val="1"/>
      <w:marLeft w:val="0"/>
      <w:marRight w:val="0"/>
      <w:marTop w:val="0"/>
      <w:marBottom w:val="0"/>
      <w:divBdr>
        <w:top w:val="none" w:sz="0" w:space="0" w:color="auto"/>
        <w:left w:val="none" w:sz="0" w:space="0" w:color="auto"/>
        <w:bottom w:val="none" w:sz="0" w:space="0" w:color="auto"/>
        <w:right w:val="none" w:sz="0" w:space="0" w:color="auto"/>
      </w:divBdr>
    </w:div>
    <w:div w:id="1063795470">
      <w:bodyDiv w:val="1"/>
      <w:marLeft w:val="0"/>
      <w:marRight w:val="0"/>
      <w:marTop w:val="0"/>
      <w:marBottom w:val="0"/>
      <w:divBdr>
        <w:top w:val="none" w:sz="0" w:space="0" w:color="auto"/>
        <w:left w:val="none" w:sz="0" w:space="0" w:color="auto"/>
        <w:bottom w:val="none" w:sz="0" w:space="0" w:color="auto"/>
        <w:right w:val="none" w:sz="0" w:space="0" w:color="auto"/>
      </w:divBdr>
    </w:div>
    <w:div w:id="1098137929">
      <w:bodyDiv w:val="1"/>
      <w:marLeft w:val="0"/>
      <w:marRight w:val="0"/>
      <w:marTop w:val="0"/>
      <w:marBottom w:val="0"/>
      <w:divBdr>
        <w:top w:val="none" w:sz="0" w:space="0" w:color="auto"/>
        <w:left w:val="none" w:sz="0" w:space="0" w:color="auto"/>
        <w:bottom w:val="none" w:sz="0" w:space="0" w:color="auto"/>
        <w:right w:val="none" w:sz="0" w:space="0" w:color="auto"/>
      </w:divBdr>
    </w:div>
    <w:div w:id="1107122697">
      <w:bodyDiv w:val="1"/>
      <w:marLeft w:val="0"/>
      <w:marRight w:val="0"/>
      <w:marTop w:val="0"/>
      <w:marBottom w:val="0"/>
      <w:divBdr>
        <w:top w:val="none" w:sz="0" w:space="0" w:color="auto"/>
        <w:left w:val="none" w:sz="0" w:space="0" w:color="auto"/>
        <w:bottom w:val="none" w:sz="0" w:space="0" w:color="auto"/>
        <w:right w:val="none" w:sz="0" w:space="0" w:color="auto"/>
      </w:divBdr>
    </w:div>
    <w:div w:id="1322008096">
      <w:bodyDiv w:val="1"/>
      <w:marLeft w:val="0"/>
      <w:marRight w:val="0"/>
      <w:marTop w:val="0"/>
      <w:marBottom w:val="0"/>
      <w:divBdr>
        <w:top w:val="none" w:sz="0" w:space="0" w:color="auto"/>
        <w:left w:val="none" w:sz="0" w:space="0" w:color="auto"/>
        <w:bottom w:val="none" w:sz="0" w:space="0" w:color="auto"/>
        <w:right w:val="none" w:sz="0" w:space="0" w:color="auto"/>
      </w:divBdr>
    </w:div>
    <w:div w:id="1528254282">
      <w:bodyDiv w:val="1"/>
      <w:marLeft w:val="0"/>
      <w:marRight w:val="0"/>
      <w:marTop w:val="0"/>
      <w:marBottom w:val="0"/>
      <w:divBdr>
        <w:top w:val="none" w:sz="0" w:space="0" w:color="auto"/>
        <w:left w:val="none" w:sz="0" w:space="0" w:color="auto"/>
        <w:bottom w:val="none" w:sz="0" w:space="0" w:color="auto"/>
        <w:right w:val="none" w:sz="0" w:space="0" w:color="auto"/>
      </w:divBdr>
    </w:div>
    <w:div w:id="1586916434">
      <w:bodyDiv w:val="1"/>
      <w:marLeft w:val="0"/>
      <w:marRight w:val="0"/>
      <w:marTop w:val="0"/>
      <w:marBottom w:val="0"/>
      <w:divBdr>
        <w:top w:val="none" w:sz="0" w:space="0" w:color="auto"/>
        <w:left w:val="none" w:sz="0" w:space="0" w:color="auto"/>
        <w:bottom w:val="none" w:sz="0" w:space="0" w:color="auto"/>
        <w:right w:val="none" w:sz="0" w:space="0" w:color="auto"/>
      </w:divBdr>
    </w:div>
    <w:div w:id="1612784946">
      <w:bodyDiv w:val="1"/>
      <w:marLeft w:val="0"/>
      <w:marRight w:val="0"/>
      <w:marTop w:val="0"/>
      <w:marBottom w:val="0"/>
      <w:divBdr>
        <w:top w:val="none" w:sz="0" w:space="0" w:color="auto"/>
        <w:left w:val="none" w:sz="0" w:space="0" w:color="auto"/>
        <w:bottom w:val="none" w:sz="0" w:space="0" w:color="auto"/>
        <w:right w:val="none" w:sz="0" w:space="0" w:color="auto"/>
      </w:divBdr>
    </w:div>
    <w:div w:id="1639602198">
      <w:bodyDiv w:val="1"/>
      <w:marLeft w:val="0"/>
      <w:marRight w:val="0"/>
      <w:marTop w:val="0"/>
      <w:marBottom w:val="0"/>
      <w:divBdr>
        <w:top w:val="none" w:sz="0" w:space="0" w:color="auto"/>
        <w:left w:val="none" w:sz="0" w:space="0" w:color="auto"/>
        <w:bottom w:val="none" w:sz="0" w:space="0" w:color="auto"/>
        <w:right w:val="none" w:sz="0" w:space="0" w:color="auto"/>
      </w:divBdr>
    </w:div>
    <w:div w:id="1778326819">
      <w:bodyDiv w:val="1"/>
      <w:marLeft w:val="0"/>
      <w:marRight w:val="0"/>
      <w:marTop w:val="0"/>
      <w:marBottom w:val="0"/>
      <w:divBdr>
        <w:top w:val="none" w:sz="0" w:space="0" w:color="auto"/>
        <w:left w:val="none" w:sz="0" w:space="0" w:color="auto"/>
        <w:bottom w:val="none" w:sz="0" w:space="0" w:color="auto"/>
        <w:right w:val="none" w:sz="0" w:space="0" w:color="auto"/>
      </w:divBdr>
    </w:div>
    <w:div w:id="1889611451">
      <w:bodyDiv w:val="1"/>
      <w:marLeft w:val="0"/>
      <w:marRight w:val="0"/>
      <w:marTop w:val="0"/>
      <w:marBottom w:val="0"/>
      <w:divBdr>
        <w:top w:val="none" w:sz="0" w:space="0" w:color="auto"/>
        <w:left w:val="none" w:sz="0" w:space="0" w:color="auto"/>
        <w:bottom w:val="none" w:sz="0" w:space="0" w:color="auto"/>
        <w:right w:val="none" w:sz="0" w:space="0" w:color="auto"/>
      </w:divBdr>
    </w:div>
    <w:div w:id="1937784851">
      <w:bodyDiv w:val="1"/>
      <w:marLeft w:val="0"/>
      <w:marRight w:val="0"/>
      <w:marTop w:val="0"/>
      <w:marBottom w:val="0"/>
      <w:divBdr>
        <w:top w:val="none" w:sz="0" w:space="0" w:color="auto"/>
        <w:left w:val="none" w:sz="0" w:space="0" w:color="auto"/>
        <w:bottom w:val="none" w:sz="0" w:space="0" w:color="auto"/>
        <w:right w:val="none" w:sz="0" w:space="0" w:color="auto"/>
      </w:divBdr>
    </w:div>
    <w:div w:id="2128238720">
      <w:bodyDiv w:val="1"/>
      <w:marLeft w:val="0"/>
      <w:marRight w:val="0"/>
      <w:marTop w:val="0"/>
      <w:marBottom w:val="0"/>
      <w:divBdr>
        <w:top w:val="none" w:sz="0" w:space="0" w:color="auto"/>
        <w:left w:val="none" w:sz="0" w:space="0" w:color="auto"/>
        <w:bottom w:val="none" w:sz="0" w:space="0" w:color="auto"/>
        <w:right w:val="none" w:sz="0" w:space="0" w:color="auto"/>
      </w:divBdr>
    </w:div>
    <w:div w:id="2139256023">
      <w:bodyDiv w:val="1"/>
      <w:marLeft w:val="0"/>
      <w:marRight w:val="0"/>
      <w:marTop w:val="0"/>
      <w:marBottom w:val="0"/>
      <w:divBdr>
        <w:top w:val="none" w:sz="0" w:space="0" w:color="auto"/>
        <w:left w:val="none" w:sz="0" w:space="0" w:color="auto"/>
        <w:bottom w:val="none" w:sz="0" w:space="0" w:color="auto"/>
        <w:right w:val="none" w:sz="0" w:space="0" w:color="auto"/>
      </w:divBdr>
    </w:div>
    <w:div w:id="214534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en.wikipedia.org/wiki/Mainline_Protestant" TargetMode="External"/><Relationship Id="rId1" Type="http://schemas.openxmlformats.org/officeDocument/2006/relationships/hyperlink" Target="https://www.dfat.gov.au/geo/papua-new-guinea/papua-new-guinea-australia-comprehensive-strategic-and-economic-partn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73873-F56F-40A4-8E31-BE6F61008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20960</Words>
  <Characters>121920</Characters>
  <Application>Microsoft Office Word</Application>
  <DocSecurity>4</DocSecurity>
  <Lines>2212</Lines>
  <Paragraphs>849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2022-10-12T05:02:00Z</dcterms:created>
  <dcterms:modified xsi:type="dcterms:W3CDTF">2022-10-12T05:02:00Z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899E4EA469A04FB023F4432B63374BB33589BF8A</vt:lpwstr>
  </property>
  <property fmtid="{D5CDD505-2E9C-101B-9397-08002B2CF9AE}" pid="9" name="PM_Originating_FileId">
    <vt:lpwstr>647D2F466A214328866D3582D34CE346</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2022-10-12T05:01:54Z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3EDAD5A83C8E7FDBE171C412BB2BCEF0</vt:lpwstr>
  </property>
  <property fmtid="{D5CDD505-2E9C-101B-9397-08002B2CF9AE}" pid="20" name="PM_Hash_Salt">
    <vt:lpwstr>D082CFFF4C60402110B9FF50C884F4A7</vt:lpwstr>
  </property>
  <property fmtid="{D5CDD505-2E9C-101B-9397-08002B2CF9AE}" pid="21" name="PM_Hash_SHA1">
    <vt:lpwstr>9BF50C93F241D2C20E0DE9322BE35E53BE6D227A</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Uuid">
    <vt:lpwstr>ABBFF5E2-9674-55C9-B08D-C9980002FD58</vt:lpwstr>
  </property>
  <property fmtid="{D5CDD505-2E9C-101B-9397-08002B2CF9AE}" pid="26" name="PMUuidVer">
    <vt:lpwstr>2022.1</vt:lpwstr>
  </property>
  <property fmtid="{D5CDD505-2E9C-101B-9397-08002B2CF9AE}" pid="27" name="PM_OriginatorUserAccountName_SHA256">
    <vt:lpwstr>290C9CFCFE70E139C4500567FB5830ACF9049F26A1998DDACA65669D45D5D2AD</vt:lpwstr>
  </property>
  <property fmtid="{D5CDD505-2E9C-101B-9397-08002B2CF9AE}" pid="28" name="PM_OriginatorDomainName_SHA256">
    <vt:lpwstr>6F3591835F3B2A8A025B00B5BA6418010DA3A17C9C26EA9C049FFD28039489A2</vt:lpwstr>
  </property>
</Properties>
</file>