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C1235" w14:textId="20E20E37" w:rsidR="00FA5EFD" w:rsidRDefault="00B50A35" w:rsidP="001F7F21">
      <w:pPr>
        <w:pStyle w:val="Heading1"/>
      </w:pPr>
      <w:r w:rsidRPr="00942B53">
        <w:rPr>
          <w:caps w:val="0"/>
        </w:rPr>
        <w:t>VANUATU COVID-19 DEVELOPMENT RESPONSE PLAN</w:t>
      </w:r>
      <w:r>
        <w:rPr>
          <w:caps w:val="0"/>
        </w:rPr>
        <w:t xml:space="preserve"> </w:t>
      </w:r>
    </w:p>
    <w:p w14:paraId="6D67178E" w14:textId="77777777" w:rsidR="00BC2206" w:rsidRDefault="00BC2206" w:rsidP="00BC2206"/>
    <w:p w14:paraId="0F89F9BE" w14:textId="77777777" w:rsidR="0084699F" w:rsidRPr="00942B53" w:rsidRDefault="0084699F" w:rsidP="0084699F">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40" w:lineRule="auto"/>
        <w:jc w:val="both"/>
      </w:pPr>
      <w:r w:rsidRPr="00942B53">
        <w:t xml:space="preserve">Australia is working closely with Vanuatu to implement Vanuatu’s COVID-19 and Tropical Cyclone (TC) Harold response strategy, </w:t>
      </w:r>
      <w:r w:rsidRPr="00942B53">
        <w:rPr>
          <w:i/>
        </w:rPr>
        <w:t>Vanuatu Recovery Strategy 2020 – 2023,</w:t>
      </w:r>
      <w:r w:rsidRPr="00942B53">
        <w:t xml:space="preserve"> </w:t>
      </w:r>
      <w:r w:rsidRPr="00942B53">
        <w:rPr>
          <w:i/>
        </w:rPr>
        <w:t xml:space="preserve">Yumi </w:t>
      </w:r>
      <w:proofErr w:type="spellStart"/>
      <w:r w:rsidRPr="00942B53">
        <w:rPr>
          <w:i/>
        </w:rPr>
        <w:t>Evriwan</w:t>
      </w:r>
      <w:proofErr w:type="spellEnd"/>
      <w:r w:rsidRPr="00942B53">
        <w:rPr>
          <w:i/>
        </w:rPr>
        <w:t xml:space="preserve"> </w:t>
      </w:r>
      <w:proofErr w:type="spellStart"/>
      <w:r w:rsidRPr="00942B53">
        <w:rPr>
          <w:i/>
        </w:rPr>
        <w:t>Tugeta</w:t>
      </w:r>
      <w:proofErr w:type="spellEnd"/>
      <w:r w:rsidRPr="00942B53">
        <w:rPr>
          <w:i/>
        </w:rPr>
        <w:t xml:space="preserve"> (July 2020)</w:t>
      </w:r>
      <w:r w:rsidRPr="00942B53">
        <w:t xml:space="preserve"> and </w:t>
      </w:r>
      <w:r w:rsidRPr="00942B53">
        <w:rPr>
          <w:i/>
        </w:rPr>
        <w:t>Vanuatu’s National Sustainable Development Plan 2016 – 2030</w:t>
      </w:r>
      <w:r w:rsidRPr="00942B53">
        <w:t xml:space="preserve">. </w:t>
      </w:r>
    </w:p>
    <w:p w14:paraId="3B3EB92D" w14:textId="77777777" w:rsidR="0084699F" w:rsidRPr="00942B53" w:rsidRDefault="0084699F" w:rsidP="0084699F">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40" w:lineRule="auto"/>
        <w:jc w:val="both"/>
      </w:pPr>
      <w:r w:rsidRPr="00942B53">
        <w:t xml:space="preserve">Vanuatu responded early to COVID-19 and has not recorded any cases. </w:t>
      </w:r>
      <w:r>
        <w:t>The g</w:t>
      </w:r>
      <w:r w:rsidRPr="00942B53">
        <w:t xml:space="preserve">lobal economic lockdown has severely impacted Vanuatu’s economy, which relies heavily on tourism, imports and remittances. </w:t>
      </w:r>
    </w:p>
    <w:p w14:paraId="7052D44D" w14:textId="77777777" w:rsidR="0084699F" w:rsidRPr="00942B53" w:rsidRDefault="0084699F" w:rsidP="0084699F">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40" w:lineRule="auto"/>
        <w:jc w:val="both"/>
      </w:pPr>
      <w:r w:rsidRPr="00942B53">
        <w:t xml:space="preserve">Australia is supporting health, education and skills, justice and policing programs, as well as key infrastructure projects to help drive economic recovery. </w:t>
      </w:r>
    </w:p>
    <w:p w14:paraId="1B456340" w14:textId="77777777" w:rsidR="0084699F" w:rsidRDefault="0084699F" w:rsidP="00BC2206"/>
    <w:p w14:paraId="6E72FF8E" w14:textId="34A78FD3" w:rsidR="0084699F" w:rsidRPr="00BC2206" w:rsidRDefault="0084699F" w:rsidP="00BC2206">
      <w:pPr>
        <w:sectPr w:rsidR="0084699F" w:rsidRPr="00BC2206" w:rsidSect="001F7F21">
          <w:headerReference w:type="even" r:id="rId8"/>
          <w:headerReference w:type="default" r:id="rId9"/>
          <w:footerReference w:type="even" r:id="rId10"/>
          <w:footerReference w:type="default" r:id="rId11"/>
          <w:headerReference w:type="first" r:id="rId12"/>
          <w:footerReference w:type="first" r:id="rId13"/>
          <w:pgSz w:w="11906" w:h="16838" w:code="9"/>
          <w:pgMar w:top="2977" w:right="680" w:bottom="1418" w:left="680" w:header="426" w:footer="567" w:gutter="0"/>
          <w:cols w:space="397"/>
          <w:titlePg/>
          <w:docGrid w:linePitch="360"/>
        </w:sectPr>
      </w:pPr>
    </w:p>
    <w:p w14:paraId="7B2D0CAA" w14:textId="1D329285" w:rsidR="006215C1" w:rsidRPr="00942B53" w:rsidRDefault="0051476F" w:rsidP="00776636">
      <w:pPr>
        <w:widowControl w:val="0"/>
        <w:spacing w:before="60" w:after="120" w:line="260" w:lineRule="exact"/>
      </w:pPr>
      <w:r w:rsidRPr="00942B53">
        <w:t>Australia</w:t>
      </w:r>
      <w:r w:rsidR="00C347E1" w:rsidRPr="00942B53">
        <w:t xml:space="preserve"> and Vanuatu are close partners, with Australia being</w:t>
      </w:r>
      <w:r w:rsidR="00E766EF" w:rsidRPr="00942B53">
        <w:t xml:space="preserve"> </w:t>
      </w:r>
      <w:r w:rsidR="0098437D" w:rsidRPr="00942B53">
        <w:t xml:space="preserve">the largest provider </w:t>
      </w:r>
      <w:r w:rsidR="00AB2660">
        <w:t xml:space="preserve">of </w:t>
      </w:r>
      <w:r w:rsidRPr="00942B53">
        <w:t>development and humanitarian assistance</w:t>
      </w:r>
      <w:r w:rsidR="00AB2660">
        <w:t xml:space="preserve">, and </w:t>
      </w:r>
      <w:r w:rsidR="00AB2660" w:rsidRPr="00942B53">
        <w:t>foreign direct investment</w:t>
      </w:r>
      <w:r w:rsidR="00786709" w:rsidRPr="00942B53">
        <w:t>. W</w:t>
      </w:r>
      <w:r w:rsidR="00E766EF" w:rsidRPr="00942B53">
        <w:t xml:space="preserve">e </w:t>
      </w:r>
      <w:r w:rsidR="00786BE8" w:rsidRPr="00942B53">
        <w:t>have a strong and enduring bilateral relationship</w:t>
      </w:r>
      <w:r w:rsidR="001F2AF5">
        <w:t xml:space="preserve"> with Vanuatu</w:t>
      </w:r>
      <w:r w:rsidR="00786BE8" w:rsidRPr="00942B53">
        <w:t xml:space="preserve"> </w:t>
      </w:r>
      <w:r w:rsidR="008D3327">
        <w:t>and</w:t>
      </w:r>
      <w:r w:rsidR="001F2AF5">
        <w:t xml:space="preserve"> are committed to helping Vanuatu recover from the broad impacts of COVID-19</w:t>
      </w:r>
      <w:r w:rsidR="002C37B5" w:rsidRPr="00942B53">
        <w:t xml:space="preserve"> and build resilience in the face of ongoing natural disasters.</w:t>
      </w:r>
      <w:r w:rsidR="00786709" w:rsidRPr="00942B53">
        <w:t xml:space="preserve"> Australia supports investments in </w:t>
      </w:r>
      <w:r w:rsidRPr="00942B53">
        <w:t xml:space="preserve">economic growth, </w:t>
      </w:r>
      <w:r w:rsidR="00FB391D" w:rsidRPr="00942B53">
        <w:t>health, education</w:t>
      </w:r>
      <w:r w:rsidR="00CC0221" w:rsidRPr="00942B53">
        <w:t xml:space="preserve">, </w:t>
      </w:r>
      <w:r w:rsidR="00786BE8" w:rsidRPr="00942B53">
        <w:t>policing, justice</w:t>
      </w:r>
      <w:r w:rsidRPr="00942B53">
        <w:t xml:space="preserve"> and security. Investing in women’s economic empowerment and leadership, eliminati</w:t>
      </w:r>
      <w:r w:rsidR="0098437D" w:rsidRPr="00942B53">
        <w:t>ng</w:t>
      </w:r>
      <w:r w:rsidRPr="00942B53">
        <w:t xml:space="preserve"> violence against women </w:t>
      </w:r>
      <w:r w:rsidR="0098437D" w:rsidRPr="00942B53">
        <w:t xml:space="preserve">and disability inclusion </w:t>
      </w:r>
      <w:r w:rsidRPr="00942B53">
        <w:t xml:space="preserve">are key </w:t>
      </w:r>
      <w:r w:rsidR="00A17680" w:rsidRPr="00942B53">
        <w:t xml:space="preserve">mutual </w:t>
      </w:r>
      <w:r w:rsidR="00786BE8" w:rsidRPr="00942B53">
        <w:t>commitments</w:t>
      </w:r>
      <w:r w:rsidRPr="00942B53">
        <w:t>.</w:t>
      </w:r>
      <w:r w:rsidR="00A00D38" w:rsidRPr="00942B53">
        <w:t xml:space="preserve"> Australia’s </w:t>
      </w:r>
      <w:r w:rsidR="00786709" w:rsidRPr="00942B53">
        <w:t>support</w:t>
      </w:r>
      <w:r w:rsidR="00A00D38" w:rsidRPr="00942B53">
        <w:t xml:space="preserve"> is aligned with</w:t>
      </w:r>
      <w:r w:rsidR="00276557" w:rsidRPr="00942B53">
        <w:t xml:space="preserve"> the</w:t>
      </w:r>
      <w:r w:rsidR="00A00D38" w:rsidRPr="00942B53">
        <w:t xml:space="preserve"> </w:t>
      </w:r>
      <w:r w:rsidR="00A00D38" w:rsidRPr="00942B53">
        <w:rPr>
          <w:i/>
        </w:rPr>
        <w:t xml:space="preserve">Vanuatu </w:t>
      </w:r>
      <w:r w:rsidR="0098437D" w:rsidRPr="00942B53">
        <w:rPr>
          <w:i/>
        </w:rPr>
        <w:t>R</w:t>
      </w:r>
      <w:r w:rsidR="00786709" w:rsidRPr="00942B53">
        <w:rPr>
          <w:i/>
        </w:rPr>
        <w:t>e</w:t>
      </w:r>
      <w:r w:rsidR="00786BE8" w:rsidRPr="00942B53">
        <w:rPr>
          <w:i/>
        </w:rPr>
        <w:t>covery</w:t>
      </w:r>
      <w:r w:rsidR="00786709" w:rsidRPr="00942B53">
        <w:rPr>
          <w:i/>
        </w:rPr>
        <w:t xml:space="preserve"> </w:t>
      </w:r>
      <w:r w:rsidR="0098437D" w:rsidRPr="00942B53">
        <w:rPr>
          <w:i/>
        </w:rPr>
        <w:t>S</w:t>
      </w:r>
      <w:r w:rsidR="00C64565" w:rsidRPr="00942B53">
        <w:rPr>
          <w:i/>
        </w:rPr>
        <w:t>trategy</w:t>
      </w:r>
      <w:r w:rsidR="00276557" w:rsidRPr="00942B53">
        <w:rPr>
          <w:i/>
        </w:rPr>
        <w:t xml:space="preserve"> 2020 – 2023</w:t>
      </w:r>
      <w:r w:rsidR="00786709" w:rsidRPr="00942B53">
        <w:t xml:space="preserve"> and</w:t>
      </w:r>
      <w:r w:rsidR="003D6A8A" w:rsidRPr="00942B53">
        <w:t xml:space="preserve"> Vanuatu’s</w:t>
      </w:r>
      <w:r w:rsidR="00786709" w:rsidRPr="00942B53">
        <w:t xml:space="preserve"> </w:t>
      </w:r>
      <w:r w:rsidR="00BE23FE" w:rsidRPr="00942B53">
        <w:rPr>
          <w:i/>
        </w:rPr>
        <w:t xml:space="preserve">National Sustainable Development </w:t>
      </w:r>
      <w:r w:rsidR="00A00D38" w:rsidRPr="00942B53">
        <w:rPr>
          <w:i/>
        </w:rPr>
        <w:t>Plan</w:t>
      </w:r>
      <w:r w:rsidR="003D6A8A" w:rsidRPr="00942B53">
        <w:rPr>
          <w:i/>
        </w:rPr>
        <w:t xml:space="preserve"> 2016 – 2</w:t>
      </w:r>
      <w:r w:rsidR="00A00D38" w:rsidRPr="00942B53">
        <w:rPr>
          <w:i/>
        </w:rPr>
        <w:t>030</w:t>
      </w:r>
      <w:r w:rsidR="00A00D38" w:rsidRPr="00942B53">
        <w:t xml:space="preserve"> </w:t>
      </w:r>
      <w:r w:rsidR="0098437D" w:rsidRPr="00942B53">
        <w:t xml:space="preserve">and </w:t>
      </w:r>
      <w:r w:rsidR="001F2AF5">
        <w:t>helps</w:t>
      </w:r>
      <w:r w:rsidR="001F2AF5" w:rsidRPr="00942B53">
        <w:t xml:space="preserve"> </w:t>
      </w:r>
      <w:r w:rsidR="00A00D38" w:rsidRPr="00942B53">
        <w:t xml:space="preserve">Vanuatu </w:t>
      </w:r>
      <w:r w:rsidR="00786BE8" w:rsidRPr="00942B53">
        <w:t>to</w:t>
      </w:r>
      <w:r w:rsidR="00A00D38" w:rsidRPr="00942B53">
        <w:t xml:space="preserve"> continue to play a key role as a regional partner and active member of the Pacific community. </w:t>
      </w:r>
    </w:p>
    <w:p w14:paraId="0957F7B9" w14:textId="77777777" w:rsidR="00166032" w:rsidRPr="00942B53" w:rsidRDefault="00166032" w:rsidP="001F7F21">
      <w:pPr>
        <w:pStyle w:val="Heading2"/>
      </w:pPr>
      <w:r w:rsidRPr="00942B53">
        <w:t>COVID-19 Situation Analysis</w:t>
      </w:r>
      <w:r w:rsidRPr="00942B53">
        <w:tab/>
      </w:r>
    </w:p>
    <w:p w14:paraId="2B4ACA6D" w14:textId="7D7AE70B" w:rsidR="00A00D38" w:rsidRPr="00942B53" w:rsidRDefault="00A00D38" w:rsidP="00776636">
      <w:pPr>
        <w:widowControl w:val="0"/>
        <w:spacing w:before="60" w:after="120" w:line="260" w:lineRule="exact"/>
      </w:pPr>
      <w:r w:rsidRPr="00942B53">
        <w:t xml:space="preserve">The impacts of COVID-19 in Vanuatu are significant. A halt in tourism revenues, reduced remittances and rising unemployment has weakened Vanuatu’s growth and undermined development gains. Impacts are compounded by Tropical Cyclone (TC) Harold - a Category 5 storm that struck Vanuatu in April 2020. </w:t>
      </w:r>
      <w:r w:rsidR="0033172A" w:rsidRPr="00942B53">
        <w:t xml:space="preserve">According to Vanuatu Government assessments, </w:t>
      </w:r>
      <w:r w:rsidRPr="00942B53">
        <w:t>TC</w:t>
      </w:r>
      <w:r w:rsidR="0033172A" w:rsidRPr="00942B53">
        <w:t> </w:t>
      </w:r>
      <w:r w:rsidRPr="00942B53">
        <w:t>Harold affected over 130,000 people</w:t>
      </w:r>
      <w:r w:rsidR="0033172A" w:rsidRPr="00942B53">
        <w:t xml:space="preserve"> (approximately 43 per cent</w:t>
      </w:r>
      <w:r w:rsidRPr="00942B53">
        <w:t xml:space="preserve"> of the population) and damaged homes, schools, medical facilities and crops, seriously impeding access to essential services and compromising food security for many ni-Vanuatu.</w:t>
      </w:r>
      <w:r w:rsidR="0033172A" w:rsidRPr="00942B53">
        <w:t xml:space="preserve"> The </w:t>
      </w:r>
      <w:r w:rsidRPr="00942B53">
        <w:t xml:space="preserve">Vanuatu Government </w:t>
      </w:r>
      <w:r w:rsidR="00A17680" w:rsidRPr="00942B53">
        <w:t>estimates</w:t>
      </w:r>
      <w:r w:rsidRPr="00942B53">
        <w:t xml:space="preserve"> the combined economic cost of COVID-19 and TC Harold at VUV6</w:t>
      </w:r>
      <w:r w:rsidR="005A511C" w:rsidRPr="00942B53">
        <w:t>8</w:t>
      </w:r>
      <w:r w:rsidRPr="00942B53">
        <w:t>.1 billion (</w:t>
      </w:r>
      <w:r w:rsidR="0033172A" w:rsidRPr="00942B53">
        <w:t>$</w:t>
      </w:r>
      <w:r w:rsidR="005A511C" w:rsidRPr="00942B53">
        <w:t>850</w:t>
      </w:r>
      <w:r w:rsidRPr="00942B53">
        <w:t xml:space="preserve"> million). These dual crises sit within the broader context of Vanuatu’s long-</w:t>
      </w:r>
      <w:r w:rsidRPr="00942B53">
        <w:t xml:space="preserve">term development challenges – distance from major markets, climate change and disaster vulnerability, </w:t>
      </w:r>
      <w:r w:rsidR="005D0A91" w:rsidRPr="00942B53">
        <w:t xml:space="preserve">a </w:t>
      </w:r>
      <w:r w:rsidR="00C22A4C">
        <w:br/>
      </w:r>
      <w:r w:rsidRPr="00942B53">
        <w:t xml:space="preserve">small formal labour market, limited economic diversification and </w:t>
      </w:r>
      <w:r w:rsidR="001F2AF5" w:rsidRPr="00942B53">
        <w:t>lower</w:t>
      </w:r>
      <w:r w:rsidR="001F2AF5">
        <w:t>-</w:t>
      </w:r>
      <w:r w:rsidR="001F2AF5" w:rsidRPr="00942B53">
        <w:t>than</w:t>
      </w:r>
      <w:r w:rsidR="001F2AF5">
        <w:t>-</w:t>
      </w:r>
      <w:r w:rsidRPr="00942B53">
        <w:t>average Human Capital Index ratings for the Pacific.</w:t>
      </w:r>
    </w:p>
    <w:p w14:paraId="2ED0E585" w14:textId="643416AB" w:rsidR="00A00D38" w:rsidRPr="00942B53" w:rsidRDefault="00A00D38" w:rsidP="00776636">
      <w:pPr>
        <w:widowControl w:val="0"/>
        <w:spacing w:before="60" w:after="120" w:line="260" w:lineRule="exact"/>
      </w:pPr>
      <w:r w:rsidRPr="00942B53">
        <w:t>The Vanuatu Government entered the COVID-19 crisis with positive fiscal flexibility, on the back of national fiscal surpluses in 2018 and 2019 averaging an estimated 7.2</w:t>
      </w:r>
      <w:r w:rsidR="0033172A" w:rsidRPr="00942B53">
        <w:t xml:space="preserve"> per cent </w:t>
      </w:r>
      <w:r w:rsidRPr="00942B53">
        <w:t xml:space="preserve">of GDP. Its initial stimulus package - supplemented with Australian budget support - was implemented without drawing on loans. </w:t>
      </w:r>
    </w:p>
    <w:p w14:paraId="1F01E501" w14:textId="39C82F58" w:rsidR="00A00D38" w:rsidRPr="00942B53" w:rsidRDefault="0033172A" w:rsidP="00776636">
      <w:pPr>
        <w:widowControl w:val="0"/>
        <w:spacing w:before="60" w:after="120" w:line="260" w:lineRule="exact"/>
      </w:pPr>
      <w:r w:rsidRPr="00942B53">
        <w:t>According to ADB assessments, h</w:t>
      </w:r>
      <w:r w:rsidR="00A00D38" w:rsidRPr="00942B53">
        <w:t>igher government spending on COVID-19 prevention and stimulus measures, combined with falling revenue from tourism and taxation, is expected to push the fisca</w:t>
      </w:r>
      <w:r w:rsidR="008D3327">
        <w:t>l balance into a deficit of -8</w:t>
      </w:r>
      <w:r w:rsidRPr="00942B53">
        <w:t> per cent</w:t>
      </w:r>
      <w:r w:rsidR="00A00D38" w:rsidRPr="00942B53">
        <w:t xml:space="preserve"> of GDP in 2020. Fiscal pressures could also negatively impact public debt, equivalent to 44.8</w:t>
      </w:r>
      <w:r w:rsidRPr="00942B53">
        <w:t> per cent</w:t>
      </w:r>
      <w:r w:rsidR="00A00D38" w:rsidRPr="00942B53">
        <w:t xml:space="preserve"> of GDP in 2019, with Vanuatu asses</w:t>
      </w:r>
      <w:r w:rsidR="002D7444">
        <w:t>sed by the World Bank in 2019</w:t>
      </w:r>
      <w:r w:rsidR="00A00D38" w:rsidRPr="00942B53">
        <w:t xml:space="preserve"> at moderate risk of debt distress with limited space to absorb shocks. While Vanuatu’s key development partners provided grant assistance totalling approximately </w:t>
      </w:r>
      <w:r w:rsidRPr="00942B53">
        <w:t>$</w:t>
      </w:r>
      <w:r w:rsidR="00A00D38" w:rsidRPr="00942B53">
        <w:t>91.5 million</w:t>
      </w:r>
      <w:r w:rsidRPr="00942B53">
        <w:t xml:space="preserve"> (the World Bank, ADB, Australia, EU, UK and NZ)</w:t>
      </w:r>
      <w:r w:rsidR="00A00D38" w:rsidRPr="00942B53">
        <w:t xml:space="preserve"> for immediate COVID-19 response efforts, it is likely further external stimulus will be required to fund future recurrent budget and stimulus packages, including in the form of budget support. </w:t>
      </w:r>
    </w:p>
    <w:p w14:paraId="26BB07FE" w14:textId="386DCA6E" w:rsidR="00A00D38" w:rsidRPr="00942B53" w:rsidRDefault="00A00D38" w:rsidP="00776636">
      <w:pPr>
        <w:widowControl w:val="0"/>
        <w:spacing w:before="60" w:after="120" w:line="260" w:lineRule="exact"/>
      </w:pPr>
      <w:r w:rsidRPr="00942B53">
        <w:t xml:space="preserve">Swift border closures and </w:t>
      </w:r>
      <w:r w:rsidR="005D0A91" w:rsidRPr="00942B53">
        <w:t xml:space="preserve">the </w:t>
      </w:r>
      <w:r w:rsidRPr="00942B53">
        <w:t>enactment of a State of Emergency enabled Vanuatu to remain COVID-19 free (as of September 2020). However</w:t>
      </w:r>
      <w:r w:rsidR="001F2AF5">
        <w:t>,</w:t>
      </w:r>
      <w:r w:rsidRPr="00942B53">
        <w:t xml:space="preserve"> COVID-19 has highlighted key gaps in Vanuatu’s health security: an outbreak would easily overwhelm the health system. Isolation facilities are limited, contact tracing capability is </w:t>
      </w:r>
      <w:r w:rsidRPr="00942B53">
        <w:lastRenderedPageBreak/>
        <w:t xml:space="preserve">low, clinical management capacity is limited and in-country testing is dependent on global supply chains. </w:t>
      </w:r>
    </w:p>
    <w:p w14:paraId="702E70B0" w14:textId="624E1F10" w:rsidR="00A00D38" w:rsidRPr="00942B53" w:rsidRDefault="00A00D38" w:rsidP="00776636">
      <w:pPr>
        <w:widowControl w:val="0"/>
        <w:spacing w:before="60" w:after="120" w:line="260" w:lineRule="exact"/>
      </w:pPr>
      <w:r w:rsidRPr="00942B53">
        <w:t>Non-communicable diseases</w:t>
      </w:r>
      <w:r w:rsidR="001F2AF5">
        <w:t>,</w:t>
      </w:r>
      <w:r w:rsidRPr="00942B53">
        <w:t xml:space="preserve"> including diabetes</w:t>
      </w:r>
      <w:r w:rsidR="001F2AF5">
        <w:t>,</w:t>
      </w:r>
      <w:r w:rsidRPr="00942B53">
        <w:t xml:space="preserve"> remain a leading cause of death, and are a significant risk </w:t>
      </w:r>
      <w:r w:rsidRPr="00942B53">
        <w:rPr>
          <w:rFonts w:eastAsia="Times New Roman" w:cstheme="minorHAnsi"/>
          <w:lang w:eastAsia="en-GB"/>
        </w:rPr>
        <w:t>factor to the severity and mortality of COVID-19 infections.</w:t>
      </w:r>
      <w:r w:rsidRPr="00942B53">
        <w:t xml:space="preserve"> High levels of stunting and malnutrition may be exacerbated by food security is</w:t>
      </w:r>
      <w:r w:rsidR="006A1A4A" w:rsidRPr="00942B53">
        <w:t>sues due to crop damage from TC </w:t>
      </w:r>
      <w:r w:rsidRPr="00942B53">
        <w:t xml:space="preserve">Harold. Potential disruption to essential medical supply chains and diversion of core health service delivery due to COVID-19 exacerbates </w:t>
      </w:r>
      <w:r w:rsidR="005D0A91" w:rsidRPr="00942B53">
        <w:t xml:space="preserve">the </w:t>
      </w:r>
      <w:r w:rsidRPr="00942B53">
        <w:t xml:space="preserve">ongoing risk of disease outbreaks. The extent of the health system’s capacity to cope with a controlled opening of borders represents a critical threshold for Vanuatu’s economic recovery. </w:t>
      </w:r>
    </w:p>
    <w:p w14:paraId="762589D7" w14:textId="77777777" w:rsidR="00122A83" w:rsidRPr="00942B53" w:rsidRDefault="00122A83" w:rsidP="001F7F21">
      <w:pPr>
        <w:pStyle w:val="Heading2"/>
      </w:pPr>
      <w:r w:rsidRPr="00942B53">
        <w:t xml:space="preserve">Australia’s Response </w:t>
      </w:r>
    </w:p>
    <w:p w14:paraId="7D1993CC" w14:textId="24B5B216" w:rsidR="00A00D38" w:rsidRPr="00942B53" w:rsidRDefault="00A00D38" w:rsidP="00776636">
      <w:pPr>
        <w:widowControl w:val="0"/>
        <w:spacing w:before="60" w:after="120" w:line="260" w:lineRule="exact"/>
      </w:pPr>
      <w:r w:rsidRPr="00942B53">
        <w:t xml:space="preserve">Aligning with the Pacific Step-up, Australia will draw on the breadth and inbuilt flexibility of our whole-of-government and development partnerships to respond to the rapidly changing nature of the crisis and Vanuatu’s evolving needs. In the immediate-term we will work in partnership with Vanuatu to support COVID-19 preparedness, mitigate economic shocks and establish a stable base from which Vanuatu can rebuild. We will pivot our resources to support these immediate needs while focussing on strategies for longer term economic recovery. </w:t>
      </w:r>
    </w:p>
    <w:p w14:paraId="5947F018" w14:textId="123F4DA1" w:rsidR="00A00D38" w:rsidRPr="00942B53" w:rsidRDefault="00A00D38" w:rsidP="00776636">
      <w:pPr>
        <w:widowControl w:val="0"/>
        <w:spacing w:before="60" w:after="120" w:line="260" w:lineRule="exact"/>
      </w:pPr>
      <w:r w:rsidRPr="00942B53">
        <w:t xml:space="preserve">As a reliable and responsive partner and Vanuatu’s largest bilateral donor, Australia will align our support with the </w:t>
      </w:r>
      <w:r w:rsidR="003D6A8A" w:rsidRPr="00942B53">
        <w:rPr>
          <w:i/>
        </w:rPr>
        <w:t>Vanuatu Recovery Strategy 2020 – 2</w:t>
      </w:r>
      <w:r w:rsidRPr="00942B53">
        <w:rPr>
          <w:i/>
        </w:rPr>
        <w:t>023</w:t>
      </w:r>
      <w:r w:rsidRPr="00942B53">
        <w:t xml:space="preserve"> which targets restoration of essential services, enhanced livelihoods and repairing the built and natural environment to respond to the dual crises of COVID-19 and TC Harold. </w:t>
      </w:r>
    </w:p>
    <w:p w14:paraId="37D2B3A4" w14:textId="0A1B66D4" w:rsidR="00A00D38" w:rsidRPr="00942B53" w:rsidRDefault="00A00D38" w:rsidP="00776636">
      <w:pPr>
        <w:widowControl w:val="0"/>
        <w:spacing w:before="60" w:after="120" w:line="260" w:lineRule="exact"/>
      </w:pPr>
      <w:r w:rsidRPr="00942B53">
        <w:t xml:space="preserve">We will build on Australia’s long-standing partnerships and comparative advantage in sectors critical to Vanuatu’s recovery, </w:t>
      </w:r>
      <w:proofErr w:type="gramStart"/>
      <w:r w:rsidRPr="00942B53">
        <w:t>including:</w:t>
      </w:r>
      <w:proofErr w:type="gramEnd"/>
      <w:r w:rsidRPr="00942B53">
        <w:t xml:space="preserve"> health; education and skills; policing, justice and security; economic governance; agriculture; and infrastructure. These sectors remain highly relevant given their focus on inclusive growth and equitable service delivery for the most vulnerable. </w:t>
      </w:r>
      <w:r w:rsidR="005D0A91" w:rsidRPr="00942B53">
        <w:t xml:space="preserve">We will retain flexibility </w:t>
      </w:r>
      <w:r w:rsidRPr="00942B53">
        <w:t xml:space="preserve">to respond to the rapidly evolving circumstances and to scale-up funding through Vanuatu’s government systems. </w:t>
      </w:r>
    </w:p>
    <w:p w14:paraId="29427C23" w14:textId="1687FF11" w:rsidR="00A00D38" w:rsidRPr="00942B53" w:rsidRDefault="00A00D38" w:rsidP="00776636">
      <w:pPr>
        <w:widowControl w:val="0"/>
        <w:spacing w:before="60" w:after="120" w:line="260" w:lineRule="exact"/>
      </w:pPr>
      <w:r w:rsidRPr="00942B53">
        <w:t>Given Vanuatu’s ranking</w:t>
      </w:r>
      <w:r w:rsidR="00013CC9" w:rsidRPr="00942B53">
        <w:t>, according to the World Risk Index (2018),</w:t>
      </w:r>
      <w:r w:rsidRPr="00942B53">
        <w:t xml:space="preserve"> as the most vulnerable country in the world to disasters, our support will be cognisant of</w:t>
      </w:r>
      <w:r w:rsidRPr="00942B53">
        <w:rPr>
          <w:i/>
        </w:rPr>
        <w:t xml:space="preserve"> </w:t>
      </w:r>
      <w:r w:rsidRPr="00942B53">
        <w:t xml:space="preserve">the multiplier effect of COVID-19 on the risks posed by climate change and disasters. We will work with Vanuatu to enhance climate and disaster resilience, including building climate resilient infrastructure and </w:t>
      </w:r>
      <w:r w:rsidRPr="00942B53">
        <w:t>strengthening humanitarian and disaster response capability. Recognising COVID-19 disproportionately affects women and children, through increased health risks, domestic violence, and limited access to safety nets, we will explore new gen</w:t>
      </w:r>
      <w:r w:rsidR="002D7444">
        <w:t>der partnerships to build on</w:t>
      </w:r>
      <w:r w:rsidRPr="00942B53">
        <w:t xml:space="preserve"> </w:t>
      </w:r>
      <w:r w:rsidRPr="00942B53">
        <w:rPr>
          <w:i/>
        </w:rPr>
        <w:t>Pacific Women Shaping Pacific Development</w:t>
      </w:r>
      <w:r w:rsidRPr="00942B53">
        <w:t xml:space="preserve"> and maximise women’s COVID-19 related health, leadership and economic outcomes. </w:t>
      </w:r>
    </w:p>
    <w:p w14:paraId="0E6B7729" w14:textId="77777777" w:rsidR="00166032" w:rsidRPr="00942B53" w:rsidRDefault="00166032" w:rsidP="001F7F21">
      <w:pPr>
        <w:pStyle w:val="Heading3"/>
        <w:rPr>
          <w:i w:val="0"/>
        </w:rPr>
      </w:pPr>
      <w:r w:rsidRPr="00942B53">
        <w:t>Health Security</w:t>
      </w:r>
    </w:p>
    <w:p w14:paraId="7A1C8CBE" w14:textId="350553AC" w:rsidR="00A00D38" w:rsidRPr="00942B53" w:rsidRDefault="00A00D38" w:rsidP="00776636">
      <w:pPr>
        <w:widowControl w:val="0"/>
        <w:spacing w:before="60" w:after="120" w:line="260" w:lineRule="exact"/>
        <w:rPr>
          <w:rFonts w:ascii="Calibri Light" w:hAnsi="Calibri Light"/>
        </w:rPr>
      </w:pPr>
      <w:r w:rsidRPr="00942B53">
        <w:rPr>
          <w:rFonts w:ascii="Calibri Light" w:hAnsi="Calibri Light"/>
        </w:rPr>
        <w:t>Vanuatu’s COVID-19 Health Sector Preparedness and Response Plan outlines the need to balance</w:t>
      </w:r>
      <w:r w:rsidRPr="00942B53">
        <w:t xml:space="preserve"> support for preparedness response with the Government’s ongoing priorities of strengthening national health systems and service delivery. </w:t>
      </w:r>
      <w:r w:rsidRPr="00942B53" w:rsidDel="009B02CC">
        <w:t>As Vanuatu’s largest health sector partner, we</w:t>
      </w:r>
      <w:r w:rsidR="005D0A91" w:rsidRPr="00942B53">
        <w:t xml:space="preserve"> have</w:t>
      </w:r>
      <w:r w:rsidRPr="00942B53">
        <w:t xml:space="preserve"> </w:t>
      </w:r>
      <w:r w:rsidRPr="00942B53" w:rsidDel="009B02CC">
        <w:t>re-focus</w:t>
      </w:r>
      <w:r w:rsidRPr="00942B53">
        <w:t>ed</w:t>
      </w:r>
      <w:r w:rsidRPr="00942B53" w:rsidDel="009B02CC">
        <w:t xml:space="preserve"> our </w:t>
      </w:r>
      <w:r w:rsidRPr="00942B53" w:rsidDel="009B02CC">
        <w:rPr>
          <w:rFonts w:ascii="Calibri Light" w:hAnsi="Calibri Light"/>
        </w:rPr>
        <w:t xml:space="preserve">support to deliver on Vanuatu’s updated priorities. </w:t>
      </w:r>
    </w:p>
    <w:p w14:paraId="3450603E" w14:textId="0AAE7E98" w:rsidR="00A00D38" w:rsidRPr="00942B53" w:rsidRDefault="00A00D38" w:rsidP="00776636">
      <w:pPr>
        <w:widowControl w:val="0"/>
        <w:spacing w:before="60" w:after="120" w:line="260" w:lineRule="exact"/>
        <w:rPr>
          <w:rFonts w:ascii="Calibri Light" w:hAnsi="Calibri Light"/>
        </w:rPr>
      </w:pPr>
      <w:r w:rsidRPr="00942B53">
        <w:rPr>
          <w:rFonts w:ascii="Calibri Light" w:hAnsi="Calibri Light"/>
        </w:rPr>
        <w:t xml:space="preserve">Working with the Indo-Pacific Centre for Health Security, we helped improve Vanuatu’s national COVID-19 preparedness and response capabilities through immediate assistance for: enhanced surveillance, early warning and diagnostic capacity; preparation of isolation facilities; medical supplies and equipment; and specialist health advice. We </w:t>
      </w:r>
      <w:r w:rsidR="003E60CA" w:rsidRPr="00942B53">
        <w:rPr>
          <w:rFonts w:ascii="Calibri Light" w:hAnsi="Calibri Light"/>
        </w:rPr>
        <w:t>will support</w:t>
      </w:r>
      <w:r w:rsidRPr="00942B53">
        <w:rPr>
          <w:rFonts w:ascii="Calibri Light" w:hAnsi="Calibri Light"/>
        </w:rPr>
        <w:t xml:space="preserve"> equitable access to</w:t>
      </w:r>
      <w:r w:rsidR="003E60CA" w:rsidRPr="00942B53">
        <w:rPr>
          <w:rFonts w:ascii="Calibri Light" w:hAnsi="Calibri Light"/>
        </w:rPr>
        <w:t xml:space="preserve"> safe and effective</w:t>
      </w:r>
      <w:r w:rsidRPr="00942B53">
        <w:rPr>
          <w:rFonts w:ascii="Calibri Light" w:hAnsi="Calibri Light"/>
        </w:rPr>
        <w:t xml:space="preserve"> COVID-19 vaccine</w:t>
      </w:r>
      <w:r w:rsidR="003E60CA" w:rsidRPr="00942B53">
        <w:rPr>
          <w:rFonts w:ascii="Calibri Light" w:hAnsi="Calibri Light"/>
        </w:rPr>
        <w:t>s in Vanuatu</w:t>
      </w:r>
      <w:r w:rsidR="0033172A" w:rsidRPr="00942B53">
        <w:rPr>
          <w:rFonts w:ascii="Calibri Light" w:hAnsi="Calibri Light"/>
        </w:rPr>
        <w:t xml:space="preserve"> through multilateral and regional initiatives to finance, assess, deliver and monitor COVID-19 vaccines</w:t>
      </w:r>
      <w:r w:rsidRPr="00942B53">
        <w:rPr>
          <w:rFonts w:ascii="Calibri Light" w:hAnsi="Calibri Light"/>
        </w:rPr>
        <w:t>.</w:t>
      </w:r>
    </w:p>
    <w:p w14:paraId="68D52D0F" w14:textId="2CB67B56" w:rsidR="0033172A" w:rsidRPr="00942B53" w:rsidRDefault="00A00D38" w:rsidP="00776636">
      <w:pPr>
        <w:widowControl w:val="0"/>
        <w:spacing w:before="60" w:after="120" w:line="260" w:lineRule="exact"/>
        <w:rPr>
          <w:rFonts w:ascii="Calibri Light" w:hAnsi="Calibri Light" w:cs="Calibri Light"/>
        </w:rPr>
      </w:pPr>
      <w:r w:rsidRPr="00942B53">
        <w:rPr>
          <w:rFonts w:ascii="Calibri Light" w:hAnsi="Calibri Light" w:cs="Calibri Light"/>
        </w:rPr>
        <w:t xml:space="preserve">In parallel, we are supporting Vanuatu’s efforts to increase delivery of equitable, accessible and </w:t>
      </w:r>
      <w:proofErr w:type="gramStart"/>
      <w:r w:rsidRPr="00942B53">
        <w:rPr>
          <w:rFonts w:ascii="Calibri Light" w:hAnsi="Calibri Light" w:cs="Calibri Light"/>
        </w:rPr>
        <w:t>better quality</w:t>
      </w:r>
      <w:proofErr w:type="gramEnd"/>
      <w:r w:rsidRPr="00942B53">
        <w:rPr>
          <w:rFonts w:ascii="Calibri Light" w:hAnsi="Calibri Light" w:cs="Calibri Light"/>
        </w:rPr>
        <w:t xml:space="preserve"> essential health services. This includes targeted support for the most vulnerable and for women’s health needs, through improving the availability of primary and clinical care at the provincial level; prevention and treatment of tuberculosis, malaria and chronic diseases; and access to sexual and reproductive health services (including family planning).  We will maximise outcomes for Vanuatu by working closely with partners including: the World Bank on health financing; the World Health Organisation </w:t>
      </w:r>
      <w:r w:rsidR="00A22C80" w:rsidRPr="00942B53">
        <w:rPr>
          <w:rFonts w:ascii="Calibri Light" w:hAnsi="Calibri Light" w:cs="Calibri Light"/>
        </w:rPr>
        <w:t xml:space="preserve">(WHO) </w:t>
      </w:r>
      <w:r w:rsidRPr="00942B53">
        <w:rPr>
          <w:rFonts w:ascii="Calibri Light" w:hAnsi="Calibri Light" w:cs="Calibri Light"/>
        </w:rPr>
        <w:t xml:space="preserve">on emergency health preparedness and response systems; the Pacific Community on primary care and workforce training; </w:t>
      </w:r>
      <w:r w:rsidR="005D0A91" w:rsidRPr="00942B53">
        <w:rPr>
          <w:rFonts w:ascii="Calibri Light" w:hAnsi="Calibri Light" w:cs="Calibri Light"/>
        </w:rPr>
        <w:t>the Australian Department of Health and Australian Border Force on quarantine and border management</w:t>
      </w:r>
      <w:r w:rsidR="005A511C" w:rsidRPr="00942B53">
        <w:rPr>
          <w:rFonts w:ascii="Calibri Light" w:hAnsi="Calibri Light" w:cs="Calibri Light"/>
        </w:rPr>
        <w:t>;</w:t>
      </w:r>
      <w:r w:rsidR="005D0A91" w:rsidRPr="00942B53">
        <w:rPr>
          <w:rFonts w:ascii="Calibri Light" w:hAnsi="Calibri Light" w:cs="Calibri Light"/>
        </w:rPr>
        <w:t xml:space="preserve"> the CSIRO </w:t>
      </w:r>
      <w:r w:rsidR="005A511C" w:rsidRPr="00942B53">
        <w:rPr>
          <w:rFonts w:ascii="Calibri Light" w:hAnsi="Calibri Light" w:cs="Calibri Light"/>
        </w:rPr>
        <w:t>on</w:t>
      </w:r>
      <w:r w:rsidR="005D0A91" w:rsidRPr="00942B53">
        <w:rPr>
          <w:rFonts w:ascii="Calibri Light" w:hAnsi="Calibri Light" w:cs="Calibri Light"/>
        </w:rPr>
        <w:t xml:space="preserve"> predictive data analysis;</w:t>
      </w:r>
      <w:r w:rsidRPr="00942B53">
        <w:rPr>
          <w:rFonts w:ascii="Calibri Light" w:hAnsi="Calibri Light" w:cs="Calibri Light"/>
        </w:rPr>
        <w:t xml:space="preserve"> and local and international Non-Government Organisations (NGOs) to improve social protection and WASH, with a focus on disability inclusion. </w:t>
      </w:r>
    </w:p>
    <w:p w14:paraId="67F1382B" w14:textId="68AE2875" w:rsidR="00166032" w:rsidRPr="00942B53" w:rsidRDefault="00166032" w:rsidP="001F7F21">
      <w:pPr>
        <w:pStyle w:val="Heading3"/>
      </w:pPr>
      <w:r w:rsidRPr="00942B53">
        <w:t>Stability</w:t>
      </w:r>
    </w:p>
    <w:p w14:paraId="65FDDD2B" w14:textId="23CDD44F" w:rsidR="00A00D38" w:rsidRPr="00942B53" w:rsidRDefault="00A00D38" w:rsidP="00776636">
      <w:pPr>
        <w:widowControl w:val="0"/>
        <w:spacing w:before="60" w:after="120" w:line="260" w:lineRule="exact"/>
      </w:pPr>
      <w:r w:rsidRPr="00942B53">
        <w:t xml:space="preserve">Economic recovery can only take place against a foundation of stability, security and sound governance. Australia will maintain our role as primary partner in </w:t>
      </w:r>
      <w:r w:rsidRPr="00942B53">
        <w:lastRenderedPageBreak/>
        <w:t xml:space="preserve">these areas to support Vanuatu’s priorities to enhance its capabilities to resource and deliver services </w:t>
      </w:r>
      <w:proofErr w:type="gramStart"/>
      <w:r w:rsidRPr="00942B53">
        <w:t>to, and</w:t>
      </w:r>
      <w:proofErr w:type="gramEnd"/>
      <w:r w:rsidRPr="00942B53">
        <w:t xml:space="preserve"> provide a saf</w:t>
      </w:r>
      <w:r w:rsidR="002D7444">
        <w:t>e and inclusive environment for</w:t>
      </w:r>
      <w:r w:rsidRPr="00942B53">
        <w:t xml:space="preserve"> its people. We will scale</w:t>
      </w:r>
      <w:r w:rsidR="002D7444">
        <w:t>-up Department of Home Affairs (</w:t>
      </w:r>
      <w:r w:rsidRPr="00942B53">
        <w:t>ABF</w:t>
      </w:r>
      <w:r w:rsidR="002D7444">
        <w:t>)</w:t>
      </w:r>
      <w:r w:rsidRPr="00942B53">
        <w:t xml:space="preserve">, Australian Federal Police (AFP) and Defence cooperation, to respond to COVID-19 risks while retaining support for our shared strategic policing, justice and national security priorities. We will enhance support across the ‘chain of justice’ in Vanuatu, including to communities, local organisations and police and justice institutions. Renewed assistance to </w:t>
      </w:r>
      <w:r w:rsidR="005D0A91" w:rsidRPr="00942B53">
        <w:t xml:space="preserve">the </w:t>
      </w:r>
      <w:r w:rsidRPr="00942B53">
        <w:t xml:space="preserve">Vanuatu Women’s Centre will provide more accessible counselling services to survivors of violence in the COVID-19 context. We will re-focus technical support to core justice agencies, including through AFP and Defence advisors working with the Vanuatu Police Force (VPF). Policing support will pivot to address COVID-19 frontline response, and strengthen VPF’s operational policing capabilities, organisational leadership and management. Infrastructure support to police and justice agencies using local contractors, including Defence support to redevelop VPF barracks (Port Vila and </w:t>
      </w:r>
      <w:proofErr w:type="spellStart"/>
      <w:r w:rsidRPr="00942B53">
        <w:t>Luganville</w:t>
      </w:r>
      <w:proofErr w:type="spellEnd"/>
      <w:r w:rsidRPr="00942B53">
        <w:t xml:space="preserve">), will boost the economy while supporting capability development in the sector.  </w:t>
      </w:r>
    </w:p>
    <w:p w14:paraId="571A9C07" w14:textId="76EF6074" w:rsidR="00A00D38" w:rsidRPr="00942B53" w:rsidRDefault="00A00D38" w:rsidP="00776636">
      <w:pPr>
        <w:widowControl w:val="0"/>
        <w:spacing w:before="60" w:after="120" w:line="260" w:lineRule="exact"/>
      </w:pPr>
      <w:r w:rsidRPr="00942B53">
        <w:t xml:space="preserve">Delivery of a new Guardian-class Patrol Boat in 2021 through Defence support to VPF, will enhance maritime security and disaster response capability and enable Vanuatu to survey its Exclusive Economic Zone. Scaled-up Defence support for </w:t>
      </w:r>
      <w:r w:rsidR="005D0A91" w:rsidRPr="00942B53">
        <w:t xml:space="preserve">the </w:t>
      </w:r>
      <w:r w:rsidRPr="00942B53">
        <w:t>Vanuatu Government’s Radio Network will increase communications and emergency services capabilities across Vanuatu, essential to COVID-19 and disaster response. Support for cyber security will help mitigate impacts of COVID-19 generated malicious cyber activity. To restore the safe international movement of people crucial to Vanuatu’s economic recovery, the ABF will increase efforts to strengthen border security targeting COVID-19 related risks</w:t>
      </w:r>
      <w:r w:rsidR="005D0A91" w:rsidRPr="00942B53">
        <w:t>. W</w:t>
      </w:r>
      <w:r w:rsidRPr="00942B53">
        <w:t xml:space="preserve">e will support Vanuatu’s in-country quarantine capacity, including facilitating targeted repatriation of ni-Vanuatu in Australia. Prioritising finalisation of a bilateral security agreement will respond to challenges outlined in Vanuatu’s National Security Strategy and provide a strong and transparent framework for our existing and future cooperation. </w:t>
      </w:r>
    </w:p>
    <w:p w14:paraId="32E0977A" w14:textId="3DC54CBE" w:rsidR="00A00D38" w:rsidRPr="00942B53" w:rsidRDefault="00A00D38" w:rsidP="00776636">
      <w:pPr>
        <w:widowControl w:val="0"/>
        <w:spacing w:before="60" w:after="120" w:line="260" w:lineRule="exact"/>
        <w:rPr>
          <w:color w:val="auto"/>
        </w:rPr>
      </w:pPr>
      <w:r w:rsidRPr="00942B53">
        <w:t xml:space="preserve">Given the Government’s revenue-poor COVID-19 context, our work with Vanuatu’s central ministries will support the current momentum in public financial management reform to strengthen government systems and the effectiveness of government spending. This will improve service delivery to all Vanuatu citizens. </w:t>
      </w:r>
      <w:r w:rsidR="00301DB0">
        <w:t>Further s</w:t>
      </w:r>
      <w:r w:rsidRPr="00942B53">
        <w:t xml:space="preserve">upport </w:t>
      </w:r>
      <w:r w:rsidR="00301DB0">
        <w:t xml:space="preserve">for </w:t>
      </w:r>
      <w:r w:rsidRPr="00942B53">
        <w:t xml:space="preserve">the media, including national broadcasters and local theatre group Wan </w:t>
      </w:r>
      <w:proofErr w:type="spellStart"/>
      <w:r w:rsidRPr="00942B53">
        <w:t>Smolbag</w:t>
      </w:r>
      <w:proofErr w:type="spellEnd"/>
      <w:r w:rsidRPr="00942B53">
        <w:t xml:space="preserve">, will provide a platform for COVID-19 public health messaging, disaster </w:t>
      </w:r>
      <w:r w:rsidRPr="00942B53">
        <w:t>preparedness, and political and policy debate.</w:t>
      </w:r>
    </w:p>
    <w:p w14:paraId="6D20027A" w14:textId="77777777" w:rsidR="00A00D38" w:rsidRPr="00942B53" w:rsidRDefault="00A00D38" w:rsidP="00776636">
      <w:pPr>
        <w:widowControl w:val="0"/>
        <w:spacing w:before="60" w:after="120" w:line="260" w:lineRule="exact"/>
      </w:pPr>
      <w:r w:rsidRPr="00942B53">
        <w:t>We will pivot funding in the education sector to ensure all children can access quality education and continuity of learning. This will include implementing COVID-19 protocols, radio education programs and remote schooling, rebuilding disaster and climate resilient classrooms and reprinting school materials damaged by TC Harold. Our support for core education system strengthening and foundational literacy and numeracy skills will target student retention and equity of access. This will help address COVID-19 and economic crises-related risks of higher school drop-out and lower success rates, particularly for girls. We will explore in-country courses and remote learning to deliver targeted training.</w:t>
      </w:r>
    </w:p>
    <w:p w14:paraId="000BF663" w14:textId="6CE46813" w:rsidR="00A00D38" w:rsidRPr="00942B53" w:rsidRDefault="00A00D38" w:rsidP="00776636">
      <w:pPr>
        <w:widowControl w:val="0"/>
        <w:autoSpaceDE w:val="0"/>
        <w:autoSpaceDN w:val="0"/>
        <w:spacing w:before="60" w:after="120" w:line="260" w:lineRule="exact"/>
      </w:pPr>
      <w:r w:rsidRPr="00942B53">
        <w:t xml:space="preserve">Australia will remain Vanuatu’s primary humanitarian partner. We provided </w:t>
      </w:r>
      <w:r w:rsidR="00A22C80" w:rsidRPr="00942B53">
        <w:t>$</w:t>
      </w:r>
      <w:r w:rsidRPr="00942B53">
        <w:t>11 million to support Vanuatu’s immediate TC Harold response efforts including for health, education, WASH and social protection services. Defence also delivered humanitarian supplies, school tents, medical, construction and communication equipment. We are committed to providing further funding for longer term TC Harold recovery efforts. Our response to future disasters will continue to focus on areas where we have a comparative advantage an</w:t>
      </w:r>
      <w:r w:rsidR="005B66A9">
        <w:t>d use</w:t>
      </w:r>
      <w:r w:rsidRPr="00942B53">
        <w:t xml:space="preserve"> flexible delivery mechanisms that prioritise Vanuatu government systems. </w:t>
      </w:r>
      <w:r w:rsidR="005D0A91" w:rsidRPr="00942B53">
        <w:t>The a</w:t>
      </w:r>
      <w:r w:rsidRPr="00942B53">
        <w:t xml:space="preserve">pplication of Vanuatu Government’s ‘Build Back Better’ policy in our recovery efforts increases resilience to future disaster and climate events and uses local labour to stimulate rural economies. Accessible, climate and disaster resilient roads and community infrastructure will improve peoples’ access to markets and </w:t>
      </w:r>
      <w:proofErr w:type="gramStart"/>
      <w:r w:rsidRPr="00942B53">
        <w:t>services, and</w:t>
      </w:r>
      <w:proofErr w:type="gramEnd"/>
      <w:r w:rsidRPr="00942B53">
        <w:t xml:space="preserve"> grow private sector activity. All school classrooms and medical facilities we build will include accessible WASH facilities to support hygiene and COVID-19 prevention. Additional funding to NGO and Church partners will increase community level investment in improved WASH, livelihoods and social protection and provide specialist humanitarian expertise to assist the Government and communities respond to COVID-19 and TC Harold. </w:t>
      </w:r>
    </w:p>
    <w:p w14:paraId="071AE989" w14:textId="60E425B8" w:rsidR="00166032" w:rsidRPr="00942B53" w:rsidRDefault="00166032" w:rsidP="001F7F21">
      <w:pPr>
        <w:pStyle w:val="Heading3"/>
      </w:pPr>
      <w:r w:rsidRPr="00942B53">
        <w:t>Economic Recovery</w:t>
      </w:r>
    </w:p>
    <w:p w14:paraId="0DF7B26D" w14:textId="735F7B5D" w:rsidR="00A00D38" w:rsidRPr="00942B53" w:rsidRDefault="00A00D38" w:rsidP="00776636">
      <w:pPr>
        <w:widowControl w:val="0"/>
        <w:spacing w:before="60" w:after="120" w:line="260" w:lineRule="exact"/>
      </w:pPr>
      <w:r w:rsidRPr="00942B53">
        <w:t>We will leverage our position as an active and steadfast partner in economic governance</w:t>
      </w:r>
      <w:r w:rsidR="00E444E0" w:rsidRPr="00942B53">
        <w:t xml:space="preserve"> to support Vanuatu as it grapples with the economic challenges posed by COVID-19</w:t>
      </w:r>
      <w:r w:rsidRPr="00942B53">
        <w:t>. Our support aligns with the priorities set out in the Vanuatu Government’s COVID-19 Economic Stimulus Package including a fo</w:t>
      </w:r>
      <w:r w:rsidR="00E444E0" w:rsidRPr="00942B53">
        <w:t>cus on preserving jobs, stabilis</w:t>
      </w:r>
      <w:r w:rsidRPr="00942B53">
        <w:t xml:space="preserve">ing business and trade activities, facilitating rural growth and enabling remittances through labour mobility programs. </w:t>
      </w:r>
    </w:p>
    <w:p w14:paraId="7284B3D2" w14:textId="39E5641D" w:rsidR="00A00D38" w:rsidRPr="00942B53" w:rsidRDefault="00A00D38" w:rsidP="00776636">
      <w:pPr>
        <w:widowControl w:val="0"/>
        <w:spacing w:before="60" w:after="120" w:line="260" w:lineRule="exact"/>
      </w:pPr>
      <w:r w:rsidRPr="00942B53">
        <w:t xml:space="preserve">Additional funding and advisory support for Vanuatu’s </w:t>
      </w:r>
      <w:r w:rsidRPr="00942B53">
        <w:lastRenderedPageBreak/>
        <w:t xml:space="preserve">employment stabilisation program has helped address formal sector job losses. Anticipating the likely need for external funding to support Vanuatu’s future COVID-19 stimulus packages and recurrent budget, we have scaled-up partnerships with the World Bank and ADB to frame modalities for future support, including budget support, debt relief and infrastructure financing. Through the International Finance </w:t>
      </w:r>
      <w:proofErr w:type="gramStart"/>
      <w:r w:rsidRPr="00942B53">
        <w:t>Cooperation</w:t>
      </w:r>
      <w:proofErr w:type="gramEnd"/>
      <w:r w:rsidRPr="00942B53">
        <w:t xml:space="preserve"> we will assist Vanuatu to develop options for the future of its national airline. </w:t>
      </w:r>
      <w:r w:rsidR="00E519ED">
        <w:t>This complements our support for the Pacific Islands Forum’s Pacific Humanitarian Pathway for COVID-19 to foster regional connectivity</w:t>
      </w:r>
      <w:r w:rsidRPr="00942B53">
        <w:t>. To boost services such as telecommunications fundamental to post COVID-19 economic recovery, we will assist Vanuatu to explore access to Australia’s Infrastructure Financing Facility for the Pacific. We</w:t>
      </w:r>
      <w:r w:rsidRPr="00942B53" w:rsidDel="00FA421C">
        <w:t xml:space="preserve"> will</w:t>
      </w:r>
      <w:r w:rsidRPr="00942B53">
        <w:t xml:space="preserve"> work with other development partners to focus on priority infrastructure with a high economic rate of </w:t>
      </w:r>
      <w:proofErr w:type="gramStart"/>
      <w:r w:rsidRPr="00942B53">
        <w:t>return, and</w:t>
      </w:r>
      <w:proofErr w:type="gramEnd"/>
      <w:r w:rsidRPr="00942B53">
        <w:t xml:space="preserve"> </w:t>
      </w:r>
      <w:r w:rsidRPr="00942B53" w:rsidDel="00FA421C">
        <w:t xml:space="preserve">support economic stimulus by using local contractors to grow </w:t>
      </w:r>
      <w:r w:rsidRPr="00942B53">
        <w:t xml:space="preserve">the </w:t>
      </w:r>
      <w:r w:rsidRPr="00942B53" w:rsidDel="00FA421C">
        <w:t>private sector</w:t>
      </w:r>
      <w:r w:rsidRPr="00942B53">
        <w:t xml:space="preserve"> and local jobs</w:t>
      </w:r>
      <w:r w:rsidRPr="00942B53" w:rsidDel="00FA421C">
        <w:t xml:space="preserve">. </w:t>
      </w:r>
      <w:r w:rsidRPr="00942B53">
        <w:t>Vanuatu’s proposed ratification of the Pacific Agreement on Closer Economic Relations</w:t>
      </w:r>
      <w:r w:rsidR="00A22C80" w:rsidRPr="00942B53">
        <w:t xml:space="preserve"> (PACER)</w:t>
      </w:r>
      <w:r w:rsidRPr="00942B53">
        <w:t xml:space="preserve"> Plus Trade Agreement will enable closer coordination of regional economic recovery </w:t>
      </w:r>
      <w:proofErr w:type="gramStart"/>
      <w:r w:rsidRPr="00942B53">
        <w:t>efforts, and</w:t>
      </w:r>
      <w:proofErr w:type="gramEnd"/>
      <w:r w:rsidRPr="00942B53">
        <w:t xml:space="preserve"> provide access to Australia’s aid for trade packages.  </w:t>
      </w:r>
    </w:p>
    <w:p w14:paraId="67F37047" w14:textId="69704730" w:rsidR="00A00D38" w:rsidRPr="00942B53" w:rsidRDefault="00A00D38" w:rsidP="00776636">
      <w:pPr>
        <w:widowControl w:val="0"/>
        <w:spacing w:before="60" w:after="120" w:line="260" w:lineRule="exact"/>
      </w:pPr>
      <w:r w:rsidRPr="00942B53">
        <w:t xml:space="preserve">To help Vanuatu improve its business environment and adapt to the post COVID-19 context we are working with the government and Vanuatu’s private sector on tourism, trade and investment policy, </w:t>
      </w:r>
      <w:r w:rsidR="00A22C80" w:rsidRPr="00942B53">
        <w:t>e</w:t>
      </w:r>
      <w:r w:rsidRPr="00942B53">
        <w:t>-commerce and financial inclusion. Our support for Vanuatu’s Chamber of Commerce will focus on building business diversification and resilience and developing women entrepreneurs. Increased access to inclusive skills development and livelihood opportunities in agriculture, construction and business development, including through the Australia Pacific Training Coalition, will help replace those lost in COVID-19 impacted sectors. Along with mentoring and seed funding provided through private sector partners, this will support businesses to adapt and diversify.</w:t>
      </w:r>
    </w:p>
    <w:p w14:paraId="012750B4" w14:textId="049A7F44" w:rsidR="00A00D38" w:rsidRPr="00942B53" w:rsidRDefault="00A00D38" w:rsidP="00776636">
      <w:pPr>
        <w:widowControl w:val="0"/>
        <w:spacing w:before="60" w:after="120" w:line="260" w:lineRule="exact"/>
      </w:pPr>
      <w:r w:rsidRPr="00942B53">
        <w:t xml:space="preserve">To contribute to food security and economic stimulus through local markets, we are supporting </w:t>
      </w:r>
      <w:r w:rsidR="00E444E0" w:rsidRPr="00942B53">
        <w:t xml:space="preserve">the </w:t>
      </w:r>
      <w:r w:rsidRPr="00942B53">
        <w:t xml:space="preserve">establishment of seed banks and food corridors. Implementation of a cash transfer program with NGO partners targets vulnerable informal sector workers, particularly women. Pivoting regional partnerships, including with ACIAR, Department of Agriculture and the Pacific Horticultural and Agricultural Market Access Program, will focus on domestic food security, re-building cash and export crop markets and biosecurity targeting COVID-19 risk factors. </w:t>
      </w:r>
    </w:p>
    <w:p w14:paraId="5C4FB4FF" w14:textId="65C0CD0F" w:rsidR="00A00D38" w:rsidRDefault="00A00D38" w:rsidP="00776636">
      <w:pPr>
        <w:widowControl w:val="0"/>
        <w:spacing w:before="60" w:after="120" w:line="260" w:lineRule="exact"/>
      </w:pPr>
      <w:r w:rsidRPr="00942B53">
        <w:t xml:space="preserve">Given remittances provide a crucial buffer for Vanuatu’s </w:t>
      </w:r>
      <w:r w:rsidRPr="00942B53">
        <w:t>economy, the Departments of Foreign Affairs and Trade, Education, Agriculture and Home Affairs and the Australian private sector are working closely with the Vanuatu Government to safely re-establish labour mobility schemes</w:t>
      </w:r>
      <w:r w:rsidR="00130E6C">
        <w:t>. Over 160 ni-Vanu</w:t>
      </w:r>
      <w:r w:rsidR="00BC2206">
        <w:t>atu workers participated in the</w:t>
      </w:r>
      <w:r w:rsidR="00130E6C">
        <w:t xml:space="preserve"> Northern Territory Pacific Labour Mobility Trial, which was an important step towards </w:t>
      </w:r>
      <w:r w:rsidR="008A59BC">
        <w:t xml:space="preserve">the resumption of Pacific </w:t>
      </w:r>
      <w:r w:rsidR="00130E6C">
        <w:t xml:space="preserve">labour mobility in Australia.  </w:t>
      </w:r>
      <w:r w:rsidR="008A59BC">
        <w:t>Work-ready t</w:t>
      </w:r>
      <w:r w:rsidRPr="00942B53">
        <w:t xml:space="preserve">raining </w:t>
      </w:r>
      <w:r w:rsidR="008A59BC">
        <w:t>in Vanuatu will enhance</w:t>
      </w:r>
      <w:r w:rsidRPr="00942B53">
        <w:t xml:space="preserve"> prospective workers </w:t>
      </w:r>
      <w:r w:rsidR="00472BCA">
        <w:t>skills, ahead of their de</w:t>
      </w:r>
      <w:r w:rsidRPr="00942B53">
        <w:t xml:space="preserve">ployment </w:t>
      </w:r>
      <w:r w:rsidR="00472BCA">
        <w:t>to</w:t>
      </w:r>
      <w:r w:rsidRPr="00942B53">
        <w:t xml:space="preserve"> Australia</w:t>
      </w:r>
      <w:r w:rsidR="00472BCA">
        <w:t>.</w:t>
      </w:r>
      <w:r w:rsidRPr="00942B53">
        <w:t xml:space="preserve"> </w:t>
      </w:r>
    </w:p>
    <w:p w14:paraId="47A7E695" w14:textId="77777777" w:rsidR="00EB4BA7" w:rsidRDefault="00EB4BA7" w:rsidP="00776636">
      <w:pPr>
        <w:widowControl w:val="0"/>
        <w:spacing w:before="60" w:after="120" w:line="260" w:lineRule="exact"/>
      </w:pPr>
      <w:r w:rsidRPr="00A15D91">
        <w:t>Australia will provide additional support for the Pacific and Timor-Leste over two years from 2020-21 and 2021</w:t>
      </w:r>
      <w:r w:rsidRPr="00A15D91">
        <w:noBreakHyphen/>
        <w:t xml:space="preserve">22 as part of a supplementary $304.7 million COVID-19 Response Package. This will deliver critical financing to help Vanuatu to maintain essential health and other </w:t>
      </w:r>
      <w:proofErr w:type="gramStart"/>
      <w:r w:rsidRPr="00A15D91">
        <w:t>services, and</w:t>
      </w:r>
      <w:proofErr w:type="gramEnd"/>
      <w:r w:rsidRPr="00A15D91">
        <w:t xml:space="preserve"> protect the most vulnerable people.</w:t>
      </w:r>
    </w:p>
    <w:p w14:paraId="2BE9D699" w14:textId="77777777" w:rsidR="002E3BEA" w:rsidRPr="00942B53" w:rsidRDefault="002E3BEA" w:rsidP="001F7F21">
      <w:pPr>
        <w:pStyle w:val="Heading2"/>
      </w:pPr>
      <w:r w:rsidRPr="00942B53">
        <w:t>How we will work</w:t>
      </w:r>
      <w:r w:rsidRPr="00942B53">
        <w:tab/>
      </w:r>
    </w:p>
    <w:p w14:paraId="3BE6098E" w14:textId="28712182" w:rsidR="00A00D38" w:rsidRPr="00942B53" w:rsidRDefault="00A00D38" w:rsidP="00776636">
      <w:pPr>
        <w:widowControl w:val="0"/>
        <w:spacing w:before="60" w:after="120" w:line="260" w:lineRule="exact"/>
      </w:pPr>
      <w:r w:rsidRPr="00942B53">
        <w:t xml:space="preserve">We will leverage the full suite of Australia’s national capabilities - diplomacy, defence, security, trade, church, academic and people-to-people partnerships – to extend the reach and results of our substantial bilateral, regional and global development efforts.  </w:t>
      </w:r>
    </w:p>
    <w:p w14:paraId="03096DB2" w14:textId="77777777" w:rsidR="00A00D38" w:rsidRPr="00942B53" w:rsidRDefault="00A00D38" w:rsidP="00776636">
      <w:pPr>
        <w:widowControl w:val="0"/>
        <w:spacing w:before="60" w:after="120" w:line="260" w:lineRule="exact"/>
        <w:rPr>
          <w:rFonts w:ascii="Calibri Light" w:hAnsi="Calibri Light" w:cs="Calibri Light"/>
        </w:rPr>
      </w:pPr>
      <w:r w:rsidRPr="00942B53">
        <w:rPr>
          <w:rFonts w:ascii="Calibri Light" w:hAnsi="Calibri Light" w:cs="Calibri Light"/>
        </w:rPr>
        <w:t xml:space="preserve">We will coordinate closely with likeminded partners to leverage expertise, resources and partnerships critical to maximising collective outcomes. We will work alongside the World Bank and ADB to support the Vanuatu Government’s efforts to facilitate access to concessional funding. Through shared policy dialogue and </w:t>
      </w:r>
      <w:proofErr w:type="gramStart"/>
      <w:r w:rsidRPr="00942B53">
        <w:rPr>
          <w:rFonts w:ascii="Calibri Light" w:hAnsi="Calibri Light" w:cs="Calibri Light"/>
        </w:rPr>
        <w:t>analysis</w:t>
      </w:r>
      <w:proofErr w:type="gramEnd"/>
      <w:r w:rsidRPr="00942B53">
        <w:rPr>
          <w:rFonts w:ascii="Calibri Light" w:hAnsi="Calibri Light" w:cs="Calibri Light"/>
        </w:rPr>
        <w:t xml:space="preserve"> we will ensure our efforts </w:t>
      </w:r>
      <w:r w:rsidRPr="00942B53">
        <w:t xml:space="preserve">complement engagement by Vanuatu’s other </w:t>
      </w:r>
      <w:r w:rsidRPr="00942B53">
        <w:rPr>
          <w:rFonts w:ascii="Calibri Light" w:hAnsi="Calibri Light" w:cs="Calibri Light"/>
        </w:rPr>
        <w:t xml:space="preserve">development partners, including: New Zealand, the European Union, Japan and China, the World Bank and ADB, and international and local NGOs. We will further embed localisation of our support through scaled-up use of partner government systems and local private sector, Church and NGO partners. </w:t>
      </w:r>
    </w:p>
    <w:p w14:paraId="1BC208BA" w14:textId="26E15041" w:rsidR="00A00D38" w:rsidRPr="00942B53" w:rsidRDefault="00A00D38" w:rsidP="00776636">
      <w:pPr>
        <w:pStyle w:val="Bullet1"/>
        <w:widowControl w:val="0"/>
        <w:numPr>
          <w:ilvl w:val="0"/>
          <w:numId w:val="0"/>
        </w:numPr>
        <w:spacing w:before="60" w:after="120" w:line="260" w:lineRule="exact"/>
        <w:rPr>
          <w:color w:val="000000"/>
        </w:rPr>
      </w:pPr>
      <w:r w:rsidRPr="00942B53">
        <w:rPr>
          <w:rFonts w:ascii="Calibri Light" w:hAnsi="Calibri Light" w:cs="Calibri Light"/>
        </w:rPr>
        <w:t>Since the onset of COVID-19 Australia has provided additional resources, pivoted programs and reprioritised development funding to respond to emerging needs. Our immediate</w:t>
      </w:r>
      <w:r w:rsidRPr="00942B53">
        <w:rPr>
          <w:rStyle w:val="Strong"/>
          <w:bCs w:val="0"/>
        </w:rPr>
        <w:t xml:space="preserve"> </w:t>
      </w:r>
      <w:r w:rsidR="00A22C80" w:rsidRPr="00942B53">
        <w:rPr>
          <w:rStyle w:val="Strong"/>
          <w:b w:val="0"/>
          <w:bCs w:val="0"/>
        </w:rPr>
        <w:t>$</w:t>
      </w:r>
      <w:r w:rsidRPr="00942B53">
        <w:rPr>
          <w:rStyle w:val="Strong"/>
          <w:b w:val="0"/>
          <w:bCs w:val="0"/>
        </w:rPr>
        <w:t xml:space="preserve">17 million funding package included </w:t>
      </w:r>
      <w:r w:rsidRPr="00942B53">
        <w:rPr>
          <w:rStyle w:val="Strong"/>
          <w:b w:val="0"/>
          <w:bCs w:val="0"/>
          <w:iCs/>
        </w:rPr>
        <w:t>support for: Vanuatu’s employment stabilisation program; school and community grants; health preparedness and response; livelihoods, water, sanitation and hygiene (WASH), gender and protection initiatives; and quarantine and repatriation efforts</w:t>
      </w:r>
      <w:r w:rsidRPr="00942B53">
        <w:rPr>
          <w:color w:val="000000"/>
        </w:rPr>
        <w:t xml:space="preserve">. </w:t>
      </w:r>
    </w:p>
    <w:p w14:paraId="7DD590D9" w14:textId="77777777" w:rsidR="00A00D38" w:rsidRPr="006422C6" w:rsidRDefault="00A00D38" w:rsidP="00776636">
      <w:pPr>
        <w:pStyle w:val="Bullet1"/>
        <w:widowControl w:val="0"/>
        <w:numPr>
          <w:ilvl w:val="0"/>
          <w:numId w:val="0"/>
        </w:numPr>
        <w:spacing w:before="60" w:after="120" w:line="260" w:lineRule="exact"/>
        <w:rPr>
          <w:rFonts w:ascii="Calibri Light" w:hAnsi="Calibri Light" w:cs="Calibri Light"/>
        </w:rPr>
      </w:pPr>
      <w:r w:rsidRPr="00942B53">
        <w:rPr>
          <w:rFonts w:ascii="Calibri Light" w:hAnsi="Calibri Light" w:cs="Calibri Light"/>
        </w:rPr>
        <w:t xml:space="preserve">We will continue to adjust the scope and focus of our support informed by collaborative dialogue, </w:t>
      </w:r>
      <w:proofErr w:type="gramStart"/>
      <w:r w:rsidRPr="00942B53">
        <w:rPr>
          <w:rFonts w:ascii="Calibri Light" w:hAnsi="Calibri Light" w:cs="Calibri Light"/>
        </w:rPr>
        <w:t>evidence based</w:t>
      </w:r>
      <w:proofErr w:type="gramEnd"/>
      <w:r w:rsidRPr="00942B53">
        <w:rPr>
          <w:rFonts w:ascii="Calibri Light" w:hAnsi="Calibri Light" w:cs="Calibri Light"/>
        </w:rPr>
        <w:t xml:space="preserve"> analysis and new partnership opportunities.</w:t>
      </w:r>
    </w:p>
    <w:p w14:paraId="38CD5948" w14:textId="77777777" w:rsidR="005F2F66" w:rsidRPr="00F72AB9" w:rsidRDefault="005F2F66" w:rsidP="003E6E72">
      <w:pPr>
        <w:spacing w:before="0" w:after="120" w:line="260" w:lineRule="exact"/>
        <w:sectPr w:rsidR="005F2F66" w:rsidRPr="00F72AB9" w:rsidSect="00776636">
          <w:type w:val="continuous"/>
          <w:pgSz w:w="11906" w:h="16838" w:code="9"/>
          <w:pgMar w:top="1559" w:right="680" w:bottom="1418" w:left="680" w:header="397" w:footer="721" w:gutter="0"/>
          <w:cols w:num="2" w:space="425"/>
          <w:titlePg/>
          <w:docGrid w:linePitch="360"/>
        </w:sectPr>
      </w:pPr>
    </w:p>
    <w:p w14:paraId="38E6E477" w14:textId="77777777" w:rsidR="001C01C6" w:rsidRPr="002945C4" w:rsidRDefault="001C01C6" w:rsidP="001C01C6">
      <w:pPr>
        <w:spacing w:before="360"/>
        <w:rPr>
          <w:sz w:val="14"/>
          <w:szCs w:val="14"/>
        </w:rPr>
        <w:sectPr w:rsidR="001C01C6" w:rsidRPr="002945C4" w:rsidSect="00776636">
          <w:type w:val="continuous"/>
          <w:pgSz w:w="11906" w:h="16838" w:code="9"/>
          <w:pgMar w:top="1559" w:right="680" w:bottom="1418" w:left="680" w:header="425" w:footer="567" w:gutter="0"/>
          <w:cols w:num="2" w:space="397"/>
          <w:titlePg/>
          <w:docGrid w:linePitch="360"/>
        </w:sectPr>
      </w:pPr>
    </w:p>
    <w:p w14:paraId="4C88FC0F" w14:textId="3D0BAF14" w:rsidR="00BC1FED" w:rsidRDefault="004E120D" w:rsidP="004E120D">
      <w:pPr>
        <w:pStyle w:val="Heading2"/>
      </w:pPr>
      <w:r w:rsidRPr="002945C4">
        <w:lastRenderedPageBreak/>
        <w:t>Table 1: COVID-19 Response Plan Performance Framework</w:t>
      </w:r>
    </w:p>
    <w:tbl>
      <w:tblPr>
        <w:tblStyle w:val="TableGrid"/>
        <w:tblW w:w="0" w:type="auto"/>
        <w:tblLook w:val="04A0" w:firstRow="1" w:lastRow="0" w:firstColumn="1" w:lastColumn="0" w:noHBand="0" w:noVBand="1"/>
      </w:tblPr>
      <w:tblGrid>
        <w:gridCol w:w="1838"/>
        <w:gridCol w:w="2308"/>
        <w:gridCol w:w="3126"/>
        <w:gridCol w:w="3264"/>
      </w:tblGrid>
      <w:tr w:rsidR="004E120D" w14:paraId="18E7A68A" w14:textId="77777777" w:rsidTr="00C16604">
        <w:trPr>
          <w:tblHeader/>
        </w:trPr>
        <w:tc>
          <w:tcPr>
            <w:tcW w:w="1838" w:type="dxa"/>
            <w:shd w:val="clear" w:color="auto" w:fill="65C5B4" w:themeFill="accent1"/>
          </w:tcPr>
          <w:p w14:paraId="48FA1405" w14:textId="3E4EC920" w:rsidR="004E120D" w:rsidRDefault="004E120D" w:rsidP="00C16604">
            <w:pPr>
              <w:tabs>
                <w:tab w:val="left" w:pos="7830"/>
              </w:tabs>
              <w:spacing w:after="120"/>
              <w:jc w:val="center"/>
              <w:rPr>
                <w:sz w:val="15"/>
                <w:szCs w:val="15"/>
              </w:rPr>
            </w:pPr>
            <w:r w:rsidRPr="001F7F21">
              <w:rPr>
                <w:b/>
                <w:color w:val="000000" w:themeColor="text1"/>
                <w:sz w:val="20"/>
                <w:szCs w:val="20"/>
              </w:rPr>
              <w:t>Response Plans</w:t>
            </w:r>
          </w:p>
        </w:tc>
        <w:tc>
          <w:tcPr>
            <w:tcW w:w="2308" w:type="dxa"/>
            <w:shd w:val="clear" w:color="auto" w:fill="65C5B4" w:themeFill="accent1"/>
            <w:vAlign w:val="center"/>
          </w:tcPr>
          <w:p w14:paraId="3CDED44A" w14:textId="6F869B40" w:rsidR="004E120D" w:rsidRDefault="004E120D" w:rsidP="00C16604">
            <w:pPr>
              <w:tabs>
                <w:tab w:val="left" w:pos="7830"/>
              </w:tabs>
              <w:spacing w:after="120"/>
              <w:jc w:val="center"/>
              <w:rPr>
                <w:sz w:val="15"/>
                <w:szCs w:val="15"/>
              </w:rPr>
            </w:pPr>
            <w:r w:rsidRPr="001F7F21">
              <w:rPr>
                <w:b/>
                <w:color w:val="000000" w:themeColor="text1"/>
                <w:sz w:val="20"/>
                <w:szCs w:val="20"/>
              </w:rPr>
              <w:t>Health Security</w:t>
            </w:r>
          </w:p>
        </w:tc>
        <w:tc>
          <w:tcPr>
            <w:tcW w:w="0" w:type="auto"/>
            <w:shd w:val="clear" w:color="auto" w:fill="65C5B4" w:themeFill="accent1"/>
            <w:vAlign w:val="center"/>
          </w:tcPr>
          <w:p w14:paraId="4B82F7DE" w14:textId="19FEE328" w:rsidR="004E120D" w:rsidRDefault="004E120D" w:rsidP="00C16604">
            <w:pPr>
              <w:tabs>
                <w:tab w:val="left" w:pos="7830"/>
              </w:tabs>
              <w:spacing w:after="120"/>
              <w:jc w:val="center"/>
              <w:rPr>
                <w:sz w:val="15"/>
                <w:szCs w:val="15"/>
              </w:rPr>
            </w:pPr>
            <w:r w:rsidRPr="001F7F21">
              <w:rPr>
                <w:b/>
                <w:color w:val="000000" w:themeColor="text1"/>
                <w:sz w:val="20"/>
                <w:szCs w:val="20"/>
              </w:rPr>
              <w:t>Stability</w:t>
            </w:r>
          </w:p>
        </w:tc>
        <w:tc>
          <w:tcPr>
            <w:tcW w:w="0" w:type="auto"/>
            <w:shd w:val="clear" w:color="auto" w:fill="65C5B4" w:themeFill="accent1"/>
            <w:vAlign w:val="center"/>
          </w:tcPr>
          <w:p w14:paraId="7A6BE972" w14:textId="625D4793" w:rsidR="004E120D" w:rsidRDefault="004E120D" w:rsidP="00C16604">
            <w:pPr>
              <w:tabs>
                <w:tab w:val="left" w:pos="7830"/>
              </w:tabs>
              <w:spacing w:after="120"/>
              <w:jc w:val="center"/>
              <w:rPr>
                <w:sz w:val="15"/>
                <w:szCs w:val="15"/>
              </w:rPr>
            </w:pPr>
            <w:r w:rsidRPr="001F7F21">
              <w:rPr>
                <w:b/>
                <w:color w:val="000000" w:themeColor="text1"/>
                <w:sz w:val="20"/>
                <w:szCs w:val="20"/>
              </w:rPr>
              <w:t>Economic Recovery</w:t>
            </w:r>
          </w:p>
        </w:tc>
      </w:tr>
      <w:tr w:rsidR="00C16604" w14:paraId="49E68DB8" w14:textId="77777777" w:rsidTr="00C16604">
        <w:trPr>
          <w:trHeight w:val="1048"/>
        </w:trPr>
        <w:tc>
          <w:tcPr>
            <w:tcW w:w="1838" w:type="dxa"/>
          </w:tcPr>
          <w:p w14:paraId="0FFA174A" w14:textId="77777777" w:rsidR="004E120D" w:rsidRPr="00C22A4C" w:rsidRDefault="004E120D" w:rsidP="004E120D">
            <w:pPr>
              <w:spacing w:before="60" w:line="240" w:lineRule="auto"/>
              <w:rPr>
                <w:b/>
                <w:sz w:val="20"/>
                <w:szCs w:val="20"/>
              </w:rPr>
            </w:pPr>
            <w:r w:rsidRPr="00C22A4C">
              <w:rPr>
                <w:b/>
                <w:sz w:val="20"/>
                <w:szCs w:val="20"/>
              </w:rPr>
              <w:t>Expected Outcomes</w:t>
            </w:r>
          </w:p>
          <w:p w14:paraId="09ECB3CF" w14:textId="77777777" w:rsidR="004E120D" w:rsidRDefault="004E120D" w:rsidP="004E120D">
            <w:pPr>
              <w:tabs>
                <w:tab w:val="left" w:pos="7830"/>
              </w:tabs>
              <w:spacing w:after="120"/>
              <w:rPr>
                <w:sz w:val="15"/>
                <w:szCs w:val="15"/>
              </w:rPr>
            </w:pPr>
          </w:p>
        </w:tc>
        <w:tc>
          <w:tcPr>
            <w:tcW w:w="2308" w:type="dxa"/>
          </w:tcPr>
          <w:p w14:paraId="085C3CBD" w14:textId="77777777" w:rsidR="004E120D" w:rsidRPr="00C22A4C" w:rsidRDefault="004E120D" w:rsidP="004E120D">
            <w:pPr>
              <w:numPr>
                <w:ilvl w:val="0"/>
                <w:numId w:val="36"/>
              </w:numPr>
              <w:spacing w:before="60" w:line="240" w:lineRule="auto"/>
              <w:contextualSpacing/>
              <w:rPr>
                <w:sz w:val="15"/>
                <w:szCs w:val="15"/>
              </w:rPr>
            </w:pPr>
            <w:r w:rsidRPr="00C22A4C">
              <w:rPr>
                <w:sz w:val="15"/>
                <w:szCs w:val="15"/>
              </w:rPr>
              <w:t>Vanuatu’s health system is strengthened to detect and respond to health emergencies and to deliver quality, accessible health services.</w:t>
            </w:r>
          </w:p>
          <w:p w14:paraId="58BABE1A" w14:textId="29105F32" w:rsidR="004E120D" w:rsidRDefault="004E120D" w:rsidP="004E120D">
            <w:pPr>
              <w:spacing w:before="60" w:line="240" w:lineRule="auto"/>
              <w:ind w:left="269"/>
              <w:contextualSpacing/>
              <w:rPr>
                <w:sz w:val="15"/>
                <w:szCs w:val="15"/>
              </w:rPr>
            </w:pPr>
            <w:r w:rsidRPr="00C22A4C">
              <w:rPr>
                <w:sz w:val="15"/>
                <w:szCs w:val="15"/>
              </w:rPr>
              <w:t xml:space="preserve"> (Sustainable Development Goal 3)</w:t>
            </w:r>
          </w:p>
        </w:tc>
        <w:tc>
          <w:tcPr>
            <w:tcW w:w="0" w:type="auto"/>
          </w:tcPr>
          <w:p w14:paraId="7F37DBFE" w14:textId="77777777" w:rsidR="004E120D" w:rsidRPr="00C22A4C" w:rsidRDefault="004E120D" w:rsidP="004E120D">
            <w:pPr>
              <w:numPr>
                <w:ilvl w:val="0"/>
                <w:numId w:val="36"/>
              </w:numPr>
              <w:spacing w:before="60" w:line="240" w:lineRule="auto"/>
              <w:contextualSpacing/>
              <w:rPr>
                <w:sz w:val="15"/>
                <w:szCs w:val="15"/>
              </w:rPr>
            </w:pPr>
            <w:r w:rsidRPr="00C22A4C">
              <w:rPr>
                <w:sz w:val="15"/>
                <w:szCs w:val="15"/>
              </w:rPr>
              <w:t>Vanuatu’s governance and security systems are strengthened to improve essential service delivery, and the safety and inclusion of all, including through disaster and climate resilience.</w:t>
            </w:r>
          </w:p>
          <w:p w14:paraId="0F1BC43D" w14:textId="1CFF95AA" w:rsidR="004E120D" w:rsidRDefault="004E120D" w:rsidP="004E120D">
            <w:pPr>
              <w:tabs>
                <w:tab w:val="left" w:pos="7830"/>
              </w:tabs>
              <w:spacing w:after="120"/>
              <w:rPr>
                <w:sz w:val="15"/>
                <w:szCs w:val="15"/>
              </w:rPr>
            </w:pPr>
            <w:r w:rsidRPr="00C22A4C">
              <w:rPr>
                <w:sz w:val="15"/>
                <w:szCs w:val="15"/>
              </w:rPr>
              <w:t>(SDGs 4, 5, 10, 11, 13 &amp; 16)</w:t>
            </w:r>
          </w:p>
        </w:tc>
        <w:tc>
          <w:tcPr>
            <w:tcW w:w="0" w:type="auto"/>
          </w:tcPr>
          <w:p w14:paraId="141D4DF0" w14:textId="77777777" w:rsidR="004E120D" w:rsidRPr="00C22A4C" w:rsidRDefault="004E120D" w:rsidP="004E120D">
            <w:pPr>
              <w:numPr>
                <w:ilvl w:val="0"/>
                <w:numId w:val="36"/>
              </w:numPr>
              <w:spacing w:before="60" w:line="240" w:lineRule="auto"/>
              <w:rPr>
                <w:sz w:val="15"/>
                <w:szCs w:val="15"/>
              </w:rPr>
            </w:pPr>
            <w:r w:rsidRPr="00C22A4C">
              <w:rPr>
                <w:sz w:val="15"/>
                <w:szCs w:val="15"/>
              </w:rPr>
              <w:t>Vanuatu implements evidence-based measures to mitigate the economic impacts of COVID-19 and TC Harold and enables inclusive economic recovery.</w:t>
            </w:r>
          </w:p>
          <w:p w14:paraId="37441501" w14:textId="4343A5FC" w:rsidR="004E120D" w:rsidRDefault="004E120D" w:rsidP="004E120D">
            <w:pPr>
              <w:tabs>
                <w:tab w:val="left" w:pos="7830"/>
              </w:tabs>
              <w:spacing w:after="120"/>
              <w:rPr>
                <w:sz w:val="15"/>
                <w:szCs w:val="15"/>
              </w:rPr>
            </w:pPr>
            <w:r w:rsidRPr="00C22A4C">
              <w:rPr>
                <w:sz w:val="15"/>
                <w:szCs w:val="15"/>
              </w:rPr>
              <w:t>(SDGs 1, 8, &amp; 9)</w:t>
            </w:r>
          </w:p>
        </w:tc>
      </w:tr>
      <w:tr w:rsidR="004E120D" w14:paraId="63BD6E78" w14:textId="77777777" w:rsidTr="00C16604">
        <w:trPr>
          <w:trHeight w:val="6415"/>
        </w:trPr>
        <w:tc>
          <w:tcPr>
            <w:tcW w:w="1838" w:type="dxa"/>
          </w:tcPr>
          <w:p w14:paraId="2CD7BB30" w14:textId="15439E6C" w:rsidR="004E120D" w:rsidRDefault="004E120D" w:rsidP="004E120D">
            <w:pPr>
              <w:tabs>
                <w:tab w:val="left" w:pos="7830"/>
              </w:tabs>
              <w:spacing w:after="120"/>
              <w:rPr>
                <w:sz w:val="15"/>
                <w:szCs w:val="15"/>
              </w:rPr>
            </w:pPr>
            <w:r w:rsidRPr="00C22A4C">
              <w:rPr>
                <w:b/>
                <w:sz w:val="20"/>
                <w:szCs w:val="20"/>
              </w:rPr>
              <w:t>Key Results</w:t>
            </w:r>
          </w:p>
        </w:tc>
        <w:tc>
          <w:tcPr>
            <w:tcW w:w="2308" w:type="dxa"/>
          </w:tcPr>
          <w:p w14:paraId="5E2161F6" w14:textId="77777777" w:rsidR="004E120D" w:rsidRPr="00C22A4C" w:rsidRDefault="004E120D" w:rsidP="004E120D">
            <w:pPr>
              <w:spacing w:before="60" w:line="240" w:lineRule="auto"/>
              <w:contextualSpacing/>
              <w:rPr>
                <w:sz w:val="15"/>
                <w:szCs w:val="15"/>
              </w:rPr>
            </w:pPr>
            <w:r w:rsidRPr="00C22A4C">
              <w:rPr>
                <w:sz w:val="15"/>
                <w:szCs w:val="15"/>
              </w:rPr>
              <w:t>Health systems and preparedness</w:t>
            </w:r>
          </w:p>
          <w:p w14:paraId="41B7F435" w14:textId="77777777" w:rsidR="004E120D" w:rsidRPr="00C22A4C" w:rsidRDefault="004E120D" w:rsidP="004E120D">
            <w:pPr>
              <w:pStyle w:val="ListParagraph"/>
              <w:numPr>
                <w:ilvl w:val="0"/>
                <w:numId w:val="36"/>
              </w:numPr>
              <w:spacing w:before="60" w:line="240" w:lineRule="auto"/>
              <w:ind w:hanging="113"/>
              <w:rPr>
                <w:sz w:val="15"/>
                <w:szCs w:val="15"/>
              </w:rPr>
            </w:pPr>
            <w:r w:rsidRPr="00C22A4C">
              <w:rPr>
                <w:sz w:val="15"/>
                <w:szCs w:val="15"/>
              </w:rPr>
              <w:t>Strengthened health systems including preparedness for health emergencies (with examples)</w:t>
            </w:r>
          </w:p>
          <w:p w14:paraId="492066ED" w14:textId="77777777" w:rsidR="004E120D" w:rsidRPr="00C22A4C" w:rsidRDefault="004E120D" w:rsidP="004E120D">
            <w:pPr>
              <w:spacing w:before="60" w:line="240" w:lineRule="auto"/>
              <w:contextualSpacing/>
              <w:rPr>
                <w:sz w:val="15"/>
                <w:szCs w:val="15"/>
              </w:rPr>
            </w:pPr>
            <w:r w:rsidRPr="00C22A4C">
              <w:rPr>
                <w:sz w:val="15"/>
                <w:szCs w:val="15"/>
              </w:rPr>
              <w:t>Infectious disease outbreak response</w:t>
            </w:r>
          </w:p>
          <w:p w14:paraId="7B196B7C" w14:textId="77777777" w:rsidR="004E120D" w:rsidRPr="00C22A4C" w:rsidRDefault="004E120D" w:rsidP="004E120D">
            <w:pPr>
              <w:pStyle w:val="ListParagraph"/>
              <w:numPr>
                <w:ilvl w:val="0"/>
                <w:numId w:val="36"/>
              </w:numPr>
              <w:spacing w:before="60" w:line="240" w:lineRule="auto"/>
              <w:ind w:hanging="113"/>
              <w:rPr>
                <w:sz w:val="15"/>
                <w:szCs w:val="15"/>
              </w:rPr>
            </w:pPr>
            <w:r w:rsidRPr="00C22A4C">
              <w:rPr>
                <w:sz w:val="15"/>
                <w:szCs w:val="15"/>
              </w:rPr>
              <w:t>Evidence that Vanuatu has improved its response to health security threats</w:t>
            </w:r>
          </w:p>
          <w:p w14:paraId="193D68A3" w14:textId="77777777" w:rsidR="004E120D" w:rsidRPr="00C22A4C" w:rsidRDefault="004E120D" w:rsidP="004E120D">
            <w:pPr>
              <w:pStyle w:val="ListParagraph"/>
              <w:numPr>
                <w:ilvl w:val="0"/>
                <w:numId w:val="36"/>
              </w:numPr>
              <w:spacing w:before="60" w:line="240" w:lineRule="auto"/>
              <w:ind w:hanging="113"/>
              <w:rPr>
                <w:sz w:val="15"/>
                <w:szCs w:val="15"/>
              </w:rPr>
            </w:pPr>
            <w:r w:rsidRPr="00C22A4C">
              <w:rPr>
                <w:sz w:val="15"/>
                <w:szCs w:val="15"/>
              </w:rPr>
              <w:t>Examples of new or improved therapeutics, diagnostics, vaccines and additional equipment to which Australia has contributed that are accessible in Vanuatu</w:t>
            </w:r>
          </w:p>
          <w:p w14:paraId="63E400F7" w14:textId="77777777" w:rsidR="004E120D" w:rsidRPr="00C22A4C" w:rsidRDefault="004E120D" w:rsidP="004E120D">
            <w:pPr>
              <w:spacing w:before="60" w:line="240" w:lineRule="auto"/>
              <w:contextualSpacing/>
              <w:rPr>
                <w:sz w:val="15"/>
                <w:szCs w:val="15"/>
              </w:rPr>
            </w:pPr>
            <w:r w:rsidRPr="00C22A4C">
              <w:rPr>
                <w:sz w:val="15"/>
                <w:szCs w:val="15"/>
              </w:rPr>
              <w:t>Emergency Assistance</w:t>
            </w:r>
          </w:p>
          <w:p w14:paraId="6B34F721" w14:textId="3D05F612" w:rsidR="004E120D" w:rsidRDefault="004E120D" w:rsidP="004E120D">
            <w:pPr>
              <w:tabs>
                <w:tab w:val="left" w:pos="7830"/>
              </w:tabs>
              <w:spacing w:after="120"/>
              <w:rPr>
                <w:sz w:val="15"/>
                <w:szCs w:val="15"/>
              </w:rPr>
            </w:pPr>
            <w:r w:rsidRPr="00C22A4C">
              <w:rPr>
                <w:sz w:val="15"/>
                <w:szCs w:val="15"/>
              </w:rPr>
              <w:t>- # of vulnerable women, men, girls and boys provided with emergency assistance in a crisis (20/21 target 150; 21/22 target 150)</w:t>
            </w:r>
          </w:p>
        </w:tc>
        <w:tc>
          <w:tcPr>
            <w:tcW w:w="0" w:type="auto"/>
          </w:tcPr>
          <w:p w14:paraId="28BDF16C" w14:textId="77777777" w:rsidR="004E120D" w:rsidRPr="00C22A4C" w:rsidRDefault="004E120D" w:rsidP="004E120D">
            <w:pPr>
              <w:spacing w:before="60" w:line="240" w:lineRule="auto"/>
              <w:rPr>
                <w:sz w:val="15"/>
                <w:szCs w:val="15"/>
              </w:rPr>
            </w:pPr>
            <w:r w:rsidRPr="00C22A4C">
              <w:rPr>
                <w:sz w:val="15"/>
                <w:szCs w:val="15"/>
              </w:rPr>
              <w:t>Improved governance and security</w:t>
            </w:r>
          </w:p>
          <w:p w14:paraId="19E390C2" w14:textId="77777777" w:rsidR="004E120D" w:rsidRPr="00C22A4C" w:rsidRDefault="004E120D" w:rsidP="004E120D">
            <w:pPr>
              <w:pStyle w:val="ListParagraph"/>
              <w:numPr>
                <w:ilvl w:val="0"/>
                <w:numId w:val="36"/>
              </w:numPr>
              <w:spacing w:before="60" w:line="240" w:lineRule="auto"/>
              <w:ind w:hanging="113"/>
              <w:rPr>
                <w:sz w:val="15"/>
                <w:szCs w:val="15"/>
              </w:rPr>
            </w:pPr>
            <w:r w:rsidRPr="00C22A4C">
              <w:rPr>
                <w:sz w:val="15"/>
                <w:szCs w:val="15"/>
              </w:rPr>
              <w:t>Strengthened governance systems (by type - including assistance provided &amp; significant policy change achieved)</w:t>
            </w:r>
          </w:p>
          <w:p w14:paraId="4A3511C2" w14:textId="77777777" w:rsidR="004E120D" w:rsidRPr="00C22A4C" w:rsidRDefault="004E120D" w:rsidP="004E120D">
            <w:pPr>
              <w:pStyle w:val="ListParagraph"/>
              <w:numPr>
                <w:ilvl w:val="0"/>
                <w:numId w:val="36"/>
              </w:numPr>
              <w:spacing w:before="60" w:line="240" w:lineRule="auto"/>
              <w:ind w:hanging="113"/>
              <w:rPr>
                <w:sz w:val="15"/>
                <w:szCs w:val="15"/>
              </w:rPr>
            </w:pPr>
            <w:r w:rsidRPr="00C22A4C">
              <w:rPr>
                <w:sz w:val="15"/>
                <w:szCs w:val="15"/>
              </w:rPr>
              <w:t>Examples of increased participation of women in decision-making and leadership in key sectors with Australian support</w:t>
            </w:r>
          </w:p>
          <w:p w14:paraId="70F70A8D" w14:textId="77777777" w:rsidR="004E120D" w:rsidRPr="00C22A4C" w:rsidRDefault="004E120D" w:rsidP="004E120D">
            <w:pPr>
              <w:spacing w:before="60" w:line="240" w:lineRule="auto"/>
              <w:rPr>
                <w:sz w:val="15"/>
                <w:szCs w:val="15"/>
              </w:rPr>
            </w:pPr>
            <w:r w:rsidRPr="00C22A4C">
              <w:rPr>
                <w:sz w:val="15"/>
                <w:szCs w:val="15"/>
              </w:rPr>
              <w:t>Safer communities and security</w:t>
            </w:r>
          </w:p>
          <w:p w14:paraId="505CC393" w14:textId="77777777" w:rsidR="004E120D" w:rsidRPr="00C22A4C" w:rsidRDefault="004E120D" w:rsidP="004E120D">
            <w:pPr>
              <w:pStyle w:val="ListParagraph"/>
              <w:numPr>
                <w:ilvl w:val="0"/>
                <w:numId w:val="36"/>
              </w:numPr>
              <w:spacing w:before="60" w:line="240" w:lineRule="auto"/>
              <w:ind w:hanging="113"/>
              <w:rPr>
                <w:sz w:val="15"/>
                <w:szCs w:val="15"/>
              </w:rPr>
            </w:pPr>
            <w:r w:rsidRPr="00C22A4C">
              <w:rPr>
                <w:sz w:val="15"/>
                <w:szCs w:val="15"/>
              </w:rPr>
              <w:t xml:space="preserve"># of women and </w:t>
            </w:r>
            <w:proofErr w:type="gramStart"/>
            <w:r w:rsidRPr="00C22A4C">
              <w:rPr>
                <w:sz w:val="15"/>
                <w:szCs w:val="15"/>
              </w:rPr>
              <w:t>girls</w:t>
            </w:r>
            <w:proofErr w:type="gramEnd"/>
            <w:r w:rsidRPr="00C22A4C">
              <w:rPr>
                <w:sz w:val="15"/>
                <w:szCs w:val="15"/>
              </w:rPr>
              <w:t xml:space="preserve"> survivors of violence receiving services such as counselling (20/21 target 7,750; 21/22 target 8,000)</w:t>
            </w:r>
          </w:p>
          <w:p w14:paraId="11C7BE17" w14:textId="77777777" w:rsidR="004E120D" w:rsidRPr="00C22A4C" w:rsidRDefault="004E120D" w:rsidP="004E120D">
            <w:pPr>
              <w:pStyle w:val="ListParagraph"/>
              <w:numPr>
                <w:ilvl w:val="0"/>
                <w:numId w:val="36"/>
              </w:numPr>
              <w:spacing w:before="60" w:line="240" w:lineRule="auto"/>
              <w:ind w:hanging="113"/>
              <w:rPr>
                <w:sz w:val="15"/>
                <w:szCs w:val="15"/>
              </w:rPr>
            </w:pPr>
            <w:r w:rsidRPr="00C22A4C">
              <w:rPr>
                <w:sz w:val="15"/>
                <w:szCs w:val="15"/>
              </w:rPr>
              <w:t>Strengthened security capability and resilience (with examples)</w:t>
            </w:r>
          </w:p>
          <w:p w14:paraId="36D42A1C" w14:textId="77777777" w:rsidR="004E120D" w:rsidRPr="00C22A4C" w:rsidRDefault="004E120D" w:rsidP="004E120D">
            <w:pPr>
              <w:spacing w:before="60" w:line="240" w:lineRule="auto"/>
              <w:rPr>
                <w:sz w:val="15"/>
                <w:szCs w:val="15"/>
              </w:rPr>
            </w:pPr>
            <w:r w:rsidRPr="00C22A4C">
              <w:rPr>
                <w:sz w:val="15"/>
                <w:szCs w:val="15"/>
              </w:rPr>
              <w:t>Education</w:t>
            </w:r>
          </w:p>
          <w:p w14:paraId="04603F07" w14:textId="77777777" w:rsidR="004E120D" w:rsidRPr="00C22A4C" w:rsidRDefault="004E120D" w:rsidP="004E120D">
            <w:pPr>
              <w:pStyle w:val="ListParagraph"/>
              <w:numPr>
                <w:ilvl w:val="0"/>
                <w:numId w:val="36"/>
              </w:numPr>
              <w:spacing w:before="60" w:line="240" w:lineRule="auto"/>
              <w:ind w:hanging="113"/>
              <w:rPr>
                <w:sz w:val="15"/>
                <w:szCs w:val="15"/>
              </w:rPr>
            </w:pPr>
            <w:r w:rsidRPr="00C22A4C">
              <w:rPr>
                <w:sz w:val="15"/>
                <w:szCs w:val="15"/>
              </w:rPr>
              <w:t>Maintenance or improvement in the national enrolment rate at primary school [20/21 target 84.5%; 21/22 target 84.5%]</w:t>
            </w:r>
          </w:p>
          <w:p w14:paraId="7B5EB4A0" w14:textId="77777777" w:rsidR="004E120D" w:rsidRPr="00C22A4C" w:rsidRDefault="004E120D" w:rsidP="004E120D">
            <w:pPr>
              <w:spacing w:before="60" w:line="240" w:lineRule="auto"/>
              <w:rPr>
                <w:sz w:val="15"/>
                <w:szCs w:val="15"/>
              </w:rPr>
            </w:pPr>
            <w:r w:rsidRPr="00C22A4C">
              <w:rPr>
                <w:sz w:val="15"/>
                <w:szCs w:val="15"/>
              </w:rPr>
              <w:t>Climate resilience</w:t>
            </w:r>
          </w:p>
          <w:p w14:paraId="7B444A18" w14:textId="77777777" w:rsidR="004E120D" w:rsidRPr="00C22A4C" w:rsidRDefault="004E120D" w:rsidP="004E120D">
            <w:pPr>
              <w:pStyle w:val="ListParagraph"/>
              <w:numPr>
                <w:ilvl w:val="0"/>
                <w:numId w:val="36"/>
              </w:numPr>
              <w:spacing w:before="60" w:line="240" w:lineRule="auto"/>
              <w:ind w:hanging="113"/>
              <w:rPr>
                <w:sz w:val="15"/>
                <w:szCs w:val="15"/>
              </w:rPr>
            </w:pPr>
            <w:r w:rsidRPr="00C22A4C">
              <w:rPr>
                <w:sz w:val="15"/>
                <w:szCs w:val="15"/>
              </w:rPr>
              <w:t># of new or repaired buildings that meet universal access, standards, and disaster and climate resilient standards (20/21 cumulative target 15; 21/22 cumulative target 25)</w:t>
            </w:r>
          </w:p>
          <w:p w14:paraId="05DB712F" w14:textId="77777777" w:rsidR="004E120D" w:rsidRPr="00C22A4C" w:rsidRDefault="004E120D" w:rsidP="004E120D">
            <w:pPr>
              <w:spacing w:before="60" w:line="240" w:lineRule="auto"/>
              <w:rPr>
                <w:sz w:val="15"/>
                <w:szCs w:val="15"/>
              </w:rPr>
            </w:pPr>
            <w:r w:rsidRPr="00C22A4C">
              <w:rPr>
                <w:sz w:val="15"/>
                <w:szCs w:val="15"/>
              </w:rPr>
              <w:t xml:space="preserve">Social Protection measures </w:t>
            </w:r>
          </w:p>
          <w:p w14:paraId="69F98CE5" w14:textId="4E91D24B" w:rsidR="004E120D" w:rsidRDefault="004E120D" w:rsidP="004E120D">
            <w:pPr>
              <w:tabs>
                <w:tab w:val="left" w:pos="7830"/>
              </w:tabs>
              <w:spacing w:after="120"/>
              <w:rPr>
                <w:sz w:val="15"/>
                <w:szCs w:val="15"/>
              </w:rPr>
            </w:pPr>
            <w:r w:rsidRPr="00C22A4C">
              <w:rPr>
                <w:sz w:val="15"/>
                <w:szCs w:val="15"/>
              </w:rPr>
              <w:t># of people reached with new or improved social protection programs, including remote communities (20/21 target 21,000; 21/22 target TBC)</w:t>
            </w:r>
          </w:p>
        </w:tc>
        <w:tc>
          <w:tcPr>
            <w:tcW w:w="0" w:type="auto"/>
          </w:tcPr>
          <w:p w14:paraId="4B3D6641" w14:textId="77777777" w:rsidR="004E120D" w:rsidRPr="00C22A4C" w:rsidRDefault="004E120D" w:rsidP="004E120D">
            <w:pPr>
              <w:spacing w:before="60" w:line="240" w:lineRule="auto"/>
              <w:contextualSpacing/>
              <w:rPr>
                <w:sz w:val="15"/>
                <w:szCs w:val="15"/>
              </w:rPr>
            </w:pPr>
            <w:r w:rsidRPr="00C22A4C">
              <w:rPr>
                <w:sz w:val="15"/>
                <w:szCs w:val="15"/>
              </w:rPr>
              <w:t>Economic policy support</w:t>
            </w:r>
          </w:p>
          <w:p w14:paraId="0D88B1BE" w14:textId="77777777" w:rsidR="004E120D" w:rsidRPr="00C22A4C" w:rsidRDefault="004E120D" w:rsidP="004E120D">
            <w:pPr>
              <w:pStyle w:val="ListParagraph"/>
              <w:numPr>
                <w:ilvl w:val="0"/>
                <w:numId w:val="36"/>
              </w:numPr>
              <w:spacing w:before="60" w:line="240" w:lineRule="auto"/>
              <w:ind w:hanging="113"/>
              <w:rPr>
                <w:sz w:val="15"/>
                <w:szCs w:val="15"/>
              </w:rPr>
            </w:pPr>
            <w:r w:rsidRPr="00C22A4C">
              <w:rPr>
                <w:sz w:val="15"/>
                <w:szCs w:val="15"/>
              </w:rPr>
              <w:t xml:space="preserve">Policy and technical advice on sustainable stimulus measures and </w:t>
            </w:r>
            <w:proofErr w:type="gramStart"/>
            <w:r w:rsidRPr="00C22A4C">
              <w:rPr>
                <w:sz w:val="15"/>
                <w:szCs w:val="15"/>
              </w:rPr>
              <w:t>longer term</w:t>
            </w:r>
            <w:proofErr w:type="gramEnd"/>
            <w:r w:rsidRPr="00C22A4C">
              <w:rPr>
                <w:sz w:val="15"/>
                <w:szCs w:val="15"/>
              </w:rPr>
              <w:t xml:space="preserve"> economic recovery (with examples)</w:t>
            </w:r>
          </w:p>
          <w:p w14:paraId="50178F9A" w14:textId="77777777" w:rsidR="004E120D" w:rsidRPr="00C22A4C" w:rsidRDefault="004E120D" w:rsidP="004E120D">
            <w:pPr>
              <w:spacing w:before="60" w:line="240" w:lineRule="auto"/>
              <w:contextualSpacing/>
              <w:rPr>
                <w:sz w:val="15"/>
                <w:szCs w:val="15"/>
              </w:rPr>
            </w:pPr>
            <w:r w:rsidRPr="00C22A4C">
              <w:rPr>
                <w:sz w:val="15"/>
                <w:szCs w:val="15"/>
              </w:rPr>
              <w:t>Economic empowerment</w:t>
            </w:r>
          </w:p>
          <w:p w14:paraId="32ECEF06" w14:textId="77777777" w:rsidR="004E120D" w:rsidRPr="00C22A4C" w:rsidRDefault="004E120D" w:rsidP="004E120D">
            <w:pPr>
              <w:pStyle w:val="ListParagraph"/>
              <w:numPr>
                <w:ilvl w:val="0"/>
                <w:numId w:val="36"/>
              </w:numPr>
              <w:spacing w:before="60" w:line="240" w:lineRule="auto"/>
              <w:ind w:hanging="113"/>
              <w:rPr>
                <w:sz w:val="15"/>
                <w:szCs w:val="15"/>
              </w:rPr>
            </w:pPr>
            <w:r w:rsidRPr="00C22A4C">
              <w:rPr>
                <w:sz w:val="15"/>
                <w:szCs w:val="15"/>
              </w:rPr>
              <w:t xml:space="preserve"># of female entrepreneurs provided with financial and/or business </w:t>
            </w:r>
            <w:proofErr w:type="gramStart"/>
            <w:r w:rsidRPr="00C22A4C">
              <w:rPr>
                <w:sz w:val="15"/>
                <w:szCs w:val="15"/>
              </w:rPr>
              <w:t>development  services</w:t>
            </w:r>
            <w:proofErr w:type="gramEnd"/>
            <w:r w:rsidRPr="00C22A4C">
              <w:rPr>
                <w:sz w:val="15"/>
                <w:szCs w:val="15"/>
              </w:rPr>
              <w:t xml:space="preserve"> (20/21 target 150; 21/22 target 200)</w:t>
            </w:r>
          </w:p>
          <w:p w14:paraId="469A781F" w14:textId="77777777" w:rsidR="004E120D" w:rsidRPr="00C22A4C" w:rsidRDefault="004E120D" w:rsidP="004E120D">
            <w:pPr>
              <w:pStyle w:val="ListParagraph"/>
              <w:numPr>
                <w:ilvl w:val="0"/>
                <w:numId w:val="36"/>
              </w:numPr>
              <w:spacing w:before="60" w:line="240" w:lineRule="auto"/>
              <w:ind w:hanging="113"/>
              <w:rPr>
                <w:sz w:val="15"/>
                <w:szCs w:val="15"/>
              </w:rPr>
            </w:pPr>
            <w:r w:rsidRPr="00C22A4C">
              <w:rPr>
                <w:sz w:val="15"/>
                <w:szCs w:val="15"/>
              </w:rPr>
              <w:t>Training provided to increase livelihood and income generating opportunities (20/21 target 500; 21/22 target 550- people trained in work-ready skills, agriculture, construction and other industries)</w:t>
            </w:r>
          </w:p>
          <w:p w14:paraId="2EFF06EB" w14:textId="77777777" w:rsidR="004E120D" w:rsidRPr="00C22A4C" w:rsidRDefault="004E120D" w:rsidP="004E120D">
            <w:pPr>
              <w:spacing w:before="60" w:line="240" w:lineRule="auto"/>
              <w:contextualSpacing/>
              <w:rPr>
                <w:sz w:val="15"/>
                <w:szCs w:val="15"/>
              </w:rPr>
            </w:pPr>
            <w:r w:rsidRPr="00C22A4C">
              <w:rPr>
                <w:sz w:val="15"/>
                <w:szCs w:val="15"/>
              </w:rPr>
              <w:t>Supply chain support</w:t>
            </w:r>
          </w:p>
          <w:p w14:paraId="08B92E0E" w14:textId="77777777" w:rsidR="004E120D" w:rsidRPr="00C22A4C" w:rsidRDefault="004E120D" w:rsidP="004E120D">
            <w:pPr>
              <w:pStyle w:val="ListParagraph"/>
              <w:numPr>
                <w:ilvl w:val="0"/>
                <w:numId w:val="36"/>
              </w:numPr>
              <w:spacing w:before="60" w:line="240" w:lineRule="auto"/>
              <w:ind w:hanging="113"/>
              <w:rPr>
                <w:sz w:val="15"/>
                <w:szCs w:val="15"/>
              </w:rPr>
            </w:pPr>
            <w:r w:rsidRPr="00C22A4C">
              <w:rPr>
                <w:sz w:val="15"/>
                <w:szCs w:val="15"/>
              </w:rPr>
              <w:t>Examples of partnering with the private sector and other partners to ensure supply lines are open</w:t>
            </w:r>
          </w:p>
          <w:p w14:paraId="432889E8" w14:textId="77777777" w:rsidR="004E120D" w:rsidRPr="00C22A4C" w:rsidRDefault="004E120D" w:rsidP="004E120D">
            <w:pPr>
              <w:spacing w:before="60" w:line="240" w:lineRule="auto"/>
              <w:ind w:left="-91"/>
              <w:contextualSpacing/>
              <w:rPr>
                <w:sz w:val="15"/>
                <w:szCs w:val="15"/>
              </w:rPr>
            </w:pPr>
            <w:r w:rsidRPr="00C22A4C">
              <w:rPr>
                <w:sz w:val="15"/>
                <w:szCs w:val="15"/>
              </w:rPr>
              <w:t xml:space="preserve">  Budget support</w:t>
            </w:r>
          </w:p>
          <w:p w14:paraId="053F5350" w14:textId="77777777" w:rsidR="004E120D" w:rsidRPr="00C22A4C" w:rsidRDefault="004E120D" w:rsidP="004E120D">
            <w:pPr>
              <w:pStyle w:val="ListParagraph"/>
              <w:numPr>
                <w:ilvl w:val="0"/>
                <w:numId w:val="36"/>
              </w:numPr>
              <w:spacing w:before="60" w:line="240" w:lineRule="auto"/>
              <w:ind w:hanging="113"/>
              <w:rPr>
                <w:sz w:val="15"/>
                <w:szCs w:val="15"/>
              </w:rPr>
            </w:pPr>
            <w:r w:rsidRPr="00C22A4C">
              <w:rPr>
                <w:sz w:val="15"/>
                <w:szCs w:val="15"/>
              </w:rPr>
              <w:t>Australian budget support as a percentage of supplementary budget expenditure in response to COVID-19</w:t>
            </w:r>
          </w:p>
          <w:p w14:paraId="696BE938" w14:textId="77777777" w:rsidR="004E120D" w:rsidRPr="00C22A4C" w:rsidRDefault="004E120D" w:rsidP="004E120D">
            <w:pPr>
              <w:spacing w:before="60" w:line="240" w:lineRule="auto"/>
              <w:ind w:left="-91"/>
              <w:contextualSpacing/>
              <w:rPr>
                <w:sz w:val="15"/>
                <w:szCs w:val="15"/>
              </w:rPr>
            </w:pPr>
            <w:r w:rsidRPr="00C22A4C">
              <w:rPr>
                <w:sz w:val="15"/>
                <w:szCs w:val="15"/>
              </w:rPr>
              <w:t xml:space="preserve">  Improved roads</w:t>
            </w:r>
          </w:p>
          <w:p w14:paraId="259F1A37" w14:textId="6BDEFC48" w:rsidR="004E120D" w:rsidRDefault="004E120D" w:rsidP="004E120D">
            <w:pPr>
              <w:tabs>
                <w:tab w:val="left" w:pos="7830"/>
              </w:tabs>
              <w:spacing w:after="120"/>
              <w:rPr>
                <w:sz w:val="15"/>
                <w:szCs w:val="15"/>
              </w:rPr>
            </w:pPr>
            <w:r w:rsidRPr="00C22A4C">
              <w:rPr>
                <w:sz w:val="15"/>
                <w:szCs w:val="15"/>
              </w:rPr>
              <w:t>Length (km) of national road network maintained or repaired (20/21 target 1,300 km; 21/22 target 1000 km)</w:t>
            </w:r>
          </w:p>
        </w:tc>
      </w:tr>
      <w:tr w:rsidR="004E120D" w14:paraId="29F95F92" w14:textId="77777777" w:rsidTr="00C16604">
        <w:tc>
          <w:tcPr>
            <w:tcW w:w="1838" w:type="dxa"/>
          </w:tcPr>
          <w:p w14:paraId="6481486C" w14:textId="77777777" w:rsidR="004E120D" w:rsidRPr="00C22A4C" w:rsidRDefault="004E120D" w:rsidP="004E120D">
            <w:pPr>
              <w:spacing w:before="60" w:line="240" w:lineRule="auto"/>
              <w:rPr>
                <w:b/>
                <w:sz w:val="20"/>
                <w:szCs w:val="20"/>
              </w:rPr>
            </w:pPr>
            <w:r w:rsidRPr="00C22A4C">
              <w:rPr>
                <w:b/>
                <w:sz w:val="20"/>
                <w:szCs w:val="20"/>
              </w:rPr>
              <w:t xml:space="preserve">Supporting Investments </w:t>
            </w:r>
          </w:p>
          <w:p w14:paraId="7543DE29" w14:textId="77777777" w:rsidR="004E120D" w:rsidRDefault="004E120D" w:rsidP="004E120D">
            <w:pPr>
              <w:tabs>
                <w:tab w:val="left" w:pos="7830"/>
              </w:tabs>
              <w:spacing w:after="120"/>
              <w:rPr>
                <w:sz w:val="15"/>
                <w:szCs w:val="15"/>
              </w:rPr>
            </w:pPr>
          </w:p>
        </w:tc>
        <w:tc>
          <w:tcPr>
            <w:tcW w:w="2308" w:type="dxa"/>
          </w:tcPr>
          <w:p w14:paraId="4EC43139" w14:textId="77777777" w:rsidR="004E120D" w:rsidRPr="00C22A4C" w:rsidRDefault="004E120D" w:rsidP="004E120D">
            <w:pPr>
              <w:numPr>
                <w:ilvl w:val="0"/>
                <w:numId w:val="36"/>
              </w:numPr>
              <w:spacing w:before="60" w:line="240" w:lineRule="auto"/>
              <w:contextualSpacing/>
              <w:rPr>
                <w:sz w:val="15"/>
                <w:szCs w:val="15"/>
              </w:rPr>
            </w:pPr>
            <w:r w:rsidRPr="00C22A4C">
              <w:rPr>
                <w:sz w:val="15"/>
                <w:szCs w:val="15"/>
              </w:rPr>
              <w:t>Vanuatu Health Program</w:t>
            </w:r>
          </w:p>
          <w:p w14:paraId="57A13750" w14:textId="77777777" w:rsidR="004E120D" w:rsidRPr="00C22A4C" w:rsidRDefault="004E120D" w:rsidP="004E120D">
            <w:pPr>
              <w:numPr>
                <w:ilvl w:val="0"/>
                <w:numId w:val="36"/>
              </w:numPr>
              <w:spacing w:before="60" w:line="240" w:lineRule="auto"/>
              <w:contextualSpacing/>
              <w:rPr>
                <w:sz w:val="15"/>
                <w:szCs w:val="15"/>
              </w:rPr>
            </w:pPr>
            <w:r w:rsidRPr="00C22A4C">
              <w:rPr>
                <w:sz w:val="15"/>
                <w:szCs w:val="15"/>
              </w:rPr>
              <w:t>Australian Humanitarian Partnership*</w:t>
            </w:r>
          </w:p>
          <w:p w14:paraId="5ED3EF92" w14:textId="77777777" w:rsidR="004E120D" w:rsidRPr="00C22A4C" w:rsidRDefault="004E120D" w:rsidP="004E120D">
            <w:pPr>
              <w:numPr>
                <w:ilvl w:val="0"/>
                <w:numId w:val="36"/>
              </w:numPr>
              <w:spacing w:before="60" w:line="240" w:lineRule="auto"/>
              <w:contextualSpacing/>
              <w:rPr>
                <w:sz w:val="15"/>
                <w:szCs w:val="15"/>
              </w:rPr>
            </w:pPr>
            <w:r w:rsidRPr="00C22A4C">
              <w:rPr>
                <w:sz w:val="15"/>
                <w:szCs w:val="15"/>
              </w:rPr>
              <w:t>Australian NGO Cooperation Program*</w:t>
            </w:r>
          </w:p>
          <w:p w14:paraId="039AA961" w14:textId="77777777" w:rsidR="004E120D" w:rsidRPr="00C22A4C" w:rsidRDefault="004E120D" w:rsidP="004E120D">
            <w:pPr>
              <w:numPr>
                <w:ilvl w:val="0"/>
                <w:numId w:val="36"/>
              </w:numPr>
              <w:spacing w:before="60" w:line="240" w:lineRule="auto"/>
              <w:contextualSpacing/>
              <w:rPr>
                <w:sz w:val="15"/>
                <w:szCs w:val="15"/>
              </w:rPr>
            </w:pPr>
            <w:r w:rsidRPr="00C22A4C">
              <w:rPr>
                <w:sz w:val="15"/>
                <w:szCs w:val="15"/>
              </w:rPr>
              <w:t>Pacific Islands Food Revolution</w:t>
            </w:r>
          </w:p>
          <w:p w14:paraId="5F60B2F2" w14:textId="77777777" w:rsidR="004E120D" w:rsidRPr="00C22A4C" w:rsidRDefault="004E120D" w:rsidP="004E120D">
            <w:pPr>
              <w:numPr>
                <w:ilvl w:val="0"/>
                <w:numId w:val="36"/>
              </w:numPr>
              <w:spacing w:before="60" w:line="240" w:lineRule="auto"/>
              <w:contextualSpacing/>
              <w:rPr>
                <w:sz w:val="15"/>
                <w:szCs w:val="15"/>
              </w:rPr>
            </w:pPr>
            <w:r w:rsidRPr="00C22A4C">
              <w:rPr>
                <w:sz w:val="15"/>
                <w:szCs w:val="15"/>
              </w:rPr>
              <w:t>Pacific Regional Health Strategy</w:t>
            </w:r>
          </w:p>
          <w:p w14:paraId="1BBDDD69" w14:textId="77777777" w:rsidR="004E120D" w:rsidRPr="00C22A4C" w:rsidRDefault="004E120D" w:rsidP="004E120D">
            <w:pPr>
              <w:numPr>
                <w:ilvl w:val="0"/>
                <w:numId w:val="36"/>
              </w:numPr>
              <w:spacing w:before="60" w:line="240" w:lineRule="auto"/>
              <w:contextualSpacing/>
              <w:rPr>
                <w:sz w:val="15"/>
                <w:szCs w:val="15"/>
              </w:rPr>
            </w:pPr>
            <w:r w:rsidRPr="00C22A4C">
              <w:rPr>
                <w:sz w:val="15"/>
                <w:szCs w:val="15"/>
              </w:rPr>
              <w:t>SPC – Public Health Division</w:t>
            </w:r>
          </w:p>
          <w:p w14:paraId="5DE3C369" w14:textId="77777777" w:rsidR="004E120D" w:rsidRPr="00C22A4C" w:rsidRDefault="004E120D" w:rsidP="004E120D">
            <w:pPr>
              <w:numPr>
                <w:ilvl w:val="0"/>
                <w:numId w:val="36"/>
              </w:numPr>
              <w:spacing w:before="60" w:line="240" w:lineRule="auto"/>
              <w:contextualSpacing/>
              <w:rPr>
                <w:sz w:val="15"/>
                <w:szCs w:val="15"/>
              </w:rPr>
            </w:pPr>
            <w:r w:rsidRPr="00C22A4C">
              <w:rPr>
                <w:sz w:val="15"/>
                <w:szCs w:val="15"/>
              </w:rPr>
              <w:t>Asia Pacific Malaria Elimination</w:t>
            </w:r>
          </w:p>
          <w:p w14:paraId="05CC6AD1" w14:textId="77777777" w:rsidR="004E120D" w:rsidRPr="00C22A4C" w:rsidRDefault="004E120D" w:rsidP="004E120D">
            <w:pPr>
              <w:numPr>
                <w:ilvl w:val="0"/>
                <w:numId w:val="36"/>
              </w:numPr>
              <w:spacing w:before="60" w:line="240" w:lineRule="auto"/>
              <w:contextualSpacing/>
              <w:rPr>
                <w:sz w:val="15"/>
                <w:szCs w:val="15"/>
              </w:rPr>
            </w:pPr>
            <w:r w:rsidRPr="00C22A4C">
              <w:rPr>
                <w:sz w:val="15"/>
                <w:szCs w:val="15"/>
              </w:rPr>
              <w:t>Global Fund</w:t>
            </w:r>
          </w:p>
          <w:p w14:paraId="0E2A74F9" w14:textId="77777777" w:rsidR="004E120D" w:rsidRPr="00C22A4C" w:rsidRDefault="004E120D" w:rsidP="004E120D">
            <w:pPr>
              <w:numPr>
                <w:ilvl w:val="0"/>
                <w:numId w:val="36"/>
              </w:numPr>
              <w:spacing w:before="60" w:line="240" w:lineRule="auto"/>
              <w:contextualSpacing/>
              <w:rPr>
                <w:sz w:val="15"/>
                <w:szCs w:val="15"/>
              </w:rPr>
            </w:pPr>
            <w:r w:rsidRPr="00C22A4C">
              <w:rPr>
                <w:sz w:val="15"/>
                <w:szCs w:val="15"/>
              </w:rPr>
              <w:t>World Bank ‘Advance UHC’ and Pacific Facility 4</w:t>
            </w:r>
          </w:p>
          <w:p w14:paraId="0DD62BE8" w14:textId="77777777" w:rsidR="004E120D" w:rsidRPr="00C22A4C" w:rsidRDefault="004E120D" w:rsidP="004E120D">
            <w:pPr>
              <w:numPr>
                <w:ilvl w:val="0"/>
                <w:numId w:val="36"/>
              </w:numPr>
              <w:spacing w:before="60" w:line="240" w:lineRule="auto"/>
              <w:contextualSpacing/>
              <w:rPr>
                <w:sz w:val="15"/>
                <w:szCs w:val="15"/>
              </w:rPr>
            </w:pPr>
            <w:r w:rsidRPr="00C22A4C">
              <w:rPr>
                <w:sz w:val="15"/>
                <w:szCs w:val="15"/>
              </w:rPr>
              <w:t xml:space="preserve">UN Programs including UNPFA, UNICEF and UNAIDS </w:t>
            </w:r>
          </w:p>
          <w:p w14:paraId="6C5F26A4" w14:textId="77777777" w:rsidR="004E120D" w:rsidRPr="00C22A4C" w:rsidRDefault="004E120D" w:rsidP="004E120D">
            <w:pPr>
              <w:numPr>
                <w:ilvl w:val="0"/>
                <w:numId w:val="36"/>
              </w:numPr>
              <w:spacing w:before="60" w:line="240" w:lineRule="auto"/>
              <w:contextualSpacing/>
              <w:rPr>
                <w:sz w:val="15"/>
                <w:szCs w:val="15"/>
              </w:rPr>
            </w:pPr>
            <w:r w:rsidRPr="00C22A4C">
              <w:rPr>
                <w:sz w:val="15"/>
                <w:szCs w:val="15"/>
              </w:rPr>
              <w:t>World Health Organisation</w:t>
            </w:r>
          </w:p>
          <w:p w14:paraId="195A46BC" w14:textId="77777777" w:rsidR="004E120D" w:rsidRPr="00C22A4C" w:rsidRDefault="004E120D" w:rsidP="004E120D">
            <w:pPr>
              <w:numPr>
                <w:ilvl w:val="0"/>
                <w:numId w:val="36"/>
              </w:numPr>
              <w:spacing w:before="60" w:line="240" w:lineRule="auto"/>
              <w:contextualSpacing/>
              <w:rPr>
                <w:sz w:val="15"/>
                <w:szCs w:val="15"/>
              </w:rPr>
            </w:pPr>
            <w:r w:rsidRPr="00C22A4C">
              <w:rPr>
                <w:sz w:val="15"/>
                <w:szCs w:val="15"/>
              </w:rPr>
              <w:t>Water for Women*</w:t>
            </w:r>
          </w:p>
          <w:p w14:paraId="3758562A" w14:textId="77777777" w:rsidR="004E120D" w:rsidRPr="00C22A4C" w:rsidRDefault="004E120D" w:rsidP="004E120D">
            <w:pPr>
              <w:spacing w:before="60" w:line="240" w:lineRule="auto"/>
              <w:ind w:left="269"/>
              <w:contextualSpacing/>
              <w:rPr>
                <w:sz w:val="15"/>
                <w:szCs w:val="15"/>
              </w:rPr>
            </w:pPr>
          </w:p>
          <w:p w14:paraId="47AED2AA" w14:textId="52EE681E" w:rsidR="004E120D" w:rsidRDefault="004E120D" w:rsidP="004E120D">
            <w:pPr>
              <w:tabs>
                <w:tab w:val="left" w:pos="7830"/>
              </w:tabs>
              <w:spacing w:after="120"/>
              <w:rPr>
                <w:sz w:val="15"/>
                <w:szCs w:val="15"/>
              </w:rPr>
            </w:pPr>
            <w:r w:rsidRPr="00C22A4C">
              <w:rPr>
                <w:sz w:val="15"/>
                <w:szCs w:val="15"/>
              </w:rPr>
              <w:t>* Investment contributes to multiple objectives</w:t>
            </w:r>
          </w:p>
        </w:tc>
        <w:tc>
          <w:tcPr>
            <w:tcW w:w="0" w:type="auto"/>
          </w:tcPr>
          <w:p w14:paraId="1F1D1F17" w14:textId="77777777" w:rsidR="004E120D" w:rsidRPr="00C22A4C" w:rsidRDefault="004E120D" w:rsidP="004E120D">
            <w:pPr>
              <w:numPr>
                <w:ilvl w:val="0"/>
                <w:numId w:val="36"/>
              </w:numPr>
              <w:spacing w:before="60" w:line="240" w:lineRule="auto"/>
              <w:contextualSpacing/>
              <w:rPr>
                <w:sz w:val="15"/>
                <w:szCs w:val="15"/>
              </w:rPr>
            </w:pPr>
            <w:r w:rsidRPr="00C22A4C">
              <w:rPr>
                <w:sz w:val="15"/>
                <w:szCs w:val="15"/>
              </w:rPr>
              <w:t>Vanuatu Education Support Program</w:t>
            </w:r>
          </w:p>
          <w:p w14:paraId="3B3E872E" w14:textId="77777777" w:rsidR="004E120D" w:rsidRPr="00C22A4C" w:rsidRDefault="004E120D" w:rsidP="004E120D">
            <w:pPr>
              <w:numPr>
                <w:ilvl w:val="0"/>
                <w:numId w:val="36"/>
              </w:numPr>
              <w:spacing w:before="60" w:line="240" w:lineRule="auto"/>
              <w:contextualSpacing/>
              <w:rPr>
                <w:sz w:val="15"/>
                <w:szCs w:val="15"/>
              </w:rPr>
            </w:pPr>
            <w:r w:rsidRPr="00C22A4C">
              <w:rPr>
                <w:sz w:val="15"/>
                <w:szCs w:val="15"/>
              </w:rPr>
              <w:t>Vanuatu Australia Policing and Justice Program/ Australian Federal Police</w:t>
            </w:r>
          </w:p>
          <w:p w14:paraId="68D4B0AC" w14:textId="77777777" w:rsidR="004E120D" w:rsidRPr="00C22A4C" w:rsidRDefault="004E120D" w:rsidP="004E120D">
            <w:pPr>
              <w:numPr>
                <w:ilvl w:val="0"/>
                <w:numId w:val="36"/>
              </w:numPr>
              <w:spacing w:before="60" w:line="240" w:lineRule="auto"/>
              <w:contextualSpacing/>
              <w:rPr>
                <w:sz w:val="15"/>
                <w:szCs w:val="15"/>
              </w:rPr>
            </w:pPr>
            <w:r w:rsidRPr="00C22A4C">
              <w:rPr>
                <w:sz w:val="15"/>
                <w:szCs w:val="15"/>
              </w:rPr>
              <w:t xml:space="preserve">Defence Cooperation Program </w:t>
            </w:r>
            <w:proofErr w:type="spellStart"/>
            <w:r w:rsidRPr="00C22A4C">
              <w:rPr>
                <w:sz w:val="15"/>
                <w:szCs w:val="15"/>
              </w:rPr>
              <w:t>inc.</w:t>
            </w:r>
            <w:proofErr w:type="spellEnd"/>
            <w:r w:rsidRPr="00C22A4C">
              <w:rPr>
                <w:sz w:val="15"/>
                <w:szCs w:val="15"/>
              </w:rPr>
              <w:t xml:space="preserve"> Pacific Maritime Security Program and Cook/</w:t>
            </w:r>
            <w:proofErr w:type="spellStart"/>
            <w:r w:rsidRPr="00C22A4C">
              <w:rPr>
                <w:sz w:val="15"/>
                <w:szCs w:val="15"/>
              </w:rPr>
              <w:t>Tiroas</w:t>
            </w:r>
            <w:proofErr w:type="spellEnd"/>
            <w:r w:rsidRPr="00C22A4C">
              <w:rPr>
                <w:sz w:val="15"/>
                <w:szCs w:val="15"/>
              </w:rPr>
              <w:t xml:space="preserve"> Barracks re-development</w:t>
            </w:r>
          </w:p>
          <w:p w14:paraId="428AA2D5" w14:textId="77777777" w:rsidR="004E120D" w:rsidRPr="00C22A4C" w:rsidRDefault="004E120D" w:rsidP="004E120D">
            <w:pPr>
              <w:numPr>
                <w:ilvl w:val="0"/>
                <w:numId w:val="36"/>
              </w:numPr>
              <w:spacing w:before="60" w:line="240" w:lineRule="auto"/>
              <w:contextualSpacing/>
              <w:rPr>
                <w:sz w:val="15"/>
                <w:szCs w:val="15"/>
              </w:rPr>
            </w:pPr>
            <w:r w:rsidRPr="00C22A4C">
              <w:rPr>
                <w:sz w:val="15"/>
                <w:szCs w:val="15"/>
              </w:rPr>
              <w:t>Department of Home Affairs - ABF</w:t>
            </w:r>
          </w:p>
          <w:p w14:paraId="5B9591E1" w14:textId="77777777" w:rsidR="004E120D" w:rsidRPr="00C22A4C" w:rsidRDefault="004E120D" w:rsidP="004E120D">
            <w:pPr>
              <w:numPr>
                <w:ilvl w:val="0"/>
                <w:numId w:val="36"/>
              </w:numPr>
              <w:spacing w:before="60" w:line="240" w:lineRule="auto"/>
              <w:contextualSpacing/>
              <w:rPr>
                <w:sz w:val="15"/>
                <w:szCs w:val="15"/>
              </w:rPr>
            </w:pPr>
            <w:r w:rsidRPr="00C22A4C">
              <w:rPr>
                <w:sz w:val="15"/>
                <w:szCs w:val="15"/>
              </w:rPr>
              <w:t>Attorney General’s Department Pacific Law and Justice Program</w:t>
            </w:r>
          </w:p>
          <w:p w14:paraId="140A500A" w14:textId="77777777" w:rsidR="004E120D" w:rsidRPr="00C22A4C" w:rsidRDefault="004E120D" w:rsidP="004E120D">
            <w:pPr>
              <w:numPr>
                <w:ilvl w:val="0"/>
                <w:numId w:val="36"/>
              </w:numPr>
              <w:spacing w:before="60" w:line="240" w:lineRule="auto"/>
              <w:contextualSpacing/>
              <w:rPr>
                <w:sz w:val="15"/>
                <w:szCs w:val="15"/>
              </w:rPr>
            </w:pPr>
            <w:r w:rsidRPr="00C22A4C">
              <w:rPr>
                <w:sz w:val="15"/>
                <w:szCs w:val="15"/>
              </w:rPr>
              <w:t>Pacific Women Shaping Pacific Development*</w:t>
            </w:r>
          </w:p>
          <w:p w14:paraId="6AAD474D" w14:textId="77777777" w:rsidR="004E120D" w:rsidRPr="00C22A4C" w:rsidRDefault="004E120D" w:rsidP="004E120D">
            <w:pPr>
              <w:numPr>
                <w:ilvl w:val="0"/>
                <w:numId w:val="36"/>
              </w:numPr>
              <w:spacing w:before="60" w:line="240" w:lineRule="auto"/>
              <w:contextualSpacing/>
              <w:rPr>
                <w:sz w:val="15"/>
                <w:szCs w:val="15"/>
              </w:rPr>
            </w:pPr>
            <w:r w:rsidRPr="00C22A4C">
              <w:rPr>
                <w:sz w:val="15"/>
                <w:szCs w:val="15"/>
              </w:rPr>
              <w:t>Tropical Cyclone Harold Response*</w:t>
            </w:r>
          </w:p>
          <w:p w14:paraId="1495539B" w14:textId="77777777" w:rsidR="004E120D" w:rsidRPr="00C22A4C" w:rsidRDefault="004E120D" w:rsidP="004E120D">
            <w:pPr>
              <w:numPr>
                <w:ilvl w:val="0"/>
                <w:numId w:val="36"/>
              </w:numPr>
              <w:spacing w:before="60" w:line="240" w:lineRule="auto"/>
              <w:contextualSpacing/>
              <w:rPr>
                <w:sz w:val="15"/>
                <w:szCs w:val="15"/>
              </w:rPr>
            </w:pPr>
            <w:r w:rsidRPr="00C22A4C">
              <w:rPr>
                <w:sz w:val="15"/>
                <w:szCs w:val="15"/>
              </w:rPr>
              <w:t>Volcano Recovery Program*</w:t>
            </w:r>
          </w:p>
          <w:p w14:paraId="3FB513BC" w14:textId="77777777" w:rsidR="004E120D" w:rsidRPr="00C22A4C" w:rsidRDefault="004E120D" w:rsidP="004E120D">
            <w:pPr>
              <w:numPr>
                <w:ilvl w:val="0"/>
                <w:numId w:val="36"/>
              </w:numPr>
              <w:spacing w:before="60" w:line="240" w:lineRule="auto"/>
              <w:contextualSpacing/>
              <w:rPr>
                <w:sz w:val="15"/>
                <w:szCs w:val="15"/>
              </w:rPr>
            </w:pPr>
            <w:r w:rsidRPr="00C22A4C">
              <w:rPr>
                <w:sz w:val="15"/>
                <w:szCs w:val="15"/>
              </w:rPr>
              <w:t>Australia Awards</w:t>
            </w:r>
          </w:p>
          <w:p w14:paraId="20C2F681" w14:textId="77777777" w:rsidR="004E120D" w:rsidRPr="00C22A4C" w:rsidRDefault="004E120D" w:rsidP="004E120D">
            <w:pPr>
              <w:numPr>
                <w:ilvl w:val="0"/>
                <w:numId w:val="36"/>
              </w:numPr>
              <w:spacing w:before="60" w:line="240" w:lineRule="auto"/>
              <w:contextualSpacing/>
              <w:rPr>
                <w:sz w:val="15"/>
                <w:szCs w:val="15"/>
              </w:rPr>
            </w:pPr>
            <w:r w:rsidRPr="00C22A4C">
              <w:rPr>
                <w:sz w:val="15"/>
                <w:szCs w:val="15"/>
              </w:rPr>
              <w:t>Australia Assists* and Australian Volunteers*</w:t>
            </w:r>
          </w:p>
          <w:p w14:paraId="72777938" w14:textId="77777777" w:rsidR="004E120D" w:rsidRPr="00C22A4C" w:rsidRDefault="004E120D" w:rsidP="004E120D">
            <w:pPr>
              <w:numPr>
                <w:ilvl w:val="0"/>
                <w:numId w:val="36"/>
              </w:numPr>
              <w:spacing w:before="60" w:line="240" w:lineRule="auto"/>
              <w:contextualSpacing/>
              <w:rPr>
                <w:sz w:val="15"/>
                <w:szCs w:val="15"/>
              </w:rPr>
            </w:pPr>
            <w:r w:rsidRPr="00C22A4C">
              <w:rPr>
                <w:sz w:val="15"/>
                <w:szCs w:val="15"/>
              </w:rPr>
              <w:t>Australian Red Cross Partnership*</w:t>
            </w:r>
          </w:p>
          <w:p w14:paraId="6C7248AF" w14:textId="77777777" w:rsidR="004E120D" w:rsidRPr="00C22A4C" w:rsidRDefault="004E120D" w:rsidP="004E120D">
            <w:pPr>
              <w:numPr>
                <w:ilvl w:val="0"/>
                <w:numId w:val="36"/>
              </w:numPr>
              <w:spacing w:before="60" w:line="240" w:lineRule="auto"/>
              <w:contextualSpacing/>
              <w:rPr>
                <w:sz w:val="15"/>
                <w:szCs w:val="15"/>
              </w:rPr>
            </w:pPr>
            <w:r w:rsidRPr="00C22A4C">
              <w:rPr>
                <w:sz w:val="15"/>
                <w:szCs w:val="15"/>
              </w:rPr>
              <w:t>Global Partnership for Education</w:t>
            </w:r>
          </w:p>
          <w:p w14:paraId="775B5EC7" w14:textId="77777777" w:rsidR="004E120D" w:rsidRPr="00C22A4C" w:rsidRDefault="004E120D" w:rsidP="004E120D">
            <w:pPr>
              <w:numPr>
                <w:ilvl w:val="0"/>
                <w:numId w:val="36"/>
              </w:numPr>
              <w:spacing w:before="60" w:line="240" w:lineRule="auto"/>
              <w:contextualSpacing/>
              <w:rPr>
                <w:sz w:val="15"/>
                <w:szCs w:val="15"/>
              </w:rPr>
            </w:pPr>
            <w:r w:rsidRPr="00C22A4C">
              <w:rPr>
                <w:sz w:val="15"/>
                <w:szCs w:val="15"/>
              </w:rPr>
              <w:t>Pacific Prepare</w:t>
            </w:r>
          </w:p>
          <w:p w14:paraId="074FE637" w14:textId="77777777" w:rsidR="004E120D" w:rsidRPr="00C22A4C" w:rsidRDefault="004E120D" w:rsidP="004E120D">
            <w:pPr>
              <w:numPr>
                <w:ilvl w:val="0"/>
                <w:numId w:val="36"/>
              </w:numPr>
              <w:spacing w:before="60" w:line="240" w:lineRule="auto"/>
              <w:contextualSpacing/>
              <w:rPr>
                <w:sz w:val="15"/>
                <w:szCs w:val="15"/>
              </w:rPr>
            </w:pPr>
            <w:r w:rsidRPr="00C22A4C">
              <w:rPr>
                <w:sz w:val="15"/>
                <w:szCs w:val="15"/>
              </w:rPr>
              <w:t>Pacific Church Partnerships</w:t>
            </w:r>
          </w:p>
          <w:p w14:paraId="1F3F9171" w14:textId="77777777" w:rsidR="004E120D" w:rsidRPr="00C22A4C" w:rsidRDefault="004E120D" w:rsidP="004E120D">
            <w:pPr>
              <w:numPr>
                <w:ilvl w:val="0"/>
                <w:numId w:val="36"/>
              </w:numPr>
              <w:spacing w:before="60" w:line="240" w:lineRule="auto"/>
              <w:contextualSpacing/>
              <w:rPr>
                <w:sz w:val="15"/>
                <w:szCs w:val="15"/>
              </w:rPr>
            </w:pPr>
            <w:r w:rsidRPr="00C22A4C">
              <w:rPr>
                <w:sz w:val="15"/>
                <w:szCs w:val="15"/>
              </w:rPr>
              <w:t xml:space="preserve">Wan </w:t>
            </w:r>
            <w:proofErr w:type="spellStart"/>
            <w:r w:rsidRPr="00C22A4C">
              <w:rPr>
                <w:sz w:val="15"/>
                <w:szCs w:val="15"/>
              </w:rPr>
              <w:t>Smolbag</w:t>
            </w:r>
            <w:proofErr w:type="spellEnd"/>
            <w:r w:rsidRPr="00C22A4C">
              <w:rPr>
                <w:sz w:val="15"/>
                <w:szCs w:val="15"/>
              </w:rPr>
              <w:t xml:space="preserve"> Community Partnership*</w:t>
            </w:r>
          </w:p>
          <w:p w14:paraId="64BB5E23" w14:textId="77777777" w:rsidR="004E120D" w:rsidRPr="00C22A4C" w:rsidRDefault="004E120D" w:rsidP="004E120D">
            <w:pPr>
              <w:numPr>
                <w:ilvl w:val="0"/>
                <w:numId w:val="36"/>
              </w:numPr>
              <w:spacing w:before="60" w:line="240" w:lineRule="auto"/>
              <w:contextualSpacing/>
              <w:rPr>
                <w:sz w:val="15"/>
                <w:szCs w:val="15"/>
              </w:rPr>
            </w:pPr>
            <w:r w:rsidRPr="00C22A4C">
              <w:rPr>
                <w:sz w:val="15"/>
                <w:szCs w:val="15"/>
              </w:rPr>
              <w:t>Pacific Media Assistance Scheme (PACMAS)</w:t>
            </w:r>
          </w:p>
          <w:p w14:paraId="18D4A2B2" w14:textId="03174680" w:rsidR="004E120D" w:rsidRDefault="004E120D" w:rsidP="004E120D">
            <w:pPr>
              <w:tabs>
                <w:tab w:val="left" w:pos="7830"/>
              </w:tabs>
              <w:spacing w:after="120"/>
              <w:rPr>
                <w:sz w:val="15"/>
                <w:szCs w:val="15"/>
              </w:rPr>
            </w:pPr>
            <w:r w:rsidRPr="00C22A4C">
              <w:rPr>
                <w:sz w:val="15"/>
                <w:szCs w:val="15"/>
              </w:rPr>
              <w:t>Australia Pacific Climate Partnership (APCP)</w:t>
            </w:r>
          </w:p>
        </w:tc>
        <w:tc>
          <w:tcPr>
            <w:tcW w:w="0" w:type="auto"/>
          </w:tcPr>
          <w:p w14:paraId="2EF8518D" w14:textId="77777777" w:rsidR="004E120D" w:rsidRPr="00C22A4C" w:rsidRDefault="004E120D" w:rsidP="004E120D">
            <w:pPr>
              <w:numPr>
                <w:ilvl w:val="0"/>
                <w:numId w:val="36"/>
              </w:numPr>
              <w:spacing w:before="60" w:line="240" w:lineRule="auto"/>
              <w:contextualSpacing/>
              <w:rPr>
                <w:sz w:val="15"/>
                <w:szCs w:val="15"/>
              </w:rPr>
            </w:pPr>
            <w:r w:rsidRPr="00C22A4C">
              <w:rPr>
                <w:sz w:val="15"/>
                <w:szCs w:val="15"/>
              </w:rPr>
              <w:t>Governance for Growth*</w:t>
            </w:r>
          </w:p>
          <w:p w14:paraId="075D58C8" w14:textId="77777777" w:rsidR="004E120D" w:rsidRPr="00C22A4C" w:rsidRDefault="004E120D" w:rsidP="004E120D">
            <w:pPr>
              <w:numPr>
                <w:ilvl w:val="0"/>
                <w:numId w:val="36"/>
              </w:numPr>
              <w:spacing w:before="60" w:line="240" w:lineRule="auto"/>
              <w:contextualSpacing/>
              <w:rPr>
                <w:sz w:val="15"/>
                <w:szCs w:val="15"/>
              </w:rPr>
            </w:pPr>
            <w:r w:rsidRPr="00C22A4C">
              <w:rPr>
                <w:sz w:val="15"/>
                <w:szCs w:val="15"/>
              </w:rPr>
              <w:t>Roads for Development</w:t>
            </w:r>
          </w:p>
          <w:p w14:paraId="2323B0DF" w14:textId="77777777" w:rsidR="004E120D" w:rsidRPr="00C22A4C" w:rsidRDefault="004E120D" w:rsidP="004E120D">
            <w:pPr>
              <w:numPr>
                <w:ilvl w:val="0"/>
                <w:numId w:val="36"/>
              </w:numPr>
              <w:spacing w:before="60" w:line="240" w:lineRule="auto"/>
              <w:contextualSpacing/>
              <w:rPr>
                <w:sz w:val="15"/>
                <w:szCs w:val="15"/>
              </w:rPr>
            </w:pPr>
            <w:r w:rsidRPr="00C22A4C">
              <w:rPr>
                <w:sz w:val="15"/>
                <w:szCs w:val="15"/>
              </w:rPr>
              <w:t>Vanuatu Skills Partnership *</w:t>
            </w:r>
          </w:p>
          <w:p w14:paraId="2B45280A" w14:textId="77777777" w:rsidR="004E120D" w:rsidRPr="00C22A4C" w:rsidRDefault="004E120D" w:rsidP="004E120D">
            <w:pPr>
              <w:numPr>
                <w:ilvl w:val="0"/>
                <w:numId w:val="36"/>
              </w:numPr>
              <w:spacing w:before="60" w:line="240" w:lineRule="auto"/>
              <w:contextualSpacing/>
              <w:rPr>
                <w:sz w:val="15"/>
                <w:szCs w:val="15"/>
              </w:rPr>
            </w:pPr>
            <w:r w:rsidRPr="00C22A4C">
              <w:rPr>
                <w:sz w:val="15"/>
                <w:szCs w:val="15"/>
              </w:rPr>
              <w:t>Pacific Labour Mobility</w:t>
            </w:r>
          </w:p>
          <w:p w14:paraId="171DD6FC" w14:textId="77777777" w:rsidR="004E120D" w:rsidRPr="00C22A4C" w:rsidRDefault="004E120D" w:rsidP="004E120D">
            <w:pPr>
              <w:numPr>
                <w:ilvl w:val="0"/>
                <w:numId w:val="36"/>
              </w:numPr>
              <w:spacing w:before="60" w:line="240" w:lineRule="auto"/>
              <w:contextualSpacing/>
              <w:rPr>
                <w:sz w:val="15"/>
                <w:szCs w:val="15"/>
              </w:rPr>
            </w:pPr>
            <w:r w:rsidRPr="00C22A4C">
              <w:rPr>
                <w:sz w:val="15"/>
                <w:szCs w:val="15"/>
              </w:rPr>
              <w:t xml:space="preserve">Australia Pacific Training Coalition </w:t>
            </w:r>
          </w:p>
          <w:p w14:paraId="6ECD42BB" w14:textId="77777777" w:rsidR="004E120D" w:rsidRPr="00C22A4C" w:rsidRDefault="004E120D" w:rsidP="004E120D">
            <w:pPr>
              <w:numPr>
                <w:ilvl w:val="0"/>
                <w:numId w:val="36"/>
              </w:numPr>
              <w:spacing w:before="60" w:line="240" w:lineRule="auto"/>
              <w:contextualSpacing/>
              <w:rPr>
                <w:sz w:val="15"/>
                <w:szCs w:val="15"/>
              </w:rPr>
            </w:pPr>
            <w:r w:rsidRPr="00C22A4C">
              <w:rPr>
                <w:sz w:val="15"/>
                <w:szCs w:val="15"/>
              </w:rPr>
              <w:t>Pacific Horticultural &amp; Agricultural Market Access Program</w:t>
            </w:r>
          </w:p>
          <w:p w14:paraId="5386012F" w14:textId="77777777" w:rsidR="004E120D" w:rsidRPr="00C22A4C" w:rsidRDefault="004E120D" w:rsidP="004E120D">
            <w:pPr>
              <w:numPr>
                <w:ilvl w:val="0"/>
                <w:numId w:val="36"/>
              </w:numPr>
              <w:spacing w:before="60" w:line="240" w:lineRule="auto"/>
              <w:contextualSpacing/>
              <w:rPr>
                <w:sz w:val="15"/>
                <w:szCs w:val="15"/>
              </w:rPr>
            </w:pPr>
            <w:r w:rsidRPr="00C22A4C">
              <w:rPr>
                <w:sz w:val="15"/>
                <w:szCs w:val="15"/>
              </w:rPr>
              <w:t>ACIAR – Livestock, biosecurity and fisheries projects</w:t>
            </w:r>
          </w:p>
          <w:p w14:paraId="56E84EA6" w14:textId="77777777" w:rsidR="004E120D" w:rsidRPr="00C22A4C" w:rsidRDefault="004E120D" w:rsidP="004E120D">
            <w:pPr>
              <w:numPr>
                <w:ilvl w:val="0"/>
                <w:numId w:val="36"/>
              </w:numPr>
              <w:spacing w:before="60" w:line="240" w:lineRule="auto"/>
              <w:contextualSpacing/>
              <w:rPr>
                <w:sz w:val="15"/>
                <w:szCs w:val="15"/>
              </w:rPr>
            </w:pPr>
            <w:r w:rsidRPr="00C22A4C">
              <w:rPr>
                <w:sz w:val="15"/>
                <w:szCs w:val="15"/>
              </w:rPr>
              <w:t>Essential Services and Humanitarian Corridor *</w:t>
            </w:r>
          </w:p>
          <w:p w14:paraId="30723F76" w14:textId="291E29B2" w:rsidR="004E120D" w:rsidRDefault="004E120D" w:rsidP="004E120D">
            <w:pPr>
              <w:tabs>
                <w:tab w:val="left" w:pos="7830"/>
              </w:tabs>
              <w:spacing w:after="120"/>
              <w:rPr>
                <w:sz w:val="15"/>
                <w:szCs w:val="15"/>
              </w:rPr>
            </w:pPr>
            <w:r w:rsidRPr="00C22A4C">
              <w:rPr>
                <w:sz w:val="15"/>
                <w:szCs w:val="15"/>
              </w:rPr>
              <w:t>Cyber Cooperation Program*</w:t>
            </w:r>
          </w:p>
        </w:tc>
      </w:tr>
    </w:tbl>
    <w:p w14:paraId="04485EFF" w14:textId="77777777" w:rsidR="004E120D" w:rsidRPr="002A1E25" w:rsidRDefault="004E120D" w:rsidP="000C4907">
      <w:pPr>
        <w:tabs>
          <w:tab w:val="left" w:pos="7830"/>
        </w:tabs>
        <w:spacing w:after="120"/>
        <w:rPr>
          <w:sz w:val="15"/>
          <w:szCs w:val="15"/>
        </w:rPr>
      </w:pPr>
    </w:p>
    <w:sectPr w:rsidR="004E120D" w:rsidRPr="002A1E25" w:rsidSect="00776636">
      <w:headerReference w:type="default" r:id="rId14"/>
      <w:headerReference w:type="first" r:id="rId15"/>
      <w:footerReference w:type="first" r:id="rId16"/>
      <w:pgSz w:w="11906" w:h="16838" w:code="9"/>
      <w:pgMar w:top="1559" w:right="680" w:bottom="1418" w:left="680" w:header="425"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5EB40" w14:textId="77777777" w:rsidR="005B3AB6" w:rsidRDefault="005B3AB6" w:rsidP="00D37B04">
      <w:r>
        <w:separator/>
      </w:r>
    </w:p>
  </w:endnote>
  <w:endnote w:type="continuationSeparator" w:id="0">
    <w:p w14:paraId="6CD55BC9" w14:textId="77777777" w:rsidR="005B3AB6" w:rsidRDefault="005B3AB6"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A6B64" w14:textId="77777777" w:rsidR="00F902CB" w:rsidRDefault="00F902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C455E" w14:textId="22EFFF99" w:rsidR="00D339A9" w:rsidRPr="00C92805" w:rsidRDefault="00FD36C8" w:rsidP="00D339A9">
    <w:pPr>
      <w:pStyle w:val="Footer"/>
      <w:rPr>
        <w:b/>
        <w:color w:val="495965" w:themeColor="text2"/>
      </w:rPr>
    </w:pPr>
    <w:r w:rsidRPr="00C92805">
      <w:rPr>
        <w:b/>
        <w:noProof/>
        <w:color w:val="495965" w:themeColor="text2"/>
        <w:lang w:val="en-AU" w:eastAsia="en-AU"/>
      </w:rPr>
      <w:drawing>
        <wp:anchor distT="0" distB="0" distL="114300" distR="114300" simplePos="0" relativeHeight="251666432" behindDoc="1" locked="0" layoutInCell="1" allowOverlap="1" wp14:anchorId="7EE26ECB" wp14:editId="7C27D1AD">
          <wp:simplePos x="0" y="0"/>
          <wp:positionH relativeFrom="page">
            <wp:posOffset>329565</wp:posOffset>
          </wp:positionH>
          <wp:positionV relativeFrom="page">
            <wp:posOffset>9900285</wp:posOffset>
          </wp:positionV>
          <wp:extent cx="6895033" cy="737812"/>
          <wp:effectExtent l="0" t="0" r="1270" b="5715"/>
          <wp:wrapNone/>
          <wp:docPr id="219" name="Picture 2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895033" cy="737812"/>
                  </a:xfrm>
                  <a:prstGeom prst="rect">
                    <a:avLst/>
                  </a:prstGeom>
                </pic:spPr>
              </pic:pic>
            </a:graphicData>
          </a:graphic>
          <wp14:sizeRelH relativeFrom="margin">
            <wp14:pctWidth>0</wp14:pctWidth>
          </wp14:sizeRelH>
          <wp14:sizeRelV relativeFrom="margin">
            <wp14:pctHeight>0</wp14:pctHeight>
          </wp14:sizeRelV>
        </wp:anchor>
      </w:drawing>
    </w:r>
    <w:r w:rsidR="000D0622">
      <w:rPr>
        <w:b/>
        <w:noProof/>
        <w:color w:val="495965" w:themeColor="text2"/>
        <w:lang w:val="en-AU" w:eastAsia="en-AU"/>
      </w:rPr>
      <w:t xml:space="preserve">October </w:t>
    </w:r>
    <w:r w:rsidR="00D339A9">
      <w:rPr>
        <w:b/>
        <w:noProof/>
        <w:color w:val="495965" w:themeColor="text2"/>
        <w:lang w:val="en-AU" w:eastAsia="en-AU"/>
      </w:rPr>
      <w:t>20</w:t>
    </w:r>
    <w:r w:rsidR="00D339A9" w:rsidRPr="00C92805">
      <w:rPr>
        <w:b/>
        <w:noProof/>
        <w:color w:val="495965" w:themeColor="text2"/>
        <w:lang w:val="en-AU" w:eastAsia="en-AU"/>
      </w:rPr>
      <w:t>20</w:t>
    </w:r>
    <w:r w:rsidR="00C22A4C">
      <w:rPr>
        <w:b/>
        <w:noProof/>
        <w:color w:val="495965" w:themeColor="text2"/>
        <w:lang w:val="en-AU" w:eastAsia="en-AU"/>
      </w:rPr>
      <w:tab/>
    </w:r>
    <w:r w:rsidR="00C22A4C" w:rsidRPr="00C22A4C">
      <w:rPr>
        <w:b/>
        <w:noProof/>
        <w:color w:val="495965" w:themeColor="text2"/>
        <w:lang w:val="en-AU" w:eastAsia="en-AU"/>
      </w:rPr>
      <w:fldChar w:fldCharType="begin"/>
    </w:r>
    <w:r w:rsidR="00C22A4C" w:rsidRPr="00C22A4C">
      <w:rPr>
        <w:b/>
        <w:noProof/>
        <w:color w:val="495965" w:themeColor="text2"/>
        <w:lang w:val="en-AU" w:eastAsia="en-AU"/>
      </w:rPr>
      <w:instrText xml:space="preserve"> PAGE   \* MERGEFORMAT </w:instrText>
    </w:r>
    <w:r w:rsidR="00C22A4C" w:rsidRPr="00C22A4C">
      <w:rPr>
        <w:b/>
        <w:noProof/>
        <w:color w:val="495965" w:themeColor="text2"/>
        <w:lang w:val="en-AU" w:eastAsia="en-AU"/>
      </w:rPr>
      <w:fldChar w:fldCharType="separate"/>
    </w:r>
    <w:r w:rsidR="00F802DD">
      <w:rPr>
        <w:b/>
        <w:noProof/>
        <w:color w:val="495965" w:themeColor="text2"/>
        <w:lang w:val="en-AU" w:eastAsia="en-AU"/>
      </w:rPr>
      <w:t>4</w:t>
    </w:r>
    <w:r w:rsidR="00C22A4C" w:rsidRPr="00C22A4C">
      <w:rPr>
        <w:b/>
        <w:noProof/>
        <w:color w:val="495965" w:themeColor="text2"/>
        <w:lang w:val="en-AU" w:eastAsia="en-AU"/>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63F5E" w14:textId="30893908" w:rsidR="00FD36C8" w:rsidRPr="00C92805" w:rsidRDefault="00FD36C8" w:rsidP="00C35791">
    <w:pPr>
      <w:pStyle w:val="Footer"/>
      <w:rPr>
        <w:b/>
        <w:color w:val="495965" w:themeColor="text2"/>
      </w:rPr>
    </w:pPr>
    <w:r w:rsidRPr="00C92805">
      <w:rPr>
        <w:b/>
        <w:noProof/>
        <w:color w:val="495965" w:themeColor="text2"/>
        <w:lang w:val="en-AU" w:eastAsia="en-AU"/>
      </w:rPr>
      <w:drawing>
        <wp:anchor distT="0" distB="0" distL="114300" distR="114300" simplePos="0" relativeHeight="251664384" behindDoc="1" locked="0" layoutInCell="1" allowOverlap="1" wp14:anchorId="6F0477F5" wp14:editId="1EA7079E">
          <wp:simplePos x="0" y="0"/>
          <wp:positionH relativeFrom="margin">
            <wp:posOffset>-137160</wp:posOffset>
          </wp:positionH>
          <wp:positionV relativeFrom="page">
            <wp:posOffset>9870796</wp:posOffset>
          </wp:positionV>
          <wp:extent cx="6934835" cy="742071"/>
          <wp:effectExtent l="0" t="0" r="0" b="1270"/>
          <wp:wrapNone/>
          <wp:docPr id="223" name="Picture 2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4835" cy="742071"/>
                  </a:xfrm>
                  <a:prstGeom prst="rect">
                    <a:avLst/>
                  </a:prstGeom>
                </pic:spPr>
              </pic:pic>
            </a:graphicData>
          </a:graphic>
          <wp14:sizeRelH relativeFrom="margin">
            <wp14:pctWidth>0</wp14:pctWidth>
          </wp14:sizeRelH>
          <wp14:sizeRelV relativeFrom="margin">
            <wp14:pctHeight>0</wp14:pctHeight>
          </wp14:sizeRelV>
        </wp:anchor>
      </w:drawing>
    </w:r>
    <w:r w:rsidR="000D0622">
      <w:rPr>
        <w:b/>
        <w:noProof/>
        <w:color w:val="495965" w:themeColor="text2"/>
        <w:lang w:val="en-AU" w:eastAsia="en-AU"/>
      </w:rPr>
      <w:t>October</w:t>
    </w:r>
    <w:r w:rsidRPr="00C92805">
      <w:rPr>
        <w:b/>
        <w:noProof/>
        <w:color w:val="495965" w:themeColor="text2"/>
        <w:lang w:val="en-AU" w:eastAsia="en-AU"/>
      </w:rPr>
      <w:t xml:space="preserve"> </w:t>
    </w:r>
    <w:r>
      <w:rPr>
        <w:b/>
        <w:noProof/>
        <w:color w:val="495965" w:themeColor="text2"/>
        <w:lang w:val="en-AU" w:eastAsia="en-AU"/>
      </w:rPr>
      <w:t>20</w:t>
    </w:r>
    <w:r w:rsidRPr="00C92805">
      <w:rPr>
        <w:b/>
        <w:noProof/>
        <w:color w:val="495965" w:themeColor="text2"/>
        <w:lang w:val="en-AU" w:eastAsia="en-AU"/>
      </w:rPr>
      <w:t>20</w:t>
    </w:r>
    <w:r w:rsidR="00C22A4C">
      <w:rPr>
        <w:b/>
        <w:noProof/>
        <w:color w:val="495965" w:themeColor="text2"/>
        <w:lang w:val="en-AU" w:eastAsia="en-AU"/>
      </w:rPr>
      <w:tab/>
    </w:r>
    <w:r w:rsidR="00C22A4C" w:rsidRPr="00C22A4C">
      <w:rPr>
        <w:b/>
        <w:noProof/>
        <w:color w:val="495965" w:themeColor="text2"/>
        <w:lang w:val="en-AU" w:eastAsia="en-AU"/>
      </w:rPr>
      <w:fldChar w:fldCharType="begin"/>
    </w:r>
    <w:r w:rsidR="00C22A4C" w:rsidRPr="00C22A4C">
      <w:rPr>
        <w:b/>
        <w:noProof/>
        <w:color w:val="495965" w:themeColor="text2"/>
        <w:lang w:val="en-AU" w:eastAsia="en-AU"/>
      </w:rPr>
      <w:instrText xml:space="preserve"> PAGE   \* MERGEFORMAT </w:instrText>
    </w:r>
    <w:r w:rsidR="00C22A4C" w:rsidRPr="00C22A4C">
      <w:rPr>
        <w:b/>
        <w:noProof/>
        <w:color w:val="495965" w:themeColor="text2"/>
        <w:lang w:val="en-AU" w:eastAsia="en-AU"/>
      </w:rPr>
      <w:fldChar w:fldCharType="separate"/>
    </w:r>
    <w:r w:rsidR="00F802DD">
      <w:rPr>
        <w:b/>
        <w:noProof/>
        <w:color w:val="495965" w:themeColor="text2"/>
        <w:lang w:val="en-AU" w:eastAsia="en-AU"/>
      </w:rPr>
      <w:t>1</w:t>
    </w:r>
    <w:r w:rsidR="00C22A4C" w:rsidRPr="00C22A4C">
      <w:rPr>
        <w:b/>
        <w:noProof/>
        <w:color w:val="495965" w:themeColor="text2"/>
        <w:lang w:val="en-AU" w:eastAsia="en-AU"/>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A0937" w14:textId="23C8F4E2" w:rsidR="000C4907" w:rsidRPr="00C92805" w:rsidRDefault="000C4907" w:rsidP="00C35791">
    <w:pPr>
      <w:pStyle w:val="Footer"/>
      <w:rPr>
        <w:b/>
        <w:color w:val="495965" w:themeColor="text2"/>
      </w:rPr>
    </w:pPr>
    <w:r w:rsidRPr="00C92805">
      <w:rPr>
        <w:b/>
        <w:noProof/>
        <w:color w:val="495965" w:themeColor="text2"/>
        <w:lang w:val="en-AU" w:eastAsia="en-AU"/>
      </w:rPr>
      <w:drawing>
        <wp:anchor distT="0" distB="0" distL="114300" distR="114300" simplePos="0" relativeHeight="251683840" behindDoc="1" locked="0" layoutInCell="1" allowOverlap="1" wp14:anchorId="2DF07E9D" wp14:editId="7819FC47">
          <wp:simplePos x="0" y="0"/>
          <wp:positionH relativeFrom="page">
            <wp:align>center</wp:align>
          </wp:positionH>
          <wp:positionV relativeFrom="page">
            <wp:posOffset>9886823</wp:posOffset>
          </wp:positionV>
          <wp:extent cx="6934835" cy="742071"/>
          <wp:effectExtent l="0" t="0" r="0" b="127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4835" cy="742071"/>
                  </a:xfrm>
                  <a:prstGeom prst="rect">
                    <a:avLst/>
                  </a:prstGeom>
                </pic:spPr>
              </pic:pic>
            </a:graphicData>
          </a:graphic>
          <wp14:sizeRelH relativeFrom="margin">
            <wp14:pctWidth>0</wp14:pctWidth>
          </wp14:sizeRelH>
          <wp14:sizeRelV relativeFrom="margin">
            <wp14:pctHeight>0</wp14:pctHeight>
          </wp14:sizeRelV>
        </wp:anchor>
      </w:drawing>
    </w:r>
    <w:r>
      <w:rPr>
        <w:b/>
        <w:noProof/>
        <w:color w:val="495965" w:themeColor="text2"/>
        <w:lang w:val="en-AU" w:eastAsia="en-AU"/>
      </w:rPr>
      <w:t>October</w:t>
    </w:r>
    <w:r w:rsidRPr="00C92805">
      <w:rPr>
        <w:b/>
        <w:noProof/>
        <w:color w:val="495965" w:themeColor="text2"/>
        <w:lang w:val="en-AU" w:eastAsia="en-AU"/>
      </w:rPr>
      <w:t xml:space="preserve"> </w:t>
    </w:r>
    <w:r>
      <w:rPr>
        <w:b/>
        <w:noProof/>
        <w:color w:val="495965" w:themeColor="text2"/>
        <w:lang w:val="en-AU" w:eastAsia="en-AU"/>
      </w:rPr>
      <w:t>20</w:t>
    </w:r>
    <w:r w:rsidRPr="00C92805">
      <w:rPr>
        <w:b/>
        <w:noProof/>
        <w:color w:val="495965" w:themeColor="text2"/>
        <w:lang w:val="en-AU" w:eastAsia="en-AU"/>
      </w:rPr>
      <w:t>20</w:t>
    </w:r>
    <w:r>
      <w:rPr>
        <w:b/>
        <w:noProof/>
        <w:color w:val="495965" w:themeColor="text2"/>
        <w:lang w:val="en-AU" w:eastAsia="en-AU"/>
      </w:rPr>
      <w:tab/>
    </w:r>
    <w:r w:rsidRPr="00C22A4C">
      <w:rPr>
        <w:b/>
        <w:noProof/>
        <w:color w:val="495965" w:themeColor="text2"/>
        <w:lang w:val="en-AU" w:eastAsia="en-AU"/>
      </w:rPr>
      <w:fldChar w:fldCharType="begin"/>
    </w:r>
    <w:r w:rsidRPr="00C22A4C">
      <w:rPr>
        <w:b/>
        <w:noProof/>
        <w:color w:val="495965" w:themeColor="text2"/>
        <w:lang w:val="en-AU" w:eastAsia="en-AU"/>
      </w:rPr>
      <w:instrText xml:space="preserve"> PAGE   \* MERGEFORMAT </w:instrText>
    </w:r>
    <w:r w:rsidRPr="00C22A4C">
      <w:rPr>
        <w:b/>
        <w:noProof/>
        <w:color w:val="495965" w:themeColor="text2"/>
        <w:lang w:val="en-AU" w:eastAsia="en-AU"/>
      </w:rPr>
      <w:fldChar w:fldCharType="separate"/>
    </w:r>
    <w:r w:rsidR="00F802DD">
      <w:rPr>
        <w:b/>
        <w:noProof/>
        <w:color w:val="495965" w:themeColor="text2"/>
        <w:lang w:val="en-AU" w:eastAsia="en-AU"/>
      </w:rPr>
      <w:t>5</w:t>
    </w:r>
    <w:r w:rsidRPr="00C22A4C">
      <w:rPr>
        <w:b/>
        <w:noProof/>
        <w:color w:val="495965" w:themeColor="text2"/>
        <w:lang w:val="en-AU" w:eastAsia="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DE350" w14:textId="77777777" w:rsidR="005B3AB6" w:rsidRPr="008C5A0E" w:rsidRDefault="005B3AB6" w:rsidP="00D37B04">
      <w:pPr>
        <w:pStyle w:val="Footer"/>
      </w:pPr>
    </w:p>
  </w:footnote>
  <w:footnote w:type="continuationSeparator" w:id="0">
    <w:p w14:paraId="37679A40" w14:textId="77777777" w:rsidR="005B3AB6" w:rsidRDefault="005B3AB6"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1E857" w14:textId="77777777" w:rsidR="00F902CB" w:rsidRDefault="00F902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78F14" w14:textId="77777777" w:rsidR="00FD36C8" w:rsidRPr="00E055AB" w:rsidRDefault="00FD36C8" w:rsidP="001C1F11">
    <w:pPr>
      <w:pStyle w:val="Header"/>
      <w:ind w:left="142"/>
      <w:rPr>
        <w:caps w:val="0"/>
      </w:rPr>
    </w:pPr>
    <w:r w:rsidRPr="00A12B40">
      <w:rPr>
        <w:i/>
        <w:noProof/>
        <w:lang w:val="en-AU" w:eastAsia="en-AU"/>
      </w:rPr>
      <w:drawing>
        <wp:anchor distT="0" distB="0" distL="114300" distR="114300" simplePos="0" relativeHeight="251668480" behindDoc="1" locked="0" layoutInCell="1" allowOverlap="1" wp14:anchorId="27E91251" wp14:editId="08DC07E7">
          <wp:simplePos x="0" y="0"/>
          <wp:positionH relativeFrom="page">
            <wp:posOffset>316040</wp:posOffset>
          </wp:positionH>
          <wp:positionV relativeFrom="page">
            <wp:posOffset>94615</wp:posOffset>
          </wp:positionV>
          <wp:extent cx="6922959" cy="732655"/>
          <wp:effectExtent l="0" t="0" r="0" b="0"/>
          <wp:wrapNone/>
          <wp:docPr id="218" name="Picture 2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Pr="00A12B40">
      <w:rPr>
        <w:i/>
        <w:caps w:val="0"/>
      </w:rPr>
      <w:t>Partnerships for Recovery:</w:t>
    </w:r>
    <w:r>
      <w:rPr>
        <w:caps w:val="0"/>
      </w:rPr>
      <w:t xml:space="preserve"> Australia’s COVID-19 Development Response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D5FBE" w14:textId="5F7A0AE8" w:rsidR="00FD36C8" w:rsidRDefault="00FD36C8" w:rsidP="00BC2206">
    <w:pPr>
      <w:pStyle w:val="Header"/>
      <w:ind w:left="142"/>
      <w:rPr>
        <w:noProof/>
        <w:lang w:val="en-AU" w:eastAsia="en-AU"/>
      </w:rPr>
    </w:pPr>
    <w:r w:rsidRPr="00A12B40">
      <w:rPr>
        <w:i/>
        <w:noProof/>
        <w:lang w:val="en-AU" w:eastAsia="en-AU"/>
      </w:rPr>
      <w:drawing>
        <wp:anchor distT="0" distB="0" distL="114300" distR="114300" simplePos="0" relativeHeight="251670528" behindDoc="1" locked="0" layoutInCell="1" allowOverlap="1" wp14:anchorId="257E8292" wp14:editId="680153C0">
          <wp:simplePos x="0" y="0"/>
          <wp:positionH relativeFrom="page">
            <wp:posOffset>305526</wp:posOffset>
          </wp:positionH>
          <wp:positionV relativeFrom="page">
            <wp:posOffset>95250</wp:posOffset>
          </wp:positionV>
          <wp:extent cx="6922959" cy="732655"/>
          <wp:effectExtent l="0" t="0" r="0" b="0"/>
          <wp:wrapNone/>
          <wp:docPr id="222" name="Picture 2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Pr="00A12B40">
      <w:rPr>
        <w:i/>
        <w:caps w:val="0"/>
      </w:rPr>
      <w:t>Partnerships for Recovery:</w:t>
    </w:r>
    <w:r>
      <w:rPr>
        <w:caps w:val="0"/>
      </w:rPr>
      <w:t xml:space="preserve"> Australia’s COVID-19 Development Response</w:t>
    </w:r>
    <w:r w:rsidRPr="0089195C">
      <w:rPr>
        <w:i/>
        <w:noProof/>
        <w:lang w:val="en-AU" w:eastAsia="en-AU"/>
      </w:rPr>
      <w:t xml:space="preserve"> </w:t>
    </w:r>
    <w:r>
      <w:ptab w:relativeTo="margin" w:alignment="center" w:leader="none"/>
    </w:r>
    <w:r w:rsidR="00C2681E" w:rsidRPr="00C2681E">
      <w:rPr>
        <w:noProof/>
        <w:lang w:val="en-AU" w:eastAsia="en-AU"/>
      </w:rPr>
      <w:t xml:space="preserve"> </w:t>
    </w:r>
  </w:p>
  <w:p w14:paraId="3EDC38CE" w14:textId="217C1A1E" w:rsidR="00F902CB" w:rsidRDefault="00F902CB" w:rsidP="00BC2206">
    <w:pPr>
      <w:pStyle w:val="Header"/>
      <w:ind w:left="142"/>
    </w:pPr>
  </w:p>
  <w:p w14:paraId="3102BE3A" w14:textId="5FC86EF3" w:rsidR="00F902CB" w:rsidRPr="00943730" w:rsidRDefault="00F902CB" w:rsidP="00BC2206">
    <w:pPr>
      <w:pStyle w:val="Header"/>
      <w:ind w:left="142"/>
    </w:pPr>
    <w:bookmarkStart w:id="0" w:name="_GoBack"/>
    <w:r>
      <w:rPr>
        <w:noProof/>
      </w:rPr>
      <w:drawing>
        <wp:inline distT="0" distB="0" distL="0" distR="0" wp14:anchorId="2755505F" wp14:editId="51E57233">
          <wp:extent cx="3552825" cy="771525"/>
          <wp:effectExtent l="0" t="0" r="9525" b="9525"/>
          <wp:docPr id="1" name="Picture 1" descr="Australian government crest and flag of Vanua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52825" cy="771525"/>
                  </a:xfrm>
                  <a:prstGeom prst="rect">
                    <a:avLst/>
                  </a:prstGeom>
                </pic:spPr>
              </pic:pic>
            </a:graphicData>
          </a:graphic>
        </wp:inline>
      </w:drawing>
    </w:r>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AC914" w14:textId="77777777" w:rsidR="00FD36C8" w:rsidRPr="00E055AB" w:rsidRDefault="00FD36C8" w:rsidP="001C1F11">
    <w:pPr>
      <w:pStyle w:val="Header"/>
      <w:ind w:left="142"/>
      <w:rPr>
        <w:caps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6948B" w14:textId="2B3CC7E5" w:rsidR="00BC2206" w:rsidRPr="00943730" w:rsidRDefault="00BC2206" w:rsidP="00776636">
    <w:pPr>
      <w:pStyle w:val="Header"/>
      <w:ind w:left="0"/>
    </w:pPr>
    <w:r w:rsidRPr="00A12B40">
      <w:rPr>
        <w:i/>
        <w:noProof/>
        <w:lang w:val="en-AU" w:eastAsia="en-AU"/>
      </w:rPr>
      <w:drawing>
        <wp:anchor distT="0" distB="0" distL="114300" distR="114300" simplePos="0" relativeHeight="251681792" behindDoc="1" locked="0" layoutInCell="1" allowOverlap="1" wp14:anchorId="5E174ED9" wp14:editId="72C48472">
          <wp:simplePos x="0" y="0"/>
          <wp:positionH relativeFrom="page">
            <wp:posOffset>305526</wp:posOffset>
          </wp:positionH>
          <wp:positionV relativeFrom="page">
            <wp:posOffset>95250</wp:posOffset>
          </wp:positionV>
          <wp:extent cx="6922959" cy="732655"/>
          <wp:effectExtent l="0" t="0" r="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Pr="00A12B40">
      <w:rPr>
        <w:i/>
        <w:caps w:val="0"/>
      </w:rPr>
      <w:t>Partnerships for Recovery:</w:t>
    </w:r>
    <w:r>
      <w:rPr>
        <w:caps w:val="0"/>
      </w:rPr>
      <w:t xml:space="preserve"> Australia’s COVID-19 Development Response</w:t>
    </w:r>
    <w:r w:rsidRPr="0089195C">
      <w:rPr>
        <w:i/>
        <w:noProof/>
        <w:lang w:val="en-AU" w:eastAsia="en-AU"/>
      </w:rPr>
      <w:t xml:space="preserve"> </w:t>
    </w:r>
    <w:r>
      <w:ptab w:relativeTo="margin" w:alignment="center" w:leader="none"/>
    </w:r>
    <w:r w:rsidRPr="00C2681E">
      <w:rPr>
        <w:noProof/>
        <w:lang w:val="en-AU"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A0FC8"/>
    <w:multiLevelType w:val="hybridMultilevel"/>
    <w:tmpl w:val="1B5E3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B56AC2"/>
    <w:multiLevelType w:val="hybridMultilevel"/>
    <w:tmpl w:val="8D94D8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AD5570"/>
    <w:multiLevelType w:val="multilevel"/>
    <w:tmpl w:val="F9224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6" w15:restartNumberingAfterBreak="0">
    <w:nsid w:val="28F453F5"/>
    <w:multiLevelType w:val="multilevel"/>
    <w:tmpl w:val="3B94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36761067"/>
    <w:multiLevelType w:val="multilevel"/>
    <w:tmpl w:val="EE583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F132CE"/>
    <w:multiLevelType w:val="multilevel"/>
    <w:tmpl w:val="3B7A10DE"/>
    <w:numStyleLink w:val="BulletsList"/>
  </w:abstractNum>
  <w:abstractNum w:abstractNumId="20" w15:restartNumberingAfterBreak="0">
    <w:nsid w:val="42306A2D"/>
    <w:multiLevelType w:val="multilevel"/>
    <w:tmpl w:val="048A6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4A148B"/>
    <w:multiLevelType w:val="hybridMultilevel"/>
    <w:tmpl w:val="FC90C7DA"/>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22" w15:restartNumberingAfterBreak="0">
    <w:nsid w:val="4F565C4E"/>
    <w:multiLevelType w:val="multilevel"/>
    <w:tmpl w:val="B2249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553D9F"/>
    <w:multiLevelType w:val="multilevel"/>
    <w:tmpl w:val="A6FA45D0"/>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52FC65A9"/>
    <w:multiLevelType w:val="multilevel"/>
    <w:tmpl w:val="865E2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037871"/>
    <w:multiLevelType w:val="multilevel"/>
    <w:tmpl w:val="C9A8D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7" w15:restartNumberingAfterBreak="0">
    <w:nsid w:val="5D3C1EA7"/>
    <w:multiLevelType w:val="multilevel"/>
    <w:tmpl w:val="3B7A10DE"/>
    <w:numStyleLink w:val="BulletsList"/>
  </w:abstractNum>
  <w:abstractNum w:abstractNumId="2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9" w15:restartNumberingAfterBreak="0">
    <w:nsid w:val="6B683F31"/>
    <w:multiLevelType w:val="multilevel"/>
    <w:tmpl w:val="DEF05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18C5E15"/>
    <w:multiLevelType w:val="multilevel"/>
    <w:tmpl w:val="192E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E22DE1"/>
    <w:multiLevelType w:val="hybridMultilevel"/>
    <w:tmpl w:val="82602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072600"/>
    <w:multiLevelType w:val="multilevel"/>
    <w:tmpl w:val="2424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4"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5" w15:restartNumberingAfterBreak="0">
    <w:nsid w:val="7D1B3CC5"/>
    <w:multiLevelType w:val="hybridMultilevel"/>
    <w:tmpl w:val="2BC48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6"/>
  </w:num>
  <w:num w:numId="10">
    <w:abstractNumId w:val="2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7"/>
  </w:num>
  <w:num w:numId="22">
    <w:abstractNumId w:val="17"/>
  </w:num>
  <w:num w:numId="23">
    <w:abstractNumId w:val="17"/>
  </w:num>
  <w:num w:numId="24">
    <w:abstractNumId w:val="27"/>
  </w:num>
  <w:num w:numId="25">
    <w:abstractNumId w:val="27"/>
  </w:num>
  <w:num w:numId="26">
    <w:abstractNumId w:val="27"/>
  </w:num>
  <w:num w:numId="27">
    <w:abstractNumId w:val="26"/>
  </w:num>
  <w:num w:numId="28">
    <w:abstractNumId w:val="12"/>
  </w:num>
  <w:num w:numId="29">
    <w:abstractNumId w:val="12"/>
  </w:num>
  <w:num w:numId="30">
    <w:abstractNumId w:val="12"/>
  </w:num>
  <w:num w:numId="31">
    <w:abstractNumId w:val="15"/>
  </w:num>
  <w:num w:numId="32">
    <w:abstractNumId w:val="34"/>
  </w:num>
  <w:num w:numId="33">
    <w:abstractNumId w:val="19"/>
  </w:num>
  <w:num w:numId="34">
    <w:abstractNumId w:val="10"/>
  </w:num>
  <w:num w:numId="35">
    <w:abstractNumId w:val="11"/>
  </w:num>
  <w:num w:numId="36">
    <w:abstractNumId w:val="21"/>
  </w:num>
  <w:num w:numId="37">
    <w:abstractNumId w:val="31"/>
  </w:num>
  <w:num w:numId="38">
    <w:abstractNumId w:val="35"/>
  </w:num>
  <w:num w:numId="39">
    <w:abstractNumId w:val="29"/>
  </w:num>
  <w:num w:numId="40">
    <w:abstractNumId w:val="32"/>
  </w:num>
  <w:num w:numId="41">
    <w:abstractNumId w:val="20"/>
  </w:num>
  <w:num w:numId="42">
    <w:abstractNumId w:val="24"/>
  </w:num>
  <w:num w:numId="43">
    <w:abstractNumId w:val="22"/>
  </w:num>
  <w:num w:numId="44">
    <w:abstractNumId w:val="30"/>
  </w:num>
  <w:num w:numId="45">
    <w:abstractNumId w:val="25"/>
  </w:num>
  <w:num w:numId="46">
    <w:abstractNumId w:val="14"/>
  </w:num>
  <w:num w:numId="47">
    <w:abstractNumId w:val="18"/>
  </w:num>
  <w:num w:numId="48">
    <w:abstractNumId w:val="16"/>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1DA8"/>
    <w:rsid w:val="000020C1"/>
    <w:rsid w:val="00005038"/>
    <w:rsid w:val="00005048"/>
    <w:rsid w:val="000061E8"/>
    <w:rsid w:val="00013CC9"/>
    <w:rsid w:val="00015AB7"/>
    <w:rsid w:val="0002080A"/>
    <w:rsid w:val="0002782F"/>
    <w:rsid w:val="00031486"/>
    <w:rsid w:val="00035BBF"/>
    <w:rsid w:val="000444F3"/>
    <w:rsid w:val="00050806"/>
    <w:rsid w:val="000546D9"/>
    <w:rsid w:val="00054E4D"/>
    <w:rsid w:val="00060073"/>
    <w:rsid w:val="000616C6"/>
    <w:rsid w:val="00067FEE"/>
    <w:rsid w:val="000854FD"/>
    <w:rsid w:val="000A1DDA"/>
    <w:rsid w:val="000A407E"/>
    <w:rsid w:val="000B37F5"/>
    <w:rsid w:val="000B5DA7"/>
    <w:rsid w:val="000C027D"/>
    <w:rsid w:val="000C3A4C"/>
    <w:rsid w:val="000C4624"/>
    <w:rsid w:val="000C4907"/>
    <w:rsid w:val="000D0622"/>
    <w:rsid w:val="000D66D6"/>
    <w:rsid w:val="000E58BF"/>
    <w:rsid w:val="000E6C44"/>
    <w:rsid w:val="000F1E98"/>
    <w:rsid w:val="00113288"/>
    <w:rsid w:val="001214BE"/>
    <w:rsid w:val="00122A83"/>
    <w:rsid w:val="00122FE4"/>
    <w:rsid w:val="00130E6C"/>
    <w:rsid w:val="0013101C"/>
    <w:rsid w:val="00132AAB"/>
    <w:rsid w:val="001461D6"/>
    <w:rsid w:val="00146E07"/>
    <w:rsid w:val="001522DA"/>
    <w:rsid w:val="001536D9"/>
    <w:rsid w:val="001541EA"/>
    <w:rsid w:val="0016381C"/>
    <w:rsid w:val="00166032"/>
    <w:rsid w:val="00176887"/>
    <w:rsid w:val="001841C8"/>
    <w:rsid w:val="001A51EE"/>
    <w:rsid w:val="001C01C6"/>
    <w:rsid w:val="001C1F11"/>
    <w:rsid w:val="001D663E"/>
    <w:rsid w:val="001E03BE"/>
    <w:rsid w:val="001E1DC0"/>
    <w:rsid w:val="001E563B"/>
    <w:rsid w:val="001E6D20"/>
    <w:rsid w:val="001F2AF5"/>
    <w:rsid w:val="001F7F21"/>
    <w:rsid w:val="00200486"/>
    <w:rsid w:val="00212D6C"/>
    <w:rsid w:val="002231BD"/>
    <w:rsid w:val="00244229"/>
    <w:rsid w:val="00247365"/>
    <w:rsid w:val="00276557"/>
    <w:rsid w:val="0028602A"/>
    <w:rsid w:val="00286D38"/>
    <w:rsid w:val="0028770B"/>
    <w:rsid w:val="002945C4"/>
    <w:rsid w:val="00297258"/>
    <w:rsid w:val="002A1E25"/>
    <w:rsid w:val="002B3381"/>
    <w:rsid w:val="002B47E5"/>
    <w:rsid w:val="002B5E10"/>
    <w:rsid w:val="002C1765"/>
    <w:rsid w:val="002C37B5"/>
    <w:rsid w:val="002C793D"/>
    <w:rsid w:val="002D4108"/>
    <w:rsid w:val="002D430F"/>
    <w:rsid w:val="002D5B25"/>
    <w:rsid w:val="002D7444"/>
    <w:rsid w:val="002E2AF4"/>
    <w:rsid w:val="002E38B2"/>
    <w:rsid w:val="002E3BEA"/>
    <w:rsid w:val="002F4F2B"/>
    <w:rsid w:val="002F5282"/>
    <w:rsid w:val="003002C0"/>
    <w:rsid w:val="00301144"/>
    <w:rsid w:val="00301DB0"/>
    <w:rsid w:val="003031C6"/>
    <w:rsid w:val="00304984"/>
    <w:rsid w:val="00312BF8"/>
    <w:rsid w:val="003148B7"/>
    <w:rsid w:val="003158C3"/>
    <w:rsid w:val="003274CD"/>
    <w:rsid w:val="0032773A"/>
    <w:rsid w:val="0033172A"/>
    <w:rsid w:val="0033315A"/>
    <w:rsid w:val="00333501"/>
    <w:rsid w:val="003457C4"/>
    <w:rsid w:val="00346EAA"/>
    <w:rsid w:val="0035119D"/>
    <w:rsid w:val="00372214"/>
    <w:rsid w:val="0038026B"/>
    <w:rsid w:val="00382530"/>
    <w:rsid w:val="0038768C"/>
    <w:rsid w:val="0039215F"/>
    <w:rsid w:val="0039344A"/>
    <w:rsid w:val="003A3279"/>
    <w:rsid w:val="003B4F12"/>
    <w:rsid w:val="003B77E3"/>
    <w:rsid w:val="003C45DE"/>
    <w:rsid w:val="003C6C4F"/>
    <w:rsid w:val="003C7D0E"/>
    <w:rsid w:val="003D6A8A"/>
    <w:rsid w:val="003E0A74"/>
    <w:rsid w:val="003E60CA"/>
    <w:rsid w:val="003E6E72"/>
    <w:rsid w:val="003F2041"/>
    <w:rsid w:val="00402ACC"/>
    <w:rsid w:val="00404602"/>
    <w:rsid w:val="004120EC"/>
    <w:rsid w:val="00415C26"/>
    <w:rsid w:val="00422129"/>
    <w:rsid w:val="00423F31"/>
    <w:rsid w:val="00431899"/>
    <w:rsid w:val="00453B1A"/>
    <w:rsid w:val="00471F8D"/>
    <w:rsid w:val="004728DD"/>
    <w:rsid w:val="00472BCA"/>
    <w:rsid w:val="00482AE8"/>
    <w:rsid w:val="00486804"/>
    <w:rsid w:val="00487549"/>
    <w:rsid w:val="00494242"/>
    <w:rsid w:val="004B3775"/>
    <w:rsid w:val="004B64F7"/>
    <w:rsid w:val="004B72A6"/>
    <w:rsid w:val="004D0BA0"/>
    <w:rsid w:val="004D5137"/>
    <w:rsid w:val="004D5578"/>
    <w:rsid w:val="004E058F"/>
    <w:rsid w:val="004E120D"/>
    <w:rsid w:val="004E3B87"/>
    <w:rsid w:val="004E549D"/>
    <w:rsid w:val="00510921"/>
    <w:rsid w:val="00510AD3"/>
    <w:rsid w:val="00513348"/>
    <w:rsid w:val="00513AD8"/>
    <w:rsid w:val="0051476F"/>
    <w:rsid w:val="00516009"/>
    <w:rsid w:val="005204D2"/>
    <w:rsid w:val="00522396"/>
    <w:rsid w:val="005231A9"/>
    <w:rsid w:val="00533B5D"/>
    <w:rsid w:val="00534D96"/>
    <w:rsid w:val="00536BAB"/>
    <w:rsid w:val="005500A1"/>
    <w:rsid w:val="00551FF7"/>
    <w:rsid w:val="005A20F6"/>
    <w:rsid w:val="005A511C"/>
    <w:rsid w:val="005B3AB6"/>
    <w:rsid w:val="005B550D"/>
    <w:rsid w:val="005B66A9"/>
    <w:rsid w:val="005C01F4"/>
    <w:rsid w:val="005C0CD0"/>
    <w:rsid w:val="005C2973"/>
    <w:rsid w:val="005C355E"/>
    <w:rsid w:val="005D0A91"/>
    <w:rsid w:val="005D3655"/>
    <w:rsid w:val="005E0058"/>
    <w:rsid w:val="005E4830"/>
    <w:rsid w:val="005E5524"/>
    <w:rsid w:val="005F2F66"/>
    <w:rsid w:val="006215C1"/>
    <w:rsid w:val="0062246A"/>
    <w:rsid w:val="00622B86"/>
    <w:rsid w:val="00623BA1"/>
    <w:rsid w:val="006346BC"/>
    <w:rsid w:val="006348C0"/>
    <w:rsid w:val="006378FE"/>
    <w:rsid w:val="00637955"/>
    <w:rsid w:val="00650F80"/>
    <w:rsid w:val="0066652A"/>
    <w:rsid w:val="006719C3"/>
    <w:rsid w:val="00672C43"/>
    <w:rsid w:val="006745FC"/>
    <w:rsid w:val="00680522"/>
    <w:rsid w:val="00682167"/>
    <w:rsid w:val="00684252"/>
    <w:rsid w:val="006A1A4A"/>
    <w:rsid w:val="006A6F52"/>
    <w:rsid w:val="006B6F6D"/>
    <w:rsid w:val="006C0B06"/>
    <w:rsid w:val="006C3BBD"/>
    <w:rsid w:val="006C42AF"/>
    <w:rsid w:val="006D0EB4"/>
    <w:rsid w:val="006D495B"/>
    <w:rsid w:val="006D5A56"/>
    <w:rsid w:val="006E4323"/>
    <w:rsid w:val="006E5348"/>
    <w:rsid w:val="006F6BA7"/>
    <w:rsid w:val="0070365D"/>
    <w:rsid w:val="0070506F"/>
    <w:rsid w:val="007075DF"/>
    <w:rsid w:val="00711D8E"/>
    <w:rsid w:val="00712672"/>
    <w:rsid w:val="007133F4"/>
    <w:rsid w:val="00734E3F"/>
    <w:rsid w:val="00736985"/>
    <w:rsid w:val="00745DF5"/>
    <w:rsid w:val="00755D6C"/>
    <w:rsid w:val="00760928"/>
    <w:rsid w:val="00761EA4"/>
    <w:rsid w:val="0076250F"/>
    <w:rsid w:val="00776636"/>
    <w:rsid w:val="00780FA5"/>
    <w:rsid w:val="00783BDD"/>
    <w:rsid w:val="00786709"/>
    <w:rsid w:val="00786BE8"/>
    <w:rsid w:val="007B4DCE"/>
    <w:rsid w:val="007B6200"/>
    <w:rsid w:val="007C735B"/>
    <w:rsid w:val="007E556D"/>
    <w:rsid w:val="007F3395"/>
    <w:rsid w:val="007F5C0B"/>
    <w:rsid w:val="007F646C"/>
    <w:rsid w:val="00801B9F"/>
    <w:rsid w:val="0080204D"/>
    <w:rsid w:val="008138CF"/>
    <w:rsid w:val="0082053C"/>
    <w:rsid w:val="0084191E"/>
    <w:rsid w:val="0084699F"/>
    <w:rsid w:val="008475F0"/>
    <w:rsid w:val="00852C32"/>
    <w:rsid w:val="00854D4B"/>
    <w:rsid w:val="008557A7"/>
    <w:rsid w:val="00857312"/>
    <w:rsid w:val="00870928"/>
    <w:rsid w:val="00877EDB"/>
    <w:rsid w:val="0088131F"/>
    <w:rsid w:val="00887404"/>
    <w:rsid w:val="0089405C"/>
    <w:rsid w:val="00897FA2"/>
    <w:rsid w:val="008A2AAE"/>
    <w:rsid w:val="008A3DB1"/>
    <w:rsid w:val="008A59BC"/>
    <w:rsid w:val="008A5AFE"/>
    <w:rsid w:val="008A7B6F"/>
    <w:rsid w:val="008C5A0E"/>
    <w:rsid w:val="008C708C"/>
    <w:rsid w:val="008D3327"/>
    <w:rsid w:val="008D371C"/>
    <w:rsid w:val="008D393B"/>
    <w:rsid w:val="008F42F8"/>
    <w:rsid w:val="008F6625"/>
    <w:rsid w:val="008F718E"/>
    <w:rsid w:val="00942B53"/>
    <w:rsid w:val="00942E19"/>
    <w:rsid w:val="00942F84"/>
    <w:rsid w:val="00943730"/>
    <w:rsid w:val="00950D65"/>
    <w:rsid w:val="00952764"/>
    <w:rsid w:val="00954FA1"/>
    <w:rsid w:val="00960D93"/>
    <w:rsid w:val="009646C6"/>
    <w:rsid w:val="00975CA5"/>
    <w:rsid w:val="009774B4"/>
    <w:rsid w:val="0098437D"/>
    <w:rsid w:val="0098438D"/>
    <w:rsid w:val="00986590"/>
    <w:rsid w:val="00992C76"/>
    <w:rsid w:val="009969D6"/>
    <w:rsid w:val="00997D59"/>
    <w:rsid w:val="009B4D3B"/>
    <w:rsid w:val="009D3438"/>
    <w:rsid w:val="009D7407"/>
    <w:rsid w:val="009E0866"/>
    <w:rsid w:val="009E21E9"/>
    <w:rsid w:val="009E273C"/>
    <w:rsid w:val="009F063F"/>
    <w:rsid w:val="009F1350"/>
    <w:rsid w:val="009F2FC5"/>
    <w:rsid w:val="009F6423"/>
    <w:rsid w:val="00A00D38"/>
    <w:rsid w:val="00A12B40"/>
    <w:rsid w:val="00A15D91"/>
    <w:rsid w:val="00A17680"/>
    <w:rsid w:val="00A22C80"/>
    <w:rsid w:val="00A24A62"/>
    <w:rsid w:val="00A31C9F"/>
    <w:rsid w:val="00A4144F"/>
    <w:rsid w:val="00A45765"/>
    <w:rsid w:val="00A61B4D"/>
    <w:rsid w:val="00A80305"/>
    <w:rsid w:val="00A80F95"/>
    <w:rsid w:val="00A86078"/>
    <w:rsid w:val="00A868CB"/>
    <w:rsid w:val="00A97244"/>
    <w:rsid w:val="00A97BF1"/>
    <w:rsid w:val="00AA298A"/>
    <w:rsid w:val="00AA530F"/>
    <w:rsid w:val="00AB2660"/>
    <w:rsid w:val="00AC164A"/>
    <w:rsid w:val="00AC3944"/>
    <w:rsid w:val="00AD7761"/>
    <w:rsid w:val="00AE2FAA"/>
    <w:rsid w:val="00AE448A"/>
    <w:rsid w:val="00AE74DA"/>
    <w:rsid w:val="00AF2050"/>
    <w:rsid w:val="00AF493C"/>
    <w:rsid w:val="00AF630E"/>
    <w:rsid w:val="00B00BF4"/>
    <w:rsid w:val="00B02B2A"/>
    <w:rsid w:val="00B03CA8"/>
    <w:rsid w:val="00B05B87"/>
    <w:rsid w:val="00B153D6"/>
    <w:rsid w:val="00B16EF6"/>
    <w:rsid w:val="00B22F0E"/>
    <w:rsid w:val="00B249EC"/>
    <w:rsid w:val="00B269BB"/>
    <w:rsid w:val="00B31758"/>
    <w:rsid w:val="00B33C0A"/>
    <w:rsid w:val="00B401AF"/>
    <w:rsid w:val="00B41791"/>
    <w:rsid w:val="00B50A35"/>
    <w:rsid w:val="00B51C2F"/>
    <w:rsid w:val="00B55E19"/>
    <w:rsid w:val="00B56E71"/>
    <w:rsid w:val="00B579A6"/>
    <w:rsid w:val="00B71AD8"/>
    <w:rsid w:val="00B84B3C"/>
    <w:rsid w:val="00B857E1"/>
    <w:rsid w:val="00B8599B"/>
    <w:rsid w:val="00B94758"/>
    <w:rsid w:val="00B96438"/>
    <w:rsid w:val="00BA4B6D"/>
    <w:rsid w:val="00BB26C5"/>
    <w:rsid w:val="00BC1FED"/>
    <w:rsid w:val="00BC2206"/>
    <w:rsid w:val="00BD21B4"/>
    <w:rsid w:val="00BE00B5"/>
    <w:rsid w:val="00BE23FE"/>
    <w:rsid w:val="00BF0E75"/>
    <w:rsid w:val="00BF4DE6"/>
    <w:rsid w:val="00C023C0"/>
    <w:rsid w:val="00C027D1"/>
    <w:rsid w:val="00C0603B"/>
    <w:rsid w:val="00C06B13"/>
    <w:rsid w:val="00C16604"/>
    <w:rsid w:val="00C22A4C"/>
    <w:rsid w:val="00C2681E"/>
    <w:rsid w:val="00C27D25"/>
    <w:rsid w:val="00C31639"/>
    <w:rsid w:val="00C347E1"/>
    <w:rsid w:val="00C35791"/>
    <w:rsid w:val="00C42541"/>
    <w:rsid w:val="00C42CDE"/>
    <w:rsid w:val="00C5182A"/>
    <w:rsid w:val="00C52463"/>
    <w:rsid w:val="00C63EE9"/>
    <w:rsid w:val="00C64565"/>
    <w:rsid w:val="00C711E9"/>
    <w:rsid w:val="00C7750E"/>
    <w:rsid w:val="00C87B9B"/>
    <w:rsid w:val="00C90751"/>
    <w:rsid w:val="00C92805"/>
    <w:rsid w:val="00CA16F3"/>
    <w:rsid w:val="00CA37B1"/>
    <w:rsid w:val="00CA5DDA"/>
    <w:rsid w:val="00CA72E8"/>
    <w:rsid w:val="00CB1488"/>
    <w:rsid w:val="00CB1959"/>
    <w:rsid w:val="00CC0221"/>
    <w:rsid w:val="00CC1D45"/>
    <w:rsid w:val="00CC741B"/>
    <w:rsid w:val="00CD0E4B"/>
    <w:rsid w:val="00CD3F5D"/>
    <w:rsid w:val="00CE0518"/>
    <w:rsid w:val="00CE45CD"/>
    <w:rsid w:val="00CE4C89"/>
    <w:rsid w:val="00CF07BA"/>
    <w:rsid w:val="00D0296C"/>
    <w:rsid w:val="00D22CDD"/>
    <w:rsid w:val="00D2641E"/>
    <w:rsid w:val="00D32126"/>
    <w:rsid w:val="00D32D6F"/>
    <w:rsid w:val="00D339A9"/>
    <w:rsid w:val="00D37B04"/>
    <w:rsid w:val="00D540C6"/>
    <w:rsid w:val="00D62DB2"/>
    <w:rsid w:val="00D64BD1"/>
    <w:rsid w:val="00D85F0B"/>
    <w:rsid w:val="00D92254"/>
    <w:rsid w:val="00DA1B52"/>
    <w:rsid w:val="00DA3CDD"/>
    <w:rsid w:val="00DE084C"/>
    <w:rsid w:val="00DE5C3D"/>
    <w:rsid w:val="00DF31E8"/>
    <w:rsid w:val="00DF6563"/>
    <w:rsid w:val="00DF68CF"/>
    <w:rsid w:val="00E055AB"/>
    <w:rsid w:val="00E14F51"/>
    <w:rsid w:val="00E357B7"/>
    <w:rsid w:val="00E41A3B"/>
    <w:rsid w:val="00E42E50"/>
    <w:rsid w:val="00E444E0"/>
    <w:rsid w:val="00E4584F"/>
    <w:rsid w:val="00E519ED"/>
    <w:rsid w:val="00E53800"/>
    <w:rsid w:val="00E6081F"/>
    <w:rsid w:val="00E70C37"/>
    <w:rsid w:val="00E766EF"/>
    <w:rsid w:val="00E8296D"/>
    <w:rsid w:val="00E8457B"/>
    <w:rsid w:val="00E944AA"/>
    <w:rsid w:val="00EA04B2"/>
    <w:rsid w:val="00EA20F3"/>
    <w:rsid w:val="00EA36D9"/>
    <w:rsid w:val="00EB4BA7"/>
    <w:rsid w:val="00EC6D38"/>
    <w:rsid w:val="00ED2831"/>
    <w:rsid w:val="00ED3B2D"/>
    <w:rsid w:val="00ED43D1"/>
    <w:rsid w:val="00EE4EE1"/>
    <w:rsid w:val="00EF4574"/>
    <w:rsid w:val="00F012D1"/>
    <w:rsid w:val="00F01921"/>
    <w:rsid w:val="00F25A93"/>
    <w:rsid w:val="00F2684E"/>
    <w:rsid w:val="00F27235"/>
    <w:rsid w:val="00F356A3"/>
    <w:rsid w:val="00F45486"/>
    <w:rsid w:val="00F45DF1"/>
    <w:rsid w:val="00F5404C"/>
    <w:rsid w:val="00F55791"/>
    <w:rsid w:val="00F67C6A"/>
    <w:rsid w:val="00F729EF"/>
    <w:rsid w:val="00F77CAE"/>
    <w:rsid w:val="00F802DD"/>
    <w:rsid w:val="00F82271"/>
    <w:rsid w:val="00F83428"/>
    <w:rsid w:val="00F902CB"/>
    <w:rsid w:val="00F92892"/>
    <w:rsid w:val="00F96BB9"/>
    <w:rsid w:val="00FA26EA"/>
    <w:rsid w:val="00FA2E74"/>
    <w:rsid w:val="00FA5EFD"/>
    <w:rsid w:val="00FB391D"/>
    <w:rsid w:val="00FC0428"/>
    <w:rsid w:val="00FD1850"/>
    <w:rsid w:val="00FD36C8"/>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62759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E2FAA"/>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71AD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autoRedefine/>
    <w:uiPriority w:val="9"/>
    <w:unhideWhenUsed/>
    <w:qFormat/>
    <w:rsid w:val="001F7F21"/>
    <w:pPr>
      <w:spacing w:before="120" w:after="120"/>
      <w:outlineLvl w:val="1"/>
    </w:pPr>
    <w:rPr>
      <w:bCs w:val="0"/>
      <w:sz w:val="22"/>
      <w:szCs w:val="26"/>
    </w:rPr>
  </w:style>
  <w:style w:type="paragraph" w:styleId="Heading3">
    <w:name w:val="heading 3"/>
    <w:basedOn w:val="Heading2"/>
    <w:next w:val="Normal"/>
    <w:link w:val="Heading3Char"/>
    <w:autoRedefine/>
    <w:uiPriority w:val="9"/>
    <w:unhideWhenUsed/>
    <w:qFormat/>
    <w:rsid w:val="001F7F21"/>
    <w:pPr>
      <w:spacing w:line="360" w:lineRule="atLeast"/>
      <w:outlineLvl w:val="2"/>
    </w:pPr>
    <w:rPr>
      <w:bCs/>
      <w:i/>
      <w:caps w:val="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B71AD8"/>
    <w:pPr>
      <w:spacing w:line="200" w:lineRule="atLeast"/>
      <w:outlineLvl w:val="4"/>
    </w:pPr>
    <w:rPr>
      <w:b w:val="0"/>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val="0"/>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D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1F7F21"/>
    <w:rPr>
      <w:rFonts w:asciiTheme="majorHAnsi" w:eastAsiaTheme="majorEastAsia" w:hAnsiTheme="majorHAnsi" w:cstheme="majorBidi"/>
      <w:b/>
      <w:caps/>
      <w:color w:val="495965" w:themeColor="text2"/>
      <w:szCs w:val="26"/>
      <w:lang w:val="en-GB"/>
    </w:rPr>
  </w:style>
  <w:style w:type="character" w:customStyle="1" w:styleId="Heading3Char">
    <w:name w:val="Heading 3 Char"/>
    <w:basedOn w:val="DefaultParagraphFont"/>
    <w:link w:val="Heading3"/>
    <w:uiPriority w:val="9"/>
    <w:rsid w:val="001F7F21"/>
    <w:rPr>
      <w:rFonts w:asciiTheme="majorHAnsi" w:eastAsiaTheme="majorEastAsia" w:hAnsiTheme="majorHAnsi" w:cstheme="majorBidi"/>
      <w:b/>
      <w:bCs/>
      <w:i/>
      <w:color w:val="495965" w:themeColor="text2"/>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uiPriority w:val="34"/>
    <w:qFormat/>
    <w:rsid w:val="00B71AD8"/>
    <w:pPr>
      <w:numPr>
        <w:numId w:val="33"/>
      </w:numPr>
      <w:spacing w:before="0"/>
    </w:pPr>
  </w:style>
  <w:style w:type="paragraph" w:customStyle="1" w:styleId="Bullet2">
    <w:name w:val="Bullet 2"/>
    <w:basedOn w:val="Bullet1"/>
    <w:uiPriority w:val="99"/>
    <w:qFormat/>
    <w:rsid w:val="00F2684E"/>
    <w:pPr>
      <w:numPr>
        <w:ilvl w:val="1"/>
      </w:numPr>
    </w:pPr>
  </w:style>
  <w:style w:type="paragraph" w:customStyle="1" w:styleId="Bullet3">
    <w:name w:val="Bullet 3"/>
    <w:basedOn w:val="Bullet2"/>
    <w:uiPriority w:val="99"/>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uiPriority w:val="99"/>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styleId="EndnoteText">
    <w:name w:val="endnote text"/>
    <w:basedOn w:val="Normal"/>
    <w:link w:val="EndnoteTextChar"/>
    <w:uiPriority w:val="99"/>
    <w:semiHidden/>
    <w:unhideWhenUsed/>
    <w:rsid w:val="001C01C6"/>
    <w:pPr>
      <w:suppressAutoHyphens w:val="0"/>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C01C6"/>
    <w:rPr>
      <w:color w:val="495965" w:themeColor="text2"/>
      <w:sz w:val="20"/>
      <w:szCs w:val="20"/>
      <w:lang w:val="en-GB"/>
    </w:rPr>
  </w:style>
  <w:style w:type="character" w:styleId="EndnoteReference">
    <w:name w:val="endnote reference"/>
    <w:basedOn w:val="DefaultParagraphFont"/>
    <w:uiPriority w:val="99"/>
    <w:semiHidden/>
    <w:unhideWhenUsed/>
    <w:rsid w:val="001C01C6"/>
    <w:rPr>
      <w:vertAlign w:val="superscript"/>
    </w:rPr>
  </w:style>
  <w:style w:type="paragraph" w:styleId="NormalWeb">
    <w:name w:val="Normal (Web)"/>
    <w:basedOn w:val="Normal"/>
    <w:uiPriority w:val="99"/>
    <w:semiHidden/>
    <w:unhideWhenUsed/>
    <w:rsid w:val="0051476F"/>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customStyle="1" w:styleId="dfat-footer-toggle-button">
    <w:name w:val="dfat-footer-toggle-button"/>
    <w:basedOn w:val="DefaultParagraphFont"/>
    <w:rsid w:val="0051476F"/>
  </w:style>
  <w:style w:type="paragraph" w:customStyle="1" w:styleId="more">
    <w:name w:val="more"/>
    <w:basedOn w:val="Normal"/>
    <w:rsid w:val="0051476F"/>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902064">
      <w:bodyDiv w:val="1"/>
      <w:marLeft w:val="0"/>
      <w:marRight w:val="0"/>
      <w:marTop w:val="0"/>
      <w:marBottom w:val="0"/>
      <w:divBdr>
        <w:top w:val="none" w:sz="0" w:space="0" w:color="auto"/>
        <w:left w:val="none" w:sz="0" w:space="0" w:color="auto"/>
        <w:bottom w:val="none" w:sz="0" w:space="0" w:color="auto"/>
        <w:right w:val="none" w:sz="0" w:space="0" w:color="auto"/>
      </w:divBdr>
    </w:div>
    <w:div w:id="1132790221">
      <w:bodyDiv w:val="1"/>
      <w:marLeft w:val="0"/>
      <w:marRight w:val="0"/>
      <w:marTop w:val="0"/>
      <w:marBottom w:val="0"/>
      <w:divBdr>
        <w:top w:val="none" w:sz="0" w:space="0" w:color="auto"/>
        <w:left w:val="none" w:sz="0" w:space="0" w:color="auto"/>
        <w:bottom w:val="none" w:sz="0" w:space="0" w:color="auto"/>
        <w:right w:val="none" w:sz="0" w:space="0" w:color="auto"/>
      </w:divBdr>
      <w:divsChild>
        <w:div w:id="1179661389">
          <w:marLeft w:val="0"/>
          <w:marRight w:val="0"/>
          <w:marTop w:val="0"/>
          <w:marBottom w:val="0"/>
          <w:divBdr>
            <w:top w:val="none" w:sz="0" w:space="0" w:color="auto"/>
            <w:left w:val="none" w:sz="0" w:space="0" w:color="auto"/>
            <w:bottom w:val="none" w:sz="0" w:space="0" w:color="auto"/>
            <w:right w:val="none" w:sz="0" w:space="0" w:color="auto"/>
          </w:divBdr>
          <w:divsChild>
            <w:div w:id="912929567">
              <w:marLeft w:val="0"/>
              <w:marRight w:val="0"/>
              <w:marTop w:val="0"/>
              <w:marBottom w:val="0"/>
              <w:divBdr>
                <w:top w:val="none" w:sz="0" w:space="0" w:color="auto"/>
                <w:left w:val="none" w:sz="0" w:space="0" w:color="auto"/>
                <w:bottom w:val="none" w:sz="0" w:space="0" w:color="auto"/>
                <w:right w:val="none" w:sz="0" w:space="0" w:color="auto"/>
              </w:divBdr>
              <w:divsChild>
                <w:div w:id="1609853467">
                  <w:marLeft w:val="0"/>
                  <w:marRight w:val="0"/>
                  <w:marTop w:val="480"/>
                  <w:marBottom w:val="0"/>
                  <w:divBdr>
                    <w:top w:val="none" w:sz="0" w:space="0" w:color="auto"/>
                    <w:left w:val="none" w:sz="0" w:space="0" w:color="auto"/>
                    <w:bottom w:val="none" w:sz="0" w:space="0" w:color="auto"/>
                    <w:right w:val="none" w:sz="0" w:space="0" w:color="auto"/>
                  </w:divBdr>
                  <w:divsChild>
                    <w:div w:id="71197151">
                      <w:marLeft w:val="0"/>
                      <w:marRight w:val="0"/>
                      <w:marTop w:val="0"/>
                      <w:marBottom w:val="0"/>
                      <w:divBdr>
                        <w:top w:val="none" w:sz="0" w:space="0" w:color="auto"/>
                        <w:left w:val="none" w:sz="0" w:space="0" w:color="auto"/>
                        <w:bottom w:val="none" w:sz="0" w:space="0" w:color="auto"/>
                        <w:right w:val="none" w:sz="0" w:space="0" w:color="auto"/>
                      </w:divBdr>
                      <w:divsChild>
                        <w:div w:id="336351976">
                          <w:marLeft w:val="0"/>
                          <w:marRight w:val="0"/>
                          <w:marTop w:val="0"/>
                          <w:marBottom w:val="0"/>
                          <w:divBdr>
                            <w:top w:val="none" w:sz="0" w:space="0" w:color="auto"/>
                            <w:left w:val="none" w:sz="0" w:space="0" w:color="auto"/>
                            <w:bottom w:val="none" w:sz="0" w:space="0" w:color="auto"/>
                            <w:right w:val="none" w:sz="0" w:space="0" w:color="auto"/>
                          </w:divBdr>
                          <w:divsChild>
                            <w:div w:id="176164762">
                              <w:marLeft w:val="0"/>
                              <w:marRight w:val="0"/>
                              <w:marTop w:val="0"/>
                              <w:marBottom w:val="0"/>
                              <w:divBdr>
                                <w:top w:val="none" w:sz="0" w:space="0" w:color="auto"/>
                                <w:left w:val="none" w:sz="0" w:space="0" w:color="auto"/>
                                <w:bottom w:val="none" w:sz="0" w:space="0" w:color="auto"/>
                                <w:right w:val="none" w:sz="0" w:space="0" w:color="auto"/>
                              </w:divBdr>
                              <w:divsChild>
                                <w:div w:id="101152126">
                                  <w:marLeft w:val="0"/>
                                  <w:marRight w:val="0"/>
                                  <w:marTop w:val="0"/>
                                  <w:marBottom w:val="0"/>
                                  <w:divBdr>
                                    <w:top w:val="none" w:sz="0" w:space="0" w:color="auto"/>
                                    <w:left w:val="none" w:sz="0" w:space="0" w:color="auto"/>
                                    <w:bottom w:val="none" w:sz="0" w:space="0" w:color="auto"/>
                                    <w:right w:val="none" w:sz="0" w:space="0" w:color="auto"/>
                                  </w:divBdr>
                                  <w:divsChild>
                                    <w:div w:id="1356157060">
                                      <w:marLeft w:val="0"/>
                                      <w:marRight w:val="0"/>
                                      <w:marTop w:val="0"/>
                                      <w:marBottom w:val="0"/>
                                      <w:divBdr>
                                        <w:top w:val="none" w:sz="0" w:space="0" w:color="auto"/>
                                        <w:left w:val="none" w:sz="0" w:space="0" w:color="auto"/>
                                        <w:bottom w:val="none" w:sz="0" w:space="0" w:color="auto"/>
                                        <w:right w:val="none" w:sz="0" w:space="0" w:color="auto"/>
                                      </w:divBdr>
                                      <w:divsChild>
                                        <w:div w:id="19964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075889">
                              <w:marLeft w:val="0"/>
                              <w:marRight w:val="0"/>
                              <w:marTop w:val="0"/>
                              <w:marBottom w:val="0"/>
                              <w:divBdr>
                                <w:top w:val="none" w:sz="0" w:space="0" w:color="auto"/>
                                <w:left w:val="none" w:sz="0" w:space="0" w:color="auto"/>
                                <w:bottom w:val="none" w:sz="0" w:space="0" w:color="auto"/>
                                <w:right w:val="none" w:sz="0" w:space="0" w:color="auto"/>
                              </w:divBdr>
                              <w:divsChild>
                                <w:div w:id="90900077">
                                  <w:marLeft w:val="0"/>
                                  <w:marRight w:val="0"/>
                                  <w:marTop w:val="0"/>
                                  <w:marBottom w:val="0"/>
                                  <w:divBdr>
                                    <w:top w:val="none" w:sz="0" w:space="0" w:color="auto"/>
                                    <w:left w:val="none" w:sz="0" w:space="0" w:color="auto"/>
                                    <w:bottom w:val="none" w:sz="0" w:space="0" w:color="auto"/>
                                    <w:right w:val="none" w:sz="0" w:space="0" w:color="auto"/>
                                  </w:divBdr>
                                  <w:divsChild>
                                    <w:div w:id="318535011">
                                      <w:marLeft w:val="0"/>
                                      <w:marRight w:val="0"/>
                                      <w:marTop w:val="0"/>
                                      <w:marBottom w:val="0"/>
                                      <w:divBdr>
                                        <w:top w:val="none" w:sz="0" w:space="0" w:color="auto"/>
                                        <w:left w:val="none" w:sz="0" w:space="0" w:color="auto"/>
                                        <w:bottom w:val="none" w:sz="0" w:space="0" w:color="auto"/>
                                        <w:right w:val="none" w:sz="0" w:space="0" w:color="auto"/>
                                      </w:divBdr>
                                      <w:divsChild>
                                        <w:div w:id="18780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308300">
                              <w:marLeft w:val="0"/>
                              <w:marRight w:val="0"/>
                              <w:marTop w:val="0"/>
                              <w:marBottom w:val="0"/>
                              <w:divBdr>
                                <w:top w:val="none" w:sz="0" w:space="0" w:color="auto"/>
                                <w:left w:val="none" w:sz="0" w:space="0" w:color="auto"/>
                                <w:bottom w:val="none" w:sz="0" w:space="0" w:color="auto"/>
                                <w:right w:val="none" w:sz="0" w:space="0" w:color="auto"/>
                              </w:divBdr>
                              <w:divsChild>
                                <w:div w:id="356078169">
                                  <w:marLeft w:val="0"/>
                                  <w:marRight w:val="0"/>
                                  <w:marTop w:val="0"/>
                                  <w:marBottom w:val="0"/>
                                  <w:divBdr>
                                    <w:top w:val="none" w:sz="0" w:space="0" w:color="auto"/>
                                    <w:left w:val="none" w:sz="0" w:space="0" w:color="auto"/>
                                    <w:bottom w:val="none" w:sz="0" w:space="0" w:color="auto"/>
                                    <w:right w:val="none" w:sz="0" w:space="0" w:color="auto"/>
                                  </w:divBdr>
                                  <w:divsChild>
                                    <w:div w:id="939797908">
                                      <w:marLeft w:val="0"/>
                                      <w:marRight w:val="0"/>
                                      <w:marTop w:val="0"/>
                                      <w:marBottom w:val="0"/>
                                      <w:divBdr>
                                        <w:top w:val="none" w:sz="0" w:space="0" w:color="auto"/>
                                        <w:left w:val="none" w:sz="0" w:space="0" w:color="auto"/>
                                        <w:bottom w:val="none" w:sz="0" w:space="0" w:color="auto"/>
                                        <w:right w:val="none" w:sz="0" w:space="0" w:color="auto"/>
                                      </w:divBdr>
                                      <w:divsChild>
                                        <w:div w:id="5752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001030">
                              <w:marLeft w:val="0"/>
                              <w:marRight w:val="0"/>
                              <w:marTop w:val="0"/>
                              <w:marBottom w:val="0"/>
                              <w:divBdr>
                                <w:top w:val="none" w:sz="0" w:space="0" w:color="auto"/>
                                <w:left w:val="none" w:sz="0" w:space="0" w:color="auto"/>
                                <w:bottom w:val="none" w:sz="0" w:space="0" w:color="auto"/>
                                <w:right w:val="none" w:sz="0" w:space="0" w:color="auto"/>
                              </w:divBdr>
                              <w:divsChild>
                                <w:div w:id="821888600">
                                  <w:marLeft w:val="0"/>
                                  <w:marRight w:val="0"/>
                                  <w:marTop w:val="0"/>
                                  <w:marBottom w:val="0"/>
                                  <w:divBdr>
                                    <w:top w:val="none" w:sz="0" w:space="0" w:color="auto"/>
                                    <w:left w:val="none" w:sz="0" w:space="0" w:color="auto"/>
                                    <w:bottom w:val="none" w:sz="0" w:space="0" w:color="auto"/>
                                    <w:right w:val="none" w:sz="0" w:space="0" w:color="auto"/>
                                  </w:divBdr>
                                  <w:divsChild>
                                    <w:div w:id="15233263">
                                      <w:marLeft w:val="0"/>
                                      <w:marRight w:val="0"/>
                                      <w:marTop w:val="0"/>
                                      <w:marBottom w:val="0"/>
                                      <w:divBdr>
                                        <w:top w:val="none" w:sz="0" w:space="0" w:color="auto"/>
                                        <w:left w:val="none" w:sz="0" w:space="0" w:color="auto"/>
                                        <w:bottom w:val="none" w:sz="0" w:space="0" w:color="auto"/>
                                        <w:right w:val="none" w:sz="0" w:space="0" w:color="auto"/>
                                      </w:divBdr>
                                      <w:divsChild>
                                        <w:div w:id="882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077139">
                          <w:marLeft w:val="0"/>
                          <w:marRight w:val="0"/>
                          <w:marTop w:val="0"/>
                          <w:marBottom w:val="0"/>
                          <w:divBdr>
                            <w:top w:val="none" w:sz="0" w:space="0" w:color="auto"/>
                            <w:left w:val="none" w:sz="0" w:space="0" w:color="auto"/>
                            <w:bottom w:val="none" w:sz="0" w:space="0" w:color="auto"/>
                            <w:right w:val="none" w:sz="0" w:space="0" w:color="auto"/>
                          </w:divBdr>
                          <w:divsChild>
                            <w:div w:id="283584707">
                              <w:marLeft w:val="0"/>
                              <w:marRight w:val="0"/>
                              <w:marTop w:val="0"/>
                              <w:marBottom w:val="0"/>
                              <w:divBdr>
                                <w:top w:val="none" w:sz="0" w:space="0" w:color="auto"/>
                                <w:left w:val="none" w:sz="0" w:space="0" w:color="auto"/>
                                <w:bottom w:val="none" w:sz="0" w:space="0" w:color="auto"/>
                                <w:right w:val="none" w:sz="0" w:space="0" w:color="auto"/>
                              </w:divBdr>
                              <w:divsChild>
                                <w:div w:id="53288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30742">
                      <w:marLeft w:val="0"/>
                      <w:marRight w:val="0"/>
                      <w:marTop w:val="0"/>
                      <w:marBottom w:val="0"/>
                      <w:divBdr>
                        <w:top w:val="none" w:sz="0" w:space="0" w:color="auto"/>
                        <w:left w:val="none" w:sz="0" w:space="0" w:color="auto"/>
                        <w:bottom w:val="none" w:sz="0" w:space="0" w:color="auto"/>
                        <w:right w:val="none" w:sz="0" w:space="0" w:color="auto"/>
                      </w:divBdr>
                      <w:divsChild>
                        <w:div w:id="1457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91715">
                  <w:marLeft w:val="0"/>
                  <w:marRight w:val="0"/>
                  <w:marTop w:val="0"/>
                  <w:marBottom w:val="0"/>
                  <w:divBdr>
                    <w:top w:val="none" w:sz="0" w:space="0" w:color="auto"/>
                    <w:left w:val="none" w:sz="0" w:space="0" w:color="auto"/>
                    <w:bottom w:val="none" w:sz="0" w:space="0" w:color="auto"/>
                    <w:right w:val="none" w:sz="0" w:space="0" w:color="auto"/>
                  </w:divBdr>
                  <w:divsChild>
                    <w:div w:id="2047677074">
                      <w:marLeft w:val="0"/>
                      <w:marRight w:val="0"/>
                      <w:marTop w:val="0"/>
                      <w:marBottom w:val="0"/>
                      <w:divBdr>
                        <w:top w:val="none" w:sz="0" w:space="0" w:color="auto"/>
                        <w:left w:val="none" w:sz="0" w:space="0" w:color="auto"/>
                        <w:bottom w:val="none" w:sz="0" w:space="0" w:color="auto"/>
                        <w:right w:val="none" w:sz="0" w:space="0" w:color="auto"/>
                      </w:divBdr>
                      <w:divsChild>
                        <w:div w:id="1401632031">
                          <w:marLeft w:val="0"/>
                          <w:marRight w:val="0"/>
                          <w:marTop w:val="0"/>
                          <w:marBottom w:val="0"/>
                          <w:divBdr>
                            <w:top w:val="none" w:sz="0" w:space="0" w:color="auto"/>
                            <w:left w:val="none" w:sz="0" w:space="0" w:color="auto"/>
                            <w:bottom w:val="none" w:sz="0" w:space="0" w:color="auto"/>
                            <w:right w:val="none" w:sz="0" w:space="0" w:color="auto"/>
                          </w:divBdr>
                          <w:divsChild>
                            <w:div w:id="33964349">
                              <w:marLeft w:val="0"/>
                              <w:marRight w:val="0"/>
                              <w:marTop w:val="0"/>
                              <w:marBottom w:val="0"/>
                              <w:divBdr>
                                <w:top w:val="none" w:sz="0" w:space="0" w:color="auto"/>
                                <w:left w:val="none" w:sz="0" w:space="0" w:color="auto"/>
                                <w:bottom w:val="none" w:sz="0" w:space="0" w:color="auto"/>
                                <w:right w:val="none" w:sz="0" w:space="0" w:color="auto"/>
                              </w:divBdr>
                              <w:divsChild>
                                <w:div w:id="380441758">
                                  <w:marLeft w:val="0"/>
                                  <w:marRight w:val="0"/>
                                  <w:marTop w:val="0"/>
                                  <w:marBottom w:val="0"/>
                                  <w:divBdr>
                                    <w:top w:val="none" w:sz="0" w:space="0" w:color="auto"/>
                                    <w:left w:val="none" w:sz="0" w:space="0" w:color="auto"/>
                                    <w:bottom w:val="none" w:sz="0" w:space="0" w:color="auto"/>
                                    <w:right w:val="none" w:sz="0" w:space="0" w:color="auto"/>
                                  </w:divBdr>
                                  <w:divsChild>
                                    <w:div w:id="268314480">
                                      <w:marLeft w:val="0"/>
                                      <w:marRight w:val="0"/>
                                      <w:marTop w:val="0"/>
                                      <w:marBottom w:val="0"/>
                                      <w:divBdr>
                                        <w:top w:val="none" w:sz="0" w:space="0" w:color="auto"/>
                                        <w:left w:val="none" w:sz="0" w:space="0" w:color="auto"/>
                                        <w:bottom w:val="none" w:sz="0" w:space="0" w:color="auto"/>
                                        <w:right w:val="none" w:sz="0" w:space="0" w:color="auto"/>
                                      </w:divBdr>
                                      <w:divsChild>
                                        <w:div w:id="995887845">
                                          <w:marLeft w:val="0"/>
                                          <w:marRight w:val="0"/>
                                          <w:marTop w:val="0"/>
                                          <w:marBottom w:val="0"/>
                                          <w:divBdr>
                                            <w:top w:val="none" w:sz="0" w:space="0" w:color="auto"/>
                                            <w:left w:val="none" w:sz="0" w:space="0" w:color="auto"/>
                                            <w:bottom w:val="none" w:sz="0" w:space="0" w:color="auto"/>
                                            <w:right w:val="none" w:sz="0" w:space="0" w:color="auto"/>
                                          </w:divBdr>
                                          <w:divsChild>
                                            <w:div w:id="993215514">
                                              <w:marLeft w:val="0"/>
                                              <w:marRight w:val="0"/>
                                              <w:marTop w:val="0"/>
                                              <w:marBottom w:val="0"/>
                                              <w:divBdr>
                                                <w:top w:val="none" w:sz="0" w:space="0" w:color="auto"/>
                                                <w:left w:val="none" w:sz="0" w:space="0" w:color="auto"/>
                                                <w:bottom w:val="none" w:sz="0" w:space="0" w:color="auto"/>
                                                <w:right w:val="none" w:sz="0" w:space="0" w:color="auto"/>
                                              </w:divBdr>
                                              <w:divsChild>
                                                <w:div w:id="1996108144">
                                                  <w:marLeft w:val="0"/>
                                                  <w:marRight w:val="0"/>
                                                  <w:marTop w:val="0"/>
                                                  <w:marBottom w:val="0"/>
                                                  <w:divBdr>
                                                    <w:top w:val="none" w:sz="0" w:space="0" w:color="auto"/>
                                                    <w:left w:val="none" w:sz="0" w:space="0" w:color="auto"/>
                                                    <w:bottom w:val="none" w:sz="0" w:space="0" w:color="auto"/>
                                                    <w:right w:val="none" w:sz="0" w:space="0" w:color="auto"/>
                                                  </w:divBdr>
                                                  <w:divsChild>
                                                    <w:div w:id="90861247">
                                                      <w:marLeft w:val="0"/>
                                                      <w:marRight w:val="0"/>
                                                      <w:marTop w:val="0"/>
                                                      <w:marBottom w:val="0"/>
                                                      <w:divBdr>
                                                        <w:top w:val="none" w:sz="0" w:space="0" w:color="auto"/>
                                                        <w:left w:val="none" w:sz="0" w:space="0" w:color="auto"/>
                                                        <w:bottom w:val="none" w:sz="0" w:space="0" w:color="auto"/>
                                                        <w:right w:val="none" w:sz="0" w:space="0" w:color="auto"/>
                                                      </w:divBdr>
                                                      <w:divsChild>
                                                        <w:div w:id="293951040">
                                                          <w:marLeft w:val="0"/>
                                                          <w:marRight w:val="0"/>
                                                          <w:marTop w:val="0"/>
                                                          <w:marBottom w:val="0"/>
                                                          <w:divBdr>
                                                            <w:top w:val="none" w:sz="0" w:space="0" w:color="auto"/>
                                                            <w:left w:val="none" w:sz="0" w:space="0" w:color="auto"/>
                                                            <w:bottom w:val="none" w:sz="0" w:space="0" w:color="auto"/>
                                                            <w:right w:val="none" w:sz="0" w:space="0" w:color="auto"/>
                                                          </w:divBdr>
                                                          <w:divsChild>
                                                            <w:div w:id="1755739658">
                                                              <w:marLeft w:val="0"/>
                                                              <w:marRight w:val="0"/>
                                                              <w:marTop w:val="0"/>
                                                              <w:marBottom w:val="0"/>
                                                              <w:divBdr>
                                                                <w:top w:val="none" w:sz="0" w:space="0" w:color="auto"/>
                                                                <w:left w:val="none" w:sz="0" w:space="0" w:color="auto"/>
                                                                <w:bottom w:val="none" w:sz="0" w:space="0" w:color="auto"/>
                                                                <w:right w:val="none" w:sz="0" w:space="0" w:color="auto"/>
                                                              </w:divBdr>
                                                              <w:divsChild>
                                                                <w:div w:id="2117940584">
                                                                  <w:marLeft w:val="0"/>
                                                                  <w:marRight w:val="0"/>
                                                                  <w:marTop w:val="0"/>
                                                                  <w:marBottom w:val="0"/>
                                                                  <w:divBdr>
                                                                    <w:top w:val="none" w:sz="0" w:space="0" w:color="auto"/>
                                                                    <w:left w:val="none" w:sz="0" w:space="0" w:color="auto"/>
                                                                    <w:bottom w:val="none" w:sz="0" w:space="0" w:color="auto"/>
                                                                    <w:right w:val="none" w:sz="0" w:space="0" w:color="auto"/>
                                                                  </w:divBdr>
                                                                  <w:divsChild>
                                                                    <w:div w:id="18156801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345520783">
                                                      <w:marLeft w:val="0"/>
                                                      <w:marRight w:val="0"/>
                                                      <w:marTop w:val="0"/>
                                                      <w:marBottom w:val="0"/>
                                                      <w:divBdr>
                                                        <w:top w:val="none" w:sz="0" w:space="0" w:color="auto"/>
                                                        <w:left w:val="none" w:sz="0" w:space="0" w:color="auto"/>
                                                        <w:bottom w:val="none" w:sz="0" w:space="0" w:color="auto"/>
                                                        <w:right w:val="none" w:sz="0" w:space="0" w:color="auto"/>
                                                      </w:divBdr>
                                                      <w:divsChild>
                                                        <w:div w:id="887186034">
                                                          <w:marLeft w:val="0"/>
                                                          <w:marRight w:val="0"/>
                                                          <w:marTop w:val="0"/>
                                                          <w:marBottom w:val="0"/>
                                                          <w:divBdr>
                                                            <w:top w:val="none" w:sz="0" w:space="0" w:color="auto"/>
                                                            <w:left w:val="none" w:sz="0" w:space="0" w:color="auto"/>
                                                            <w:bottom w:val="none" w:sz="0" w:space="0" w:color="auto"/>
                                                            <w:right w:val="none" w:sz="0" w:space="0" w:color="auto"/>
                                                          </w:divBdr>
                                                          <w:divsChild>
                                                            <w:div w:id="1455096830">
                                                              <w:marLeft w:val="0"/>
                                                              <w:marRight w:val="0"/>
                                                              <w:marTop w:val="0"/>
                                                              <w:marBottom w:val="0"/>
                                                              <w:divBdr>
                                                                <w:top w:val="none" w:sz="0" w:space="0" w:color="auto"/>
                                                                <w:left w:val="none" w:sz="0" w:space="0" w:color="auto"/>
                                                                <w:bottom w:val="none" w:sz="0" w:space="0" w:color="auto"/>
                                                                <w:right w:val="none" w:sz="0" w:space="0" w:color="auto"/>
                                                              </w:divBdr>
                                                              <w:divsChild>
                                                                <w:div w:id="1747263069">
                                                                  <w:marLeft w:val="0"/>
                                                                  <w:marRight w:val="0"/>
                                                                  <w:marTop w:val="0"/>
                                                                  <w:marBottom w:val="0"/>
                                                                  <w:divBdr>
                                                                    <w:top w:val="none" w:sz="0" w:space="0" w:color="auto"/>
                                                                    <w:left w:val="none" w:sz="0" w:space="0" w:color="auto"/>
                                                                    <w:bottom w:val="none" w:sz="0" w:space="0" w:color="auto"/>
                                                                    <w:right w:val="none" w:sz="0" w:space="0" w:color="auto"/>
                                                                  </w:divBdr>
                                                                  <w:divsChild>
                                                                    <w:div w:id="55787109">
                                                                      <w:marLeft w:val="0"/>
                                                                      <w:marRight w:val="0"/>
                                                                      <w:marTop w:val="0"/>
                                                                      <w:marBottom w:val="0"/>
                                                                      <w:divBdr>
                                                                        <w:top w:val="none" w:sz="0" w:space="0" w:color="auto"/>
                                                                        <w:left w:val="none" w:sz="0" w:space="0" w:color="auto"/>
                                                                        <w:bottom w:val="none" w:sz="0" w:space="0" w:color="auto"/>
                                                                        <w:right w:val="none" w:sz="0" w:space="0" w:color="auto"/>
                                                                      </w:divBdr>
                                                                      <w:divsChild>
                                                                        <w:div w:id="1407455937">
                                                                          <w:marLeft w:val="0"/>
                                                                          <w:marRight w:val="0"/>
                                                                          <w:marTop w:val="0"/>
                                                                          <w:marBottom w:val="0"/>
                                                                          <w:divBdr>
                                                                            <w:top w:val="none" w:sz="0" w:space="0" w:color="auto"/>
                                                                            <w:left w:val="none" w:sz="0" w:space="0" w:color="auto"/>
                                                                            <w:bottom w:val="none" w:sz="0" w:space="0" w:color="auto"/>
                                                                            <w:right w:val="none" w:sz="0" w:space="0" w:color="auto"/>
                                                                          </w:divBdr>
                                                                          <w:divsChild>
                                                                            <w:div w:id="74665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60715">
                                                                      <w:marLeft w:val="0"/>
                                                                      <w:marRight w:val="0"/>
                                                                      <w:marTop w:val="0"/>
                                                                      <w:marBottom w:val="0"/>
                                                                      <w:divBdr>
                                                                        <w:top w:val="none" w:sz="0" w:space="0" w:color="auto"/>
                                                                        <w:left w:val="none" w:sz="0" w:space="0" w:color="auto"/>
                                                                        <w:bottom w:val="none" w:sz="0" w:space="0" w:color="auto"/>
                                                                        <w:right w:val="none" w:sz="0" w:space="0" w:color="auto"/>
                                                                      </w:divBdr>
                                                                      <w:divsChild>
                                                                        <w:div w:id="212469494">
                                                                          <w:marLeft w:val="0"/>
                                                                          <w:marRight w:val="0"/>
                                                                          <w:marTop w:val="0"/>
                                                                          <w:marBottom w:val="0"/>
                                                                          <w:divBdr>
                                                                            <w:top w:val="none" w:sz="0" w:space="0" w:color="auto"/>
                                                                            <w:left w:val="none" w:sz="0" w:space="0" w:color="auto"/>
                                                                            <w:bottom w:val="none" w:sz="0" w:space="0" w:color="auto"/>
                                                                            <w:right w:val="none" w:sz="0" w:space="0" w:color="auto"/>
                                                                          </w:divBdr>
                                                                          <w:divsChild>
                                                                            <w:div w:id="108560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2028">
                                                                      <w:marLeft w:val="0"/>
                                                                      <w:marRight w:val="0"/>
                                                                      <w:marTop w:val="0"/>
                                                                      <w:marBottom w:val="0"/>
                                                                      <w:divBdr>
                                                                        <w:top w:val="none" w:sz="0" w:space="0" w:color="auto"/>
                                                                        <w:left w:val="none" w:sz="0" w:space="0" w:color="auto"/>
                                                                        <w:bottom w:val="none" w:sz="0" w:space="0" w:color="auto"/>
                                                                        <w:right w:val="none" w:sz="0" w:space="0" w:color="auto"/>
                                                                      </w:divBdr>
                                                                      <w:divsChild>
                                                                        <w:div w:id="840006585">
                                                                          <w:marLeft w:val="0"/>
                                                                          <w:marRight w:val="0"/>
                                                                          <w:marTop w:val="0"/>
                                                                          <w:marBottom w:val="0"/>
                                                                          <w:divBdr>
                                                                            <w:top w:val="none" w:sz="0" w:space="0" w:color="auto"/>
                                                                            <w:left w:val="none" w:sz="0" w:space="0" w:color="auto"/>
                                                                            <w:bottom w:val="none" w:sz="0" w:space="0" w:color="auto"/>
                                                                            <w:right w:val="none" w:sz="0" w:space="0" w:color="auto"/>
                                                                          </w:divBdr>
                                                                          <w:divsChild>
                                                                            <w:div w:id="18575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91420">
                                                                      <w:marLeft w:val="0"/>
                                                                      <w:marRight w:val="0"/>
                                                                      <w:marTop w:val="0"/>
                                                                      <w:marBottom w:val="0"/>
                                                                      <w:divBdr>
                                                                        <w:top w:val="none" w:sz="0" w:space="0" w:color="auto"/>
                                                                        <w:left w:val="none" w:sz="0" w:space="0" w:color="auto"/>
                                                                        <w:bottom w:val="none" w:sz="0" w:space="0" w:color="auto"/>
                                                                        <w:right w:val="none" w:sz="0" w:space="0" w:color="auto"/>
                                                                      </w:divBdr>
                                                                      <w:divsChild>
                                                                        <w:div w:id="637150558">
                                                                          <w:marLeft w:val="0"/>
                                                                          <w:marRight w:val="0"/>
                                                                          <w:marTop w:val="0"/>
                                                                          <w:marBottom w:val="0"/>
                                                                          <w:divBdr>
                                                                            <w:top w:val="none" w:sz="0" w:space="0" w:color="auto"/>
                                                                            <w:left w:val="none" w:sz="0" w:space="0" w:color="auto"/>
                                                                            <w:bottom w:val="none" w:sz="0" w:space="0" w:color="auto"/>
                                                                            <w:right w:val="none" w:sz="0" w:space="0" w:color="auto"/>
                                                                          </w:divBdr>
                                                                          <w:divsChild>
                                                                            <w:div w:id="115691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52867">
                                                                      <w:marLeft w:val="0"/>
                                                                      <w:marRight w:val="0"/>
                                                                      <w:marTop w:val="0"/>
                                                                      <w:marBottom w:val="0"/>
                                                                      <w:divBdr>
                                                                        <w:top w:val="none" w:sz="0" w:space="0" w:color="auto"/>
                                                                        <w:left w:val="none" w:sz="0" w:space="0" w:color="auto"/>
                                                                        <w:bottom w:val="none" w:sz="0" w:space="0" w:color="auto"/>
                                                                        <w:right w:val="none" w:sz="0" w:space="0" w:color="auto"/>
                                                                      </w:divBdr>
                                                                      <w:divsChild>
                                                                        <w:div w:id="1940407946">
                                                                          <w:marLeft w:val="0"/>
                                                                          <w:marRight w:val="0"/>
                                                                          <w:marTop w:val="0"/>
                                                                          <w:marBottom w:val="0"/>
                                                                          <w:divBdr>
                                                                            <w:top w:val="none" w:sz="0" w:space="0" w:color="auto"/>
                                                                            <w:left w:val="none" w:sz="0" w:space="0" w:color="auto"/>
                                                                            <w:bottom w:val="none" w:sz="0" w:space="0" w:color="auto"/>
                                                                            <w:right w:val="none" w:sz="0" w:space="0" w:color="auto"/>
                                                                          </w:divBdr>
                                                                          <w:divsChild>
                                                                            <w:div w:id="9495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7090">
                                                                      <w:marLeft w:val="0"/>
                                                                      <w:marRight w:val="0"/>
                                                                      <w:marTop w:val="0"/>
                                                                      <w:marBottom w:val="0"/>
                                                                      <w:divBdr>
                                                                        <w:top w:val="none" w:sz="0" w:space="0" w:color="auto"/>
                                                                        <w:left w:val="none" w:sz="0" w:space="0" w:color="auto"/>
                                                                        <w:bottom w:val="none" w:sz="0" w:space="0" w:color="auto"/>
                                                                        <w:right w:val="none" w:sz="0" w:space="0" w:color="auto"/>
                                                                      </w:divBdr>
                                                                      <w:divsChild>
                                                                        <w:div w:id="245920301">
                                                                          <w:marLeft w:val="0"/>
                                                                          <w:marRight w:val="0"/>
                                                                          <w:marTop w:val="0"/>
                                                                          <w:marBottom w:val="0"/>
                                                                          <w:divBdr>
                                                                            <w:top w:val="none" w:sz="0" w:space="0" w:color="auto"/>
                                                                            <w:left w:val="none" w:sz="0" w:space="0" w:color="auto"/>
                                                                            <w:bottom w:val="none" w:sz="0" w:space="0" w:color="auto"/>
                                                                            <w:right w:val="none" w:sz="0" w:space="0" w:color="auto"/>
                                                                          </w:divBdr>
                                                                          <w:divsChild>
                                                                            <w:div w:id="16658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00999">
                                                                      <w:marLeft w:val="0"/>
                                                                      <w:marRight w:val="0"/>
                                                                      <w:marTop w:val="0"/>
                                                                      <w:marBottom w:val="0"/>
                                                                      <w:divBdr>
                                                                        <w:top w:val="none" w:sz="0" w:space="0" w:color="auto"/>
                                                                        <w:left w:val="none" w:sz="0" w:space="0" w:color="auto"/>
                                                                        <w:bottom w:val="none" w:sz="0" w:space="0" w:color="auto"/>
                                                                        <w:right w:val="none" w:sz="0" w:space="0" w:color="auto"/>
                                                                      </w:divBdr>
                                                                      <w:divsChild>
                                                                        <w:div w:id="1806776153">
                                                                          <w:marLeft w:val="0"/>
                                                                          <w:marRight w:val="0"/>
                                                                          <w:marTop w:val="0"/>
                                                                          <w:marBottom w:val="0"/>
                                                                          <w:divBdr>
                                                                            <w:top w:val="none" w:sz="0" w:space="0" w:color="auto"/>
                                                                            <w:left w:val="none" w:sz="0" w:space="0" w:color="auto"/>
                                                                            <w:bottom w:val="none" w:sz="0" w:space="0" w:color="auto"/>
                                                                            <w:right w:val="none" w:sz="0" w:space="0" w:color="auto"/>
                                                                          </w:divBdr>
                                                                          <w:divsChild>
                                                                            <w:div w:id="193285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859438">
                                          <w:marLeft w:val="0"/>
                                          <w:marRight w:val="0"/>
                                          <w:marTop w:val="0"/>
                                          <w:marBottom w:val="0"/>
                                          <w:divBdr>
                                            <w:top w:val="none" w:sz="0" w:space="0" w:color="auto"/>
                                            <w:left w:val="none" w:sz="0" w:space="0" w:color="auto"/>
                                            <w:bottom w:val="none" w:sz="0" w:space="0" w:color="auto"/>
                                            <w:right w:val="none" w:sz="0" w:space="0" w:color="auto"/>
                                          </w:divBdr>
                                          <w:divsChild>
                                            <w:div w:id="2038381845">
                                              <w:marLeft w:val="0"/>
                                              <w:marRight w:val="0"/>
                                              <w:marTop w:val="0"/>
                                              <w:marBottom w:val="0"/>
                                              <w:divBdr>
                                                <w:top w:val="none" w:sz="0" w:space="0" w:color="auto"/>
                                                <w:left w:val="none" w:sz="0" w:space="0" w:color="auto"/>
                                                <w:bottom w:val="none" w:sz="0" w:space="0" w:color="auto"/>
                                                <w:right w:val="none" w:sz="0" w:space="0" w:color="auto"/>
                                              </w:divBdr>
                                              <w:divsChild>
                                                <w:div w:id="176775024">
                                                  <w:marLeft w:val="0"/>
                                                  <w:marRight w:val="0"/>
                                                  <w:marTop w:val="0"/>
                                                  <w:marBottom w:val="0"/>
                                                  <w:divBdr>
                                                    <w:top w:val="none" w:sz="0" w:space="0" w:color="auto"/>
                                                    <w:left w:val="none" w:sz="0" w:space="0" w:color="auto"/>
                                                    <w:bottom w:val="none" w:sz="0" w:space="0" w:color="auto"/>
                                                    <w:right w:val="none" w:sz="0" w:space="0" w:color="auto"/>
                                                  </w:divBdr>
                                                  <w:divsChild>
                                                    <w:div w:id="1845123829">
                                                      <w:marLeft w:val="0"/>
                                                      <w:marRight w:val="0"/>
                                                      <w:marTop w:val="0"/>
                                                      <w:marBottom w:val="0"/>
                                                      <w:divBdr>
                                                        <w:top w:val="none" w:sz="0" w:space="0" w:color="auto"/>
                                                        <w:left w:val="none" w:sz="0" w:space="0" w:color="auto"/>
                                                        <w:bottom w:val="none" w:sz="0" w:space="0" w:color="auto"/>
                                                        <w:right w:val="none" w:sz="0" w:space="0" w:color="auto"/>
                                                      </w:divBdr>
                                                      <w:divsChild>
                                                        <w:div w:id="1701273309">
                                                          <w:marLeft w:val="0"/>
                                                          <w:marRight w:val="0"/>
                                                          <w:marTop w:val="0"/>
                                                          <w:marBottom w:val="0"/>
                                                          <w:divBdr>
                                                            <w:top w:val="none" w:sz="0" w:space="0" w:color="auto"/>
                                                            <w:left w:val="none" w:sz="0" w:space="0" w:color="auto"/>
                                                            <w:bottom w:val="none" w:sz="0" w:space="0" w:color="auto"/>
                                                            <w:right w:val="none" w:sz="0" w:space="0" w:color="auto"/>
                                                          </w:divBdr>
                                                          <w:divsChild>
                                                            <w:div w:id="111411693">
                                                              <w:marLeft w:val="0"/>
                                                              <w:marRight w:val="0"/>
                                                              <w:marTop w:val="0"/>
                                                              <w:marBottom w:val="0"/>
                                                              <w:divBdr>
                                                                <w:top w:val="none" w:sz="0" w:space="0" w:color="auto"/>
                                                                <w:left w:val="none" w:sz="0" w:space="0" w:color="auto"/>
                                                                <w:bottom w:val="none" w:sz="0" w:space="0" w:color="auto"/>
                                                                <w:right w:val="none" w:sz="0" w:space="0" w:color="auto"/>
                                                              </w:divBdr>
                                                              <w:divsChild>
                                                                <w:div w:id="643433259">
                                                                  <w:marLeft w:val="0"/>
                                                                  <w:marRight w:val="0"/>
                                                                  <w:marTop w:val="0"/>
                                                                  <w:marBottom w:val="0"/>
                                                                  <w:divBdr>
                                                                    <w:top w:val="none" w:sz="0" w:space="0" w:color="auto"/>
                                                                    <w:left w:val="none" w:sz="0" w:space="0" w:color="auto"/>
                                                                    <w:bottom w:val="none" w:sz="0" w:space="0" w:color="auto"/>
                                                                    <w:right w:val="none" w:sz="0" w:space="0" w:color="auto"/>
                                                                  </w:divBdr>
                                                                  <w:divsChild>
                                                                    <w:div w:id="452335508">
                                                                      <w:marLeft w:val="0"/>
                                                                      <w:marRight w:val="0"/>
                                                                      <w:marTop w:val="0"/>
                                                                      <w:marBottom w:val="0"/>
                                                                      <w:divBdr>
                                                                        <w:top w:val="none" w:sz="0" w:space="0" w:color="auto"/>
                                                                        <w:left w:val="none" w:sz="0" w:space="0" w:color="auto"/>
                                                                        <w:bottom w:val="none" w:sz="0" w:space="0" w:color="auto"/>
                                                                        <w:right w:val="none" w:sz="0" w:space="0" w:color="auto"/>
                                                                      </w:divBdr>
                                                                      <w:divsChild>
                                                                        <w:div w:id="206009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47353121">
          <w:marLeft w:val="0"/>
          <w:marRight w:val="0"/>
          <w:marTop w:val="60"/>
          <w:marBottom w:val="150"/>
          <w:divBdr>
            <w:top w:val="none" w:sz="0" w:space="0" w:color="auto"/>
            <w:left w:val="none" w:sz="0" w:space="0" w:color="auto"/>
            <w:bottom w:val="none" w:sz="0" w:space="0" w:color="auto"/>
            <w:right w:val="none" w:sz="0" w:space="0" w:color="auto"/>
          </w:divBdr>
        </w:div>
      </w:divsChild>
    </w:div>
    <w:div w:id="121269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0DB8A-CBDA-4469-B476-209548705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3590</Words>
  <Characters>20463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Vanuatu COVID-19 development response plan</dc:title>
  <dc:subject/>
  <dc:creator/>
  <cp:keywords/>
  <dc:description/>
  <cp:lastModifiedBy/>
  <cp:revision>1</cp:revision>
  <dcterms:created xsi:type="dcterms:W3CDTF">2020-10-30T04:12:00Z</dcterms:created>
  <dcterms:modified xsi:type="dcterms:W3CDTF">2020-11-03T00:29:00Z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e6b2f381-2387-4557-8286-d6a771423269</vt:lpwstr>
  </property>
  <property fmtid="{D5CDD505-2E9C-101B-9397-08002B2CF9AE}" pid="3" name="SEC">
    <vt:lpwstr>OFFICIAL</vt:lpwstr>
  </property>
</Properties>
</file>