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33E6" w14:textId="77777777" w:rsidR="00A87CD6" w:rsidRPr="007039E8" w:rsidRDefault="00A87CD6" w:rsidP="00A87CD6">
      <w:pPr>
        <w:spacing w:after="240" w:line="276" w:lineRule="auto"/>
        <w:ind w:left="920" w:right="378"/>
        <w:jc w:val="center"/>
        <w:rPr>
          <w:rFonts w:ascii="Times New Roman" w:eastAsia="Times New Roman" w:hAnsi="Times New Roman" w:cs="Times New Roman"/>
          <w:i/>
          <w:sz w:val="24"/>
          <w:lang w:val="en-US"/>
        </w:rPr>
      </w:pPr>
    </w:p>
    <w:p w14:paraId="62B3AD75" w14:textId="77777777" w:rsidR="00A87CD6" w:rsidRPr="007039E8" w:rsidRDefault="00A87CD6" w:rsidP="00A87CD6">
      <w:pPr>
        <w:spacing w:after="240" w:line="276" w:lineRule="auto"/>
        <w:ind w:left="920" w:right="378"/>
        <w:jc w:val="center"/>
        <w:rPr>
          <w:rFonts w:ascii="Times New Roman" w:eastAsia="Times New Roman" w:hAnsi="Times New Roman" w:cs="Times New Roman"/>
          <w:i/>
          <w:sz w:val="24"/>
          <w:lang w:val="en-US"/>
        </w:rPr>
      </w:pPr>
    </w:p>
    <w:p w14:paraId="22125678" w14:textId="77777777" w:rsidR="00A87CD6" w:rsidRPr="007039E8" w:rsidRDefault="00A87CD6" w:rsidP="00A87CD6">
      <w:pPr>
        <w:spacing w:after="240" w:line="276" w:lineRule="auto"/>
        <w:ind w:left="920" w:right="378"/>
        <w:jc w:val="center"/>
        <w:rPr>
          <w:rFonts w:ascii="Times New Roman" w:eastAsia="Times New Roman" w:hAnsi="Times New Roman" w:cs="Times New Roman"/>
          <w:i/>
          <w:sz w:val="24"/>
          <w:lang w:val="en-US"/>
        </w:rPr>
      </w:pPr>
    </w:p>
    <w:p w14:paraId="348C0D4A" w14:textId="77777777" w:rsidR="00A87CD6" w:rsidRPr="007039E8" w:rsidRDefault="00A87CD6" w:rsidP="00A87CD6">
      <w:pPr>
        <w:spacing w:after="240" w:line="276" w:lineRule="auto"/>
        <w:ind w:left="920" w:right="378"/>
        <w:jc w:val="center"/>
        <w:rPr>
          <w:rFonts w:ascii="Times New Roman" w:eastAsia="Times New Roman" w:hAnsi="Times New Roman" w:cs="Times New Roman"/>
          <w:i/>
          <w:sz w:val="24"/>
          <w:lang w:val="en-US"/>
        </w:rPr>
      </w:pPr>
    </w:p>
    <w:p w14:paraId="7BE6A599" w14:textId="77777777" w:rsidR="00A87CD6" w:rsidRPr="007039E8" w:rsidRDefault="00A87CD6" w:rsidP="00A87CD6">
      <w:pPr>
        <w:spacing w:after="240" w:line="276" w:lineRule="auto"/>
        <w:ind w:left="920" w:right="378"/>
        <w:jc w:val="center"/>
        <w:rPr>
          <w:rFonts w:ascii="Times New Roman" w:hAnsi="Times New Roman" w:cs="Times New Roman"/>
          <w:i/>
          <w:sz w:val="24"/>
        </w:rPr>
      </w:pPr>
      <w:r w:rsidRPr="007039E8">
        <w:rPr>
          <w:rFonts w:ascii="Times New Roman" w:hAnsi="Times New Roman" w:cs="Times New Roman"/>
          <w:i/>
          <w:sz w:val="24"/>
        </w:rPr>
        <w:t>Before the Panel</w:t>
      </w:r>
      <w:r w:rsidRPr="007039E8">
        <w:rPr>
          <w:rFonts w:ascii="Times New Roman" w:hAnsi="Times New Roman" w:cs="Times New Roman"/>
          <w:i/>
          <w:spacing w:val="-4"/>
          <w:sz w:val="24"/>
        </w:rPr>
        <w:t xml:space="preserve"> </w:t>
      </w:r>
      <w:r w:rsidRPr="007039E8">
        <w:rPr>
          <w:rFonts w:ascii="Times New Roman" w:hAnsi="Times New Roman" w:cs="Times New Roman"/>
          <w:i/>
          <w:sz w:val="24"/>
        </w:rPr>
        <w:t>established</w:t>
      </w:r>
      <w:r w:rsidRPr="007039E8">
        <w:rPr>
          <w:rFonts w:ascii="Times New Roman" w:hAnsi="Times New Roman" w:cs="Times New Roman"/>
          <w:i/>
          <w:spacing w:val="-4"/>
          <w:sz w:val="24"/>
        </w:rPr>
        <w:t xml:space="preserve"> </w:t>
      </w:r>
      <w:r w:rsidRPr="007039E8">
        <w:rPr>
          <w:rFonts w:ascii="Times New Roman" w:hAnsi="Times New Roman" w:cs="Times New Roman"/>
          <w:i/>
          <w:sz w:val="24"/>
        </w:rPr>
        <w:t>pursuant</w:t>
      </w:r>
      <w:r w:rsidRPr="007039E8">
        <w:rPr>
          <w:rFonts w:ascii="Times New Roman" w:hAnsi="Times New Roman" w:cs="Times New Roman"/>
          <w:i/>
          <w:spacing w:val="-4"/>
          <w:sz w:val="24"/>
        </w:rPr>
        <w:t xml:space="preserve"> </w:t>
      </w:r>
      <w:r w:rsidRPr="007039E8">
        <w:rPr>
          <w:rFonts w:ascii="Times New Roman" w:hAnsi="Times New Roman" w:cs="Times New Roman"/>
          <w:i/>
          <w:sz w:val="24"/>
        </w:rPr>
        <w:t>to</w:t>
      </w:r>
      <w:r w:rsidRPr="007039E8">
        <w:rPr>
          <w:rFonts w:ascii="Times New Roman" w:hAnsi="Times New Roman" w:cs="Times New Roman"/>
          <w:i/>
          <w:spacing w:val="-4"/>
          <w:sz w:val="24"/>
        </w:rPr>
        <w:t xml:space="preserve"> </w:t>
      </w:r>
      <w:r w:rsidRPr="007039E8">
        <w:rPr>
          <w:rFonts w:ascii="Times New Roman" w:hAnsi="Times New Roman" w:cs="Times New Roman"/>
          <w:i/>
          <w:sz w:val="24"/>
        </w:rPr>
        <w:t>Article</w:t>
      </w:r>
      <w:r w:rsidRPr="007039E8">
        <w:rPr>
          <w:rFonts w:ascii="Times New Roman" w:hAnsi="Times New Roman" w:cs="Times New Roman"/>
          <w:i/>
          <w:spacing w:val="-4"/>
          <w:sz w:val="24"/>
        </w:rPr>
        <w:t xml:space="preserve"> </w:t>
      </w:r>
      <w:r w:rsidRPr="007039E8">
        <w:rPr>
          <w:rFonts w:ascii="Times New Roman" w:hAnsi="Times New Roman" w:cs="Times New Roman"/>
          <w:i/>
          <w:sz w:val="24"/>
        </w:rPr>
        <w:t>28.7</w:t>
      </w:r>
      <w:r w:rsidRPr="007039E8">
        <w:rPr>
          <w:rFonts w:ascii="Times New Roman" w:hAnsi="Times New Roman" w:cs="Times New Roman"/>
          <w:i/>
          <w:spacing w:val="-4"/>
          <w:sz w:val="24"/>
        </w:rPr>
        <w:t xml:space="preserve"> </w:t>
      </w:r>
      <w:r w:rsidRPr="007039E8">
        <w:rPr>
          <w:rFonts w:ascii="Times New Roman" w:hAnsi="Times New Roman" w:cs="Times New Roman"/>
          <w:i/>
          <w:sz w:val="24"/>
        </w:rPr>
        <w:t>of</w:t>
      </w:r>
      <w:r w:rsidRPr="007039E8">
        <w:rPr>
          <w:rFonts w:ascii="Times New Roman" w:hAnsi="Times New Roman" w:cs="Times New Roman"/>
          <w:i/>
          <w:spacing w:val="-4"/>
          <w:sz w:val="24"/>
        </w:rPr>
        <w:t xml:space="preserve"> </w:t>
      </w:r>
      <w:r w:rsidRPr="007039E8">
        <w:rPr>
          <w:rFonts w:ascii="Times New Roman" w:hAnsi="Times New Roman" w:cs="Times New Roman"/>
          <w:i/>
          <w:sz w:val="24"/>
        </w:rPr>
        <w:t>the</w:t>
      </w:r>
      <w:r w:rsidRPr="007039E8">
        <w:rPr>
          <w:rFonts w:ascii="Times New Roman" w:hAnsi="Times New Roman" w:cs="Times New Roman"/>
          <w:i/>
          <w:spacing w:val="-4"/>
          <w:sz w:val="24"/>
        </w:rPr>
        <w:t xml:space="preserve"> </w:t>
      </w:r>
      <w:r w:rsidRPr="007039E8">
        <w:rPr>
          <w:rFonts w:ascii="Times New Roman" w:hAnsi="Times New Roman" w:cs="Times New Roman"/>
          <w:i/>
          <w:sz w:val="24"/>
        </w:rPr>
        <w:t>Comprehensive</w:t>
      </w:r>
      <w:r w:rsidRPr="007039E8">
        <w:rPr>
          <w:rFonts w:ascii="Times New Roman" w:hAnsi="Times New Roman" w:cs="Times New Roman"/>
          <w:i/>
          <w:spacing w:val="-7"/>
          <w:sz w:val="24"/>
        </w:rPr>
        <w:t xml:space="preserve"> </w:t>
      </w:r>
      <w:r w:rsidRPr="007039E8">
        <w:rPr>
          <w:rFonts w:ascii="Times New Roman" w:hAnsi="Times New Roman" w:cs="Times New Roman"/>
          <w:i/>
          <w:sz w:val="24"/>
        </w:rPr>
        <w:t>and</w:t>
      </w:r>
      <w:r w:rsidRPr="007039E8">
        <w:rPr>
          <w:rFonts w:ascii="Times New Roman" w:hAnsi="Times New Roman" w:cs="Times New Roman"/>
          <w:i/>
          <w:spacing w:val="-2"/>
          <w:sz w:val="24"/>
        </w:rPr>
        <w:t xml:space="preserve"> </w:t>
      </w:r>
      <w:r w:rsidRPr="007039E8">
        <w:rPr>
          <w:rFonts w:ascii="Times New Roman" w:hAnsi="Times New Roman" w:cs="Times New Roman"/>
          <w:i/>
          <w:sz w:val="24"/>
        </w:rPr>
        <w:t>Progressive Agreement for Trans-Pacific Partnership</w:t>
      </w:r>
    </w:p>
    <w:p w14:paraId="5A6BD6FE" w14:textId="77777777" w:rsidR="00A87CD6" w:rsidRPr="007039E8" w:rsidRDefault="00A87CD6" w:rsidP="00A87CD6">
      <w:pPr>
        <w:widowControl w:val="0"/>
        <w:autoSpaceDE w:val="0"/>
        <w:autoSpaceDN w:val="0"/>
        <w:spacing w:after="240" w:line="276" w:lineRule="auto"/>
        <w:ind w:left="920" w:right="378"/>
        <w:jc w:val="center"/>
        <w:rPr>
          <w:rFonts w:ascii="Times New Roman" w:eastAsia="Times New Roman" w:hAnsi="Times New Roman" w:cs="Times New Roman"/>
          <w:i/>
          <w:sz w:val="24"/>
          <w:lang w:val="en-US"/>
        </w:rPr>
      </w:pPr>
    </w:p>
    <w:p w14:paraId="7623A437" w14:textId="77777777" w:rsidR="00A87CD6" w:rsidRPr="007039E8" w:rsidRDefault="00A87CD6" w:rsidP="00A87CD6">
      <w:pPr>
        <w:spacing w:after="240"/>
        <w:jc w:val="center"/>
        <w:rPr>
          <w:rFonts w:ascii="Times New Roman" w:hAnsi="Times New Roman" w:cs="Times New Roman"/>
          <w:b/>
          <w:bCs/>
        </w:rPr>
      </w:pPr>
    </w:p>
    <w:p w14:paraId="505FB8EE" w14:textId="77777777" w:rsidR="00A87CD6" w:rsidRPr="007039E8" w:rsidRDefault="00A87CD6" w:rsidP="00A87CD6">
      <w:pPr>
        <w:spacing w:after="240"/>
        <w:ind w:left="919" w:right="378"/>
        <w:jc w:val="center"/>
        <w:rPr>
          <w:rFonts w:ascii="Times New Roman" w:hAnsi="Times New Roman" w:cs="Times New Roman"/>
          <w:b/>
          <w:i/>
          <w:sz w:val="28"/>
        </w:rPr>
      </w:pPr>
    </w:p>
    <w:p w14:paraId="0346727C" w14:textId="77777777" w:rsidR="00A87CD6" w:rsidRPr="007039E8" w:rsidRDefault="00A87CD6" w:rsidP="00A87CD6">
      <w:pPr>
        <w:spacing w:after="240"/>
        <w:ind w:left="919" w:right="378"/>
        <w:jc w:val="center"/>
        <w:rPr>
          <w:rFonts w:ascii="Times New Roman" w:hAnsi="Times New Roman" w:cs="Times New Roman"/>
          <w:b/>
          <w:i/>
          <w:sz w:val="28"/>
        </w:rPr>
      </w:pPr>
    </w:p>
    <w:p w14:paraId="40A2A15D" w14:textId="77777777" w:rsidR="00A87CD6" w:rsidRPr="007039E8" w:rsidRDefault="00A87CD6" w:rsidP="00A87CD6">
      <w:pPr>
        <w:spacing w:after="240"/>
        <w:ind w:left="919" w:right="378"/>
        <w:jc w:val="center"/>
        <w:rPr>
          <w:rFonts w:ascii="Times New Roman" w:hAnsi="Times New Roman" w:cs="Times New Roman"/>
          <w:b/>
          <w:i/>
          <w:sz w:val="28"/>
        </w:rPr>
      </w:pPr>
    </w:p>
    <w:p w14:paraId="3A154DF8" w14:textId="77777777" w:rsidR="00A87CD6" w:rsidRPr="00595EE9" w:rsidRDefault="00A87CD6" w:rsidP="00595EE9">
      <w:pPr>
        <w:pStyle w:val="Heading1"/>
      </w:pPr>
      <w:r w:rsidRPr="00595EE9">
        <w:t>Canada – Dairy Tariff Rate Quota Measures</w:t>
      </w:r>
    </w:p>
    <w:p w14:paraId="5E5D0420" w14:textId="77777777" w:rsidR="00A87CD6" w:rsidRPr="007039E8" w:rsidRDefault="00A87CD6" w:rsidP="00A87CD6">
      <w:pPr>
        <w:spacing w:after="240"/>
        <w:jc w:val="center"/>
        <w:rPr>
          <w:rFonts w:ascii="Times New Roman" w:hAnsi="Times New Roman" w:cs="Times New Roman"/>
          <w:b/>
          <w:bCs/>
        </w:rPr>
      </w:pPr>
    </w:p>
    <w:p w14:paraId="31742215" w14:textId="77777777" w:rsidR="00A87CD6" w:rsidRPr="007039E8" w:rsidRDefault="00A87CD6" w:rsidP="00A87CD6">
      <w:pPr>
        <w:spacing w:after="240"/>
        <w:jc w:val="center"/>
        <w:rPr>
          <w:rFonts w:ascii="Times New Roman" w:hAnsi="Times New Roman" w:cs="Times New Roman"/>
          <w:b/>
          <w:bCs/>
        </w:rPr>
      </w:pPr>
    </w:p>
    <w:p w14:paraId="4F4C4D07" w14:textId="77777777" w:rsidR="00A87CD6" w:rsidRPr="007039E8" w:rsidRDefault="00A87CD6" w:rsidP="00A87CD6">
      <w:pPr>
        <w:spacing w:after="240"/>
        <w:jc w:val="center"/>
        <w:rPr>
          <w:rFonts w:ascii="Times New Roman" w:hAnsi="Times New Roman" w:cs="Times New Roman"/>
          <w:b/>
          <w:bCs/>
        </w:rPr>
      </w:pPr>
    </w:p>
    <w:p w14:paraId="3D33F7BC" w14:textId="77777777" w:rsidR="00A87CD6" w:rsidRPr="007039E8" w:rsidRDefault="00A87CD6" w:rsidP="00A87CD6">
      <w:pPr>
        <w:pStyle w:val="Title"/>
        <w:spacing w:after="240" w:line="278" w:lineRule="auto"/>
      </w:pPr>
    </w:p>
    <w:p w14:paraId="0DB3BA3F" w14:textId="77777777" w:rsidR="00A87CD6" w:rsidRPr="007039E8" w:rsidRDefault="00A87CD6" w:rsidP="00A87CD6">
      <w:pPr>
        <w:pStyle w:val="Title"/>
        <w:spacing w:after="240" w:line="278" w:lineRule="auto"/>
      </w:pPr>
    </w:p>
    <w:p w14:paraId="42FCB949" w14:textId="77777777" w:rsidR="00A87CD6" w:rsidRPr="007039E8" w:rsidRDefault="00A87CD6" w:rsidP="00A87CD6">
      <w:pPr>
        <w:pStyle w:val="Title"/>
        <w:spacing w:after="240" w:line="278" w:lineRule="auto"/>
        <w:rPr>
          <w:spacing w:val="-7"/>
        </w:rPr>
      </w:pPr>
      <w:r w:rsidRPr="007039E8">
        <w:t>Third</w:t>
      </w:r>
      <w:r w:rsidRPr="007039E8">
        <w:rPr>
          <w:spacing w:val="-9"/>
        </w:rPr>
        <w:t xml:space="preserve"> </w:t>
      </w:r>
      <w:r w:rsidRPr="007039E8">
        <w:t>Party</w:t>
      </w:r>
      <w:r w:rsidRPr="007039E8">
        <w:rPr>
          <w:spacing w:val="-7"/>
        </w:rPr>
        <w:t xml:space="preserve"> Oral Statement of Australia</w:t>
      </w:r>
    </w:p>
    <w:p w14:paraId="745CFA69" w14:textId="63FA4306" w:rsidR="00A87CD6" w:rsidRPr="007039E8" w:rsidRDefault="004C385C" w:rsidP="00A87CD6">
      <w:pPr>
        <w:pStyle w:val="Title"/>
        <w:spacing w:after="240" w:line="278" w:lineRule="auto"/>
        <w:rPr>
          <w:spacing w:val="-7"/>
        </w:rPr>
      </w:pPr>
      <w:r>
        <w:rPr>
          <w:spacing w:val="-7"/>
        </w:rPr>
        <w:t>As delivered</w:t>
      </w:r>
    </w:p>
    <w:p w14:paraId="2DFF86A1" w14:textId="4B7B3220" w:rsidR="00A87CD6" w:rsidRPr="007039E8" w:rsidRDefault="00A87CD6" w:rsidP="00A87CD6">
      <w:pPr>
        <w:pStyle w:val="Title"/>
        <w:spacing w:after="240" w:line="278" w:lineRule="auto"/>
      </w:pPr>
      <w:r w:rsidRPr="007039E8">
        <w:t>14 June 2023</w:t>
      </w:r>
    </w:p>
    <w:p w14:paraId="3EDCAB53" w14:textId="77777777" w:rsidR="00A87CD6" w:rsidRPr="007039E8" w:rsidRDefault="00A87CD6" w:rsidP="00A87CD6">
      <w:pPr>
        <w:spacing w:after="240"/>
        <w:jc w:val="center"/>
        <w:rPr>
          <w:rFonts w:ascii="Times New Roman" w:hAnsi="Times New Roman" w:cs="Times New Roman"/>
          <w:b/>
          <w:bCs/>
        </w:rPr>
      </w:pPr>
    </w:p>
    <w:p w14:paraId="32A56B04" w14:textId="77777777" w:rsidR="00A87CD6" w:rsidRPr="007039E8" w:rsidRDefault="00A87CD6" w:rsidP="00A87CD6">
      <w:pPr>
        <w:spacing w:after="240"/>
        <w:jc w:val="center"/>
        <w:rPr>
          <w:rFonts w:ascii="Times New Roman" w:hAnsi="Times New Roman" w:cs="Times New Roman"/>
          <w:b/>
          <w:bCs/>
        </w:rPr>
      </w:pPr>
    </w:p>
    <w:p w14:paraId="0F074675" w14:textId="77777777" w:rsidR="00A87CD6" w:rsidRPr="007039E8" w:rsidRDefault="00A87CD6" w:rsidP="00A87CD6">
      <w:pPr>
        <w:spacing w:after="240"/>
        <w:jc w:val="center"/>
        <w:rPr>
          <w:rFonts w:ascii="Times New Roman" w:hAnsi="Times New Roman" w:cs="Times New Roman"/>
          <w:b/>
          <w:bCs/>
        </w:rPr>
      </w:pPr>
    </w:p>
    <w:p w14:paraId="2526AD5A" w14:textId="77777777" w:rsidR="00A87CD6" w:rsidRPr="007039E8" w:rsidRDefault="00A87CD6" w:rsidP="00A87CD6">
      <w:pPr>
        <w:spacing w:after="240"/>
        <w:rPr>
          <w:rFonts w:ascii="Times New Roman" w:hAnsi="Times New Roman" w:cs="Times New Roman"/>
          <w:b/>
          <w:bCs/>
        </w:rPr>
      </w:pPr>
      <w:r w:rsidRPr="007039E8">
        <w:rPr>
          <w:rFonts w:ascii="Times New Roman" w:hAnsi="Times New Roman" w:cs="Times New Roman"/>
          <w:b/>
          <w:bCs/>
        </w:rPr>
        <w:br w:type="page"/>
      </w:r>
    </w:p>
    <w:p w14:paraId="57D52E09" w14:textId="77777777" w:rsidR="00A87CD6" w:rsidRPr="00595EE9" w:rsidRDefault="00A87CD6" w:rsidP="00595EE9">
      <w:pPr>
        <w:pStyle w:val="Heading2"/>
      </w:pPr>
      <w:r w:rsidRPr="00595EE9">
        <w:lastRenderedPageBreak/>
        <w:t>INTRODUCTION</w:t>
      </w:r>
    </w:p>
    <w:p w14:paraId="2853EF08" w14:textId="77777777" w:rsidR="00A87CD6" w:rsidRPr="007039E8" w:rsidRDefault="00A87CD6" w:rsidP="00F8432B">
      <w:pPr>
        <w:pStyle w:val="ListParagraph"/>
        <w:numPr>
          <w:ilvl w:val="0"/>
          <w:numId w:val="2"/>
        </w:numPr>
        <w:spacing w:after="240"/>
        <w:contextualSpacing w:val="0"/>
        <w:jc w:val="both"/>
        <w:rPr>
          <w:rFonts w:ascii="Times New Roman" w:hAnsi="Times New Roman" w:cs="Times New Roman"/>
          <w:i/>
          <w:iCs/>
          <w:sz w:val="24"/>
          <w:szCs w:val="24"/>
        </w:rPr>
      </w:pPr>
      <w:r w:rsidRPr="007039E8">
        <w:rPr>
          <w:rFonts w:ascii="Times New Roman" w:hAnsi="Times New Roman" w:cs="Times New Roman"/>
          <w:sz w:val="24"/>
          <w:szCs w:val="24"/>
        </w:rPr>
        <w:t>Thank you Chair, Members of the Panel. Australia welcomes the opportunity to present its views.</w:t>
      </w:r>
    </w:p>
    <w:p w14:paraId="3705BEA1" w14:textId="08513B91" w:rsidR="00A87CD6" w:rsidRPr="007039E8" w:rsidRDefault="00A87CD6" w:rsidP="001E179B">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The CPTPP is a trade liberalising agreement. </w:t>
      </w:r>
      <w:r w:rsidR="0097080A" w:rsidRPr="007039E8">
        <w:rPr>
          <w:rFonts w:ascii="Times New Roman" w:hAnsi="Times New Roman" w:cs="Times New Roman"/>
          <w:sz w:val="24"/>
          <w:szCs w:val="24"/>
        </w:rPr>
        <w:t>Its</w:t>
      </w:r>
      <w:r w:rsidRPr="007039E8">
        <w:rPr>
          <w:rFonts w:ascii="Times New Roman" w:hAnsi="Times New Roman" w:cs="Times New Roman"/>
          <w:sz w:val="24"/>
          <w:szCs w:val="24"/>
        </w:rPr>
        <w:t xml:space="preserve"> market access </w:t>
      </w:r>
      <w:r w:rsidR="0097080A" w:rsidRPr="007039E8">
        <w:rPr>
          <w:rFonts w:ascii="Times New Roman" w:hAnsi="Times New Roman" w:cs="Times New Roman"/>
          <w:sz w:val="24"/>
          <w:szCs w:val="24"/>
        </w:rPr>
        <w:t>outcomes are the core element of</w:t>
      </w:r>
      <w:r w:rsidRPr="007039E8">
        <w:rPr>
          <w:rFonts w:ascii="Times New Roman" w:hAnsi="Times New Roman" w:cs="Times New Roman"/>
          <w:sz w:val="24"/>
          <w:szCs w:val="24"/>
        </w:rPr>
        <w:t xml:space="preserve"> a complex deal across a broad spectrum of topics. </w:t>
      </w:r>
      <w:r w:rsidR="00F8432B" w:rsidRPr="007039E8">
        <w:rPr>
          <w:rFonts w:ascii="Times New Roman" w:hAnsi="Times New Roman" w:cs="Times New Roman"/>
          <w:sz w:val="24"/>
          <w:szCs w:val="24"/>
        </w:rPr>
        <w:t xml:space="preserve">The </w:t>
      </w:r>
      <w:r w:rsidRPr="007039E8">
        <w:rPr>
          <w:rFonts w:ascii="Times New Roman" w:hAnsi="Times New Roman" w:cs="Times New Roman"/>
          <w:sz w:val="24"/>
          <w:szCs w:val="24"/>
        </w:rPr>
        <w:t>T</w:t>
      </w:r>
      <w:r w:rsidR="0097080A" w:rsidRPr="007039E8">
        <w:rPr>
          <w:rFonts w:ascii="Times New Roman" w:hAnsi="Times New Roman" w:cs="Times New Roman"/>
          <w:sz w:val="24"/>
          <w:szCs w:val="24"/>
        </w:rPr>
        <w:t xml:space="preserve">ariff </w:t>
      </w:r>
      <w:r w:rsidRPr="007039E8">
        <w:rPr>
          <w:rFonts w:ascii="Times New Roman" w:hAnsi="Times New Roman" w:cs="Times New Roman"/>
          <w:sz w:val="24"/>
          <w:szCs w:val="24"/>
        </w:rPr>
        <w:t>R</w:t>
      </w:r>
      <w:r w:rsidR="0097080A" w:rsidRPr="007039E8">
        <w:rPr>
          <w:rFonts w:ascii="Times New Roman" w:hAnsi="Times New Roman" w:cs="Times New Roman"/>
          <w:sz w:val="24"/>
          <w:szCs w:val="24"/>
        </w:rPr>
        <w:t xml:space="preserve">ate </w:t>
      </w:r>
      <w:r w:rsidRPr="007039E8">
        <w:rPr>
          <w:rFonts w:ascii="Times New Roman" w:hAnsi="Times New Roman" w:cs="Times New Roman"/>
          <w:sz w:val="24"/>
          <w:szCs w:val="24"/>
        </w:rPr>
        <w:t>Q</w:t>
      </w:r>
      <w:r w:rsidR="0097080A" w:rsidRPr="007039E8">
        <w:rPr>
          <w:rFonts w:ascii="Times New Roman" w:hAnsi="Times New Roman" w:cs="Times New Roman"/>
          <w:sz w:val="24"/>
          <w:szCs w:val="24"/>
        </w:rPr>
        <w:t>uota</w:t>
      </w:r>
      <w:r w:rsidRPr="007039E8">
        <w:rPr>
          <w:rFonts w:ascii="Times New Roman" w:hAnsi="Times New Roman" w:cs="Times New Roman"/>
          <w:sz w:val="24"/>
          <w:szCs w:val="24"/>
        </w:rPr>
        <w:t>s</w:t>
      </w:r>
      <w:r w:rsidR="0097080A" w:rsidRPr="007039E8">
        <w:rPr>
          <w:rFonts w:ascii="Times New Roman" w:hAnsi="Times New Roman" w:cs="Times New Roman"/>
          <w:sz w:val="24"/>
          <w:szCs w:val="24"/>
        </w:rPr>
        <w:t xml:space="preserve"> (commonly referred to as "TRQs")</w:t>
      </w:r>
      <w:r w:rsidRPr="007039E8">
        <w:rPr>
          <w:rFonts w:ascii="Times New Roman" w:hAnsi="Times New Roman" w:cs="Times New Roman"/>
          <w:sz w:val="24"/>
          <w:szCs w:val="24"/>
        </w:rPr>
        <w:t xml:space="preserve"> </w:t>
      </w:r>
      <w:r w:rsidR="00F8432B" w:rsidRPr="007039E8">
        <w:rPr>
          <w:rFonts w:ascii="Times New Roman" w:hAnsi="Times New Roman" w:cs="Times New Roman"/>
          <w:sz w:val="24"/>
          <w:szCs w:val="24"/>
        </w:rPr>
        <w:t xml:space="preserve">agreed </w:t>
      </w:r>
      <w:r w:rsidRPr="007039E8">
        <w:rPr>
          <w:rFonts w:ascii="Times New Roman" w:hAnsi="Times New Roman" w:cs="Times New Roman"/>
          <w:sz w:val="24"/>
          <w:szCs w:val="24"/>
        </w:rPr>
        <w:t xml:space="preserve">reflect the intention of </w:t>
      </w:r>
      <w:r w:rsidR="0044362C"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to reduce barriers to trade. TRQs are a fundamental part of the </w:t>
      </w:r>
      <w:r w:rsidR="003855D1" w:rsidRPr="007039E8">
        <w:rPr>
          <w:rFonts w:ascii="Times New Roman" w:hAnsi="Times New Roman" w:cs="Times New Roman"/>
          <w:sz w:val="24"/>
          <w:szCs w:val="24"/>
        </w:rPr>
        <w:t>A</w:t>
      </w:r>
      <w:r w:rsidRPr="007039E8">
        <w:rPr>
          <w:rFonts w:ascii="Times New Roman" w:hAnsi="Times New Roman" w:cs="Times New Roman"/>
          <w:sz w:val="24"/>
          <w:szCs w:val="24"/>
        </w:rPr>
        <w:t>greement’s overall value.</w:t>
      </w:r>
    </w:p>
    <w:p w14:paraId="726EED38" w14:textId="1606EAA6" w:rsidR="00A87CD6" w:rsidRPr="007039E8" w:rsidRDefault="00A87CD6" w:rsidP="00F8432B">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In this dispute, the parties disagree on the interpretation of rules that govern the TRQ market access agreed by CPTPP </w:t>
      </w:r>
      <w:r w:rsidR="00B94FAD"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This has implications </w:t>
      </w:r>
      <w:r w:rsidR="0097080A" w:rsidRPr="007039E8">
        <w:rPr>
          <w:rFonts w:ascii="Times New Roman" w:hAnsi="Times New Roman" w:cs="Times New Roman"/>
          <w:sz w:val="24"/>
          <w:szCs w:val="24"/>
        </w:rPr>
        <w:t xml:space="preserve">not only </w:t>
      </w:r>
      <w:r w:rsidRPr="007039E8">
        <w:rPr>
          <w:rFonts w:ascii="Times New Roman" w:hAnsi="Times New Roman" w:cs="Times New Roman"/>
          <w:sz w:val="24"/>
          <w:szCs w:val="24"/>
        </w:rPr>
        <w:t xml:space="preserve">for Canada’s dairy </w:t>
      </w:r>
      <w:proofErr w:type="gramStart"/>
      <w:r w:rsidRPr="007039E8">
        <w:rPr>
          <w:rFonts w:ascii="Times New Roman" w:hAnsi="Times New Roman" w:cs="Times New Roman"/>
          <w:sz w:val="24"/>
          <w:szCs w:val="24"/>
        </w:rPr>
        <w:t>TRQs</w:t>
      </w:r>
      <w:r w:rsidR="0097080A" w:rsidRPr="007039E8">
        <w:rPr>
          <w:rFonts w:ascii="Times New Roman" w:hAnsi="Times New Roman" w:cs="Times New Roman"/>
          <w:sz w:val="24"/>
          <w:szCs w:val="24"/>
        </w:rPr>
        <w:t>,</w:t>
      </w:r>
      <w:r w:rsidRPr="007039E8">
        <w:rPr>
          <w:rFonts w:ascii="Times New Roman" w:hAnsi="Times New Roman" w:cs="Times New Roman"/>
          <w:sz w:val="24"/>
          <w:szCs w:val="24"/>
        </w:rPr>
        <w:t xml:space="preserve"> </w:t>
      </w:r>
      <w:r w:rsidR="0097080A" w:rsidRPr="007039E8">
        <w:rPr>
          <w:rFonts w:ascii="Times New Roman" w:hAnsi="Times New Roman" w:cs="Times New Roman"/>
          <w:sz w:val="24"/>
          <w:szCs w:val="24"/>
        </w:rPr>
        <w:t>but</w:t>
      </w:r>
      <w:proofErr w:type="gramEnd"/>
      <w:r w:rsidRPr="007039E8">
        <w:rPr>
          <w:rFonts w:ascii="Times New Roman" w:hAnsi="Times New Roman" w:cs="Times New Roman"/>
          <w:sz w:val="24"/>
          <w:szCs w:val="24"/>
        </w:rPr>
        <w:t xml:space="preserve"> will also influence how</w:t>
      </w:r>
      <w:r w:rsidR="0097080A" w:rsidRPr="007039E8">
        <w:rPr>
          <w:rFonts w:ascii="Times New Roman" w:hAnsi="Times New Roman" w:cs="Times New Roman"/>
          <w:sz w:val="24"/>
          <w:szCs w:val="24"/>
        </w:rPr>
        <w:t xml:space="preserve"> other</w:t>
      </w:r>
      <w:r w:rsidRPr="007039E8">
        <w:rPr>
          <w:rFonts w:ascii="Times New Roman" w:hAnsi="Times New Roman" w:cs="Times New Roman"/>
          <w:sz w:val="24"/>
          <w:szCs w:val="24"/>
        </w:rPr>
        <w:t xml:space="preserve"> CPTPP </w:t>
      </w:r>
      <w:r w:rsidR="00B94FAD"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administer their </w:t>
      </w:r>
      <w:r w:rsidR="0097080A" w:rsidRPr="007039E8">
        <w:rPr>
          <w:rFonts w:ascii="Times New Roman" w:hAnsi="Times New Roman" w:cs="Times New Roman"/>
          <w:sz w:val="24"/>
          <w:szCs w:val="24"/>
        </w:rPr>
        <w:t xml:space="preserve">respective </w:t>
      </w:r>
      <w:r w:rsidRPr="007039E8">
        <w:rPr>
          <w:rFonts w:ascii="Times New Roman" w:hAnsi="Times New Roman" w:cs="Times New Roman"/>
          <w:sz w:val="24"/>
          <w:szCs w:val="24"/>
        </w:rPr>
        <w:t xml:space="preserve">TRQs. </w:t>
      </w:r>
      <w:r w:rsidR="0097080A" w:rsidRPr="007039E8">
        <w:rPr>
          <w:rFonts w:ascii="Times New Roman" w:hAnsi="Times New Roman" w:cs="Times New Roman"/>
          <w:sz w:val="24"/>
          <w:szCs w:val="24"/>
        </w:rPr>
        <w:t>I</w:t>
      </w:r>
      <w:r w:rsidRPr="007039E8">
        <w:rPr>
          <w:rFonts w:ascii="Times New Roman" w:hAnsi="Times New Roman" w:cs="Times New Roman"/>
          <w:sz w:val="24"/>
          <w:szCs w:val="24"/>
        </w:rPr>
        <w:t xml:space="preserve">nterpretation of these </w:t>
      </w:r>
      <w:r w:rsidR="00B84C2C" w:rsidRPr="007039E8">
        <w:rPr>
          <w:rFonts w:ascii="Times New Roman" w:hAnsi="Times New Roman" w:cs="Times New Roman"/>
          <w:sz w:val="24"/>
          <w:szCs w:val="24"/>
        </w:rPr>
        <w:t>provisions</w:t>
      </w:r>
      <w:r w:rsidRPr="007039E8">
        <w:rPr>
          <w:rFonts w:ascii="Times New Roman" w:hAnsi="Times New Roman" w:cs="Times New Roman"/>
          <w:sz w:val="24"/>
          <w:szCs w:val="24"/>
        </w:rPr>
        <w:t xml:space="preserve"> is of great </w:t>
      </w:r>
      <w:r w:rsidR="004C385C">
        <w:rPr>
          <w:rFonts w:ascii="Times New Roman" w:hAnsi="Times New Roman" w:cs="Times New Roman"/>
          <w:sz w:val="24"/>
          <w:szCs w:val="24"/>
        </w:rPr>
        <w:t>importance</w:t>
      </w:r>
      <w:r w:rsidRPr="007039E8">
        <w:rPr>
          <w:rFonts w:ascii="Times New Roman" w:hAnsi="Times New Roman" w:cs="Times New Roman"/>
          <w:sz w:val="24"/>
          <w:szCs w:val="24"/>
        </w:rPr>
        <w:t xml:space="preserve">.  </w:t>
      </w:r>
    </w:p>
    <w:p w14:paraId="248F692B" w14:textId="77777777" w:rsidR="00A87CD6" w:rsidRPr="007039E8" w:rsidRDefault="00A87CD6" w:rsidP="00595EE9">
      <w:pPr>
        <w:pStyle w:val="Heading2"/>
      </w:pPr>
      <w:r w:rsidRPr="007039E8">
        <w:t>TREATY INTERPRETATION</w:t>
      </w:r>
    </w:p>
    <w:p w14:paraId="36D4D968" w14:textId="477EB562" w:rsidR="00A87CD6" w:rsidRPr="007039E8" w:rsidRDefault="00A87CD6" w:rsidP="00A87CD6">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This dispute hinges on the proper application of treaty interpretation</w:t>
      </w:r>
      <w:r w:rsidR="00EF721C" w:rsidRPr="007039E8">
        <w:rPr>
          <w:rFonts w:ascii="Times New Roman" w:hAnsi="Times New Roman" w:cs="Times New Roman"/>
          <w:sz w:val="24"/>
          <w:szCs w:val="24"/>
        </w:rPr>
        <w:t xml:space="preserve"> rules</w:t>
      </w:r>
      <w:r w:rsidRPr="007039E8">
        <w:rPr>
          <w:rFonts w:ascii="Times New Roman" w:hAnsi="Times New Roman" w:cs="Times New Roman"/>
          <w:sz w:val="24"/>
          <w:szCs w:val="24"/>
        </w:rPr>
        <w:t xml:space="preserve">. Australia's written submission outlined eight key points on Articles 31 and 32 of the Vienna Convention. To summarise – ordinary meaning is the correct starting point, as informed by a balanced assessment of the context of the </w:t>
      </w:r>
      <w:r w:rsidR="000722F4" w:rsidRPr="007039E8">
        <w:rPr>
          <w:rFonts w:ascii="Times New Roman" w:hAnsi="Times New Roman" w:cs="Times New Roman"/>
          <w:sz w:val="24"/>
          <w:szCs w:val="24"/>
        </w:rPr>
        <w:t xml:space="preserve">relevant </w:t>
      </w:r>
      <w:r w:rsidRPr="007039E8">
        <w:rPr>
          <w:rFonts w:ascii="Times New Roman" w:hAnsi="Times New Roman" w:cs="Times New Roman"/>
          <w:sz w:val="24"/>
          <w:szCs w:val="24"/>
        </w:rPr>
        <w:t xml:space="preserve">text and object and purpose of the treaty overall. A treaty interpreter must look for the </w:t>
      </w:r>
      <w:r w:rsidRPr="007039E8">
        <w:rPr>
          <w:rFonts w:ascii="Times New Roman" w:hAnsi="Times New Roman" w:cs="Times New Roman"/>
          <w:i/>
          <w:iCs/>
          <w:sz w:val="24"/>
          <w:szCs w:val="24"/>
        </w:rPr>
        <w:t>ordinary</w:t>
      </w:r>
      <w:r w:rsidRPr="007039E8">
        <w:rPr>
          <w:rFonts w:ascii="Times New Roman" w:hAnsi="Times New Roman" w:cs="Times New Roman"/>
          <w:sz w:val="24"/>
          <w:szCs w:val="24"/>
        </w:rPr>
        <w:t xml:space="preserve"> meaning, not an </w:t>
      </w:r>
      <w:r w:rsidRPr="007039E8">
        <w:rPr>
          <w:rFonts w:ascii="Times New Roman" w:hAnsi="Times New Roman" w:cs="Times New Roman"/>
          <w:i/>
          <w:iCs/>
          <w:sz w:val="24"/>
          <w:szCs w:val="24"/>
        </w:rPr>
        <w:t>extraordinary</w:t>
      </w:r>
      <w:r w:rsidRPr="007039E8">
        <w:rPr>
          <w:rFonts w:ascii="Times New Roman" w:hAnsi="Times New Roman" w:cs="Times New Roman"/>
          <w:sz w:val="24"/>
          <w:szCs w:val="24"/>
        </w:rPr>
        <w:t xml:space="preserve"> meaning based on a selective application of context, </w:t>
      </w:r>
      <w:proofErr w:type="gramStart"/>
      <w:r w:rsidRPr="007039E8">
        <w:rPr>
          <w:rFonts w:ascii="Times New Roman" w:hAnsi="Times New Roman" w:cs="Times New Roman"/>
          <w:sz w:val="24"/>
          <w:szCs w:val="24"/>
        </w:rPr>
        <w:t>object</w:t>
      </w:r>
      <w:proofErr w:type="gramEnd"/>
      <w:r w:rsidRPr="007039E8">
        <w:rPr>
          <w:rFonts w:ascii="Times New Roman" w:hAnsi="Times New Roman" w:cs="Times New Roman"/>
          <w:sz w:val="24"/>
          <w:szCs w:val="24"/>
        </w:rPr>
        <w:t xml:space="preserve"> and purpose. </w:t>
      </w:r>
    </w:p>
    <w:p w14:paraId="44E49DD5" w14:textId="06109738" w:rsidR="00A87CD6" w:rsidRPr="007039E8" w:rsidRDefault="004075BB" w:rsidP="004B6B3C">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Article 31(2) makes clear that only certain </w:t>
      </w:r>
      <w:r w:rsidR="00A87CD6" w:rsidRPr="007039E8">
        <w:rPr>
          <w:rFonts w:ascii="Times New Roman" w:hAnsi="Times New Roman" w:cs="Times New Roman"/>
          <w:sz w:val="24"/>
          <w:szCs w:val="24"/>
        </w:rPr>
        <w:t xml:space="preserve">materials </w:t>
      </w:r>
      <w:r w:rsidRPr="007039E8">
        <w:rPr>
          <w:rFonts w:ascii="Times New Roman" w:hAnsi="Times New Roman" w:cs="Times New Roman"/>
          <w:sz w:val="24"/>
          <w:szCs w:val="24"/>
        </w:rPr>
        <w:t>are</w:t>
      </w:r>
      <w:r w:rsidR="00A87CD6" w:rsidRPr="007039E8">
        <w:rPr>
          <w:rFonts w:ascii="Times New Roman" w:hAnsi="Times New Roman" w:cs="Times New Roman"/>
          <w:sz w:val="24"/>
          <w:szCs w:val="24"/>
        </w:rPr>
        <w:t xml:space="preserve"> relevant to 'context'</w:t>
      </w:r>
      <w:r w:rsidR="0080024E" w:rsidRPr="007039E8">
        <w:rPr>
          <w:rFonts w:ascii="Times New Roman" w:hAnsi="Times New Roman" w:cs="Times New Roman"/>
          <w:sz w:val="24"/>
          <w:szCs w:val="24"/>
        </w:rPr>
        <w:t>: namely,</w:t>
      </w:r>
      <w:r w:rsidR="00537CF2" w:rsidRPr="007039E8">
        <w:rPr>
          <w:rFonts w:ascii="Times New Roman" w:hAnsi="Times New Roman" w:cs="Times New Roman"/>
          <w:sz w:val="24"/>
          <w:szCs w:val="24"/>
        </w:rPr>
        <w:t xml:space="preserve"> </w:t>
      </w:r>
      <w:r w:rsidRPr="007039E8">
        <w:rPr>
          <w:rFonts w:ascii="Times New Roman" w:hAnsi="Times New Roman" w:cs="Times New Roman"/>
          <w:sz w:val="24"/>
          <w:szCs w:val="24"/>
        </w:rPr>
        <w:t>materials</w:t>
      </w:r>
      <w:r w:rsidR="005D74C9" w:rsidRPr="007039E8">
        <w:rPr>
          <w:rFonts w:ascii="Times New Roman" w:hAnsi="Times New Roman" w:cs="Times New Roman"/>
          <w:sz w:val="24"/>
          <w:szCs w:val="24"/>
        </w:rPr>
        <w:t xml:space="preserve"> </w:t>
      </w:r>
      <w:r w:rsidR="00A87CD6" w:rsidRPr="007039E8">
        <w:rPr>
          <w:rFonts w:ascii="Times New Roman" w:hAnsi="Times New Roman" w:cs="Times New Roman"/>
          <w:sz w:val="24"/>
          <w:szCs w:val="24"/>
        </w:rPr>
        <w:t xml:space="preserve">made in connection with the conclusion of the treaty </w:t>
      </w:r>
      <w:r w:rsidRPr="007039E8">
        <w:rPr>
          <w:rFonts w:ascii="Times New Roman" w:hAnsi="Times New Roman" w:cs="Times New Roman"/>
          <w:sz w:val="24"/>
          <w:szCs w:val="24"/>
        </w:rPr>
        <w:t xml:space="preserve">that take the form of </w:t>
      </w:r>
      <w:r w:rsidR="00A87CD6" w:rsidRPr="007039E8">
        <w:rPr>
          <w:rFonts w:ascii="Times New Roman" w:hAnsi="Times New Roman" w:cs="Times New Roman"/>
          <w:sz w:val="24"/>
          <w:szCs w:val="24"/>
        </w:rPr>
        <w:t xml:space="preserve">either an agreement between all the parties </w:t>
      </w:r>
      <w:r w:rsidR="00C808FE" w:rsidRPr="007039E8">
        <w:rPr>
          <w:rFonts w:ascii="Times New Roman" w:hAnsi="Times New Roman" w:cs="Times New Roman"/>
          <w:sz w:val="24"/>
          <w:szCs w:val="24"/>
        </w:rPr>
        <w:t xml:space="preserve">relating to the treaty </w:t>
      </w:r>
      <w:r w:rsidR="00D900D7" w:rsidRPr="007039E8">
        <w:rPr>
          <w:rFonts w:ascii="Times New Roman" w:hAnsi="Times New Roman" w:cs="Times New Roman"/>
          <w:sz w:val="24"/>
          <w:szCs w:val="24"/>
        </w:rPr>
        <w:t>or</w:t>
      </w:r>
      <w:r w:rsidR="00A87CD6" w:rsidRPr="007039E8">
        <w:rPr>
          <w:rFonts w:ascii="Times New Roman" w:hAnsi="Times New Roman" w:cs="Times New Roman"/>
          <w:sz w:val="24"/>
          <w:szCs w:val="24"/>
        </w:rPr>
        <w:t xml:space="preserve"> </w:t>
      </w:r>
      <w:r w:rsidR="005D74C9" w:rsidRPr="007039E8">
        <w:rPr>
          <w:rFonts w:ascii="Times New Roman" w:hAnsi="Times New Roman" w:cs="Times New Roman"/>
          <w:sz w:val="24"/>
          <w:szCs w:val="24"/>
        </w:rPr>
        <w:t xml:space="preserve">an instrument </w:t>
      </w:r>
      <w:r w:rsidR="00D70C7D" w:rsidRPr="007039E8">
        <w:rPr>
          <w:rFonts w:ascii="Times New Roman" w:hAnsi="Times New Roman" w:cs="Times New Roman"/>
          <w:sz w:val="24"/>
          <w:szCs w:val="24"/>
        </w:rPr>
        <w:t xml:space="preserve">by one or more parties </w:t>
      </w:r>
      <w:r w:rsidR="00A87CD6" w:rsidRPr="007039E8">
        <w:rPr>
          <w:rFonts w:ascii="Times New Roman" w:hAnsi="Times New Roman" w:cs="Times New Roman"/>
          <w:sz w:val="24"/>
          <w:szCs w:val="24"/>
        </w:rPr>
        <w:t>accepted by the other parties as related to the treaty. Australia is not aware of any contextual materials that meet these criteria for the obligations at issue.</w:t>
      </w:r>
    </w:p>
    <w:p w14:paraId="1187C06F" w14:textId="42FC3E28" w:rsidR="00A87CD6" w:rsidRPr="007039E8" w:rsidRDefault="00A87CD6" w:rsidP="00A87CD6">
      <w:pPr>
        <w:pStyle w:val="ListParagraph"/>
        <w:numPr>
          <w:ilvl w:val="0"/>
          <w:numId w:val="2"/>
        </w:numPr>
        <w:spacing w:after="240" w:line="256" w:lineRule="auto"/>
        <w:jc w:val="both"/>
        <w:rPr>
          <w:rFonts w:ascii="Times New Roman" w:hAnsi="Times New Roman" w:cs="Times New Roman"/>
          <w:sz w:val="24"/>
          <w:szCs w:val="24"/>
        </w:rPr>
      </w:pPr>
      <w:r w:rsidRPr="007039E8">
        <w:rPr>
          <w:rFonts w:ascii="Times New Roman" w:hAnsi="Times New Roman" w:cs="Times New Roman"/>
          <w:sz w:val="24"/>
          <w:szCs w:val="24"/>
        </w:rPr>
        <w:t xml:space="preserve">Once an </w:t>
      </w:r>
      <w:proofErr w:type="gramStart"/>
      <w:r w:rsidRPr="007039E8">
        <w:rPr>
          <w:rFonts w:ascii="Times New Roman" w:hAnsi="Times New Roman" w:cs="Times New Roman"/>
          <w:sz w:val="24"/>
          <w:szCs w:val="24"/>
        </w:rPr>
        <w:t>Article</w:t>
      </w:r>
      <w:proofErr w:type="gramEnd"/>
      <w:r w:rsidRPr="007039E8">
        <w:rPr>
          <w:rFonts w:ascii="Times New Roman" w:hAnsi="Times New Roman" w:cs="Times New Roman"/>
          <w:sz w:val="24"/>
          <w:szCs w:val="24"/>
        </w:rPr>
        <w:t xml:space="preserve"> 31 analysis is complete, Article 32 provides that a treaty interpreter may use supplementary materials, such as negotiating history, to </w:t>
      </w:r>
      <w:r w:rsidRPr="007039E8">
        <w:rPr>
          <w:rFonts w:ascii="Times New Roman" w:hAnsi="Times New Roman" w:cs="Times New Roman"/>
          <w:i/>
          <w:iCs/>
          <w:sz w:val="24"/>
          <w:szCs w:val="24"/>
        </w:rPr>
        <w:t>confirm</w:t>
      </w:r>
      <w:r w:rsidRPr="007039E8">
        <w:rPr>
          <w:rFonts w:ascii="Times New Roman" w:hAnsi="Times New Roman" w:cs="Times New Roman"/>
          <w:sz w:val="24"/>
          <w:szCs w:val="24"/>
        </w:rPr>
        <w:t xml:space="preserve"> </w:t>
      </w:r>
      <w:r w:rsidR="00075662" w:rsidRPr="007039E8">
        <w:rPr>
          <w:rFonts w:ascii="Times New Roman" w:hAnsi="Times New Roman" w:cs="Times New Roman"/>
          <w:sz w:val="24"/>
          <w:szCs w:val="24"/>
        </w:rPr>
        <w:t>its interpretation</w:t>
      </w:r>
      <w:r w:rsidR="001469AD" w:rsidRPr="007039E8">
        <w:rPr>
          <w:rFonts w:ascii="Times New Roman" w:hAnsi="Times New Roman" w:cs="Times New Roman"/>
          <w:sz w:val="24"/>
          <w:szCs w:val="24"/>
        </w:rPr>
        <w:t xml:space="preserve"> resulting from that analysis</w:t>
      </w:r>
      <w:r w:rsidR="004075BB" w:rsidRPr="007039E8">
        <w:rPr>
          <w:rFonts w:ascii="Times New Roman" w:hAnsi="Times New Roman" w:cs="Times New Roman"/>
          <w:sz w:val="24"/>
          <w:szCs w:val="24"/>
        </w:rPr>
        <w:t>. A</w:t>
      </w:r>
      <w:r w:rsidRPr="007039E8">
        <w:rPr>
          <w:rFonts w:ascii="Times New Roman" w:hAnsi="Times New Roman" w:cs="Times New Roman"/>
          <w:sz w:val="24"/>
          <w:szCs w:val="24"/>
        </w:rPr>
        <w:t xml:space="preserve">lternatively, where the outcome of the </w:t>
      </w:r>
      <w:r w:rsidR="000722F4" w:rsidRPr="007039E8">
        <w:rPr>
          <w:rFonts w:ascii="Times New Roman" w:hAnsi="Times New Roman" w:cs="Times New Roman"/>
          <w:sz w:val="24"/>
          <w:szCs w:val="24"/>
        </w:rPr>
        <w:t xml:space="preserve">Article 31 </w:t>
      </w:r>
      <w:r w:rsidRPr="007039E8">
        <w:rPr>
          <w:rFonts w:ascii="Times New Roman" w:hAnsi="Times New Roman" w:cs="Times New Roman"/>
          <w:sz w:val="24"/>
          <w:szCs w:val="24"/>
        </w:rPr>
        <w:t xml:space="preserve">analysis is ambiguous, obscure, </w:t>
      </w:r>
      <w:proofErr w:type="gramStart"/>
      <w:r w:rsidRPr="007039E8">
        <w:rPr>
          <w:rFonts w:ascii="Times New Roman" w:hAnsi="Times New Roman" w:cs="Times New Roman"/>
          <w:sz w:val="24"/>
          <w:szCs w:val="24"/>
        </w:rPr>
        <w:t>absurd</w:t>
      </w:r>
      <w:proofErr w:type="gramEnd"/>
      <w:r w:rsidRPr="007039E8">
        <w:rPr>
          <w:rFonts w:ascii="Times New Roman" w:hAnsi="Times New Roman" w:cs="Times New Roman"/>
          <w:sz w:val="24"/>
          <w:szCs w:val="24"/>
        </w:rPr>
        <w:t xml:space="preserve"> or unreasonable, </w:t>
      </w:r>
      <w:r w:rsidR="000722F4" w:rsidRPr="007039E8">
        <w:rPr>
          <w:rFonts w:ascii="Times New Roman" w:hAnsi="Times New Roman" w:cs="Times New Roman"/>
          <w:sz w:val="24"/>
          <w:szCs w:val="24"/>
        </w:rPr>
        <w:t xml:space="preserve">Article 32 allows recourse to supplementary </w:t>
      </w:r>
      <w:r w:rsidR="005A4C41" w:rsidRPr="007039E8">
        <w:rPr>
          <w:rFonts w:ascii="Times New Roman" w:hAnsi="Times New Roman" w:cs="Times New Roman"/>
          <w:sz w:val="24"/>
          <w:szCs w:val="24"/>
        </w:rPr>
        <w:t>materials</w:t>
      </w:r>
      <w:r w:rsidR="000722F4" w:rsidRPr="007039E8">
        <w:rPr>
          <w:rFonts w:ascii="Times New Roman" w:hAnsi="Times New Roman" w:cs="Times New Roman"/>
          <w:sz w:val="24"/>
          <w:szCs w:val="24"/>
        </w:rPr>
        <w:t xml:space="preserve"> </w:t>
      </w:r>
      <w:r w:rsidR="00BC1B86" w:rsidRPr="007039E8">
        <w:rPr>
          <w:rFonts w:ascii="Times New Roman" w:hAnsi="Times New Roman" w:cs="Times New Roman"/>
          <w:sz w:val="24"/>
          <w:szCs w:val="24"/>
        </w:rPr>
        <w:t xml:space="preserve">in order </w:t>
      </w:r>
      <w:r w:rsidRPr="007039E8">
        <w:rPr>
          <w:rFonts w:ascii="Times New Roman" w:hAnsi="Times New Roman" w:cs="Times New Roman"/>
          <w:sz w:val="24"/>
          <w:szCs w:val="24"/>
        </w:rPr>
        <w:t xml:space="preserve">to </w:t>
      </w:r>
      <w:r w:rsidRPr="007039E8">
        <w:rPr>
          <w:rFonts w:ascii="Times New Roman" w:hAnsi="Times New Roman" w:cs="Times New Roman"/>
          <w:i/>
          <w:iCs/>
          <w:sz w:val="24"/>
          <w:szCs w:val="24"/>
        </w:rPr>
        <w:t>determine</w:t>
      </w:r>
      <w:r w:rsidRPr="007039E8">
        <w:rPr>
          <w:rFonts w:ascii="Times New Roman" w:hAnsi="Times New Roman" w:cs="Times New Roman"/>
          <w:sz w:val="24"/>
          <w:szCs w:val="24"/>
        </w:rPr>
        <w:t xml:space="preserve"> </w:t>
      </w:r>
      <w:r w:rsidR="001469AD" w:rsidRPr="007039E8">
        <w:rPr>
          <w:rFonts w:ascii="Times New Roman" w:hAnsi="Times New Roman" w:cs="Times New Roman"/>
          <w:sz w:val="24"/>
          <w:szCs w:val="24"/>
        </w:rPr>
        <w:t>its interpretation</w:t>
      </w:r>
      <w:r w:rsidRPr="007039E8">
        <w:rPr>
          <w:rFonts w:ascii="Times New Roman" w:hAnsi="Times New Roman" w:cs="Times New Roman"/>
          <w:sz w:val="24"/>
          <w:szCs w:val="24"/>
        </w:rPr>
        <w:t xml:space="preserve">. In Australia's view, all the provisions at issue in this dispute are capable of interpretation under Article 31 and </w:t>
      </w:r>
      <w:r w:rsidR="00F8432B" w:rsidRPr="007039E8">
        <w:rPr>
          <w:rFonts w:ascii="Times New Roman" w:hAnsi="Times New Roman" w:cs="Times New Roman"/>
          <w:sz w:val="24"/>
          <w:szCs w:val="24"/>
        </w:rPr>
        <w:t xml:space="preserve">there is no need to have </w:t>
      </w:r>
      <w:r w:rsidRPr="007039E8">
        <w:rPr>
          <w:rFonts w:ascii="Times New Roman" w:hAnsi="Times New Roman" w:cs="Times New Roman"/>
          <w:sz w:val="24"/>
          <w:szCs w:val="24"/>
        </w:rPr>
        <w:t xml:space="preserve">recourse to </w:t>
      </w:r>
      <w:r w:rsidR="00F8432B" w:rsidRPr="007039E8">
        <w:rPr>
          <w:rFonts w:ascii="Times New Roman" w:hAnsi="Times New Roman" w:cs="Times New Roman"/>
          <w:sz w:val="24"/>
          <w:szCs w:val="24"/>
        </w:rPr>
        <w:t>Article 32</w:t>
      </w:r>
      <w:r w:rsidR="000722F4" w:rsidRPr="007039E8">
        <w:rPr>
          <w:rFonts w:ascii="Times New Roman" w:hAnsi="Times New Roman" w:cs="Times New Roman"/>
          <w:sz w:val="24"/>
          <w:szCs w:val="24"/>
        </w:rPr>
        <w:t>.</w:t>
      </w:r>
      <w:r w:rsidRPr="007039E8">
        <w:rPr>
          <w:rFonts w:ascii="Times New Roman" w:hAnsi="Times New Roman" w:cs="Times New Roman"/>
          <w:sz w:val="24"/>
          <w:szCs w:val="24"/>
        </w:rPr>
        <w:t xml:space="preserve">  </w:t>
      </w:r>
    </w:p>
    <w:p w14:paraId="1FEE23D0" w14:textId="77777777" w:rsidR="00A87CD6" w:rsidRPr="007039E8" w:rsidRDefault="00A87CD6" w:rsidP="00595EE9">
      <w:pPr>
        <w:pStyle w:val="Heading2"/>
      </w:pPr>
      <w:r w:rsidRPr="007039E8">
        <w:t>INTERPRETATION OF CPTPP OBLIGATIONS</w:t>
      </w:r>
    </w:p>
    <w:p w14:paraId="0DE0B2F7" w14:textId="67E1A534" w:rsidR="00A87CD6" w:rsidRPr="007039E8" w:rsidRDefault="0080024E" w:rsidP="00457EF3">
      <w:pPr>
        <w:pStyle w:val="ListParagraph"/>
        <w:numPr>
          <w:ilvl w:val="0"/>
          <w:numId w:val="2"/>
        </w:numPr>
        <w:spacing w:after="240"/>
        <w:ind w:left="357" w:hanging="357"/>
        <w:contextualSpacing w:val="0"/>
        <w:jc w:val="both"/>
        <w:rPr>
          <w:rFonts w:ascii="Times New Roman" w:hAnsi="Times New Roman" w:cs="Times New Roman"/>
          <w:sz w:val="24"/>
          <w:szCs w:val="24"/>
        </w:rPr>
      </w:pPr>
      <w:r w:rsidRPr="007039E8">
        <w:rPr>
          <w:rFonts w:ascii="Times New Roman" w:hAnsi="Times New Roman" w:cs="Times New Roman"/>
          <w:sz w:val="24"/>
          <w:szCs w:val="24"/>
        </w:rPr>
        <w:t>For the following reasons, we do not consider that the circumstances in this case support Canada’s treaty interpretation.</w:t>
      </w:r>
      <w:r w:rsidR="00EE76D0" w:rsidRPr="007039E8">
        <w:rPr>
          <w:rFonts w:ascii="Times New Roman" w:hAnsi="Times New Roman" w:cs="Times New Roman"/>
          <w:sz w:val="24"/>
          <w:szCs w:val="24"/>
        </w:rPr>
        <w:t xml:space="preserve"> </w:t>
      </w:r>
      <w:r w:rsidR="00A87CD6" w:rsidRPr="007039E8">
        <w:rPr>
          <w:rFonts w:ascii="Times New Roman" w:hAnsi="Times New Roman" w:cs="Times New Roman"/>
          <w:sz w:val="24"/>
          <w:szCs w:val="24"/>
        </w:rPr>
        <w:t xml:space="preserve">In Australia’s view, </w:t>
      </w:r>
      <w:r w:rsidR="00DD4E7D" w:rsidRPr="007039E8">
        <w:rPr>
          <w:rFonts w:ascii="Times New Roman" w:hAnsi="Times New Roman" w:cs="Times New Roman"/>
          <w:sz w:val="24"/>
          <w:szCs w:val="24"/>
        </w:rPr>
        <w:t>the</w:t>
      </w:r>
      <w:r w:rsidR="00A87CD6" w:rsidRPr="007039E8">
        <w:rPr>
          <w:rFonts w:ascii="Times New Roman" w:hAnsi="Times New Roman" w:cs="Times New Roman"/>
          <w:sz w:val="24"/>
          <w:szCs w:val="24"/>
        </w:rPr>
        <w:t xml:space="preserve"> correct application of the rules of treaty interpretation leads to the following conclusions: first, the CPTPP TRQ rules are straightforward; second, the eligibility requirements are clear; and third, there is no overriding right to protect domestic industry. I will address each of these in turn.</w:t>
      </w:r>
    </w:p>
    <w:p w14:paraId="003E5D64" w14:textId="77777777" w:rsidR="00A87CD6" w:rsidRPr="007039E8" w:rsidRDefault="00A87CD6" w:rsidP="00A87CD6">
      <w:pPr>
        <w:pStyle w:val="ListParagraph"/>
        <w:keepNext/>
        <w:numPr>
          <w:ilvl w:val="0"/>
          <w:numId w:val="3"/>
        </w:numPr>
        <w:spacing w:after="240"/>
        <w:ind w:hanging="357"/>
        <w:contextualSpacing w:val="0"/>
        <w:rPr>
          <w:rFonts w:ascii="Times New Roman" w:hAnsi="Times New Roman" w:cs="Times New Roman"/>
          <w:i/>
          <w:iCs/>
          <w:sz w:val="24"/>
          <w:szCs w:val="24"/>
        </w:rPr>
      </w:pPr>
      <w:r w:rsidRPr="007039E8">
        <w:rPr>
          <w:rFonts w:ascii="Times New Roman" w:hAnsi="Times New Roman" w:cs="Times New Roman"/>
          <w:i/>
          <w:iCs/>
          <w:sz w:val="24"/>
          <w:szCs w:val="24"/>
        </w:rPr>
        <w:lastRenderedPageBreak/>
        <w:t>The TRQ rules are straightforward</w:t>
      </w:r>
    </w:p>
    <w:p w14:paraId="73916685" w14:textId="7864CDD8" w:rsidR="00A87CD6" w:rsidRPr="007039E8" w:rsidRDefault="00A87CD6" w:rsidP="00A87CD6">
      <w:pPr>
        <w:pStyle w:val="ListParagraph"/>
        <w:keepNext/>
        <w:numPr>
          <w:ilvl w:val="0"/>
          <w:numId w:val="2"/>
        </w:numPr>
        <w:spacing w:after="240"/>
        <w:ind w:hanging="357"/>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Chapter 2 Section D is titled ‘Tariff-Rate Quota Administration’ and contains five articles. These rules are general in nature and cover the </w:t>
      </w:r>
      <w:r w:rsidRPr="007039E8">
        <w:rPr>
          <w:rFonts w:ascii="Times New Roman" w:hAnsi="Times New Roman" w:cs="Times New Roman"/>
          <w:i/>
          <w:iCs/>
          <w:sz w:val="24"/>
          <w:szCs w:val="24"/>
        </w:rPr>
        <w:t>whole</w:t>
      </w:r>
      <w:r w:rsidRPr="007039E8">
        <w:rPr>
          <w:rFonts w:ascii="Times New Roman" w:hAnsi="Times New Roman" w:cs="Times New Roman"/>
          <w:sz w:val="24"/>
          <w:szCs w:val="24"/>
        </w:rPr>
        <w:t xml:space="preserve"> of an importing Party’s TRQ administration, except where otherwise specified. Arguments </w:t>
      </w:r>
      <w:r w:rsidR="0080024E" w:rsidRPr="007039E8">
        <w:rPr>
          <w:rFonts w:ascii="Times New Roman" w:hAnsi="Times New Roman" w:cs="Times New Roman"/>
          <w:sz w:val="24"/>
          <w:szCs w:val="24"/>
        </w:rPr>
        <w:t>by Canada that seek to</w:t>
      </w:r>
      <w:r w:rsidRPr="007039E8">
        <w:rPr>
          <w:rFonts w:ascii="Times New Roman" w:hAnsi="Times New Roman" w:cs="Times New Roman"/>
          <w:sz w:val="24"/>
          <w:szCs w:val="24"/>
        </w:rPr>
        <w:t xml:space="preserve"> qualify or limit the scope of the obligations beyond what is written are a legal fiction. Australia provides three examples in support of this statement. </w:t>
      </w:r>
    </w:p>
    <w:p w14:paraId="2C16E811" w14:textId="024CF8E8" w:rsidR="00A87CD6" w:rsidRPr="007039E8" w:rsidRDefault="00A87CD6" w:rsidP="00A87CD6">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First, Article 2.29(1) is the headline obligation in an article entitled "Administration and eligibility". This is CPTPP </w:t>
      </w:r>
      <w:r w:rsidR="00437CD2"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commitment to ensuring their TRQ administration supports their full use – in accordance with the purpose of the CPTPP as a trade liberalising agreement </w:t>
      </w:r>
      <w:r w:rsidR="003E6384" w:rsidRPr="007039E8">
        <w:rPr>
          <w:rFonts w:ascii="Times New Roman" w:hAnsi="Times New Roman" w:cs="Times New Roman"/>
          <w:sz w:val="24"/>
          <w:szCs w:val="24"/>
        </w:rPr>
        <w:t>with</w:t>
      </w:r>
      <w:r w:rsidRPr="007039E8">
        <w:rPr>
          <w:rFonts w:ascii="Times New Roman" w:hAnsi="Times New Roman" w:cs="Times New Roman"/>
          <w:sz w:val="24"/>
          <w:szCs w:val="24"/>
        </w:rPr>
        <w:t xml:space="preserve"> TRQs as an essential element. </w:t>
      </w:r>
      <w:r w:rsidR="009F6CF4" w:rsidRPr="007039E8">
        <w:rPr>
          <w:rFonts w:ascii="Times New Roman" w:hAnsi="Times New Roman" w:cs="Times New Roman"/>
          <w:sz w:val="24"/>
          <w:szCs w:val="24"/>
        </w:rPr>
        <w:t>The structure of the article</w:t>
      </w:r>
      <w:r w:rsidR="00775695" w:rsidRPr="007039E8">
        <w:rPr>
          <w:rFonts w:ascii="Times New Roman" w:hAnsi="Times New Roman" w:cs="Times New Roman"/>
          <w:sz w:val="24"/>
          <w:szCs w:val="24"/>
        </w:rPr>
        <w:t xml:space="preserve"> and its placement within Section D</w:t>
      </w:r>
      <w:r w:rsidR="009F6CF4" w:rsidRPr="007039E8">
        <w:rPr>
          <w:rFonts w:ascii="Times New Roman" w:hAnsi="Times New Roman" w:cs="Times New Roman"/>
          <w:sz w:val="24"/>
          <w:szCs w:val="24"/>
        </w:rPr>
        <w:t xml:space="preserve"> does not support an interpretation that this paragraph should be read </w:t>
      </w:r>
      <w:r w:rsidR="00A07952" w:rsidRPr="007039E8">
        <w:rPr>
          <w:rFonts w:ascii="Times New Roman" w:hAnsi="Times New Roman" w:cs="Times New Roman"/>
          <w:sz w:val="24"/>
          <w:szCs w:val="24"/>
        </w:rPr>
        <w:t>more narrow</w:t>
      </w:r>
      <w:r w:rsidR="00C57867" w:rsidRPr="007039E8">
        <w:rPr>
          <w:rFonts w:ascii="Times New Roman" w:hAnsi="Times New Roman" w:cs="Times New Roman"/>
          <w:sz w:val="24"/>
          <w:szCs w:val="24"/>
        </w:rPr>
        <w:t>ly</w:t>
      </w:r>
      <w:r w:rsidR="00A07952" w:rsidRPr="007039E8">
        <w:rPr>
          <w:rFonts w:ascii="Times New Roman" w:hAnsi="Times New Roman" w:cs="Times New Roman"/>
          <w:sz w:val="24"/>
          <w:szCs w:val="24"/>
        </w:rPr>
        <w:t xml:space="preserve"> </w:t>
      </w:r>
      <w:r w:rsidR="009F6CF4" w:rsidRPr="007039E8">
        <w:rPr>
          <w:rFonts w:ascii="Times New Roman" w:hAnsi="Times New Roman" w:cs="Times New Roman"/>
          <w:sz w:val="24"/>
          <w:szCs w:val="24"/>
        </w:rPr>
        <w:t xml:space="preserve">as </w:t>
      </w:r>
      <w:r w:rsidRPr="007039E8">
        <w:rPr>
          <w:rFonts w:ascii="Times New Roman" w:hAnsi="Times New Roman" w:cs="Times New Roman"/>
          <w:sz w:val="24"/>
          <w:szCs w:val="24"/>
        </w:rPr>
        <w:t>only be</w:t>
      </w:r>
      <w:r w:rsidR="00775695" w:rsidRPr="007039E8">
        <w:rPr>
          <w:rFonts w:ascii="Times New Roman" w:hAnsi="Times New Roman" w:cs="Times New Roman"/>
          <w:sz w:val="24"/>
          <w:szCs w:val="24"/>
        </w:rPr>
        <w:t>ing</w:t>
      </w:r>
      <w:r w:rsidRPr="007039E8">
        <w:rPr>
          <w:rFonts w:ascii="Times New Roman" w:hAnsi="Times New Roman" w:cs="Times New Roman"/>
          <w:sz w:val="24"/>
          <w:szCs w:val="24"/>
        </w:rPr>
        <w:t xml:space="preserve"> concerned with ensuring that importers </w:t>
      </w:r>
      <w:r w:rsidRPr="007039E8">
        <w:rPr>
          <w:rFonts w:ascii="Times New Roman" w:hAnsi="Times New Roman" w:cs="Times New Roman"/>
          <w:i/>
          <w:iCs/>
          <w:sz w:val="24"/>
          <w:szCs w:val="24"/>
        </w:rPr>
        <w:t>who had already received</w:t>
      </w:r>
      <w:r w:rsidRPr="007039E8">
        <w:rPr>
          <w:rFonts w:ascii="Times New Roman" w:hAnsi="Times New Roman" w:cs="Times New Roman"/>
          <w:sz w:val="24"/>
          <w:szCs w:val="24"/>
        </w:rPr>
        <w:t xml:space="preserve"> a TRQ allocation were able to use that allocation. </w:t>
      </w:r>
    </w:p>
    <w:p w14:paraId="05D19DAF" w14:textId="2F67B413" w:rsidR="00A87CD6" w:rsidRPr="007039E8" w:rsidRDefault="00A87CD6" w:rsidP="00A87CD6">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Second, arguments which rely on artificial distinctions </w:t>
      </w:r>
      <w:r w:rsidR="003C7D02" w:rsidRPr="007039E8">
        <w:rPr>
          <w:rFonts w:ascii="Times New Roman" w:hAnsi="Times New Roman" w:cs="Times New Roman"/>
          <w:sz w:val="24"/>
          <w:szCs w:val="24"/>
        </w:rPr>
        <w:t>between</w:t>
      </w:r>
      <w:r w:rsidRPr="007039E8">
        <w:rPr>
          <w:rFonts w:ascii="Times New Roman" w:hAnsi="Times New Roman" w:cs="Times New Roman"/>
          <w:sz w:val="24"/>
          <w:szCs w:val="24"/>
        </w:rPr>
        <w:t xml:space="preserve"> the stages of TRQ administration create absurd results. For example, limiting the scope of the obligation in Article 2.29(2)(a) to </w:t>
      </w:r>
      <w:r w:rsidRPr="007039E8">
        <w:rPr>
          <w:rFonts w:ascii="Times New Roman" w:hAnsi="Times New Roman" w:cs="Times New Roman"/>
          <w:i/>
          <w:iCs/>
          <w:sz w:val="24"/>
          <w:szCs w:val="24"/>
        </w:rPr>
        <w:t xml:space="preserve">actual importation </w:t>
      </w:r>
      <w:r w:rsidRPr="007039E8">
        <w:rPr>
          <w:rFonts w:ascii="Times New Roman" w:hAnsi="Times New Roman" w:cs="Times New Roman"/>
          <w:sz w:val="24"/>
          <w:szCs w:val="24"/>
        </w:rPr>
        <w:t xml:space="preserve">(as opposed to an earlier allocation stage) would allow a Party to impose a restriction on the utilisation of a TRQ </w:t>
      </w:r>
      <w:r w:rsidRPr="007039E8">
        <w:rPr>
          <w:rFonts w:ascii="Times New Roman" w:hAnsi="Times New Roman" w:cs="Times New Roman"/>
          <w:i/>
          <w:iCs/>
          <w:sz w:val="24"/>
          <w:szCs w:val="24"/>
        </w:rPr>
        <w:t>at any time</w:t>
      </w:r>
      <w:r w:rsidRPr="007039E8">
        <w:rPr>
          <w:rFonts w:ascii="Times New Roman" w:hAnsi="Times New Roman" w:cs="Times New Roman"/>
          <w:sz w:val="24"/>
          <w:szCs w:val="24"/>
        </w:rPr>
        <w:t xml:space="preserve"> </w:t>
      </w:r>
      <w:r w:rsidRPr="007039E8">
        <w:rPr>
          <w:rFonts w:ascii="Times New Roman" w:hAnsi="Times New Roman" w:cs="Times New Roman"/>
          <w:i/>
          <w:iCs/>
          <w:sz w:val="24"/>
          <w:szCs w:val="24"/>
        </w:rPr>
        <w:t>prior</w:t>
      </w:r>
      <w:r w:rsidRPr="007039E8">
        <w:rPr>
          <w:rFonts w:ascii="Times New Roman" w:hAnsi="Times New Roman" w:cs="Times New Roman"/>
          <w:sz w:val="24"/>
          <w:szCs w:val="24"/>
        </w:rPr>
        <w:t xml:space="preserve"> to that. This interpretation strains the entire framework of Article 2.29, requiring the reading-down of words which are otherwise plain and unambiguous in the context of TRQ administration, such as "importer".</w:t>
      </w:r>
      <w:r w:rsidR="00E16460" w:rsidRPr="007039E8">
        <w:rPr>
          <w:rFonts w:ascii="Times New Roman" w:hAnsi="Times New Roman" w:cs="Times New Roman"/>
          <w:sz w:val="24"/>
          <w:szCs w:val="24"/>
        </w:rPr>
        <w:t xml:space="preserve"> This would also have serious </w:t>
      </w:r>
      <w:r w:rsidR="00F063EA" w:rsidRPr="007039E8">
        <w:rPr>
          <w:rFonts w:ascii="Times New Roman" w:hAnsi="Times New Roman" w:cs="Times New Roman"/>
          <w:sz w:val="24"/>
          <w:szCs w:val="24"/>
        </w:rPr>
        <w:t xml:space="preserve">adverse </w:t>
      </w:r>
      <w:r w:rsidR="00E16460" w:rsidRPr="007039E8">
        <w:rPr>
          <w:rFonts w:ascii="Times New Roman" w:hAnsi="Times New Roman" w:cs="Times New Roman"/>
          <w:sz w:val="24"/>
          <w:szCs w:val="24"/>
        </w:rPr>
        <w:t>implications for the utility of TRQ commitments in FTAs generally.</w:t>
      </w:r>
    </w:p>
    <w:p w14:paraId="559AFD51" w14:textId="2351B5AD" w:rsidR="00A87CD6" w:rsidRPr="007039E8" w:rsidRDefault="00A87CD6" w:rsidP="00A87CD6">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Third, suggestions that the </w:t>
      </w:r>
      <w:r w:rsidR="00F7749D"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accepted certain inherent conditions or limitations associated with Canada's supply management system or existing TRQ administration as part of the CPTPP TRQs are without basis. The CPTPP TRQs were created </w:t>
      </w:r>
      <w:r w:rsidR="00F063EA" w:rsidRPr="007039E8">
        <w:rPr>
          <w:rFonts w:ascii="Times New Roman" w:hAnsi="Times New Roman" w:cs="Times New Roman"/>
          <w:sz w:val="24"/>
          <w:szCs w:val="24"/>
        </w:rPr>
        <w:t xml:space="preserve">by </w:t>
      </w:r>
      <w:r w:rsidRPr="007039E8">
        <w:rPr>
          <w:rFonts w:ascii="Times New Roman" w:hAnsi="Times New Roman" w:cs="Times New Roman"/>
          <w:sz w:val="24"/>
          <w:szCs w:val="24"/>
        </w:rPr>
        <w:t xml:space="preserve">the </w:t>
      </w:r>
      <w:r w:rsidR="00F7749D" w:rsidRPr="007039E8">
        <w:rPr>
          <w:rFonts w:ascii="Times New Roman" w:hAnsi="Times New Roman" w:cs="Times New Roman"/>
          <w:sz w:val="24"/>
          <w:szCs w:val="24"/>
        </w:rPr>
        <w:t>A</w:t>
      </w:r>
      <w:r w:rsidRPr="007039E8">
        <w:rPr>
          <w:rFonts w:ascii="Times New Roman" w:hAnsi="Times New Roman" w:cs="Times New Roman"/>
          <w:sz w:val="24"/>
          <w:szCs w:val="24"/>
        </w:rPr>
        <w:t xml:space="preserve">greement, they did not exist before. Their existence, parameters and rules for their administration are set out in the Agreement. </w:t>
      </w:r>
    </w:p>
    <w:p w14:paraId="35F4F5DA" w14:textId="77777777" w:rsidR="00A87CD6" w:rsidRPr="007039E8" w:rsidRDefault="00A87CD6" w:rsidP="00A87CD6">
      <w:pPr>
        <w:pStyle w:val="ListParagraph"/>
        <w:keepNext/>
        <w:numPr>
          <w:ilvl w:val="0"/>
          <w:numId w:val="3"/>
        </w:numPr>
        <w:spacing w:after="240"/>
        <w:ind w:hanging="357"/>
        <w:contextualSpacing w:val="0"/>
        <w:rPr>
          <w:rFonts w:ascii="Times New Roman" w:hAnsi="Times New Roman" w:cs="Times New Roman"/>
          <w:i/>
          <w:iCs/>
          <w:sz w:val="24"/>
          <w:szCs w:val="24"/>
        </w:rPr>
      </w:pPr>
      <w:r w:rsidRPr="007039E8">
        <w:rPr>
          <w:rFonts w:ascii="Times New Roman" w:hAnsi="Times New Roman" w:cs="Times New Roman"/>
          <w:i/>
          <w:iCs/>
          <w:sz w:val="24"/>
          <w:szCs w:val="24"/>
        </w:rPr>
        <w:t>The eligibility requirements are clear</w:t>
      </w:r>
    </w:p>
    <w:p w14:paraId="1188757A" w14:textId="07B92131" w:rsidR="00A87CD6" w:rsidRPr="007039E8" w:rsidRDefault="00A87CD6" w:rsidP="00A87CD6">
      <w:pPr>
        <w:pStyle w:val="ListParagraph"/>
        <w:keepNext/>
        <w:numPr>
          <w:ilvl w:val="0"/>
          <w:numId w:val="2"/>
        </w:numPr>
        <w:spacing w:after="240"/>
        <w:ind w:hanging="357"/>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One example is the eligibility requirements. CPTPP </w:t>
      </w:r>
      <w:r w:rsidR="0023176F"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expect that a person who meets the eligibility requirements </w:t>
      </w:r>
      <w:r w:rsidR="003E6384" w:rsidRPr="007039E8">
        <w:rPr>
          <w:rFonts w:ascii="Times New Roman" w:hAnsi="Times New Roman" w:cs="Times New Roman"/>
          <w:sz w:val="24"/>
          <w:szCs w:val="24"/>
        </w:rPr>
        <w:t xml:space="preserve">as set out </w:t>
      </w:r>
      <w:r w:rsidRPr="007039E8">
        <w:rPr>
          <w:rFonts w:ascii="Times New Roman" w:hAnsi="Times New Roman" w:cs="Times New Roman"/>
          <w:sz w:val="24"/>
          <w:szCs w:val="24"/>
        </w:rPr>
        <w:t xml:space="preserve">in the treaty text </w:t>
      </w:r>
      <w:r w:rsidRPr="007039E8">
        <w:rPr>
          <w:rFonts w:ascii="Times New Roman" w:hAnsi="Times New Roman" w:cs="Times New Roman"/>
          <w:i/>
          <w:iCs/>
          <w:sz w:val="24"/>
          <w:szCs w:val="24"/>
        </w:rPr>
        <w:t>will in fact be eligible</w:t>
      </w:r>
      <w:r w:rsidRPr="007039E8">
        <w:rPr>
          <w:rFonts w:ascii="Times New Roman" w:hAnsi="Times New Roman" w:cs="Times New Roman"/>
          <w:sz w:val="24"/>
          <w:szCs w:val="24"/>
        </w:rPr>
        <w:t xml:space="preserve"> as an importer. For Canada’s TRQs, these</w:t>
      </w:r>
      <w:r w:rsidR="00F063EA" w:rsidRPr="007039E8">
        <w:rPr>
          <w:rFonts w:ascii="Times New Roman" w:hAnsi="Times New Roman" w:cs="Times New Roman"/>
          <w:sz w:val="24"/>
          <w:szCs w:val="24"/>
        </w:rPr>
        <w:t xml:space="preserve"> eligibility requirements</w:t>
      </w:r>
      <w:r w:rsidRPr="007039E8">
        <w:rPr>
          <w:rFonts w:ascii="Times New Roman" w:hAnsi="Times New Roman" w:cs="Times New Roman"/>
          <w:sz w:val="24"/>
          <w:szCs w:val="24"/>
        </w:rPr>
        <w:t xml:space="preserve"> are specified in paragraph 3(c) of Canada’s TRQ Appendix. There is nothing in that paragraph that permits a further limiting of eligibility based on the type of entity. The avenue available to CPTPP </w:t>
      </w:r>
      <w:r w:rsidR="0023176F"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for </w:t>
      </w:r>
      <w:r w:rsidR="009E014E" w:rsidRPr="007039E8">
        <w:rPr>
          <w:rFonts w:ascii="Times New Roman" w:hAnsi="Times New Roman" w:cs="Times New Roman"/>
          <w:sz w:val="24"/>
          <w:szCs w:val="24"/>
        </w:rPr>
        <w:t>varying</w:t>
      </w:r>
      <w:r w:rsidRPr="007039E8">
        <w:rPr>
          <w:rFonts w:ascii="Times New Roman" w:hAnsi="Times New Roman" w:cs="Times New Roman"/>
          <w:sz w:val="24"/>
          <w:szCs w:val="24"/>
        </w:rPr>
        <w:t xml:space="preserve"> those eligibility</w:t>
      </w:r>
      <w:r w:rsidR="00AE5E7C" w:rsidRPr="007039E8">
        <w:rPr>
          <w:rFonts w:ascii="Times New Roman" w:hAnsi="Times New Roman" w:cs="Times New Roman"/>
          <w:sz w:val="24"/>
          <w:szCs w:val="24"/>
        </w:rPr>
        <w:t xml:space="preserve"> </w:t>
      </w:r>
      <w:r w:rsidRPr="007039E8">
        <w:rPr>
          <w:rFonts w:ascii="Times New Roman" w:hAnsi="Times New Roman" w:cs="Times New Roman"/>
          <w:sz w:val="24"/>
          <w:szCs w:val="24"/>
        </w:rPr>
        <w:t xml:space="preserve">requirements is to follow the procedure in Article 2.29(2)(b) and (c), an option Canada has not pursued. </w:t>
      </w:r>
    </w:p>
    <w:p w14:paraId="5FE8051A" w14:textId="57BB9F5B" w:rsidR="00A87CD6" w:rsidRPr="007039E8" w:rsidRDefault="00A87CD6" w:rsidP="00182765">
      <w:pPr>
        <w:pStyle w:val="ListParagraph"/>
        <w:numPr>
          <w:ilvl w:val="0"/>
          <w:numId w:val="2"/>
        </w:numPr>
        <w:spacing w:after="240"/>
        <w:contextualSpacing w:val="0"/>
        <w:jc w:val="both"/>
        <w:rPr>
          <w:rFonts w:ascii="Times New Roman" w:hAnsi="Times New Roman" w:cs="Times New Roman"/>
          <w:i/>
          <w:sz w:val="24"/>
          <w:szCs w:val="24"/>
        </w:rPr>
      </w:pPr>
      <w:r w:rsidRPr="007039E8">
        <w:rPr>
          <w:rFonts w:ascii="Times New Roman" w:hAnsi="Times New Roman" w:cs="Times New Roman"/>
          <w:sz w:val="24"/>
          <w:szCs w:val="24"/>
        </w:rPr>
        <w:t xml:space="preserve">Australia disagrees with Canada's implicit assertion that modification of eligibility requirements at any time prior to </w:t>
      </w:r>
      <w:r w:rsidRPr="007039E8">
        <w:rPr>
          <w:rFonts w:ascii="Times New Roman" w:hAnsi="Times New Roman" w:cs="Times New Roman"/>
          <w:i/>
          <w:iCs/>
          <w:sz w:val="24"/>
          <w:szCs w:val="24"/>
        </w:rPr>
        <w:t>actual importation</w:t>
      </w:r>
      <w:r w:rsidRPr="007039E8">
        <w:rPr>
          <w:rFonts w:ascii="Times New Roman" w:hAnsi="Times New Roman" w:cs="Times New Roman"/>
          <w:sz w:val="24"/>
          <w:szCs w:val="24"/>
        </w:rPr>
        <w:t xml:space="preserve"> is permitted under Article 2.29(2). As previously mentioned, Australia finds no support in</w:t>
      </w:r>
      <w:r w:rsidR="00F063EA" w:rsidRPr="007039E8">
        <w:rPr>
          <w:rFonts w:ascii="Times New Roman" w:hAnsi="Times New Roman" w:cs="Times New Roman"/>
          <w:sz w:val="24"/>
          <w:szCs w:val="24"/>
        </w:rPr>
        <w:t xml:space="preserve"> the</w:t>
      </w:r>
      <w:r w:rsidRPr="007039E8">
        <w:rPr>
          <w:rFonts w:ascii="Times New Roman" w:hAnsi="Times New Roman" w:cs="Times New Roman"/>
          <w:sz w:val="24"/>
          <w:szCs w:val="24"/>
        </w:rPr>
        <w:t xml:space="preserve"> ordinary meaning, context, </w:t>
      </w:r>
      <w:proofErr w:type="gramStart"/>
      <w:r w:rsidRPr="007039E8">
        <w:rPr>
          <w:rFonts w:ascii="Times New Roman" w:hAnsi="Times New Roman" w:cs="Times New Roman"/>
          <w:sz w:val="24"/>
          <w:szCs w:val="24"/>
        </w:rPr>
        <w:t>object</w:t>
      </w:r>
      <w:proofErr w:type="gramEnd"/>
      <w:r w:rsidRPr="007039E8">
        <w:rPr>
          <w:rFonts w:ascii="Times New Roman" w:hAnsi="Times New Roman" w:cs="Times New Roman"/>
          <w:sz w:val="24"/>
          <w:szCs w:val="24"/>
        </w:rPr>
        <w:t xml:space="preserve"> or purpose of the Agreement to distinguish </w:t>
      </w:r>
      <w:r w:rsidR="003C7D02" w:rsidRPr="007039E8">
        <w:rPr>
          <w:rFonts w:ascii="Times New Roman" w:hAnsi="Times New Roman" w:cs="Times New Roman"/>
          <w:sz w:val="24"/>
          <w:szCs w:val="24"/>
        </w:rPr>
        <w:t xml:space="preserve">between </w:t>
      </w:r>
      <w:r w:rsidRPr="007039E8">
        <w:rPr>
          <w:rFonts w:ascii="Times New Roman" w:hAnsi="Times New Roman" w:cs="Times New Roman"/>
          <w:sz w:val="24"/>
          <w:szCs w:val="24"/>
        </w:rPr>
        <w:t>the</w:t>
      </w:r>
      <w:r w:rsidR="003C7D02" w:rsidRPr="007039E8">
        <w:rPr>
          <w:rFonts w:ascii="Times New Roman" w:hAnsi="Times New Roman" w:cs="Times New Roman"/>
          <w:sz w:val="24"/>
          <w:szCs w:val="24"/>
        </w:rPr>
        <w:t xml:space="preserve"> stages of</w:t>
      </w:r>
      <w:r w:rsidRPr="007039E8">
        <w:rPr>
          <w:rFonts w:ascii="Times New Roman" w:hAnsi="Times New Roman" w:cs="Times New Roman"/>
          <w:i/>
          <w:iCs/>
          <w:sz w:val="24"/>
          <w:szCs w:val="24"/>
        </w:rPr>
        <w:t xml:space="preserve"> allocation </w:t>
      </w:r>
      <w:r w:rsidRPr="007039E8">
        <w:rPr>
          <w:rFonts w:ascii="Times New Roman" w:hAnsi="Times New Roman" w:cs="Times New Roman"/>
          <w:sz w:val="24"/>
          <w:szCs w:val="24"/>
        </w:rPr>
        <w:t xml:space="preserve">and </w:t>
      </w:r>
      <w:r w:rsidRPr="007039E8">
        <w:rPr>
          <w:rFonts w:ascii="Times New Roman" w:hAnsi="Times New Roman" w:cs="Times New Roman"/>
          <w:i/>
          <w:iCs/>
          <w:sz w:val="24"/>
          <w:szCs w:val="24"/>
        </w:rPr>
        <w:t xml:space="preserve">subsequent usage </w:t>
      </w:r>
      <w:r w:rsidRPr="007039E8">
        <w:rPr>
          <w:rFonts w:ascii="Times New Roman" w:hAnsi="Times New Roman" w:cs="Times New Roman"/>
          <w:sz w:val="24"/>
          <w:szCs w:val="24"/>
        </w:rPr>
        <w:t xml:space="preserve">of a TRQ. </w:t>
      </w:r>
    </w:p>
    <w:p w14:paraId="6318A4F6" w14:textId="6698EABD" w:rsidR="00A87CD6" w:rsidRPr="007039E8" w:rsidRDefault="00A87CD6" w:rsidP="00A87CD6">
      <w:pPr>
        <w:pStyle w:val="ListParagraph"/>
        <w:numPr>
          <w:ilvl w:val="0"/>
          <w:numId w:val="2"/>
        </w:numPr>
        <w:spacing w:after="240"/>
        <w:contextualSpacing w:val="0"/>
        <w:jc w:val="both"/>
        <w:rPr>
          <w:rFonts w:ascii="Times New Roman" w:hAnsi="Times New Roman" w:cs="Times New Roman"/>
          <w:i/>
          <w:sz w:val="24"/>
          <w:szCs w:val="24"/>
        </w:rPr>
      </w:pPr>
      <w:r w:rsidRPr="007039E8">
        <w:rPr>
          <w:rFonts w:ascii="Times New Roman" w:hAnsi="Times New Roman" w:cs="Times New Roman"/>
          <w:sz w:val="24"/>
          <w:szCs w:val="24"/>
        </w:rPr>
        <w:lastRenderedPageBreak/>
        <w:t xml:space="preserve">In Australia's view, permitting Canada to introduce additional eligibility requirements beyond what was agreed risks rendering certain negotiated </w:t>
      </w:r>
      <w:r w:rsidR="00182765" w:rsidRPr="007039E8">
        <w:rPr>
          <w:rFonts w:ascii="Times New Roman" w:hAnsi="Times New Roman" w:cs="Times New Roman"/>
          <w:sz w:val="24"/>
          <w:szCs w:val="24"/>
        </w:rPr>
        <w:t xml:space="preserve">outcomes </w:t>
      </w:r>
      <w:r w:rsidRPr="007039E8">
        <w:rPr>
          <w:rFonts w:ascii="Times New Roman" w:hAnsi="Times New Roman" w:cs="Times New Roman"/>
          <w:sz w:val="24"/>
          <w:szCs w:val="24"/>
        </w:rPr>
        <w:t xml:space="preserve">meaningless. It also sets a dangerous precedent for implementation of commitments by CPTPP </w:t>
      </w:r>
      <w:r w:rsidR="0023176F" w:rsidRPr="007039E8">
        <w:rPr>
          <w:rFonts w:ascii="Times New Roman" w:hAnsi="Times New Roman" w:cs="Times New Roman"/>
          <w:sz w:val="24"/>
          <w:szCs w:val="24"/>
        </w:rPr>
        <w:t>P</w:t>
      </w:r>
      <w:r w:rsidRPr="007039E8">
        <w:rPr>
          <w:rFonts w:ascii="Times New Roman" w:hAnsi="Times New Roman" w:cs="Times New Roman"/>
          <w:sz w:val="24"/>
          <w:szCs w:val="24"/>
        </w:rPr>
        <w:t>arties both present and future.</w:t>
      </w:r>
    </w:p>
    <w:p w14:paraId="437D6E7F" w14:textId="77777777" w:rsidR="00A87CD6" w:rsidRPr="007039E8" w:rsidRDefault="00A87CD6" w:rsidP="00A87CD6">
      <w:pPr>
        <w:pStyle w:val="BodyText"/>
        <w:keepNext/>
        <w:numPr>
          <w:ilvl w:val="0"/>
          <w:numId w:val="3"/>
        </w:numPr>
        <w:spacing w:before="4" w:after="240"/>
        <w:ind w:hanging="357"/>
        <w:rPr>
          <w:i/>
          <w:iCs/>
        </w:rPr>
      </w:pPr>
      <w:r w:rsidRPr="007039E8">
        <w:rPr>
          <w:i/>
          <w:iCs/>
        </w:rPr>
        <w:t xml:space="preserve">There is no right to protect domestic industry </w:t>
      </w:r>
    </w:p>
    <w:p w14:paraId="3E04E504" w14:textId="3FD0B076" w:rsidR="00A87CD6" w:rsidRPr="007039E8" w:rsidRDefault="00A87CD6" w:rsidP="003E6384">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Furthermore, suggestions that a CPTPP </w:t>
      </w:r>
      <w:r w:rsidR="0077291A" w:rsidRPr="007039E8">
        <w:rPr>
          <w:rFonts w:ascii="Times New Roman" w:hAnsi="Times New Roman" w:cs="Times New Roman"/>
          <w:sz w:val="24"/>
          <w:szCs w:val="24"/>
        </w:rPr>
        <w:t>P</w:t>
      </w:r>
      <w:r w:rsidRPr="007039E8">
        <w:rPr>
          <w:rFonts w:ascii="Times New Roman" w:hAnsi="Times New Roman" w:cs="Times New Roman"/>
          <w:sz w:val="24"/>
          <w:szCs w:val="24"/>
        </w:rPr>
        <w:t>arty has a recognized right to protect its domestic industry are without basis</w:t>
      </w:r>
      <w:r w:rsidR="009E014E" w:rsidRPr="007039E8">
        <w:rPr>
          <w:rFonts w:ascii="Times New Roman" w:hAnsi="Times New Roman" w:cs="Times New Roman"/>
          <w:sz w:val="24"/>
          <w:szCs w:val="24"/>
        </w:rPr>
        <w:t xml:space="preserve"> in the Agreement</w:t>
      </w:r>
      <w:r w:rsidRPr="007039E8">
        <w:rPr>
          <w:rFonts w:ascii="Times New Roman" w:hAnsi="Times New Roman" w:cs="Times New Roman"/>
          <w:sz w:val="24"/>
          <w:szCs w:val="24"/>
        </w:rPr>
        <w:t xml:space="preserve">. </w:t>
      </w:r>
      <w:r w:rsidR="003E6384" w:rsidRPr="007039E8">
        <w:rPr>
          <w:rFonts w:ascii="Times New Roman" w:hAnsi="Times New Roman" w:cs="Times New Roman"/>
          <w:sz w:val="24"/>
          <w:szCs w:val="24"/>
        </w:rPr>
        <w:t>CPTPP's</w:t>
      </w:r>
      <w:r w:rsidRPr="007039E8">
        <w:rPr>
          <w:rFonts w:ascii="Times New Roman" w:hAnsi="Times New Roman" w:cs="Times New Roman"/>
          <w:sz w:val="24"/>
          <w:szCs w:val="24"/>
        </w:rPr>
        <w:t xml:space="preserve"> Preamble balances the intention of a trade liberalising agreement with the </w:t>
      </w:r>
      <w:r w:rsidR="0023176F" w:rsidRPr="007039E8">
        <w:rPr>
          <w:rFonts w:ascii="Times New Roman" w:hAnsi="Times New Roman" w:cs="Times New Roman"/>
          <w:sz w:val="24"/>
          <w:szCs w:val="24"/>
        </w:rPr>
        <w:t>P</w:t>
      </w:r>
      <w:r w:rsidRPr="007039E8">
        <w:rPr>
          <w:rFonts w:ascii="Times New Roman" w:hAnsi="Times New Roman" w:cs="Times New Roman"/>
          <w:sz w:val="24"/>
          <w:szCs w:val="24"/>
        </w:rPr>
        <w:t xml:space="preserve">arties’ right to regulate for </w:t>
      </w:r>
      <w:r w:rsidRPr="007039E8">
        <w:rPr>
          <w:rFonts w:ascii="Times New Roman" w:hAnsi="Times New Roman" w:cs="Times New Roman"/>
          <w:i/>
          <w:iCs/>
          <w:sz w:val="24"/>
          <w:szCs w:val="24"/>
        </w:rPr>
        <w:t>legitimate</w:t>
      </w:r>
      <w:r w:rsidRPr="007039E8">
        <w:rPr>
          <w:rFonts w:ascii="Times New Roman" w:hAnsi="Times New Roman" w:cs="Times New Roman"/>
          <w:sz w:val="24"/>
          <w:szCs w:val="24"/>
        </w:rPr>
        <w:t xml:space="preserve"> public policy objectives such as health and the environment. There is no reference to protecting domestic industry. In any case, a right to regulate must be applied in a manner consistent with the obligations of the treaty. This in no way supports a right to protect domestic industry through protectionist TRQ allocation mechanisms that undermine market access commitments made by the Parties.</w:t>
      </w:r>
    </w:p>
    <w:p w14:paraId="5CD28CFD" w14:textId="77777777" w:rsidR="00A87CD6" w:rsidRPr="007039E8" w:rsidRDefault="00A87CD6" w:rsidP="00595EE9">
      <w:pPr>
        <w:pStyle w:val="Heading2"/>
      </w:pPr>
      <w:r w:rsidRPr="007039E8">
        <w:t>CONCLUSION</w:t>
      </w:r>
    </w:p>
    <w:p w14:paraId="1477AB24" w14:textId="631B1EA4" w:rsidR="00A87CD6" w:rsidRPr="007039E8" w:rsidRDefault="00A87CD6" w:rsidP="009F6CF4">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 xml:space="preserve">Finally, while not legally binding, </w:t>
      </w:r>
      <w:r w:rsidR="009F6CF4" w:rsidRPr="007039E8">
        <w:rPr>
          <w:rFonts w:ascii="Times New Roman" w:hAnsi="Times New Roman" w:cs="Times New Roman"/>
          <w:sz w:val="24"/>
          <w:szCs w:val="24"/>
        </w:rPr>
        <w:t>the Panel should consider the findings of the USMCA panel. T</w:t>
      </w:r>
      <w:r w:rsidRPr="007039E8">
        <w:rPr>
          <w:rFonts w:ascii="Times New Roman" w:hAnsi="Times New Roman" w:cs="Times New Roman"/>
          <w:sz w:val="24"/>
          <w:szCs w:val="24"/>
        </w:rPr>
        <w:t>his dispute cannot be divorced from near identical claims and obligations in another forum where Canada's approach to TRQ administration has already been found to be in breach of trade rules.</w:t>
      </w:r>
    </w:p>
    <w:p w14:paraId="4DED46C4" w14:textId="00172CF0" w:rsidR="00A87CD6" w:rsidRPr="007039E8" w:rsidRDefault="00A87CD6" w:rsidP="009F6CF4">
      <w:pPr>
        <w:pStyle w:val="ListParagraph"/>
        <w:numPr>
          <w:ilvl w:val="0"/>
          <w:numId w:val="2"/>
        </w:numPr>
        <w:spacing w:after="240"/>
        <w:contextualSpacing w:val="0"/>
        <w:jc w:val="both"/>
        <w:rPr>
          <w:rFonts w:ascii="Times New Roman" w:hAnsi="Times New Roman" w:cs="Times New Roman"/>
          <w:i/>
          <w:iCs/>
          <w:sz w:val="24"/>
          <w:szCs w:val="24"/>
        </w:rPr>
      </w:pPr>
      <w:r w:rsidRPr="007039E8">
        <w:rPr>
          <w:rFonts w:ascii="Times New Roman" w:hAnsi="Times New Roman" w:cs="Times New Roman"/>
          <w:sz w:val="24"/>
          <w:szCs w:val="24"/>
        </w:rPr>
        <w:t xml:space="preserve">In summary, Australia submits that the CPTPP TRQ rules are straightforward. </w:t>
      </w:r>
      <w:r w:rsidR="009F6CF4" w:rsidRPr="007039E8">
        <w:rPr>
          <w:rFonts w:ascii="Times New Roman" w:hAnsi="Times New Roman" w:cs="Times New Roman"/>
          <w:sz w:val="24"/>
          <w:szCs w:val="24"/>
        </w:rPr>
        <w:t xml:space="preserve">A plain reading of the text supports a compelling interpretation. </w:t>
      </w:r>
      <w:r w:rsidRPr="007039E8">
        <w:rPr>
          <w:rFonts w:ascii="Times New Roman" w:hAnsi="Times New Roman" w:cs="Times New Roman"/>
          <w:sz w:val="24"/>
          <w:szCs w:val="24"/>
        </w:rPr>
        <w:t>Market access commitments</w:t>
      </w:r>
      <w:r w:rsidR="00182765" w:rsidRPr="007039E8">
        <w:rPr>
          <w:rFonts w:ascii="Times New Roman" w:hAnsi="Times New Roman" w:cs="Times New Roman"/>
          <w:sz w:val="24"/>
          <w:szCs w:val="24"/>
        </w:rPr>
        <w:t>, including the TRQ provisions in the CPTPP,</w:t>
      </w:r>
      <w:r w:rsidRPr="007039E8">
        <w:rPr>
          <w:rFonts w:ascii="Times New Roman" w:hAnsi="Times New Roman" w:cs="Times New Roman"/>
          <w:sz w:val="24"/>
          <w:szCs w:val="24"/>
        </w:rPr>
        <w:t xml:space="preserve"> are designed to liberalise trade. Canada’s approach to TRQ administration does not honour those commitments. </w:t>
      </w:r>
    </w:p>
    <w:p w14:paraId="6E109BE8" w14:textId="224C80C1" w:rsidR="008E4050" w:rsidRPr="007039E8" w:rsidRDefault="00A87CD6" w:rsidP="009F6CF4">
      <w:pPr>
        <w:pStyle w:val="ListParagraph"/>
        <w:numPr>
          <w:ilvl w:val="0"/>
          <w:numId w:val="2"/>
        </w:numPr>
        <w:spacing w:after="240"/>
        <w:contextualSpacing w:val="0"/>
        <w:jc w:val="both"/>
        <w:rPr>
          <w:rFonts w:ascii="Times New Roman" w:hAnsi="Times New Roman" w:cs="Times New Roman"/>
          <w:sz w:val="24"/>
          <w:szCs w:val="24"/>
        </w:rPr>
      </w:pPr>
      <w:r w:rsidRPr="007039E8">
        <w:rPr>
          <w:rFonts w:ascii="Times New Roman" w:hAnsi="Times New Roman" w:cs="Times New Roman"/>
          <w:sz w:val="24"/>
          <w:szCs w:val="24"/>
        </w:rPr>
        <w:t>Australia thanks the Panel for the opportunity to present these views.</w:t>
      </w:r>
    </w:p>
    <w:sectPr w:rsidR="008E4050" w:rsidRPr="007039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9CBF" w14:textId="77777777" w:rsidR="00254741" w:rsidRDefault="00254741">
      <w:pPr>
        <w:spacing w:after="0" w:line="240" w:lineRule="auto"/>
      </w:pPr>
      <w:r>
        <w:separator/>
      </w:r>
    </w:p>
  </w:endnote>
  <w:endnote w:type="continuationSeparator" w:id="0">
    <w:p w14:paraId="58EFA914" w14:textId="77777777" w:rsidR="00254741" w:rsidRDefault="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DD78" w14:textId="77777777" w:rsidR="00254741" w:rsidRDefault="00254741">
      <w:pPr>
        <w:spacing w:after="0" w:line="240" w:lineRule="auto"/>
      </w:pPr>
      <w:r>
        <w:separator/>
      </w:r>
    </w:p>
  </w:footnote>
  <w:footnote w:type="continuationSeparator" w:id="0">
    <w:p w14:paraId="098E8DC9" w14:textId="77777777" w:rsidR="00254741" w:rsidRDefault="002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F92B" w14:textId="77777777" w:rsidR="005616FB" w:rsidRDefault="002B2F92" w:rsidP="005616FB">
    <w:pPr>
      <w:tabs>
        <w:tab w:val="left" w:pos="4598"/>
      </w:tabs>
      <w:spacing w:before="68"/>
      <w:ind w:right="189"/>
      <w:rPr>
        <w:i/>
        <w:sz w:val="20"/>
      </w:rPr>
    </w:pPr>
    <w:r>
      <w:rPr>
        <w:i/>
        <w:sz w:val="20"/>
      </w:rPr>
      <w:t>Canada</w:t>
    </w:r>
    <w:r>
      <w:rPr>
        <w:i/>
        <w:spacing w:val="-6"/>
        <w:sz w:val="20"/>
      </w:rPr>
      <w:t xml:space="preserve"> </w:t>
    </w:r>
    <w:r>
      <w:rPr>
        <w:i/>
        <w:sz w:val="20"/>
      </w:rPr>
      <w:t>–</w:t>
    </w:r>
    <w:r>
      <w:rPr>
        <w:i/>
        <w:spacing w:val="-2"/>
        <w:sz w:val="20"/>
      </w:rPr>
      <w:t xml:space="preserve"> </w:t>
    </w:r>
    <w:r>
      <w:rPr>
        <w:i/>
        <w:sz w:val="20"/>
      </w:rPr>
      <w:t>Dairy</w:t>
    </w:r>
    <w:r>
      <w:rPr>
        <w:i/>
        <w:spacing w:val="-4"/>
        <w:sz w:val="20"/>
      </w:rPr>
      <w:t xml:space="preserve"> </w:t>
    </w:r>
    <w:r>
      <w:rPr>
        <w:i/>
        <w:sz w:val="20"/>
      </w:rPr>
      <w:t>Tariff</w:t>
    </w:r>
    <w:r>
      <w:rPr>
        <w:i/>
        <w:spacing w:val="-4"/>
        <w:sz w:val="20"/>
      </w:rPr>
      <w:t xml:space="preserve"> </w:t>
    </w:r>
    <w:r>
      <w:rPr>
        <w:i/>
        <w:sz w:val="20"/>
      </w:rPr>
      <w:t>Rate</w:t>
    </w:r>
    <w:r>
      <w:rPr>
        <w:i/>
        <w:spacing w:val="-2"/>
        <w:sz w:val="20"/>
      </w:rPr>
      <w:t xml:space="preserve"> </w:t>
    </w:r>
    <w:r>
      <w:rPr>
        <w:i/>
        <w:sz w:val="20"/>
      </w:rPr>
      <w:t>Quota</w:t>
    </w:r>
    <w:r>
      <w:rPr>
        <w:i/>
        <w:spacing w:val="-2"/>
        <w:sz w:val="20"/>
      </w:rPr>
      <w:t xml:space="preserve"> Measures</w:t>
    </w:r>
    <w:r>
      <w:rPr>
        <w:i/>
        <w:sz w:val="20"/>
      </w:rPr>
      <w:tab/>
    </w:r>
    <w:r>
      <w:rPr>
        <w:i/>
        <w:sz w:val="20"/>
      </w:rPr>
      <w:tab/>
      <w:t xml:space="preserve">              Third</w:t>
    </w:r>
    <w:r>
      <w:rPr>
        <w:i/>
        <w:spacing w:val="-6"/>
        <w:sz w:val="20"/>
      </w:rPr>
      <w:t xml:space="preserve"> </w:t>
    </w:r>
    <w:r>
      <w:rPr>
        <w:i/>
        <w:sz w:val="20"/>
      </w:rPr>
      <w:t>Party</w:t>
    </w:r>
    <w:r>
      <w:rPr>
        <w:i/>
        <w:spacing w:val="-3"/>
        <w:sz w:val="20"/>
      </w:rPr>
      <w:t xml:space="preserve"> </w:t>
    </w:r>
    <w:r>
      <w:rPr>
        <w:i/>
        <w:sz w:val="20"/>
      </w:rPr>
      <w:t>Oral Statement</w:t>
    </w:r>
    <w:r>
      <w:rPr>
        <w:i/>
        <w:spacing w:val="-4"/>
        <w:sz w:val="20"/>
      </w:rPr>
      <w:t xml:space="preserve"> </w:t>
    </w:r>
    <w:r>
      <w:rPr>
        <w:i/>
        <w:sz w:val="20"/>
      </w:rPr>
      <w:t>of</w:t>
    </w:r>
    <w:r>
      <w:rPr>
        <w:i/>
        <w:spacing w:val="-4"/>
        <w:sz w:val="20"/>
      </w:rPr>
      <w:t xml:space="preserve"> </w:t>
    </w:r>
    <w:r>
      <w:rPr>
        <w:i/>
        <w:spacing w:val="-2"/>
        <w:sz w:val="20"/>
      </w:rPr>
      <w:t>Australia</w:t>
    </w:r>
  </w:p>
  <w:p w14:paraId="3EC3DA89" w14:textId="1BB54524" w:rsidR="005616FB" w:rsidRDefault="002B2F92" w:rsidP="005616FB">
    <w:pPr>
      <w:spacing w:before="1"/>
      <w:ind w:right="189"/>
      <w:jc w:val="right"/>
      <w:rPr>
        <w:i/>
        <w:sz w:val="20"/>
      </w:rPr>
    </w:pPr>
    <w:r>
      <w:rPr>
        <w:i/>
        <w:sz w:val="20"/>
      </w:rPr>
      <w:t>14 June</w:t>
    </w:r>
    <w:r>
      <w:rPr>
        <w:i/>
        <w:spacing w:val="-1"/>
        <w:sz w:val="20"/>
      </w:rPr>
      <w:t xml:space="preserve"> </w:t>
    </w:r>
    <w:r>
      <w:rPr>
        <w:i/>
        <w:spacing w:val="-4"/>
        <w:sz w:val="20"/>
      </w:rPr>
      <w:t>2023</w:t>
    </w:r>
  </w:p>
  <w:p w14:paraId="7AA39388" w14:textId="77777777" w:rsidR="005616FB" w:rsidRPr="005616FB" w:rsidRDefault="00621E06" w:rsidP="0056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EAB"/>
    <w:multiLevelType w:val="hybridMultilevel"/>
    <w:tmpl w:val="C0C833D4"/>
    <w:lvl w:ilvl="0" w:tplc="A3D011E4">
      <w:start w:val="1"/>
      <w:numFmt w:val="decimal"/>
      <w:lvlText w:val="%1."/>
      <w:lvlJc w:val="left"/>
      <w:pPr>
        <w:ind w:left="360" w:hanging="360"/>
      </w:pPr>
      <w:rPr>
        <w:rFonts w:ascii="Times New Roman" w:hAnsi="Times New Roman" w:cs="Times New Roman"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B406A50"/>
    <w:multiLevelType w:val="hybridMultilevel"/>
    <w:tmpl w:val="0D8AE5FE"/>
    <w:lvl w:ilvl="0" w:tplc="9C9A5562">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6B8A59C0"/>
    <w:multiLevelType w:val="hybridMultilevel"/>
    <w:tmpl w:val="8B165D7C"/>
    <w:lvl w:ilvl="0" w:tplc="BD5E63B6">
      <w:start w:val="1"/>
      <w:numFmt w:val="upperRoman"/>
      <w:pStyle w:val="Heading2"/>
      <w:lvlText w:val="%1."/>
      <w:lvlJc w:val="left"/>
      <w:pPr>
        <w:ind w:left="1397" w:hanging="720"/>
      </w:pPr>
      <w:rPr>
        <w:rFonts w:ascii="Times New Roman" w:eastAsia="Times New Roman" w:hAnsi="Times New Roman" w:cs="Times New Roman" w:hint="default"/>
        <w:b/>
        <w:bCs/>
        <w:i w:val="0"/>
        <w:iCs w:val="0"/>
        <w:w w:val="100"/>
        <w:sz w:val="24"/>
        <w:szCs w:val="24"/>
        <w:lang w:val="en-US" w:eastAsia="en-US" w:bidi="ar-SA"/>
      </w:rPr>
    </w:lvl>
    <w:lvl w:ilvl="1" w:tplc="301C13CA">
      <w:start w:val="1"/>
      <w:numFmt w:val="upperLetter"/>
      <w:lvlText w:val="%2."/>
      <w:lvlJc w:val="left"/>
      <w:pPr>
        <w:ind w:left="1037" w:hanging="360"/>
      </w:pPr>
      <w:rPr>
        <w:rFonts w:ascii="Times New Roman" w:eastAsia="Times New Roman" w:hAnsi="Times New Roman" w:cs="Times New Roman" w:hint="default"/>
        <w:b/>
        <w:bCs/>
        <w:i w:val="0"/>
        <w:iCs w:val="0"/>
        <w:w w:val="100"/>
        <w:sz w:val="24"/>
        <w:szCs w:val="24"/>
        <w:lang w:val="en-US" w:eastAsia="en-US" w:bidi="ar-SA"/>
      </w:rPr>
    </w:lvl>
    <w:lvl w:ilvl="2" w:tplc="97589A8C">
      <w:numFmt w:val="bullet"/>
      <w:lvlText w:val="•"/>
      <w:lvlJc w:val="left"/>
      <w:pPr>
        <w:ind w:left="2258" w:hanging="360"/>
      </w:pPr>
      <w:rPr>
        <w:rFonts w:hint="default"/>
        <w:lang w:val="en-US" w:eastAsia="en-US" w:bidi="ar-SA"/>
      </w:rPr>
    </w:lvl>
    <w:lvl w:ilvl="3" w:tplc="70E0D084">
      <w:numFmt w:val="bullet"/>
      <w:lvlText w:val="•"/>
      <w:lvlJc w:val="left"/>
      <w:pPr>
        <w:ind w:left="3116" w:hanging="360"/>
      </w:pPr>
      <w:rPr>
        <w:rFonts w:hint="default"/>
        <w:lang w:val="en-US" w:eastAsia="en-US" w:bidi="ar-SA"/>
      </w:rPr>
    </w:lvl>
    <w:lvl w:ilvl="4" w:tplc="01C8C2AC">
      <w:numFmt w:val="bullet"/>
      <w:lvlText w:val="•"/>
      <w:lvlJc w:val="left"/>
      <w:pPr>
        <w:ind w:left="3975" w:hanging="360"/>
      </w:pPr>
      <w:rPr>
        <w:rFonts w:hint="default"/>
        <w:lang w:val="en-US" w:eastAsia="en-US" w:bidi="ar-SA"/>
      </w:rPr>
    </w:lvl>
    <w:lvl w:ilvl="5" w:tplc="D3527DA0">
      <w:numFmt w:val="bullet"/>
      <w:lvlText w:val="•"/>
      <w:lvlJc w:val="left"/>
      <w:pPr>
        <w:ind w:left="4833" w:hanging="360"/>
      </w:pPr>
      <w:rPr>
        <w:rFonts w:hint="default"/>
        <w:lang w:val="en-US" w:eastAsia="en-US" w:bidi="ar-SA"/>
      </w:rPr>
    </w:lvl>
    <w:lvl w:ilvl="6" w:tplc="DDA811AA">
      <w:numFmt w:val="bullet"/>
      <w:lvlText w:val="•"/>
      <w:lvlJc w:val="left"/>
      <w:pPr>
        <w:ind w:left="5692" w:hanging="360"/>
      </w:pPr>
      <w:rPr>
        <w:rFonts w:hint="default"/>
        <w:lang w:val="en-US" w:eastAsia="en-US" w:bidi="ar-SA"/>
      </w:rPr>
    </w:lvl>
    <w:lvl w:ilvl="7" w:tplc="ED08DF26">
      <w:numFmt w:val="bullet"/>
      <w:lvlText w:val="•"/>
      <w:lvlJc w:val="left"/>
      <w:pPr>
        <w:ind w:left="6550" w:hanging="360"/>
      </w:pPr>
      <w:rPr>
        <w:rFonts w:hint="default"/>
        <w:lang w:val="en-US" w:eastAsia="en-US" w:bidi="ar-SA"/>
      </w:rPr>
    </w:lvl>
    <w:lvl w:ilvl="8" w:tplc="47862FC6">
      <w:numFmt w:val="bullet"/>
      <w:lvlText w:val="•"/>
      <w:lvlJc w:val="left"/>
      <w:pPr>
        <w:ind w:left="7409" w:hanging="360"/>
      </w:pPr>
      <w:rPr>
        <w:rFonts w:hint="default"/>
        <w:lang w:val="en-US" w:eastAsia="en-US" w:bidi="ar-SA"/>
      </w:rPr>
    </w:lvl>
  </w:abstractNum>
  <w:abstractNum w:abstractNumId="3" w15:restartNumberingAfterBreak="0">
    <w:nsid w:val="79643444"/>
    <w:multiLevelType w:val="hybridMultilevel"/>
    <w:tmpl w:val="8D8810AC"/>
    <w:lvl w:ilvl="0" w:tplc="998063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3132794">
    <w:abstractNumId w:val="2"/>
  </w:num>
  <w:num w:numId="2" w16cid:durableId="1500192870">
    <w:abstractNumId w:val="0"/>
  </w:num>
  <w:num w:numId="3" w16cid:durableId="480195039">
    <w:abstractNumId w:val="1"/>
  </w:num>
  <w:num w:numId="4" w16cid:durableId="1927030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6"/>
    <w:rsid w:val="00032BD6"/>
    <w:rsid w:val="0005289F"/>
    <w:rsid w:val="00065E39"/>
    <w:rsid w:val="000722F4"/>
    <w:rsid w:val="00075662"/>
    <w:rsid w:val="00081EB9"/>
    <w:rsid w:val="00096607"/>
    <w:rsid w:val="000C6E5F"/>
    <w:rsid w:val="000F14CE"/>
    <w:rsid w:val="001249DB"/>
    <w:rsid w:val="001469AD"/>
    <w:rsid w:val="00182656"/>
    <w:rsid w:val="00182765"/>
    <w:rsid w:val="001C7D9C"/>
    <w:rsid w:val="001E179B"/>
    <w:rsid w:val="002055DF"/>
    <w:rsid w:val="00224415"/>
    <w:rsid w:val="0023176F"/>
    <w:rsid w:val="00254741"/>
    <w:rsid w:val="002675E9"/>
    <w:rsid w:val="002901BC"/>
    <w:rsid w:val="002B1CE9"/>
    <w:rsid w:val="002B2F92"/>
    <w:rsid w:val="002E6210"/>
    <w:rsid w:val="00305515"/>
    <w:rsid w:val="003855D1"/>
    <w:rsid w:val="003C7D02"/>
    <w:rsid w:val="003E6384"/>
    <w:rsid w:val="004075BB"/>
    <w:rsid w:val="004333DA"/>
    <w:rsid w:val="00435F67"/>
    <w:rsid w:val="00437CD2"/>
    <w:rsid w:val="0044362C"/>
    <w:rsid w:val="00457EF3"/>
    <w:rsid w:val="00482D38"/>
    <w:rsid w:val="004A304B"/>
    <w:rsid w:val="004B0726"/>
    <w:rsid w:val="004B6B3C"/>
    <w:rsid w:val="004C385C"/>
    <w:rsid w:val="00510F39"/>
    <w:rsid w:val="00524F43"/>
    <w:rsid w:val="00537CF2"/>
    <w:rsid w:val="00583AB8"/>
    <w:rsid w:val="00595EE9"/>
    <w:rsid w:val="005A4C41"/>
    <w:rsid w:val="005D74C9"/>
    <w:rsid w:val="00621E06"/>
    <w:rsid w:val="00634CFD"/>
    <w:rsid w:val="0065103B"/>
    <w:rsid w:val="006879F1"/>
    <w:rsid w:val="007039E8"/>
    <w:rsid w:val="00750273"/>
    <w:rsid w:val="0077291A"/>
    <w:rsid w:val="00775695"/>
    <w:rsid w:val="00786AE2"/>
    <w:rsid w:val="007C0A38"/>
    <w:rsid w:val="0080024E"/>
    <w:rsid w:val="00853265"/>
    <w:rsid w:val="00865927"/>
    <w:rsid w:val="008C13B8"/>
    <w:rsid w:val="008D115C"/>
    <w:rsid w:val="008E1C49"/>
    <w:rsid w:val="008E4050"/>
    <w:rsid w:val="009055BC"/>
    <w:rsid w:val="00921A2D"/>
    <w:rsid w:val="009563D3"/>
    <w:rsid w:val="0095779B"/>
    <w:rsid w:val="0097080A"/>
    <w:rsid w:val="009C1785"/>
    <w:rsid w:val="009D4F9E"/>
    <w:rsid w:val="009E014E"/>
    <w:rsid w:val="009F6CF4"/>
    <w:rsid w:val="00A07952"/>
    <w:rsid w:val="00A76128"/>
    <w:rsid w:val="00A82783"/>
    <w:rsid w:val="00A86D53"/>
    <w:rsid w:val="00A87CD6"/>
    <w:rsid w:val="00AB73DA"/>
    <w:rsid w:val="00AE5E7C"/>
    <w:rsid w:val="00B33FE5"/>
    <w:rsid w:val="00B41BED"/>
    <w:rsid w:val="00B84C2C"/>
    <w:rsid w:val="00B86316"/>
    <w:rsid w:val="00B94FAD"/>
    <w:rsid w:val="00BC1B86"/>
    <w:rsid w:val="00C31EC8"/>
    <w:rsid w:val="00C57867"/>
    <w:rsid w:val="00C808FE"/>
    <w:rsid w:val="00C83612"/>
    <w:rsid w:val="00CD0DC3"/>
    <w:rsid w:val="00CD2A3A"/>
    <w:rsid w:val="00CE7977"/>
    <w:rsid w:val="00D70C7D"/>
    <w:rsid w:val="00D900D7"/>
    <w:rsid w:val="00DD4E7D"/>
    <w:rsid w:val="00E16460"/>
    <w:rsid w:val="00E209DD"/>
    <w:rsid w:val="00E6619F"/>
    <w:rsid w:val="00E67DCA"/>
    <w:rsid w:val="00E723F9"/>
    <w:rsid w:val="00EE76D0"/>
    <w:rsid w:val="00EF721C"/>
    <w:rsid w:val="00F0108E"/>
    <w:rsid w:val="00F063EA"/>
    <w:rsid w:val="00F42D8F"/>
    <w:rsid w:val="00F61A95"/>
    <w:rsid w:val="00F7749D"/>
    <w:rsid w:val="00F8432B"/>
    <w:rsid w:val="00FA7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5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D6"/>
  </w:style>
  <w:style w:type="paragraph" w:styleId="Heading1">
    <w:name w:val="heading 1"/>
    <w:basedOn w:val="Normal"/>
    <w:link w:val="Heading1Char"/>
    <w:uiPriority w:val="9"/>
    <w:qFormat/>
    <w:rsid w:val="00595EE9"/>
    <w:pPr>
      <w:spacing w:after="240"/>
      <w:ind w:left="919" w:right="378"/>
      <w:jc w:val="center"/>
      <w:outlineLvl w:val="0"/>
    </w:pPr>
    <w:rPr>
      <w:rFonts w:ascii="Times New Roman" w:hAnsi="Times New Roman" w:cs="Times New Roman"/>
      <w:b/>
      <w:i/>
      <w:sz w:val="28"/>
    </w:rPr>
  </w:style>
  <w:style w:type="paragraph" w:styleId="Heading2">
    <w:name w:val="heading 2"/>
    <w:basedOn w:val="Heading1"/>
    <w:next w:val="Normal"/>
    <w:link w:val="Heading2Char"/>
    <w:uiPriority w:val="9"/>
    <w:unhideWhenUsed/>
    <w:qFormat/>
    <w:rsid w:val="00595EE9"/>
    <w:pPr>
      <w:numPr>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E9"/>
    <w:rPr>
      <w:rFonts w:ascii="Times New Roman" w:hAnsi="Times New Roman" w:cs="Times New Roman"/>
      <w:b/>
      <w:i/>
      <w:sz w:val="28"/>
    </w:rPr>
  </w:style>
  <w:style w:type="paragraph" w:styleId="ListParagraph">
    <w:name w:val="List Paragraph"/>
    <w:basedOn w:val="Normal"/>
    <w:uiPriority w:val="34"/>
    <w:qFormat/>
    <w:rsid w:val="00A87CD6"/>
    <w:pPr>
      <w:ind w:left="720"/>
      <w:contextualSpacing/>
    </w:pPr>
  </w:style>
  <w:style w:type="paragraph" w:styleId="Title">
    <w:name w:val="Title"/>
    <w:basedOn w:val="Normal"/>
    <w:link w:val="TitleChar"/>
    <w:uiPriority w:val="10"/>
    <w:qFormat/>
    <w:rsid w:val="00A87CD6"/>
    <w:pPr>
      <w:widowControl w:val="0"/>
      <w:autoSpaceDE w:val="0"/>
      <w:autoSpaceDN w:val="0"/>
      <w:spacing w:after="0" w:line="240" w:lineRule="auto"/>
      <w:ind w:left="2137" w:right="1596"/>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0"/>
    <w:rsid w:val="00A87CD6"/>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A87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D6"/>
  </w:style>
  <w:style w:type="paragraph" w:styleId="BodyText">
    <w:name w:val="Body Text"/>
    <w:basedOn w:val="Normal"/>
    <w:link w:val="BodyTextChar"/>
    <w:uiPriority w:val="1"/>
    <w:qFormat/>
    <w:rsid w:val="00A87CD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7CD6"/>
    <w:rPr>
      <w:rFonts w:ascii="Times New Roman" w:eastAsia="Times New Roman" w:hAnsi="Times New Roman" w:cs="Times New Roman"/>
      <w:sz w:val="24"/>
      <w:szCs w:val="24"/>
      <w:lang w:val="en-US"/>
    </w:rPr>
  </w:style>
  <w:style w:type="paragraph" w:styleId="Revision">
    <w:name w:val="Revision"/>
    <w:hidden/>
    <w:uiPriority w:val="99"/>
    <w:semiHidden/>
    <w:rsid w:val="00B33FE5"/>
    <w:pPr>
      <w:spacing w:after="0" w:line="240" w:lineRule="auto"/>
    </w:pPr>
  </w:style>
  <w:style w:type="paragraph" w:styleId="Footer">
    <w:name w:val="footer"/>
    <w:basedOn w:val="Normal"/>
    <w:link w:val="FooterChar"/>
    <w:uiPriority w:val="99"/>
    <w:unhideWhenUsed/>
    <w:rsid w:val="00634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CFD"/>
  </w:style>
  <w:style w:type="character" w:styleId="CommentReference">
    <w:name w:val="annotation reference"/>
    <w:basedOn w:val="DefaultParagraphFont"/>
    <w:uiPriority w:val="99"/>
    <w:semiHidden/>
    <w:unhideWhenUsed/>
    <w:rsid w:val="0080024E"/>
    <w:rPr>
      <w:sz w:val="16"/>
      <w:szCs w:val="16"/>
    </w:rPr>
  </w:style>
  <w:style w:type="paragraph" w:styleId="CommentText">
    <w:name w:val="annotation text"/>
    <w:basedOn w:val="Normal"/>
    <w:link w:val="CommentTextChar"/>
    <w:uiPriority w:val="99"/>
    <w:semiHidden/>
    <w:unhideWhenUsed/>
    <w:rsid w:val="0080024E"/>
    <w:pPr>
      <w:spacing w:line="240" w:lineRule="auto"/>
    </w:pPr>
    <w:rPr>
      <w:sz w:val="20"/>
      <w:szCs w:val="20"/>
    </w:rPr>
  </w:style>
  <w:style w:type="character" w:customStyle="1" w:styleId="CommentTextChar">
    <w:name w:val="Comment Text Char"/>
    <w:basedOn w:val="DefaultParagraphFont"/>
    <w:link w:val="CommentText"/>
    <w:uiPriority w:val="99"/>
    <w:semiHidden/>
    <w:rsid w:val="0080024E"/>
    <w:rPr>
      <w:sz w:val="20"/>
      <w:szCs w:val="20"/>
    </w:rPr>
  </w:style>
  <w:style w:type="paragraph" w:styleId="CommentSubject">
    <w:name w:val="annotation subject"/>
    <w:basedOn w:val="CommentText"/>
    <w:next w:val="CommentText"/>
    <w:link w:val="CommentSubjectChar"/>
    <w:uiPriority w:val="99"/>
    <w:semiHidden/>
    <w:unhideWhenUsed/>
    <w:rsid w:val="0080024E"/>
    <w:rPr>
      <w:b/>
      <w:bCs/>
    </w:rPr>
  </w:style>
  <w:style w:type="character" w:customStyle="1" w:styleId="CommentSubjectChar">
    <w:name w:val="Comment Subject Char"/>
    <w:basedOn w:val="CommentTextChar"/>
    <w:link w:val="CommentSubject"/>
    <w:uiPriority w:val="99"/>
    <w:semiHidden/>
    <w:rsid w:val="0080024E"/>
    <w:rPr>
      <w:b/>
      <w:bCs/>
      <w:sz w:val="20"/>
      <w:szCs w:val="20"/>
    </w:rPr>
  </w:style>
  <w:style w:type="character" w:customStyle="1" w:styleId="Heading2Char">
    <w:name w:val="Heading 2 Char"/>
    <w:basedOn w:val="DefaultParagraphFont"/>
    <w:link w:val="Heading2"/>
    <w:uiPriority w:val="9"/>
    <w:rsid w:val="00595EE9"/>
    <w:rPr>
      <w:rFonts w:ascii="Times New Roman" w:hAnsi="Times New Roman" w:cs="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0A93-42BE-4759-9262-F7179B84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6666</Characters>
  <Application>Microsoft Office Word</Application>
  <DocSecurity>0</DocSecurity>
  <Lines>122</Lines>
  <Paragraphs>30</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2023-06-21T06:07:00Z</dcterms:created>
  <dcterms:modified xsi:type="dcterms:W3CDTF">2023-06-21T06:07:00Z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OFFICIAL:Sensitive</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D9F6E5C82DFAF7AB6E3D596D48DD43C72EDFDAB4</vt:lpwstr>
  </property>
  <property fmtid="{D5CDD505-2E9C-101B-9397-08002B2CF9AE}" pid="9" name="PM_Originating_FileId">
    <vt:lpwstr>2EA3F78BAE624074A30548015749E5A8</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2023-06-21T06:07:29Z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5D392A096F09A4DD63100CDDF1E74175</vt:lpwstr>
  </property>
  <property fmtid="{D5CDD505-2E9C-101B-9397-08002B2CF9AE}" pid="21" name="PM_Hash_Salt">
    <vt:lpwstr>3E5E63BDC5DDAD5125AD75381C43B53D</vt:lpwstr>
  </property>
  <property fmtid="{D5CDD505-2E9C-101B-9397-08002B2CF9AE}" pid="22" name="PM_Hash_SHA1">
    <vt:lpwstr>69A84A6771E631F4C024173C5C9FAC897295116B</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Uuid">
    <vt:lpwstr>EE98687A-19B3-51E0-A29A-CB59B2B324BA</vt:lpwstr>
  </property>
  <property fmtid="{D5CDD505-2E9C-101B-9397-08002B2CF9AE}" pid="29" name="PMUuidVer">
    <vt:lpwstr>2022.1</vt:lpwstr>
  </property>
</Properties>
</file>