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596B7" w14:textId="77777777" w:rsidR="0079782B" w:rsidRPr="00A85AD7" w:rsidRDefault="005E0927" w:rsidP="00B73B2E">
      <w:pPr>
        <w:pStyle w:val="Heading1"/>
        <w:spacing w:before="0" w:after="200" w:line="276" w:lineRule="auto"/>
        <w:jc w:val="both"/>
        <w:rPr>
          <w:rFonts w:asciiTheme="minorHAnsi" w:hAnsiTheme="minorHAnsi" w:cstheme="minorHAnsi"/>
          <w:b/>
          <w:caps/>
          <w:sz w:val="28"/>
          <w:szCs w:val="28"/>
          <w:lang w:val="en-AU"/>
        </w:rPr>
      </w:pPr>
      <w:r w:rsidRPr="00A85AD7">
        <w:rPr>
          <w:rFonts w:asciiTheme="minorHAnsi" w:hAnsiTheme="minorHAnsi" w:cstheme="minorHAnsi"/>
          <w:b/>
          <w:caps/>
          <w:sz w:val="28"/>
          <w:szCs w:val="28"/>
          <w:lang w:val="en-AU"/>
        </w:rPr>
        <w:t xml:space="preserve">chapter summary: </w:t>
      </w:r>
      <w:r w:rsidR="0052077E" w:rsidRPr="00A85AD7">
        <w:rPr>
          <w:rFonts w:asciiTheme="minorHAnsi" w:hAnsiTheme="minorHAnsi" w:cstheme="minorHAnsi"/>
          <w:b/>
          <w:caps/>
          <w:sz w:val="28"/>
          <w:szCs w:val="28"/>
          <w:lang w:val="en-AU"/>
        </w:rPr>
        <w:t xml:space="preserve">cross-border trade in services </w:t>
      </w:r>
    </w:p>
    <w:p w14:paraId="5BC3C2D2" w14:textId="77777777" w:rsidR="0052077E" w:rsidRPr="00A85AD7" w:rsidRDefault="0052077E"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 xml:space="preserve">The Cross-Border Trade in Services Chapter establishes rules for the supply of services between TPP </w:t>
      </w:r>
      <w:r w:rsidR="000A6142" w:rsidRPr="00A85AD7">
        <w:rPr>
          <w:rFonts w:asciiTheme="minorHAnsi" w:hAnsiTheme="minorHAnsi" w:cstheme="minorHAnsi"/>
          <w:sz w:val="22"/>
        </w:rPr>
        <w:t>Parties</w:t>
      </w:r>
      <w:r w:rsidRPr="00A85AD7">
        <w:rPr>
          <w:rFonts w:asciiTheme="minorHAnsi" w:hAnsiTheme="minorHAnsi" w:cstheme="minorHAnsi"/>
          <w:sz w:val="22"/>
        </w:rPr>
        <w:t xml:space="preserve">, including obligations which require TPP </w:t>
      </w:r>
      <w:r w:rsidR="000A6142" w:rsidRPr="00A85AD7">
        <w:rPr>
          <w:rFonts w:asciiTheme="minorHAnsi" w:hAnsiTheme="minorHAnsi" w:cstheme="minorHAnsi"/>
          <w:sz w:val="22"/>
        </w:rPr>
        <w:t xml:space="preserve">Parties </w:t>
      </w:r>
      <w:r w:rsidRPr="00A85AD7">
        <w:rPr>
          <w:rFonts w:asciiTheme="minorHAnsi" w:hAnsiTheme="minorHAnsi" w:cstheme="minorHAnsi"/>
          <w:sz w:val="22"/>
        </w:rPr>
        <w:t xml:space="preserve">to treat local and foreign service providers equally.  </w:t>
      </w:r>
    </w:p>
    <w:p w14:paraId="0015D20D" w14:textId="77777777" w:rsidR="0052077E" w:rsidRPr="00A85AD7" w:rsidRDefault="0052077E" w:rsidP="00B73B2E">
      <w:pPr>
        <w:spacing w:after="200" w:line="276" w:lineRule="auto"/>
        <w:jc w:val="both"/>
        <w:rPr>
          <w:rFonts w:asciiTheme="minorHAnsi" w:hAnsiTheme="minorHAnsi" w:cstheme="minorHAnsi"/>
          <w:sz w:val="22"/>
          <w:highlight w:val="yellow"/>
        </w:rPr>
      </w:pPr>
      <w:r w:rsidRPr="00A85AD7">
        <w:rPr>
          <w:rFonts w:asciiTheme="minorHAnsi" w:hAnsiTheme="minorHAnsi" w:cstheme="minorHAnsi"/>
          <w:sz w:val="22"/>
        </w:rPr>
        <w:t xml:space="preserve">At the same time, TPP </w:t>
      </w:r>
      <w:r w:rsidR="000A6142" w:rsidRPr="00A85AD7">
        <w:rPr>
          <w:rFonts w:asciiTheme="minorHAnsi" w:hAnsiTheme="minorHAnsi" w:cstheme="minorHAnsi"/>
          <w:sz w:val="22"/>
        </w:rPr>
        <w:t xml:space="preserve">Parties </w:t>
      </w:r>
      <w:r w:rsidR="00866C2E" w:rsidRPr="00A85AD7">
        <w:rPr>
          <w:rFonts w:asciiTheme="minorHAnsi" w:hAnsiTheme="minorHAnsi" w:cstheme="minorHAnsi"/>
          <w:sz w:val="22"/>
        </w:rPr>
        <w:t>have</w:t>
      </w:r>
      <w:r w:rsidRPr="00A85AD7">
        <w:rPr>
          <w:rFonts w:asciiTheme="minorHAnsi" w:hAnsiTheme="minorHAnsi" w:cstheme="minorHAnsi"/>
          <w:sz w:val="22"/>
        </w:rPr>
        <w:t xml:space="preserve"> identified service sectors where existing government policies may have the effect of advantaging local suppliers over foreign suppliers</w:t>
      </w:r>
      <w:r w:rsidR="000A6142" w:rsidRPr="00A85AD7">
        <w:rPr>
          <w:rFonts w:asciiTheme="minorHAnsi" w:hAnsiTheme="minorHAnsi" w:cstheme="minorHAnsi"/>
          <w:sz w:val="22"/>
        </w:rPr>
        <w:t>,</w:t>
      </w:r>
      <w:r w:rsidRPr="00A85AD7">
        <w:rPr>
          <w:rFonts w:asciiTheme="minorHAnsi" w:hAnsiTheme="minorHAnsi" w:cstheme="minorHAnsi"/>
          <w:sz w:val="22"/>
        </w:rPr>
        <w:t xml:space="preserve"> or where the government would like to retain flexibility to implement government policies, such as in relation to social services like health and </w:t>
      </w:r>
      <w:r w:rsidR="00B36E5B" w:rsidRPr="00A85AD7">
        <w:rPr>
          <w:rFonts w:asciiTheme="minorHAnsi" w:hAnsiTheme="minorHAnsi" w:cstheme="minorHAnsi"/>
          <w:sz w:val="22"/>
        </w:rPr>
        <w:t xml:space="preserve">public </w:t>
      </w:r>
      <w:r w:rsidR="007E3EEA" w:rsidRPr="00A85AD7">
        <w:rPr>
          <w:rFonts w:asciiTheme="minorHAnsi" w:hAnsiTheme="minorHAnsi" w:cstheme="minorHAnsi"/>
          <w:sz w:val="22"/>
        </w:rPr>
        <w:t>education</w:t>
      </w:r>
      <w:r w:rsidRPr="00A85AD7">
        <w:rPr>
          <w:rFonts w:asciiTheme="minorHAnsi" w:hAnsiTheme="minorHAnsi" w:cstheme="minorHAnsi"/>
          <w:sz w:val="22"/>
        </w:rPr>
        <w:t xml:space="preserve">.  Any regulatory procedures are </w:t>
      </w:r>
      <w:r w:rsidR="000A6142" w:rsidRPr="00A85AD7">
        <w:rPr>
          <w:rFonts w:asciiTheme="minorHAnsi" w:hAnsiTheme="minorHAnsi" w:cstheme="minorHAnsi"/>
          <w:sz w:val="22"/>
        </w:rPr>
        <w:t xml:space="preserve">required </w:t>
      </w:r>
      <w:r w:rsidRPr="00A85AD7">
        <w:rPr>
          <w:rFonts w:asciiTheme="minorHAnsi" w:hAnsiTheme="minorHAnsi" w:cstheme="minorHAnsi"/>
          <w:sz w:val="22"/>
        </w:rPr>
        <w:t xml:space="preserve">to be fair and transparent and give businesses a clear understanding of the operating conditions for the provision of services in that country.  </w:t>
      </w:r>
    </w:p>
    <w:p w14:paraId="6027F571" w14:textId="77777777" w:rsidR="0052077E" w:rsidRPr="00A85AD7" w:rsidRDefault="0052077E"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 xml:space="preserve">The Chapter also provides mechanisms for TPP </w:t>
      </w:r>
      <w:r w:rsidR="000A6142" w:rsidRPr="00A85AD7">
        <w:rPr>
          <w:rFonts w:asciiTheme="minorHAnsi" w:hAnsiTheme="minorHAnsi" w:cstheme="minorHAnsi"/>
          <w:sz w:val="22"/>
        </w:rPr>
        <w:t xml:space="preserve">Parties </w:t>
      </w:r>
      <w:r w:rsidRPr="00A85AD7">
        <w:rPr>
          <w:rFonts w:asciiTheme="minorHAnsi" w:hAnsiTheme="minorHAnsi" w:cstheme="minorHAnsi"/>
          <w:sz w:val="22"/>
        </w:rPr>
        <w:t>to work towards greater mutual recognition of professional services qualifications.</w:t>
      </w:r>
    </w:p>
    <w:p w14:paraId="77FFDD25" w14:textId="41868B4C" w:rsidR="0052077E" w:rsidRPr="00B37188" w:rsidRDefault="0052077E" w:rsidP="00B73B2E">
      <w:pPr>
        <w:spacing w:after="200" w:line="276" w:lineRule="auto"/>
        <w:jc w:val="both"/>
        <w:rPr>
          <w:rFonts w:asciiTheme="minorHAnsi" w:hAnsiTheme="minorHAnsi" w:cstheme="minorHAnsi"/>
          <w:sz w:val="22"/>
        </w:rPr>
      </w:pPr>
      <w:r w:rsidRPr="00B37188">
        <w:rPr>
          <w:rFonts w:asciiTheme="minorHAnsi" w:hAnsiTheme="minorHAnsi" w:cstheme="minorHAnsi"/>
          <w:sz w:val="22"/>
        </w:rPr>
        <w:t xml:space="preserve">Services are vital to the Australian economy, generating </w:t>
      </w:r>
      <w:r w:rsidR="008C4B23" w:rsidRPr="00B37188">
        <w:rPr>
          <w:rFonts w:asciiTheme="minorHAnsi" w:hAnsiTheme="minorHAnsi" w:cstheme="minorHAnsi"/>
          <w:sz w:val="22"/>
        </w:rPr>
        <w:t xml:space="preserve">75 </w:t>
      </w:r>
      <w:r w:rsidRPr="00B37188">
        <w:rPr>
          <w:rFonts w:asciiTheme="minorHAnsi" w:hAnsiTheme="minorHAnsi" w:cstheme="minorHAnsi"/>
          <w:sz w:val="22"/>
        </w:rPr>
        <w:t>per cent of GDP in 201</w:t>
      </w:r>
      <w:r w:rsidR="00F32763" w:rsidRPr="00B37188">
        <w:rPr>
          <w:rFonts w:asciiTheme="minorHAnsi" w:hAnsiTheme="minorHAnsi" w:cstheme="minorHAnsi"/>
          <w:sz w:val="22"/>
        </w:rPr>
        <w:t>5</w:t>
      </w:r>
      <w:r w:rsidR="008C4B23" w:rsidRPr="00B37188">
        <w:rPr>
          <w:rFonts w:asciiTheme="minorHAnsi" w:hAnsiTheme="minorHAnsi" w:cstheme="minorHAnsi"/>
          <w:sz w:val="22"/>
        </w:rPr>
        <w:t>-16</w:t>
      </w:r>
      <w:r w:rsidRPr="00B37188">
        <w:rPr>
          <w:rFonts w:asciiTheme="minorHAnsi" w:hAnsiTheme="minorHAnsi" w:cstheme="minorHAnsi"/>
          <w:sz w:val="22"/>
        </w:rPr>
        <w:t xml:space="preserve"> and employing four out of five Australians.</w:t>
      </w:r>
    </w:p>
    <w:p w14:paraId="2DD3CDE7" w14:textId="47D68628" w:rsidR="0052077E" w:rsidRPr="00A85AD7" w:rsidRDefault="0052077E" w:rsidP="00B73B2E">
      <w:pPr>
        <w:spacing w:after="200" w:line="276" w:lineRule="auto"/>
        <w:jc w:val="both"/>
        <w:rPr>
          <w:rFonts w:asciiTheme="minorHAnsi" w:hAnsiTheme="minorHAnsi" w:cstheme="minorHAnsi"/>
          <w:sz w:val="22"/>
        </w:rPr>
      </w:pPr>
      <w:r w:rsidRPr="00B37188">
        <w:rPr>
          <w:rFonts w:asciiTheme="minorHAnsi" w:hAnsiTheme="minorHAnsi" w:cstheme="minorHAnsi"/>
          <w:sz w:val="22"/>
        </w:rPr>
        <w:t xml:space="preserve">The TPP </w:t>
      </w:r>
      <w:r w:rsidR="00F32763" w:rsidRPr="00B37188">
        <w:rPr>
          <w:rFonts w:asciiTheme="minorHAnsi" w:hAnsiTheme="minorHAnsi" w:cstheme="minorHAnsi"/>
          <w:sz w:val="22"/>
        </w:rPr>
        <w:t xml:space="preserve">countries </w:t>
      </w:r>
      <w:r w:rsidRPr="00B37188">
        <w:rPr>
          <w:rFonts w:asciiTheme="minorHAnsi" w:hAnsiTheme="minorHAnsi" w:cstheme="minorHAnsi"/>
          <w:sz w:val="22"/>
        </w:rPr>
        <w:t xml:space="preserve">account for </w:t>
      </w:r>
      <w:r w:rsidR="008C4B23" w:rsidRPr="00B37188">
        <w:rPr>
          <w:rFonts w:asciiTheme="minorHAnsi" w:hAnsiTheme="minorHAnsi" w:cstheme="minorHAnsi"/>
          <w:sz w:val="22"/>
        </w:rPr>
        <w:t>26</w:t>
      </w:r>
      <w:r w:rsidRPr="00B37188">
        <w:rPr>
          <w:rFonts w:asciiTheme="minorHAnsi" w:hAnsiTheme="minorHAnsi" w:cstheme="minorHAnsi"/>
          <w:sz w:val="22"/>
        </w:rPr>
        <w:t>% of the world’s trade in services, with Australian exports to TPP countries worth $2</w:t>
      </w:r>
      <w:r w:rsidR="00F32763" w:rsidRPr="00B37188">
        <w:rPr>
          <w:rFonts w:asciiTheme="minorHAnsi" w:hAnsiTheme="minorHAnsi" w:cstheme="minorHAnsi"/>
          <w:sz w:val="22"/>
        </w:rPr>
        <w:t>3</w:t>
      </w:r>
      <w:r w:rsidRPr="00B37188">
        <w:rPr>
          <w:rFonts w:asciiTheme="minorHAnsi" w:hAnsiTheme="minorHAnsi" w:cstheme="minorHAnsi"/>
          <w:sz w:val="22"/>
        </w:rPr>
        <w:t xml:space="preserve"> billion in 201</w:t>
      </w:r>
      <w:r w:rsidR="00F32763" w:rsidRPr="00B37188">
        <w:rPr>
          <w:rFonts w:asciiTheme="minorHAnsi" w:hAnsiTheme="minorHAnsi" w:cstheme="minorHAnsi"/>
          <w:sz w:val="22"/>
        </w:rPr>
        <w:t>5</w:t>
      </w:r>
      <w:r w:rsidR="008C4B23" w:rsidRPr="00B37188">
        <w:rPr>
          <w:rFonts w:asciiTheme="minorHAnsi" w:hAnsiTheme="minorHAnsi" w:cstheme="minorHAnsi"/>
          <w:sz w:val="22"/>
        </w:rPr>
        <w:t>-16</w:t>
      </w:r>
      <w:r w:rsidRPr="00B37188">
        <w:rPr>
          <w:rFonts w:asciiTheme="minorHAnsi" w:hAnsiTheme="minorHAnsi" w:cstheme="minorHAnsi"/>
          <w:sz w:val="22"/>
        </w:rPr>
        <w:t xml:space="preserve"> (almost </w:t>
      </w:r>
      <w:r w:rsidR="008C4B23" w:rsidRPr="00B37188">
        <w:rPr>
          <w:rFonts w:asciiTheme="minorHAnsi" w:hAnsiTheme="minorHAnsi" w:cstheme="minorHAnsi"/>
          <w:sz w:val="22"/>
        </w:rPr>
        <w:t>34</w:t>
      </w:r>
      <w:r w:rsidRPr="00B37188">
        <w:rPr>
          <w:rFonts w:asciiTheme="minorHAnsi" w:hAnsiTheme="minorHAnsi" w:cstheme="minorHAnsi"/>
          <w:sz w:val="22"/>
        </w:rPr>
        <w:t xml:space="preserve">% of Australia’s </w:t>
      </w:r>
      <w:r w:rsidR="00F32763" w:rsidRPr="00B37188">
        <w:rPr>
          <w:rFonts w:asciiTheme="minorHAnsi" w:hAnsiTheme="minorHAnsi" w:cstheme="minorHAnsi"/>
          <w:sz w:val="22"/>
        </w:rPr>
        <w:t xml:space="preserve">total </w:t>
      </w:r>
      <w:r w:rsidRPr="00B37188">
        <w:rPr>
          <w:rFonts w:asciiTheme="minorHAnsi" w:hAnsiTheme="minorHAnsi" w:cstheme="minorHAnsi"/>
          <w:sz w:val="22"/>
        </w:rPr>
        <w:t>services export</w:t>
      </w:r>
      <w:r w:rsidR="00B36E5B" w:rsidRPr="00B37188">
        <w:rPr>
          <w:rFonts w:asciiTheme="minorHAnsi" w:hAnsiTheme="minorHAnsi" w:cstheme="minorHAnsi"/>
          <w:sz w:val="22"/>
        </w:rPr>
        <w:t>s</w:t>
      </w:r>
      <w:r w:rsidRPr="00B37188">
        <w:rPr>
          <w:rFonts w:asciiTheme="minorHAnsi" w:hAnsiTheme="minorHAnsi" w:cstheme="minorHAnsi"/>
          <w:sz w:val="22"/>
        </w:rPr>
        <w:t xml:space="preserve">).  As the </w:t>
      </w:r>
      <w:r w:rsidR="00F32763" w:rsidRPr="00B37188">
        <w:rPr>
          <w:rFonts w:asciiTheme="minorHAnsi" w:hAnsiTheme="minorHAnsi" w:cstheme="minorHAnsi"/>
          <w:sz w:val="22"/>
        </w:rPr>
        <w:t>Asia-Pacific</w:t>
      </w:r>
      <w:r w:rsidRPr="00B37188">
        <w:rPr>
          <w:rFonts w:asciiTheme="minorHAnsi" w:hAnsiTheme="minorHAnsi" w:cstheme="minorHAnsi"/>
          <w:sz w:val="22"/>
        </w:rPr>
        <w:t xml:space="preserve"> region develops further, consumers – particularly the burgeoning middle class in Asia – will increasingly demand services of the highest quality.  By 2030, it is estimated that annual services exports to Asia could be worth $163 </w:t>
      </w:r>
      <w:r w:rsidR="00E5582B" w:rsidRPr="00B37188">
        <w:rPr>
          <w:rFonts w:asciiTheme="minorHAnsi" w:hAnsiTheme="minorHAnsi" w:cstheme="minorHAnsi"/>
          <w:sz w:val="22"/>
        </w:rPr>
        <w:t>b</w:t>
      </w:r>
      <w:r w:rsidRPr="00B37188">
        <w:rPr>
          <w:rFonts w:asciiTheme="minorHAnsi" w:hAnsiTheme="minorHAnsi" w:cstheme="minorHAnsi"/>
          <w:sz w:val="22"/>
        </w:rPr>
        <w:t>illion and support over one million jobs.</w:t>
      </w:r>
      <w:r w:rsidRPr="00B37188">
        <w:rPr>
          <w:rStyle w:val="FootnoteReference"/>
          <w:rFonts w:asciiTheme="minorHAnsi" w:hAnsiTheme="minorHAnsi" w:cstheme="minorHAnsi"/>
          <w:sz w:val="22"/>
        </w:rPr>
        <w:footnoteReference w:id="1"/>
      </w:r>
      <w:r w:rsidRPr="00A85AD7">
        <w:rPr>
          <w:rFonts w:asciiTheme="minorHAnsi" w:hAnsiTheme="minorHAnsi" w:cstheme="minorHAnsi"/>
          <w:sz w:val="22"/>
        </w:rPr>
        <w:t xml:space="preserve">  Through the TPP, Australian suppliers will be well placed to capitalise on these opportunities.  </w:t>
      </w:r>
    </w:p>
    <w:p w14:paraId="318EDB54" w14:textId="77777777" w:rsidR="0052077E" w:rsidRPr="00A85AD7" w:rsidRDefault="000A6142"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S</w:t>
      </w:r>
      <w:r w:rsidR="0052077E" w:rsidRPr="00A85AD7">
        <w:rPr>
          <w:rFonts w:asciiTheme="minorHAnsi" w:hAnsiTheme="minorHAnsi" w:cstheme="minorHAnsi"/>
          <w:sz w:val="22"/>
        </w:rPr>
        <w:t xml:space="preserve">ome TPP </w:t>
      </w:r>
      <w:r w:rsidRPr="00A85AD7">
        <w:rPr>
          <w:rFonts w:asciiTheme="minorHAnsi" w:hAnsiTheme="minorHAnsi" w:cstheme="minorHAnsi"/>
          <w:sz w:val="22"/>
        </w:rPr>
        <w:t xml:space="preserve">Parties </w:t>
      </w:r>
      <w:r w:rsidR="0052077E" w:rsidRPr="00A85AD7">
        <w:rPr>
          <w:rFonts w:asciiTheme="minorHAnsi" w:hAnsiTheme="minorHAnsi" w:cstheme="minorHAnsi"/>
          <w:sz w:val="22"/>
        </w:rPr>
        <w:t>have restrictions in place which make it difficult for Australian providers to compete with local and other providers.  For example, conditions which require a supplier to establish a local office makes business more expensive and</w:t>
      </w:r>
      <w:r w:rsidRPr="00A85AD7">
        <w:rPr>
          <w:rFonts w:asciiTheme="minorHAnsi" w:hAnsiTheme="minorHAnsi" w:cstheme="minorHAnsi"/>
          <w:sz w:val="22"/>
        </w:rPr>
        <w:t>,</w:t>
      </w:r>
      <w:r w:rsidR="0052077E" w:rsidRPr="00A85AD7">
        <w:rPr>
          <w:rFonts w:asciiTheme="minorHAnsi" w:hAnsiTheme="minorHAnsi" w:cstheme="minorHAnsi"/>
          <w:sz w:val="22"/>
        </w:rPr>
        <w:t xml:space="preserve"> in the case of small and medium enterprises, perhaps impossible to expand service delivery to consumers in TPP</w:t>
      </w:r>
      <w:r w:rsidR="00451337">
        <w:rPr>
          <w:rFonts w:asciiTheme="minorHAnsi" w:hAnsiTheme="minorHAnsi" w:cstheme="minorHAnsi"/>
          <w:sz w:val="22"/>
        </w:rPr>
        <w:t xml:space="preserve"> </w:t>
      </w:r>
      <w:r w:rsidRPr="00A85AD7">
        <w:rPr>
          <w:rFonts w:asciiTheme="minorHAnsi" w:hAnsiTheme="minorHAnsi" w:cstheme="minorHAnsi"/>
          <w:sz w:val="22"/>
        </w:rPr>
        <w:t>Parties</w:t>
      </w:r>
      <w:r w:rsidR="0052077E" w:rsidRPr="00A85AD7">
        <w:rPr>
          <w:rFonts w:asciiTheme="minorHAnsi" w:hAnsiTheme="minorHAnsi" w:cstheme="minorHAnsi"/>
          <w:sz w:val="22"/>
        </w:rPr>
        <w:t>.  The TPP will provide Australian suppliers with greater certainty about operating conditions</w:t>
      </w:r>
      <w:r w:rsidR="00A403FE" w:rsidRPr="00A85AD7">
        <w:rPr>
          <w:rFonts w:asciiTheme="minorHAnsi" w:hAnsiTheme="minorHAnsi" w:cstheme="minorHAnsi"/>
          <w:sz w:val="22"/>
        </w:rPr>
        <w:t xml:space="preserve"> in TPP markets</w:t>
      </w:r>
      <w:r w:rsidR="0052077E" w:rsidRPr="00A85AD7">
        <w:rPr>
          <w:rFonts w:asciiTheme="minorHAnsi" w:hAnsiTheme="minorHAnsi" w:cstheme="minorHAnsi"/>
          <w:sz w:val="22"/>
        </w:rPr>
        <w:t xml:space="preserve">.  </w:t>
      </w:r>
    </w:p>
    <w:p w14:paraId="5080F923" w14:textId="77777777" w:rsidR="0052077E" w:rsidRPr="00A85AD7" w:rsidRDefault="0052077E"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 xml:space="preserve">The TPP is also a living agreement that will capture </w:t>
      </w:r>
      <w:r w:rsidR="00A403FE" w:rsidRPr="00A85AD7">
        <w:rPr>
          <w:rFonts w:asciiTheme="minorHAnsi" w:hAnsiTheme="minorHAnsi" w:cstheme="minorHAnsi"/>
          <w:sz w:val="22"/>
        </w:rPr>
        <w:t>market</w:t>
      </w:r>
      <w:r w:rsidRPr="00A85AD7">
        <w:rPr>
          <w:rFonts w:asciiTheme="minorHAnsi" w:hAnsiTheme="minorHAnsi" w:cstheme="minorHAnsi"/>
          <w:sz w:val="22"/>
        </w:rPr>
        <w:t xml:space="preserve"> reforms taken by governments in future.  In this way it will create a level playing field over time, creating new opportunities for Australian providers to supply services to consumers in the TPP region.  </w:t>
      </w:r>
    </w:p>
    <w:p w14:paraId="7EE28276" w14:textId="77777777" w:rsidR="0052077E" w:rsidRPr="00A85AD7" w:rsidRDefault="0052077E"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 xml:space="preserve">The Chapter applies to government measures which influence trade in services between TPP </w:t>
      </w:r>
      <w:r w:rsidR="000A6142" w:rsidRPr="00A85AD7">
        <w:rPr>
          <w:rFonts w:asciiTheme="minorHAnsi" w:hAnsiTheme="minorHAnsi" w:cstheme="minorHAnsi"/>
          <w:sz w:val="22"/>
        </w:rPr>
        <w:t>Parties</w:t>
      </w:r>
      <w:r w:rsidRPr="00A85AD7">
        <w:rPr>
          <w:rFonts w:asciiTheme="minorHAnsi" w:hAnsiTheme="minorHAnsi" w:cstheme="minorHAnsi"/>
          <w:sz w:val="22"/>
        </w:rPr>
        <w:t>, including policies which may affect how providers produce, distribute, market or sell a service.  The Chapter covers the various ways that services may be provided to consumers from a TPP</w:t>
      </w:r>
      <w:r w:rsidR="00451337">
        <w:rPr>
          <w:rFonts w:asciiTheme="minorHAnsi" w:hAnsiTheme="minorHAnsi" w:cstheme="minorHAnsi"/>
          <w:sz w:val="22"/>
        </w:rPr>
        <w:t xml:space="preserve"> </w:t>
      </w:r>
      <w:r w:rsidR="000A6142" w:rsidRPr="00A85AD7">
        <w:rPr>
          <w:rFonts w:asciiTheme="minorHAnsi" w:hAnsiTheme="minorHAnsi" w:cstheme="minorHAnsi"/>
          <w:sz w:val="22"/>
        </w:rPr>
        <w:t>Party</w:t>
      </w:r>
      <w:r w:rsidRPr="00A85AD7">
        <w:rPr>
          <w:rFonts w:asciiTheme="minorHAnsi" w:hAnsiTheme="minorHAnsi" w:cstheme="minorHAnsi"/>
          <w:sz w:val="22"/>
        </w:rPr>
        <w:t xml:space="preserve">.  For example, in the education context, the </w:t>
      </w:r>
      <w:r w:rsidR="000A6142" w:rsidRPr="00A85AD7">
        <w:rPr>
          <w:rFonts w:asciiTheme="minorHAnsi" w:hAnsiTheme="minorHAnsi" w:cstheme="minorHAnsi"/>
          <w:sz w:val="22"/>
        </w:rPr>
        <w:t>C</w:t>
      </w:r>
      <w:r w:rsidRPr="00A85AD7">
        <w:rPr>
          <w:rFonts w:asciiTheme="minorHAnsi" w:hAnsiTheme="minorHAnsi" w:cstheme="minorHAnsi"/>
          <w:sz w:val="22"/>
        </w:rPr>
        <w:t>hapter cover</w:t>
      </w:r>
      <w:r w:rsidR="000A6142" w:rsidRPr="00A85AD7">
        <w:rPr>
          <w:rFonts w:asciiTheme="minorHAnsi" w:hAnsiTheme="minorHAnsi" w:cstheme="minorHAnsi"/>
          <w:sz w:val="22"/>
        </w:rPr>
        <w:t>s</w:t>
      </w:r>
      <w:r w:rsidRPr="00A85AD7">
        <w:rPr>
          <w:rFonts w:asciiTheme="minorHAnsi" w:hAnsiTheme="minorHAnsi" w:cstheme="minorHAnsi"/>
          <w:sz w:val="22"/>
        </w:rPr>
        <w:t xml:space="preserve"> circumstances</w:t>
      </w:r>
      <w:r w:rsidR="000A6142" w:rsidRPr="00A85AD7">
        <w:rPr>
          <w:rFonts w:asciiTheme="minorHAnsi" w:hAnsiTheme="minorHAnsi" w:cstheme="minorHAnsi"/>
          <w:sz w:val="22"/>
        </w:rPr>
        <w:t xml:space="preserve"> in which</w:t>
      </w:r>
      <w:r w:rsidRPr="00A85AD7">
        <w:rPr>
          <w:rFonts w:asciiTheme="minorHAnsi" w:hAnsiTheme="minorHAnsi" w:cstheme="minorHAnsi"/>
          <w:sz w:val="22"/>
        </w:rPr>
        <w:t>:</w:t>
      </w:r>
    </w:p>
    <w:p w14:paraId="52B3E566" w14:textId="77777777" w:rsidR="0052077E" w:rsidRPr="00A85AD7" w:rsidRDefault="0052077E" w:rsidP="00B73B2E">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A85AD7">
        <w:rPr>
          <w:rFonts w:asciiTheme="minorHAnsi" w:hAnsiTheme="minorHAnsi" w:cstheme="minorHAnsi"/>
          <w:sz w:val="22"/>
        </w:rPr>
        <w:lastRenderedPageBreak/>
        <w:t xml:space="preserve">an Australian university delivers a course online to students in another TPP </w:t>
      </w:r>
      <w:r w:rsidR="000A6142" w:rsidRPr="00A85AD7">
        <w:rPr>
          <w:rFonts w:asciiTheme="minorHAnsi" w:hAnsiTheme="minorHAnsi" w:cstheme="minorHAnsi"/>
          <w:sz w:val="22"/>
        </w:rPr>
        <w:t>Party</w:t>
      </w:r>
      <w:r w:rsidRPr="00A85AD7">
        <w:rPr>
          <w:rFonts w:asciiTheme="minorHAnsi" w:hAnsiTheme="minorHAnsi" w:cstheme="minorHAnsi"/>
          <w:sz w:val="22"/>
        </w:rPr>
        <w:t>;</w:t>
      </w:r>
    </w:p>
    <w:p w14:paraId="5A744FB2" w14:textId="77777777" w:rsidR="0052077E" w:rsidRPr="00A85AD7" w:rsidRDefault="0052077E" w:rsidP="00B73B2E">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A85AD7">
        <w:rPr>
          <w:rFonts w:asciiTheme="minorHAnsi" w:hAnsiTheme="minorHAnsi" w:cstheme="minorHAnsi"/>
          <w:sz w:val="22"/>
        </w:rPr>
        <w:t xml:space="preserve">students of another TPP </w:t>
      </w:r>
      <w:r w:rsidR="000A6142" w:rsidRPr="00A85AD7">
        <w:rPr>
          <w:rFonts w:asciiTheme="minorHAnsi" w:hAnsiTheme="minorHAnsi" w:cstheme="minorHAnsi"/>
          <w:sz w:val="22"/>
        </w:rPr>
        <w:t>Party</w:t>
      </w:r>
      <w:r w:rsidR="00451337">
        <w:rPr>
          <w:rFonts w:asciiTheme="minorHAnsi" w:hAnsiTheme="minorHAnsi" w:cstheme="minorHAnsi"/>
          <w:sz w:val="22"/>
        </w:rPr>
        <w:t xml:space="preserve"> </w:t>
      </w:r>
      <w:r w:rsidRPr="00A85AD7">
        <w:rPr>
          <w:rFonts w:asciiTheme="minorHAnsi" w:hAnsiTheme="minorHAnsi" w:cstheme="minorHAnsi"/>
          <w:sz w:val="22"/>
        </w:rPr>
        <w:t>study at an Australian university; and</w:t>
      </w:r>
    </w:p>
    <w:p w14:paraId="3B22511B" w14:textId="77777777" w:rsidR="0052077E" w:rsidRPr="00A85AD7" w:rsidRDefault="0052077E" w:rsidP="00B73B2E">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A85AD7">
        <w:rPr>
          <w:rFonts w:asciiTheme="minorHAnsi" w:hAnsiTheme="minorHAnsi" w:cstheme="minorHAnsi"/>
          <w:sz w:val="22"/>
        </w:rPr>
        <w:t xml:space="preserve">an Australian university establishes a campus in another TPP </w:t>
      </w:r>
      <w:r w:rsidR="000A6142" w:rsidRPr="00A85AD7">
        <w:rPr>
          <w:rFonts w:asciiTheme="minorHAnsi" w:hAnsiTheme="minorHAnsi" w:cstheme="minorHAnsi"/>
          <w:sz w:val="22"/>
        </w:rPr>
        <w:t>c</w:t>
      </w:r>
      <w:r w:rsidRPr="00A85AD7">
        <w:rPr>
          <w:rFonts w:asciiTheme="minorHAnsi" w:hAnsiTheme="minorHAnsi" w:cstheme="minorHAnsi"/>
          <w:sz w:val="22"/>
        </w:rPr>
        <w:t>ountry.</w:t>
      </w:r>
    </w:p>
    <w:p w14:paraId="2E8E52CD" w14:textId="77777777" w:rsidR="0052077E" w:rsidRPr="00A85AD7" w:rsidRDefault="0052077E"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 xml:space="preserve">The Chapter does not apply to government actions in relation to financial services, services purchased by the government, </w:t>
      </w:r>
      <w:r w:rsidR="000A6142" w:rsidRPr="00A85AD7">
        <w:rPr>
          <w:rFonts w:asciiTheme="minorHAnsi" w:hAnsiTheme="minorHAnsi" w:cstheme="minorHAnsi"/>
          <w:sz w:val="22"/>
        </w:rPr>
        <w:t xml:space="preserve">or to </w:t>
      </w:r>
      <w:r w:rsidRPr="00A85AD7">
        <w:rPr>
          <w:rFonts w:asciiTheme="minorHAnsi" w:hAnsiTheme="minorHAnsi" w:cstheme="minorHAnsi"/>
          <w:sz w:val="22"/>
        </w:rPr>
        <w:t xml:space="preserve">services supplied by the government on a non-commercial, non-competitive basis, such as air navigation and air traffic control, or to government grants or subsidies.  </w:t>
      </w:r>
    </w:p>
    <w:p w14:paraId="250B3BB8" w14:textId="77777777" w:rsidR="0052077E" w:rsidRPr="00A85AD7" w:rsidRDefault="0052077E" w:rsidP="00B73B2E">
      <w:pPr>
        <w:pStyle w:val="Heading3"/>
        <w:jc w:val="both"/>
      </w:pPr>
      <w:r w:rsidRPr="00A85AD7">
        <w:t xml:space="preserve">Key Obligations </w:t>
      </w:r>
    </w:p>
    <w:p w14:paraId="3AFED2FE" w14:textId="77777777" w:rsidR="0052077E" w:rsidRPr="004D0BB1" w:rsidRDefault="0052077E" w:rsidP="00B73B2E">
      <w:pPr>
        <w:spacing w:after="200" w:line="276" w:lineRule="auto"/>
        <w:jc w:val="both"/>
        <w:rPr>
          <w:rFonts w:asciiTheme="minorHAnsi" w:hAnsiTheme="minorHAnsi" w:cstheme="minorHAnsi"/>
          <w:sz w:val="22"/>
          <w:shd w:val="clear" w:color="auto" w:fill="FFCD95" w:themeFill="accent1" w:themeFillTint="66"/>
        </w:rPr>
      </w:pPr>
      <w:r w:rsidRPr="00A85AD7">
        <w:rPr>
          <w:rFonts w:asciiTheme="minorHAnsi" w:hAnsiTheme="minorHAnsi" w:cstheme="minorHAnsi"/>
          <w:sz w:val="22"/>
        </w:rPr>
        <w:t xml:space="preserve">Under </w:t>
      </w:r>
      <w:r w:rsidRPr="004D0BB1">
        <w:rPr>
          <w:rFonts w:asciiTheme="minorHAnsi" w:hAnsiTheme="minorHAnsi" w:cstheme="minorHAnsi"/>
          <w:sz w:val="22"/>
        </w:rPr>
        <w:t xml:space="preserve">the </w:t>
      </w:r>
      <w:r w:rsidR="00451337" w:rsidRPr="004D0BB1">
        <w:rPr>
          <w:rFonts w:asciiTheme="minorHAnsi" w:hAnsiTheme="minorHAnsi" w:cstheme="minorHAnsi"/>
          <w:sz w:val="22"/>
        </w:rPr>
        <w:t>national t</w:t>
      </w:r>
      <w:r w:rsidRPr="004D0BB1">
        <w:rPr>
          <w:rFonts w:asciiTheme="minorHAnsi" w:hAnsiTheme="minorHAnsi" w:cstheme="minorHAnsi"/>
          <w:sz w:val="22"/>
        </w:rPr>
        <w:t xml:space="preserve">reatment obligation, a TPP </w:t>
      </w:r>
      <w:r w:rsidR="000A6AAC" w:rsidRPr="004D0BB1">
        <w:rPr>
          <w:rFonts w:asciiTheme="minorHAnsi" w:hAnsiTheme="minorHAnsi" w:cstheme="minorHAnsi"/>
          <w:sz w:val="22"/>
        </w:rPr>
        <w:t>Party</w:t>
      </w:r>
      <w:r w:rsidRPr="004D0BB1">
        <w:rPr>
          <w:rFonts w:asciiTheme="minorHAnsi" w:hAnsiTheme="minorHAnsi" w:cstheme="minorHAnsi"/>
          <w:sz w:val="22"/>
        </w:rPr>
        <w:t xml:space="preserve"> must </w:t>
      </w:r>
      <w:r w:rsidR="000A6AAC" w:rsidRPr="004D0BB1">
        <w:rPr>
          <w:rFonts w:asciiTheme="minorHAnsi" w:hAnsiTheme="minorHAnsi" w:cstheme="minorHAnsi"/>
          <w:sz w:val="22"/>
        </w:rPr>
        <w:t xml:space="preserve">not </w:t>
      </w:r>
      <w:r w:rsidRPr="004D0BB1">
        <w:rPr>
          <w:rFonts w:asciiTheme="minorHAnsi" w:hAnsiTheme="minorHAnsi" w:cstheme="minorHAnsi"/>
          <w:sz w:val="22"/>
        </w:rPr>
        <w:t xml:space="preserve">treat foreign service suppliers </w:t>
      </w:r>
      <w:r w:rsidR="000A6AAC" w:rsidRPr="004D0BB1">
        <w:rPr>
          <w:rFonts w:asciiTheme="minorHAnsi" w:hAnsiTheme="minorHAnsi" w:cstheme="minorHAnsi"/>
          <w:sz w:val="22"/>
        </w:rPr>
        <w:t>less favorably than like domestic service suppliers.</w:t>
      </w:r>
      <w:r w:rsidR="00451337" w:rsidRPr="004D0BB1">
        <w:rPr>
          <w:rFonts w:asciiTheme="minorHAnsi" w:hAnsiTheme="minorHAnsi" w:cstheme="minorHAnsi"/>
          <w:sz w:val="22"/>
        </w:rPr>
        <w:t xml:space="preserve"> </w:t>
      </w:r>
      <w:r w:rsidRPr="004D0BB1">
        <w:rPr>
          <w:rFonts w:asciiTheme="minorHAnsi" w:hAnsiTheme="minorHAnsi" w:cstheme="minorHAnsi"/>
          <w:sz w:val="22"/>
        </w:rPr>
        <w:t xml:space="preserve">Under the most-favoured-nation treatment obligation, a TPP </w:t>
      </w:r>
      <w:r w:rsidR="000A6AAC" w:rsidRPr="004D0BB1">
        <w:rPr>
          <w:rFonts w:asciiTheme="minorHAnsi" w:hAnsiTheme="minorHAnsi" w:cstheme="minorHAnsi"/>
          <w:sz w:val="22"/>
        </w:rPr>
        <w:t xml:space="preserve">Party </w:t>
      </w:r>
      <w:r w:rsidRPr="004D0BB1">
        <w:rPr>
          <w:rFonts w:asciiTheme="minorHAnsi" w:hAnsiTheme="minorHAnsi" w:cstheme="minorHAnsi"/>
          <w:sz w:val="22"/>
        </w:rPr>
        <w:t xml:space="preserve">must </w:t>
      </w:r>
      <w:r w:rsidR="000A6AAC" w:rsidRPr="004D0BB1">
        <w:rPr>
          <w:rFonts w:asciiTheme="minorHAnsi" w:hAnsiTheme="minorHAnsi" w:cstheme="minorHAnsi"/>
          <w:sz w:val="22"/>
        </w:rPr>
        <w:t xml:space="preserve">not </w:t>
      </w:r>
      <w:r w:rsidRPr="004D0BB1">
        <w:rPr>
          <w:rFonts w:asciiTheme="minorHAnsi" w:hAnsiTheme="minorHAnsi" w:cstheme="minorHAnsi"/>
          <w:sz w:val="22"/>
        </w:rPr>
        <w:t xml:space="preserve">treat service suppliers from another TPP </w:t>
      </w:r>
      <w:r w:rsidR="000A6AAC" w:rsidRPr="004D0BB1">
        <w:rPr>
          <w:rFonts w:asciiTheme="minorHAnsi" w:hAnsiTheme="minorHAnsi" w:cstheme="minorHAnsi"/>
          <w:sz w:val="22"/>
        </w:rPr>
        <w:t xml:space="preserve">Party </w:t>
      </w:r>
      <w:r w:rsidR="000B632F" w:rsidRPr="004D0BB1">
        <w:rPr>
          <w:rFonts w:asciiTheme="minorHAnsi" w:hAnsiTheme="minorHAnsi" w:cstheme="minorHAnsi"/>
          <w:sz w:val="22"/>
        </w:rPr>
        <w:t xml:space="preserve">less favourably than like </w:t>
      </w:r>
      <w:r w:rsidRPr="004D0BB1">
        <w:rPr>
          <w:rFonts w:asciiTheme="minorHAnsi" w:hAnsiTheme="minorHAnsi" w:cstheme="minorHAnsi"/>
          <w:sz w:val="22"/>
        </w:rPr>
        <w:t>service suppliers from</w:t>
      </w:r>
      <w:r w:rsidR="00451337" w:rsidRPr="004D0BB1">
        <w:rPr>
          <w:rFonts w:asciiTheme="minorHAnsi" w:hAnsiTheme="minorHAnsi" w:cstheme="minorHAnsi"/>
          <w:sz w:val="22"/>
        </w:rPr>
        <w:t xml:space="preserve"> any other country</w:t>
      </w:r>
      <w:r w:rsidRPr="004D0BB1">
        <w:rPr>
          <w:rFonts w:asciiTheme="minorHAnsi" w:hAnsiTheme="minorHAnsi" w:cstheme="minorHAnsi"/>
          <w:sz w:val="22"/>
        </w:rPr>
        <w:t>.</w:t>
      </w:r>
      <w:r w:rsidR="00451337" w:rsidRPr="004D0BB1">
        <w:rPr>
          <w:rFonts w:asciiTheme="minorHAnsi" w:hAnsiTheme="minorHAnsi" w:cstheme="minorHAnsi"/>
          <w:sz w:val="22"/>
        </w:rPr>
        <w:t xml:space="preserve"> </w:t>
      </w:r>
      <w:r w:rsidRPr="004D0BB1">
        <w:rPr>
          <w:rFonts w:asciiTheme="minorHAnsi" w:hAnsiTheme="minorHAnsi" w:cstheme="minorHAnsi"/>
          <w:sz w:val="22"/>
        </w:rPr>
        <w:t xml:space="preserve">The Chapter imposes an obligation on TPP </w:t>
      </w:r>
      <w:r w:rsidR="000A6142" w:rsidRPr="004D0BB1">
        <w:rPr>
          <w:rFonts w:asciiTheme="minorHAnsi" w:hAnsiTheme="minorHAnsi" w:cstheme="minorHAnsi"/>
          <w:sz w:val="22"/>
        </w:rPr>
        <w:t>Parties</w:t>
      </w:r>
      <w:r w:rsidRPr="004D0BB1">
        <w:rPr>
          <w:rFonts w:asciiTheme="minorHAnsi" w:hAnsiTheme="minorHAnsi" w:cstheme="minorHAnsi"/>
          <w:sz w:val="22"/>
        </w:rPr>
        <w:t xml:space="preserve"> to not impose restrictions on their own or foreign suppliers in service sectors, including limitations on the number of providers who can supply services in a country or the legal form of enterprise</w:t>
      </w:r>
      <w:r w:rsidR="00B36E5B" w:rsidRPr="004D0BB1">
        <w:rPr>
          <w:rFonts w:asciiTheme="minorHAnsi" w:hAnsiTheme="minorHAnsi" w:cstheme="minorHAnsi"/>
          <w:sz w:val="22"/>
        </w:rPr>
        <w:t xml:space="preserve"> (such as a partnership or joint venture)</w:t>
      </w:r>
      <w:r w:rsidRPr="004D0BB1">
        <w:rPr>
          <w:rFonts w:asciiTheme="minorHAnsi" w:hAnsiTheme="minorHAnsi" w:cstheme="minorHAnsi"/>
          <w:sz w:val="22"/>
        </w:rPr>
        <w:t xml:space="preserve"> that can provide services</w:t>
      </w:r>
      <w:r w:rsidR="007C0D2B" w:rsidRPr="004D0BB1">
        <w:rPr>
          <w:rFonts w:asciiTheme="minorHAnsi" w:hAnsiTheme="minorHAnsi" w:cstheme="minorHAnsi"/>
          <w:sz w:val="22"/>
        </w:rPr>
        <w:t xml:space="preserve"> (the ‘market access’ obligation)</w:t>
      </w:r>
      <w:r w:rsidRPr="004D0BB1">
        <w:rPr>
          <w:rFonts w:asciiTheme="minorHAnsi" w:hAnsiTheme="minorHAnsi" w:cstheme="minorHAnsi"/>
          <w:sz w:val="22"/>
        </w:rPr>
        <w:t>.</w:t>
      </w:r>
    </w:p>
    <w:p w14:paraId="5CF1293F" w14:textId="77777777" w:rsidR="0052077E" w:rsidRPr="00A85AD7" w:rsidRDefault="0052077E" w:rsidP="00B73B2E">
      <w:pPr>
        <w:spacing w:after="200" w:line="276" w:lineRule="auto"/>
        <w:jc w:val="both"/>
        <w:rPr>
          <w:rFonts w:asciiTheme="minorHAnsi" w:hAnsiTheme="minorHAnsi" w:cstheme="minorHAnsi"/>
          <w:sz w:val="22"/>
        </w:rPr>
      </w:pPr>
      <w:r w:rsidRPr="004D0BB1">
        <w:rPr>
          <w:rFonts w:asciiTheme="minorHAnsi" w:hAnsiTheme="minorHAnsi" w:cstheme="minorHAnsi"/>
          <w:sz w:val="22"/>
        </w:rPr>
        <w:t>Each TPP country is also prohibited from requiring a provider from another TPP country to establish a local office or other facility in its territory, or to live in their country as a condition of supplying services</w:t>
      </w:r>
      <w:r w:rsidR="007C0D2B" w:rsidRPr="004D0BB1">
        <w:rPr>
          <w:rFonts w:asciiTheme="minorHAnsi" w:hAnsiTheme="minorHAnsi" w:cstheme="minorHAnsi"/>
          <w:sz w:val="22"/>
        </w:rPr>
        <w:t xml:space="preserve"> (the ‘local presence’ o</w:t>
      </w:r>
      <w:r w:rsidR="007C0D2B" w:rsidRPr="00A85AD7">
        <w:rPr>
          <w:rFonts w:asciiTheme="minorHAnsi" w:hAnsiTheme="minorHAnsi" w:cstheme="minorHAnsi"/>
          <w:sz w:val="22"/>
        </w:rPr>
        <w:t>bligation)</w:t>
      </w:r>
      <w:r w:rsidRPr="00A85AD7">
        <w:rPr>
          <w:rFonts w:asciiTheme="minorHAnsi" w:hAnsiTheme="minorHAnsi" w:cstheme="minorHAnsi"/>
          <w:sz w:val="22"/>
        </w:rPr>
        <w:t>.</w:t>
      </w:r>
    </w:p>
    <w:p w14:paraId="2AC840F6" w14:textId="77777777" w:rsidR="0052077E" w:rsidRPr="00A85AD7" w:rsidRDefault="0052077E"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Consistent with other FTAs, these key obligations will not apply to local governments (such as local councils) but will apply to federal</w:t>
      </w:r>
      <w:r w:rsidR="00B36E5B" w:rsidRPr="00A85AD7">
        <w:rPr>
          <w:rFonts w:asciiTheme="minorHAnsi" w:hAnsiTheme="minorHAnsi" w:cstheme="minorHAnsi"/>
          <w:sz w:val="22"/>
        </w:rPr>
        <w:t xml:space="preserve">, </w:t>
      </w:r>
      <w:r w:rsidRPr="00A85AD7">
        <w:rPr>
          <w:rFonts w:asciiTheme="minorHAnsi" w:hAnsiTheme="minorHAnsi" w:cstheme="minorHAnsi"/>
          <w:sz w:val="22"/>
        </w:rPr>
        <w:t>regional governments (including Australia’s States and Territories)</w:t>
      </w:r>
      <w:r w:rsidR="00B36E5B" w:rsidRPr="00A85AD7">
        <w:rPr>
          <w:rFonts w:asciiTheme="minorHAnsi" w:hAnsiTheme="minorHAnsi" w:cstheme="minorHAnsi"/>
          <w:sz w:val="22"/>
        </w:rPr>
        <w:t xml:space="preserve"> and to new regulations and policies adopted by local governments - except in </w:t>
      </w:r>
      <w:r w:rsidR="00186712" w:rsidRPr="00A85AD7">
        <w:rPr>
          <w:rFonts w:asciiTheme="minorHAnsi" w:hAnsiTheme="minorHAnsi" w:cstheme="minorHAnsi"/>
          <w:sz w:val="22"/>
        </w:rPr>
        <w:t xml:space="preserve">relation to activities and sectors for which </w:t>
      </w:r>
      <w:r w:rsidR="00B36E5B" w:rsidRPr="00A85AD7">
        <w:rPr>
          <w:rFonts w:asciiTheme="minorHAnsi" w:hAnsiTheme="minorHAnsi" w:cstheme="minorHAnsi"/>
          <w:sz w:val="22"/>
        </w:rPr>
        <w:t>TPP Parties have listed exceptions (see below)</w:t>
      </w:r>
      <w:r w:rsidRPr="00A85AD7">
        <w:rPr>
          <w:rFonts w:asciiTheme="minorHAnsi" w:hAnsiTheme="minorHAnsi" w:cstheme="minorHAnsi"/>
          <w:sz w:val="22"/>
        </w:rPr>
        <w:t>.</w:t>
      </w:r>
    </w:p>
    <w:p w14:paraId="5F70E67F" w14:textId="77777777" w:rsidR="0052077E" w:rsidRPr="00A85AD7" w:rsidRDefault="0052077E" w:rsidP="00B73B2E">
      <w:pPr>
        <w:pStyle w:val="Heading3"/>
        <w:jc w:val="both"/>
      </w:pPr>
      <w:r w:rsidRPr="00A85AD7">
        <w:t xml:space="preserve">Exceptions </w:t>
      </w:r>
    </w:p>
    <w:p w14:paraId="09477AC5" w14:textId="77777777" w:rsidR="007C0D2B" w:rsidRPr="00A85AD7" w:rsidRDefault="000A6142" w:rsidP="00B73B2E">
      <w:pPr>
        <w:spacing w:after="200" w:line="276" w:lineRule="auto"/>
        <w:jc w:val="both"/>
        <w:rPr>
          <w:rFonts w:asciiTheme="minorHAnsi" w:hAnsiTheme="minorHAnsi" w:cstheme="minorHAnsi"/>
          <w:sz w:val="22"/>
          <w:u w:val="single"/>
        </w:rPr>
      </w:pPr>
      <w:r w:rsidRPr="00A85AD7">
        <w:rPr>
          <w:rFonts w:asciiTheme="minorHAnsi" w:hAnsiTheme="minorHAnsi" w:cstheme="minorHAnsi"/>
          <w:sz w:val="22"/>
        </w:rPr>
        <w:t xml:space="preserve">In Party-specific annexes to the </w:t>
      </w:r>
      <w:r w:rsidR="0052077E" w:rsidRPr="00A85AD7">
        <w:rPr>
          <w:rFonts w:asciiTheme="minorHAnsi" w:hAnsiTheme="minorHAnsi" w:cstheme="minorHAnsi"/>
          <w:sz w:val="22"/>
        </w:rPr>
        <w:t>Agreement, TP</w:t>
      </w:r>
      <w:r w:rsidR="00E5582B" w:rsidRPr="00A85AD7">
        <w:rPr>
          <w:rFonts w:asciiTheme="minorHAnsi" w:hAnsiTheme="minorHAnsi" w:cstheme="minorHAnsi"/>
          <w:sz w:val="22"/>
        </w:rPr>
        <w:t>P</w:t>
      </w:r>
      <w:r w:rsidR="0052077E" w:rsidRPr="00A85AD7">
        <w:rPr>
          <w:rFonts w:asciiTheme="minorHAnsi" w:hAnsiTheme="minorHAnsi" w:cstheme="minorHAnsi"/>
          <w:sz w:val="22"/>
        </w:rPr>
        <w:t xml:space="preserve"> </w:t>
      </w:r>
      <w:r w:rsidRPr="00A85AD7">
        <w:rPr>
          <w:rFonts w:asciiTheme="minorHAnsi" w:hAnsiTheme="minorHAnsi" w:cstheme="minorHAnsi"/>
          <w:sz w:val="22"/>
        </w:rPr>
        <w:t xml:space="preserve">Parties </w:t>
      </w:r>
      <w:r w:rsidR="00FB1E5B" w:rsidRPr="00A85AD7">
        <w:rPr>
          <w:rFonts w:asciiTheme="minorHAnsi" w:hAnsiTheme="minorHAnsi" w:cstheme="minorHAnsi"/>
          <w:sz w:val="22"/>
        </w:rPr>
        <w:t xml:space="preserve">have </w:t>
      </w:r>
      <w:r w:rsidR="0052077E" w:rsidRPr="00A85AD7">
        <w:rPr>
          <w:rFonts w:asciiTheme="minorHAnsi" w:hAnsiTheme="minorHAnsi" w:cstheme="minorHAnsi"/>
          <w:sz w:val="22"/>
        </w:rPr>
        <w:t>identif</w:t>
      </w:r>
      <w:r w:rsidR="00FB1E5B" w:rsidRPr="00A85AD7">
        <w:rPr>
          <w:rFonts w:asciiTheme="minorHAnsi" w:hAnsiTheme="minorHAnsi" w:cstheme="minorHAnsi"/>
          <w:sz w:val="22"/>
        </w:rPr>
        <w:t>ied</w:t>
      </w:r>
      <w:r w:rsidR="0052077E" w:rsidRPr="00A85AD7">
        <w:rPr>
          <w:rFonts w:asciiTheme="minorHAnsi" w:hAnsiTheme="minorHAnsi" w:cstheme="minorHAnsi"/>
          <w:sz w:val="22"/>
        </w:rPr>
        <w:t xml:space="preserve"> existing</w:t>
      </w:r>
      <w:r w:rsidR="00451337">
        <w:rPr>
          <w:rFonts w:asciiTheme="minorHAnsi" w:hAnsiTheme="minorHAnsi" w:cstheme="minorHAnsi"/>
          <w:sz w:val="22"/>
        </w:rPr>
        <w:t xml:space="preserve"> </w:t>
      </w:r>
      <w:r w:rsidR="00FB1E5B" w:rsidRPr="00A85AD7">
        <w:rPr>
          <w:rFonts w:asciiTheme="minorHAnsi" w:hAnsiTheme="minorHAnsi" w:cstheme="minorHAnsi"/>
          <w:sz w:val="22"/>
        </w:rPr>
        <w:t>laws</w:t>
      </w:r>
      <w:r w:rsidR="001F34C5" w:rsidRPr="00A85AD7">
        <w:rPr>
          <w:rFonts w:asciiTheme="minorHAnsi" w:hAnsiTheme="minorHAnsi" w:cstheme="minorHAnsi"/>
          <w:sz w:val="22"/>
        </w:rPr>
        <w:t>, regulations and policies</w:t>
      </w:r>
      <w:r w:rsidR="007C0D2B" w:rsidRPr="00A85AD7">
        <w:rPr>
          <w:rFonts w:asciiTheme="minorHAnsi" w:hAnsiTheme="minorHAnsi" w:cstheme="minorHAnsi"/>
          <w:sz w:val="22"/>
        </w:rPr>
        <w:t xml:space="preserve"> that may provide local suppliers with an advantage over foreign suppliers,</w:t>
      </w:r>
      <w:r w:rsidR="0052077E" w:rsidRPr="00A85AD7">
        <w:rPr>
          <w:rFonts w:asciiTheme="minorHAnsi" w:hAnsiTheme="minorHAnsi" w:cstheme="minorHAnsi"/>
          <w:sz w:val="22"/>
        </w:rPr>
        <w:t xml:space="preserve"> inconsistent with the key obligations under the Chapter</w:t>
      </w:r>
      <w:r w:rsidR="007C0D2B" w:rsidRPr="00A85AD7">
        <w:rPr>
          <w:rFonts w:asciiTheme="minorHAnsi" w:hAnsiTheme="minorHAnsi" w:cstheme="minorHAnsi"/>
          <w:sz w:val="22"/>
        </w:rPr>
        <w:t>.</w:t>
      </w:r>
      <w:r w:rsidR="001F34C5" w:rsidRPr="00A85AD7">
        <w:rPr>
          <w:rFonts w:asciiTheme="minorHAnsi" w:hAnsiTheme="minorHAnsi" w:cstheme="minorHAnsi"/>
          <w:sz w:val="22"/>
        </w:rPr>
        <w:t xml:space="preserve">  In these sectors, TPP countries have committed to lock in existing market conditions, providing Australian businesses with greater transparency regarding the operating conditions in these service sectors and certainty that the goal posts</w:t>
      </w:r>
      <w:r w:rsidR="00FB1E5B" w:rsidRPr="00A85AD7">
        <w:rPr>
          <w:rFonts w:asciiTheme="minorHAnsi" w:hAnsiTheme="minorHAnsi" w:cstheme="minorHAnsi"/>
          <w:sz w:val="22"/>
        </w:rPr>
        <w:t xml:space="preserve"> will not</w:t>
      </w:r>
      <w:r w:rsidR="001F34C5" w:rsidRPr="00A85AD7">
        <w:rPr>
          <w:rFonts w:asciiTheme="minorHAnsi" w:hAnsiTheme="minorHAnsi" w:cstheme="minorHAnsi"/>
          <w:sz w:val="22"/>
        </w:rPr>
        <w:t xml:space="preserve"> be shifted.  Future market reforms </w:t>
      </w:r>
      <w:r w:rsidR="00866C2E" w:rsidRPr="00A85AD7">
        <w:rPr>
          <w:rFonts w:asciiTheme="minorHAnsi" w:hAnsiTheme="minorHAnsi" w:cstheme="minorHAnsi"/>
          <w:sz w:val="22"/>
        </w:rPr>
        <w:t>in these sectors will</w:t>
      </w:r>
      <w:r w:rsidR="001F34C5" w:rsidRPr="00A85AD7">
        <w:rPr>
          <w:rFonts w:asciiTheme="minorHAnsi" w:hAnsiTheme="minorHAnsi" w:cstheme="minorHAnsi"/>
          <w:sz w:val="22"/>
        </w:rPr>
        <w:t xml:space="preserve"> be captured as a TPP commitment,</w:t>
      </w:r>
      <w:r w:rsidR="00B7232A" w:rsidRPr="00A85AD7">
        <w:rPr>
          <w:rFonts w:asciiTheme="minorHAnsi" w:hAnsiTheme="minorHAnsi" w:cstheme="minorHAnsi"/>
          <w:sz w:val="22"/>
        </w:rPr>
        <w:t xml:space="preserve"> guaranteeing that any liberalis</w:t>
      </w:r>
      <w:r w:rsidR="001F34C5" w:rsidRPr="00A85AD7">
        <w:rPr>
          <w:rFonts w:asciiTheme="minorHAnsi" w:hAnsiTheme="minorHAnsi" w:cstheme="minorHAnsi"/>
          <w:sz w:val="22"/>
        </w:rPr>
        <w:t>ation will flow through to Australian providers.</w:t>
      </w:r>
      <w:r w:rsidR="00FB1E5B" w:rsidRPr="00A85AD7">
        <w:rPr>
          <w:rFonts w:asciiTheme="minorHAnsi" w:hAnsiTheme="minorHAnsi" w:cstheme="minorHAnsi"/>
          <w:sz w:val="22"/>
        </w:rPr>
        <w:t xml:space="preserve"> This mechanism of capturing future market liberalisation is known as ‘the ratchet</w:t>
      </w:r>
      <w:r w:rsidR="00451337">
        <w:rPr>
          <w:rFonts w:asciiTheme="minorHAnsi" w:hAnsiTheme="minorHAnsi" w:cstheme="minorHAnsi"/>
          <w:sz w:val="22"/>
        </w:rPr>
        <w:t>’</w:t>
      </w:r>
      <w:r w:rsidR="00880FB9" w:rsidRPr="00A85AD7">
        <w:rPr>
          <w:rFonts w:asciiTheme="minorHAnsi" w:hAnsiTheme="minorHAnsi" w:cstheme="minorHAnsi"/>
          <w:sz w:val="22"/>
        </w:rPr>
        <w:t xml:space="preserve">. </w:t>
      </w:r>
      <w:r w:rsidR="00FB1E5B" w:rsidRPr="00A85AD7">
        <w:rPr>
          <w:rFonts w:asciiTheme="minorHAnsi" w:hAnsiTheme="minorHAnsi" w:cstheme="minorHAnsi"/>
          <w:sz w:val="22"/>
        </w:rPr>
        <w:t xml:space="preserve"> </w:t>
      </w:r>
    </w:p>
    <w:p w14:paraId="163D88DF" w14:textId="77777777" w:rsidR="00866C2E" w:rsidRPr="00A85AD7" w:rsidRDefault="001F34C5"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 xml:space="preserve">TPP </w:t>
      </w:r>
      <w:r w:rsidR="00FB1E5B" w:rsidRPr="00A85AD7">
        <w:rPr>
          <w:rFonts w:asciiTheme="minorHAnsi" w:hAnsiTheme="minorHAnsi" w:cstheme="minorHAnsi"/>
          <w:sz w:val="22"/>
        </w:rPr>
        <w:t>Parties</w:t>
      </w:r>
      <w:r w:rsidRPr="00A85AD7">
        <w:rPr>
          <w:rFonts w:asciiTheme="minorHAnsi" w:hAnsiTheme="minorHAnsi" w:cstheme="minorHAnsi"/>
          <w:sz w:val="22"/>
        </w:rPr>
        <w:t xml:space="preserve"> have </w:t>
      </w:r>
      <w:r w:rsidR="00866C2E" w:rsidRPr="00A85AD7">
        <w:rPr>
          <w:rFonts w:asciiTheme="minorHAnsi" w:hAnsiTheme="minorHAnsi" w:cstheme="minorHAnsi"/>
          <w:sz w:val="22"/>
        </w:rPr>
        <w:t>specified particular activities and sectors where the government would like to retain flexibility to implement government policies, including to maintain existing policies</w:t>
      </w:r>
      <w:r w:rsidR="00B37E27" w:rsidRPr="00A85AD7">
        <w:rPr>
          <w:rFonts w:asciiTheme="minorHAnsi" w:hAnsiTheme="minorHAnsi" w:cstheme="minorHAnsi"/>
          <w:sz w:val="22"/>
        </w:rPr>
        <w:t xml:space="preserve"> or to introduce new policies</w:t>
      </w:r>
      <w:r w:rsidR="00866C2E" w:rsidRPr="00A85AD7">
        <w:rPr>
          <w:rFonts w:asciiTheme="minorHAnsi" w:hAnsiTheme="minorHAnsi" w:cstheme="minorHAnsi"/>
          <w:sz w:val="22"/>
        </w:rPr>
        <w:t xml:space="preserve"> which may discriminate </w:t>
      </w:r>
      <w:r w:rsidR="007E3EEA" w:rsidRPr="00A85AD7">
        <w:rPr>
          <w:rFonts w:asciiTheme="minorHAnsi" w:hAnsiTheme="minorHAnsi" w:cstheme="minorHAnsi"/>
          <w:sz w:val="22"/>
        </w:rPr>
        <w:t>betw</w:t>
      </w:r>
      <w:r w:rsidR="00B37E27" w:rsidRPr="00A85AD7">
        <w:rPr>
          <w:rFonts w:asciiTheme="minorHAnsi" w:hAnsiTheme="minorHAnsi" w:cstheme="minorHAnsi"/>
          <w:sz w:val="22"/>
        </w:rPr>
        <w:t>een local and foreign suppliers</w:t>
      </w:r>
      <w:r w:rsidR="00B7232A" w:rsidRPr="00A85AD7">
        <w:rPr>
          <w:rFonts w:asciiTheme="minorHAnsi" w:hAnsiTheme="minorHAnsi" w:cstheme="minorHAnsi"/>
          <w:sz w:val="22"/>
        </w:rPr>
        <w:t xml:space="preserve">.  Activities and sectors that TPP Parties have highlighted as being ‘carved-out’ from the key obligations under the </w:t>
      </w:r>
      <w:r w:rsidR="00FB1E5B" w:rsidRPr="00A85AD7">
        <w:rPr>
          <w:rFonts w:asciiTheme="minorHAnsi" w:hAnsiTheme="minorHAnsi" w:cstheme="minorHAnsi"/>
          <w:sz w:val="22"/>
        </w:rPr>
        <w:t>C</w:t>
      </w:r>
      <w:r w:rsidR="00B7232A" w:rsidRPr="00A85AD7">
        <w:rPr>
          <w:rFonts w:asciiTheme="minorHAnsi" w:hAnsiTheme="minorHAnsi" w:cstheme="minorHAnsi"/>
          <w:sz w:val="22"/>
        </w:rPr>
        <w:t>hapter</w:t>
      </w:r>
      <w:r w:rsidR="007E3EEA" w:rsidRPr="00A85AD7">
        <w:rPr>
          <w:rFonts w:asciiTheme="minorHAnsi" w:hAnsiTheme="minorHAnsi" w:cstheme="minorHAnsi"/>
          <w:sz w:val="22"/>
        </w:rPr>
        <w:t xml:space="preserve"> include </w:t>
      </w:r>
      <w:r w:rsidR="00866C2E" w:rsidRPr="00A85AD7">
        <w:rPr>
          <w:rFonts w:asciiTheme="minorHAnsi" w:hAnsiTheme="minorHAnsi" w:cstheme="minorHAnsi"/>
          <w:sz w:val="22"/>
        </w:rPr>
        <w:t>social servic</w:t>
      </w:r>
      <w:r w:rsidR="007E3EEA" w:rsidRPr="00A85AD7">
        <w:rPr>
          <w:rFonts w:asciiTheme="minorHAnsi" w:hAnsiTheme="minorHAnsi" w:cstheme="minorHAnsi"/>
          <w:sz w:val="22"/>
        </w:rPr>
        <w:t xml:space="preserve">es like public </w:t>
      </w:r>
      <w:r w:rsidR="00B7232A" w:rsidRPr="00A85AD7">
        <w:rPr>
          <w:rFonts w:asciiTheme="minorHAnsi" w:hAnsiTheme="minorHAnsi" w:cstheme="minorHAnsi"/>
          <w:sz w:val="22"/>
        </w:rPr>
        <w:t>health, education and social welfare</w:t>
      </w:r>
      <w:r w:rsidR="00866C2E" w:rsidRPr="00A85AD7">
        <w:rPr>
          <w:rFonts w:asciiTheme="minorHAnsi" w:hAnsiTheme="minorHAnsi" w:cstheme="minorHAnsi"/>
          <w:sz w:val="22"/>
        </w:rPr>
        <w:t>.</w:t>
      </w:r>
    </w:p>
    <w:p w14:paraId="51B89A6B" w14:textId="77777777" w:rsidR="00A85AD7" w:rsidRDefault="00186712"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These exceptions apply on a plurilateral basis to TPP Parties.</w:t>
      </w:r>
    </w:p>
    <w:p w14:paraId="3208D8AF" w14:textId="77777777" w:rsidR="0052077E" w:rsidRPr="00A85AD7" w:rsidRDefault="0052077E" w:rsidP="00B73B2E">
      <w:pPr>
        <w:pStyle w:val="Heading3"/>
        <w:jc w:val="both"/>
      </w:pPr>
      <w:r w:rsidRPr="00A85AD7">
        <w:lastRenderedPageBreak/>
        <w:t>Regulation</w:t>
      </w:r>
    </w:p>
    <w:p w14:paraId="186D74F0" w14:textId="77777777" w:rsidR="0052077E" w:rsidRPr="00A85AD7" w:rsidRDefault="0052077E" w:rsidP="00B73B2E">
      <w:pPr>
        <w:spacing w:after="200" w:line="276" w:lineRule="auto"/>
        <w:jc w:val="both"/>
        <w:rPr>
          <w:rFonts w:asciiTheme="minorHAnsi" w:hAnsiTheme="minorHAnsi" w:cstheme="minorHAnsi"/>
          <w:sz w:val="22"/>
        </w:rPr>
      </w:pPr>
      <w:r w:rsidRPr="00A85AD7">
        <w:rPr>
          <w:rFonts w:asciiTheme="minorHAnsi" w:hAnsiTheme="minorHAnsi" w:cstheme="minorHAnsi"/>
          <w:sz w:val="22"/>
        </w:rPr>
        <w:t xml:space="preserve">TPP </w:t>
      </w:r>
      <w:r w:rsidR="00FB1E5B" w:rsidRPr="00A85AD7">
        <w:rPr>
          <w:rFonts w:asciiTheme="minorHAnsi" w:hAnsiTheme="minorHAnsi" w:cstheme="minorHAnsi"/>
          <w:sz w:val="22"/>
        </w:rPr>
        <w:t xml:space="preserve">Parties </w:t>
      </w:r>
      <w:r w:rsidR="00E5582B" w:rsidRPr="00A85AD7">
        <w:rPr>
          <w:rFonts w:asciiTheme="minorHAnsi" w:hAnsiTheme="minorHAnsi" w:cstheme="minorHAnsi"/>
          <w:sz w:val="22"/>
        </w:rPr>
        <w:t>are required to</w:t>
      </w:r>
      <w:r w:rsidRPr="00A85AD7">
        <w:rPr>
          <w:rFonts w:asciiTheme="minorHAnsi" w:hAnsiTheme="minorHAnsi" w:cstheme="minorHAnsi"/>
          <w:sz w:val="22"/>
        </w:rPr>
        <w:t xml:space="preserve"> ensure that measures which affect the supply of services to their country are administered in a reasonable, objective and impartial way.</w:t>
      </w:r>
    </w:p>
    <w:p w14:paraId="3A2BD9FA" w14:textId="77777777" w:rsidR="0052077E" w:rsidRPr="00A85AD7" w:rsidRDefault="0052077E" w:rsidP="00B73B2E">
      <w:pPr>
        <w:spacing w:after="200" w:line="276" w:lineRule="auto"/>
        <w:jc w:val="both"/>
        <w:rPr>
          <w:rFonts w:asciiTheme="minorHAnsi" w:hAnsiTheme="minorHAnsi" w:cstheme="minorHAnsi"/>
          <w:b/>
          <w:sz w:val="22"/>
        </w:rPr>
      </w:pPr>
      <w:r w:rsidRPr="00A85AD7">
        <w:rPr>
          <w:rFonts w:asciiTheme="minorHAnsi" w:hAnsiTheme="minorHAnsi" w:cstheme="minorHAnsi"/>
          <w:sz w:val="22"/>
        </w:rPr>
        <w:t xml:space="preserve">To ensure that businesses are familiar with regulations which may affect how they supply services in a TPP </w:t>
      </w:r>
      <w:r w:rsidR="00FB1E5B" w:rsidRPr="00A85AD7">
        <w:rPr>
          <w:rFonts w:asciiTheme="minorHAnsi" w:hAnsiTheme="minorHAnsi" w:cstheme="minorHAnsi"/>
          <w:sz w:val="22"/>
        </w:rPr>
        <w:t>Party</w:t>
      </w:r>
      <w:r w:rsidRPr="00A85AD7">
        <w:rPr>
          <w:rFonts w:asciiTheme="minorHAnsi" w:hAnsiTheme="minorHAnsi" w:cstheme="minorHAnsi"/>
          <w:sz w:val="22"/>
        </w:rPr>
        <w:t xml:space="preserve">, each TPP </w:t>
      </w:r>
      <w:r w:rsidR="00FB1E5B" w:rsidRPr="00A85AD7">
        <w:rPr>
          <w:rFonts w:asciiTheme="minorHAnsi" w:hAnsiTheme="minorHAnsi" w:cstheme="minorHAnsi"/>
          <w:sz w:val="22"/>
        </w:rPr>
        <w:t>Party</w:t>
      </w:r>
      <w:r w:rsidRPr="00A85AD7">
        <w:rPr>
          <w:rFonts w:asciiTheme="minorHAnsi" w:hAnsiTheme="minorHAnsi" w:cstheme="minorHAnsi"/>
          <w:sz w:val="22"/>
        </w:rPr>
        <w:t xml:space="preserve"> </w:t>
      </w:r>
      <w:r w:rsidR="00E5582B" w:rsidRPr="00A85AD7">
        <w:rPr>
          <w:rFonts w:asciiTheme="minorHAnsi" w:hAnsiTheme="minorHAnsi" w:cstheme="minorHAnsi"/>
          <w:sz w:val="22"/>
        </w:rPr>
        <w:t xml:space="preserve">is required to make </w:t>
      </w:r>
      <w:r w:rsidRPr="00A85AD7">
        <w:rPr>
          <w:rFonts w:asciiTheme="minorHAnsi" w:hAnsiTheme="minorHAnsi" w:cstheme="minorHAnsi"/>
          <w:sz w:val="22"/>
        </w:rPr>
        <w:t>relevant laws and regulations publicly available</w:t>
      </w:r>
      <w:r w:rsidR="00A403FE" w:rsidRPr="00A85AD7">
        <w:rPr>
          <w:rFonts w:asciiTheme="minorHAnsi" w:hAnsiTheme="minorHAnsi" w:cstheme="minorHAnsi"/>
          <w:sz w:val="22"/>
        </w:rPr>
        <w:t xml:space="preserve"> </w:t>
      </w:r>
      <w:r w:rsidR="00E5582B" w:rsidRPr="00A85AD7">
        <w:rPr>
          <w:rFonts w:asciiTheme="minorHAnsi" w:hAnsiTheme="minorHAnsi" w:cstheme="minorHAnsi"/>
          <w:sz w:val="22"/>
        </w:rPr>
        <w:t>to allow</w:t>
      </w:r>
      <w:r w:rsidRPr="00A85AD7">
        <w:rPr>
          <w:rFonts w:asciiTheme="minorHAnsi" w:hAnsiTheme="minorHAnsi" w:cstheme="minorHAnsi"/>
          <w:sz w:val="22"/>
        </w:rPr>
        <w:t xml:space="preserve"> interested parties to comment on these regulations and </w:t>
      </w:r>
      <w:r w:rsidR="00E5582B" w:rsidRPr="00A85AD7">
        <w:rPr>
          <w:rFonts w:asciiTheme="minorHAnsi" w:hAnsiTheme="minorHAnsi" w:cstheme="minorHAnsi"/>
          <w:sz w:val="22"/>
        </w:rPr>
        <w:t xml:space="preserve">ensure </w:t>
      </w:r>
      <w:r w:rsidRPr="00A85AD7">
        <w:rPr>
          <w:rFonts w:asciiTheme="minorHAnsi" w:hAnsiTheme="minorHAnsi" w:cstheme="minorHAnsi"/>
          <w:sz w:val="22"/>
        </w:rPr>
        <w:t xml:space="preserve">that a mechanism is available for a TPP </w:t>
      </w:r>
      <w:r w:rsidR="00FB1E5B" w:rsidRPr="00A85AD7">
        <w:rPr>
          <w:rFonts w:asciiTheme="minorHAnsi" w:hAnsiTheme="minorHAnsi" w:cstheme="minorHAnsi"/>
          <w:sz w:val="22"/>
        </w:rPr>
        <w:t>Party</w:t>
      </w:r>
      <w:r w:rsidRPr="00A85AD7">
        <w:rPr>
          <w:rFonts w:asciiTheme="minorHAnsi" w:hAnsiTheme="minorHAnsi" w:cstheme="minorHAnsi"/>
          <w:sz w:val="22"/>
        </w:rPr>
        <w:t xml:space="preserve"> to respond to queries from businesses.</w:t>
      </w:r>
    </w:p>
    <w:p w14:paraId="3F562DE7" w14:textId="77777777" w:rsidR="0052077E" w:rsidRPr="00A85AD7" w:rsidRDefault="0052077E" w:rsidP="00B73B2E">
      <w:pPr>
        <w:pStyle w:val="Heading3"/>
        <w:jc w:val="both"/>
      </w:pPr>
      <w:r w:rsidRPr="00A85AD7">
        <w:t xml:space="preserve">Professional Recognition and Cooperation </w:t>
      </w:r>
    </w:p>
    <w:p w14:paraId="682BC7D7" w14:textId="77777777" w:rsidR="0052077E" w:rsidRPr="004D0BB1" w:rsidRDefault="0052077E" w:rsidP="00B73B2E">
      <w:pPr>
        <w:spacing w:after="200" w:line="276" w:lineRule="auto"/>
        <w:jc w:val="both"/>
        <w:rPr>
          <w:rFonts w:asciiTheme="minorHAnsi" w:hAnsiTheme="minorHAnsi" w:cstheme="minorHAnsi"/>
          <w:sz w:val="22"/>
        </w:rPr>
      </w:pPr>
      <w:r w:rsidRPr="004D0BB1">
        <w:rPr>
          <w:rFonts w:asciiTheme="minorHAnsi" w:hAnsiTheme="minorHAnsi" w:cstheme="minorHAnsi"/>
          <w:sz w:val="22"/>
        </w:rPr>
        <w:t xml:space="preserve">TPP </w:t>
      </w:r>
      <w:r w:rsidR="00FB1E5B" w:rsidRPr="004D0BB1">
        <w:rPr>
          <w:rFonts w:asciiTheme="minorHAnsi" w:hAnsiTheme="minorHAnsi" w:cstheme="minorHAnsi"/>
          <w:sz w:val="22"/>
        </w:rPr>
        <w:t>Parties</w:t>
      </w:r>
      <w:r w:rsidRPr="004D0BB1">
        <w:rPr>
          <w:rFonts w:asciiTheme="minorHAnsi" w:hAnsiTheme="minorHAnsi" w:cstheme="minorHAnsi"/>
          <w:sz w:val="22"/>
        </w:rPr>
        <w:t xml:space="preserve"> will establish a Professional Services Working Group to facilitate discussion between TPP </w:t>
      </w:r>
      <w:r w:rsidR="00FB1E5B" w:rsidRPr="004D0BB1">
        <w:rPr>
          <w:rFonts w:asciiTheme="minorHAnsi" w:hAnsiTheme="minorHAnsi" w:cstheme="minorHAnsi"/>
          <w:sz w:val="22"/>
        </w:rPr>
        <w:t xml:space="preserve">Parties </w:t>
      </w:r>
      <w:r w:rsidRPr="004D0BB1">
        <w:rPr>
          <w:rFonts w:asciiTheme="minorHAnsi" w:hAnsiTheme="minorHAnsi" w:cstheme="minorHAnsi"/>
          <w:sz w:val="22"/>
        </w:rPr>
        <w:t xml:space="preserve">and relevant professional bodies on recognition of professional qualifications, licensing and/or registration.  </w:t>
      </w:r>
    </w:p>
    <w:p w14:paraId="729E6389" w14:textId="77777777" w:rsidR="0052077E" w:rsidRPr="004D0BB1" w:rsidRDefault="0052077E" w:rsidP="00B73B2E">
      <w:pPr>
        <w:spacing w:after="200" w:line="276" w:lineRule="auto"/>
        <w:jc w:val="both"/>
        <w:rPr>
          <w:rFonts w:asciiTheme="minorHAnsi" w:hAnsiTheme="minorHAnsi" w:cstheme="minorHAnsi"/>
          <w:sz w:val="22"/>
        </w:rPr>
      </w:pPr>
      <w:r w:rsidRPr="004D0BB1">
        <w:rPr>
          <w:rFonts w:asciiTheme="minorHAnsi" w:hAnsiTheme="minorHAnsi" w:cstheme="minorHAnsi"/>
          <w:sz w:val="22"/>
        </w:rPr>
        <w:t xml:space="preserve">Countries may require the authorization, licensing or certification </w:t>
      </w:r>
      <w:r w:rsidR="00E5582B" w:rsidRPr="004D0BB1">
        <w:rPr>
          <w:rFonts w:asciiTheme="minorHAnsi" w:hAnsiTheme="minorHAnsi" w:cstheme="minorHAnsi"/>
          <w:sz w:val="22"/>
        </w:rPr>
        <w:t>for</w:t>
      </w:r>
      <w:r w:rsidRPr="004D0BB1">
        <w:rPr>
          <w:rFonts w:asciiTheme="minorHAnsi" w:hAnsiTheme="minorHAnsi" w:cstheme="minorHAnsi"/>
          <w:sz w:val="22"/>
        </w:rPr>
        <w:t xml:space="preserve"> certain services suppliers</w:t>
      </w:r>
      <w:r w:rsidR="00E5582B" w:rsidRPr="004D0BB1">
        <w:rPr>
          <w:rFonts w:asciiTheme="minorHAnsi" w:hAnsiTheme="minorHAnsi" w:cstheme="minorHAnsi"/>
          <w:sz w:val="22"/>
        </w:rPr>
        <w:t>, such as lawyers, architects and engineers</w:t>
      </w:r>
      <w:r w:rsidR="00451337" w:rsidRPr="004D0BB1">
        <w:rPr>
          <w:rFonts w:asciiTheme="minorHAnsi" w:hAnsiTheme="minorHAnsi" w:cstheme="minorHAnsi"/>
          <w:sz w:val="22"/>
        </w:rPr>
        <w:t xml:space="preserve">. </w:t>
      </w:r>
      <w:r w:rsidR="00B7232A" w:rsidRPr="004D0BB1">
        <w:rPr>
          <w:rFonts w:asciiTheme="minorHAnsi" w:hAnsiTheme="minorHAnsi" w:cstheme="minorHAnsi"/>
          <w:sz w:val="22"/>
        </w:rPr>
        <w:t>Such</w:t>
      </w:r>
      <w:r w:rsidRPr="004D0BB1">
        <w:rPr>
          <w:rFonts w:asciiTheme="minorHAnsi" w:hAnsiTheme="minorHAnsi" w:cstheme="minorHAnsi"/>
          <w:sz w:val="22"/>
        </w:rPr>
        <w:t xml:space="preserve"> requirements may differ between countries</w:t>
      </w:r>
      <w:r w:rsidR="00B37E27" w:rsidRPr="004D0BB1">
        <w:rPr>
          <w:rFonts w:asciiTheme="minorHAnsi" w:hAnsiTheme="minorHAnsi" w:cstheme="minorHAnsi"/>
          <w:sz w:val="22"/>
        </w:rPr>
        <w:t xml:space="preserve"> and</w:t>
      </w:r>
      <w:r w:rsidR="00B7232A" w:rsidRPr="004D0BB1">
        <w:rPr>
          <w:rFonts w:asciiTheme="minorHAnsi" w:hAnsiTheme="minorHAnsi" w:cstheme="minorHAnsi"/>
          <w:sz w:val="22"/>
        </w:rPr>
        <w:t xml:space="preserve"> include conditions</w:t>
      </w:r>
      <w:r w:rsidR="00E5582B" w:rsidRPr="004D0BB1">
        <w:rPr>
          <w:rFonts w:asciiTheme="minorHAnsi" w:hAnsiTheme="minorHAnsi" w:cstheme="minorHAnsi"/>
          <w:sz w:val="22"/>
        </w:rPr>
        <w:t xml:space="preserve"> in relation to </w:t>
      </w:r>
      <w:r w:rsidRPr="004D0BB1">
        <w:rPr>
          <w:rFonts w:asciiTheme="minorHAnsi" w:hAnsiTheme="minorHAnsi" w:cstheme="minorHAnsi"/>
          <w:sz w:val="22"/>
        </w:rPr>
        <w:t xml:space="preserve">education, experience and </w:t>
      </w:r>
      <w:r w:rsidR="00B7232A" w:rsidRPr="004D0BB1">
        <w:rPr>
          <w:rFonts w:asciiTheme="minorHAnsi" w:hAnsiTheme="minorHAnsi" w:cstheme="minorHAnsi"/>
          <w:sz w:val="22"/>
        </w:rPr>
        <w:t>professional licences and</w:t>
      </w:r>
      <w:r w:rsidRPr="004D0BB1">
        <w:rPr>
          <w:rFonts w:asciiTheme="minorHAnsi" w:hAnsiTheme="minorHAnsi" w:cstheme="minorHAnsi"/>
          <w:sz w:val="22"/>
        </w:rPr>
        <w:t xml:space="preserve"> certificates granted to the </w:t>
      </w:r>
      <w:r w:rsidR="00B7232A" w:rsidRPr="004D0BB1">
        <w:rPr>
          <w:rFonts w:asciiTheme="minorHAnsi" w:hAnsiTheme="minorHAnsi" w:cstheme="minorHAnsi"/>
          <w:sz w:val="22"/>
        </w:rPr>
        <w:t>service supplier</w:t>
      </w:r>
      <w:r w:rsidR="00451337" w:rsidRPr="004D0BB1">
        <w:rPr>
          <w:rFonts w:asciiTheme="minorHAnsi" w:hAnsiTheme="minorHAnsi" w:cstheme="minorHAnsi"/>
          <w:sz w:val="22"/>
        </w:rPr>
        <w:t xml:space="preserve"> in another country. </w:t>
      </w:r>
      <w:r w:rsidRPr="004D0BB1">
        <w:rPr>
          <w:rFonts w:asciiTheme="minorHAnsi" w:hAnsiTheme="minorHAnsi" w:cstheme="minorHAnsi"/>
          <w:sz w:val="22"/>
        </w:rPr>
        <w:t>Such recognition may be achieved through harmonisation, unilaterally</w:t>
      </w:r>
      <w:r w:rsidR="00FB1E5B" w:rsidRPr="004D0BB1">
        <w:rPr>
          <w:rFonts w:asciiTheme="minorHAnsi" w:hAnsiTheme="minorHAnsi" w:cstheme="minorHAnsi"/>
          <w:sz w:val="22"/>
        </w:rPr>
        <w:t>,</w:t>
      </w:r>
      <w:r w:rsidRPr="004D0BB1">
        <w:rPr>
          <w:rFonts w:asciiTheme="minorHAnsi" w:hAnsiTheme="minorHAnsi" w:cstheme="minorHAnsi"/>
          <w:sz w:val="22"/>
        </w:rPr>
        <w:t xml:space="preserve"> or by agreement between the countries.  </w:t>
      </w:r>
    </w:p>
    <w:p w14:paraId="415D7635" w14:textId="77777777" w:rsidR="0052077E" w:rsidRPr="004D0BB1" w:rsidRDefault="0052077E" w:rsidP="00B73B2E">
      <w:pPr>
        <w:spacing w:after="200" w:line="276" w:lineRule="auto"/>
        <w:jc w:val="both"/>
        <w:rPr>
          <w:rFonts w:asciiTheme="minorHAnsi" w:hAnsiTheme="minorHAnsi" w:cstheme="minorHAnsi"/>
          <w:sz w:val="22"/>
        </w:rPr>
      </w:pPr>
      <w:r w:rsidRPr="004D0BB1">
        <w:rPr>
          <w:rFonts w:asciiTheme="minorHAnsi" w:hAnsiTheme="minorHAnsi" w:cstheme="minorHAnsi"/>
          <w:sz w:val="22"/>
        </w:rPr>
        <w:t xml:space="preserve">In relation to legal services, TPP </w:t>
      </w:r>
      <w:r w:rsidR="00FB1E5B" w:rsidRPr="004D0BB1">
        <w:rPr>
          <w:rFonts w:asciiTheme="minorHAnsi" w:hAnsiTheme="minorHAnsi" w:cstheme="minorHAnsi"/>
          <w:sz w:val="22"/>
        </w:rPr>
        <w:t xml:space="preserve">Parties </w:t>
      </w:r>
      <w:r w:rsidRPr="004D0BB1">
        <w:rPr>
          <w:rFonts w:asciiTheme="minorHAnsi" w:hAnsiTheme="minorHAnsi" w:cstheme="minorHAnsi"/>
          <w:sz w:val="22"/>
        </w:rPr>
        <w:t xml:space="preserve">recognise the importance of transnational legal services and have committed to work with their relevant bodies to facilitate this.  TPP </w:t>
      </w:r>
      <w:r w:rsidR="00FB1E5B" w:rsidRPr="004D0BB1">
        <w:rPr>
          <w:rFonts w:asciiTheme="minorHAnsi" w:hAnsiTheme="minorHAnsi" w:cstheme="minorHAnsi"/>
          <w:sz w:val="22"/>
        </w:rPr>
        <w:t>Parties</w:t>
      </w:r>
      <w:r w:rsidRPr="004D0BB1">
        <w:rPr>
          <w:rFonts w:asciiTheme="minorHAnsi" w:hAnsiTheme="minorHAnsi" w:cstheme="minorHAnsi"/>
          <w:sz w:val="22"/>
        </w:rPr>
        <w:t xml:space="preserve"> will also build on work being done through APEC to promote mutual recognition for engineering and architectural services, including the possibility of implementing a licensing or registration regime on a temporary basis or for a specific project.  </w:t>
      </w:r>
    </w:p>
    <w:p w14:paraId="398C9769" w14:textId="77777777" w:rsidR="0052077E" w:rsidRPr="004D0BB1" w:rsidRDefault="0052077E" w:rsidP="00B73B2E">
      <w:pPr>
        <w:spacing w:after="200" w:line="276" w:lineRule="auto"/>
        <w:jc w:val="both"/>
        <w:rPr>
          <w:rFonts w:asciiTheme="minorHAnsi" w:hAnsiTheme="minorHAnsi" w:cstheme="minorHAnsi"/>
          <w:sz w:val="22"/>
        </w:rPr>
      </w:pPr>
      <w:r w:rsidRPr="004D0BB1">
        <w:rPr>
          <w:rFonts w:asciiTheme="minorHAnsi" w:hAnsiTheme="minorHAnsi" w:cstheme="minorHAnsi"/>
          <w:sz w:val="22"/>
        </w:rPr>
        <w:t xml:space="preserve">The Chapter also establishes a mechanism for TPP </w:t>
      </w:r>
      <w:r w:rsidR="00FB1E5B" w:rsidRPr="004D0BB1">
        <w:rPr>
          <w:rFonts w:asciiTheme="minorHAnsi" w:hAnsiTheme="minorHAnsi" w:cstheme="minorHAnsi"/>
          <w:sz w:val="22"/>
        </w:rPr>
        <w:t xml:space="preserve">Parties </w:t>
      </w:r>
      <w:r w:rsidRPr="004D0BB1">
        <w:rPr>
          <w:rFonts w:asciiTheme="minorHAnsi" w:hAnsiTheme="minorHAnsi" w:cstheme="minorHAnsi"/>
          <w:sz w:val="22"/>
        </w:rPr>
        <w:t xml:space="preserve">to consult with each other if conditions applicable to foreign suppliers of express delivery services in a TPP </w:t>
      </w:r>
      <w:r w:rsidR="00FB1E5B" w:rsidRPr="004D0BB1">
        <w:rPr>
          <w:rFonts w:asciiTheme="minorHAnsi" w:hAnsiTheme="minorHAnsi" w:cstheme="minorHAnsi"/>
          <w:sz w:val="22"/>
        </w:rPr>
        <w:t xml:space="preserve">Party </w:t>
      </w:r>
      <w:r w:rsidRPr="004D0BB1">
        <w:rPr>
          <w:rFonts w:asciiTheme="minorHAnsi" w:hAnsiTheme="minorHAnsi" w:cstheme="minorHAnsi"/>
          <w:sz w:val="22"/>
        </w:rPr>
        <w:t>become more restrictive after entry into force of the Agreement.  The obligations regarding express delivery services will not apply to those services exclusively provided by Australia Post under relevant laws and regulations.</w:t>
      </w:r>
    </w:p>
    <w:p w14:paraId="61996DE9" w14:textId="77777777" w:rsidR="009E727B" w:rsidRPr="004D0BB1" w:rsidRDefault="0052077E" w:rsidP="00B73B2E">
      <w:pPr>
        <w:spacing w:after="200" w:line="276" w:lineRule="auto"/>
        <w:jc w:val="both"/>
        <w:rPr>
          <w:rFonts w:asciiTheme="minorHAnsi" w:hAnsiTheme="minorHAnsi" w:cstheme="minorHAnsi"/>
          <w:sz w:val="22"/>
        </w:rPr>
      </w:pPr>
      <w:r w:rsidRPr="004D0BB1">
        <w:rPr>
          <w:rFonts w:asciiTheme="minorHAnsi" w:hAnsiTheme="minorHAnsi" w:cstheme="minorHAnsi"/>
          <w:sz w:val="22"/>
        </w:rPr>
        <w:t xml:space="preserve">The Chapter also establishes rules for monopoly providers </w:t>
      </w:r>
      <w:r w:rsidR="002922DC" w:rsidRPr="004D0BB1">
        <w:rPr>
          <w:rFonts w:asciiTheme="minorHAnsi" w:hAnsiTheme="minorHAnsi" w:cstheme="minorHAnsi"/>
          <w:sz w:val="22"/>
        </w:rPr>
        <w:t>of</w:t>
      </w:r>
      <w:r w:rsidRPr="004D0BB1">
        <w:rPr>
          <w:rFonts w:asciiTheme="minorHAnsi" w:hAnsiTheme="minorHAnsi" w:cstheme="minorHAnsi"/>
          <w:sz w:val="22"/>
        </w:rPr>
        <w:t xml:space="preserve"> certain postal services in a TPP </w:t>
      </w:r>
      <w:r w:rsidR="00FB1E5B" w:rsidRPr="004D0BB1">
        <w:rPr>
          <w:rFonts w:asciiTheme="minorHAnsi" w:hAnsiTheme="minorHAnsi" w:cstheme="minorHAnsi"/>
          <w:sz w:val="22"/>
        </w:rPr>
        <w:t xml:space="preserve">Party </w:t>
      </w:r>
      <w:r w:rsidR="00B37E27" w:rsidRPr="004D0BB1">
        <w:rPr>
          <w:rFonts w:asciiTheme="minorHAnsi" w:hAnsiTheme="minorHAnsi" w:cstheme="minorHAnsi"/>
          <w:sz w:val="22"/>
        </w:rPr>
        <w:t>to ensure</w:t>
      </w:r>
      <w:r w:rsidR="002922DC" w:rsidRPr="004D0BB1">
        <w:rPr>
          <w:rFonts w:asciiTheme="minorHAnsi" w:hAnsiTheme="minorHAnsi" w:cstheme="minorHAnsi"/>
          <w:sz w:val="22"/>
        </w:rPr>
        <w:t xml:space="preserve"> a level playing field between local and foreign postal service suppliers.  </w:t>
      </w:r>
    </w:p>
    <w:sectPr w:rsidR="009E727B" w:rsidRPr="004D0BB1" w:rsidSect="00032CE3">
      <w:headerReference w:type="default" r:id="rId12"/>
      <w:footerReference w:type="even" r:id="rId13"/>
      <w:footerReference w:type="default" r:id="rId14"/>
      <w:headerReference w:type="first" r:id="rId15"/>
      <w:footerReference w:type="first" r:id="rId16"/>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8F8D" w14:textId="77777777" w:rsidR="00E40BD9" w:rsidRDefault="00E40BD9" w:rsidP="00E8641D">
      <w:pPr>
        <w:spacing w:line="240" w:lineRule="auto"/>
      </w:pPr>
      <w:r>
        <w:separator/>
      </w:r>
    </w:p>
  </w:endnote>
  <w:endnote w:type="continuationSeparator" w:id="0">
    <w:p w14:paraId="2CC895B1" w14:textId="77777777" w:rsidR="00E40BD9" w:rsidRDefault="00E40BD9"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309A" w14:textId="77777777" w:rsidR="002922DC" w:rsidRDefault="002922D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7643A" w14:textId="77777777" w:rsidR="002922DC" w:rsidRDefault="002922D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274A" w14:textId="543706EB" w:rsidR="002922DC" w:rsidRDefault="002922D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0BB">
      <w:rPr>
        <w:rStyle w:val="PageNumber"/>
        <w:noProof/>
      </w:rPr>
      <w:t>3</w:t>
    </w:r>
    <w:r>
      <w:rPr>
        <w:rStyle w:val="PageNumber"/>
      </w:rPr>
      <w:fldChar w:fldCharType="end"/>
    </w:r>
  </w:p>
  <w:p w14:paraId="135509F8" w14:textId="00830F20" w:rsidR="002922DC" w:rsidRDefault="002922DC"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B37188">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FD48" w14:textId="640BB7EF" w:rsidR="002922DC" w:rsidRDefault="002922DC"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B37188">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4D9D77E5" wp14:editId="2D0D7804">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A533" w14:textId="77777777" w:rsidR="00E40BD9" w:rsidRDefault="00E40BD9" w:rsidP="00E8641D">
      <w:pPr>
        <w:spacing w:line="240" w:lineRule="auto"/>
      </w:pPr>
      <w:r>
        <w:separator/>
      </w:r>
    </w:p>
  </w:footnote>
  <w:footnote w:type="continuationSeparator" w:id="0">
    <w:p w14:paraId="7D3894F1" w14:textId="77777777" w:rsidR="00E40BD9" w:rsidRDefault="00E40BD9" w:rsidP="00E8641D">
      <w:pPr>
        <w:spacing w:line="240" w:lineRule="auto"/>
      </w:pPr>
      <w:r>
        <w:continuationSeparator/>
      </w:r>
    </w:p>
  </w:footnote>
  <w:footnote w:id="1">
    <w:p w14:paraId="78C1F389" w14:textId="77777777" w:rsidR="002922DC" w:rsidRDefault="002922DC" w:rsidP="0052077E">
      <w:pPr>
        <w:pStyle w:val="FootnoteText"/>
      </w:pPr>
      <w:r>
        <w:rPr>
          <w:rStyle w:val="FootnoteReference"/>
        </w:rPr>
        <w:footnoteRef/>
      </w:r>
      <w:r>
        <w:t xml:space="preserve"> </w:t>
      </w:r>
      <w:bookmarkStart w:id="0" w:name="_GoBack"/>
      <w:r>
        <w:t>Asialink</w:t>
      </w:r>
      <w:bookmarkEnd w:id="0"/>
      <w:r>
        <w:t xml:space="preserve"> Business, 2015, ‘Australia’s Jobs Future: The rise of Asia and the services opportunity’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0739" w14:textId="77777777" w:rsidR="002922DC" w:rsidRDefault="002922DC">
    <w:pPr>
      <w:pStyle w:val="Header"/>
    </w:pPr>
    <w:r>
      <w:rPr>
        <w:noProof/>
        <w:lang w:val="en-AU" w:eastAsia="en-AU"/>
      </w:rPr>
      <w:drawing>
        <wp:anchor distT="0" distB="180340" distL="114300" distR="114300" simplePos="0" relativeHeight="251660288" behindDoc="1" locked="0" layoutInCell="1" allowOverlap="1" wp14:anchorId="337673CF" wp14:editId="62458DAF">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DE0B" w14:textId="77777777" w:rsidR="002922DC" w:rsidRDefault="002922DC">
    <w:pPr>
      <w:pStyle w:val="Header"/>
    </w:pPr>
    <w:r>
      <w:rPr>
        <w:noProof/>
        <w:lang w:val="en-AU" w:eastAsia="en-AU"/>
      </w:rPr>
      <w:drawing>
        <wp:anchor distT="0" distB="180340" distL="114300" distR="114300" simplePos="0" relativeHeight="251658240" behindDoc="1" locked="0" layoutInCell="1" allowOverlap="1" wp14:anchorId="21596956" wp14:editId="7E2ADE42">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9261C"/>
    <w:rsid w:val="000A6142"/>
    <w:rsid w:val="000A6AAC"/>
    <w:rsid w:val="000B632F"/>
    <w:rsid w:val="001447DD"/>
    <w:rsid w:val="0015228B"/>
    <w:rsid w:val="0015787B"/>
    <w:rsid w:val="00186712"/>
    <w:rsid w:val="001923A6"/>
    <w:rsid w:val="001C13A2"/>
    <w:rsid w:val="001F34C5"/>
    <w:rsid w:val="00255704"/>
    <w:rsid w:val="00277B98"/>
    <w:rsid w:val="002922DC"/>
    <w:rsid w:val="002E1149"/>
    <w:rsid w:val="00306851"/>
    <w:rsid w:val="003D53B7"/>
    <w:rsid w:val="00401E7C"/>
    <w:rsid w:val="00423641"/>
    <w:rsid w:val="00451337"/>
    <w:rsid w:val="004B2171"/>
    <w:rsid w:val="004C1D59"/>
    <w:rsid w:val="004D0BB1"/>
    <w:rsid w:val="0052077E"/>
    <w:rsid w:val="00576FDA"/>
    <w:rsid w:val="005E0927"/>
    <w:rsid w:val="006050DB"/>
    <w:rsid w:val="006E172A"/>
    <w:rsid w:val="006F4F7E"/>
    <w:rsid w:val="00721F0C"/>
    <w:rsid w:val="00734E00"/>
    <w:rsid w:val="0079782B"/>
    <w:rsid w:val="007A6F6F"/>
    <w:rsid w:val="007C0D2B"/>
    <w:rsid w:val="007C4AEB"/>
    <w:rsid w:val="007C57D5"/>
    <w:rsid w:val="007E3EEA"/>
    <w:rsid w:val="00866C2E"/>
    <w:rsid w:val="00880FB9"/>
    <w:rsid w:val="0089567B"/>
    <w:rsid w:val="008C4B23"/>
    <w:rsid w:val="009606BB"/>
    <w:rsid w:val="00961D76"/>
    <w:rsid w:val="009D70BB"/>
    <w:rsid w:val="009E727B"/>
    <w:rsid w:val="00A403FE"/>
    <w:rsid w:val="00A85AD7"/>
    <w:rsid w:val="00AD4C0C"/>
    <w:rsid w:val="00B36E5B"/>
    <w:rsid w:val="00B37188"/>
    <w:rsid w:val="00B37E27"/>
    <w:rsid w:val="00B7232A"/>
    <w:rsid w:val="00B73B2E"/>
    <w:rsid w:val="00B837F6"/>
    <w:rsid w:val="00B95C02"/>
    <w:rsid w:val="00BC4272"/>
    <w:rsid w:val="00C14483"/>
    <w:rsid w:val="00C81FC7"/>
    <w:rsid w:val="00C939D5"/>
    <w:rsid w:val="00D150A6"/>
    <w:rsid w:val="00DC5B75"/>
    <w:rsid w:val="00E07FA1"/>
    <w:rsid w:val="00E40BD9"/>
    <w:rsid w:val="00E5582B"/>
    <w:rsid w:val="00E8641D"/>
    <w:rsid w:val="00EC62D6"/>
    <w:rsid w:val="00EE7A01"/>
    <w:rsid w:val="00F1408E"/>
    <w:rsid w:val="00F14C62"/>
    <w:rsid w:val="00F202F2"/>
    <w:rsid w:val="00F32763"/>
    <w:rsid w:val="00FB1E5B"/>
    <w:rsid w:val="00FE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81E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character" w:styleId="CommentReference">
    <w:name w:val="annotation reference"/>
    <w:basedOn w:val="DefaultParagraphFont"/>
    <w:uiPriority w:val="99"/>
    <w:semiHidden/>
    <w:unhideWhenUsed/>
    <w:rsid w:val="0015228B"/>
    <w:rPr>
      <w:sz w:val="16"/>
      <w:szCs w:val="16"/>
    </w:rPr>
  </w:style>
  <w:style w:type="paragraph" w:styleId="CommentText">
    <w:name w:val="annotation text"/>
    <w:basedOn w:val="Normal"/>
    <w:link w:val="CommentTextChar"/>
    <w:uiPriority w:val="99"/>
    <w:semiHidden/>
    <w:unhideWhenUsed/>
    <w:rsid w:val="0015228B"/>
    <w:pPr>
      <w:spacing w:line="240" w:lineRule="auto"/>
    </w:pPr>
    <w:rPr>
      <w:szCs w:val="20"/>
    </w:rPr>
  </w:style>
  <w:style w:type="character" w:customStyle="1" w:styleId="CommentTextChar">
    <w:name w:val="Comment Text Char"/>
    <w:basedOn w:val="DefaultParagraphFont"/>
    <w:link w:val="CommentText"/>
    <w:uiPriority w:val="99"/>
    <w:semiHidden/>
    <w:rsid w:val="0015228B"/>
    <w:rPr>
      <w:color w:val="auto"/>
      <w:sz w:val="20"/>
      <w:szCs w:val="20"/>
    </w:rPr>
  </w:style>
  <w:style w:type="paragraph" w:styleId="CommentSubject">
    <w:name w:val="annotation subject"/>
    <w:basedOn w:val="CommentText"/>
    <w:next w:val="CommentText"/>
    <w:link w:val="CommentSubjectChar"/>
    <w:uiPriority w:val="99"/>
    <w:semiHidden/>
    <w:unhideWhenUsed/>
    <w:rsid w:val="0015228B"/>
    <w:rPr>
      <w:b/>
      <w:bCs/>
    </w:rPr>
  </w:style>
  <w:style w:type="character" w:customStyle="1" w:styleId="CommentSubjectChar">
    <w:name w:val="Comment Subject Char"/>
    <w:basedOn w:val="CommentTextChar"/>
    <w:link w:val="CommentSubject"/>
    <w:uiPriority w:val="99"/>
    <w:semiHidden/>
    <w:rsid w:val="0015228B"/>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8B6A-DE79-469A-9627-E167B30D0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7C4B6-9E06-4D7A-96A6-DFFC97BC51DE}">
  <ds:schemaRefs>
    <ds:schemaRef ds:uri="http://schemas.microsoft.com/sharepoint/v3/contenttype/forms"/>
  </ds:schemaRefs>
</ds:datastoreItem>
</file>

<file path=customXml/itemProps3.xml><?xml version="1.0" encoding="utf-8"?>
<ds:datastoreItem xmlns:ds="http://schemas.openxmlformats.org/officeDocument/2006/customXml" ds:itemID="{73B7CCB2-98E3-46FB-A75F-077F494580E0}">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956FD5D-7520-46E5-81E1-0F4A8567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2016-12-06T22:38:00Z</dcterms:created>
  <dcterms:modified xsi:type="dcterms:W3CDTF">2016-12-06T22:54:00Z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d5a35f74-7644-49b1-a272-ad93a058687e</vt:lpwstr>
  </property>
  <property fmtid="{D5CDD505-2E9C-101B-9397-08002B2CF9AE}" pid="10" name="SEC">
    <vt:lpwstr>UNCLASSIFIED</vt:lpwstr>
  </property>
  <property fmtid="{D5CDD505-2E9C-101B-9397-08002B2CF9AE}" pid="11" name="DLM">
    <vt:lpwstr>No DLM</vt:lpwstr>
  </property>
</Properties>
</file>