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Oswald Light" w:eastAsiaTheme="minorHAnsi" w:hAnsi="Oswald Light" w:cs="Times New Roman (Body CS)"/>
          <w:color w:val="4472C4" w:themeColor="accent1"/>
          <w:spacing w:val="30"/>
          <w:sz w:val="24"/>
          <w:szCs w:val="24"/>
          <w:lang w:val="en-AU" w:eastAsia="en-US"/>
        </w:rPr>
        <w:id w:val="1916512131"/>
        <w:docPartObj>
          <w:docPartGallery w:val="Cover Pages"/>
          <w:docPartUnique/>
        </w:docPartObj>
      </w:sdtPr>
      <w:sdtEndPr>
        <w:rPr>
          <w:rFonts w:ascii="Oswald" w:hAnsi="Oswald"/>
          <w:b/>
          <w:color w:val="0E1428"/>
          <w:spacing w:val="120"/>
          <w:sz w:val="52"/>
          <w:szCs w:val="52"/>
        </w:rPr>
      </w:sdtEndPr>
      <w:sdtContent>
        <w:p w14:paraId="381E0AC9" w14:textId="77777777" w:rsidR="00FB2C3C" w:rsidRDefault="00FB2C3C" w:rsidP="00FB2C3C">
          <w:pPr>
            <w:pStyle w:val="NoSpacing"/>
            <w:spacing w:before="1540" w:after="240"/>
          </w:pPr>
        </w:p>
        <w:p w14:paraId="0FA39ADC" w14:textId="0ACE8298" w:rsidR="00FB2C3C" w:rsidRDefault="00FB2C3C" w:rsidP="00FB2C3C">
          <w:pPr>
            <w:rPr>
              <w:rFonts w:ascii="Oswald" w:hAnsi="Oswald" w:cs="Times New Roman (Body CS)"/>
              <w:b/>
              <w:color w:val="0E1428"/>
              <w:spacing w:val="120"/>
              <w:sz w:val="52"/>
              <w:szCs w:val="52"/>
            </w:rPr>
          </w:pPr>
          <w:r w:rsidRPr="00AD5BE1">
            <w:rPr>
              <w:rFonts w:ascii="Oswald" w:hAnsi="Oswald" w:cs="Times New Roman (Body CS)"/>
              <w:b/>
              <w:noProof/>
              <w:color w:val="0E1428"/>
              <w:spacing w:val="120"/>
              <w:sz w:val="52"/>
              <w:szCs w:val="52"/>
              <w:lang w:eastAsia="en-AU"/>
            </w:rPr>
            <w:drawing>
              <wp:inline distT="0" distB="0" distL="0" distR="0" wp14:anchorId="1EC6E39F" wp14:editId="0878F4A2">
                <wp:extent cx="3449320" cy="1860550"/>
                <wp:effectExtent l="0" t="0" r="0" b="6350"/>
                <wp:docPr id="36" name="Picture 36" descr="Strategic Developmen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trategic Development Grou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9320" cy="1860550"/>
                        </a:xfrm>
                        <a:prstGeom prst="rect">
                          <a:avLst/>
                        </a:prstGeom>
                      </pic:spPr>
                    </pic:pic>
                  </a:graphicData>
                </a:graphic>
              </wp:inline>
            </w:drawing>
          </w:r>
        </w:p>
        <w:p w14:paraId="12789981" w14:textId="77777777" w:rsidR="00FB2C3C" w:rsidRDefault="00FB2C3C" w:rsidP="00FB2C3C">
          <w:pPr>
            <w:rPr>
              <w:rFonts w:ascii="Oswald" w:hAnsi="Oswald" w:cs="Times New Roman (Body CS)"/>
              <w:b/>
              <w:color w:val="0E1428"/>
              <w:spacing w:val="120"/>
              <w:sz w:val="52"/>
              <w:szCs w:val="52"/>
            </w:rPr>
          </w:pPr>
          <w:r w:rsidRPr="00AD5BE1">
            <w:rPr>
              <w:rFonts w:ascii="Oswald" w:hAnsi="Oswald" w:cs="Times New Roman (Body CS)"/>
              <w:b/>
              <w:noProof/>
              <w:color w:val="0E1428"/>
              <w:spacing w:val="120"/>
              <w:sz w:val="52"/>
              <w:szCs w:val="52"/>
              <w:lang w:eastAsia="en-AU"/>
            </w:rPr>
            <mc:AlternateContent>
              <mc:Choice Requires="wps">
                <w:drawing>
                  <wp:anchor distT="0" distB="0" distL="114300" distR="114300" simplePos="0" relativeHeight="251657216" behindDoc="0" locked="0" layoutInCell="1" allowOverlap="1" wp14:anchorId="429C9F61" wp14:editId="0217FA39">
                    <wp:simplePos x="0" y="0"/>
                    <wp:positionH relativeFrom="column">
                      <wp:posOffset>7683</wp:posOffset>
                    </wp:positionH>
                    <wp:positionV relativeFrom="paragraph">
                      <wp:posOffset>427990</wp:posOffset>
                    </wp:positionV>
                    <wp:extent cx="5563475" cy="0"/>
                    <wp:effectExtent l="12700" t="12700" r="24765" b="1270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3475" cy="0"/>
                            </a:xfrm>
                            <a:prstGeom prst="line">
                              <a:avLst/>
                            </a:prstGeom>
                            <a:ln w="22225" cap="rnd">
                              <a:solidFill>
                                <a:srgbClr val="0E14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81AEC" id="Straight Connector 37"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3.7pt" to="438.6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" strokecolor="#0e1428" strokeweight="1.75pt">
                    <v:stroke dashstyle="1 1" joinstyle="miter" endcap="round"/>
                  </v:line>
                </w:pict>
              </mc:Fallback>
            </mc:AlternateContent>
          </w:r>
        </w:p>
        <w:p w14:paraId="003C2F91" w14:textId="77777777" w:rsidR="000B4776" w:rsidRPr="008768E4" w:rsidRDefault="000B4776" w:rsidP="000B4776">
          <w:pPr>
            <w:pStyle w:val="Subheading"/>
            <w:rPr>
              <w:rStyle w:val="MajorHeading"/>
              <w:rFonts w:asciiTheme="majorHAnsi" w:hAnsiTheme="majorHAnsi" w:cstheme="majorHAnsi"/>
              <w:b w:val="0"/>
              <w:color w:val="B7432A"/>
              <w:spacing w:val="30"/>
              <w:sz w:val="28"/>
              <w:szCs w:val="28"/>
            </w:rPr>
          </w:pPr>
          <w:r w:rsidRPr="008768E4">
            <w:rPr>
              <w:rStyle w:val="MajorHeading"/>
              <w:rFonts w:asciiTheme="majorHAnsi" w:hAnsiTheme="majorHAnsi" w:cstheme="majorHAnsi"/>
              <w:b w:val="0"/>
              <w:color w:val="B7432A"/>
              <w:spacing w:val="30"/>
              <w:sz w:val="28"/>
              <w:szCs w:val="28"/>
            </w:rPr>
            <w:t>DEPARTMENT OF FOREIGN AFFAIRS AND TRADE</w:t>
          </w:r>
        </w:p>
        <w:p w14:paraId="1FF9717E" w14:textId="77777777" w:rsidR="000B4776" w:rsidRPr="008768E4" w:rsidRDefault="000B4776" w:rsidP="000B4776">
          <w:pPr>
            <w:pStyle w:val="Subheading"/>
            <w:rPr>
              <w:rStyle w:val="MajorHeading"/>
              <w:rFonts w:asciiTheme="majorHAnsi" w:hAnsiTheme="majorHAnsi" w:cstheme="majorHAnsi"/>
              <w:b w:val="0"/>
              <w:color w:val="B7432A"/>
              <w:spacing w:val="30"/>
              <w:sz w:val="28"/>
              <w:szCs w:val="28"/>
            </w:rPr>
          </w:pPr>
        </w:p>
        <w:p w14:paraId="3F83C1DF" w14:textId="4CC0D3B2" w:rsidR="000B4776" w:rsidRDefault="000B4776" w:rsidP="000B4776">
          <w:pPr>
            <w:pStyle w:val="Subheading"/>
            <w:rPr>
              <w:rStyle w:val="MajorHeading"/>
              <w:rFonts w:asciiTheme="majorHAnsi" w:hAnsiTheme="majorHAnsi" w:cstheme="majorHAnsi"/>
              <w:b w:val="0"/>
              <w:color w:val="B7432A"/>
              <w:spacing w:val="30"/>
              <w:sz w:val="28"/>
              <w:szCs w:val="28"/>
            </w:rPr>
          </w:pPr>
          <w:r w:rsidRPr="008768E4">
            <w:rPr>
              <w:rStyle w:val="MajorHeading"/>
              <w:rFonts w:asciiTheme="majorHAnsi" w:hAnsiTheme="majorHAnsi" w:cstheme="majorHAnsi"/>
              <w:b w:val="0"/>
              <w:color w:val="B7432A"/>
              <w:spacing w:val="30"/>
              <w:sz w:val="28"/>
              <w:szCs w:val="28"/>
            </w:rPr>
            <w:t>AUSTRALIA PACIFIC CLIMATE PARTNERSHIP</w:t>
          </w:r>
        </w:p>
        <w:p w14:paraId="1C863A18" w14:textId="77777777" w:rsidR="000B4776" w:rsidRPr="008768E4" w:rsidRDefault="000B4776" w:rsidP="000B4776">
          <w:pPr>
            <w:pStyle w:val="Subheading"/>
            <w:rPr>
              <w:rStyle w:val="MajorHeading"/>
              <w:rFonts w:asciiTheme="majorHAnsi" w:hAnsiTheme="majorHAnsi" w:cstheme="majorHAnsi"/>
              <w:b w:val="0"/>
              <w:color w:val="B7432A"/>
              <w:spacing w:val="30"/>
              <w:sz w:val="28"/>
              <w:szCs w:val="28"/>
            </w:rPr>
          </w:pPr>
        </w:p>
        <w:p w14:paraId="3F72B1BF" w14:textId="77777777" w:rsidR="000B4776" w:rsidRPr="00AD5BE1" w:rsidRDefault="000B4776" w:rsidP="000B4776">
          <w:pPr>
            <w:rPr>
              <w:rStyle w:val="MajorHeading"/>
            </w:rPr>
          </w:pPr>
          <w:r>
            <w:rPr>
              <w:rStyle w:val="MajorHeading"/>
              <w:rFonts w:asciiTheme="majorHAnsi" w:hAnsiTheme="majorHAnsi" w:cstheme="majorHAnsi"/>
            </w:rPr>
            <w:t>MID-TERM REVIEW REPORT</w:t>
          </w:r>
        </w:p>
        <w:p w14:paraId="4511B40C" w14:textId="57E0D8FD" w:rsidR="00FB2C3C" w:rsidRDefault="00FB2C3C" w:rsidP="00FB2C3C">
          <w:pPr>
            <w:rPr>
              <w:rFonts w:ascii="Oswald" w:hAnsi="Oswald" w:cs="Times New Roman (Body CS)"/>
              <w:b/>
              <w:color w:val="0E1428"/>
              <w:spacing w:val="120"/>
              <w:sz w:val="52"/>
              <w:szCs w:val="52"/>
            </w:rPr>
          </w:pPr>
        </w:p>
        <w:p w14:paraId="67B25ADE" w14:textId="330C9CF6" w:rsidR="00FB2C3C" w:rsidRPr="000B4776" w:rsidRDefault="000B4776" w:rsidP="000B4776">
          <w:pPr>
            <w:pStyle w:val="Subheading"/>
            <w:rPr>
              <w:rFonts w:asciiTheme="majorHAnsi" w:hAnsiTheme="majorHAnsi" w:cstheme="majorHAnsi"/>
              <w:lang w:val="en-US"/>
            </w:rPr>
          </w:pPr>
          <w:r>
            <w:rPr>
              <w:rFonts w:asciiTheme="majorHAnsi" w:hAnsiTheme="majorHAnsi" w:cstheme="majorHAnsi"/>
              <w:lang w:val="en-US"/>
            </w:rPr>
            <w:t>16 JUNE 2021</w:t>
          </w:r>
        </w:p>
      </w:sdtContent>
    </w:sdt>
    <w:p w14:paraId="4054E2C5" w14:textId="3887CDA2" w:rsidR="00FB2C3C" w:rsidRDefault="00FB2C3C" w:rsidP="00FB2C3C">
      <w:pPr>
        <w:jc w:val="right"/>
        <w:rPr>
          <w:rFonts w:ascii="Roboto Light" w:hAnsi="Roboto Light" w:cs="Roboto Light"/>
          <w:sz w:val="18"/>
          <w:szCs w:val="18"/>
          <w:lang w:val="en-US"/>
        </w:rPr>
      </w:pPr>
    </w:p>
    <w:p w14:paraId="138C7D88" w14:textId="77777777" w:rsidR="00FB2C3C" w:rsidRDefault="00FB2C3C" w:rsidP="00FB2C3C">
      <w:pPr>
        <w:rPr>
          <w:rFonts w:ascii="Roboto Light" w:hAnsi="Roboto Light" w:cs="Roboto Light"/>
          <w:sz w:val="18"/>
          <w:szCs w:val="18"/>
          <w:lang w:val="en-US"/>
        </w:rPr>
        <w:sectPr w:rsidR="00FB2C3C" w:rsidSect="00FB2C3C">
          <w:footerReference w:type="even" r:id="rId9"/>
          <w:footerReference w:type="default" r:id="rId10"/>
          <w:footerReference w:type="first" r:id="rId11"/>
          <w:pgSz w:w="11900" w:h="16840"/>
          <w:pgMar w:top="1701" w:right="1440" w:bottom="1440" w:left="1440" w:header="709" w:footer="709" w:gutter="0"/>
          <w:pgNumType w:start="0"/>
          <w:cols w:space="708"/>
          <w:titlePg/>
          <w:docGrid w:linePitch="360"/>
        </w:sectPr>
      </w:pPr>
    </w:p>
    <w:p w14:paraId="0FB87558" w14:textId="77777777" w:rsidR="00FB2C3C" w:rsidRPr="00611197" w:rsidRDefault="00FB2C3C" w:rsidP="00611197">
      <w:pPr>
        <w:pStyle w:val="Heading1A"/>
        <w:rPr>
          <w:rStyle w:val="MajorHeading"/>
        </w:rPr>
      </w:pPr>
      <w:bookmarkStart w:id="0" w:name="_Toc520113639"/>
      <w:bookmarkStart w:id="1" w:name="_Toc520113928"/>
      <w:bookmarkStart w:id="2" w:name="_Toc72104068"/>
      <w:r w:rsidRPr="00611197">
        <w:rPr>
          <w:rStyle w:val="MajorHeading"/>
        </w:rPr>
        <w:lastRenderedPageBreak/>
        <w:t>EXECUTIVE SUMMARY</w:t>
      </w:r>
      <w:bookmarkEnd w:id="0"/>
      <w:bookmarkEnd w:id="1"/>
      <w:bookmarkEnd w:id="2"/>
    </w:p>
    <w:p w14:paraId="327A6785" w14:textId="77777777" w:rsidR="00FB2C3C" w:rsidRDefault="00FB2C3C" w:rsidP="00FB2C3C">
      <w:pPr>
        <w:rPr>
          <w:rStyle w:val="MajorHeading"/>
          <w:rFonts w:asciiTheme="majorHAnsi" w:hAnsiTheme="majorHAnsi" w:cstheme="majorHAnsi"/>
        </w:rPr>
      </w:pPr>
    </w:p>
    <w:p w14:paraId="1CE215C9" w14:textId="77777777" w:rsidR="0054634F" w:rsidRPr="0054634F" w:rsidRDefault="0054634F" w:rsidP="0054634F">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4634F">
        <w:rPr>
          <w:rFonts w:asciiTheme="majorHAnsi" w:hAnsiTheme="majorHAnsi" w:cstheme="majorHAnsi"/>
          <w:color w:val="00000F"/>
          <w:sz w:val="22"/>
          <w:szCs w:val="22"/>
        </w:rPr>
        <w:t xml:space="preserve">The </w:t>
      </w:r>
      <w:r w:rsidRPr="0054634F">
        <w:rPr>
          <w:rFonts w:asciiTheme="majorHAnsi" w:hAnsiTheme="majorHAnsi" w:cstheme="majorHAnsi"/>
          <w:b/>
          <w:bCs/>
          <w:color w:val="00000F"/>
          <w:sz w:val="22"/>
          <w:szCs w:val="22"/>
        </w:rPr>
        <w:t>Australia Pacific Climate Partnership (the Partnership)</w:t>
      </w:r>
      <w:r w:rsidRPr="0054634F">
        <w:rPr>
          <w:rFonts w:asciiTheme="majorHAnsi" w:hAnsiTheme="majorHAnsi" w:cstheme="majorHAnsi"/>
          <w:color w:val="00000F"/>
          <w:sz w:val="22"/>
          <w:szCs w:val="22"/>
        </w:rPr>
        <w:t xml:space="preserve"> is a four year (2018-19/2021-22) regional program. It seeks to strengthen the climate and disaster resilience of Pacific peoples, and has the following intended end of program outcomes: </w:t>
      </w:r>
    </w:p>
    <w:p w14:paraId="286A89E7" w14:textId="77777777" w:rsidR="0054634F" w:rsidRPr="0054634F" w:rsidRDefault="0054634F" w:rsidP="002D5E66">
      <w:pPr>
        <w:numPr>
          <w:ilvl w:val="0"/>
          <w:numId w:val="9"/>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4634F">
        <w:rPr>
          <w:rFonts w:asciiTheme="majorHAnsi" w:hAnsiTheme="majorHAnsi" w:cstheme="majorHAnsi"/>
          <w:color w:val="00000F"/>
          <w:sz w:val="22"/>
          <w:szCs w:val="22"/>
        </w:rPr>
        <w:t xml:space="preserve">Australian aid investments in the Pacific are climate and disaster risk </w:t>
      </w:r>
      <w:r w:rsidR="00D6558F" w:rsidRPr="0054634F">
        <w:rPr>
          <w:rFonts w:asciiTheme="majorHAnsi" w:hAnsiTheme="majorHAnsi" w:cstheme="majorHAnsi"/>
          <w:color w:val="00000F"/>
          <w:sz w:val="22"/>
          <w:szCs w:val="22"/>
        </w:rPr>
        <w:t>informed.</w:t>
      </w:r>
      <w:r w:rsidRPr="0054634F">
        <w:rPr>
          <w:rFonts w:asciiTheme="majorHAnsi" w:hAnsiTheme="majorHAnsi" w:cstheme="majorHAnsi"/>
          <w:color w:val="00000F"/>
          <w:sz w:val="22"/>
          <w:szCs w:val="22"/>
        </w:rPr>
        <w:t xml:space="preserve"> </w:t>
      </w:r>
    </w:p>
    <w:p w14:paraId="1A391A25" w14:textId="77777777" w:rsidR="0054634F" w:rsidRPr="0054634F" w:rsidRDefault="0054634F" w:rsidP="002D5E66">
      <w:pPr>
        <w:numPr>
          <w:ilvl w:val="0"/>
          <w:numId w:val="9"/>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4634F">
        <w:rPr>
          <w:rFonts w:asciiTheme="majorHAnsi" w:hAnsiTheme="majorHAnsi" w:cstheme="majorHAnsi"/>
          <w:color w:val="00000F"/>
          <w:sz w:val="22"/>
          <w:szCs w:val="22"/>
        </w:rPr>
        <w:t>Australian supported climate change information is relevant and influential; and</w:t>
      </w:r>
    </w:p>
    <w:p w14:paraId="1BACABE6" w14:textId="77777777" w:rsidR="0054634F" w:rsidRDefault="0054634F" w:rsidP="002D5E66">
      <w:pPr>
        <w:numPr>
          <w:ilvl w:val="0"/>
          <w:numId w:val="9"/>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4634F">
        <w:rPr>
          <w:rFonts w:asciiTheme="majorHAnsi" w:hAnsiTheme="majorHAnsi" w:cstheme="majorHAnsi"/>
          <w:color w:val="00000F"/>
          <w:sz w:val="22"/>
          <w:szCs w:val="22"/>
        </w:rPr>
        <w:t xml:space="preserve">Australia is valued as a partner in climate change action in the Pacific. </w:t>
      </w:r>
    </w:p>
    <w:p w14:paraId="4A4B61B5" w14:textId="77777777" w:rsidR="00E15734" w:rsidRDefault="00E15734" w:rsidP="00E1573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8F03DB6" w14:textId="77777777" w:rsidR="00C21290" w:rsidRDefault="00ED1F49" w:rsidP="00E1573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109FD">
        <w:rPr>
          <w:rFonts w:asciiTheme="majorHAnsi" w:hAnsiTheme="majorHAnsi" w:cstheme="majorHAnsi"/>
          <w:color w:val="00000F"/>
          <w:sz w:val="22"/>
          <w:szCs w:val="22"/>
        </w:rPr>
        <w:t>The Partnership consists of various subprograms, including: The Support Unit (</w:t>
      </w:r>
      <w:r>
        <w:rPr>
          <w:rFonts w:asciiTheme="majorHAnsi" w:hAnsiTheme="majorHAnsi" w:cstheme="majorHAnsi"/>
          <w:color w:val="00000F"/>
          <w:sz w:val="22"/>
          <w:szCs w:val="22"/>
        </w:rPr>
        <w:t xml:space="preserve">SU, </w:t>
      </w:r>
      <w:r w:rsidRPr="005109FD">
        <w:rPr>
          <w:rFonts w:asciiTheme="majorHAnsi" w:hAnsiTheme="majorHAnsi" w:cstheme="majorHAnsi"/>
          <w:color w:val="00000F"/>
          <w:sz w:val="22"/>
          <w:szCs w:val="22"/>
        </w:rPr>
        <w:t>$22.6m 2018-19 to 2021-22), the Climate and Oceans Support Program in the Pacific, Phase 2 (COSPPac2, $23.3m, 2017-18 to 2021-22), and Governance for Resilient Development in the Pacific (</w:t>
      </w:r>
      <w:r>
        <w:rPr>
          <w:rFonts w:asciiTheme="majorHAnsi" w:hAnsiTheme="majorHAnsi" w:cstheme="majorHAnsi"/>
          <w:color w:val="00000F"/>
          <w:sz w:val="22"/>
          <w:szCs w:val="22"/>
        </w:rPr>
        <w:t>Gov4Res</w:t>
      </w:r>
      <w:r w:rsidRPr="005109FD">
        <w:rPr>
          <w:rFonts w:asciiTheme="majorHAnsi" w:hAnsiTheme="majorHAnsi" w:cstheme="majorHAnsi"/>
          <w:color w:val="00000F"/>
          <w:sz w:val="22"/>
          <w:szCs w:val="22"/>
        </w:rPr>
        <w:t xml:space="preserve"> $10.4m 2018-2019 to 2021-22).</w:t>
      </w:r>
    </w:p>
    <w:p w14:paraId="437C4A9B" w14:textId="77777777" w:rsidR="00ED1F49" w:rsidRDefault="00ED1F49" w:rsidP="00E1573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1246EDD5" w14:textId="77777777" w:rsidR="00311EB2" w:rsidRDefault="00311EB2" w:rsidP="00311EB2">
      <w:pPr>
        <w:suppressAutoHyphens/>
        <w:autoSpaceDE w:val="0"/>
        <w:autoSpaceDN w:val="0"/>
        <w:adjustRightInd w:val="0"/>
        <w:spacing w:after="120" w:line="288" w:lineRule="auto"/>
        <w:jc w:val="both"/>
        <w:textAlignment w:val="center"/>
        <w:rPr>
          <w:rFonts w:asciiTheme="majorHAnsi" w:hAnsiTheme="majorHAnsi" w:cstheme="majorHAnsi"/>
          <w:color w:val="00000F"/>
          <w:sz w:val="22"/>
          <w:szCs w:val="22"/>
        </w:rPr>
      </w:pPr>
      <w:r w:rsidRPr="005F3A84">
        <w:rPr>
          <w:rFonts w:asciiTheme="majorHAnsi" w:hAnsiTheme="majorHAnsi" w:cstheme="majorHAnsi"/>
          <w:color w:val="00000F"/>
          <w:sz w:val="22"/>
          <w:szCs w:val="22"/>
        </w:rPr>
        <w:t>The purpose of the mid-term review is</w:t>
      </w:r>
      <w:r w:rsidRPr="007177E3">
        <w:rPr>
          <w:rFonts w:asciiTheme="majorHAnsi" w:hAnsiTheme="majorHAnsi" w:cstheme="majorHAnsi"/>
          <w:color w:val="00000F"/>
          <w:sz w:val="22"/>
          <w:szCs w:val="22"/>
        </w:rPr>
        <w:t xml:space="preserve"> </w:t>
      </w:r>
      <w:r w:rsidRPr="005F3A84">
        <w:rPr>
          <w:rFonts w:asciiTheme="majorHAnsi" w:hAnsiTheme="majorHAnsi" w:cstheme="majorHAnsi"/>
          <w:color w:val="00000F"/>
          <w:sz w:val="22"/>
          <w:szCs w:val="22"/>
        </w:rPr>
        <w:t xml:space="preserve">twofold: </w:t>
      </w:r>
    </w:p>
    <w:p w14:paraId="461ECFD5" w14:textId="77777777" w:rsidR="00311EB2" w:rsidRDefault="00311EB2" w:rsidP="002D5E66">
      <w:pPr>
        <w:pStyle w:val="ListParagraph"/>
        <w:numPr>
          <w:ilvl w:val="0"/>
          <w:numId w:val="2"/>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7A761F">
        <w:rPr>
          <w:rFonts w:asciiTheme="majorHAnsi" w:hAnsiTheme="majorHAnsi" w:cstheme="majorHAnsi"/>
          <w:color w:val="00000F"/>
          <w:sz w:val="22"/>
          <w:szCs w:val="22"/>
        </w:rPr>
        <w:t xml:space="preserve">to generate an independent perspective on how the Partnership is tracking against the intended end of program outcomes, and </w:t>
      </w:r>
    </w:p>
    <w:p w14:paraId="2717F4D9" w14:textId="77777777" w:rsidR="00311EB2" w:rsidRPr="007A761F" w:rsidRDefault="00311EB2" w:rsidP="002D5E66">
      <w:pPr>
        <w:pStyle w:val="ListParagraph"/>
        <w:numPr>
          <w:ilvl w:val="0"/>
          <w:numId w:val="2"/>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 </w:t>
      </w:r>
      <w:r w:rsidRPr="00CF28AC">
        <w:rPr>
          <w:rFonts w:asciiTheme="majorHAnsi" w:hAnsiTheme="majorHAnsi" w:cstheme="majorHAnsi"/>
          <w:color w:val="00000F"/>
          <w:sz w:val="22"/>
          <w:szCs w:val="22"/>
        </w:rPr>
        <w:t>assessing the Partnership model, specifically the extent to which the Partnership has helped the subprograms to be greater than the sum of their parts</w:t>
      </w:r>
      <w:r w:rsidRPr="007A761F">
        <w:rPr>
          <w:rFonts w:asciiTheme="majorHAnsi" w:hAnsiTheme="majorHAnsi" w:cstheme="majorHAnsi"/>
          <w:color w:val="00000F"/>
          <w:sz w:val="22"/>
          <w:szCs w:val="22"/>
        </w:rPr>
        <w:t>.</w:t>
      </w:r>
    </w:p>
    <w:p w14:paraId="5D18F3D5" w14:textId="77777777" w:rsidR="00311EB2" w:rsidRPr="005F3A84" w:rsidRDefault="00311EB2" w:rsidP="00311EB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214F2BC4" w14:textId="77777777" w:rsidR="00311EB2" w:rsidRDefault="00311EB2" w:rsidP="00311EB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7177E3">
        <w:rPr>
          <w:rFonts w:asciiTheme="majorHAnsi" w:hAnsiTheme="majorHAnsi" w:cstheme="majorHAnsi"/>
          <w:color w:val="00000F"/>
          <w:sz w:val="22"/>
          <w:szCs w:val="22"/>
        </w:rPr>
        <w:t xml:space="preserve">The mid-term review is not intended as an appraisal of each sub-program or implementing partner’s performance. The assessment of the </w:t>
      </w:r>
      <w:r w:rsidRPr="005F3A84">
        <w:rPr>
          <w:rFonts w:asciiTheme="majorHAnsi" w:hAnsiTheme="majorHAnsi" w:cstheme="majorHAnsi"/>
          <w:color w:val="00000F"/>
          <w:sz w:val="22"/>
          <w:szCs w:val="22"/>
        </w:rPr>
        <w:t>sub-programs</w:t>
      </w:r>
      <w:r w:rsidRPr="007177E3">
        <w:rPr>
          <w:rFonts w:asciiTheme="majorHAnsi" w:hAnsiTheme="majorHAnsi" w:cstheme="majorHAnsi"/>
          <w:color w:val="00000F"/>
          <w:sz w:val="22"/>
          <w:szCs w:val="22"/>
        </w:rPr>
        <w:t xml:space="preserve"> recognise</w:t>
      </w:r>
      <w:r w:rsidRPr="005F3A84">
        <w:rPr>
          <w:rFonts w:asciiTheme="majorHAnsi" w:hAnsiTheme="majorHAnsi" w:cstheme="majorHAnsi"/>
          <w:color w:val="00000F"/>
          <w:sz w:val="22"/>
          <w:szCs w:val="22"/>
        </w:rPr>
        <w:t>s</w:t>
      </w:r>
      <w:r w:rsidRPr="007177E3">
        <w:rPr>
          <w:rFonts w:asciiTheme="majorHAnsi" w:hAnsiTheme="majorHAnsi" w:cstheme="majorHAnsi"/>
          <w:color w:val="00000F"/>
          <w:sz w:val="22"/>
          <w:szCs w:val="22"/>
        </w:rPr>
        <w:t xml:space="preserve"> that </w:t>
      </w:r>
      <w:r w:rsidRPr="005F3A84">
        <w:rPr>
          <w:rFonts w:asciiTheme="majorHAnsi" w:hAnsiTheme="majorHAnsi" w:cstheme="majorHAnsi"/>
          <w:color w:val="00000F"/>
          <w:sz w:val="22"/>
          <w:szCs w:val="22"/>
        </w:rPr>
        <w:t>they are at different</w:t>
      </w:r>
      <w:r w:rsidRPr="007177E3">
        <w:rPr>
          <w:rFonts w:asciiTheme="majorHAnsi" w:hAnsiTheme="majorHAnsi" w:cstheme="majorHAnsi"/>
          <w:color w:val="00000F"/>
          <w:sz w:val="22"/>
          <w:szCs w:val="22"/>
        </w:rPr>
        <w:t xml:space="preserve"> stage</w:t>
      </w:r>
      <w:r w:rsidRPr="005F3A84">
        <w:rPr>
          <w:rFonts w:asciiTheme="majorHAnsi" w:hAnsiTheme="majorHAnsi" w:cstheme="majorHAnsi"/>
          <w:color w:val="00000F"/>
          <w:sz w:val="22"/>
          <w:szCs w:val="22"/>
        </w:rPr>
        <w:t>s</w:t>
      </w:r>
      <w:r w:rsidRPr="007177E3">
        <w:rPr>
          <w:rFonts w:asciiTheme="majorHAnsi" w:hAnsiTheme="majorHAnsi" w:cstheme="majorHAnsi"/>
          <w:color w:val="00000F"/>
          <w:sz w:val="22"/>
          <w:szCs w:val="22"/>
        </w:rPr>
        <w:t xml:space="preserve"> of implementation and </w:t>
      </w:r>
      <w:r w:rsidRPr="005F3A84">
        <w:rPr>
          <w:rFonts w:asciiTheme="majorHAnsi" w:hAnsiTheme="majorHAnsi" w:cstheme="majorHAnsi"/>
          <w:color w:val="00000F"/>
          <w:sz w:val="22"/>
          <w:szCs w:val="22"/>
        </w:rPr>
        <w:t>have different histories</w:t>
      </w:r>
      <w:r w:rsidRPr="007177E3">
        <w:rPr>
          <w:rFonts w:asciiTheme="majorHAnsi" w:hAnsiTheme="majorHAnsi" w:cstheme="majorHAnsi"/>
          <w:color w:val="00000F"/>
          <w:sz w:val="22"/>
          <w:szCs w:val="22"/>
        </w:rPr>
        <w:t xml:space="preserve">. </w:t>
      </w:r>
    </w:p>
    <w:p w14:paraId="754EBB91" w14:textId="77777777" w:rsidR="00311EB2" w:rsidRDefault="00311EB2" w:rsidP="00E1573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87EA0CF" w14:textId="77777777" w:rsidR="00E15734" w:rsidRPr="00CE71B5" w:rsidRDefault="00F74568" w:rsidP="00611197">
      <w:pPr>
        <w:pStyle w:val="Heading2A"/>
      </w:pPr>
      <w:r w:rsidRPr="00CE71B5">
        <w:t>KEY FINDINGS</w:t>
      </w:r>
    </w:p>
    <w:p w14:paraId="5CEC1E35" w14:textId="77777777" w:rsidR="0038648D" w:rsidRPr="00540721" w:rsidRDefault="0038648D" w:rsidP="00540721">
      <w:pPr>
        <w:pStyle w:val="Subheading"/>
        <w:outlineLvl w:val="0"/>
        <w:rPr>
          <w:rFonts w:asciiTheme="majorHAnsi" w:hAnsiTheme="majorHAnsi" w:cstheme="majorHAnsi"/>
          <w:lang w:val="en-US"/>
        </w:rPr>
      </w:pPr>
    </w:p>
    <w:p w14:paraId="694FBE81" w14:textId="77777777" w:rsidR="00F74568" w:rsidRPr="00CE71B5" w:rsidRDefault="00F74568" w:rsidP="00611197">
      <w:pPr>
        <w:pStyle w:val="HEADING3A"/>
      </w:pPr>
      <w:r w:rsidRPr="00CE71B5">
        <w:t>STRATEGIC</w:t>
      </w:r>
      <w:r w:rsidR="00181661" w:rsidRPr="00CE71B5">
        <w:t xml:space="preserve"> ASSESSMENT – THE PARTNERSHIP MODEL</w:t>
      </w:r>
    </w:p>
    <w:p w14:paraId="334C403E" w14:textId="01CE372A" w:rsidR="00F74568" w:rsidRDefault="00C019F3" w:rsidP="00E1573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C019F3">
        <w:rPr>
          <w:rFonts w:asciiTheme="majorHAnsi" w:hAnsiTheme="majorHAnsi" w:cstheme="majorHAnsi"/>
          <w:b/>
          <w:bCs/>
          <w:color w:val="00000F"/>
          <w:sz w:val="22"/>
          <w:szCs w:val="22"/>
        </w:rPr>
        <w:t>In its current form, the Partnership model will not achieve its intended outcomes by the end of the program</w:t>
      </w:r>
      <w:r w:rsidR="00F74568">
        <w:rPr>
          <w:rFonts w:asciiTheme="majorHAnsi" w:hAnsiTheme="majorHAnsi" w:cstheme="majorHAnsi"/>
          <w:b/>
          <w:bCs/>
          <w:color w:val="00000F"/>
          <w:sz w:val="22"/>
          <w:szCs w:val="22"/>
        </w:rPr>
        <w:t xml:space="preserve">. </w:t>
      </w:r>
      <w:r w:rsidR="00F74568" w:rsidRPr="00F5375F">
        <w:rPr>
          <w:rFonts w:asciiTheme="majorHAnsi" w:hAnsiTheme="majorHAnsi" w:cstheme="majorHAnsi"/>
          <w:color w:val="00000F"/>
          <w:sz w:val="22"/>
          <w:szCs w:val="22"/>
        </w:rPr>
        <w:t>Despite good intentions</w:t>
      </w:r>
      <w:r w:rsidR="00F74568">
        <w:rPr>
          <w:rFonts w:asciiTheme="majorHAnsi" w:hAnsiTheme="majorHAnsi" w:cstheme="majorHAnsi"/>
          <w:color w:val="00000F"/>
          <w:sz w:val="22"/>
          <w:szCs w:val="22"/>
        </w:rPr>
        <w:t xml:space="preserve"> and some isolated examples</w:t>
      </w:r>
      <w:r w:rsidR="00F74568" w:rsidRPr="00F5375F">
        <w:rPr>
          <w:rFonts w:asciiTheme="majorHAnsi" w:hAnsiTheme="majorHAnsi" w:cstheme="majorHAnsi"/>
          <w:color w:val="00000F"/>
          <w:sz w:val="22"/>
          <w:szCs w:val="22"/>
        </w:rPr>
        <w:t xml:space="preserve">, it has not </w:t>
      </w:r>
      <w:r w:rsidR="00390688">
        <w:rPr>
          <w:rFonts w:asciiTheme="majorHAnsi" w:hAnsiTheme="majorHAnsi" w:cstheme="majorHAnsi"/>
          <w:color w:val="00000F"/>
          <w:sz w:val="22"/>
          <w:szCs w:val="22"/>
        </w:rPr>
        <w:t xml:space="preserve">yet </w:t>
      </w:r>
      <w:r w:rsidR="00F74568" w:rsidRPr="00F5375F">
        <w:rPr>
          <w:rFonts w:asciiTheme="majorHAnsi" w:hAnsiTheme="majorHAnsi" w:cstheme="majorHAnsi"/>
          <w:color w:val="00000F"/>
          <w:sz w:val="22"/>
          <w:szCs w:val="22"/>
        </w:rPr>
        <w:t>been able to demonstrate its benefits in the Pacific beyond the three sub-program components.</w:t>
      </w:r>
      <w:r w:rsidR="00F74568">
        <w:rPr>
          <w:rFonts w:asciiTheme="majorHAnsi" w:hAnsiTheme="majorHAnsi" w:cstheme="majorHAnsi"/>
          <w:b/>
          <w:bCs/>
          <w:color w:val="00000F"/>
          <w:sz w:val="22"/>
          <w:szCs w:val="22"/>
        </w:rPr>
        <w:t xml:space="preserve"> </w:t>
      </w:r>
      <w:r w:rsidR="00F74568">
        <w:rPr>
          <w:rFonts w:asciiTheme="majorHAnsi" w:hAnsiTheme="majorHAnsi" w:cstheme="majorHAnsi"/>
          <w:color w:val="00000F"/>
          <w:sz w:val="22"/>
          <w:szCs w:val="22"/>
        </w:rPr>
        <w:t>T</w:t>
      </w:r>
      <w:r w:rsidR="00F74568" w:rsidRPr="00F5375F">
        <w:rPr>
          <w:rFonts w:asciiTheme="majorHAnsi" w:hAnsiTheme="majorHAnsi" w:cstheme="majorHAnsi"/>
          <w:color w:val="00000F"/>
          <w:sz w:val="22"/>
          <w:szCs w:val="22"/>
        </w:rPr>
        <w:t xml:space="preserve">he Partnership model </w:t>
      </w:r>
      <w:r w:rsidR="00F74568">
        <w:rPr>
          <w:rFonts w:asciiTheme="majorHAnsi" w:hAnsiTheme="majorHAnsi" w:cstheme="majorHAnsi"/>
          <w:color w:val="00000F"/>
          <w:sz w:val="22"/>
          <w:szCs w:val="22"/>
        </w:rPr>
        <w:t xml:space="preserve">has been unable to overcome structural and historical </w:t>
      </w:r>
      <w:r w:rsidR="00D6558F">
        <w:rPr>
          <w:rFonts w:asciiTheme="majorHAnsi" w:hAnsiTheme="majorHAnsi" w:cstheme="majorHAnsi"/>
          <w:color w:val="00000F"/>
          <w:sz w:val="22"/>
          <w:szCs w:val="22"/>
        </w:rPr>
        <w:t>differences and</w:t>
      </w:r>
      <w:r w:rsidR="00F74568">
        <w:rPr>
          <w:rFonts w:asciiTheme="majorHAnsi" w:hAnsiTheme="majorHAnsi" w:cstheme="majorHAnsi"/>
          <w:color w:val="00000F"/>
          <w:sz w:val="22"/>
          <w:szCs w:val="22"/>
        </w:rPr>
        <w:t xml:space="preserve"> </w:t>
      </w:r>
      <w:r w:rsidR="00F74568" w:rsidRPr="00F5375F">
        <w:rPr>
          <w:rFonts w:asciiTheme="majorHAnsi" w:hAnsiTheme="majorHAnsi" w:cstheme="majorHAnsi"/>
          <w:color w:val="00000F"/>
          <w:sz w:val="22"/>
          <w:szCs w:val="22"/>
        </w:rPr>
        <w:t xml:space="preserve">is adding another </w:t>
      </w:r>
      <w:r w:rsidR="00F74568">
        <w:rPr>
          <w:rFonts w:asciiTheme="majorHAnsi" w:hAnsiTheme="majorHAnsi" w:cstheme="majorHAnsi"/>
          <w:color w:val="00000F"/>
          <w:sz w:val="22"/>
          <w:szCs w:val="22"/>
        </w:rPr>
        <w:t xml:space="preserve">layer </w:t>
      </w:r>
      <w:r w:rsidR="00F74568" w:rsidRPr="00F5375F">
        <w:rPr>
          <w:rFonts w:asciiTheme="majorHAnsi" w:hAnsiTheme="majorHAnsi" w:cstheme="majorHAnsi"/>
          <w:color w:val="00000F"/>
          <w:sz w:val="22"/>
          <w:szCs w:val="22"/>
        </w:rPr>
        <w:t>of</w:t>
      </w:r>
      <w:r w:rsidR="00F74568">
        <w:rPr>
          <w:rFonts w:asciiTheme="majorHAnsi" w:hAnsiTheme="majorHAnsi" w:cstheme="majorHAnsi"/>
          <w:color w:val="00000F"/>
          <w:sz w:val="22"/>
          <w:szCs w:val="22"/>
        </w:rPr>
        <w:t xml:space="preserve"> organisation that is diverting effort from achieving sub-program objectives.  In the eye of many stakeholders, the Partnership has come to mean the Support Unit only.</w:t>
      </w:r>
    </w:p>
    <w:p w14:paraId="0F495B26" w14:textId="77777777" w:rsidR="007F602A" w:rsidRDefault="007F602A" w:rsidP="00E1573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C3A855E" w14:textId="77777777" w:rsidR="007F602A" w:rsidRDefault="007F602A" w:rsidP="00E1573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8508C">
        <w:rPr>
          <w:rFonts w:asciiTheme="majorHAnsi" w:hAnsiTheme="majorHAnsi" w:cstheme="majorHAnsi"/>
          <w:b/>
          <w:bCs/>
          <w:color w:val="00000F"/>
          <w:sz w:val="22"/>
          <w:szCs w:val="22"/>
        </w:rPr>
        <w:t>The focus for the sub-programs has been on delivering results under their individual program frameworks rather than a shared overarching strategy.</w:t>
      </w:r>
      <w:r w:rsidRPr="00576CA2">
        <w:rPr>
          <w:rFonts w:asciiTheme="majorHAnsi" w:hAnsiTheme="majorHAnsi" w:cstheme="majorHAnsi"/>
          <w:color w:val="00000F"/>
          <w:sz w:val="22"/>
          <w:szCs w:val="22"/>
        </w:rPr>
        <w:t xml:space="preserve"> </w:t>
      </w:r>
      <w:r>
        <w:rPr>
          <w:rFonts w:asciiTheme="majorHAnsi" w:hAnsiTheme="majorHAnsi" w:cstheme="majorHAnsi"/>
          <w:color w:val="00000F"/>
          <w:sz w:val="22"/>
          <w:szCs w:val="22"/>
        </w:rPr>
        <w:t>Much of the success achieved by the Partnership has been through the individual programs and the relationships they have made in the Pacific. Where the Programs are responding to specific needs of Pacific stakeholders and working in tandem with them to address those gaps or challenges, they are demonstrating the strongest value.</w:t>
      </w:r>
    </w:p>
    <w:p w14:paraId="3C1B2258" w14:textId="77777777" w:rsidR="00AE0301" w:rsidRDefault="00AE0301" w:rsidP="00E1573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78015079" w14:textId="77777777" w:rsidR="00AE0301" w:rsidRDefault="00AE0301" w:rsidP="0C1DC608">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b/>
          <w:bCs/>
          <w:color w:val="00000F"/>
          <w:sz w:val="22"/>
          <w:szCs w:val="22"/>
        </w:rPr>
        <w:lastRenderedPageBreak/>
        <w:t>There is a lack of dedicated resources for coordination of the partnership</w:t>
      </w:r>
      <w:r w:rsidRPr="0C1DC608">
        <w:rPr>
          <w:rFonts w:asciiTheme="majorHAnsi" w:hAnsiTheme="majorHAnsi" w:cstheme="majorBidi"/>
          <w:color w:val="00000F"/>
          <w:sz w:val="22"/>
          <w:szCs w:val="22"/>
        </w:rPr>
        <w:t xml:space="preserve"> and the role </w:t>
      </w:r>
      <w:r w:rsidR="4EA72F1E" w:rsidRPr="0C1DC608">
        <w:rPr>
          <w:rFonts w:asciiTheme="majorHAnsi" w:hAnsiTheme="majorHAnsi" w:cstheme="majorBidi"/>
          <w:color w:val="00000F"/>
          <w:sz w:val="22"/>
          <w:szCs w:val="22"/>
        </w:rPr>
        <w:t>of the different sub-programs</w:t>
      </w:r>
      <w:r w:rsidR="00EF0511">
        <w:rPr>
          <w:rFonts w:asciiTheme="majorHAnsi" w:hAnsiTheme="majorHAnsi" w:cstheme="majorBidi"/>
          <w:color w:val="00000F"/>
          <w:sz w:val="22"/>
          <w:szCs w:val="22"/>
        </w:rPr>
        <w:t xml:space="preserve"> in relation to the pa</w:t>
      </w:r>
      <w:r w:rsidR="00CB46A9">
        <w:rPr>
          <w:rFonts w:asciiTheme="majorHAnsi" w:hAnsiTheme="majorHAnsi" w:cstheme="majorBidi"/>
          <w:color w:val="00000F"/>
          <w:sz w:val="22"/>
          <w:szCs w:val="22"/>
        </w:rPr>
        <w:t>rtnership</w:t>
      </w:r>
      <w:r w:rsidR="4EA72F1E" w:rsidRPr="0C1DC608">
        <w:rPr>
          <w:rFonts w:asciiTheme="majorHAnsi" w:hAnsiTheme="majorHAnsi" w:cstheme="majorBidi"/>
          <w:color w:val="00000F"/>
          <w:sz w:val="22"/>
          <w:szCs w:val="22"/>
        </w:rPr>
        <w:t xml:space="preserve"> </w:t>
      </w:r>
      <w:r w:rsidRPr="0C1DC608">
        <w:rPr>
          <w:rFonts w:asciiTheme="majorHAnsi" w:hAnsiTheme="majorHAnsi" w:cstheme="majorBidi"/>
          <w:color w:val="00000F"/>
          <w:sz w:val="22"/>
          <w:szCs w:val="22"/>
        </w:rPr>
        <w:t>was poorly articulated in the original design and service agreements between DFAT and the subprogram partners. DFAT’s role in supporting the Partnership has shifted over the course of the Partnership which has created further uncertainty about the roles of the partners in relation to the Partnership. Partners recognised the need to revisit roles and responsibilities to reset expectations and review the unmet needs of the Partnership model if it is to be effective.</w:t>
      </w:r>
    </w:p>
    <w:p w14:paraId="65792F3C" w14:textId="77777777" w:rsidR="00181661" w:rsidRDefault="00181661" w:rsidP="00AE030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7516059B" w14:textId="77777777" w:rsidR="00AE0301" w:rsidRDefault="00AE0301" w:rsidP="00E1573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8E21254" w14:textId="77777777" w:rsidR="00542121" w:rsidRDefault="00542121" w:rsidP="0054212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35AF8">
        <w:rPr>
          <w:rFonts w:asciiTheme="majorHAnsi" w:hAnsiTheme="majorHAnsi" w:cstheme="majorHAnsi"/>
          <w:b/>
          <w:bCs/>
          <w:color w:val="00000F"/>
          <w:sz w:val="22"/>
          <w:szCs w:val="22"/>
        </w:rPr>
        <w:t>The sub-programs do see opportunities for collaboration in the future.</w:t>
      </w:r>
      <w:r>
        <w:rPr>
          <w:rFonts w:asciiTheme="majorHAnsi" w:hAnsiTheme="majorHAnsi" w:cstheme="majorHAnsi"/>
          <w:color w:val="00000F"/>
          <w:sz w:val="22"/>
          <w:szCs w:val="22"/>
        </w:rPr>
        <w:t xml:space="preserve"> This would require dedicated time and resources to identify, assess and implement such collaborative activities which sit outside the current scope of all three program’s current resourcing. The purpose of such activities would be to pilot potential joint activities and test the effectiveness of the proposed Partnership synergies. </w:t>
      </w:r>
    </w:p>
    <w:p w14:paraId="43E606A5" w14:textId="77777777" w:rsidR="00181661" w:rsidRDefault="00181661" w:rsidP="0054212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A99B185" w14:textId="77777777" w:rsidR="005364FD" w:rsidRPr="00CE71B5" w:rsidRDefault="005364FD" w:rsidP="00611197">
      <w:pPr>
        <w:pStyle w:val="HEADING3A"/>
      </w:pPr>
      <w:r w:rsidRPr="00CE71B5">
        <w:t>OPERATIONAL ASSESSMENT – PROGRESS TOWARDS</w:t>
      </w:r>
      <w:r w:rsidR="008C77CC" w:rsidRPr="00CE71B5">
        <w:t xml:space="preserve"> THE PARTNERSHIP OUTCOMES</w:t>
      </w:r>
    </w:p>
    <w:p w14:paraId="253C2365" w14:textId="77777777" w:rsidR="002E1ED1" w:rsidRPr="003E0CEF" w:rsidRDefault="002E1ED1" w:rsidP="003E0CEF">
      <w:pPr>
        <w:pStyle w:val="Subheading"/>
        <w:outlineLvl w:val="0"/>
        <w:rPr>
          <w:rFonts w:asciiTheme="majorHAnsi" w:hAnsiTheme="majorHAnsi" w:cstheme="majorHAnsi"/>
          <w:lang w:val="en-US"/>
        </w:rPr>
      </w:pPr>
    </w:p>
    <w:p w14:paraId="0F2698A2" w14:textId="77777777" w:rsidR="008C77CC" w:rsidRPr="001E1234" w:rsidRDefault="003117F4" w:rsidP="00611197">
      <w:pPr>
        <w:pStyle w:val="HEADING4A"/>
      </w:pPr>
      <w:r w:rsidRPr="001E1234">
        <w:t xml:space="preserve">OUTCOME </w:t>
      </w:r>
      <w:r w:rsidR="003F4904" w:rsidRPr="001E1234">
        <w:t>1</w:t>
      </w:r>
    </w:p>
    <w:p w14:paraId="56BA4881" w14:textId="26729A76" w:rsidR="00714671" w:rsidRPr="001E0CFA" w:rsidRDefault="002F49D6" w:rsidP="0C1DC608">
      <w:pPr>
        <w:suppressAutoHyphens/>
        <w:autoSpaceDE w:val="0"/>
        <w:autoSpaceDN w:val="0"/>
        <w:adjustRightInd w:val="0"/>
        <w:spacing w:line="288" w:lineRule="auto"/>
        <w:jc w:val="both"/>
        <w:textAlignment w:val="center"/>
        <w:rPr>
          <w:rFonts w:ascii="Calibri Light" w:eastAsia="Calibri Light" w:hAnsi="Calibri Light" w:cs="Calibri Light"/>
          <w:color w:val="00000F"/>
          <w:sz w:val="22"/>
          <w:szCs w:val="22"/>
        </w:rPr>
      </w:pPr>
      <w:r w:rsidRPr="0C1DC608">
        <w:rPr>
          <w:rFonts w:asciiTheme="majorHAnsi" w:hAnsiTheme="majorHAnsi" w:cstheme="majorBidi"/>
          <w:b/>
          <w:bCs/>
          <w:color w:val="00000F"/>
          <w:sz w:val="22"/>
          <w:szCs w:val="22"/>
        </w:rPr>
        <w:t xml:space="preserve">There has been sustained improvement in the integration of climate change and disaster risk resilience </w:t>
      </w:r>
      <w:r w:rsidRPr="001E0CFA">
        <w:rPr>
          <w:rFonts w:asciiTheme="majorHAnsi" w:hAnsiTheme="majorHAnsi" w:cstheme="majorBidi"/>
          <w:color w:val="00000F"/>
          <w:sz w:val="22"/>
          <w:szCs w:val="22"/>
        </w:rPr>
        <w:t xml:space="preserve">in Australian aid investments in the Pacific over recent years.  </w:t>
      </w:r>
      <w:r w:rsidR="00E35623" w:rsidRPr="006B7F5D">
        <w:rPr>
          <w:rFonts w:asciiTheme="majorHAnsi" w:hAnsiTheme="majorHAnsi" w:cstheme="majorBidi"/>
          <w:color w:val="00000F"/>
          <w:sz w:val="22"/>
          <w:szCs w:val="22"/>
        </w:rPr>
        <w:t>Evidence and feedback suggest that APCP S</w:t>
      </w:r>
      <w:r w:rsidR="4029C2DF" w:rsidRPr="006B7F5D">
        <w:rPr>
          <w:rFonts w:asciiTheme="majorHAnsi" w:hAnsiTheme="majorHAnsi" w:cstheme="majorBidi"/>
          <w:color w:val="00000F"/>
          <w:sz w:val="22"/>
          <w:szCs w:val="22"/>
        </w:rPr>
        <w:t>upport Unit</w:t>
      </w:r>
      <w:r w:rsidR="00296DD8" w:rsidRPr="006B7F5D">
        <w:rPr>
          <w:rFonts w:asciiTheme="majorHAnsi" w:hAnsiTheme="majorHAnsi" w:cstheme="majorBidi"/>
          <w:color w:val="00000F"/>
          <w:sz w:val="22"/>
          <w:szCs w:val="22"/>
        </w:rPr>
        <w:t xml:space="preserve"> </w:t>
      </w:r>
      <w:r w:rsidR="002C71C4">
        <w:rPr>
          <w:rFonts w:asciiTheme="majorHAnsi" w:hAnsiTheme="majorHAnsi" w:cstheme="majorBidi"/>
          <w:color w:val="00000F"/>
          <w:sz w:val="22"/>
          <w:szCs w:val="22"/>
        </w:rPr>
        <w:t xml:space="preserve">(SU) </w:t>
      </w:r>
      <w:r w:rsidR="00E35623" w:rsidRPr="006B7F5D">
        <w:rPr>
          <w:rFonts w:asciiTheme="majorHAnsi" w:hAnsiTheme="majorHAnsi" w:cstheme="majorBidi"/>
          <w:color w:val="00000F"/>
          <w:sz w:val="22"/>
          <w:szCs w:val="22"/>
        </w:rPr>
        <w:t>has been instrumental in achieving these gains in integration. Consultations with Post/DFAT staff and implementing partners confirmed that, for the most part, assistance from the SU and Expert Panels</w:t>
      </w:r>
      <w:r w:rsidR="00E35623" w:rsidRPr="006B7F5D">
        <w:rPr>
          <w:rStyle w:val="FootnoteReference"/>
          <w:rFonts w:asciiTheme="majorHAnsi" w:hAnsiTheme="majorHAnsi" w:cstheme="majorBidi"/>
          <w:color w:val="00000F"/>
          <w:sz w:val="22"/>
          <w:szCs w:val="22"/>
        </w:rPr>
        <w:footnoteReference w:id="2"/>
      </w:r>
      <w:r w:rsidR="00E35623" w:rsidRPr="006B7F5D">
        <w:rPr>
          <w:rFonts w:asciiTheme="majorHAnsi" w:hAnsiTheme="majorHAnsi" w:cstheme="majorBidi"/>
          <w:color w:val="00000F"/>
          <w:sz w:val="22"/>
          <w:szCs w:val="22"/>
        </w:rPr>
        <w:t xml:space="preserve"> was flexible, responsive and of high quality.</w:t>
      </w:r>
      <w:r w:rsidR="5CBA6D51" w:rsidRPr="006B7F5D">
        <w:rPr>
          <w:rFonts w:asciiTheme="majorHAnsi" w:hAnsiTheme="majorHAnsi" w:cstheme="majorBidi"/>
          <w:color w:val="00000F"/>
          <w:sz w:val="22"/>
          <w:szCs w:val="22"/>
        </w:rPr>
        <w:t xml:space="preserve"> </w:t>
      </w:r>
      <w:r w:rsidR="188A9FD3" w:rsidRPr="006B7F5D">
        <w:rPr>
          <w:rFonts w:ascii="Calibri Light" w:eastAsia="Calibri Light" w:hAnsi="Calibri Light" w:cs="Calibri Light"/>
          <w:color w:val="00000F"/>
          <w:sz w:val="22"/>
          <w:szCs w:val="22"/>
        </w:rPr>
        <w:t>Data, however, to support a more comprehensive and qualitative assessment of integration is not available.</w:t>
      </w:r>
    </w:p>
    <w:p w14:paraId="437C6BE8" w14:textId="77777777" w:rsidR="00714671" w:rsidRPr="006B7F5D" w:rsidRDefault="00714671" w:rsidP="005364FD">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17448477" w14:textId="61D84C89" w:rsidR="00FB5271" w:rsidRDefault="00B10F7B" w:rsidP="0C1DC608">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06B7F5D">
        <w:rPr>
          <w:rFonts w:asciiTheme="majorHAnsi" w:hAnsiTheme="majorHAnsi" w:cstheme="majorBidi"/>
          <w:b/>
          <w:bCs/>
          <w:color w:val="00000F"/>
          <w:sz w:val="22"/>
          <w:szCs w:val="22"/>
        </w:rPr>
        <w:t xml:space="preserve">While integration has improved, </w:t>
      </w:r>
      <w:r w:rsidR="00E17E5A" w:rsidRPr="00803600">
        <w:rPr>
          <w:rFonts w:asciiTheme="majorHAnsi" w:hAnsiTheme="majorHAnsi" w:cstheme="majorBidi"/>
          <w:b/>
          <w:bCs/>
          <w:color w:val="00000F"/>
          <w:sz w:val="22"/>
          <w:szCs w:val="22"/>
        </w:rPr>
        <w:t>t</w:t>
      </w:r>
      <w:r w:rsidRPr="00803600">
        <w:rPr>
          <w:rFonts w:asciiTheme="majorHAnsi" w:hAnsiTheme="majorHAnsi" w:cstheme="majorBidi"/>
          <w:b/>
          <w:bCs/>
          <w:color w:val="00000F"/>
          <w:sz w:val="22"/>
          <w:szCs w:val="22"/>
        </w:rPr>
        <w:t>here remain significant opportunities to strengthen the coverage and depth of climate and disaster resilience in Pacific aid investments.</w:t>
      </w:r>
      <w:r w:rsidR="00ED1F63" w:rsidRPr="006B7F5D">
        <w:rPr>
          <w:rFonts w:asciiTheme="majorHAnsi" w:hAnsiTheme="majorHAnsi" w:cstheme="majorBidi"/>
          <w:color w:val="00000F"/>
          <w:sz w:val="22"/>
          <w:szCs w:val="22"/>
        </w:rPr>
        <w:t xml:space="preserve"> </w:t>
      </w:r>
      <w:r w:rsidR="000B26D8" w:rsidRPr="006B7F5D">
        <w:rPr>
          <w:rFonts w:asciiTheme="majorHAnsi" w:hAnsiTheme="majorHAnsi" w:cstheme="majorBidi"/>
          <w:color w:val="00000F"/>
          <w:sz w:val="22"/>
          <w:szCs w:val="22"/>
        </w:rPr>
        <w:t xml:space="preserve">Time pressures </w:t>
      </w:r>
      <w:r w:rsidR="4E8FBAC7" w:rsidRPr="006B7F5D">
        <w:rPr>
          <w:rFonts w:asciiTheme="majorHAnsi" w:hAnsiTheme="majorHAnsi" w:cstheme="majorBidi"/>
          <w:color w:val="00000F"/>
          <w:sz w:val="22"/>
          <w:szCs w:val="22"/>
        </w:rPr>
        <w:t>and varying capacit</w:t>
      </w:r>
      <w:r w:rsidR="725580FC" w:rsidRPr="006B7F5D">
        <w:rPr>
          <w:rFonts w:asciiTheme="majorHAnsi" w:hAnsiTheme="majorHAnsi" w:cstheme="majorBidi"/>
          <w:color w:val="00000F"/>
          <w:sz w:val="22"/>
          <w:szCs w:val="22"/>
        </w:rPr>
        <w:t>ies</w:t>
      </w:r>
      <w:r w:rsidR="4E8FBAC7" w:rsidRPr="006B7F5D">
        <w:rPr>
          <w:rFonts w:asciiTheme="majorHAnsi" w:hAnsiTheme="majorHAnsi" w:cstheme="majorBidi"/>
          <w:color w:val="00000F"/>
          <w:sz w:val="22"/>
          <w:szCs w:val="22"/>
        </w:rPr>
        <w:t xml:space="preserve"> of</w:t>
      </w:r>
      <w:r w:rsidR="000B26D8" w:rsidRPr="006B7F5D">
        <w:rPr>
          <w:rFonts w:asciiTheme="majorHAnsi" w:hAnsiTheme="majorHAnsi" w:cstheme="majorBidi"/>
          <w:color w:val="00000F"/>
          <w:sz w:val="22"/>
          <w:szCs w:val="22"/>
        </w:rPr>
        <w:t xml:space="preserve"> DFAT staff</w:t>
      </w:r>
      <w:r w:rsidR="62DB226C" w:rsidRPr="006B7F5D">
        <w:rPr>
          <w:rFonts w:asciiTheme="majorHAnsi" w:hAnsiTheme="majorHAnsi" w:cstheme="majorBidi"/>
          <w:color w:val="00000F"/>
          <w:sz w:val="22"/>
          <w:szCs w:val="22"/>
        </w:rPr>
        <w:t>,</w:t>
      </w:r>
      <w:r w:rsidR="000B26D8" w:rsidRPr="006B7F5D">
        <w:rPr>
          <w:rFonts w:asciiTheme="majorHAnsi" w:hAnsiTheme="majorHAnsi" w:cstheme="majorBidi"/>
          <w:color w:val="00000F"/>
          <w:sz w:val="22"/>
          <w:szCs w:val="22"/>
        </w:rPr>
        <w:t xml:space="preserve"> inconsistent leadership</w:t>
      </w:r>
      <w:r w:rsidR="005F2F2F">
        <w:rPr>
          <w:rFonts w:asciiTheme="majorHAnsi" w:hAnsiTheme="majorHAnsi" w:cstheme="majorBidi"/>
          <w:color w:val="00000F"/>
          <w:sz w:val="22"/>
          <w:szCs w:val="22"/>
        </w:rPr>
        <w:t xml:space="preserve"> on</w:t>
      </w:r>
      <w:r w:rsidR="00E17E5A">
        <w:rPr>
          <w:rFonts w:asciiTheme="majorHAnsi" w:hAnsiTheme="majorHAnsi" w:cstheme="majorBidi"/>
          <w:color w:val="00000F"/>
          <w:sz w:val="22"/>
          <w:szCs w:val="22"/>
        </w:rPr>
        <w:t xml:space="preserve"> </w:t>
      </w:r>
      <w:r w:rsidR="009A6730">
        <w:rPr>
          <w:rFonts w:asciiTheme="majorHAnsi" w:hAnsiTheme="majorHAnsi" w:cstheme="majorBidi"/>
          <w:color w:val="00000F"/>
          <w:sz w:val="22"/>
          <w:szCs w:val="22"/>
        </w:rPr>
        <w:t>the priority afforded to</w:t>
      </w:r>
      <w:r w:rsidR="00E17E5A">
        <w:rPr>
          <w:rFonts w:asciiTheme="majorHAnsi" w:hAnsiTheme="majorHAnsi" w:cstheme="majorBidi"/>
          <w:color w:val="00000F"/>
          <w:sz w:val="22"/>
          <w:szCs w:val="22"/>
        </w:rPr>
        <w:t xml:space="preserve"> </w:t>
      </w:r>
      <w:r w:rsidR="005F2F2F">
        <w:rPr>
          <w:rFonts w:asciiTheme="majorHAnsi" w:hAnsiTheme="majorHAnsi" w:cstheme="majorBidi"/>
          <w:color w:val="00000F"/>
          <w:sz w:val="22"/>
          <w:szCs w:val="22"/>
        </w:rPr>
        <w:t>climate change</w:t>
      </w:r>
      <w:r w:rsidR="00E17E5A">
        <w:rPr>
          <w:rFonts w:asciiTheme="majorHAnsi" w:hAnsiTheme="majorHAnsi" w:cstheme="majorBidi"/>
          <w:color w:val="00000F"/>
          <w:sz w:val="22"/>
          <w:szCs w:val="22"/>
        </w:rPr>
        <w:t xml:space="preserve"> </w:t>
      </w:r>
      <w:r w:rsidR="009A6730">
        <w:rPr>
          <w:rFonts w:asciiTheme="majorHAnsi" w:hAnsiTheme="majorHAnsi" w:cstheme="majorBidi"/>
          <w:color w:val="00000F"/>
          <w:sz w:val="22"/>
          <w:szCs w:val="22"/>
        </w:rPr>
        <w:t>integration</w:t>
      </w:r>
      <w:r w:rsidR="0494D5BC" w:rsidRPr="006B7F5D">
        <w:rPr>
          <w:rFonts w:asciiTheme="majorHAnsi" w:hAnsiTheme="majorHAnsi" w:cstheme="majorBidi"/>
          <w:color w:val="00000F"/>
          <w:sz w:val="22"/>
          <w:szCs w:val="22"/>
        </w:rPr>
        <w:t>, and</w:t>
      </w:r>
      <w:r w:rsidR="00170D6F" w:rsidRPr="006B7F5D">
        <w:rPr>
          <w:rFonts w:asciiTheme="majorHAnsi" w:hAnsiTheme="majorHAnsi" w:cstheme="majorBidi"/>
          <w:color w:val="00000F"/>
          <w:sz w:val="22"/>
          <w:szCs w:val="22"/>
        </w:rPr>
        <w:t xml:space="preserve"> </w:t>
      </w:r>
      <w:r w:rsidR="552CD27E" w:rsidRPr="006B7F5D">
        <w:rPr>
          <w:rFonts w:asciiTheme="majorHAnsi" w:hAnsiTheme="majorHAnsi" w:cstheme="majorBidi"/>
          <w:color w:val="00000F"/>
          <w:sz w:val="22"/>
          <w:szCs w:val="22"/>
        </w:rPr>
        <w:t>s</w:t>
      </w:r>
      <w:r w:rsidR="00AA0E35" w:rsidRPr="006B7F5D">
        <w:rPr>
          <w:rFonts w:asciiTheme="majorHAnsi" w:hAnsiTheme="majorHAnsi" w:cstheme="majorBidi"/>
          <w:color w:val="00000F"/>
          <w:sz w:val="22"/>
          <w:szCs w:val="22"/>
        </w:rPr>
        <w:t>ystem weaknesses</w:t>
      </w:r>
      <w:r w:rsidR="74253665" w:rsidRPr="006B7F5D">
        <w:rPr>
          <w:rFonts w:asciiTheme="majorHAnsi" w:hAnsiTheme="majorHAnsi" w:cstheme="majorBidi"/>
          <w:color w:val="00000F"/>
          <w:sz w:val="22"/>
          <w:szCs w:val="22"/>
        </w:rPr>
        <w:t xml:space="preserve"> hinder integration efforts</w:t>
      </w:r>
      <w:r w:rsidR="00AA0E35" w:rsidRPr="006B7F5D">
        <w:rPr>
          <w:rFonts w:asciiTheme="majorHAnsi" w:hAnsiTheme="majorHAnsi" w:cstheme="majorBidi"/>
          <w:color w:val="00000F"/>
          <w:sz w:val="22"/>
          <w:szCs w:val="22"/>
        </w:rPr>
        <w:t>.</w:t>
      </w:r>
      <w:r w:rsidR="000D3BD2" w:rsidRPr="000D3BD2">
        <w:rPr>
          <w:rFonts w:asciiTheme="majorHAnsi" w:hAnsiTheme="majorHAnsi" w:cstheme="majorBidi"/>
          <w:b/>
          <w:bCs/>
          <w:color w:val="00000F"/>
          <w:sz w:val="22"/>
          <w:szCs w:val="22"/>
        </w:rPr>
        <w:t xml:space="preserve"> </w:t>
      </w:r>
      <w:r w:rsidR="00E17E5A" w:rsidRPr="00803600">
        <w:rPr>
          <w:rFonts w:asciiTheme="majorHAnsi" w:hAnsiTheme="majorHAnsi" w:cstheme="majorBidi"/>
          <w:color w:val="00000F"/>
          <w:sz w:val="22"/>
          <w:szCs w:val="22"/>
        </w:rPr>
        <w:t>Further,</w:t>
      </w:r>
      <w:r w:rsidR="00E17E5A">
        <w:rPr>
          <w:rFonts w:asciiTheme="majorHAnsi" w:hAnsiTheme="majorHAnsi" w:cstheme="majorBidi"/>
          <w:b/>
          <w:bCs/>
          <w:color w:val="00000F"/>
          <w:sz w:val="22"/>
          <w:szCs w:val="22"/>
        </w:rPr>
        <w:t xml:space="preserve"> </w:t>
      </w:r>
      <w:r w:rsidR="00E17E5A" w:rsidRPr="00803600">
        <w:rPr>
          <w:rFonts w:asciiTheme="majorHAnsi" w:hAnsiTheme="majorHAnsi" w:cstheme="majorBidi"/>
          <w:color w:val="00000F"/>
          <w:sz w:val="22"/>
          <w:szCs w:val="22"/>
        </w:rPr>
        <w:t>i</w:t>
      </w:r>
      <w:r w:rsidR="00E17E5A" w:rsidRPr="00E17E5A">
        <w:rPr>
          <w:rFonts w:asciiTheme="majorHAnsi" w:hAnsiTheme="majorHAnsi" w:cstheme="majorBidi"/>
          <w:color w:val="00000F"/>
          <w:sz w:val="22"/>
          <w:szCs w:val="22"/>
        </w:rPr>
        <w:t>n</w:t>
      </w:r>
      <w:r w:rsidR="00E17E5A" w:rsidRPr="006B7F5D">
        <w:rPr>
          <w:rFonts w:asciiTheme="majorHAnsi" w:hAnsiTheme="majorHAnsi" w:cstheme="majorBidi"/>
          <w:color w:val="00000F"/>
          <w:sz w:val="22"/>
          <w:szCs w:val="22"/>
        </w:rPr>
        <w:t xml:space="preserve"> some </w:t>
      </w:r>
      <w:r w:rsidR="00E17E5A">
        <w:rPr>
          <w:rFonts w:asciiTheme="majorHAnsi" w:hAnsiTheme="majorHAnsi" w:cstheme="majorBidi"/>
          <w:color w:val="00000F"/>
          <w:sz w:val="22"/>
          <w:szCs w:val="22"/>
        </w:rPr>
        <w:t xml:space="preserve">rare </w:t>
      </w:r>
      <w:r w:rsidR="00E17E5A" w:rsidRPr="006B7F5D">
        <w:rPr>
          <w:rFonts w:asciiTheme="majorHAnsi" w:hAnsiTheme="majorHAnsi" w:cstheme="majorBidi"/>
          <w:color w:val="00000F"/>
          <w:sz w:val="22"/>
          <w:szCs w:val="22"/>
        </w:rPr>
        <w:t xml:space="preserve">instances, technical assistance provided through the Expert Panels </w:t>
      </w:r>
      <w:r w:rsidR="000D3BD2" w:rsidRPr="00803600">
        <w:rPr>
          <w:rFonts w:asciiTheme="majorHAnsi" w:hAnsiTheme="majorHAnsi" w:cstheme="majorBidi"/>
          <w:color w:val="00000F"/>
          <w:sz w:val="22"/>
          <w:szCs w:val="22"/>
        </w:rPr>
        <w:t>has not been fit for purpose</w:t>
      </w:r>
      <w:r w:rsidR="000D3BD2" w:rsidRPr="006B7F5D">
        <w:rPr>
          <w:rFonts w:asciiTheme="majorHAnsi" w:hAnsiTheme="majorHAnsi" w:cstheme="majorBidi"/>
          <w:color w:val="00000F"/>
          <w:sz w:val="22"/>
          <w:szCs w:val="22"/>
        </w:rPr>
        <w:t xml:space="preserve"> and some knowledge brokering efforts have not had the desired results. </w:t>
      </w:r>
    </w:p>
    <w:p w14:paraId="3A9A9343" w14:textId="77777777" w:rsidR="00AA0E35" w:rsidRDefault="00AA0E35" w:rsidP="00FB527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5710367F" w14:textId="737ACBF7" w:rsidR="00AA0E35" w:rsidRPr="00AA0E35" w:rsidRDefault="38D2782B" w:rsidP="0C1DC608">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0E8217C">
        <w:rPr>
          <w:rFonts w:asciiTheme="majorHAnsi" w:hAnsiTheme="majorHAnsi" w:cstheme="majorBidi"/>
          <w:b/>
          <w:bCs/>
          <w:color w:val="00000F"/>
          <w:sz w:val="22"/>
          <w:szCs w:val="22"/>
        </w:rPr>
        <w:t>I</w:t>
      </w:r>
      <w:r w:rsidR="005A4265" w:rsidRPr="0C1DC608">
        <w:rPr>
          <w:rFonts w:asciiTheme="majorHAnsi" w:hAnsiTheme="majorHAnsi" w:cstheme="majorBidi"/>
          <w:b/>
          <w:bCs/>
          <w:color w:val="00000F"/>
          <w:sz w:val="22"/>
          <w:szCs w:val="22"/>
        </w:rPr>
        <w:t>ntegration efforts are also constrained by the lack of dedicated climate expertise within DFAT</w:t>
      </w:r>
      <w:r w:rsidR="005A4265" w:rsidRPr="0C1DC608">
        <w:rPr>
          <w:rFonts w:asciiTheme="majorHAnsi" w:hAnsiTheme="majorHAnsi" w:cstheme="majorBidi"/>
          <w:color w:val="00000F"/>
          <w:sz w:val="22"/>
          <w:szCs w:val="22"/>
        </w:rPr>
        <w:t xml:space="preserve">.  Internally, there is no bridge between the SU and the broader DFAT institutional environment – hence that </w:t>
      </w:r>
      <w:r w:rsidR="002C71C4">
        <w:rPr>
          <w:rFonts w:asciiTheme="majorHAnsi" w:hAnsiTheme="majorHAnsi" w:cstheme="majorBidi"/>
          <w:color w:val="00000F"/>
          <w:sz w:val="22"/>
          <w:szCs w:val="22"/>
        </w:rPr>
        <w:t xml:space="preserve">technical </w:t>
      </w:r>
      <w:r w:rsidR="005A4265" w:rsidRPr="0C1DC608">
        <w:rPr>
          <w:rFonts w:asciiTheme="majorHAnsi" w:hAnsiTheme="majorHAnsi" w:cstheme="majorBidi"/>
          <w:color w:val="00000F"/>
          <w:sz w:val="22"/>
          <w:szCs w:val="22"/>
        </w:rPr>
        <w:t>expertise is not present in policy and operational discussions within DFAT, nor are lessons disseminated across divisions. Externally, it means that the technical face of climate change integration in the region is not DFAT and is not present to advance Australia’s credentials as a climate change partner at high level political and technical discussions.</w:t>
      </w:r>
    </w:p>
    <w:p w14:paraId="24079914" w14:textId="77777777" w:rsidR="00FB5271" w:rsidRDefault="00FB5271" w:rsidP="005364FD">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5288602B" w14:textId="77777777" w:rsidR="00ED1F63" w:rsidRPr="001E1234" w:rsidRDefault="004C7E49" w:rsidP="00611197">
      <w:pPr>
        <w:pStyle w:val="HEADING4A"/>
      </w:pPr>
      <w:r w:rsidRPr="001E1234">
        <w:t>O</w:t>
      </w:r>
      <w:r w:rsidR="001E1234" w:rsidRPr="001E1234">
        <w:t>UTCOME</w:t>
      </w:r>
      <w:r w:rsidRPr="001E1234">
        <w:t xml:space="preserve"> 2</w:t>
      </w:r>
    </w:p>
    <w:p w14:paraId="54DE2B89" w14:textId="77777777" w:rsidR="004C7E49" w:rsidRDefault="004C7E49" w:rsidP="004C7E49">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996A3B">
        <w:rPr>
          <w:rFonts w:asciiTheme="majorHAnsi" w:hAnsiTheme="majorHAnsi" w:cstheme="majorHAnsi"/>
          <w:b/>
          <w:bCs/>
          <w:color w:val="00000F"/>
          <w:sz w:val="22"/>
          <w:szCs w:val="22"/>
        </w:rPr>
        <w:t>Progress towards achievement of this outcome has been variable across the Partnership.</w:t>
      </w:r>
      <w:r>
        <w:rPr>
          <w:rFonts w:asciiTheme="majorHAnsi" w:hAnsiTheme="majorHAnsi" w:cstheme="majorHAnsi"/>
          <w:color w:val="00000F"/>
          <w:sz w:val="22"/>
          <w:szCs w:val="22"/>
        </w:rPr>
        <w:t xml:space="preserve"> The three sub-programs play distinctly different roles in supporting climate information and have progressed to </w:t>
      </w:r>
      <w:r>
        <w:rPr>
          <w:rFonts w:asciiTheme="majorHAnsi" w:hAnsiTheme="majorHAnsi" w:cstheme="majorHAnsi"/>
          <w:color w:val="00000F"/>
          <w:sz w:val="22"/>
          <w:szCs w:val="22"/>
        </w:rPr>
        <w:lastRenderedPageBreak/>
        <w:t xml:space="preserve">different degrees in their ability to deliver influential climate information for the Pacific. However, the breadth of climate information being produced, and the number of pathways developed to facilitate better utilisation of this information is considerable. </w:t>
      </w:r>
    </w:p>
    <w:p w14:paraId="6A38FF68" w14:textId="77777777" w:rsidR="004C7E49" w:rsidRDefault="004C7E49" w:rsidP="005364FD">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27AB346A" w14:textId="6316A3E7" w:rsidR="00F32553" w:rsidRPr="006B7F5D" w:rsidRDefault="00F32553" w:rsidP="005364FD">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B7F5D">
        <w:rPr>
          <w:rFonts w:asciiTheme="majorHAnsi" w:hAnsiTheme="majorHAnsi" w:cstheme="majorHAnsi"/>
          <w:b/>
          <w:bCs/>
          <w:color w:val="00000F"/>
          <w:sz w:val="22"/>
          <w:szCs w:val="22"/>
        </w:rPr>
        <w:t xml:space="preserve">COSPPac2 continues to provide important, relevant, and influential information to Pacific Island national meteorological services partners. </w:t>
      </w:r>
      <w:r w:rsidRPr="006B7F5D">
        <w:rPr>
          <w:rFonts w:asciiTheme="majorHAnsi" w:hAnsiTheme="majorHAnsi" w:cstheme="majorHAnsi"/>
          <w:color w:val="00000F"/>
          <w:sz w:val="22"/>
          <w:szCs w:val="22"/>
        </w:rPr>
        <w:t>There is acknowledgement by Pacific partners that Australia’s contribution through COSPPac2 fills a unique, critical need in the Pacific, particularly in generating short-term seasonal</w:t>
      </w:r>
      <w:r w:rsidR="006F16FE">
        <w:rPr>
          <w:rFonts w:asciiTheme="majorHAnsi" w:hAnsiTheme="majorHAnsi" w:cstheme="majorHAnsi"/>
          <w:color w:val="00000F"/>
          <w:sz w:val="22"/>
          <w:szCs w:val="22"/>
        </w:rPr>
        <w:t xml:space="preserve"> forecasts </w:t>
      </w:r>
      <w:r w:rsidRPr="006B7F5D">
        <w:rPr>
          <w:rFonts w:asciiTheme="majorHAnsi" w:hAnsiTheme="majorHAnsi" w:cstheme="majorHAnsi"/>
          <w:color w:val="00000F"/>
          <w:sz w:val="22"/>
          <w:szCs w:val="22"/>
        </w:rPr>
        <w:t>and building capacity of national meteorological services.</w:t>
      </w:r>
      <w:r w:rsidR="003C5AB8" w:rsidRPr="00B34C6D">
        <w:rPr>
          <w:rFonts w:asciiTheme="majorHAnsi" w:hAnsiTheme="majorHAnsi" w:cstheme="majorHAnsi"/>
          <w:color w:val="00000F"/>
          <w:sz w:val="22"/>
          <w:szCs w:val="22"/>
        </w:rPr>
        <w:t xml:space="preserve"> While this phase of COSPPac2 is the first to extend beyond national government support and reach out to community level actors, </w:t>
      </w:r>
      <w:r w:rsidR="003C5AB8" w:rsidRPr="006B7F5D">
        <w:rPr>
          <w:rFonts w:asciiTheme="majorHAnsi" w:hAnsiTheme="majorHAnsi" w:cstheme="majorHAnsi"/>
          <w:color w:val="00000F"/>
          <w:sz w:val="22"/>
          <w:szCs w:val="22"/>
        </w:rPr>
        <w:t>developing climate knowledge products at this scale is still in its early stages and achievements remain unclear</w:t>
      </w:r>
      <w:r w:rsidR="003A7CD3">
        <w:rPr>
          <w:rFonts w:asciiTheme="majorHAnsi" w:hAnsiTheme="majorHAnsi" w:cstheme="majorHAnsi"/>
          <w:color w:val="00000F"/>
          <w:sz w:val="22"/>
          <w:szCs w:val="22"/>
        </w:rPr>
        <w:t xml:space="preserve"> at the community level</w:t>
      </w:r>
      <w:r w:rsidR="003C5AB8" w:rsidRPr="006B7F5D">
        <w:rPr>
          <w:rFonts w:asciiTheme="majorHAnsi" w:hAnsiTheme="majorHAnsi" w:cstheme="majorHAnsi"/>
          <w:color w:val="00000F"/>
          <w:sz w:val="22"/>
          <w:szCs w:val="22"/>
        </w:rPr>
        <w:t xml:space="preserve">. </w:t>
      </w:r>
      <w:r w:rsidR="009636C4" w:rsidRPr="006B7F5D">
        <w:rPr>
          <w:rFonts w:asciiTheme="majorHAnsi" w:hAnsiTheme="majorHAnsi" w:cstheme="majorHAnsi"/>
          <w:b/>
          <w:bCs/>
          <w:color w:val="00000F"/>
          <w:sz w:val="22"/>
          <w:szCs w:val="22"/>
        </w:rPr>
        <w:t xml:space="preserve">There </w:t>
      </w:r>
      <w:r w:rsidR="00787AE9">
        <w:rPr>
          <w:rFonts w:asciiTheme="majorHAnsi" w:hAnsiTheme="majorHAnsi" w:cstheme="majorHAnsi"/>
          <w:b/>
          <w:bCs/>
          <w:color w:val="00000F"/>
          <w:sz w:val="22"/>
          <w:szCs w:val="22"/>
        </w:rPr>
        <w:t>remains</w:t>
      </w:r>
      <w:r w:rsidR="00787AE9" w:rsidRPr="006B7F5D">
        <w:rPr>
          <w:rFonts w:asciiTheme="majorHAnsi" w:hAnsiTheme="majorHAnsi" w:cstheme="majorHAnsi"/>
          <w:b/>
          <w:bCs/>
          <w:color w:val="00000F"/>
          <w:sz w:val="22"/>
          <w:szCs w:val="22"/>
        </w:rPr>
        <w:t xml:space="preserve"> </w:t>
      </w:r>
      <w:r w:rsidR="009636C4" w:rsidRPr="006B7F5D">
        <w:rPr>
          <w:rFonts w:asciiTheme="majorHAnsi" w:hAnsiTheme="majorHAnsi" w:cstheme="majorHAnsi"/>
          <w:b/>
          <w:bCs/>
          <w:color w:val="00000F"/>
          <w:sz w:val="22"/>
          <w:szCs w:val="22"/>
        </w:rPr>
        <w:t xml:space="preserve">a gap in the Partnership’s ability to provide long-term climate projections that can inform DFAT investments, particularly in infrastructure. </w:t>
      </w:r>
      <w:r w:rsidR="009636C4" w:rsidRPr="006B7F5D">
        <w:rPr>
          <w:rFonts w:asciiTheme="majorHAnsi" w:hAnsiTheme="majorHAnsi" w:cstheme="majorHAnsi"/>
          <w:color w:val="00000F"/>
          <w:sz w:val="22"/>
          <w:szCs w:val="22"/>
        </w:rPr>
        <w:t>Australia has previously supported this work through CSIRO in the Pacific.</w:t>
      </w:r>
    </w:p>
    <w:p w14:paraId="6E06951B" w14:textId="77777777" w:rsidR="009636C4" w:rsidRPr="006B7F5D" w:rsidRDefault="009636C4" w:rsidP="005364FD">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D931B68" w14:textId="77777777" w:rsidR="002433E7" w:rsidRPr="00B34C6D" w:rsidRDefault="002433E7" w:rsidP="0C1DC608">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06B7F5D">
        <w:rPr>
          <w:rFonts w:asciiTheme="majorHAnsi" w:hAnsiTheme="majorHAnsi" w:cstheme="majorBidi"/>
          <w:b/>
          <w:bCs/>
          <w:color w:val="00000F"/>
          <w:sz w:val="22"/>
          <w:szCs w:val="22"/>
        </w:rPr>
        <w:t xml:space="preserve">The Partnership SU is beginning to fill a gap in the Pacific between the production of climate science information and the understanding and utilisation of that information beyond technical partners. </w:t>
      </w:r>
      <w:r w:rsidRPr="006B7F5D">
        <w:rPr>
          <w:rFonts w:asciiTheme="majorHAnsi" w:hAnsiTheme="majorHAnsi" w:cstheme="majorBidi"/>
          <w:color w:val="00000F"/>
          <w:sz w:val="22"/>
          <w:szCs w:val="22"/>
        </w:rPr>
        <w:t>Most of this work has been prioritised through DFAT investments and opportunities to integrate climate and disaster risk information, however there are some emerging success stories relating to the Partnership SU knowledge brokering activities</w:t>
      </w:r>
      <w:r w:rsidR="00B77EFD" w:rsidRPr="006B7F5D">
        <w:rPr>
          <w:rFonts w:asciiTheme="majorHAnsi" w:hAnsiTheme="majorHAnsi" w:cstheme="majorBidi"/>
          <w:color w:val="00000F"/>
          <w:sz w:val="22"/>
          <w:szCs w:val="22"/>
        </w:rPr>
        <w:t xml:space="preserve">. Emerging success stories are evident where the SU is helping to connect Australian climate science investments (see COSPPac2 above) with downstream partners to localise information to the PIC or sectoral context. </w:t>
      </w:r>
      <w:r w:rsidR="00B77EFD" w:rsidRPr="006B7F5D">
        <w:rPr>
          <w:rFonts w:asciiTheme="majorHAnsi" w:hAnsiTheme="majorHAnsi" w:cstheme="majorBidi"/>
          <w:b/>
          <w:bCs/>
          <w:color w:val="00000F"/>
          <w:sz w:val="22"/>
          <w:szCs w:val="22"/>
        </w:rPr>
        <w:t>G</w:t>
      </w:r>
      <w:r w:rsidR="175BDB1D" w:rsidRPr="006B7F5D">
        <w:rPr>
          <w:rFonts w:asciiTheme="majorHAnsi" w:hAnsiTheme="majorHAnsi" w:cstheme="majorBidi"/>
          <w:b/>
          <w:bCs/>
          <w:color w:val="00000F"/>
          <w:sz w:val="22"/>
          <w:szCs w:val="22"/>
        </w:rPr>
        <w:t xml:space="preserve">ender Equality, Disability and Social </w:t>
      </w:r>
      <w:r w:rsidR="00FE6F08" w:rsidRPr="006B7F5D">
        <w:rPr>
          <w:rFonts w:asciiTheme="majorHAnsi" w:hAnsiTheme="majorHAnsi" w:cstheme="majorBidi"/>
          <w:b/>
          <w:bCs/>
          <w:color w:val="00000F"/>
          <w:sz w:val="22"/>
          <w:szCs w:val="22"/>
        </w:rPr>
        <w:t>Inclusion</w:t>
      </w:r>
      <w:r w:rsidR="175BDB1D" w:rsidRPr="006B7F5D">
        <w:rPr>
          <w:rFonts w:asciiTheme="majorHAnsi" w:hAnsiTheme="majorHAnsi" w:cstheme="majorBidi"/>
          <w:b/>
          <w:bCs/>
          <w:color w:val="00000F"/>
          <w:sz w:val="22"/>
          <w:szCs w:val="22"/>
        </w:rPr>
        <w:t xml:space="preserve"> (GEDSI)</w:t>
      </w:r>
      <w:r w:rsidR="00B77EFD" w:rsidRPr="006B7F5D">
        <w:rPr>
          <w:rFonts w:asciiTheme="majorHAnsi" w:hAnsiTheme="majorHAnsi" w:cstheme="majorBidi"/>
          <w:b/>
          <w:bCs/>
          <w:color w:val="00000F"/>
          <w:sz w:val="22"/>
          <w:szCs w:val="22"/>
        </w:rPr>
        <w:t xml:space="preserve"> integration with climate and disaster resilience is an area of impact that has also been well-received by partners</w:t>
      </w:r>
      <w:r w:rsidR="00B77EFD" w:rsidRPr="006B7F5D">
        <w:rPr>
          <w:rFonts w:asciiTheme="majorHAnsi" w:hAnsiTheme="majorHAnsi" w:cstheme="majorBidi"/>
          <w:color w:val="00000F"/>
          <w:sz w:val="22"/>
          <w:szCs w:val="22"/>
        </w:rPr>
        <w:t xml:space="preserve"> and has demonstrated a niche where Australia can provide a significant value-add in leveraging local knowledge in combination with traditional climate science-based information.</w:t>
      </w:r>
    </w:p>
    <w:p w14:paraId="5F8F1C27" w14:textId="77777777" w:rsidR="00E372E7" w:rsidRPr="006B7F5D" w:rsidRDefault="00E372E7" w:rsidP="002433E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1037E6ED" w14:textId="1D164594" w:rsidR="00E372E7" w:rsidRDefault="00E372E7" w:rsidP="002433E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B7F5D">
        <w:rPr>
          <w:rFonts w:asciiTheme="majorHAnsi" w:hAnsiTheme="majorHAnsi" w:cstheme="majorHAnsi"/>
          <w:b/>
          <w:bCs/>
          <w:color w:val="00000F"/>
          <w:sz w:val="22"/>
          <w:szCs w:val="22"/>
        </w:rPr>
        <w:t>Knowledge brokering activities have primarily prioritised enhancing the integration of climate and disaster risks through DFAT investments in a way that aligns with PIC needs.</w:t>
      </w:r>
      <w:r w:rsidRPr="006B7F5D">
        <w:rPr>
          <w:rFonts w:asciiTheme="majorHAnsi" w:hAnsiTheme="majorHAnsi" w:cstheme="majorHAnsi"/>
          <w:color w:val="00000F"/>
          <w:sz w:val="22"/>
          <w:szCs w:val="22"/>
        </w:rPr>
        <w:t xml:space="preserve"> While it is not possible to</w:t>
      </w:r>
      <w:r>
        <w:rPr>
          <w:rFonts w:asciiTheme="majorHAnsi" w:hAnsiTheme="majorHAnsi" w:cstheme="majorHAnsi"/>
          <w:color w:val="00000F"/>
          <w:sz w:val="22"/>
          <w:szCs w:val="22"/>
        </w:rPr>
        <w:t xml:space="preserve"> say from the evidence viewed whether the investments in knowledge brokering have been the ‘right’ investments given the context, </w:t>
      </w:r>
      <w:r w:rsidRPr="00684E2B">
        <w:rPr>
          <w:rFonts w:asciiTheme="majorHAnsi" w:hAnsiTheme="majorHAnsi" w:cstheme="majorHAnsi"/>
          <w:color w:val="00000F"/>
          <w:sz w:val="22"/>
          <w:szCs w:val="22"/>
        </w:rPr>
        <w:t xml:space="preserve">there </w:t>
      </w:r>
      <w:r w:rsidR="0086242C" w:rsidRPr="00684E2B">
        <w:rPr>
          <w:rFonts w:asciiTheme="majorHAnsi" w:hAnsiTheme="majorHAnsi" w:cstheme="majorHAnsi"/>
          <w:color w:val="00000F"/>
          <w:sz w:val="22"/>
          <w:szCs w:val="22"/>
        </w:rPr>
        <w:t>does not</w:t>
      </w:r>
      <w:r w:rsidRPr="00684E2B">
        <w:rPr>
          <w:rFonts w:asciiTheme="majorHAnsi" w:hAnsiTheme="majorHAnsi" w:cstheme="majorHAnsi"/>
          <w:color w:val="00000F"/>
          <w:sz w:val="22"/>
          <w:szCs w:val="22"/>
        </w:rPr>
        <w:t xml:space="preserve"> appear to be a clear </w:t>
      </w:r>
      <w:r w:rsidR="0092000E">
        <w:rPr>
          <w:rFonts w:asciiTheme="majorHAnsi" w:hAnsiTheme="majorHAnsi" w:cstheme="majorHAnsi"/>
          <w:color w:val="00000F"/>
          <w:sz w:val="22"/>
          <w:szCs w:val="22"/>
        </w:rPr>
        <w:t>decision-making</w:t>
      </w:r>
      <w:r w:rsidR="003A64D3">
        <w:rPr>
          <w:rFonts w:asciiTheme="majorHAnsi" w:hAnsiTheme="majorHAnsi" w:cstheme="majorHAnsi"/>
          <w:color w:val="00000F"/>
          <w:sz w:val="22"/>
          <w:szCs w:val="22"/>
        </w:rPr>
        <w:t xml:space="preserve"> framework</w:t>
      </w:r>
      <w:r w:rsidR="003A64D3" w:rsidRPr="00684E2B">
        <w:rPr>
          <w:rFonts w:asciiTheme="majorHAnsi" w:hAnsiTheme="majorHAnsi" w:cstheme="majorHAnsi"/>
          <w:color w:val="00000F"/>
          <w:sz w:val="22"/>
          <w:szCs w:val="22"/>
        </w:rPr>
        <w:t xml:space="preserve"> </w:t>
      </w:r>
      <w:r w:rsidRPr="00684E2B">
        <w:rPr>
          <w:rFonts w:asciiTheme="majorHAnsi" w:hAnsiTheme="majorHAnsi" w:cstheme="majorHAnsi"/>
          <w:color w:val="00000F"/>
          <w:sz w:val="22"/>
          <w:szCs w:val="22"/>
        </w:rPr>
        <w:t>for how knowledge brokering activities are identified and selected</w:t>
      </w:r>
      <w:r w:rsidR="00BC5151" w:rsidRPr="00684E2B">
        <w:rPr>
          <w:rFonts w:asciiTheme="majorHAnsi" w:hAnsiTheme="majorHAnsi" w:cstheme="majorHAnsi"/>
          <w:color w:val="00000F"/>
          <w:sz w:val="22"/>
          <w:szCs w:val="22"/>
        </w:rPr>
        <w:t>.</w:t>
      </w:r>
      <w:r w:rsidR="00BC5151">
        <w:rPr>
          <w:rFonts w:asciiTheme="majorHAnsi" w:hAnsiTheme="majorHAnsi" w:cstheme="majorHAnsi"/>
          <w:color w:val="00000F"/>
          <w:sz w:val="22"/>
          <w:szCs w:val="22"/>
        </w:rPr>
        <w:t xml:space="preserve"> This has also raised some concerns among Pacific stakeholders that the climate information is not grounded in the region and misses the connections with Pacific Islands traditional knowledge on climate and disasters.</w:t>
      </w:r>
    </w:p>
    <w:p w14:paraId="4BA2D502" w14:textId="77777777" w:rsidR="00BC5151" w:rsidRDefault="00BC5151" w:rsidP="002433E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0D28F6F" w14:textId="77777777" w:rsidR="00BC5151" w:rsidRPr="001E1234" w:rsidRDefault="00BC5151" w:rsidP="00611197">
      <w:pPr>
        <w:pStyle w:val="HEADING4A"/>
      </w:pPr>
      <w:r w:rsidRPr="001E1234">
        <w:t>OUTCOME 3</w:t>
      </w:r>
    </w:p>
    <w:p w14:paraId="7D4CE9AB" w14:textId="7942917F" w:rsidR="003D3B47" w:rsidRPr="003D3B47" w:rsidRDefault="008F6E5F" w:rsidP="003D3B4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To a large extent</w:t>
      </w:r>
      <w:r w:rsidRPr="00295B83">
        <w:rPr>
          <w:rFonts w:asciiTheme="majorHAnsi" w:hAnsiTheme="majorHAnsi" w:cstheme="majorHAnsi"/>
          <w:b/>
          <w:bCs/>
          <w:color w:val="00000F"/>
          <w:sz w:val="22"/>
          <w:szCs w:val="22"/>
        </w:rPr>
        <w:t xml:space="preserve">, implementing the sub-programs effectively and in a way which </w:t>
      </w:r>
      <w:r w:rsidR="0032052D" w:rsidRPr="00295B83">
        <w:rPr>
          <w:rFonts w:asciiTheme="majorHAnsi" w:hAnsiTheme="majorHAnsi" w:cstheme="majorHAnsi"/>
          <w:b/>
          <w:bCs/>
          <w:color w:val="00000F"/>
          <w:sz w:val="22"/>
          <w:szCs w:val="22"/>
        </w:rPr>
        <w:t xml:space="preserve">closely </w:t>
      </w:r>
      <w:r w:rsidRPr="00295B83">
        <w:rPr>
          <w:rFonts w:asciiTheme="majorHAnsi" w:hAnsiTheme="majorHAnsi" w:cstheme="majorHAnsi"/>
          <w:b/>
          <w:bCs/>
          <w:color w:val="00000F"/>
          <w:sz w:val="22"/>
          <w:szCs w:val="22"/>
        </w:rPr>
        <w:t>partners with Pacific stakeholders will be the driving factors in enhancing Australia’s climate credentials.</w:t>
      </w:r>
      <w:r>
        <w:rPr>
          <w:rFonts w:asciiTheme="majorHAnsi" w:hAnsiTheme="majorHAnsi" w:cstheme="majorHAnsi"/>
          <w:color w:val="00000F"/>
          <w:sz w:val="22"/>
          <w:szCs w:val="22"/>
        </w:rPr>
        <w:t xml:space="preserve"> Increasing the involvement of Pacific expertise will enhance Australia’s standing in the Pacific as an enduring climate partner by </w:t>
      </w:r>
      <w:r w:rsidR="003D3B47" w:rsidRPr="003D3B47">
        <w:rPr>
          <w:rFonts w:asciiTheme="majorHAnsi" w:hAnsiTheme="majorHAnsi" w:cstheme="majorHAnsi"/>
          <w:color w:val="00000F"/>
          <w:sz w:val="22"/>
          <w:szCs w:val="22"/>
        </w:rPr>
        <w:t>embedding the work in the Pacific context and enhancing incorporation of</w:t>
      </w:r>
    </w:p>
    <w:p w14:paraId="68D569C4" w14:textId="09D4BF9C" w:rsidR="006E327B" w:rsidRDefault="008F6E5F" w:rsidP="008F6E5F">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local knowledge and practices</w:t>
      </w:r>
      <w:r w:rsidRPr="001E1234">
        <w:rPr>
          <w:rFonts w:asciiTheme="majorHAnsi" w:hAnsiTheme="majorHAnsi" w:cstheme="majorHAnsi"/>
          <w:color w:val="00000F"/>
          <w:sz w:val="22"/>
          <w:szCs w:val="22"/>
        </w:rPr>
        <w:t xml:space="preserve">.  </w:t>
      </w:r>
      <w:r w:rsidR="00F0028B" w:rsidRPr="001E1234">
        <w:rPr>
          <w:rFonts w:asciiTheme="majorHAnsi" w:hAnsiTheme="majorHAnsi" w:cstheme="majorHAnsi"/>
          <w:color w:val="00000F"/>
          <w:sz w:val="22"/>
          <w:szCs w:val="22"/>
        </w:rPr>
        <w:t>C</w:t>
      </w:r>
      <w:r w:rsidR="006E327B" w:rsidRPr="001E1234">
        <w:rPr>
          <w:rFonts w:asciiTheme="majorHAnsi" w:hAnsiTheme="majorHAnsi" w:cstheme="majorHAnsi"/>
          <w:color w:val="00000F"/>
          <w:sz w:val="22"/>
          <w:szCs w:val="22"/>
        </w:rPr>
        <w:t xml:space="preserve">ommunicating what the Partnership is achieving </w:t>
      </w:r>
      <w:r w:rsidR="00AF7854" w:rsidRPr="001E1234">
        <w:rPr>
          <w:rFonts w:asciiTheme="majorHAnsi" w:hAnsiTheme="majorHAnsi" w:cstheme="majorHAnsi"/>
          <w:color w:val="00000F"/>
          <w:sz w:val="22"/>
          <w:szCs w:val="22"/>
        </w:rPr>
        <w:t xml:space="preserve">also </w:t>
      </w:r>
      <w:r w:rsidR="006E327B" w:rsidRPr="001E1234">
        <w:rPr>
          <w:rFonts w:asciiTheme="majorHAnsi" w:hAnsiTheme="majorHAnsi" w:cstheme="majorHAnsi"/>
          <w:color w:val="00000F"/>
          <w:sz w:val="22"/>
          <w:szCs w:val="22"/>
        </w:rPr>
        <w:t xml:space="preserve">has an important role to play.  </w:t>
      </w:r>
      <w:r w:rsidR="006E327B" w:rsidRPr="00916CD1">
        <w:rPr>
          <w:rFonts w:asciiTheme="majorHAnsi" w:hAnsiTheme="majorHAnsi" w:cstheme="majorHAnsi"/>
          <w:color w:val="00000F"/>
          <w:sz w:val="22"/>
          <w:szCs w:val="22"/>
        </w:rPr>
        <w:t xml:space="preserve">Communications is also central </w:t>
      </w:r>
      <w:r w:rsidR="006E327B">
        <w:rPr>
          <w:rFonts w:asciiTheme="majorHAnsi" w:hAnsiTheme="majorHAnsi" w:cstheme="majorHAnsi"/>
          <w:color w:val="00000F"/>
          <w:sz w:val="22"/>
          <w:szCs w:val="22"/>
        </w:rPr>
        <w:t xml:space="preserve">to </w:t>
      </w:r>
      <w:r w:rsidR="006E327B" w:rsidRPr="00916CD1">
        <w:rPr>
          <w:rFonts w:asciiTheme="majorHAnsi" w:hAnsiTheme="majorHAnsi" w:cstheme="majorHAnsi"/>
          <w:color w:val="00000F"/>
          <w:sz w:val="22"/>
          <w:szCs w:val="22"/>
        </w:rPr>
        <w:t>achieving other Partnership and sub-program objectives, particularly in informing governments and communities on climate and disaster risk.</w:t>
      </w:r>
    </w:p>
    <w:p w14:paraId="5E47793D" w14:textId="77777777" w:rsidR="00BC5151" w:rsidRDefault="00BC5151" w:rsidP="002433E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77030EB8" w14:textId="52691A4B" w:rsidR="00AF7854" w:rsidRDefault="00AF7854" w:rsidP="002433E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311D66">
        <w:rPr>
          <w:rFonts w:asciiTheme="majorHAnsi" w:hAnsiTheme="majorHAnsi" w:cstheme="majorHAnsi"/>
          <w:b/>
          <w:bCs/>
          <w:color w:val="00000F"/>
          <w:sz w:val="22"/>
          <w:szCs w:val="22"/>
        </w:rPr>
        <w:t>At the operational level, the APCP is promoting Australia as a valued partner on climate change</w:t>
      </w:r>
      <w:r w:rsidR="00517C83">
        <w:rPr>
          <w:rFonts w:asciiTheme="majorHAnsi" w:hAnsiTheme="majorHAnsi" w:cstheme="majorHAnsi"/>
          <w:b/>
          <w:bCs/>
          <w:color w:val="00000F"/>
          <w:sz w:val="22"/>
          <w:szCs w:val="22"/>
        </w:rPr>
        <w:t xml:space="preserve"> action</w:t>
      </w:r>
      <w:r w:rsidRPr="00311D66">
        <w:rPr>
          <w:rFonts w:asciiTheme="majorHAnsi" w:hAnsiTheme="majorHAnsi" w:cstheme="majorHAnsi"/>
          <w:b/>
          <w:bCs/>
          <w:color w:val="00000F"/>
          <w:sz w:val="22"/>
          <w:szCs w:val="22"/>
        </w:rPr>
        <w:t xml:space="preserve">. </w:t>
      </w:r>
      <w:r w:rsidRPr="001560B6">
        <w:rPr>
          <w:rFonts w:asciiTheme="majorHAnsi" w:hAnsiTheme="majorHAnsi" w:cstheme="majorHAnsi"/>
          <w:b/>
          <w:bCs/>
          <w:color w:val="00000F"/>
          <w:sz w:val="22"/>
          <w:szCs w:val="22"/>
        </w:rPr>
        <w:t xml:space="preserve">It is difficult to know, however, whether this is turning the dial on </w:t>
      </w:r>
      <w:r w:rsidR="00C978A7">
        <w:rPr>
          <w:rFonts w:asciiTheme="majorHAnsi" w:hAnsiTheme="majorHAnsi" w:cstheme="majorHAnsi"/>
          <w:b/>
          <w:bCs/>
          <w:color w:val="00000F"/>
          <w:sz w:val="22"/>
          <w:szCs w:val="22"/>
        </w:rPr>
        <w:t>public</w:t>
      </w:r>
      <w:r w:rsidR="00C978A7" w:rsidRPr="001560B6">
        <w:rPr>
          <w:rFonts w:asciiTheme="majorHAnsi" w:hAnsiTheme="majorHAnsi" w:cstheme="majorHAnsi"/>
          <w:b/>
          <w:bCs/>
          <w:color w:val="00000F"/>
          <w:sz w:val="22"/>
          <w:szCs w:val="22"/>
        </w:rPr>
        <w:t xml:space="preserve"> </w:t>
      </w:r>
      <w:r w:rsidR="000A0B92">
        <w:rPr>
          <w:rFonts w:asciiTheme="majorHAnsi" w:hAnsiTheme="majorHAnsi" w:cstheme="majorHAnsi"/>
          <w:b/>
          <w:bCs/>
          <w:color w:val="00000F"/>
          <w:sz w:val="22"/>
          <w:szCs w:val="22"/>
        </w:rPr>
        <w:t xml:space="preserve">and political </w:t>
      </w:r>
      <w:r w:rsidRPr="001560B6">
        <w:rPr>
          <w:rFonts w:asciiTheme="majorHAnsi" w:hAnsiTheme="majorHAnsi" w:cstheme="majorHAnsi"/>
          <w:b/>
          <w:bCs/>
          <w:color w:val="00000F"/>
          <w:sz w:val="22"/>
          <w:szCs w:val="22"/>
        </w:rPr>
        <w:t>perceptions more broadly</w:t>
      </w:r>
      <w:r w:rsidR="000A0B92">
        <w:rPr>
          <w:rFonts w:asciiTheme="majorHAnsi" w:hAnsiTheme="majorHAnsi" w:cstheme="majorHAnsi"/>
          <w:b/>
          <w:bCs/>
          <w:color w:val="00000F"/>
          <w:sz w:val="22"/>
          <w:szCs w:val="22"/>
        </w:rPr>
        <w:t xml:space="preserve"> in the Pacific</w:t>
      </w:r>
      <w:r w:rsidRPr="001560B6">
        <w:rPr>
          <w:rFonts w:asciiTheme="majorHAnsi" w:hAnsiTheme="majorHAnsi" w:cstheme="majorHAnsi"/>
          <w:b/>
          <w:bCs/>
          <w:color w:val="00000F"/>
          <w:sz w:val="22"/>
          <w:szCs w:val="22"/>
        </w:rPr>
        <w:t>.</w:t>
      </w:r>
      <w:r w:rsidRPr="00916CD1">
        <w:rPr>
          <w:rFonts w:asciiTheme="majorHAnsi" w:hAnsiTheme="majorHAnsi" w:cstheme="majorHAnsi"/>
          <w:color w:val="00000F"/>
          <w:sz w:val="22"/>
          <w:szCs w:val="22"/>
        </w:rPr>
        <w:t xml:space="preserve"> The review did not have the time or resources to critically assess this perception or how widely it is held, or how that may have changed because of the Partnership.</w:t>
      </w:r>
    </w:p>
    <w:p w14:paraId="4B58A8D2" w14:textId="77777777" w:rsidR="00272D52" w:rsidRDefault="00272D52" w:rsidP="002433E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2351636C" w14:textId="71020DB4" w:rsidR="00272D52" w:rsidRDefault="00B44BFC" w:rsidP="717C916D">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Pr>
          <w:rFonts w:asciiTheme="majorHAnsi" w:hAnsiTheme="majorHAnsi" w:cstheme="majorBidi"/>
          <w:b/>
          <w:bCs/>
          <w:color w:val="00000F"/>
          <w:sz w:val="22"/>
          <w:szCs w:val="22"/>
        </w:rPr>
        <w:t>E</w:t>
      </w:r>
      <w:r w:rsidR="00272D52" w:rsidRPr="006B7F5D">
        <w:rPr>
          <w:rFonts w:asciiTheme="majorHAnsi" w:hAnsiTheme="majorHAnsi" w:cstheme="majorBidi"/>
          <w:b/>
          <w:bCs/>
          <w:color w:val="00000F"/>
          <w:sz w:val="22"/>
          <w:szCs w:val="22"/>
        </w:rPr>
        <w:t xml:space="preserve">fforts to communicate key messages have been stymied </w:t>
      </w:r>
      <w:r w:rsidR="00272D52" w:rsidRPr="006B7F5D">
        <w:rPr>
          <w:rFonts w:asciiTheme="majorHAnsi" w:hAnsiTheme="majorHAnsi" w:cstheme="majorBidi"/>
          <w:color w:val="00000F"/>
          <w:sz w:val="22"/>
          <w:szCs w:val="22"/>
        </w:rPr>
        <w:t>by</w:t>
      </w:r>
      <w:r w:rsidR="00DE0A8A" w:rsidRPr="006B7F5D">
        <w:rPr>
          <w:rFonts w:asciiTheme="majorHAnsi" w:hAnsiTheme="majorHAnsi" w:cstheme="majorBidi"/>
          <w:color w:val="00000F"/>
          <w:sz w:val="22"/>
          <w:szCs w:val="22"/>
        </w:rPr>
        <w:t xml:space="preserve"> </w:t>
      </w:r>
      <w:r w:rsidR="00517C83">
        <w:rPr>
          <w:rFonts w:asciiTheme="majorHAnsi" w:hAnsiTheme="majorHAnsi" w:cstheme="majorBidi"/>
          <w:color w:val="00000F"/>
          <w:sz w:val="22"/>
          <w:szCs w:val="22"/>
        </w:rPr>
        <w:t>draft material not linking in with relevant policy contexts</w:t>
      </w:r>
      <w:r w:rsidR="00DE0A8A" w:rsidRPr="006B7F5D">
        <w:rPr>
          <w:rFonts w:asciiTheme="majorHAnsi" w:hAnsiTheme="majorHAnsi" w:cstheme="majorBidi"/>
          <w:color w:val="00000F"/>
          <w:sz w:val="22"/>
          <w:szCs w:val="22"/>
        </w:rPr>
        <w:t xml:space="preserve">, </w:t>
      </w:r>
      <w:r w:rsidR="00272D52" w:rsidRPr="006B7F5D">
        <w:rPr>
          <w:rFonts w:asciiTheme="majorHAnsi" w:hAnsiTheme="majorHAnsi" w:cstheme="majorBidi"/>
          <w:color w:val="00000F"/>
          <w:sz w:val="22"/>
          <w:szCs w:val="22"/>
        </w:rPr>
        <w:t>slow clearance processes and an unwillingness by DFAT to use dissemination platforms outside of those run by DFAT.  That DFAT takes a cautious approach to communications is understandable given the high political profile of climate change in Australia’s relations with the Pacific.</w:t>
      </w:r>
      <w:r w:rsidR="00272D52" w:rsidRPr="00B34C6D">
        <w:rPr>
          <w:rFonts w:asciiTheme="majorHAnsi" w:hAnsiTheme="majorHAnsi" w:cstheme="majorBidi"/>
          <w:color w:val="00000F"/>
          <w:sz w:val="22"/>
          <w:szCs w:val="22"/>
        </w:rPr>
        <w:t xml:space="preserve">  This risk-aversion however comes at a cost as the SU is unable to fully utilise the communication tools at its disposal to promote Australia’s achievements and</w:t>
      </w:r>
      <w:r w:rsidR="00272D52" w:rsidRPr="717C916D">
        <w:rPr>
          <w:rFonts w:asciiTheme="majorHAnsi" w:hAnsiTheme="majorHAnsi" w:cstheme="majorBidi"/>
          <w:color w:val="00000F"/>
          <w:sz w:val="22"/>
          <w:szCs w:val="22"/>
        </w:rPr>
        <w:t xml:space="preserve"> support.</w:t>
      </w:r>
      <w:r w:rsidR="002535A1" w:rsidRPr="717C916D">
        <w:rPr>
          <w:rFonts w:asciiTheme="majorHAnsi" w:hAnsiTheme="majorHAnsi" w:cstheme="majorBidi"/>
          <w:color w:val="00000F"/>
          <w:sz w:val="22"/>
          <w:szCs w:val="22"/>
        </w:rPr>
        <w:t xml:space="preserve"> Further, there appears to be </w:t>
      </w:r>
      <w:r w:rsidR="002B6818">
        <w:rPr>
          <w:rFonts w:asciiTheme="majorHAnsi" w:hAnsiTheme="majorHAnsi" w:cstheme="majorBidi"/>
          <w:color w:val="00000F"/>
          <w:sz w:val="22"/>
          <w:szCs w:val="22"/>
        </w:rPr>
        <w:t>a</w:t>
      </w:r>
      <w:r w:rsidR="002B6818" w:rsidRPr="717C916D">
        <w:rPr>
          <w:rFonts w:asciiTheme="majorHAnsi" w:hAnsiTheme="majorHAnsi" w:cstheme="majorBidi"/>
          <w:color w:val="00000F"/>
          <w:sz w:val="22"/>
          <w:szCs w:val="22"/>
        </w:rPr>
        <w:t xml:space="preserve"> </w:t>
      </w:r>
      <w:r w:rsidR="5F46C5E6" w:rsidRPr="717C916D">
        <w:rPr>
          <w:rFonts w:asciiTheme="majorHAnsi" w:hAnsiTheme="majorHAnsi" w:cstheme="majorBidi"/>
          <w:color w:val="00000F"/>
          <w:sz w:val="22"/>
          <w:szCs w:val="22"/>
        </w:rPr>
        <w:t xml:space="preserve">lack of </w:t>
      </w:r>
      <w:r w:rsidR="002B6818">
        <w:rPr>
          <w:rFonts w:asciiTheme="majorHAnsi" w:hAnsiTheme="majorHAnsi" w:cstheme="majorBidi"/>
          <w:color w:val="00000F"/>
          <w:sz w:val="22"/>
          <w:szCs w:val="22"/>
        </w:rPr>
        <w:t>clear agreement</w:t>
      </w:r>
      <w:r w:rsidR="002B6818" w:rsidRPr="717C916D">
        <w:rPr>
          <w:rFonts w:asciiTheme="majorHAnsi" w:hAnsiTheme="majorHAnsi" w:cstheme="majorBidi"/>
          <w:color w:val="00000F"/>
          <w:sz w:val="22"/>
          <w:szCs w:val="22"/>
        </w:rPr>
        <w:t xml:space="preserve"> </w:t>
      </w:r>
      <w:r w:rsidR="002535A1" w:rsidRPr="717C916D">
        <w:rPr>
          <w:rFonts w:asciiTheme="majorHAnsi" w:hAnsiTheme="majorHAnsi" w:cstheme="majorBidi"/>
          <w:color w:val="00000F"/>
          <w:sz w:val="22"/>
          <w:szCs w:val="22"/>
        </w:rPr>
        <w:t xml:space="preserve">around the roles and responsibilities of the </w:t>
      </w:r>
      <w:r w:rsidR="009B02DC" w:rsidRPr="717C916D">
        <w:rPr>
          <w:rFonts w:asciiTheme="majorHAnsi" w:hAnsiTheme="majorHAnsi" w:cstheme="majorBidi"/>
          <w:color w:val="00000F"/>
          <w:sz w:val="22"/>
          <w:szCs w:val="22"/>
        </w:rPr>
        <w:t>SU</w:t>
      </w:r>
      <w:r w:rsidR="009B02DC">
        <w:rPr>
          <w:rFonts w:asciiTheme="majorHAnsi" w:hAnsiTheme="majorHAnsi" w:cstheme="majorBidi"/>
          <w:color w:val="00000F"/>
          <w:sz w:val="22"/>
          <w:szCs w:val="22"/>
        </w:rPr>
        <w:t xml:space="preserve">, </w:t>
      </w:r>
      <w:r w:rsidR="009B02DC" w:rsidRPr="717C916D">
        <w:rPr>
          <w:rFonts w:asciiTheme="majorHAnsi" w:hAnsiTheme="majorHAnsi" w:cstheme="majorBidi"/>
          <w:color w:val="00000F"/>
          <w:sz w:val="22"/>
          <w:szCs w:val="22"/>
        </w:rPr>
        <w:t>DFAT</w:t>
      </w:r>
      <w:r w:rsidR="00A316BE">
        <w:rPr>
          <w:rFonts w:asciiTheme="majorHAnsi" w:hAnsiTheme="majorHAnsi" w:cstheme="majorBidi"/>
          <w:color w:val="00000F"/>
          <w:sz w:val="22"/>
          <w:szCs w:val="22"/>
        </w:rPr>
        <w:t xml:space="preserve"> Posts and DFAT Canberra</w:t>
      </w:r>
      <w:r w:rsidR="002535A1" w:rsidRPr="717C916D">
        <w:rPr>
          <w:rFonts w:asciiTheme="majorHAnsi" w:hAnsiTheme="majorHAnsi" w:cstheme="majorBidi"/>
          <w:color w:val="00000F"/>
          <w:sz w:val="22"/>
          <w:szCs w:val="22"/>
        </w:rPr>
        <w:t xml:space="preserve">.  </w:t>
      </w:r>
    </w:p>
    <w:p w14:paraId="045FE5A1" w14:textId="77777777" w:rsidR="00CA6F2C" w:rsidRDefault="00CA6F2C" w:rsidP="002433E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DF8F839" w14:textId="77777777" w:rsidR="00CA6F2C" w:rsidRDefault="00CA6F2C" w:rsidP="00611197">
      <w:pPr>
        <w:pStyle w:val="Heading2A"/>
      </w:pPr>
      <w:r w:rsidRPr="002B656C">
        <w:t>RECOMMENDATIONS</w:t>
      </w:r>
    </w:p>
    <w:p w14:paraId="03579F64" w14:textId="77777777" w:rsidR="002B656C" w:rsidRPr="002B656C" w:rsidRDefault="002B656C" w:rsidP="00DC3B2A">
      <w:pPr>
        <w:pStyle w:val="Subheading"/>
        <w:outlineLvl w:val="0"/>
        <w:rPr>
          <w:rFonts w:asciiTheme="majorHAnsi" w:hAnsiTheme="majorHAnsi" w:cstheme="majorHAnsi"/>
          <w:b/>
          <w:bCs/>
          <w:color w:val="222A35" w:themeColor="text2" w:themeShade="80"/>
          <w:sz w:val="24"/>
          <w:szCs w:val="24"/>
          <w:lang w:val="en-US"/>
        </w:rPr>
      </w:pPr>
    </w:p>
    <w:p w14:paraId="538A7C65" w14:textId="77777777" w:rsidR="00CA6F2C" w:rsidRPr="002B656C" w:rsidRDefault="007A5C8C" w:rsidP="00611197">
      <w:pPr>
        <w:pStyle w:val="HEADING3A"/>
      </w:pPr>
      <w:r w:rsidRPr="002B656C">
        <w:t>STRATEGIC</w:t>
      </w:r>
    </w:p>
    <w:p w14:paraId="02D309F5" w14:textId="77777777" w:rsidR="00E6433B" w:rsidRPr="00E6433B" w:rsidRDefault="00E6433B" w:rsidP="0C1DC608">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 xml:space="preserve">1. Wind down the partnership approach and allow the sub-programs to continue independently </w:t>
      </w:r>
    </w:p>
    <w:p w14:paraId="7531B89E" w14:textId="77777777" w:rsidR="006137F2" w:rsidRPr="006137F2" w:rsidRDefault="006137F2" w:rsidP="006137F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137F2">
        <w:rPr>
          <w:rFonts w:asciiTheme="majorHAnsi" w:hAnsiTheme="majorHAnsi" w:cstheme="majorHAnsi"/>
          <w:color w:val="00000F"/>
          <w:sz w:val="22"/>
          <w:szCs w:val="22"/>
        </w:rPr>
        <w:t xml:space="preserve">2. Enhance engagement </w:t>
      </w:r>
      <w:r w:rsidR="00700369">
        <w:rPr>
          <w:rFonts w:asciiTheme="majorHAnsi" w:hAnsiTheme="majorHAnsi" w:cstheme="majorHAnsi"/>
          <w:color w:val="00000F"/>
          <w:sz w:val="22"/>
          <w:szCs w:val="22"/>
        </w:rPr>
        <w:t>with</w:t>
      </w:r>
      <w:r w:rsidRPr="006137F2">
        <w:rPr>
          <w:rFonts w:asciiTheme="majorHAnsi" w:hAnsiTheme="majorHAnsi" w:cstheme="majorHAnsi"/>
          <w:color w:val="00000F"/>
          <w:sz w:val="22"/>
          <w:szCs w:val="22"/>
        </w:rPr>
        <w:t xml:space="preserve"> Pacific partners</w:t>
      </w:r>
    </w:p>
    <w:p w14:paraId="0F848395" w14:textId="77777777" w:rsidR="000D507B" w:rsidRPr="000D507B" w:rsidRDefault="000D507B" w:rsidP="000D507B">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0D507B">
        <w:rPr>
          <w:rFonts w:asciiTheme="majorHAnsi" w:hAnsiTheme="majorHAnsi" w:cstheme="majorHAnsi"/>
          <w:color w:val="00000F"/>
          <w:sz w:val="22"/>
          <w:szCs w:val="22"/>
        </w:rPr>
        <w:t xml:space="preserve">3. Develop DFAT internal expertise on climate change </w:t>
      </w:r>
    </w:p>
    <w:p w14:paraId="69B8B12F" w14:textId="77777777" w:rsidR="007A5C8C" w:rsidRDefault="007A5C8C" w:rsidP="002433E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D7251E8" w14:textId="77777777" w:rsidR="000D507B" w:rsidRPr="002B656C" w:rsidRDefault="000D507B" w:rsidP="00611197">
      <w:pPr>
        <w:pStyle w:val="HEADING3A"/>
      </w:pPr>
      <w:r w:rsidRPr="002B656C">
        <w:t>OPERATIONAL</w:t>
      </w:r>
    </w:p>
    <w:p w14:paraId="55BD1875" w14:textId="77777777" w:rsidR="00530F6A" w:rsidRPr="00530F6A" w:rsidRDefault="00530F6A" w:rsidP="00530F6A">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30F6A">
        <w:rPr>
          <w:rFonts w:asciiTheme="majorHAnsi" w:hAnsiTheme="majorHAnsi" w:cstheme="majorHAnsi"/>
          <w:color w:val="00000F"/>
          <w:sz w:val="22"/>
          <w:szCs w:val="22"/>
        </w:rPr>
        <w:t xml:space="preserve">4. Strengthen the Support Unit </w:t>
      </w:r>
      <w:r w:rsidR="00260893">
        <w:rPr>
          <w:rFonts w:asciiTheme="majorHAnsi" w:hAnsiTheme="majorHAnsi" w:cstheme="majorHAnsi"/>
          <w:color w:val="00000F"/>
          <w:sz w:val="22"/>
          <w:szCs w:val="22"/>
        </w:rPr>
        <w:t>to ensure it is fit-for purpose as its role evolves</w:t>
      </w:r>
    </w:p>
    <w:p w14:paraId="52601EFD" w14:textId="77777777" w:rsidR="006747F2" w:rsidRPr="006747F2" w:rsidRDefault="006747F2" w:rsidP="006747F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747F2">
        <w:rPr>
          <w:rFonts w:asciiTheme="majorHAnsi" w:hAnsiTheme="majorHAnsi" w:cstheme="majorHAnsi"/>
          <w:color w:val="00000F"/>
          <w:sz w:val="22"/>
          <w:szCs w:val="22"/>
        </w:rPr>
        <w:t xml:space="preserve">5. Enhance integration by strengthening internal incentives </w:t>
      </w:r>
    </w:p>
    <w:p w14:paraId="4C91AB9F" w14:textId="77777777" w:rsidR="00073E1D" w:rsidRPr="00073E1D" w:rsidRDefault="00073E1D" w:rsidP="00073E1D">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073E1D">
        <w:rPr>
          <w:rFonts w:asciiTheme="majorHAnsi" w:hAnsiTheme="majorHAnsi" w:cstheme="majorHAnsi"/>
          <w:color w:val="00000F"/>
          <w:sz w:val="22"/>
          <w:szCs w:val="22"/>
        </w:rPr>
        <w:t>6. Sharpen the focus of communications to promote Australia as a valued climate partner</w:t>
      </w:r>
    </w:p>
    <w:p w14:paraId="2DAFE74F" w14:textId="77777777" w:rsidR="00FB2C3C" w:rsidRPr="00876E35" w:rsidRDefault="00FB2C3C" w:rsidP="00FB2C3C">
      <w:pPr>
        <w:pStyle w:val="BasicParagraph"/>
        <w:tabs>
          <w:tab w:val="left" w:pos="454"/>
        </w:tabs>
        <w:suppressAutoHyphens/>
        <w:rPr>
          <w:rStyle w:val="Heading"/>
          <w:rFonts w:asciiTheme="majorHAnsi" w:hAnsiTheme="majorHAnsi" w:cstheme="majorHAnsi"/>
        </w:rPr>
      </w:pPr>
    </w:p>
    <w:p w14:paraId="5049940B" w14:textId="77777777" w:rsidR="00FB2C3C" w:rsidRPr="00876E35" w:rsidRDefault="00FB2C3C" w:rsidP="00FB2C3C">
      <w:pPr>
        <w:rPr>
          <w:rFonts w:asciiTheme="majorHAnsi" w:hAnsiTheme="majorHAnsi" w:cstheme="majorHAnsi"/>
          <w:sz w:val="18"/>
          <w:szCs w:val="18"/>
          <w:lang w:val="en-US"/>
        </w:rPr>
        <w:sectPr w:rsidR="00FB2C3C" w:rsidRPr="00876E35" w:rsidSect="00A11201">
          <w:headerReference w:type="default" r:id="rId12"/>
          <w:pgSz w:w="11900" w:h="16840"/>
          <w:pgMar w:top="1418" w:right="1440" w:bottom="1440" w:left="1440" w:header="709" w:footer="709" w:gutter="0"/>
          <w:cols w:space="708"/>
          <w:docGrid w:linePitch="360"/>
        </w:sectPr>
      </w:pPr>
    </w:p>
    <w:p w14:paraId="31C15BBD" w14:textId="77777777" w:rsidR="00FB2C3C" w:rsidRPr="00611197" w:rsidRDefault="00FB2C3C" w:rsidP="00611197">
      <w:pPr>
        <w:pStyle w:val="Heading2A"/>
        <w:rPr>
          <w:rStyle w:val="MajorHeading"/>
        </w:rPr>
      </w:pPr>
      <w:r w:rsidRPr="00611197">
        <w:rPr>
          <w:rStyle w:val="MajorHeading"/>
        </w:rPr>
        <w:t>CONTENTS</w:t>
      </w:r>
    </w:p>
    <w:p w14:paraId="61E93128" w14:textId="77777777" w:rsidR="00FB2C3C" w:rsidRPr="00876E35" w:rsidRDefault="00FB2C3C" w:rsidP="00FB2C3C">
      <w:pPr>
        <w:rPr>
          <w:rStyle w:val="MajorHeading"/>
          <w:rFonts w:asciiTheme="majorHAnsi" w:hAnsiTheme="majorHAnsi" w:cstheme="majorHAnsi"/>
        </w:rPr>
      </w:pPr>
    </w:p>
    <w:p w14:paraId="4A0FC105" w14:textId="7A8F53B2" w:rsidR="003D66C2" w:rsidRDefault="00FB2C3C">
      <w:pPr>
        <w:pStyle w:val="TOC1"/>
        <w:tabs>
          <w:tab w:val="right" w:pos="9010"/>
        </w:tabs>
        <w:rPr>
          <w:rFonts w:eastAsiaTheme="minorEastAsia"/>
          <w:noProof/>
          <w:sz w:val="22"/>
          <w:szCs w:val="22"/>
          <w:lang w:eastAsia="en-AU"/>
        </w:rPr>
      </w:pPr>
      <w:r w:rsidRPr="00876E35">
        <w:rPr>
          <w:rStyle w:val="MajorHeading"/>
          <w:rFonts w:asciiTheme="majorHAnsi" w:eastAsiaTheme="minorEastAsia" w:hAnsiTheme="majorHAnsi" w:cstheme="majorHAnsi"/>
          <w:b w:val="0"/>
          <w:noProof/>
          <w:color w:val="auto"/>
          <w:spacing w:val="0"/>
          <w:sz w:val="24"/>
          <w:szCs w:val="24"/>
        </w:rPr>
        <w:fldChar w:fldCharType="begin"/>
      </w:r>
      <w:r w:rsidRPr="00876E35">
        <w:rPr>
          <w:rStyle w:val="MajorHeading"/>
          <w:rFonts w:asciiTheme="majorHAnsi" w:eastAsiaTheme="minorEastAsia" w:hAnsiTheme="majorHAnsi" w:cstheme="majorHAnsi"/>
          <w:noProof/>
          <w:color w:val="auto"/>
          <w:spacing w:val="0"/>
          <w:sz w:val="24"/>
          <w:szCs w:val="24"/>
        </w:rPr>
        <w:instrText xml:space="preserve"> TOC \o "1-1" \h \z \u </w:instrText>
      </w:r>
      <w:r w:rsidRPr="00876E35">
        <w:rPr>
          <w:rStyle w:val="MajorHeading"/>
          <w:rFonts w:asciiTheme="majorHAnsi" w:eastAsiaTheme="minorEastAsia" w:hAnsiTheme="majorHAnsi" w:cstheme="majorHAnsi"/>
          <w:b w:val="0"/>
          <w:noProof/>
          <w:color w:val="auto"/>
          <w:spacing w:val="0"/>
          <w:sz w:val="24"/>
          <w:szCs w:val="24"/>
        </w:rPr>
        <w:fldChar w:fldCharType="separate"/>
      </w:r>
      <w:hyperlink w:anchor="_Toc72104068" w:history="1">
        <w:r w:rsidR="003D66C2" w:rsidRPr="00CD15E3">
          <w:rPr>
            <w:rStyle w:val="Hyperlink"/>
            <w:rFonts w:asciiTheme="majorHAnsi" w:hAnsiTheme="majorHAnsi" w:cstheme="majorHAnsi"/>
            <w:b/>
            <w:noProof/>
            <w:spacing w:val="120"/>
          </w:rPr>
          <w:t>EXECUTIVE SUMMARY</w:t>
        </w:r>
        <w:r w:rsidR="003D66C2">
          <w:rPr>
            <w:noProof/>
            <w:webHidden/>
          </w:rPr>
          <w:tab/>
        </w:r>
        <w:r w:rsidR="003D66C2">
          <w:rPr>
            <w:noProof/>
            <w:webHidden/>
          </w:rPr>
          <w:fldChar w:fldCharType="begin"/>
        </w:r>
        <w:r w:rsidR="003D66C2">
          <w:rPr>
            <w:noProof/>
            <w:webHidden/>
          </w:rPr>
          <w:instrText xml:space="preserve"> PAGEREF _Toc72104068 \h </w:instrText>
        </w:r>
        <w:r w:rsidR="003D66C2">
          <w:rPr>
            <w:noProof/>
            <w:webHidden/>
          </w:rPr>
        </w:r>
        <w:r w:rsidR="003D66C2">
          <w:rPr>
            <w:noProof/>
            <w:webHidden/>
          </w:rPr>
          <w:fldChar w:fldCharType="separate"/>
        </w:r>
        <w:r w:rsidR="000149FC">
          <w:rPr>
            <w:noProof/>
            <w:webHidden/>
          </w:rPr>
          <w:t>1</w:t>
        </w:r>
        <w:r w:rsidR="003D66C2">
          <w:rPr>
            <w:noProof/>
            <w:webHidden/>
          </w:rPr>
          <w:fldChar w:fldCharType="end"/>
        </w:r>
      </w:hyperlink>
    </w:p>
    <w:p w14:paraId="596CAF76" w14:textId="287DE416" w:rsidR="003D66C2" w:rsidRDefault="00E857C5">
      <w:pPr>
        <w:pStyle w:val="TOC1"/>
        <w:tabs>
          <w:tab w:val="right" w:pos="9010"/>
        </w:tabs>
        <w:rPr>
          <w:rFonts w:eastAsiaTheme="minorEastAsia"/>
          <w:noProof/>
          <w:sz w:val="22"/>
          <w:szCs w:val="22"/>
          <w:lang w:eastAsia="en-AU"/>
        </w:rPr>
      </w:pPr>
      <w:hyperlink w:anchor="_Toc72104069" w:history="1">
        <w:r w:rsidR="003D66C2" w:rsidRPr="00CD15E3">
          <w:rPr>
            <w:rStyle w:val="Hyperlink"/>
            <w:rFonts w:asciiTheme="majorHAnsi" w:hAnsiTheme="majorHAnsi" w:cstheme="majorHAnsi"/>
            <w:b/>
            <w:noProof/>
            <w:spacing w:val="120"/>
          </w:rPr>
          <w:t>ACKNOWLEDGEMENTS</w:t>
        </w:r>
        <w:r w:rsidR="003D66C2">
          <w:rPr>
            <w:noProof/>
            <w:webHidden/>
          </w:rPr>
          <w:tab/>
        </w:r>
        <w:r w:rsidR="003D66C2">
          <w:rPr>
            <w:noProof/>
            <w:webHidden/>
          </w:rPr>
          <w:fldChar w:fldCharType="begin"/>
        </w:r>
        <w:r w:rsidR="003D66C2">
          <w:rPr>
            <w:noProof/>
            <w:webHidden/>
          </w:rPr>
          <w:instrText xml:space="preserve"> PAGEREF _Toc72104069 \h </w:instrText>
        </w:r>
        <w:r w:rsidR="003D66C2">
          <w:rPr>
            <w:noProof/>
            <w:webHidden/>
          </w:rPr>
        </w:r>
        <w:r w:rsidR="003D66C2">
          <w:rPr>
            <w:noProof/>
            <w:webHidden/>
          </w:rPr>
          <w:fldChar w:fldCharType="separate"/>
        </w:r>
        <w:r w:rsidR="000149FC">
          <w:rPr>
            <w:noProof/>
            <w:webHidden/>
          </w:rPr>
          <w:t>6</w:t>
        </w:r>
        <w:r w:rsidR="003D66C2">
          <w:rPr>
            <w:noProof/>
            <w:webHidden/>
          </w:rPr>
          <w:fldChar w:fldCharType="end"/>
        </w:r>
      </w:hyperlink>
    </w:p>
    <w:p w14:paraId="3994291E" w14:textId="2BD9E764" w:rsidR="003D66C2" w:rsidRDefault="00E857C5">
      <w:pPr>
        <w:pStyle w:val="TOC1"/>
        <w:tabs>
          <w:tab w:val="right" w:pos="9010"/>
        </w:tabs>
        <w:rPr>
          <w:rFonts w:eastAsiaTheme="minorEastAsia"/>
          <w:noProof/>
          <w:sz w:val="22"/>
          <w:szCs w:val="22"/>
          <w:lang w:eastAsia="en-AU"/>
        </w:rPr>
      </w:pPr>
      <w:hyperlink w:anchor="_Toc72104070" w:history="1">
        <w:r w:rsidR="003D66C2" w:rsidRPr="00CD15E3">
          <w:rPr>
            <w:rStyle w:val="Hyperlink"/>
            <w:rFonts w:asciiTheme="majorHAnsi" w:hAnsiTheme="majorHAnsi" w:cstheme="majorHAnsi"/>
            <w:b/>
            <w:noProof/>
            <w:spacing w:val="120"/>
          </w:rPr>
          <w:t>ABBREVIATIONS</w:t>
        </w:r>
        <w:r w:rsidR="003D66C2">
          <w:rPr>
            <w:noProof/>
            <w:webHidden/>
          </w:rPr>
          <w:tab/>
        </w:r>
        <w:r w:rsidR="003D66C2">
          <w:rPr>
            <w:noProof/>
            <w:webHidden/>
          </w:rPr>
          <w:fldChar w:fldCharType="begin"/>
        </w:r>
        <w:r w:rsidR="003D66C2">
          <w:rPr>
            <w:noProof/>
            <w:webHidden/>
          </w:rPr>
          <w:instrText xml:space="preserve"> PAGEREF _Toc72104070 \h </w:instrText>
        </w:r>
        <w:r w:rsidR="003D66C2">
          <w:rPr>
            <w:noProof/>
            <w:webHidden/>
          </w:rPr>
        </w:r>
        <w:r w:rsidR="003D66C2">
          <w:rPr>
            <w:noProof/>
            <w:webHidden/>
          </w:rPr>
          <w:fldChar w:fldCharType="separate"/>
        </w:r>
        <w:r w:rsidR="000149FC">
          <w:rPr>
            <w:noProof/>
            <w:webHidden/>
          </w:rPr>
          <w:t>7</w:t>
        </w:r>
        <w:r w:rsidR="003D66C2">
          <w:rPr>
            <w:noProof/>
            <w:webHidden/>
          </w:rPr>
          <w:fldChar w:fldCharType="end"/>
        </w:r>
      </w:hyperlink>
    </w:p>
    <w:p w14:paraId="03FA4948" w14:textId="3AEEDECE" w:rsidR="003D66C2" w:rsidRDefault="00E857C5">
      <w:pPr>
        <w:pStyle w:val="TOC1"/>
        <w:tabs>
          <w:tab w:val="right" w:pos="9010"/>
        </w:tabs>
        <w:rPr>
          <w:rFonts w:eastAsiaTheme="minorEastAsia"/>
          <w:noProof/>
          <w:sz w:val="22"/>
          <w:szCs w:val="22"/>
          <w:lang w:eastAsia="en-AU"/>
        </w:rPr>
      </w:pPr>
      <w:hyperlink w:anchor="_Toc72104071" w:history="1">
        <w:r w:rsidR="003D66C2" w:rsidRPr="00CD15E3">
          <w:rPr>
            <w:rStyle w:val="Hyperlink"/>
            <w:rFonts w:asciiTheme="majorHAnsi" w:hAnsiTheme="majorHAnsi" w:cstheme="majorHAnsi"/>
            <w:b/>
            <w:noProof/>
            <w:spacing w:val="120"/>
          </w:rPr>
          <w:t>INTRODUCTION</w:t>
        </w:r>
        <w:r w:rsidR="003D66C2">
          <w:rPr>
            <w:noProof/>
            <w:webHidden/>
          </w:rPr>
          <w:tab/>
        </w:r>
        <w:r w:rsidR="003D66C2">
          <w:rPr>
            <w:noProof/>
            <w:webHidden/>
          </w:rPr>
          <w:fldChar w:fldCharType="begin"/>
        </w:r>
        <w:r w:rsidR="003D66C2">
          <w:rPr>
            <w:noProof/>
            <w:webHidden/>
          </w:rPr>
          <w:instrText xml:space="preserve"> PAGEREF _Toc72104071 \h </w:instrText>
        </w:r>
        <w:r w:rsidR="003D66C2">
          <w:rPr>
            <w:noProof/>
            <w:webHidden/>
          </w:rPr>
        </w:r>
        <w:r w:rsidR="003D66C2">
          <w:rPr>
            <w:noProof/>
            <w:webHidden/>
          </w:rPr>
          <w:fldChar w:fldCharType="separate"/>
        </w:r>
        <w:r w:rsidR="000149FC">
          <w:rPr>
            <w:noProof/>
            <w:webHidden/>
          </w:rPr>
          <w:t>8</w:t>
        </w:r>
        <w:r w:rsidR="003D66C2">
          <w:rPr>
            <w:noProof/>
            <w:webHidden/>
          </w:rPr>
          <w:fldChar w:fldCharType="end"/>
        </w:r>
      </w:hyperlink>
    </w:p>
    <w:p w14:paraId="33D9F96B" w14:textId="39B979C9" w:rsidR="003D66C2" w:rsidRDefault="00E857C5">
      <w:pPr>
        <w:pStyle w:val="TOC1"/>
        <w:tabs>
          <w:tab w:val="right" w:pos="9010"/>
        </w:tabs>
        <w:rPr>
          <w:rFonts w:eastAsiaTheme="minorEastAsia"/>
          <w:noProof/>
          <w:sz w:val="22"/>
          <w:szCs w:val="22"/>
          <w:lang w:eastAsia="en-AU"/>
        </w:rPr>
      </w:pPr>
      <w:hyperlink w:anchor="_Toc72104072" w:history="1">
        <w:r w:rsidR="003D66C2" w:rsidRPr="00CD15E3">
          <w:rPr>
            <w:rStyle w:val="Hyperlink"/>
            <w:rFonts w:asciiTheme="majorHAnsi" w:hAnsiTheme="majorHAnsi" w:cstheme="majorHAnsi"/>
            <w:noProof/>
          </w:rPr>
          <w:t>BACKGROUND</w:t>
        </w:r>
        <w:r w:rsidR="003D66C2">
          <w:rPr>
            <w:noProof/>
            <w:webHidden/>
          </w:rPr>
          <w:tab/>
        </w:r>
        <w:r w:rsidR="003D66C2">
          <w:rPr>
            <w:noProof/>
            <w:webHidden/>
          </w:rPr>
          <w:fldChar w:fldCharType="begin"/>
        </w:r>
        <w:r w:rsidR="003D66C2">
          <w:rPr>
            <w:noProof/>
            <w:webHidden/>
          </w:rPr>
          <w:instrText xml:space="preserve"> PAGEREF _Toc72104072 \h </w:instrText>
        </w:r>
        <w:r w:rsidR="003D66C2">
          <w:rPr>
            <w:noProof/>
            <w:webHidden/>
          </w:rPr>
        </w:r>
        <w:r w:rsidR="003D66C2">
          <w:rPr>
            <w:noProof/>
            <w:webHidden/>
          </w:rPr>
          <w:fldChar w:fldCharType="separate"/>
        </w:r>
        <w:r w:rsidR="000149FC">
          <w:rPr>
            <w:noProof/>
            <w:webHidden/>
          </w:rPr>
          <w:t>8</w:t>
        </w:r>
        <w:r w:rsidR="003D66C2">
          <w:rPr>
            <w:noProof/>
            <w:webHidden/>
          </w:rPr>
          <w:fldChar w:fldCharType="end"/>
        </w:r>
      </w:hyperlink>
    </w:p>
    <w:p w14:paraId="4C42426E" w14:textId="62FC1DAD" w:rsidR="003D66C2" w:rsidRDefault="00E857C5">
      <w:pPr>
        <w:pStyle w:val="TOC1"/>
        <w:tabs>
          <w:tab w:val="right" w:pos="9010"/>
        </w:tabs>
        <w:rPr>
          <w:rFonts w:eastAsiaTheme="minorEastAsia"/>
          <w:noProof/>
          <w:sz w:val="22"/>
          <w:szCs w:val="22"/>
          <w:lang w:eastAsia="en-AU"/>
        </w:rPr>
      </w:pPr>
      <w:hyperlink w:anchor="_Toc72104073" w:history="1">
        <w:r w:rsidR="003D66C2" w:rsidRPr="00CD15E3">
          <w:rPr>
            <w:rStyle w:val="Hyperlink"/>
            <w:rFonts w:asciiTheme="majorHAnsi" w:hAnsiTheme="majorHAnsi" w:cstheme="majorHAnsi"/>
            <w:noProof/>
          </w:rPr>
          <w:t>PURPOSE AND SCOPE</w:t>
        </w:r>
        <w:r w:rsidR="003D66C2">
          <w:rPr>
            <w:noProof/>
            <w:webHidden/>
          </w:rPr>
          <w:tab/>
        </w:r>
        <w:r w:rsidR="003D66C2">
          <w:rPr>
            <w:noProof/>
            <w:webHidden/>
          </w:rPr>
          <w:fldChar w:fldCharType="begin"/>
        </w:r>
        <w:r w:rsidR="003D66C2">
          <w:rPr>
            <w:noProof/>
            <w:webHidden/>
          </w:rPr>
          <w:instrText xml:space="preserve"> PAGEREF _Toc72104073 \h </w:instrText>
        </w:r>
        <w:r w:rsidR="003D66C2">
          <w:rPr>
            <w:noProof/>
            <w:webHidden/>
          </w:rPr>
        </w:r>
        <w:r w:rsidR="003D66C2">
          <w:rPr>
            <w:noProof/>
            <w:webHidden/>
          </w:rPr>
          <w:fldChar w:fldCharType="separate"/>
        </w:r>
        <w:r w:rsidR="000149FC">
          <w:rPr>
            <w:noProof/>
            <w:webHidden/>
          </w:rPr>
          <w:t>8</w:t>
        </w:r>
        <w:r w:rsidR="003D66C2">
          <w:rPr>
            <w:noProof/>
            <w:webHidden/>
          </w:rPr>
          <w:fldChar w:fldCharType="end"/>
        </w:r>
      </w:hyperlink>
    </w:p>
    <w:p w14:paraId="24FB5785" w14:textId="3B32A89A" w:rsidR="003D66C2" w:rsidRDefault="00E857C5">
      <w:pPr>
        <w:pStyle w:val="TOC1"/>
        <w:tabs>
          <w:tab w:val="right" w:pos="9010"/>
        </w:tabs>
        <w:rPr>
          <w:rFonts w:eastAsiaTheme="minorEastAsia"/>
          <w:noProof/>
          <w:sz w:val="22"/>
          <w:szCs w:val="22"/>
          <w:lang w:eastAsia="en-AU"/>
        </w:rPr>
      </w:pPr>
      <w:hyperlink w:anchor="_Toc72104074" w:history="1">
        <w:r w:rsidR="003D66C2" w:rsidRPr="00CD15E3">
          <w:rPr>
            <w:rStyle w:val="Hyperlink"/>
            <w:rFonts w:asciiTheme="majorHAnsi" w:hAnsiTheme="majorHAnsi" w:cstheme="majorHAnsi"/>
            <w:noProof/>
          </w:rPr>
          <w:t>REPORT STRUCTURE</w:t>
        </w:r>
        <w:r w:rsidR="003D66C2">
          <w:rPr>
            <w:noProof/>
            <w:webHidden/>
          </w:rPr>
          <w:tab/>
        </w:r>
        <w:r w:rsidR="003D66C2">
          <w:rPr>
            <w:noProof/>
            <w:webHidden/>
          </w:rPr>
          <w:fldChar w:fldCharType="begin"/>
        </w:r>
        <w:r w:rsidR="003D66C2">
          <w:rPr>
            <w:noProof/>
            <w:webHidden/>
          </w:rPr>
          <w:instrText xml:space="preserve"> PAGEREF _Toc72104074 \h </w:instrText>
        </w:r>
        <w:r w:rsidR="003D66C2">
          <w:rPr>
            <w:noProof/>
            <w:webHidden/>
          </w:rPr>
        </w:r>
        <w:r w:rsidR="003D66C2">
          <w:rPr>
            <w:noProof/>
            <w:webHidden/>
          </w:rPr>
          <w:fldChar w:fldCharType="separate"/>
        </w:r>
        <w:r w:rsidR="000149FC">
          <w:rPr>
            <w:noProof/>
            <w:webHidden/>
          </w:rPr>
          <w:t>9</w:t>
        </w:r>
        <w:r w:rsidR="003D66C2">
          <w:rPr>
            <w:noProof/>
            <w:webHidden/>
          </w:rPr>
          <w:fldChar w:fldCharType="end"/>
        </w:r>
      </w:hyperlink>
    </w:p>
    <w:p w14:paraId="59594FD3" w14:textId="060E67DE" w:rsidR="003D66C2" w:rsidRDefault="00E857C5">
      <w:pPr>
        <w:pStyle w:val="TOC1"/>
        <w:tabs>
          <w:tab w:val="right" w:pos="9010"/>
        </w:tabs>
        <w:rPr>
          <w:rFonts w:eastAsiaTheme="minorEastAsia"/>
          <w:noProof/>
          <w:sz w:val="22"/>
          <w:szCs w:val="22"/>
          <w:lang w:eastAsia="en-AU"/>
        </w:rPr>
      </w:pPr>
      <w:hyperlink w:anchor="_Toc72104075" w:history="1">
        <w:r w:rsidR="003D66C2" w:rsidRPr="00CD15E3">
          <w:rPr>
            <w:rStyle w:val="Hyperlink"/>
            <w:rFonts w:asciiTheme="majorHAnsi" w:hAnsiTheme="majorHAnsi" w:cstheme="majorHAnsi"/>
            <w:noProof/>
          </w:rPr>
          <w:t>METHODOLOGY</w:t>
        </w:r>
        <w:r w:rsidR="003D66C2">
          <w:rPr>
            <w:noProof/>
            <w:webHidden/>
          </w:rPr>
          <w:tab/>
        </w:r>
        <w:r w:rsidR="003D66C2">
          <w:rPr>
            <w:noProof/>
            <w:webHidden/>
          </w:rPr>
          <w:fldChar w:fldCharType="begin"/>
        </w:r>
        <w:r w:rsidR="003D66C2">
          <w:rPr>
            <w:noProof/>
            <w:webHidden/>
          </w:rPr>
          <w:instrText xml:space="preserve"> PAGEREF _Toc72104075 \h </w:instrText>
        </w:r>
        <w:r w:rsidR="003D66C2">
          <w:rPr>
            <w:noProof/>
            <w:webHidden/>
          </w:rPr>
        </w:r>
        <w:r w:rsidR="003D66C2">
          <w:rPr>
            <w:noProof/>
            <w:webHidden/>
          </w:rPr>
          <w:fldChar w:fldCharType="separate"/>
        </w:r>
        <w:r w:rsidR="000149FC">
          <w:rPr>
            <w:noProof/>
            <w:webHidden/>
          </w:rPr>
          <w:t>10</w:t>
        </w:r>
        <w:r w:rsidR="003D66C2">
          <w:rPr>
            <w:noProof/>
            <w:webHidden/>
          </w:rPr>
          <w:fldChar w:fldCharType="end"/>
        </w:r>
      </w:hyperlink>
    </w:p>
    <w:p w14:paraId="52582892" w14:textId="08EBDFF1" w:rsidR="003D66C2" w:rsidRDefault="00E857C5">
      <w:pPr>
        <w:pStyle w:val="TOC1"/>
        <w:tabs>
          <w:tab w:val="right" w:pos="9010"/>
        </w:tabs>
        <w:rPr>
          <w:rFonts w:eastAsiaTheme="minorEastAsia"/>
          <w:noProof/>
          <w:sz w:val="22"/>
          <w:szCs w:val="22"/>
          <w:lang w:eastAsia="en-AU"/>
        </w:rPr>
      </w:pPr>
      <w:hyperlink w:anchor="_Toc72104076" w:history="1">
        <w:r w:rsidR="003D66C2" w:rsidRPr="00CD15E3">
          <w:rPr>
            <w:rStyle w:val="Hyperlink"/>
            <w:rFonts w:asciiTheme="majorHAnsi" w:hAnsiTheme="majorHAnsi" w:cstheme="majorHAnsi"/>
            <w:b/>
            <w:noProof/>
            <w:spacing w:val="120"/>
          </w:rPr>
          <w:t>KEY FINDINGS</w:t>
        </w:r>
        <w:r w:rsidR="003D66C2">
          <w:rPr>
            <w:noProof/>
            <w:webHidden/>
          </w:rPr>
          <w:tab/>
        </w:r>
        <w:r w:rsidR="003D66C2">
          <w:rPr>
            <w:noProof/>
            <w:webHidden/>
          </w:rPr>
          <w:fldChar w:fldCharType="begin"/>
        </w:r>
        <w:r w:rsidR="003D66C2">
          <w:rPr>
            <w:noProof/>
            <w:webHidden/>
          </w:rPr>
          <w:instrText xml:space="preserve"> PAGEREF _Toc72104076 \h </w:instrText>
        </w:r>
        <w:r w:rsidR="003D66C2">
          <w:rPr>
            <w:noProof/>
            <w:webHidden/>
          </w:rPr>
        </w:r>
        <w:r w:rsidR="003D66C2">
          <w:rPr>
            <w:noProof/>
            <w:webHidden/>
          </w:rPr>
          <w:fldChar w:fldCharType="separate"/>
        </w:r>
        <w:r w:rsidR="000149FC">
          <w:rPr>
            <w:noProof/>
            <w:webHidden/>
          </w:rPr>
          <w:t>11</w:t>
        </w:r>
        <w:r w:rsidR="003D66C2">
          <w:rPr>
            <w:noProof/>
            <w:webHidden/>
          </w:rPr>
          <w:fldChar w:fldCharType="end"/>
        </w:r>
      </w:hyperlink>
    </w:p>
    <w:p w14:paraId="1B19377E" w14:textId="3EAAF8FA" w:rsidR="003D66C2" w:rsidRDefault="00E857C5">
      <w:pPr>
        <w:pStyle w:val="TOC1"/>
        <w:tabs>
          <w:tab w:val="right" w:pos="9010"/>
        </w:tabs>
        <w:rPr>
          <w:rFonts w:eastAsiaTheme="minorEastAsia"/>
          <w:noProof/>
          <w:sz w:val="22"/>
          <w:szCs w:val="22"/>
          <w:lang w:eastAsia="en-AU"/>
        </w:rPr>
      </w:pPr>
      <w:hyperlink w:anchor="_Toc72104077" w:history="1">
        <w:r w:rsidR="003D66C2" w:rsidRPr="00CD15E3">
          <w:rPr>
            <w:rStyle w:val="Hyperlink"/>
            <w:rFonts w:asciiTheme="majorHAnsi" w:hAnsiTheme="majorHAnsi" w:cstheme="majorHAnsi"/>
            <w:noProof/>
          </w:rPr>
          <w:t>STRATEGIC ASSESSMENT - THE PARTNERSHIP MODEL</w:t>
        </w:r>
        <w:r w:rsidR="003D66C2">
          <w:rPr>
            <w:noProof/>
            <w:webHidden/>
          </w:rPr>
          <w:tab/>
        </w:r>
        <w:r w:rsidR="003D66C2">
          <w:rPr>
            <w:noProof/>
            <w:webHidden/>
          </w:rPr>
          <w:fldChar w:fldCharType="begin"/>
        </w:r>
        <w:r w:rsidR="003D66C2">
          <w:rPr>
            <w:noProof/>
            <w:webHidden/>
          </w:rPr>
          <w:instrText xml:space="preserve"> PAGEREF _Toc72104077 \h </w:instrText>
        </w:r>
        <w:r w:rsidR="003D66C2">
          <w:rPr>
            <w:noProof/>
            <w:webHidden/>
          </w:rPr>
        </w:r>
        <w:r w:rsidR="003D66C2">
          <w:rPr>
            <w:noProof/>
            <w:webHidden/>
          </w:rPr>
          <w:fldChar w:fldCharType="separate"/>
        </w:r>
        <w:r w:rsidR="000149FC">
          <w:rPr>
            <w:noProof/>
            <w:webHidden/>
          </w:rPr>
          <w:t>12</w:t>
        </w:r>
        <w:r w:rsidR="003D66C2">
          <w:rPr>
            <w:noProof/>
            <w:webHidden/>
          </w:rPr>
          <w:fldChar w:fldCharType="end"/>
        </w:r>
      </w:hyperlink>
    </w:p>
    <w:p w14:paraId="31729712" w14:textId="6906B40C" w:rsidR="003D66C2" w:rsidRDefault="00E857C5">
      <w:pPr>
        <w:pStyle w:val="TOC1"/>
        <w:tabs>
          <w:tab w:val="right" w:pos="9010"/>
        </w:tabs>
        <w:rPr>
          <w:rFonts w:eastAsiaTheme="minorEastAsia"/>
          <w:noProof/>
          <w:sz w:val="22"/>
          <w:szCs w:val="22"/>
          <w:lang w:eastAsia="en-AU"/>
        </w:rPr>
      </w:pPr>
      <w:hyperlink w:anchor="_Toc72104078" w:history="1">
        <w:r w:rsidR="003D66C2" w:rsidRPr="00CD15E3">
          <w:rPr>
            <w:rStyle w:val="Hyperlink"/>
            <w:rFonts w:asciiTheme="majorHAnsi" w:hAnsiTheme="majorHAnsi" w:cstheme="majorHAnsi"/>
            <w:noProof/>
          </w:rPr>
          <w:t>OPERATIONAL ASSESSMENT - PROGRESS TOWARDS THE PARTNERSHIP OUTCOMES</w:t>
        </w:r>
        <w:r w:rsidR="003D66C2">
          <w:rPr>
            <w:noProof/>
            <w:webHidden/>
          </w:rPr>
          <w:tab/>
        </w:r>
        <w:r w:rsidR="003D66C2">
          <w:rPr>
            <w:noProof/>
            <w:webHidden/>
          </w:rPr>
          <w:fldChar w:fldCharType="begin"/>
        </w:r>
        <w:r w:rsidR="003D66C2">
          <w:rPr>
            <w:noProof/>
            <w:webHidden/>
          </w:rPr>
          <w:instrText xml:space="preserve"> PAGEREF _Toc72104078 \h </w:instrText>
        </w:r>
        <w:r w:rsidR="003D66C2">
          <w:rPr>
            <w:noProof/>
            <w:webHidden/>
          </w:rPr>
        </w:r>
        <w:r w:rsidR="003D66C2">
          <w:rPr>
            <w:noProof/>
            <w:webHidden/>
          </w:rPr>
          <w:fldChar w:fldCharType="separate"/>
        </w:r>
        <w:r w:rsidR="000149FC">
          <w:rPr>
            <w:noProof/>
            <w:webHidden/>
          </w:rPr>
          <w:t>14</w:t>
        </w:r>
        <w:r w:rsidR="003D66C2">
          <w:rPr>
            <w:noProof/>
            <w:webHidden/>
          </w:rPr>
          <w:fldChar w:fldCharType="end"/>
        </w:r>
      </w:hyperlink>
    </w:p>
    <w:p w14:paraId="141A4D28" w14:textId="55BB63F3" w:rsidR="003D66C2" w:rsidRDefault="00E857C5">
      <w:pPr>
        <w:pStyle w:val="TOC1"/>
        <w:tabs>
          <w:tab w:val="right" w:pos="9010"/>
        </w:tabs>
        <w:rPr>
          <w:rFonts w:eastAsiaTheme="minorEastAsia"/>
          <w:noProof/>
          <w:sz w:val="22"/>
          <w:szCs w:val="22"/>
          <w:lang w:eastAsia="en-AU"/>
        </w:rPr>
      </w:pPr>
      <w:hyperlink w:anchor="_Toc72104079" w:history="1">
        <w:r w:rsidR="003D66C2" w:rsidRPr="00CD15E3">
          <w:rPr>
            <w:rStyle w:val="Hyperlink"/>
            <w:rFonts w:asciiTheme="majorHAnsi" w:hAnsiTheme="majorHAnsi" w:cstheme="majorHAnsi"/>
            <w:noProof/>
          </w:rPr>
          <w:t>OUTCOME 1. AUSTRALIAN AID INVESTMENTS ARE CLIMATE AND DISASTER RISK INFORMED</w:t>
        </w:r>
        <w:r w:rsidR="003D66C2">
          <w:rPr>
            <w:noProof/>
            <w:webHidden/>
          </w:rPr>
          <w:tab/>
        </w:r>
        <w:r w:rsidR="003D66C2">
          <w:rPr>
            <w:noProof/>
            <w:webHidden/>
          </w:rPr>
          <w:fldChar w:fldCharType="begin"/>
        </w:r>
        <w:r w:rsidR="003D66C2">
          <w:rPr>
            <w:noProof/>
            <w:webHidden/>
          </w:rPr>
          <w:instrText xml:space="preserve"> PAGEREF _Toc72104079 \h </w:instrText>
        </w:r>
        <w:r w:rsidR="003D66C2">
          <w:rPr>
            <w:noProof/>
            <w:webHidden/>
          </w:rPr>
        </w:r>
        <w:r w:rsidR="003D66C2">
          <w:rPr>
            <w:noProof/>
            <w:webHidden/>
          </w:rPr>
          <w:fldChar w:fldCharType="separate"/>
        </w:r>
        <w:r w:rsidR="000149FC">
          <w:rPr>
            <w:noProof/>
            <w:webHidden/>
          </w:rPr>
          <w:t>14</w:t>
        </w:r>
        <w:r w:rsidR="003D66C2">
          <w:rPr>
            <w:noProof/>
            <w:webHidden/>
          </w:rPr>
          <w:fldChar w:fldCharType="end"/>
        </w:r>
      </w:hyperlink>
    </w:p>
    <w:p w14:paraId="500EB32C" w14:textId="36217FF0" w:rsidR="003D66C2" w:rsidRDefault="00E857C5">
      <w:pPr>
        <w:pStyle w:val="TOC1"/>
        <w:tabs>
          <w:tab w:val="right" w:pos="9010"/>
        </w:tabs>
        <w:rPr>
          <w:rFonts w:eastAsiaTheme="minorEastAsia"/>
          <w:noProof/>
          <w:sz w:val="22"/>
          <w:szCs w:val="22"/>
          <w:lang w:eastAsia="en-AU"/>
        </w:rPr>
      </w:pPr>
      <w:hyperlink w:anchor="_Toc72104080" w:history="1">
        <w:r w:rsidR="003D66C2" w:rsidRPr="00CD15E3">
          <w:rPr>
            <w:rStyle w:val="Hyperlink"/>
            <w:rFonts w:asciiTheme="majorHAnsi" w:hAnsiTheme="majorHAnsi" w:cstheme="majorHAnsi"/>
            <w:noProof/>
          </w:rPr>
          <w:t>OUTCOME 2. AUSTRALIAN SUPPORTED CLIMATE CHANGE INFORMATION IS RELEVANT AND INFLUENTIAL</w:t>
        </w:r>
        <w:r w:rsidR="003D66C2">
          <w:rPr>
            <w:noProof/>
            <w:webHidden/>
          </w:rPr>
          <w:tab/>
        </w:r>
        <w:r w:rsidR="003D66C2">
          <w:rPr>
            <w:noProof/>
            <w:webHidden/>
          </w:rPr>
          <w:fldChar w:fldCharType="begin"/>
        </w:r>
        <w:r w:rsidR="003D66C2">
          <w:rPr>
            <w:noProof/>
            <w:webHidden/>
          </w:rPr>
          <w:instrText xml:space="preserve"> PAGEREF _Toc72104080 \h </w:instrText>
        </w:r>
        <w:r w:rsidR="003D66C2">
          <w:rPr>
            <w:noProof/>
            <w:webHidden/>
          </w:rPr>
        </w:r>
        <w:r w:rsidR="003D66C2">
          <w:rPr>
            <w:noProof/>
            <w:webHidden/>
          </w:rPr>
          <w:fldChar w:fldCharType="separate"/>
        </w:r>
        <w:r w:rsidR="000149FC">
          <w:rPr>
            <w:noProof/>
            <w:webHidden/>
          </w:rPr>
          <w:t>18</w:t>
        </w:r>
        <w:r w:rsidR="003D66C2">
          <w:rPr>
            <w:noProof/>
            <w:webHidden/>
          </w:rPr>
          <w:fldChar w:fldCharType="end"/>
        </w:r>
      </w:hyperlink>
    </w:p>
    <w:p w14:paraId="5EFC8F4D" w14:textId="0EEC706D" w:rsidR="003D66C2" w:rsidRDefault="00E857C5">
      <w:pPr>
        <w:pStyle w:val="TOC1"/>
        <w:tabs>
          <w:tab w:val="right" w:pos="9010"/>
        </w:tabs>
        <w:rPr>
          <w:rFonts w:eastAsiaTheme="minorEastAsia"/>
          <w:noProof/>
          <w:sz w:val="22"/>
          <w:szCs w:val="22"/>
          <w:lang w:eastAsia="en-AU"/>
        </w:rPr>
      </w:pPr>
      <w:hyperlink w:anchor="_Toc72104081" w:history="1">
        <w:r w:rsidR="003D66C2" w:rsidRPr="00CD15E3">
          <w:rPr>
            <w:rStyle w:val="Hyperlink"/>
            <w:rFonts w:asciiTheme="majorHAnsi" w:hAnsiTheme="majorHAnsi" w:cstheme="majorHAnsi"/>
            <w:noProof/>
          </w:rPr>
          <w:t>OUTCOME 3. AUSTRALIA IS VALUED AS A CLIMATE CHANGE PARTNER IN THE PACIFIC</w:t>
        </w:r>
        <w:r w:rsidR="003D66C2">
          <w:rPr>
            <w:noProof/>
            <w:webHidden/>
          </w:rPr>
          <w:tab/>
        </w:r>
        <w:r w:rsidR="003D66C2">
          <w:rPr>
            <w:noProof/>
            <w:webHidden/>
          </w:rPr>
          <w:fldChar w:fldCharType="begin"/>
        </w:r>
        <w:r w:rsidR="003D66C2">
          <w:rPr>
            <w:noProof/>
            <w:webHidden/>
          </w:rPr>
          <w:instrText xml:space="preserve"> PAGEREF _Toc72104081 \h </w:instrText>
        </w:r>
        <w:r w:rsidR="003D66C2">
          <w:rPr>
            <w:noProof/>
            <w:webHidden/>
          </w:rPr>
        </w:r>
        <w:r w:rsidR="003D66C2">
          <w:rPr>
            <w:noProof/>
            <w:webHidden/>
          </w:rPr>
          <w:fldChar w:fldCharType="separate"/>
        </w:r>
        <w:r w:rsidR="000149FC">
          <w:rPr>
            <w:noProof/>
            <w:webHidden/>
          </w:rPr>
          <w:t>21</w:t>
        </w:r>
        <w:r w:rsidR="003D66C2">
          <w:rPr>
            <w:noProof/>
            <w:webHidden/>
          </w:rPr>
          <w:fldChar w:fldCharType="end"/>
        </w:r>
      </w:hyperlink>
    </w:p>
    <w:p w14:paraId="1A126187" w14:textId="19C1A587" w:rsidR="003D66C2" w:rsidRDefault="00E857C5">
      <w:pPr>
        <w:pStyle w:val="TOC1"/>
        <w:tabs>
          <w:tab w:val="right" w:pos="9010"/>
        </w:tabs>
        <w:rPr>
          <w:rFonts w:eastAsiaTheme="minorEastAsia"/>
          <w:noProof/>
          <w:sz w:val="22"/>
          <w:szCs w:val="22"/>
          <w:lang w:eastAsia="en-AU"/>
        </w:rPr>
      </w:pPr>
      <w:hyperlink w:anchor="_Toc72104082" w:history="1">
        <w:r w:rsidR="003D66C2" w:rsidRPr="00CD15E3">
          <w:rPr>
            <w:rStyle w:val="Hyperlink"/>
            <w:rFonts w:asciiTheme="majorHAnsi" w:hAnsiTheme="majorHAnsi" w:cstheme="majorHAnsi"/>
            <w:b/>
            <w:noProof/>
            <w:spacing w:val="120"/>
          </w:rPr>
          <w:t>CONCLUSION AND RECOMMENDATIONS</w:t>
        </w:r>
        <w:r w:rsidR="003D66C2">
          <w:rPr>
            <w:noProof/>
            <w:webHidden/>
          </w:rPr>
          <w:tab/>
        </w:r>
        <w:r w:rsidR="003D66C2">
          <w:rPr>
            <w:noProof/>
            <w:webHidden/>
          </w:rPr>
          <w:fldChar w:fldCharType="begin"/>
        </w:r>
        <w:r w:rsidR="003D66C2">
          <w:rPr>
            <w:noProof/>
            <w:webHidden/>
          </w:rPr>
          <w:instrText xml:space="preserve"> PAGEREF _Toc72104082 \h </w:instrText>
        </w:r>
        <w:r w:rsidR="003D66C2">
          <w:rPr>
            <w:noProof/>
            <w:webHidden/>
          </w:rPr>
        </w:r>
        <w:r w:rsidR="003D66C2">
          <w:rPr>
            <w:noProof/>
            <w:webHidden/>
          </w:rPr>
          <w:fldChar w:fldCharType="separate"/>
        </w:r>
        <w:r w:rsidR="000149FC">
          <w:rPr>
            <w:noProof/>
            <w:webHidden/>
          </w:rPr>
          <w:t>24</w:t>
        </w:r>
        <w:r w:rsidR="003D66C2">
          <w:rPr>
            <w:noProof/>
            <w:webHidden/>
          </w:rPr>
          <w:fldChar w:fldCharType="end"/>
        </w:r>
      </w:hyperlink>
    </w:p>
    <w:p w14:paraId="4E3448BD" w14:textId="23DF47A5" w:rsidR="003D66C2" w:rsidRDefault="00E857C5">
      <w:pPr>
        <w:pStyle w:val="TOC1"/>
        <w:tabs>
          <w:tab w:val="right" w:pos="9010"/>
        </w:tabs>
        <w:rPr>
          <w:rFonts w:eastAsiaTheme="minorEastAsia"/>
          <w:noProof/>
          <w:sz w:val="22"/>
          <w:szCs w:val="22"/>
          <w:lang w:eastAsia="en-AU"/>
        </w:rPr>
      </w:pPr>
      <w:hyperlink w:anchor="_Toc72104083" w:history="1">
        <w:r w:rsidR="003D66C2" w:rsidRPr="00CD15E3">
          <w:rPr>
            <w:rStyle w:val="Hyperlink"/>
            <w:rFonts w:asciiTheme="majorHAnsi" w:hAnsiTheme="majorHAnsi" w:cstheme="majorHAnsi"/>
            <w:noProof/>
          </w:rPr>
          <w:t>STRATEGIC RECOMMENDATIONS</w:t>
        </w:r>
        <w:r w:rsidR="003D66C2">
          <w:rPr>
            <w:noProof/>
            <w:webHidden/>
          </w:rPr>
          <w:tab/>
        </w:r>
        <w:r w:rsidR="003D66C2">
          <w:rPr>
            <w:noProof/>
            <w:webHidden/>
          </w:rPr>
          <w:fldChar w:fldCharType="begin"/>
        </w:r>
        <w:r w:rsidR="003D66C2">
          <w:rPr>
            <w:noProof/>
            <w:webHidden/>
          </w:rPr>
          <w:instrText xml:space="preserve"> PAGEREF _Toc72104083 \h </w:instrText>
        </w:r>
        <w:r w:rsidR="003D66C2">
          <w:rPr>
            <w:noProof/>
            <w:webHidden/>
          </w:rPr>
        </w:r>
        <w:r w:rsidR="003D66C2">
          <w:rPr>
            <w:noProof/>
            <w:webHidden/>
          </w:rPr>
          <w:fldChar w:fldCharType="separate"/>
        </w:r>
        <w:r w:rsidR="000149FC">
          <w:rPr>
            <w:noProof/>
            <w:webHidden/>
          </w:rPr>
          <w:t>24</w:t>
        </w:r>
        <w:r w:rsidR="003D66C2">
          <w:rPr>
            <w:noProof/>
            <w:webHidden/>
          </w:rPr>
          <w:fldChar w:fldCharType="end"/>
        </w:r>
      </w:hyperlink>
    </w:p>
    <w:p w14:paraId="46D76C8D" w14:textId="058839E7" w:rsidR="003D66C2" w:rsidRDefault="00E857C5">
      <w:pPr>
        <w:pStyle w:val="TOC1"/>
        <w:tabs>
          <w:tab w:val="right" w:pos="9010"/>
        </w:tabs>
        <w:rPr>
          <w:rFonts w:eastAsiaTheme="minorEastAsia"/>
          <w:noProof/>
          <w:sz w:val="22"/>
          <w:szCs w:val="22"/>
          <w:lang w:eastAsia="en-AU"/>
        </w:rPr>
      </w:pPr>
      <w:hyperlink w:anchor="_Toc72104084" w:history="1">
        <w:r w:rsidR="003D66C2" w:rsidRPr="00CD15E3">
          <w:rPr>
            <w:rStyle w:val="Hyperlink"/>
            <w:rFonts w:asciiTheme="majorHAnsi" w:hAnsiTheme="majorHAnsi" w:cstheme="majorHAnsi"/>
            <w:noProof/>
            <w:lang w:val="en-US"/>
          </w:rPr>
          <w:t>OPERATIONAL RECOMMENDATIONS</w:t>
        </w:r>
        <w:r w:rsidR="003D66C2">
          <w:rPr>
            <w:noProof/>
            <w:webHidden/>
          </w:rPr>
          <w:tab/>
        </w:r>
        <w:r w:rsidR="003D66C2">
          <w:rPr>
            <w:noProof/>
            <w:webHidden/>
          </w:rPr>
          <w:fldChar w:fldCharType="begin"/>
        </w:r>
        <w:r w:rsidR="003D66C2">
          <w:rPr>
            <w:noProof/>
            <w:webHidden/>
          </w:rPr>
          <w:instrText xml:space="preserve"> PAGEREF _Toc72104084 \h </w:instrText>
        </w:r>
        <w:r w:rsidR="003D66C2">
          <w:rPr>
            <w:noProof/>
            <w:webHidden/>
          </w:rPr>
        </w:r>
        <w:r w:rsidR="003D66C2">
          <w:rPr>
            <w:noProof/>
            <w:webHidden/>
          </w:rPr>
          <w:fldChar w:fldCharType="separate"/>
        </w:r>
        <w:r w:rsidR="000149FC">
          <w:rPr>
            <w:noProof/>
            <w:webHidden/>
          </w:rPr>
          <w:t>25</w:t>
        </w:r>
        <w:r w:rsidR="003D66C2">
          <w:rPr>
            <w:noProof/>
            <w:webHidden/>
          </w:rPr>
          <w:fldChar w:fldCharType="end"/>
        </w:r>
      </w:hyperlink>
    </w:p>
    <w:p w14:paraId="516C3AA8" w14:textId="72002680" w:rsidR="003D66C2" w:rsidRDefault="00E857C5">
      <w:pPr>
        <w:pStyle w:val="TOC1"/>
        <w:tabs>
          <w:tab w:val="right" w:pos="9010"/>
        </w:tabs>
        <w:rPr>
          <w:rFonts w:eastAsiaTheme="minorEastAsia"/>
          <w:noProof/>
          <w:sz w:val="22"/>
          <w:szCs w:val="22"/>
          <w:lang w:eastAsia="en-AU"/>
        </w:rPr>
      </w:pPr>
      <w:hyperlink w:anchor="_Toc72104085" w:history="1">
        <w:r w:rsidR="003D66C2" w:rsidRPr="00CD15E3">
          <w:rPr>
            <w:rStyle w:val="Hyperlink"/>
            <w:rFonts w:asciiTheme="majorHAnsi" w:hAnsiTheme="majorHAnsi" w:cstheme="majorHAnsi"/>
            <w:b/>
            <w:noProof/>
            <w:spacing w:val="120"/>
          </w:rPr>
          <w:t>ANNEXURES</w:t>
        </w:r>
        <w:r w:rsidR="003D66C2">
          <w:rPr>
            <w:noProof/>
            <w:webHidden/>
          </w:rPr>
          <w:tab/>
        </w:r>
        <w:r w:rsidR="003D66C2">
          <w:rPr>
            <w:noProof/>
            <w:webHidden/>
          </w:rPr>
          <w:fldChar w:fldCharType="begin"/>
        </w:r>
        <w:r w:rsidR="003D66C2">
          <w:rPr>
            <w:noProof/>
            <w:webHidden/>
          </w:rPr>
          <w:instrText xml:space="preserve"> PAGEREF _Toc72104085 \h </w:instrText>
        </w:r>
        <w:r w:rsidR="003D66C2">
          <w:rPr>
            <w:noProof/>
            <w:webHidden/>
          </w:rPr>
        </w:r>
        <w:r w:rsidR="003D66C2">
          <w:rPr>
            <w:noProof/>
            <w:webHidden/>
          </w:rPr>
          <w:fldChar w:fldCharType="separate"/>
        </w:r>
        <w:r w:rsidR="000149FC">
          <w:rPr>
            <w:noProof/>
            <w:webHidden/>
          </w:rPr>
          <w:t>27</w:t>
        </w:r>
        <w:r w:rsidR="003D66C2">
          <w:rPr>
            <w:noProof/>
            <w:webHidden/>
          </w:rPr>
          <w:fldChar w:fldCharType="end"/>
        </w:r>
      </w:hyperlink>
    </w:p>
    <w:p w14:paraId="40132C47" w14:textId="318B3D29" w:rsidR="003D66C2" w:rsidRDefault="00E857C5">
      <w:pPr>
        <w:pStyle w:val="TOC1"/>
        <w:tabs>
          <w:tab w:val="right" w:pos="9010"/>
        </w:tabs>
        <w:rPr>
          <w:rFonts w:eastAsiaTheme="minorEastAsia"/>
          <w:noProof/>
          <w:sz w:val="22"/>
          <w:szCs w:val="22"/>
          <w:lang w:eastAsia="en-AU"/>
        </w:rPr>
      </w:pPr>
      <w:hyperlink w:anchor="_Toc72104086" w:history="1">
        <w:r w:rsidR="003D66C2" w:rsidRPr="00CD15E3">
          <w:rPr>
            <w:rStyle w:val="Hyperlink"/>
            <w:rFonts w:asciiTheme="majorHAnsi" w:hAnsiTheme="majorHAnsi" w:cstheme="majorHAnsi"/>
            <w:noProof/>
          </w:rPr>
          <w:t>ANNEX 1: Terms of Reference</w:t>
        </w:r>
        <w:r w:rsidR="003D66C2">
          <w:rPr>
            <w:noProof/>
            <w:webHidden/>
          </w:rPr>
          <w:tab/>
        </w:r>
        <w:r w:rsidR="003D66C2">
          <w:rPr>
            <w:noProof/>
            <w:webHidden/>
          </w:rPr>
          <w:fldChar w:fldCharType="begin"/>
        </w:r>
        <w:r w:rsidR="003D66C2">
          <w:rPr>
            <w:noProof/>
            <w:webHidden/>
          </w:rPr>
          <w:instrText xml:space="preserve"> PAGEREF _Toc72104086 \h </w:instrText>
        </w:r>
        <w:r w:rsidR="003D66C2">
          <w:rPr>
            <w:noProof/>
            <w:webHidden/>
          </w:rPr>
        </w:r>
        <w:r w:rsidR="003D66C2">
          <w:rPr>
            <w:noProof/>
            <w:webHidden/>
          </w:rPr>
          <w:fldChar w:fldCharType="separate"/>
        </w:r>
        <w:r w:rsidR="000149FC">
          <w:rPr>
            <w:noProof/>
            <w:webHidden/>
          </w:rPr>
          <w:t>27</w:t>
        </w:r>
        <w:r w:rsidR="003D66C2">
          <w:rPr>
            <w:noProof/>
            <w:webHidden/>
          </w:rPr>
          <w:fldChar w:fldCharType="end"/>
        </w:r>
      </w:hyperlink>
    </w:p>
    <w:p w14:paraId="3A967330" w14:textId="76B21964" w:rsidR="003D66C2" w:rsidRDefault="00E857C5">
      <w:pPr>
        <w:pStyle w:val="TOC1"/>
        <w:tabs>
          <w:tab w:val="right" w:pos="9010"/>
        </w:tabs>
        <w:rPr>
          <w:rFonts w:eastAsiaTheme="minorEastAsia"/>
          <w:noProof/>
          <w:sz w:val="22"/>
          <w:szCs w:val="22"/>
          <w:lang w:eastAsia="en-AU"/>
        </w:rPr>
      </w:pPr>
      <w:hyperlink w:anchor="_Toc72104087" w:history="1">
        <w:r w:rsidR="003D66C2" w:rsidRPr="00CD15E3">
          <w:rPr>
            <w:rStyle w:val="Hyperlink"/>
            <w:rFonts w:asciiTheme="majorHAnsi" w:hAnsiTheme="majorHAnsi" w:cstheme="majorHAnsi"/>
            <w:noProof/>
          </w:rPr>
          <w:t>ANNEX 2: Mid-Term Review Plan</w:t>
        </w:r>
        <w:r w:rsidR="003D66C2">
          <w:rPr>
            <w:noProof/>
            <w:webHidden/>
          </w:rPr>
          <w:tab/>
        </w:r>
        <w:r w:rsidR="003D66C2">
          <w:rPr>
            <w:noProof/>
            <w:webHidden/>
          </w:rPr>
          <w:fldChar w:fldCharType="begin"/>
        </w:r>
        <w:r w:rsidR="003D66C2">
          <w:rPr>
            <w:noProof/>
            <w:webHidden/>
          </w:rPr>
          <w:instrText xml:space="preserve"> PAGEREF _Toc72104087 \h </w:instrText>
        </w:r>
        <w:r w:rsidR="003D66C2">
          <w:rPr>
            <w:noProof/>
            <w:webHidden/>
          </w:rPr>
        </w:r>
        <w:r w:rsidR="003D66C2">
          <w:rPr>
            <w:noProof/>
            <w:webHidden/>
          </w:rPr>
          <w:fldChar w:fldCharType="separate"/>
        </w:r>
        <w:r w:rsidR="000149FC">
          <w:rPr>
            <w:noProof/>
            <w:webHidden/>
          </w:rPr>
          <w:t>27</w:t>
        </w:r>
        <w:r w:rsidR="003D66C2">
          <w:rPr>
            <w:noProof/>
            <w:webHidden/>
          </w:rPr>
          <w:fldChar w:fldCharType="end"/>
        </w:r>
      </w:hyperlink>
    </w:p>
    <w:p w14:paraId="38CDD8A5" w14:textId="6EDF18AB" w:rsidR="003D66C2" w:rsidRDefault="00E857C5">
      <w:pPr>
        <w:pStyle w:val="TOC1"/>
        <w:tabs>
          <w:tab w:val="right" w:pos="9010"/>
        </w:tabs>
        <w:rPr>
          <w:rFonts w:eastAsiaTheme="minorEastAsia"/>
          <w:noProof/>
          <w:sz w:val="22"/>
          <w:szCs w:val="22"/>
          <w:lang w:eastAsia="en-AU"/>
        </w:rPr>
      </w:pPr>
      <w:hyperlink w:anchor="_Toc72104088" w:history="1">
        <w:r w:rsidR="003D66C2" w:rsidRPr="00CD15E3">
          <w:rPr>
            <w:rStyle w:val="Hyperlink"/>
            <w:rFonts w:asciiTheme="majorHAnsi" w:hAnsiTheme="majorHAnsi" w:cstheme="majorHAnsi"/>
            <w:noProof/>
          </w:rPr>
          <w:t>ANNEX 3: Consultation List</w:t>
        </w:r>
        <w:r w:rsidR="003D66C2">
          <w:rPr>
            <w:noProof/>
            <w:webHidden/>
          </w:rPr>
          <w:tab/>
        </w:r>
        <w:r w:rsidR="003D66C2">
          <w:rPr>
            <w:noProof/>
            <w:webHidden/>
          </w:rPr>
          <w:fldChar w:fldCharType="begin"/>
        </w:r>
        <w:r w:rsidR="003D66C2">
          <w:rPr>
            <w:noProof/>
            <w:webHidden/>
          </w:rPr>
          <w:instrText xml:space="preserve"> PAGEREF _Toc72104088 \h </w:instrText>
        </w:r>
        <w:r w:rsidR="003D66C2">
          <w:rPr>
            <w:noProof/>
            <w:webHidden/>
          </w:rPr>
        </w:r>
        <w:r w:rsidR="003D66C2">
          <w:rPr>
            <w:noProof/>
            <w:webHidden/>
          </w:rPr>
          <w:fldChar w:fldCharType="separate"/>
        </w:r>
        <w:r w:rsidR="000149FC">
          <w:rPr>
            <w:noProof/>
            <w:webHidden/>
          </w:rPr>
          <w:t>27</w:t>
        </w:r>
        <w:r w:rsidR="003D66C2">
          <w:rPr>
            <w:noProof/>
            <w:webHidden/>
          </w:rPr>
          <w:fldChar w:fldCharType="end"/>
        </w:r>
      </w:hyperlink>
    </w:p>
    <w:p w14:paraId="4BFD1479" w14:textId="77777777" w:rsidR="00FB2C3C" w:rsidRPr="00876E35" w:rsidRDefault="00FB2C3C" w:rsidP="00FB2C3C">
      <w:pPr>
        <w:rPr>
          <w:rStyle w:val="MajorHeading"/>
          <w:rFonts w:asciiTheme="majorHAnsi" w:eastAsiaTheme="minorEastAsia" w:hAnsiTheme="majorHAnsi" w:cstheme="majorHAnsi"/>
          <w:b w:val="0"/>
          <w:noProof/>
        </w:rPr>
        <w:sectPr w:rsidR="00FB2C3C" w:rsidRPr="00876E35" w:rsidSect="00A11201">
          <w:pgSz w:w="11900" w:h="16840"/>
          <w:pgMar w:top="1418" w:right="1440" w:bottom="1440" w:left="1440" w:header="709" w:footer="709" w:gutter="0"/>
          <w:cols w:space="708"/>
          <w:docGrid w:linePitch="360"/>
        </w:sectPr>
      </w:pPr>
      <w:r w:rsidRPr="00876E35">
        <w:rPr>
          <w:rStyle w:val="MajorHeading"/>
          <w:rFonts w:asciiTheme="majorHAnsi" w:eastAsiaTheme="minorEastAsia" w:hAnsiTheme="majorHAnsi" w:cstheme="majorHAnsi"/>
          <w:b w:val="0"/>
          <w:noProof/>
        </w:rPr>
        <w:fldChar w:fldCharType="end"/>
      </w:r>
    </w:p>
    <w:p w14:paraId="47073A54" w14:textId="77777777" w:rsidR="006E2611" w:rsidRPr="00C875FA" w:rsidRDefault="006E2611" w:rsidP="00C875FA">
      <w:pPr>
        <w:pStyle w:val="Heading1A"/>
        <w:rPr>
          <w:rStyle w:val="MajorHeading"/>
          <w:rFonts w:cstheme="majorHAnsi"/>
          <w:b w:val="0"/>
          <w:color w:val="auto"/>
          <w:spacing w:val="0"/>
          <w:szCs w:val="24"/>
        </w:rPr>
      </w:pPr>
      <w:bookmarkStart w:id="3" w:name="_Toc72104069"/>
      <w:r w:rsidRPr="00C875FA">
        <w:rPr>
          <w:rStyle w:val="MajorHeading"/>
          <w:rFonts w:cstheme="majorHAnsi"/>
          <w:b w:val="0"/>
          <w:color w:val="auto"/>
          <w:spacing w:val="0"/>
          <w:szCs w:val="24"/>
        </w:rPr>
        <w:t>ACKNOWLEDGEMENTS</w:t>
      </w:r>
      <w:bookmarkEnd w:id="3"/>
    </w:p>
    <w:p w14:paraId="7B557038" w14:textId="77777777" w:rsidR="006E2611" w:rsidRDefault="006E2611">
      <w:pPr>
        <w:rPr>
          <w:rFonts w:asciiTheme="majorHAnsi" w:hAnsiTheme="majorHAnsi" w:cstheme="majorHAnsi"/>
          <w:b/>
          <w:color w:val="0E1428"/>
          <w:spacing w:val="120"/>
          <w:sz w:val="52"/>
          <w:szCs w:val="52"/>
        </w:rPr>
      </w:pPr>
    </w:p>
    <w:p w14:paraId="17BF0E08" w14:textId="77777777" w:rsidR="00B07411" w:rsidRDefault="006E2611" w:rsidP="006E261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109FD">
        <w:rPr>
          <w:rFonts w:asciiTheme="majorHAnsi" w:hAnsiTheme="majorHAnsi" w:cstheme="majorHAnsi"/>
          <w:color w:val="00000F"/>
          <w:sz w:val="22"/>
          <w:szCs w:val="22"/>
        </w:rPr>
        <w:t xml:space="preserve">The </w:t>
      </w:r>
      <w:r>
        <w:rPr>
          <w:rFonts w:asciiTheme="majorHAnsi" w:hAnsiTheme="majorHAnsi" w:cstheme="majorHAnsi"/>
          <w:color w:val="00000F"/>
          <w:sz w:val="22"/>
          <w:szCs w:val="22"/>
        </w:rPr>
        <w:t>re</w:t>
      </w:r>
      <w:r w:rsidR="00F65FCB">
        <w:rPr>
          <w:rFonts w:asciiTheme="majorHAnsi" w:hAnsiTheme="majorHAnsi" w:cstheme="majorHAnsi"/>
          <w:color w:val="00000F"/>
          <w:sz w:val="22"/>
          <w:szCs w:val="22"/>
        </w:rPr>
        <w:t xml:space="preserve">view team comprised of Melissa Bungcaras (Team Leader and Climate Change Specialist) and Peter Versegi (Strategic Evaluation Specialist) </w:t>
      </w:r>
      <w:r w:rsidR="00E24F02">
        <w:rPr>
          <w:rFonts w:asciiTheme="majorHAnsi" w:hAnsiTheme="majorHAnsi" w:cstheme="majorHAnsi"/>
          <w:color w:val="00000F"/>
          <w:sz w:val="22"/>
          <w:szCs w:val="22"/>
        </w:rPr>
        <w:t>from Strategic Development Group. The team was supported by Claire Harris (Strategic Development Group)</w:t>
      </w:r>
      <w:r w:rsidR="00C4632D">
        <w:rPr>
          <w:rFonts w:asciiTheme="majorHAnsi" w:hAnsiTheme="majorHAnsi" w:cstheme="majorHAnsi"/>
          <w:color w:val="00000F"/>
          <w:sz w:val="22"/>
          <w:szCs w:val="22"/>
        </w:rPr>
        <w:t>. The team brought to this review climate change, program management, partnership brokering</w:t>
      </w:r>
      <w:r w:rsidR="00B07411">
        <w:rPr>
          <w:rFonts w:asciiTheme="majorHAnsi" w:hAnsiTheme="majorHAnsi" w:cstheme="majorHAnsi"/>
          <w:color w:val="00000F"/>
          <w:sz w:val="22"/>
          <w:szCs w:val="22"/>
        </w:rPr>
        <w:t>, and monitoring and evaluation expertise alongside a strong understanding of the context and corporate knowledge of DFAT’s systems and processes.</w:t>
      </w:r>
    </w:p>
    <w:p w14:paraId="1789FBC9" w14:textId="77777777" w:rsidR="00B07411" w:rsidRDefault="00B07411" w:rsidP="006E261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238D0E4F" w14:textId="77777777" w:rsidR="006E2611" w:rsidRPr="005109FD" w:rsidRDefault="00B07411" w:rsidP="006E261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The review team would like to e</w:t>
      </w:r>
      <w:r w:rsidR="00D6517A">
        <w:rPr>
          <w:rFonts w:asciiTheme="majorHAnsi" w:hAnsiTheme="majorHAnsi" w:cstheme="majorHAnsi"/>
          <w:color w:val="00000F"/>
          <w:sz w:val="22"/>
          <w:szCs w:val="22"/>
        </w:rPr>
        <w:t>xpress sincere thank</w:t>
      </w:r>
      <w:r w:rsidR="00F05A95">
        <w:rPr>
          <w:rFonts w:asciiTheme="majorHAnsi" w:hAnsiTheme="majorHAnsi" w:cstheme="majorHAnsi"/>
          <w:color w:val="00000F"/>
          <w:sz w:val="22"/>
          <w:szCs w:val="22"/>
        </w:rPr>
        <w:t>s</w:t>
      </w:r>
      <w:r w:rsidR="00D6517A">
        <w:rPr>
          <w:rFonts w:asciiTheme="majorHAnsi" w:hAnsiTheme="majorHAnsi" w:cstheme="majorHAnsi"/>
          <w:color w:val="00000F"/>
          <w:sz w:val="22"/>
          <w:szCs w:val="22"/>
        </w:rPr>
        <w:t xml:space="preserve"> to the DFAT staff, </w:t>
      </w:r>
      <w:r w:rsidR="005F2B47">
        <w:rPr>
          <w:rFonts w:asciiTheme="majorHAnsi" w:hAnsiTheme="majorHAnsi" w:cstheme="majorHAnsi"/>
          <w:color w:val="00000F"/>
          <w:sz w:val="22"/>
          <w:szCs w:val="22"/>
        </w:rPr>
        <w:t xml:space="preserve">implementing </w:t>
      </w:r>
      <w:r w:rsidR="00D6517A">
        <w:rPr>
          <w:rFonts w:asciiTheme="majorHAnsi" w:hAnsiTheme="majorHAnsi" w:cstheme="majorHAnsi"/>
          <w:color w:val="00000F"/>
          <w:sz w:val="22"/>
          <w:szCs w:val="22"/>
        </w:rPr>
        <w:t xml:space="preserve">partners and Pacific stakeholders for their </w:t>
      </w:r>
      <w:r w:rsidR="005F2B47">
        <w:rPr>
          <w:rFonts w:asciiTheme="majorHAnsi" w:hAnsiTheme="majorHAnsi" w:cstheme="majorHAnsi"/>
          <w:color w:val="00000F"/>
          <w:sz w:val="22"/>
          <w:szCs w:val="22"/>
        </w:rPr>
        <w:t>time and valuable insights which informed the findings and recommendations made in this report</w:t>
      </w:r>
      <w:r w:rsidR="0076192C">
        <w:rPr>
          <w:rFonts w:asciiTheme="majorHAnsi" w:hAnsiTheme="majorHAnsi" w:cstheme="majorHAnsi"/>
          <w:color w:val="00000F"/>
          <w:sz w:val="22"/>
          <w:szCs w:val="22"/>
        </w:rPr>
        <w:t xml:space="preserve">. </w:t>
      </w:r>
      <w:r w:rsidR="002B5B30">
        <w:rPr>
          <w:rFonts w:asciiTheme="majorHAnsi" w:hAnsiTheme="majorHAnsi" w:cstheme="majorHAnsi"/>
          <w:color w:val="00000F"/>
          <w:sz w:val="22"/>
          <w:szCs w:val="22"/>
        </w:rPr>
        <w:t xml:space="preserve">Special thanks to </w:t>
      </w:r>
      <w:r w:rsidR="00C43CF1">
        <w:rPr>
          <w:rFonts w:asciiTheme="majorHAnsi" w:hAnsiTheme="majorHAnsi" w:cstheme="majorHAnsi"/>
          <w:color w:val="00000F"/>
          <w:sz w:val="22"/>
          <w:szCs w:val="22"/>
        </w:rPr>
        <w:t xml:space="preserve">Emi Tagi, Justin Ferris, Kate Duggan and the team at </w:t>
      </w:r>
      <w:r w:rsidR="00ED1658">
        <w:rPr>
          <w:rFonts w:asciiTheme="majorHAnsi" w:hAnsiTheme="majorHAnsi" w:cstheme="majorHAnsi"/>
          <w:color w:val="00000F"/>
          <w:sz w:val="22"/>
          <w:szCs w:val="22"/>
        </w:rPr>
        <w:t xml:space="preserve">the </w:t>
      </w:r>
      <w:r w:rsidR="00CB5E43">
        <w:rPr>
          <w:rFonts w:asciiTheme="majorHAnsi" w:hAnsiTheme="majorHAnsi" w:cstheme="majorHAnsi"/>
          <w:color w:val="00000F"/>
          <w:sz w:val="22"/>
          <w:szCs w:val="22"/>
        </w:rPr>
        <w:t>Partnersh</w:t>
      </w:r>
      <w:r w:rsidR="008E7A89">
        <w:rPr>
          <w:rFonts w:asciiTheme="majorHAnsi" w:hAnsiTheme="majorHAnsi" w:cstheme="majorHAnsi"/>
          <w:color w:val="00000F"/>
          <w:sz w:val="22"/>
          <w:szCs w:val="22"/>
        </w:rPr>
        <w:t>ip support unit (Palladium) in their responsiveness to providing additional information and</w:t>
      </w:r>
      <w:r w:rsidR="001D2FC2">
        <w:rPr>
          <w:rFonts w:asciiTheme="majorHAnsi" w:hAnsiTheme="majorHAnsi" w:cstheme="majorHAnsi"/>
          <w:color w:val="00000F"/>
          <w:sz w:val="22"/>
          <w:szCs w:val="22"/>
        </w:rPr>
        <w:t xml:space="preserve"> documentation to the review </w:t>
      </w:r>
      <w:r w:rsidR="00105064">
        <w:rPr>
          <w:rFonts w:asciiTheme="majorHAnsi" w:hAnsiTheme="majorHAnsi" w:cstheme="majorHAnsi"/>
          <w:color w:val="00000F"/>
          <w:sz w:val="22"/>
          <w:szCs w:val="22"/>
        </w:rPr>
        <w:t>team and</w:t>
      </w:r>
      <w:r w:rsidR="001D2FC2">
        <w:rPr>
          <w:rFonts w:asciiTheme="majorHAnsi" w:hAnsiTheme="majorHAnsi" w:cstheme="majorHAnsi"/>
          <w:color w:val="00000F"/>
          <w:sz w:val="22"/>
          <w:szCs w:val="22"/>
        </w:rPr>
        <w:t xml:space="preserve"> supporting the arrangement of consultations.</w:t>
      </w:r>
    </w:p>
    <w:p w14:paraId="1B6F37E5" w14:textId="77777777" w:rsidR="008A27E0" w:rsidRPr="00C875FA" w:rsidRDefault="008A27E0" w:rsidP="00C875FA">
      <w:pPr>
        <w:pStyle w:val="Heading1A"/>
        <w:rPr>
          <w:rStyle w:val="MajorHeading"/>
          <w:rFonts w:cstheme="majorHAnsi"/>
          <w:b w:val="0"/>
          <w:color w:val="auto"/>
          <w:spacing w:val="0"/>
          <w:szCs w:val="24"/>
        </w:rPr>
      </w:pPr>
      <w:r w:rsidRPr="00C875FA">
        <w:rPr>
          <w:rStyle w:val="MajorHeading"/>
          <w:rFonts w:cstheme="majorHAnsi"/>
          <w:b w:val="0"/>
          <w:color w:val="auto"/>
          <w:spacing w:val="0"/>
          <w:szCs w:val="24"/>
        </w:rPr>
        <w:br w:type="page"/>
      </w:r>
    </w:p>
    <w:p w14:paraId="14C00DC2" w14:textId="77777777" w:rsidR="00FE2741" w:rsidRPr="00C875FA" w:rsidRDefault="00FE2741" w:rsidP="00C875FA">
      <w:pPr>
        <w:pStyle w:val="Heading1A"/>
        <w:rPr>
          <w:rStyle w:val="MajorHeading"/>
          <w:rFonts w:cstheme="majorHAnsi"/>
          <w:b w:val="0"/>
          <w:color w:val="auto"/>
          <w:spacing w:val="0"/>
          <w:szCs w:val="24"/>
        </w:rPr>
      </w:pPr>
      <w:bookmarkStart w:id="4" w:name="_Toc72104070"/>
      <w:r w:rsidRPr="00C875FA">
        <w:rPr>
          <w:rStyle w:val="MajorHeading"/>
          <w:rFonts w:cstheme="majorHAnsi"/>
          <w:b w:val="0"/>
          <w:color w:val="auto"/>
          <w:spacing w:val="0"/>
          <w:szCs w:val="24"/>
        </w:rPr>
        <w:t>A</w:t>
      </w:r>
      <w:r w:rsidR="00BB2DAF" w:rsidRPr="00C875FA">
        <w:rPr>
          <w:rStyle w:val="MajorHeading"/>
          <w:rFonts w:cstheme="majorHAnsi"/>
          <w:b w:val="0"/>
          <w:color w:val="auto"/>
          <w:spacing w:val="0"/>
          <w:szCs w:val="24"/>
        </w:rPr>
        <w:t>BBREVIATIONS</w:t>
      </w:r>
      <w:bookmarkEnd w:id="4"/>
    </w:p>
    <w:p w14:paraId="26DC7C7B" w14:textId="77777777" w:rsidR="008A27E0" w:rsidRDefault="008A27E0" w:rsidP="00FE2741">
      <w:pPr>
        <w:rPr>
          <w:rFonts w:asciiTheme="majorHAnsi" w:hAnsiTheme="majorHAnsi" w:cstheme="majorHAnsi"/>
          <w:b/>
          <w:color w:val="0E1428"/>
          <w:spacing w:val="120"/>
          <w:sz w:val="52"/>
          <w:szCs w:val="52"/>
        </w:rPr>
      </w:pPr>
    </w:p>
    <w:p w14:paraId="1B19ABB0"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bookmarkStart w:id="5" w:name="_Hlk91170351"/>
      <w:r w:rsidRPr="00105064">
        <w:rPr>
          <w:rFonts w:asciiTheme="majorHAnsi" w:hAnsiTheme="majorHAnsi" w:cstheme="majorHAnsi"/>
          <w:b/>
          <w:bCs/>
          <w:color w:val="00000F"/>
          <w:sz w:val="22"/>
          <w:szCs w:val="22"/>
        </w:rPr>
        <w:t>AIFFP</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 xml:space="preserve">The Australian Infrastructure Financing Facility for the Pacific </w:t>
      </w:r>
    </w:p>
    <w:p w14:paraId="42DC339D"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APCP</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Australia Pacific Climate Partnership</w:t>
      </w:r>
    </w:p>
    <w:p w14:paraId="14B4DC1D"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AQC</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Aid Quality Criteria</w:t>
      </w:r>
    </w:p>
    <w:p w14:paraId="796D0259"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COSPPac2</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Climate and Oceans Support Program in the Pacific, Phase 2</w:t>
      </w:r>
    </w:p>
    <w:p w14:paraId="66000AEA"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CSIRO</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Commonwealth Scientific and Industrial Research Organisation</w:t>
      </w:r>
    </w:p>
    <w:p w14:paraId="2AAF9324"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DFAT</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Department of Foreign Affairs and Trade, Australia</w:t>
      </w:r>
    </w:p>
    <w:p w14:paraId="2CACA7A4"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DRR</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Disaster risk reduction</w:t>
      </w:r>
    </w:p>
    <w:p w14:paraId="76A81711"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GA</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Geoscience Australia</w:t>
      </w:r>
    </w:p>
    <w:p w14:paraId="2989D4DF"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GEDSI</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Gender Equality, Disability and Social Inclusion</w:t>
      </w:r>
    </w:p>
    <w:p w14:paraId="27B845DB"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Gov4</w:t>
      </w:r>
      <w:r>
        <w:rPr>
          <w:rFonts w:asciiTheme="majorHAnsi" w:hAnsiTheme="majorHAnsi" w:cstheme="majorHAnsi"/>
          <w:b/>
          <w:bCs/>
          <w:color w:val="00000F"/>
          <w:sz w:val="22"/>
          <w:szCs w:val="22"/>
        </w:rPr>
        <w:t>R</w:t>
      </w:r>
      <w:r w:rsidRPr="00105064">
        <w:rPr>
          <w:rFonts w:asciiTheme="majorHAnsi" w:hAnsiTheme="majorHAnsi" w:cstheme="majorHAnsi"/>
          <w:b/>
          <w:bCs/>
          <w:color w:val="00000F"/>
          <w:sz w:val="22"/>
          <w:szCs w:val="22"/>
        </w:rPr>
        <w:t>es</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Governance for Resilient Development in the Pacific Program</w:t>
      </w:r>
    </w:p>
    <w:p w14:paraId="635CAA0A"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IMR</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Investment Monitoring Reports</w:t>
      </w:r>
    </w:p>
    <w:p w14:paraId="74F42669"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MEL</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Monitoring, Evaluation and Learning</w:t>
      </w:r>
    </w:p>
    <w:p w14:paraId="55726FBF" w14:textId="77777777" w:rsidR="000C39BA" w:rsidRPr="00105064" w:rsidRDefault="000C39BA" w:rsidP="00441A22">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ODA</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Official Development Assistance</w:t>
      </w:r>
    </w:p>
    <w:p w14:paraId="2235D7EB"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Pr>
          <w:rFonts w:asciiTheme="majorHAnsi" w:hAnsiTheme="majorHAnsi" w:cstheme="majorHAnsi"/>
          <w:b/>
          <w:bCs/>
          <w:color w:val="00000F"/>
          <w:sz w:val="22"/>
          <w:szCs w:val="22"/>
        </w:rPr>
        <w:t>ODE</w:t>
      </w:r>
      <w:r w:rsidRPr="00105064">
        <w:rPr>
          <w:rFonts w:asciiTheme="majorHAnsi" w:hAnsiTheme="majorHAnsi" w:cstheme="majorHAnsi"/>
          <w:b/>
          <w:bCs/>
          <w:color w:val="00000F"/>
          <w:sz w:val="22"/>
          <w:szCs w:val="22"/>
        </w:rPr>
        <w:tab/>
      </w:r>
      <w:r>
        <w:rPr>
          <w:rFonts w:asciiTheme="majorHAnsi" w:hAnsiTheme="majorHAnsi" w:cstheme="majorHAnsi"/>
          <w:color w:val="00000F"/>
          <w:sz w:val="22"/>
          <w:szCs w:val="22"/>
        </w:rPr>
        <w:t>DFAT Office of Development Effectiveness</w:t>
      </w:r>
    </w:p>
    <w:p w14:paraId="06A90A92"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P4R</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Partnerships for Recovery Strategy, DFAT</w:t>
      </w:r>
    </w:p>
    <w:p w14:paraId="1E073F5C"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PIC</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Pacific Island Country</w:t>
      </w:r>
    </w:p>
    <w:p w14:paraId="1716685E"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Pr>
          <w:rFonts w:asciiTheme="majorHAnsi" w:hAnsiTheme="majorHAnsi" w:cstheme="majorHAnsi"/>
          <w:b/>
          <w:bCs/>
          <w:color w:val="00000F"/>
          <w:sz w:val="22"/>
          <w:szCs w:val="22"/>
        </w:rPr>
        <w:t>PIF</w:t>
      </w:r>
      <w:r w:rsidRPr="00105064">
        <w:rPr>
          <w:rFonts w:asciiTheme="majorHAnsi" w:hAnsiTheme="majorHAnsi" w:cstheme="majorHAnsi"/>
          <w:b/>
          <w:bCs/>
          <w:color w:val="00000F"/>
          <w:sz w:val="22"/>
          <w:szCs w:val="22"/>
        </w:rPr>
        <w:tab/>
      </w:r>
      <w:r>
        <w:rPr>
          <w:rFonts w:asciiTheme="majorHAnsi" w:hAnsiTheme="majorHAnsi" w:cstheme="majorHAnsi"/>
          <w:color w:val="00000F"/>
          <w:sz w:val="22"/>
          <w:szCs w:val="22"/>
        </w:rPr>
        <w:t>Pacific Islands Forum</w:t>
      </w:r>
    </w:p>
    <w:p w14:paraId="51AE9D9D"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PNG</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Papua New Guinea</w:t>
      </w:r>
    </w:p>
    <w:p w14:paraId="32E1641B"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SU</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Australia Pacific Climate Partnership Support Unit</w:t>
      </w:r>
    </w:p>
    <w:p w14:paraId="0BCA3202"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SPC</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The Pacific Community</w:t>
      </w:r>
    </w:p>
    <w:p w14:paraId="66ED342A"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SPREP</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Secretariat of the Pacific Regional Environment Programme</w:t>
      </w:r>
    </w:p>
    <w:p w14:paraId="34F72D5D"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UNDP</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United Nations Development Programme</w:t>
      </w:r>
    </w:p>
    <w:p w14:paraId="0994172A" w14:textId="77777777" w:rsidR="000C39BA" w:rsidRPr="00105064" w:rsidRDefault="000C39BA" w:rsidP="00105064">
      <w:pPr>
        <w:tabs>
          <w:tab w:val="left" w:pos="2003"/>
        </w:tabs>
        <w:suppressAutoHyphens/>
        <w:autoSpaceDE w:val="0"/>
        <w:autoSpaceDN w:val="0"/>
        <w:adjustRightInd w:val="0"/>
        <w:spacing w:line="288" w:lineRule="auto"/>
        <w:ind w:left="108"/>
        <w:textAlignment w:val="center"/>
        <w:rPr>
          <w:rFonts w:asciiTheme="majorHAnsi" w:hAnsiTheme="majorHAnsi" w:cstheme="majorHAnsi"/>
          <w:color w:val="00000F"/>
          <w:sz w:val="22"/>
          <w:szCs w:val="22"/>
        </w:rPr>
      </w:pPr>
      <w:r w:rsidRPr="00105064">
        <w:rPr>
          <w:rFonts w:asciiTheme="majorHAnsi" w:hAnsiTheme="majorHAnsi" w:cstheme="majorHAnsi"/>
          <w:b/>
          <w:bCs/>
          <w:color w:val="00000F"/>
          <w:sz w:val="22"/>
          <w:szCs w:val="22"/>
        </w:rPr>
        <w:t>UTS ISF</w:t>
      </w:r>
      <w:r w:rsidRPr="00105064">
        <w:rPr>
          <w:rFonts w:asciiTheme="majorHAnsi" w:hAnsiTheme="majorHAnsi" w:cstheme="majorHAnsi"/>
          <w:b/>
          <w:bCs/>
          <w:color w:val="00000F"/>
          <w:sz w:val="22"/>
          <w:szCs w:val="22"/>
        </w:rPr>
        <w:tab/>
      </w:r>
      <w:r w:rsidRPr="00105064">
        <w:rPr>
          <w:rFonts w:asciiTheme="majorHAnsi" w:hAnsiTheme="majorHAnsi" w:cstheme="majorHAnsi"/>
          <w:color w:val="00000F"/>
          <w:sz w:val="22"/>
          <w:szCs w:val="22"/>
        </w:rPr>
        <w:t>University of Technology Sydney, Institute for Sustainable Futures</w:t>
      </w:r>
    </w:p>
    <w:bookmarkEnd w:id="5"/>
    <w:p w14:paraId="0D35B5DA" w14:textId="77777777" w:rsidR="006E2611" w:rsidRDefault="006E2611">
      <w:pPr>
        <w:rPr>
          <w:rFonts w:asciiTheme="majorHAnsi" w:hAnsiTheme="majorHAnsi" w:cstheme="majorHAnsi"/>
          <w:b/>
          <w:color w:val="0E1428"/>
          <w:spacing w:val="120"/>
          <w:sz w:val="52"/>
          <w:szCs w:val="52"/>
        </w:rPr>
      </w:pPr>
      <w:r>
        <w:rPr>
          <w:rFonts w:asciiTheme="majorHAnsi" w:hAnsiTheme="majorHAnsi" w:cstheme="majorHAnsi"/>
          <w:b/>
          <w:color w:val="0E1428"/>
          <w:spacing w:val="120"/>
          <w:sz w:val="52"/>
          <w:szCs w:val="52"/>
        </w:rPr>
        <w:br w:type="page"/>
      </w:r>
    </w:p>
    <w:p w14:paraId="608E2165" w14:textId="77777777" w:rsidR="00FB2C3C" w:rsidRPr="00611197" w:rsidRDefault="00D239E7" w:rsidP="00C875FA">
      <w:pPr>
        <w:pStyle w:val="Heading1A"/>
        <w:rPr>
          <w:rStyle w:val="MajorHeading"/>
        </w:rPr>
      </w:pPr>
      <w:bookmarkStart w:id="6" w:name="_Toc72104071"/>
      <w:bookmarkStart w:id="7" w:name="_Hlk71472459"/>
      <w:r w:rsidRPr="00611197">
        <w:rPr>
          <w:rStyle w:val="MajorHeading"/>
        </w:rPr>
        <w:t>INTRODUCTION</w:t>
      </w:r>
      <w:bookmarkEnd w:id="6"/>
    </w:p>
    <w:bookmarkEnd w:id="7"/>
    <w:p w14:paraId="47A3F82E" w14:textId="77777777" w:rsidR="00FB2C3C" w:rsidRPr="00876E35" w:rsidRDefault="00FB2C3C" w:rsidP="00FB2C3C">
      <w:pPr>
        <w:tabs>
          <w:tab w:val="left" w:pos="7780"/>
        </w:tabs>
        <w:rPr>
          <w:rFonts w:asciiTheme="majorHAnsi" w:hAnsiTheme="majorHAnsi" w:cstheme="majorHAnsi"/>
          <w:b/>
          <w:color w:val="0E1428"/>
          <w:spacing w:val="120"/>
          <w:sz w:val="52"/>
          <w:szCs w:val="52"/>
        </w:rPr>
      </w:pPr>
    </w:p>
    <w:p w14:paraId="7874EA67" w14:textId="77777777" w:rsidR="00FB2C3C" w:rsidRPr="00611197" w:rsidRDefault="00D239E7" w:rsidP="00611197">
      <w:pPr>
        <w:pStyle w:val="Heading2A"/>
        <w:rPr>
          <w:rStyle w:val="Heading"/>
        </w:rPr>
      </w:pPr>
      <w:bookmarkStart w:id="8" w:name="_Toc72104072"/>
      <w:r w:rsidRPr="00611197">
        <w:rPr>
          <w:rStyle w:val="Heading"/>
        </w:rPr>
        <w:t>BACKGROUND</w:t>
      </w:r>
      <w:bookmarkEnd w:id="8"/>
    </w:p>
    <w:p w14:paraId="38516EA0" w14:textId="77777777" w:rsidR="00FB2C3C" w:rsidRPr="00876E35" w:rsidRDefault="00FB2C3C" w:rsidP="00FB2C3C">
      <w:pPr>
        <w:suppressAutoHyphens/>
        <w:autoSpaceDE w:val="0"/>
        <w:autoSpaceDN w:val="0"/>
        <w:adjustRightInd w:val="0"/>
        <w:spacing w:line="288" w:lineRule="auto"/>
        <w:textAlignment w:val="center"/>
        <w:rPr>
          <w:rFonts w:asciiTheme="majorHAnsi" w:hAnsiTheme="majorHAnsi" w:cstheme="majorHAnsi"/>
          <w:color w:val="00000F"/>
          <w:sz w:val="22"/>
          <w:szCs w:val="22"/>
          <w:lang w:val="en-US"/>
        </w:rPr>
      </w:pPr>
    </w:p>
    <w:p w14:paraId="270DB7AF" w14:textId="77777777" w:rsidR="005109FD" w:rsidRPr="005109FD" w:rsidRDefault="005109FD" w:rsidP="005F3A8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bookmarkStart w:id="9" w:name="_Hlk72108242"/>
      <w:r w:rsidRPr="005109FD">
        <w:rPr>
          <w:rFonts w:asciiTheme="majorHAnsi" w:hAnsiTheme="majorHAnsi" w:cstheme="majorHAnsi"/>
          <w:color w:val="00000F"/>
          <w:sz w:val="22"/>
          <w:szCs w:val="22"/>
        </w:rPr>
        <w:t xml:space="preserve">The Australia Pacific Climate Partnership (the Partnership) is a four year (2018-19/2021-22) regional program. It seeks to strengthen the climate and disaster resilience of Pacific peoples, and has the following intended end of program outcomes: </w:t>
      </w:r>
    </w:p>
    <w:p w14:paraId="544C79F5" w14:textId="77777777" w:rsidR="005109FD" w:rsidRPr="005109FD" w:rsidRDefault="005109FD" w:rsidP="002D5E66">
      <w:pPr>
        <w:numPr>
          <w:ilvl w:val="0"/>
          <w:numId w:val="10"/>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109FD">
        <w:rPr>
          <w:rFonts w:asciiTheme="majorHAnsi" w:hAnsiTheme="majorHAnsi" w:cstheme="majorHAnsi"/>
          <w:color w:val="00000F"/>
          <w:sz w:val="22"/>
          <w:szCs w:val="22"/>
        </w:rPr>
        <w:t xml:space="preserve">Australian aid investments in the Pacific are climate and disaster risk </w:t>
      </w:r>
      <w:r w:rsidR="007A144E" w:rsidRPr="005109FD">
        <w:rPr>
          <w:rFonts w:asciiTheme="majorHAnsi" w:hAnsiTheme="majorHAnsi" w:cstheme="majorHAnsi"/>
          <w:color w:val="00000F"/>
          <w:sz w:val="22"/>
          <w:szCs w:val="22"/>
        </w:rPr>
        <w:t>informed</w:t>
      </w:r>
      <w:r w:rsidR="005750A9">
        <w:rPr>
          <w:rFonts w:asciiTheme="majorHAnsi" w:hAnsiTheme="majorHAnsi" w:cstheme="majorHAnsi"/>
          <w:color w:val="00000F"/>
          <w:sz w:val="22"/>
          <w:szCs w:val="22"/>
        </w:rPr>
        <w:t>;</w:t>
      </w:r>
      <w:r w:rsidRPr="005109FD">
        <w:rPr>
          <w:rFonts w:asciiTheme="majorHAnsi" w:hAnsiTheme="majorHAnsi" w:cstheme="majorHAnsi"/>
          <w:color w:val="00000F"/>
          <w:sz w:val="22"/>
          <w:szCs w:val="22"/>
        </w:rPr>
        <w:t xml:space="preserve"> </w:t>
      </w:r>
    </w:p>
    <w:p w14:paraId="14EF8D7D" w14:textId="77777777" w:rsidR="005109FD" w:rsidRPr="005109FD" w:rsidRDefault="005109FD" w:rsidP="002D5E66">
      <w:pPr>
        <w:numPr>
          <w:ilvl w:val="0"/>
          <w:numId w:val="10"/>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109FD">
        <w:rPr>
          <w:rFonts w:asciiTheme="majorHAnsi" w:hAnsiTheme="majorHAnsi" w:cstheme="majorHAnsi"/>
          <w:color w:val="00000F"/>
          <w:sz w:val="22"/>
          <w:szCs w:val="22"/>
        </w:rPr>
        <w:t>Australian supported climate change information is relevant and influential; and</w:t>
      </w:r>
    </w:p>
    <w:p w14:paraId="4513B3F3" w14:textId="77777777" w:rsidR="00D74C69" w:rsidRDefault="005109FD" w:rsidP="002D5E66">
      <w:pPr>
        <w:numPr>
          <w:ilvl w:val="0"/>
          <w:numId w:val="10"/>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109FD">
        <w:rPr>
          <w:rFonts w:asciiTheme="majorHAnsi" w:hAnsiTheme="majorHAnsi" w:cstheme="majorHAnsi"/>
          <w:color w:val="00000F"/>
          <w:sz w:val="22"/>
          <w:szCs w:val="22"/>
        </w:rPr>
        <w:t xml:space="preserve">Australia is valued as a partner in climate change action in the Pacific. </w:t>
      </w:r>
    </w:p>
    <w:bookmarkEnd w:id="9"/>
    <w:p w14:paraId="1FEB4C51" w14:textId="77777777" w:rsidR="005109FD" w:rsidRPr="005109FD" w:rsidRDefault="005109FD" w:rsidP="005F3A84">
      <w:pPr>
        <w:suppressAutoHyphens/>
        <w:autoSpaceDE w:val="0"/>
        <w:autoSpaceDN w:val="0"/>
        <w:adjustRightInd w:val="0"/>
        <w:spacing w:line="288" w:lineRule="auto"/>
        <w:ind w:left="720"/>
        <w:jc w:val="both"/>
        <w:textAlignment w:val="center"/>
        <w:rPr>
          <w:rFonts w:asciiTheme="majorHAnsi" w:hAnsiTheme="majorHAnsi" w:cstheme="majorHAnsi"/>
          <w:color w:val="00000F"/>
          <w:sz w:val="22"/>
          <w:szCs w:val="22"/>
        </w:rPr>
      </w:pPr>
      <w:r w:rsidRPr="005109FD">
        <w:rPr>
          <w:rFonts w:asciiTheme="majorHAnsi" w:hAnsiTheme="majorHAnsi" w:cstheme="majorHAnsi"/>
          <w:color w:val="00000F"/>
          <w:sz w:val="22"/>
          <w:szCs w:val="22"/>
        </w:rPr>
        <w:t xml:space="preserve"> </w:t>
      </w:r>
    </w:p>
    <w:p w14:paraId="20DB8D81" w14:textId="77777777" w:rsidR="005109FD" w:rsidRDefault="005109FD" w:rsidP="005F3A8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109FD">
        <w:rPr>
          <w:rFonts w:asciiTheme="majorHAnsi" w:hAnsiTheme="majorHAnsi" w:cstheme="majorHAnsi"/>
          <w:color w:val="00000F"/>
          <w:sz w:val="22"/>
          <w:szCs w:val="22"/>
        </w:rPr>
        <w:t>The Partnership also seeks to strengthen the focus on gender equality, disability access and social inclusion within the parameters of climate change and disaster risk reduction programming.</w:t>
      </w:r>
    </w:p>
    <w:p w14:paraId="21D04BAE" w14:textId="77777777" w:rsidR="00AC6134" w:rsidRPr="005109FD" w:rsidRDefault="00AC6134" w:rsidP="005F3A8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EF4266E" w14:textId="77777777" w:rsidR="005109FD" w:rsidRPr="005109FD" w:rsidRDefault="005109FD" w:rsidP="005F3A8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109FD">
        <w:rPr>
          <w:rFonts w:asciiTheme="majorHAnsi" w:hAnsiTheme="majorHAnsi" w:cstheme="majorHAnsi"/>
          <w:color w:val="00000F"/>
          <w:sz w:val="22"/>
          <w:szCs w:val="22"/>
        </w:rPr>
        <w:t xml:space="preserve">The Partnership consists of various subprograms, including: </w:t>
      </w:r>
      <w:r w:rsidR="007A144E" w:rsidRPr="005109FD">
        <w:rPr>
          <w:rFonts w:asciiTheme="majorHAnsi" w:hAnsiTheme="majorHAnsi" w:cstheme="majorHAnsi"/>
          <w:color w:val="00000F"/>
          <w:sz w:val="22"/>
          <w:szCs w:val="22"/>
        </w:rPr>
        <w:t>The</w:t>
      </w:r>
      <w:r w:rsidRPr="005109FD">
        <w:rPr>
          <w:rFonts w:asciiTheme="majorHAnsi" w:hAnsiTheme="majorHAnsi" w:cstheme="majorHAnsi"/>
          <w:color w:val="00000F"/>
          <w:sz w:val="22"/>
          <w:szCs w:val="22"/>
        </w:rPr>
        <w:t xml:space="preserve"> Support Unit (</w:t>
      </w:r>
      <w:r w:rsidR="00C12604">
        <w:rPr>
          <w:rFonts w:asciiTheme="majorHAnsi" w:hAnsiTheme="majorHAnsi" w:cstheme="majorHAnsi"/>
          <w:color w:val="00000F"/>
          <w:sz w:val="22"/>
          <w:szCs w:val="22"/>
        </w:rPr>
        <w:t xml:space="preserve">SU, </w:t>
      </w:r>
      <w:r w:rsidRPr="005109FD">
        <w:rPr>
          <w:rFonts w:asciiTheme="majorHAnsi" w:hAnsiTheme="majorHAnsi" w:cstheme="majorHAnsi"/>
          <w:color w:val="00000F"/>
          <w:sz w:val="22"/>
          <w:szCs w:val="22"/>
        </w:rPr>
        <w:t>$22.6m 2018-19 to 2021-22), the Climate and Oceans Support Program in the Pacific, Phase 2 (COSPPac2, $23.3m, 2017-18 to 2021-22), and Governance for Resilient Development in the Pacific (</w:t>
      </w:r>
      <w:r w:rsidR="00F75061">
        <w:rPr>
          <w:rFonts w:asciiTheme="majorHAnsi" w:hAnsiTheme="majorHAnsi" w:cstheme="majorHAnsi"/>
          <w:color w:val="00000F"/>
          <w:sz w:val="22"/>
          <w:szCs w:val="22"/>
        </w:rPr>
        <w:t>Gov4Res</w:t>
      </w:r>
      <w:r w:rsidRPr="005109FD">
        <w:rPr>
          <w:rFonts w:asciiTheme="majorHAnsi" w:hAnsiTheme="majorHAnsi" w:cstheme="majorHAnsi"/>
          <w:color w:val="00000F"/>
          <w:sz w:val="22"/>
          <w:szCs w:val="22"/>
        </w:rPr>
        <w:t xml:space="preserve"> $10.4m 2018-2019 to 2021-22). The subprograms have different implementing partners and unique contributions to the Partnership’s intended end of program outcomes. The subprograms have been brought together under the Partnership to provide a framework for the management and coordination of Australia’s regional climate and disaster resilience activities. This is intended to help connect climate and disaster information with Australian aid investments and Pacific decision makers. </w:t>
      </w:r>
    </w:p>
    <w:p w14:paraId="07732A19" w14:textId="77777777" w:rsidR="00FB2C3C" w:rsidRPr="00876E35" w:rsidRDefault="00FB2C3C" w:rsidP="00FB2C3C">
      <w:pPr>
        <w:suppressAutoHyphens/>
        <w:autoSpaceDE w:val="0"/>
        <w:autoSpaceDN w:val="0"/>
        <w:adjustRightInd w:val="0"/>
        <w:spacing w:line="288" w:lineRule="auto"/>
        <w:textAlignment w:val="center"/>
        <w:rPr>
          <w:rFonts w:asciiTheme="majorHAnsi" w:hAnsiTheme="majorHAnsi" w:cstheme="majorHAnsi"/>
          <w:color w:val="00000F"/>
          <w:sz w:val="22"/>
          <w:szCs w:val="22"/>
          <w:lang w:val="en-US"/>
        </w:rPr>
      </w:pPr>
    </w:p>
    <w:p w14:paraId="6822B647" w14:textId="77777777" w:rsidR="00BA78E9" w:rsidRPr="00BA78E9" w:rsidRDefault="00852138" w:rsidP="00BA78E9">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BA78E9">
        <w:rPr>
          <w:rFonts w:asciiTheme="majorHAnsi" w:hAnsiTheme="majorHAnsi" w:cstheme="majorHAnsi"/>
          <w:color w:val="00000F"/>
          <w:sz w:val="22"/>
          <w:szCs w:val="22"/>
        </w:rPr>
        <w:t xml:space="preserve">This </w:t>
      </w:r>
      <w:r w:rsidR="00651567" w:rsidRPr="00BA78E9">
        <w:rPr>
          <w:rFonts w:asciiTheme="majorHAnsi" w:hAnsiTheme="majorHAnsi" w:cstheme="majorHAnsi"/>
          <w:color w:val="00000F"/>
          <w:sz w:val="22"/>
          <w:szCs w:val="22"/>
        </w:rPr>
        <w:t>review</w:t>
      </w:r>
      <w:r w:rsidRPr="00BA78E9">
        <w:rPr>
          <w:rFonts w:asciiTheme="majorHAnsi" w:hAnsiTheme="majorHAnsi" w:cstheme="majorHAnsi"/>
          <w:color w:val="00000F"/>
          <w:sz w:val="22"/>
          <w:szCs w:val="22"/>
        </w:rPr>
        <w:t xml:space="preserve"> is timely for </w:t>
      </w:r>
      <w:r w:rsidR="00BA78E9" w:rsidRPr="00BA78E9">
        <w:rPr>
          <w:rFonts w:asciiTheme="majorHAnsi" w:hAnsiTheme="majorHAnsi" w:cstheme="majorHAnsi"/>
          <w:color w:val="00000F"/>
          <w:sz w:val="22"/>
          <w:szCs w:val="22"/>
        </w:rPr>
        <w:t>three</w:t>
      </w:r>
      <w:r w:rsidRPr="00BA78E9">
        <w:rPr>
          <w:rFonts w:asciiTheme="majorHAnsi" w:hAnsiTheme="majorHAnsi" w:cstheme="majorHAnsi"/>
          <w:color w:val="00000F"/>
          <w:sz w:val="22"/>
          <w:szCs w:val="22"/>
        </w:rPr>
        <w:t xml:space="preserve"> key reasons: first, Australia’s work relating to </w:t>
      </w:r>
      <w:r w:rsidR="00142CA9" w:rsidRPr="00BA78E9">
        <w:rPr>
          <w:rFonts w:asciiTheme="majorHAnsi" w:hAnsiTheme="majorHAnsi" w:cstheme="majorHAnsi"/>
          <w:color w:val="00000F"/>
          <w:sz w:val="22"/>
          <w:szCs w:val="22"/>
        </w:rPr>
        <w:t xml:space="preserve">climate </w:t>
      </w:r>
      <w:r w:rsidR="00104EE5" w:rsidRPr="00BA78E9">
        <w:rPr>
          <w:rFonts w:asciiTheme="majorHAnsi" w:hAnsiTheme="majorHAnsi" w:cstheme="majorHAnsi"/>
          <w:color w:val="00000F"/>
          <w:sz w:val="22"/>
          <w:szCs w:val="22"/>
        </w:rPr>
        <w:t xml:space="preserve">and disaster risk </w:t>
      </w:r>
      <w:r w:rsidR="00DD0B67">
        <w:rPr>
          <w:rFonts w:asciiTheme="majorHAnsi" w:hAnsiTheme="majorHAnsi" w:cstheme="majorHAnsi"/>
          <w:color w:val="00000F"/>
          <w:sz w:val="22"/>
          <w:szCs w:val="22"/>
        </w:rPr>
        <w:t>resilience</w:t>
      </w:r>
      <w:r w:rsidR="00DD0B67" w:rsidRPr="00BA78E9">
        <w:rPr>
          <w:rFonts w:asciiTheme="majorHAnsi" w:hAnsiTheme="majorHAnsi" w:cstheme="majorHAnsi"/>
          <w:color w:val="00000F"/>
          <w:sz w:val="22"/>
          <w:szCs w:val="22"/>
        </w:rPr>
        <w:t xml:space="preserve"> </w:t>
      </w:r>
      <w:r w:rsidRPr="00BA78E9">
        <w:rPr>
          <w:rFonts w:asciiTheme="majorHAnsi" w:hAnsiTheme="majorHAnsi" w:cstheme="majorHAnsi"/>
          <w:color w:val="00000F"/>
          <w:sz w:val="22"/>
          <w:szCs w:val="22"/>
        </w:rPr>
        <w:t xml:space="preserve">in the Pacific has continued in various forms for </w:t>
      </w:r>
      <w:r w:rsidR="0078189C" w:rsidRPr="00BA78E9">
        <w:rPr>
          <w:rFonts w:asciiTheme="majorHAnsi" w:hAnsiTheme="majorHAnsi" w:cstheme="majorHAnsi"/>
          <w:color w:val="00000F"/>
          <w:sz w:val="22"/>
          <w:szCs w:val="22"/>
        </w:rPr>
        <w:t xml:space="preserve">over </w:t>
      </w:r>
      <w:r w:rsidRPr="00BA78E9">
        <w:rPr>
          <w:rFonts w:asciiTheme="majorHAnsi" w:hAnsiTheme="majorHAnsi" w:cstheme="majorHAnsi"/>
          <w:color w:val="00000F"/>
          <w:sz w:val="22"/>
          <w:szCs w:val="22"/>
        </w:rPr>
        <w:t>a decade;</w:t>
      </w:r>
      <w:r w:rsidRPr="007A761F">
        <w:rPr>
          <w:rFonts w:asciiTheme="majorHAnsi" w:hAnsiTheme="majorHAnsi" w:cstheme="majorHAnsi"/>
          <w:color w:val="00000F"/>
          <w:sz w:val="22"/>
          <w:szCs w:val="22"/>
          <w:vertAlign w:val="superscript"/>
        </w:rPr>
        <w:footnoteReference w:id="3"/>
      </w:r>
      <w:r w:rsidRPr="00BA78E9">
        <w:rPr>
          <w:rFonts w:asciiTheme="majorHAnsi" w:hAnsiTheme="majorHAnsi" w:cstheme="majorHAnsi"/>
          <w:color w:val="00000F"/>
          <w:sz w:val="22"/>
          <w:szCs w:val="22"/>
        </w:rPr>
        <w:t xml:space="preserve"> </w:t>
      </w:r>
      <w:r w:rsidR="00FE5A96" w:rsidRPr="00BA78E9">
        <w:rPr>
          <w:rFonts w:asciiTheme="majorHAnsi" w:hAnsiTheme="majorHAnsi" w:cstheme="majorHAnsi"/>
          <w:color w:val="00000F"/>
          <w:sz w:val="22"/>
          <w:szCs w:val="22"/>
        </w:rPr>
        <w:t xml:space="preserve">the </w:t>
      </w:r>
      <w:r w:rsidRPr="00BA78E9">
        <w:rPr>
          <w:rFonts w:asciiTheme="majorHAnsi" w:hAnsiTheme="majorHAnsi" w:cstheme="majorHAnsi"/>
          <w:color w:val="00000F"/>
          <w:sz w:val="22"/>
          <w:szCs w:val="22"/>
        </w:rPr>
        <w:t>original </w:t>
      </w:r>
      <w:r w:rsidR="00FE5A96" w:rsidRPr="00BA78E9">
        <w:rPr>
          <w:rFonts w:asciiTheme="majorHAnsi" w:hAnsiTheme="majorHAnsi" w:cstheme="majorHAnsi"/>
          <w:color w:val="00000F"/>
          <w:sz w:val="22"/>
          <w:szCs w:val="22"/>
        </w:rPr>
        <w:t>partnership</w:t>
      </w:r>
      <w:r w:rsidRPr="00BA78E9">
        <w:rPr>
          <w:rFonts w:asciiTheme="majorHAnsi" w:hAnsiTheme="majorHAnsi" w:cstheme="majorHAnsi"/>
          <w:color w:val="00000F"/>
          <w:sz w:val="22"/>
          <w:szCs w:val="22"/>
        </w:rPr>
        <w:t> design may n</w:t>
      </w:r>
      <w:r w:rsidR="00FE5A96" w:rsidRPr="00BA78E9">
        <w:rPr>
          <w:rFonts w:asciiTheme="majorHAnsi" w:hAnsiTheme="majorHAnsi" w:cstheme="majorHAnsi"/>
          <w:color w:val="00000F"/>
          <w:sz w:val="22"/>
          <w:szCs w:val="22"/>
        </w:rPr>
        <w:t>o</w:t>
      </w:r>
      <w:r w:rsidRPr="00BA78E9">
        <w:rPr>
          <w:rFonts w:asciiTheme="majorHAnsi" w:hAnsiTheme="majorHAnsi" w:cstheme="majorHAnsi"/>
          <w:color w:val="00000F"/>
          <w:sz w:val="22"/>
          <w:szCs w:val="22"/>
        </w:rPr>
        <w:t xml:space="preserve"> longer be </w:t>
      </w:r>
      <w:r w:rsidR="00FE5A96" w:rsidRPr="00BA78E9">
        <w:rPr>
          <w:rFonts w:asciiTheme="majorHAnsi" w:hAnsiTheme="majorHAnsi" w:cstheme="majorHAnsi"/>
          <w:color w:val="00000F"/>
          <w:sz w:val="22"/>
          <w:szCs w:val="22"/>
        </w:rPr>
        <w:t>fit-for-purpose</w:t>
      </w:r>
      <w:r w:rsidRPr="00BA78E9">
        <w:rPr>
          <w:rFonts w:asciiTheme="majorHAnsi" w:hAnsiTheme="majorHAnsi" w:cstheme="majorHAnsi"/>
          <w:color w:val="00000F"/>
          <w:sz w:val="22"/>
          <w:szCs w:val="22"/>
        </w:rPr>
        <w:t xml:space="preserve">. Second, </w:t>
      </w:r>
      <w:r w:rsidR="00521D93" w:rsidRPr="00BA78E9">
        <w:rPr>
          <w:rFonts w:asciiTheme="majorHAnsi" w:hAnsiTheme="majorHAnsi" w:cstheme="majorHAnsi"/>
          <w:color w:val="00000F"/>
          <w:sz w:val="22"/>
          <w:szCs w:val="22"/>
        </w:rPr>
        <w:t>the COVID-19 pandemic has significantly change</w:t>
      </w:r>
      <w:r w:rsidR="001F5DFC" w:rsidRPr="00BA78E9">
        <w:rPr>
          <w:rFonts w:asciiTheme="majorHAnsi" w:hAnsiTheme="majorHAnsi" w:cstheme="majorHAnsi"/>
          <w:color w:val="00000F"/>
          <w:sz w:val="22"/>
          <w:szCs w:val="22"/>
        </w:rPr>
        <w:t>d</w:t>
      </w:r>
      <w:r w:rsidR="00521D93" w:rsidRPr="00BA78E9">
        <w:rPr>
          <w:rFonts w:asciiTheme="majorHAnsi" w:hAnsiTheme="majorHAnsi" w:cstheme="majorHAnsi"/>
          <w:color w:val="00000F"/>
          <w:sz w:val="22"/>
          <w:szCs w:val="22"/>
        </w:rPr>
        <w:t xml:space="preserve"> ways of working in the Pacific that may require a different approach</w:t>
      </w:r>
      <w:r w:rsidR="00BA78E9" w:rsidRPr="00BA78E9">
        <w:rPr>
          <w:rFonts w:asciiTheme="majorHAnsi" w:hAnsiTheme="majorHAnsi" w:cstheme="majorHAnsi"/>
          <w:color w:val="00000F"/>
          <w:sz w:val="22"/>
          <w:szCs w:val="22"/>
        </w:rPr>
        <w:t xml:space="preserve"> or delivery modality</w:t>
      </w:r>
      <w:r w:rsidRPr="00BA78E9">
        <w:rPr>
          <w:rFonts w:asciiTheme="majorHAnsi" w:hAnsiTheme="majorHAnsi" w:cstheme="majorHAnsi"/>
          <w:color w:val="00000F"/>
          <w:sz w:val="22"/>
          <w:szCs w:val="22"/>
        </w:rPr>
        <w:t xml:space="preserve">. Third, Australia is considering </w:t>
      </w:r>
      <w:r w:rsidR="002B6818">
        <w:rPr>
          <w:rFonts w:asciiTheme="majorHAnsi" w:hAnsiTheme="majorHAnsi" w:cstheme="majorHAnsi"/>
          <w:color w:val="00000F"/>
          <w:sz w:val="22"/>
          <w:szCs w:val="22"/>
        </w:rPr>
        <w:t>further</w:t>
      </w:r>
      <w:r w:rsidR="002B6818" w:rsidRPr="00BA78E9">
        <w:rPr>
          <w:rFonts w:asciiTheme="majorHAnsi" w:hAnsiTheme="majorHAnsi" w:cstheme="majorHAnsi"/>
          <w:color w:val="00000F"/>
          <w:sz w:val="22"/>
          <w:szCs w:val="22"/>
        </w:rPr>
        <w:t xml:space="preserve"> </w:t>
      </w:r>
      <w:r w:rsidRPr="00BA78E9">
        <w:rPr>
          <w:rFonts w:asciiTheme="majorHAnsi" w:hAnsiTheme="majorHAnsi" w:cstheme="majorHAnsi"/>
          <w:color w:val="00000F"/>
          <w:sz w:val="22"/>
          <w:szCs w:val="22"/>
        </w:rPr>
        <w:t xml:space="preserve">support </w:t>
      </w:r>
      <w:r w:rsidR="00FC44AA" w:rsidRPr="00BA78E9">
        <w:rPr>
          <w:rFonts w:asciiTheme="majorHAnsi" w:hAnsiTheme="majorHAnsi" w:cstheme="majorHAnsi"/>
          <w:color w:val="00000F"/>
          <w:sz w:val="22"/>
          <w:szCs w:val="22"/>
        </w:rPr>
        <w:t>for climate change beyond the Pacific region and the Partnership</w:t>
      </w:r>
      <w:r w:rsidRPr="00BA78E9">
        <w:rPr>
          <w:rFonts w:asciiTheme="majorHAnsi" w:hAnsiTheme="majorHAnsi" w:cstheme="majorHAnsi"/>
          <w:color w:val="00000F"/>
          <w:sz w:val="22"/>
          <w:szCs w:val="22"/>
        </w:rPr>
        <w:t xml:space="preserve"> investment </w:t>
      </w:r>
      <w:r w:rsidR="001F5DFC" w:rsidRPr="00BA78E9">
        <w:rPr>
          <w:rFonts w:asciiTheme="majorHAnsi" w:hAnsiTheme="majorHAnsi" w:cstheme="majorHAnsi"/>
          <w:color w:val="00000F"/>
          <w:sz w:val="22"/>
          <w:szCs w:val="22"/>
        </w:rPr>
        <w:t>may help</w:t>
      </w:r>
      <w:r w:rsidRPr="00BA78E9">
        <w:rPr>
          <w:rFonts w:asciiTheme="majorHAnsi" w:hAnsiTheme="majorHAnsi" w:cstheme="majorHAnsi"/>
          <w:color w:val="00000F"/>
          <w:sz w:val="22"/>
          <w:szCs w:val="22"/>
        </w:rPr>
        <w:t xml:space="preserve"> shape Australia’s future work. </w:t>
      </w:r>
    </w:p>
    <w:p w14:paraId="16B7C0A6" w14:textId="77777777" w:rsidR="00FB2C3C" w:rsidRPr="00876E35" w:rsidRDefault="00FB2C3C" w:rsidP="00FB2C3C">
      <w:pPr>
        <w:pStyle w:val="BasicParagraph"/>
        <w:tabs>
          <w:tab w:val="left" w:pos="454"/>
        </w:tabs>
        <w:suppressAutoHyphens/>
        <w:rPr>
          <w:rFonts w:asciiTheme="majorHAnsi" w:hAnsiTheme="majorHAnsi" w:cstheme="majorHAnsi"/>
          <w:color w:val="0E1428"/>
          <w:sz w:val="18"/>
          <w:szCs w:val="18"/>
        </w:rPr>
      </w:pPr>
    </w:p>
    <w:p w14:paraId="226667A3" w14:textId="77777777" w:rsidR="00D239E7" w:rsidRPr="00611197" w:rsidRDefault="00D239E7" w:rsidP="00611197">
      <w:pPr>
        <w:pStyle w:val="Heading2A"/>
        <w:rPr>
          <w:rStyle w:val="Heading"/>
          <w:b w:val="0"/>
        </w:rPr>
      </w:pPr>
      <w:bookmarkStart w:id="10" w:name="_Toc72104073"/>
      <w:r w:rsidRPr="00611197">
        <w:rPr>
          <w:rStyle w:val="Heading"/>
          <w:b w:val="0"/>
        </w:rPr>
        <w:t>PURPOSE AND SCOPE</w:t>
      </w:r>
      <w:bookmarkEnd w:id="10"/>
    </w:p>
    <w:p w14:paraId="4DA2AF0E" w14:textId="77777777" w:rsidR="00FB2C3C" w:rsidRPr="00876E35" w:rsidRDefault="00FB2C3C" w:rsidP="00FB2C3C">
      <w:pPr>
        <w:pStyle w:val="BasicParagraph"/>
        <w:tabs>
          <w:tab w:val="left" w:pos="454"/>
        </w:tabs>
        <w:suppressAutoHyphens/>
        <w:rPr>
          <w:rFonts w:asciiTheme="majorHAnsi" w:hAnsiTheme="majorHAnsi" w:cstheme="majorHAnsi"/>
          <w:color w:val="0E1428"/>
          <w:sz w:val="18"/>
          <w:szCs w:val="18"/>
        </w:rPr>
      </w:pPr>
    </w:p>
    <w:p w14:paraId="752299EE" w14:textId="77777777" w:rsidR="0084256B" w:rsidRDefault="003F381D" w:rsidP="007A761F">
      <w:pPr>
        <w:suppressAutoHyphens/>
        <w:autoSpaceDE w:val="0"/>
        <w:autoSpaceDN w:val="0"/>
        <w:adjustRightInd w:val="0"/>
        <w:spacing w:after="120" w:line="288" w:lineRule="auto"/>
        <w:jc w:val="both"/>
        <w:textAlignment w:val="center"/>
        <w:rPr>
          <w:rFonts w:asciiTheme="majorHAnsi" w:hAnsiTheme="majorHAnsi" w:cstheme="majorHAnsi"/>
          <w:color w:val="00000F"/>
          <w:sz w:val="22"/>
          <w:szCs w:val="22"/>
        </w:rPr>
      </w:pPr>
      <w:r w:rsidRPr="005F3A84">
        <w:rPr>
          <w:rFonts w:asciiTheme="majorHAnsi" w:hAnsiTheme="majorHAnsi" w:cstheme="majorHAnsi"/>
          <w:color w:val="00000F"/>
          <w:sz w:val="22"/>
          <w:szCs w:val="22"/>
        </w:rPr>
        <w:t xml:space="preserve">The </w:t>
      </w:r>
      <w:r w:rsidR="00F76D8F" w:rsidRPr="005F3A84">
        <w:rPr>
          <w:rFonts w:asciiTheme="majorHAnsi" w:hAnsiTheme="majorHAnsi" w:cstheme="majorHAnsi"/>
          <w:color w:val="00000F"/>
          <w:sz w:val="22"/>
          <w:szCs w:val="22"/>
        </w:rPr>
        <w:t>purpose</w:t>
      </w:r>
      <w:r w:rsidRPr="005F3A84">
        <w:rPr>
          <w:rFonts w:asciiTheme="majorHAnsi" w:hAnsiTheme="majorHAnsi" w:cstheme="majorHAnsi"/>
          <w:color w:val="00000F"/>
          <w:sz w:val="22"/>
          <w:szCs w:val="22"/>
        </w:rPr>
        <w:t xml:space="preserve"> of the mid-term review is</w:t>
      </w:r>
      <w:r w:rsidR="00A941CC" w:rsidRPr="007177E3">
        <w:rPr>
          <w:rFonts w:asciiTheme="majorHAnsi" w:hAnsiTheme="majorHAnsi" w:cstheme="majorHAnsi"/>
          <w:color w:val="00000F"/>
          <w:sz w:val="22"/>
          <w:szCs w:val="22"/>
        </w:rPr>
        <w:t xml:space="preserve"> </w:t>
      </w:r>
      <w:r w:rsidR="00852138" w:rsidRPr="005F3A84">
        <w:rPr>
          <w:rFonts w:asciiTheme="majorHAnsi" w:hAnsiTheme="majorHAnsi" w:cstheme="majorHAnsi"/>
          <w:color w:val="00000F"/>
          <w:sz w:val="22"/>
          <w:szCs w:val="22"/>
        </w:rPr>
        <w:t xml:space="preserve">twofold: </w:t>
      </w:r>
    </w:p>
    <w:p w14:paraId="4B78243D" w14:textId="77777777" w:rsidR="0084256B" w:rsidRDefault="00A941CC" w:rsidP="00E8217C">
      <w:pPr>
        <w:pStyle w:val="ListParagraph"/>
        <w:numPr>
          <w:ilvl w:val="0"/>
          <w:numId w:val="11"/>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7A761F">
        <w:rPr>
          <w:rFonts w:asciiTheme="majorHAnsi" w:hAnsiTheme="majorHAnsi" w:cstheme="majorHAnsi"/>
          <w:color w:val="00000F"/>
          <w:sz w:val="22"/>
          <w:szCs w:val="22"/>
        </w:rPr>
        <w:t xml:space="preserve">to generate an independent perspective on how the Partnership is tracking against the intended end of program outcomes, </w:t>
      </w:r>
      <w:r w:rsidR="0084510A" w:rsidRPr="007A761F">
        <w:rPr>
          <w:rFonts w:asciiTheme="majorHAnsi" w:hAnsiTheme="majorHAnsi" w:cstheme="majorHAnsi"/>
          <w:color w:val="00000F"/>
          <w:sz w:val="22"/>
          <w:szCs w:val="22"/>
        </w:rPr>
        <w:t xml:space="preserve">and </w:t>
      </w:r>
    </w:p>
    <w:p w14:paraId="5B131DD6" w14:textId="77777777" w:rsidR="003F381D" w:rsidRPr="007A761F" w:rsidRDefault="005E13E1" w:rsidP="00E8217C">
      <w:pPr>
        <w:pStyle w:val="ListParagraph"/>
        <w:numPr>
          <w:ilvl w:val="0"/>
          <w:numId w:val="11"/>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CF28AC">
        <w:rPr>
          <w:rFonts w:asciiTheme="majorHAnsi" w:hAnsiTheme="majorHAnsi" w:cstheme="majorHAnsi"/>
          <w:color w:val="00000F"/>
          <w:sz w:val="22"/>
          <w:szCs w:val="22"/>
        </w:rPr>
        <w:t>assessing the Partnership model, specifically the extent to which the Partnership has helped the subprograms to be greater than the sum of their parts</w:t>
      </w:r>
      <w:r w:rsidRPr="005F3A84">
        <w:rPr>
          <w:vertAlign w:val="superscript"/>
        </w:rPr>
        <w:footnoteReference w:id="4"/>
      </w:r>
      <w:r w:rsidR="005F3A84" w:rsidRPr="007A761F">
        <w:rPr>
          <w:rFonts w:asciiTheme="majorHAnsi" w:hAnsiTheme="majorHAnsi" w:cstheme="majorHAnsi"/>
          <w:color w:val="00000F"/>
          <w:sz w:val="22"/>
          <w:szCs w:val="22"/>
        </w:rPr>
        <w:t>.</w:t>
      </w:r>
    </w:p>
    <w:p w14:paraId="076C873E" w14:textId="77777777" w:rsidR="005F3A84" w:rsidRPr="005F3A84" w:rsidRDefault="005F3A84" w:rsidP="005F3A8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98D0999" w14:textId="77777777" w:rsidR="00A941CC" w:rsidRDefault="00A941CC" w:rsidP="005F3A8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7177E3">
        <w:rPr>
          <w:rFonts w:asciiTheme="majorHAnsi" w:hAnsiTheme="majorHAnsi" w:cstheme="majorHAnsi"/>
          <w:color w:val="00000F"/>
          <w:sz w:val="22"/>
          <w:szCs w:val="22"/>
        </w:rPr>
        <w:t xml:space="preserve">The mid-term review is not intended as an appraisal of each sub-program or implementing partner’s performance. The assessment of the </w:t>
      </w:r>
      <w:r w:rsidR="00C20B2E" w:rsidRPr="005F3A84">
        <w:rPr>
          <w:rFonts w:asciiTheme="majorHAnsi" w:hAnsiTheme="majorHAnsi" w:cstheme="majorHAnsi"/>
          <w:color w:val="00000F"/>
          <w:sz w:val="22"/>
          <w:szCs w:val="22"/>
        </w:rPr>
        <w:t>sub-programs</w:t>
      </w:r>
      <w:r w:rsidRPr="007177E3">
        <w:rPr>
          <w:rFonts w:asciiTheme="majorHAnsi" w:hAnsiTheme="majorHAnsi" w:cstheme="majorHAnsi"/>
          <w:color w:val="00000F"/>
          <w:sz w:val="22"/>
          <w:szCs w:val="22"/>
        </w:rPr>
        <w:t xml:space="preserve"> recognise</w:t>
      </w:r>
      <w:r w:rsidR="00C20B2E" w:rsidRPr="005F3A84">
        <w:rPr>
          <w:rFonts w:asciiTheme="majorHAnsi" w:hAnsiTheme="majorHAnsi" w:cstheme="majorHAnsi"/>
          <w:color w:val="00000F"/>
          <w:sz w:val="22"/>
          <w:szCs w:val="22"/>
        </w:rPr>
        <w:t>s</w:t>
      </w:r>
      <w:r w:rsidRPr="007177E3">
        <w:rPr>
          <w:rFonts w:asciiTheme="majorHAnsi" w:hAnsiTheme="majorHAnsi" w:cstheme="majorHAnsi"/>
          <w:color w:val="00000F"/>
          <w:sz w:val="22"/>
          <w:szCs w:val="22"/>
        </w:rPr>
        <w:t xml:space="preserve"> that </w:t>
      </w:r>
      <w:r w:rsidR="00C20B2E" w:rsidRPr="005F3A84">
        <w:rPr>
          <w:rFonts w:asciiTheme="majorHAnsi" w:hAnsiTheme="majorHAnsi" w:cstheme="majorHAnsi"/>
          <w:color w:val="00000F"/>
          <w:sz w:val="22"/>
          <w:szCs w:val="22"/>
        </w:rPr>
        <w:t>they are at different</w:t>
      </w:r>
      <w:r w:rsidRPr="007177E3">
        <w:rPr>
          <w:rFonts w:asciiTheme="majorHAnsi" w:hAnsiTheme="majorHAnsi" w:cstheme="majorHAnsi"/>
          <w:color w:val="00000F"/>
          <w:sz w:val="22"/>
          <w:szCs w:val="22"/>
        </w:rPr>
        <w:t xml:space="preserve"> stage</w:t>
      </w:r>
      <w:r w:rsidR="00C20B2E" w:rsidRPr="005F3A84">
        <w:rPr>
          <w:rFonts w:asciiTheme="majorHAnsi" w:hAnsiTheme="majorHAnsi" w:cstheme="majorHAnsi"/>
          <w:color w:val="00000F"/>
          <w:sz w:val="22"/>
          <w:szCs w:val="22"/>
        </w:rPr>
        <w:t>s</w:t>
      </w:r>
      <w:r w:rsidRPr="007177E3">
        <w:rPr>
          <w:rFonts w:asciiTheme="majorHAnsi" w:hAnsiTheme="majorHAnsi" w:cstheme="majorHAnsi"/>
          <w:color w:val="00000F"/>
          <w:sz w:val="22"/>
          <w:szCs w:val="22"/>
        </w:rPr>
        <w:t xml:space="preserve"> of </w:t>
      </w:r>
      <w:r w:rsidR="008A27E0" w:rsidRPr="007177E3">
        <w:rPr>
          <w:rFonts w:asciiTheme="majorHAnsi" w:hAnsiTheme="majorHAnsi" w:cstheme="majorHAnsi"/>
          <w:color w:val="00000F"/>
          <w:sz w:val="22"/>
          <w:szCs w:val="22"/>
        </w:rPr>
        <w:t>implementation and</w:t>
      </w:r>
      <w:r w:rsidRPr="007177E3">
        <w:rPr>
          <w:rFonts w:asciiTheme="majorHAnsi" w:hAnsiTheme="majorHAnsi" w:cstheme="majorHAnsi"/>
          <w:color w:val="00000F"/>
          <w:sz w:val="22"/>
          <w:szCs w:val="22"/>
        </w:rPr>
        <w:t xml:space="preserve"> </w:t>
      </w:r>
      <w:r w:rsidR="00C20B2E" w:rsidRPr="005F3A84">
        <w:rPr>
          <w:rFonts w:asciiTheme="majorHAnsi" w:hAnsiTheme="majorHAnsi" w:cstheme="majorHAnsi"/>
          <w:color w:val="00000F"/>
          <w:sz w:val="22"/>
          <w:szCs w:val="22"/>
        </w:rPr>
        <w:t>have different histories</w:t>
      </w:r>
      <w:r w:rsidRPr="007177E3">
        <w:rPr>
          <w:rFonts w:asciiTheme="majorHAnsi" w:hAnsiTheme="majorHAnsi" w:cstheme="majorHAnsi"/>
          <w:color w:val="00000F"/>
          <w:sz w:val="22"/>
          <w:szCs w:val="22"/>
        </w:rPr>
        <w:t xml:space="preserve">. </w:t>
      </w:r>
    </w:p>
    <w:p w14:paraId="62B615A3" w14:textId="77777777" w:rsidR="005F3A84" w:rsidRPr="007177E3" w:rsidRDefault="005F3A84" w:rsidP="005F3A8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7E68ECFF" w14:textId="77777777" w:rsidR="00FB2C3C" w:rsidRPr="005F3A84" w:rsidRDefault="00A941CC" w:rsidP="005F3A8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F3A84">
        <w:rPr>
          <w:rFonts w:asciiTheme="majorHAnsi" w:hAnsiTheme="majorHAnsi" w:cstheme="majorHAnsi"/>
          <w:color w:val="00000F"/>
          <w:sz w:val="22"/>
          <w:szCs w:val="22"/>
        </w:rPr>
        <w:t xml:space="preserve">The </w:t>
      </w:r>
      <w:r w:rsidR="00E90030" w:rsidRPr="005F3A84">
        <w:rPr>
          <w:rFonts w:asciiTheme="majorHAnsi" w:hAnsiTheme="majorHAnsi" w:cstheme="majorHAnsi"/>
          <w:color w:val="00000F"/>
          <w:sz w:val="22"/>
          <w:szCs w:val="22"/>
        </w:rPr>
        <w:t xml:space="preserve">recommendations of this </w:t>
      </w:r>
      <w:r w:rsidRPr="005F3A84">
        <w:rPr>
          <w:rFonts w:asciiTheme="majorHAnsi" w:hAnsiTheme="majorHAnsi" w:cstheme="majorHAnsi"/>
          <w:color w:val="00000F"/>
          <w:sz w:val="22"/>
          <w:szCs w:val="22"/>
        </w:rPr>
        <w:t xml:space="preserve">mid-term review </w:t>
      </w:r>
      <w:r w:rsidR="00E90030" w:rsidRPr="005F3A84">
        <w:rPr>
          <w:rFonts w:asciiTheme="majorHAnsi" w:hAnsiTheme="majorHAnsi" w:cstheme="majorHAnsi"/>
          <w:color w:val="00000F"/>
          <w:sz w:val="22"/>
          <w:szCs w:val="22"/>
        </w:rPr>
        <w:t xml:space="preserve">are </w:t>
      </w:r>
      <w:r w:rsidRPr="005F3A84">
        <w:rPr>
          <w:rFonts w:asciiTheme="majorHAnsi" w:hAnsiTheme="majorHAnsi" w:cstheme="majorHAnsi"/>
          <w:color w:val="00000F"/>
          <w:sz w:val="22"/>
          <w:szCs w:val="22"/>
        </w:rPr>
        <w:t xml:space="preserve">forward looking </w:t>
      </w:r>
      <w:r w:rsidR="00E90030" w:rsidRPr="005F3A84">
        <w:rPr>
          <w:rFonts w:asciiTheme="majorHAnsi" w:hAnsiTheme="majorHAnsi" w:cstheme="majorHAnsi"/>
          <w:color w:val="00000F"/>
          <w:sz w:val="22"/>
          <w:szCs w:val="22"/>
        </w:rPr>
        <w:t>with a focus on s</w:t>
      </w:r>
      <w:r w:rsidRPr="005F3A84">
        <w:rPr>
          <w:rFonts w:asciiTheme="majorHAnsi" w:hAnsiTheme="majorHAnsi" w:cstheme="majorHAnsi"/>
          <w:color w:val="00000F"/>
          <w:sz w:val="22"/>
          <w:szCs w:val="22"/>
        </w:rPr>
        <w:t xml:space="preserve">trengthening the Partnership throughout the </w:t>
      </w:r>
      <w:r w:rsidR="007E75A3" w:rsidRPr="005F3A84">
        <w:rPr>
          <w:rFonts w:asciiTheme="majorHAnsi" w:hAnsiTheme="majorHAnsi" w:cstheme="majorHAnsi"/>
          <w:color w:val="00000F"/>
          <w:sz w:val="22"/>
          <w:szCs w:val="22"/>
        </w:rPr>
        <w:t>remaining</w:t>
      </w:r>
      <w:r w:rsidRPr="005F3A84">
        <w:rPr>
          <w:rFonts w:asciiTheme="majorHAnsi" w:hAnsiTheme="majorHAnsi" w:cstheme="majorHAnsi"/>
          <w:color w:val="00000F"/>
          <w:sz w:val="22"/>
          <w:szCs w:val="22"/>
        </w:rPr>
        <w:t xml:space="preserve"> </w:t>
      </w:r>
      <w:r w:rsidR="007E75A3" w:rsidRPr="005F3A84">
        <w:rPr>
          <w:rFonts w:asciiTheme="majorHAnsi" w:hAnsiTheme="majorHAnsi" w:cstheme="majorHAnsi"/>
          <w:color w:val="00000F"/>
          <w:sz w:val="22"/>
          <w:szCs w:val="22"/>
        </w:rPr>
        <w:t>implementation period and informing</w:t>
      </w:r>
      <w:r w:rsidRPr="005F3A84">
        <w:rPr>
          <w:rFonts w:asciiTheme="majorHAnsi" w:hAnsiTheme="majorHAnsi" w:cstheme="majorHAnsi"/>
          <w:color w:val="00000F"/>
          <w:sz w:val="22"/>
          <w:szCs w:val="22"/>
        </w:rPr>
        <w:t xml:space="preserve"> DFAT decision making about an extension or recalibration of the Partnership in 2022.</w:t>
      </w:r>
    </w:p>
    <w:p w14:paraId="1A58EA3A" w14:textId="77777777" w:rsidR="00FB2C3C" w:rsidRPr="00876E35" w:rsidRDefault="00FB2C3C" w:rsidP="00FB2C3C">
      <w:pPr>
        <w:tabs>
          <w:tab w:val="left" w:pos="7780"/>
        </w:tabs>
        <w:outlineLvl w:val="0"/>
        <w:rPr>
          <w:rFonts w:asciiTheme="majorHAnsi" w:hAnsiTheme="majorHAnsi" w:cstheme="majorHAnsi"/>
          <w:b/>
          <w:color w:val="0E1428"/>
          <w:spacing w:val="120"/>
          <w:sz w:val="52"/>
          <w:szCs w:val="52"/>
        </w:rPr>
      </w:pPr>
      <w:bookmarkStart w:id="11" w:name="_Toc520113650"/>
      <w:bookmarkStart w:id="12" w:name="_Toc520113940"/>
    </w:p>
    <w:p w14:paraId="601E62A6" w14:textId="77777777" w:rsidR="00D239E7" w:rsidRPr="00611197" w:rsidRDefault="00E27F76" w:rsidP="00611197">
      <w:pPr>
        <w:pStyle w:val="Heading2A"/>
        <w:rPr>
          <w:rStyle w:val="Heading"/>
          <w:b w:val="0"/>
        </w:rPr>
      </w:pPr>
      <w:bookmarkStart w:id="13" w:name="_Toc72104074"/>
      <w:r w:rsidRPr="00611197">
        <w:rPr>
          <w:rStyle w:val="Heading"/>
          <w:b w:val="0"/>
        </w:rPr>
        <w:t>REPORT STRUCTURE</w:t>
      </w:r>
      <w:bookmarkEnd w:id="13"/>
    </w:p>
    <w:p w14:paraId="08BB6143" w14:textId="77777777" w:rsidR="00807AD2" w:rsidRDefault="00FE713B" w:rsidP="0065156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FE473A">
        <w:rPr>
          <w:rFonts w:asciiTheme="majorHAnsi" w:hAnsiTheme="majorHAnsi" w:cstheme="majorHAnsi"/>
          <w:color w:val="00000F"/>
          <w:sz w:val="22"/>
          <w:szCs w:val="22"/>
        </w:rPr>
        <w:t xml:space="preserve">This document sets out the findings of the </w:t>
      </w:r>
      <w:r w:rsidR="00A06C53" w:rsidRPr="00FE473A">
        <w:rPr>
          <w:rFonts w:asciiTheme="majorHAnsi" w:hAnsiTheme="majorHAnsi" w:cstheme="majorHAnsi"/>
          <w:color w:val="00000F"/>
          <w:sz w:val="22"/>
          <w:szCs w:val="22"/>
        </w:rPr>
        <w:t>APCP Mid-term Review</w:t>
      </w:r>
      <w:r w:rsidRPr="00FE473A">
        <w:rPr>
          <w:rFonts w:asciiTheme="majorHAnsi" w:hAnsiTheme="majorHAnsi" w:cstheme="majorHAnsi"/>
          <w:color w:val="00000F"/>
          <w:sz w:val="22"/>
          <w:szCs w:val="22"/>
        </w:rPr>
        <w:t xml:space="preserve"> conducted over </w:t>
      </w:r>
      <w:r w:rsidR="00A06C53" w:rsidRPr="00FE473A">
        <w:rPr>
          <w:rFonts w:asciiTheme="majorHAnsi" w:hAnsiTheme="majorHAnsi" w:cstheme="majorHAnsi"/>
          <w:color w:val="00000F"/>
          <w:sz w:val="22"/>
          <w:szCs w:val="22"/>
        </w:rPr>
        <w:t>Febr</w:t>
      </w:r>
      <w:r w:rsidR="00315905" w:rsidRPr="00FE473A">
        <w:rPr>
          <w:rFonts w:asciiTheme="majorHAnsi" w:hAnsiTheme="majorHAnsi" w:cstheme="majorHAnsi"/>
          <w:color w:val="00000F"/>
          <w:sz w:val="22"/>
          <w:szCs w:val="22"/>
        </w:rPr>
        <w:t>ua</w:t>
      </w:r>
      <w:r w:rsidR="00A06C53" w:rsidRPr="00FE473A">
        <w:rPr>
          <w:rFonts w:asciiTheme="majorHAnsi" w:hAnsiTheme="majorHAnsi" w:cstheme="majorHAnsi"/>
          <w:color w:val="00000F"/>
          <w:sz w:val="22"/>
          <w:szCs w:val="22"/>
        </w:rPr>
        <w:t>ry</w:t>
      </w:r>
      <w:r w:rsidRPr="00FE473A">
        <w:rPr>
          <w:rFonts w:asciiTheme="majorHAnsi" w:hAnsiTheme="majorHAnsi" w:cstheme="majorHAnsi"/>
          <w:color w:val="00000F"/>
          <w:sz w:val="22"/>
          <w:szCs w:val="22"/>
        </w:rPr>
        <w:t xml:space="preserve"> – </w:t>
      </w:r>
      <w:r w:rsidR="00A06C53" w:rsidRPr="00FE473A">
        <w:rPr>
          <w:rFonts w:asciiTheme="majorHAnsi" w:hAnsiTheme="majorHAnsi" w:cstheme="majorHAnsi"/>
          <w:color w:val="00000F"/>
          <w:sz w:val="22"/>
          <w:szCs w:val="22"/>
        </w:rPr>
        <w:t>April</w:t>
      </w:r>
      <w:r w:rsidRPr="00FE473A">
        <w:rPr>
          <w:rFonts w:asciiTheme="majorHAnsi" w:hAnsiTheme="majorHAnsi" w:cstheme="majorHAnsi"/>
          <w:color w:val="00000F"/>
          <w:sz w:val="22"/>
          <w:szCs w:val="22"/>
        </w:rPr>
        <w:t xml:space="preserve"> 202</w:t>
      </w:r>
      <w:r w:rsidR="00A06C53" w:rsidRPr="00FE473A">
        <w:rPr>
          <w:rFonts w:asciiTheme="majorHAnsi" w:hAnsiTheme="majorHAnsi" w:cstheme="majorHAnsi"/>
          <w:color w:val="00000F"/>
          <w:sz w:val="22"/>
          <w:szCs w:val="22"/>
        </w:rPr>
        <w:t>1</w:t>
      </w:r>
      <w:r w:rsidRPr="00FE473A">
        <w:rPr>
          <w:rFonts w:asciiTheme="majorHAnsi" w:hAnsiTheme="majorHAnsi" w:cstheme="majorHAnsi"/>
          <w:color w:val="00000F"/>
          <w:sz w:val="22"/>
          <w:szCs w:val="22"/>
        </w:rPr>
        <w:t xml:space="preserve">. While the primary audience is DFAT, it is a short, concise report intended for wide readership by </w:t>
      </w:r>
      <w:r w:rsidR="00315905" w:rsidRPr="00FE473A">
        <w:rPr>
          <w:rFonts w:asciiTheme="majorHAnsi" w:hAnsiTheme="majorHAnsi" w:cstheme="majorHAnsi"/>
          <w:color w:val="00000F"/>
          <w:sz w:val="22"/>
          <w:szCs w:val="22"/>
        </w:rPr>
        <w:t>APCP</w:t>
      </w:r>
      <w:r w:rsidRPr="00FE473A">
        <w:rPr>
          <w:rFonts w:asciiTheme="majorHAnsi" w:hAnsiTheme="majorHAnsi" w:cstheme="majorHAnsi"/>
          <w:color w:val="00000F"/>
          <w:sz w:val="22"/>
          <w:szCs w:val="22"/>
        </w:rPr>
        <w:t xml:space="preserve"> Partners. It responds to the key evaluation questions</w:t>
      </w:r>
      <w:r w:rsidR="00E6142A">
        <w:rPr>
          <w:rFonts w:asciiTheme="majorHAnsi" w:hAnsiTheme="majorHAnsi" w:cstheme="majorHAnsi"/>
          <w:color w:val="00000F"/>
          <w:sz w:val="22"/>
          <w:szCs w:val="22"/>
        </w:rPr>
        <w:t xml:space="preserve"> below</w:t>
      </w:r>
      <w:r w:rsidRPr="00FE473A">
        <w:rPr>
          <w:rFonts w:asciiTheme="majorHAnsi" w:hAnsiTheme="majorHAnsi" w:cstheme="majorHAnsi"/>
          <w:color w:val="00000F"/>
          <w:sz w:val="22"/>
          <w:szCs w:val="22"/>
        </w:rPr>
        <w:t>, and features recommendations for future investment in</w:t>
      </w:r>
      <w:r w:rsidR="004232FF">
        <w:rPr>
          <w:rFonts w:asciiTheme="majorHAnsi" w:hAnsiTheme="majorHAnsi" w:cstheme="majorHAnsi"/>
          <w:color w:val="00000F"/>
          <w:sz w:val="22"/>
          <w:szCs w:val="22"/>
        </w:rPr>
        <w:t xml:space="preserve"> strengthening climate and disaster resilience in the Pacific and beyond</w:t>
      </w:r>
      <w:r w:rsidR="00807AD2">
        <w:rPr>
          <w:rFonts w:asciiTheme="majorHAnsi" w:hAnsiTheme="majorHAnsi" w:cstheme="majorHAnsi"/>
          <w:color w:val="00000F"/>
          <w:sz w:val="22"/>
          <w:szCs w:val="22"/>
        </w:rPr>
        <w:t>.</w:t>
      </w:r>
      <w:r w:rsidR="00AE2A1E">
        <w:rPr>
          <w:rFonts w:asciiTheme="majorHAnsi" w:hAnsiTheme="majorHAnsi" w:cstheme="majorHAnsi"/>
          <w:color w:val="00000F"/>
          <w:sz w:val="22"/>
          <w:szCs w:val="22"/>
        </w:rPr>
        <w:t xml:space="preserve"> The Review</w:t>
      </w:r>
      <w:r w:rsidR="00AE2A1E" w:rsidRPr="00FE473A">
        <w:rPr>
          <w:rFonts w:asciiTheme="majorHAnsi" w:hAnsiTheme="majorHAnsi" w:cstheme="majorHAnsi"/>
          <w:color w:val="00000F"/>
          <w:sz w:val="22"/>
          <w:szCs w:val="22"/>
        </w:rPr>
        <w:t xml:space="preserve"> findings </w:t>
      </w:r>
      <w:r w:rsidR="001C2084">
        <w:rPr>
          <w:rFonts w:asciiTheme="majorHAnsi" w:hAnsiTheme="majorHAnsi" w:cstheme="majorHAnsi"/>
          <w:color w:val="00000F"/>
          <w:sz w:val="22"/>
          <w:szCs w:val="22"/>
        </w:rPr>
        <w:t xml:space="preserve">and recommendations </w:t>
      </w:r>
      <w:r w:rsidR="00AE2A1E">
        <w:rPr>
          <w:rFonts w:asciiTheme="majorHAnsi" w:hAnsiTheme="majorHAnsi" w:cstheme="majorHAnsi"/>
          <w:color w:val="00000F"/>
          <w:sz w:val="22"/>
          <w:szCs w:val="22"/>
        </w:rPr>
        <w:t xml:space="preserve">are </w:t>
      </w:r>
      <w:r w:rsidR="001C2084">
        <w:rPr>
          <w:rFonts w:asciiTheme="majorHAnsi" w:hAnsiTheme="majorHAnsi" w:cstheme="majorHAnsi"/>
          <w:color w:val="00000F"/>
          <w:sz w:val="22"/>
          <w:szCs w:val="22"/>
        </w:rPr>
        <w:t>presented from both a strategic and an operational viewpoint</w:t>
      </w:r>
      <w:r w:rsidR="007D3222">
        <w:rPr>
          <w:rFonts w:asciiTheme="majorHAnsi" w:hAnsiTheme="majorHAnsi" w:cstheme="majorHAnsi"/>
          <w:color w:val="00000F"/>
          <w:sz w:val="22"/>
          <w:szCs w:val="22"/>
        </w:rPr>
        <w:t xml:space="preserve">, and case studies have been included to further illustrate </w:t>
      </w:r>
      <w:r w:rsidR="00BC4A18">
        <w:rPr>
          <w:rFonts w:asciiTheme="majorHAnsi" w:hAnsiTheme="majorHAnsi" w:cstheme="majorHAnsi"/>
          <w:color w:val="00000F"/>
          <w:sz w:val="22"/>
          <w:szCs w:val="22"/>
        </w:rPr>
        <w:t>the findings.</w:t>
      </w:r>
    </w:p>
    <w:p w14:paraId="178EEA7C" w14:textId="77777777" w:rsidR="00C82AFF" w:rsidRDefault="00C82AFF" w:rsidP="00651567">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0C651CA" w14:textId="77777777" w:rsidR="00E6142A" w:rsidRDefault="00C82AFF" w:rsidP="00611197">
      <w:pPr>
        <w:pStyle w:val="HEADING3A"/>
        <w:rPr>
          <w:color w:val="00000F"/>
        </w:rPr>
      </w:pPr>
      <w:r w:rsidRPr="00140DE1">
        <w:t>EVALUATION QUESTIONS</w:t>
      </w:r>
      <w:r w:rsidR="00FE713B" w:rsidRPr="00FE473A">
        <w:rPr>
          <w:color w:val="00000F"/>
        </w:rPr>
        <w:t xml:space="preserve"> </w:t>
      </w:r>
    </w:p>
    <w:p w14:paraId="333C9BCF" w14:textId="77777777" w:rsidR="005D1FFA" w:rsidRDefault="00807AD2" w:rsidP="005D1FFA">
      <w:pPr>
        <w:pStyle w:val="Bodycopy"/>
        <w:jc w:val="both"/>
        <w:rPr>
          <w:rFonts w:asciiTheme="majorHAnsi" w:hAnsiTheme="majorHAnsi" w:cstheme="majorHAnsi"/>
          <w:sz w:val="22"/>
          <w:szCs w:val="22"/>
        </w:rPr>
      </w:pPr>
      <w:r>
        <w:rPr>
          <w:rFonts w:asciiTheme="majorHAnsi" w:hAnsiTheme="majorHAnsi" w:cstheme="majorHAnsi"/>
          <w:sz w:val="22"/>
          <w:szCs w:val="22"/>
        </w:rPr>
        <w:t xml:space="preserve">1. </w:t>
      </w:r>
      <w:r w:rsidRPr="005D1FFA">
        <w:rPr>
          <w:rFonts w:asciiTheme="majorHAnsi" w:hAnsiTheme="majorHAnsi" w:cstheme="majorHAnsi"/>
          <w:sz w:val="22"/>
          <w:szCs w:val="22"/>
        </w:rPr>
        <w:t>To what extent are the sub programs supporting</w:t>
      </w:r>
      <w:r w:rsidR="005D1FFA" w:rsidRPr="005D1FFA">
        <w:rPr>
          <w:rFonts w:asciiTheme="majorHAnsi" w:hAnsiTheme="majorHAnsi" w:cstheme="majorHAnsi"/>
          <w:sz w:val="22"/>
          <w:szCs w:val="22"/>
        </w:rPr>
        <w:t xml:space="preserve"> </w:t>
      </w:r>
      <w:r w:rsidRPr="005D1FFA">
        <w:rPr>
          <w:rFonts w:asciiTheme="majorHAnsi" w:hAnsiTheme="majorHAnsi" w:cstheme="majorHAnsi"/>
          <w:sz w:val="22"/>
          <w:szCs w:val="22"/>
        </w:rPr>
        <w:t>achievement of the partnership’s end-of-program outcomes</w:t>
      </w:r>
      <w:r w:rsidR="005D1FFA" w:rsidRPr="005D1FFA">
        <w:rPr>
          <w:rFonts w:asciiTheme="majorHAnsi" w:hAnsiTheme="majorHAnsi" w:cstheme="majorHAnsi"/>
          <w:sz w:val="22"/>
          <w:szCs w:val="22"/>
        </w:rPr>
        <w:t>?</w:t>
      </w:r>
    </w:p>
    <w:p w14:paraId="37321D7B" w14:textId="77777777" w:rsidR="005D1FFA" w:rsidRPr="00B32F69" w:rsidRDefault="005D1FFA" w:rsidP="002D5E66">
      <w:pPr>
        <w:pStyle w:val="Bodycopy"/>
        <w:numPr>
          <w:ilvl w:val="0"/>
          <w:numId w:val="3"/>
        </w:numPr>
        <w:jc w:val="both"/>
        <w:rPr>
          <w:rFonts w:asciiTheme="majorHAnsi" w:hAnsiTheme="majorHAnsi" w:cstheme="majorHAnsi"/>
          <w:sz w:val="22"/>
          <w:szCs w:val="22"/>
        </w:rPr>
      </w:pPr>
      <w:r>
        <w:rPr>
          <w:rFonts w:asciiTheme="majorHAnsi" w:hAnsiTheme="majorHAnsi" w:cstheme="majorHAnsi"/>
          <w:sz w:val="22"/>
          <w:szCs w:val="22"/>
        </w:rPr>
        <w:t>How successful is the Partnership in influencing the integration of climate change and disaster resilience considerations in Australia’s aid investments?</w:t>
      </w:r>
    </w:p>
    <w:p w14:paraId="18A1C3E3" w14:textId="76D49FDC" w:rsidR="005D1FFA" w:rsidRPr="00756CD3" w:rsidRDefault="005D1FFA" w:rsidP="002D5E66">
      <w:pPr>
        <w:pStyle w:val="Bodycopy"/>
        <w:numPr>
          <w:ilvl w:val="0"/>
          <w:numId w:val="3"/>
        </w:numPr>
        <w:jc w:val="both"/>
        <w:rPr>
          <w:rFonts w:asciiTheme="majorHAnsi" w:hAnsiTheme="majorHAnsi" w:cstheme="majorHAnsi"/>
          <w:sz w:val="22"/>
          <w:szCs w:val="22"/>
        </w:rPr>
      </w:pPr>
      <w:r w:rsidRPr="00756CD3">
        <w:rPr>
          <w:rFonts w:asciiTheme="majorHAnsi" w:hAnsiTheme="majorHAnsi" w:cstheme="majorHAnsi"/>
          <w:sz w:val="22"/>
          <w:szCs w:val="22"/>
        </w:rPr>
        <w:t xml:space="preserve">To what extent is the integration of resilience within Australia’s aid investments helping </w:t>
      </w:r>
      <w:r w:rsidR="009B02DC" w:rsidRPr="00756CD3">
        <w:rPr>
          <w:rFonts w:asciiTheme="majorHAnsi" w:hAnsiTheme="majorHAnsi" w:cstheme="majorHAnsi"/>
          <w:sz w:val="22"/>
          <w:szCs w:val="22"/>
        </w:rPr>
        <w:t>Pacific Island</w:t>
      </w:r>
      <w:r w:rsidRPr="00756CD3">
        <w:rPr>
          <w:rFonts w:asciiTheme="majorHAnsi" w:hAnsiTheme="majorHAnsi" w:cstheme="majorHAnsi"/>
          <w:sz w:val="22"/>
          <w:szCs w:val="22"/>
        </w:rPr>
        <w:t xml:space="preserve"> countries to </w:t>
      </w:r>
      <w:proofErr w:type="gramStart"/>
      <w:r w:rsidRPr="00756CD3">
        <w:rPr>
          <w:rFonts w:asciiTheme="majorHAnsi" w:hAnsiTheme="majorHAnsi" w:cstheme="majorHAnsi"/>
          <w:sz w:val="22"/>
          <w:szCs w:val="22"/>
        </w:rPr>
        <w:t>take action</w:t>
      </w:r>
      <w:proofErr w:type="gramEnd"/>
      <w:r w:rsidRPr="00756CD3">
        <w:rPr>
          <w:rFonts w:asciiTheme="majorHAnsi" w:hAnsiTheme="majorHAnsi" w:cstheme="majorHAnsi"/>
          <w:sz w:val="22"/>
          <w:szCs w:val="22"/>
        </w:rPr>
        <w:t xml:space="preserve"> on climate change and disaster risk</w:t>
      </w:r>
      <w:r>
        <w:rPr>
          <w:rFonts w:asciiTheme="majorHAnsi" w:hAnsiTheme="majorHAnsi" w:cstheme="majorHAnsi"/>
          <w:sz w:val="22"/>
          <w:szCs w:val="22"/>
        </w:rPr>
        <w:t xml:space="preserve"> reduction</w:t>
      </w:r>
      <w:r w:rsidRPr="00756CD3">
        <w:rPr>
          <w:rFonts w:asciiTheme="majorHAnsi" w:hAnsiTheme="majorHAnsi" w:cstheme="majorHAnsi"/>
          <w:sz w:val="22"/>
          <w:szCs w:val="22"/>
        </w:rPr>
        <w:t>?</w:t>
      </w:r>
    </w:p>
    <w:p w14:paraId="10E4AAE4" w14:textId="77777777" w:rsidR="005D1FFA" w:rsidRPr="00756CD3" w:rsidRDefault="005D1FFA" w:rsidP="002D5E66">
      <w:pPr>
        <w:pStyle w:val="Bodycopy"/>
        <w:numPr>
          <w:ilvl w:val="0"/>
          <w:numId w:val="3"/>
        </w:numPr>
        <w:jc w:val="both"/>
        <w:rPr>
          <w:rFonts w:asciiTheme="majorHAnsi" w:hAnsiTheme="majorHAnsi" w:cstheme="majorHAnsi"/>
          <w:sz w:val="22"/>
          <w:szCs w:val="22"/>
        </w:rPr>
      </w:pPr>
      <w:r w:rsidRPr="00756CD3">
        <w:rPr>
          <w:rFonts w:asciiTheme="majorHAnsi" w:hAnsiTheme="majorHAnsi" w:cstheme="majorHAnsi"/>
          <w:sz w:val="22"/>
          <w:szCs w:val="22"/>
        </w:rPr>
        <w:t>To what extent is gender equality, disability access and social inclusion (including traditional knowledge) being addressed within the parameters of climate change and disaster risk reduction programming in Australia’s aid investments?</w:t>
      </w:r>
    </w:p>
    <w:p w14:paraId="2F7CB4FC" w14:textId="77777777" w:rsidR="005D1FFA" w:rsidRPr="00756CD3" w:rsidRDefault="005D1FFA" w:rsidP="002D5E66">
      <w:pPr>
        <w:pStyle w:val="Bodycopy"/>
        <w:numPr>
          <w:ilvl w:val="0"/>
          <w:numId w:val="3"/>
        </w:numPr>
        <w:jc w:val="both"/>
        <w:rPr>
          <w:rFonts w:asciiTheme="majorHAnsi" w:hAnsiTheme="majorHAnsi" w:cstheme="majorHAnsi"/>
          <w:sz w:val="22"/>
          <w:szCs w:val="22"/>
        </w:rPr>
      </w:pPr>
      <w:r w:rsidRPr="00756CD3">
        <w:rPr>
          <w:rFonts w:asciiTheme="majorHAnsi" w:hAnsiTheme="majorHAnsi" w:cstheme="majorHAnsi"/>
          <w:sz w:val="22"/>
          <w:szCs w:val="22"/>
        </w:rPr>
        <w:t>To what extent is information produced by the Partnership supporting Pacific decision makers to strengthen climate and disaster resilience?</w:t>
      </w:r>
    </w:p>
    <w:p w14:paraId="5E37FE50" w14:textId="77777777" w:rsidR="005D1FFA" w:rsidRDefault="005D1FFA" w:rsidP="002D5E66">
      <w:pPr>
        <w:pStyle w:val="Bodycopy"/>
        <w:numPr>
          <w:ilvl w:val="0"/>
          <w:numId w:val="3"/>
        </w:numPr>
        <w:jc w:val="both"/>
        <w:rPr>
          <w:rFonts w:asciiTheme="majorHAnsi" w:hAnsiTheme="majorHAnsi" w:cstheme="majorHAnsi"/>
          <w:sz w:val="22"/>
          <w:szCs w:val="22"/>
        </w:rPr>
      </w:pPr>
      <w:r w:rsidRPr="00B32F69">
        <w:rPr>
          <w:rFonts w:asciiTheme="majorHAnsi" w:hAnsiTheme="majorHAnsi" w:cstheme="majorHAnsi"/>
          <w:sz w:val="22"/>
          <w:szCs w:val="22"/>
        </w:rPr>
        <w:t>To what extent is the Partnership supporting DFAT to communicate Australia’s support for climate change action in the Pacific, and helping to influence Pacific perceptions of Australia as a valued partner on climate action?</w:t>
      </w:r>
    </w:p>
    <w:p w14:paraId="252429F1" w14:textId="77777777" w:rsidR="005D1FFA" w:rsidRPr="00B32F69" w:rsidRDefault="005D1FFA" w:rsidP="005D1FFA">
      <w:pPr>
        <w:pStyle w:val="Bodycopy"/>
        <w:ind w:left="720"/>
        <w:jc w:val="both"/>
        <w:rPr>
          <w:rFonts w:asciiTheme="majorHAnsi" w:hAnsiTheme="majorHAnsi" w:cstheme="majorHAnsi"/>
          <w:sz w:val="22"/>
          <w:szCs w:val="22"/>
        </w:rPr>
      </w:pPr>
    </w:p>
    <w:p w14:paraId="7769C516" w14:textId="77777777" w:rsidR="005D1FFA" w:rsidRPr="00C82AFF" w:rsidRDefault="005D1FFA" w:rsidP="00C82AFF">
      <w:pPr>
        <w:pStyle w:val="Bodycopy"/>
        <w:jc w:val="both"/>
        <w:rPr>
          <w:rFonts w:asciiTheme="majorHAnsi" w:hAnsiTheme="majorHAnsi" w:cstheme="majorHAnsi"/>
          <w:sz w:val="22"/>
          <w:szCs w:val="22"/>
        </w:rPr>
      </w:pPr>
      <w:r w:rsidRPr="00C82AFF">
        <w:rPr>
          <w:rFonts w:asciiTheme="majorHAnsi" w:hAnsiTheme="majorHAnsi" w:cstheme="majorHAnsi"/>
          <w:sz w:val="22"/>
          <w:szCs w:val="22"/>
        </w:rPr>
        <w:t xml:space="preserve">2. </w:t>
      </w:r>
      <w:r w:rsidR="00C82AFF" w:rsidRPr="00C82AFF">
        <w:rPr>
          <w:rFonts w:asciiTheme="majorHAnsi" w:hAnsiTheme="majorHAnsi" w:cstheme="majorHAnsi"/>
          <w:sz w:val="22"/>
          <w:szCs w:val="22"/>
        </w:rPr>
        <w:t>What</w:t>
      </w:r>
      <w:r w:rsidRPr="00C82AFF">
        <w:rPr>
          <w:rFonts w:asciiTheme="majorHAnsi" w:hAnsiTheme="majorHAnsi" w:cstheme="majorHAnsi"/>
          <w:sz w:val="22"/>
          <w:szCs w:val="22"/>
        </w:rPr>
        <w:t xml:space="preserve"> </w:t>
      </w:r>
      <w:r w:rsidR="00C82AFF" w:rsidRPr="00C82AFF">
        <w:rPr>
          <w:rFonts w:asciiTheme="majorHAnsi" w:hAnsiTheme="majorHAnsi" w:cstheme="majorHAnsi"/>
          <w:sz w:val="22"/>
          <w:szCs w:val="22"/>
        </w:rPr>
        <w:t xml:space="preserve">lessons have been learned about the relevance, </w:t>
      </w:r>
      <w:r w:rsidR="007A144E" w:rsidRPr="00C82AFF">
        <w:rPr>
          <w:rFonts w:asciiTheme="majorHAnsi" w:hAnsiTheme="majorHAnsi" w:cstheme="majorHAnsi"/>
          <w:sz w:val="22"/>
          <w:szCs w:val="22"/>
        </w:rPr>
        <w:t>efficiency,</w:t>
      </w:r>
      <w:r w:rsidR="00C82AFF" w:rsidRPr="00C82AFF">
        <w:rPr>
          <w:rFonts w:asciiTheme="majorHAnsi" w:hAnsiTheme="majorHAnsi" w:cstheme="majorHAnsi"/>
          <w:sz w:val="22"/>
          <w:szCs w:val="22"/>
        </w:rPr>
        <w:t xml:space="preserve"> and effectiveness of the partnership approach</w:t>
      </w:r>
      <w:r w:rsidRPr="00C82AFF">
        <w:rPr>
          <w:rFonts w:asciiTheme="majorHAnsi" w:hAnsiTheme="majorHAnsi" w:cstheme="majorHAnsi"/>
          <w:sz w:val="22"/>
          <w:szCs w:val="22"/>
        </w:rPr>
        <w:t xml:space="preserve">? </w:t>
      </w:r>
    </w:p>
    <w:p w14:paraId="2FBAC239" w14:textId="77777777" w:rsidR="005D1FFA" w:rsidRPr="00F33D15" w:rsidRDefault="005D1FFA" w:rsidP="002D5E66">
      <w:pPr>
        <w:pStyle w:val="Bodycopy"/>
        <w:numPr>
          <w:ilvl w:val="0"/>
          <w:numId w:val="4"/>
        </w:numPr>
        <w:jc w:val="both"/>
        <w:rPr>
          <w:rFonts w:asciiTheme="majorHAnsi" w:hAnsiTheme="majorHAnsi" w:cstheme="majorHAnsi"/>
          <w:sz w:val="22"/>
          <w:szCs w:val="22"/>
        </w:rPr>
      </w:pPr>
      <w:r w:rsidRPr="00F33D15">
        <w:rPr>
          <w:rFonts w:asciiTheme="majorHAnsi" w:hAnsiTheme="majorHAnsi" w:cstheme="majorHAnsi"/>
          <w:sz w:val="22"/>
          <w:szCs w:val="22"/>
        </w:rPr>
        <w:t>What cases illustrate strengths or significant results achieved by the Partnership, rather than the sub programs? What worked well (and for whom), what hasn’t worked well, and why?</w:t>
      </w:r>
    </w:p>
    <w:p w14:paraId="2AB9C778" w14:textId="77777777" w:rsidR="005D1FFA" w:rsidRPr="00F33D15" w:rsidRDefault="005D1FFA" w:rsidP="002D5E66">
      <w:pPr>
        <w:pStyle w:val="Bodycopy"/>
        <w:numPr>
          <w:ilvl w:val="0"/>
          <w:numId w:val="4"/>
        </w:numPr>
        <w:jc w:val="both"/>
        <w:rPr>
          <w:rFonts w:asciiTheme="majorHAnsi" w:hAnsiTheme="majorHAnsi" w:cstheme="majorHAnsi"/>
          <w:sz w:val="22"/>
          <w:szCs w:val="22"/>
        </w:rPr>
      </w:pPr>
      <w:r w:rsidRPr="00F33D15">
        <w:rPr>
          <w:rFonts w:asciiTheme="majorHAnsi" w:hAnsiTheme="majorHAnsi" w:cstheme="majorHAnsi"/>
          <w:sz w:val="22"/>
          <w:szCs w:val="22"/>
        </w:rPr>
        <w:t xml:space="preserve">Are the Monitoring, Evaluation and Learning arrangements of the Partnership fit for purpose? To what extent are these arrangements supporting DFAT’s priorities and information needs? </w:t>
      </w:r>
    </w:p>
    <w:p w14:paraId="34261A5D" w14:textId="77777777" w:rsidR="005D1FFA" w:rsidRPr="00F33D15" w:rsidRDefault="005D1FFA" w:rsidP="002D5E66">
      <w:pPr>
        <w:pStyle w:val="Bodycopy"/>
        <w:numPr>
          <w:ilvl w:val="0"/>
          <w:numId w:val="4"/>
        </w:numPr>
        <w:jc w:val="both"/>
        <w:rPr>
          <w:rFonts w:asciiTheme="majorHAnsi" w:hAnsiTheme="majorHAnsi" w:cstheme="majorHAnsi"/>
          <w:sz w:val="22"/>
          <w:szCs w:val="22"/>
        </w:rPr>
      </w:pPr>
      <w:r w:rsidRPr="00F33D15">
        <w:rPr>
          <w:rFonts w:asciiTheme="majorHAnsi" w:hAnsiTheme="majorHAnsi" w:cstheme="majorHAnsi"/>
          <w:sz w:val="22"/>
          <w:szCs w:val="22"/>
        </w:rPr>
        <w:t xml:space="preserve">What are the benefits of joining the three subprograms under the Partnership? What are the emerging strengths and weaknesses of this model? </w:t>
      </w:r>
      <w:r>
        <w:rPr>
          <w:rFonts w:asciiTheme="majorHAnsi" w:hAnsiTheme="majorHAnsi" w:cstheme="majorHAnsi"/>
          <w:sz w:val="22"/>
          <w:szCs w:val="22"/>
        </w:rPr>
        <w:t>Is this model still relevant?</w:t>
      </w:r>
    </w:p>
    <w:p w14:paraId="34CE3E79" w14:textId="77777777" w:rsidR="005D1FFA" w:rsidRPr="00F33D15" w:rsidRDefault="005D1FFA" w:rsidP="002D5E66">
      <w:pPr>
        <w:pStyle w:val="Bodycopy"/>
        <w:numPr>
          <w:ilvl w:val="0"/>
          <w:numId w:val="4"/>
        </w:numPr>
        <w:jc w:val="both"/>
        <w:rPr>
          <w:rFonts w:asciiTheme="majorHAnsi" w:hAnsiTheme="majorHAnsi" w:cstheme="majorHAnsi"/>
          <w:sz w:val="22"/>
          <w:szCs w:val="22"/>
        </w:rPr>
      </w:pPr>
      <w:r w:rsidRPr="00F33D15">
        <w:rPr>
          <w:rFonts w:asciiTheme="majorHAnsi" w:hAnsiTheme="majorHAnsi" w:cstheme="majorHAnsi"/>
          <w:sz w:val="22"/>
          <w:szCs w:val="22"/>
          <w:lang w:val="en-AU"/>
        </w:rPr>
        <w:t>How can the Partnership be more effective, efficient, relevant</w:t>
      </w:r>
      <w:r>
        <w:rPr>
          <w:rFonts w:asciiTheme="majorHAnsi" w:hAnsiTheme="majorHAnsi" w:cstheme="majorHAnsi"/>
          <w:sz w:val="22"/>
          <w:szCs w:val="22"/>
          <w:lang w:val="en-AU"/>
        </w:rPr>
        <w:t>,</w:t>
      </w:r>
      <w:r w:rsidRPr="00F33D15">
        <w:rPr>
          <w:rFonts w:asciiTheme="majorHAnsi" w:hAnsiTheme="majorHAnsi" w:cstheme="majorHAnsi"/>
          <w:sz w:val="22"/>
          <w:szCs w:val="22"/>
          <w:lang w:val="en-AU"/>
        </w:rPr>
        <w:t xml:space="preserve"> and sustainable moving forward?</w:t>
      </w:r>
    </w:p>
    <w:p w14:paraId="673F75E1" w14:textId="77777777" w:rsidR="00E27F76" w:rsidRPr="00611197" w:rsidRDefault="00E27F76" w:rsidP="00611197">
      <w:pPr>
        <w:pStyle w:val="Heading2A"/>
        <w:rPr>
          <w:rStyle w:val="Heading"/>
        </w:rPr>
      </w:pPr>
    </w:p>
    <w:p w14:paraId="089A3559" w14:textId="77777777" w:rsidR="00E27F76" w:rsidRPr="00611197" w:rsidRDefault="00E27F76" w:rsidP="00611197">
      <w:pPr>
        <w:pStyle w:val="Heading2A"/>
        <w:rPr>
          <w:rStyle w:val="Heading"/>
        </w:rPr>
      </w:pPr>
      <w:bookmarkStart w:id="14" w:name="_Toc72104075"/>
      <w:r w:rsidRPr="00611197">
        <w:rPr>
          <w:rStyle w:val="Heading"/>
        </w:rPr>
        <w:t>METHODOLOGY</w:t>
      </w:r>
      <w:bookmarkEnd w:id="14"/>
    </w:p>
    <w:p w14:paraId="1EFD4D6F" w14:textId="77777777" w:rsidR="00222B87" w:rsidRDefault="00222B87" w:rsidP="003111E7">
      <w:pPr>
        <w:suppressAutoHyphens/>
        <w:autoSpaceDE w:val="0"/>
        <w:autoSpaceDN w:val="0"/>
        <w:adjustRightInd w:val="0"/>
        <w:spacing w:line="288" w:lineRule="auto"/>
        <w:textAlignment w:val="center"/>
        <w:rPr>
          <w:rFonts w:asciiTheme="majorHAnsi" w:hAnsiTheme="majorHAnsi" w:cstheme="majorHAnsi"/>
          <w:color w:val="00000F"/>
          <w:sz w:val="22"/>
          <w:szCs w:val="22"/>
        </w:rPr>
      </w:pPr>
    </w:p>
    <w:p w14:paraId="76905457" w14:textId="77777777" w:rsidR="00910A41" w:rsidRDefault="00B70917" w:rsidP="003111E7">
      <w:pPr>
        <w:suppressAutoHyphens/>
        <w:autoSpaceDE w:val="0"/>
        <w:autoSpaceDN w:val="0"/>
        <w:adjustRightInd w:val="0"/>
        <w:spacing w:line="288" w:lineRule="auto"/>
        <w:textAlignment w:val="center"/>
        <w:rPr>
          <w:rFonts w:asciiTheme="majorHAnsi" w:hAnsiTheme="majorHAnsi" w:cstheme="majorHAnsi"/>
          <w:color w:val="00000F"/>
          <w:sz w:val="22"/>
          <w:szCs w:val="22"/>
        </w:rPr>
      </w:pPr>
      <w:r w:rsidRPr="00B70917">
        <w:rPr>
          <w:rFonts w:asciiTheme="majorHAnsi" w:hAnsiTheme="majorHAnsi" w:cstheme="majorHAnsi"/>
          <w:color w:val="00000F"/>
          <w:sz w:val="22"/>
          <w:szCs w:val="22"/>
        </w:rPr>
        <w:t xml:space="preserve">The </w:t>
      </w:r>
      <w:r w:rsidR="006B7350">
        <w:rPr>
          <w:rFonts w:asciiTheme="majorHAnsi" w:hAnsiTheme="majorHAnsi" w:cstheme="majorHAnsi"/>
          <w:color w:val="00000F"/>
          <w:sz w:val="22"/>
          <w:szCs w:val="22"/>
        </w:rPr>
        <w:t>review</w:t>
      </w:r>
      <w:r w:rsidRPr="00B70917">
        <w:rPr>
          <w:rFonts w:asciiTheme="majorHAnsi" w:hAnsiTheme="majorHAnsi" w:cstheme="majorHAnsi"/>
          <w:color w:val="00000F"/>
          <w:sz w:val="22"/>
          <w:szCs w:val="22"/>
        </w:rPr>
        <w:t xml:space="preserve"> was conducted by </w:t>
      </w:r>
      <w:r w:rsidR="00502285" w:rsidRPr="003111E7">
        <w:rPr>
          <w:rFonts w:asciiTheme="majorHAnsi" w:hAnsiTheme="majorHAnsi" w:cstheme="majorHAnsi"/>
          <w:color w:val="00000F"/>
          <w:sz w:val="22"/>
          <w:szCs w:val="22"/>
        </w:rPr>
        <w:t>two</w:t>
      </w:r>
      <w:r w:rsidRPr="00B70917">
        <w:rPr>
          <w:rFonts w:asciiTheme="majorHAnsi" w:hAnsiTheme="majorHAnsi" w:cstheme="majorHAnsi"/>
          <w:color w:val="00000F"/>
          <w:sz w:val="22"/>
          <w:szCs w:val="22"/>
        </w:rPr>
        <w:t xml:space="preserve"> independent consultants whose Terms of Reference </w:t>
      </w:r>
      <w:r w:rsidR="00AC60BD">
        <w:rPr>
          <w:rFonts w:asciiTheme="majorHAnsi" w:hAnsiTheme="majorHAnsi" w:cstheme="majorHAnsi"/>
          <w:color w:val="00000F"/>
          <w:sz w:val="22"/>
          <w:szCs w:val="22"/>
        </w:rPr>
        <w:t>are</w:t>
      </w:r>
      <w:r w:rsidR="00AC60BD" w:rsidRPr="00B70917">
        <w:rPr>
          <w:rFonts w:asciiTheme="majorHAnsi" w:hAnsiTheme="majorHAnsi" w:cstheme="majorHAnsi"/>
          <w:color w:val="00000F"/>
          <w:sz w:val="22"/>
          <w:szCs w:val="22"/>
        </w:rPr>
        <w:t xml:space="preserve"> </w:t>
      </w:r>
      <w:r w:rsidRPr="00B70917">
        <w:rPr>
          <w:rFonts w:asciiTheme="majorHAnsi" w:hAnsiTheme="majorHAnsi" w:cstheme="majorHAnsi"/>
          <w:color w:val="00000F"/>
          <w:sz w:val="22"/>
          <w:szCs w:val="22"/>
        </w:rPr>
        <w:t xml:space="preserve">set out in Annex 1.  </w:t>
      </w:r>
    </w:p>
    <w:p w14:paraId="1A009694" w14:textId="77777777" w:rsidR="00210389" w:rsidRDefault="00210389" w:rsidP="00B70917">
      <w:pPr>
        <w:pStyle w:val="Subheading"/>
        <w:outlineLvl w:val="0"/>
        <w:rPr>
          <w:rFonts w:asciiTheme="majorHAnsi" w:hAnsiTheme="majorHAnsi" w:cstheme="majorHAnsi"/>
        </w:rPr>
      </w:pPr>
      <w:bookmarkStart w:id="15" w:name="_Toc56189446"/>
    </w:p>
    <w:p w14:paraId="239D60BE" w14:textId="77777777" w:rsidR="00B70917" w:rsidRPr="00314D9B" w:rsidRDefault="00B70917" w:rsidP="00611197">
      <w:pPr>
        <w:pStyle w:val="HEADING3A"/>
      </w:pPr>
      <w:r w:rsidRPr="00314D9B">
        <w:t>Approach to Data Collection</w:t>
      </w:r>
      <w:bookmarkEnd w:id="15"/>
    </w:p>
    <w:p w14:paraId="67951C9B" w14:textId="77777777" w:rsidR="00B70917" w:rsidRDefault="00B70917" w:rsidP="717C916D">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717C916D">
        <w:rPr>
          <w:rFonts w:asciiTheme="majorHAnsi" w:hAnsiTheme="majorHAnsi" w:cstheme="majorBidi"/>
          <w:color w:val="00000F"/>
          <w:sz w:val="22"/>
          <w:szCs w:val="22"/>
        </w:rPr>
        <w:t xml:space="preserve">To answer the evaluation questions, the methodology featured a mixed-methods approach involving: review of project documentation and other relevant policy and aid program documents from the Pacific region; </w:t>
      </w:r>
      <w:r w:rsidR="005C42F6" w:rsidRPr="717C916D">
        <w:rPr>
          <w:rFonts w:asciiTheme="majorHAnsi" w:hAnsiTheme="majorHAnsi" w:cstheme="majorBidi"/>
          <w:color w:val="00000F"/>
          <w:sz w:val="22"/>
          <w:szCs w:val="22"/>
        </w:rPr>
        <w:t>35</w:t>
      </w:r>
      <w:r w:rsidRPr="717C916D">
        <w:rPr>
          <w:rFonts w:asciiTheme="majorHAnsi" w:hAnsiTheme="majorHAnsi" w:cstheme="majorBidi"/>
          <w:color w:val="00000F"/>
          <w:sz w:val="22"/>
          <w:szCs w:val="22"/>
        </w:rPr>
        <w:t xml:space="preserve"> semi-structured interviews with project</w:t>
      </w:r>
      <w:r w:rsidR="003A230C" w:rsidRPr="717C916D">
        <w:rPr>
          <w:rFonts w:asciiTheme="majorHAnsi" w:hAnsiTheme="majorHAnsi" w:cstheme="majorBidi"/>
          <w:color w:val="00000F"/>
          <w:sz w:val="22"/>
          <w:szCs w:val="22"/>
        </w:rPr>
        <w:t xml:space="preserve"> partners and</w:t>
      </w:r>
      <w:r w:rsidRPr="717C916D">
        <w:rPr>
          <w:rFonts w:asciiTheme="majorHAnsi" w:hAnsiTheme="majorHAnsi" w:cstheme="majorBidi"/>
          <w:color w:val="00000F"/>
          <w:sz w:val="22"/>
          <w:szCs w:val="22"/>
        </w:rPr>
        <w:t xml:space="preserve"> stakeholders conducted </w:t>
      </w:r>
      <w:r w:rsidR="003A230C" w:rsidRPr="717C916D">
        <w:rPr>
          <w:rFonts w:asciiTheme="majorHAnsi" w:hAnsiTheme="majorHAnsi" w:cstheme="majorBidi"/>
          <w:color w:val="00000F"/>
          <w:sz w:val="22"/>
          <w:szCs w:val="22"/>
        </w:rPr>
        <w:t>via</w:t>
      </w:r>
      <w:r w:rsidR="004D747D" w:rsidRPr="717C916D">
        <w:rPr>
          <w:rFonts w:asciiTheme="majorHAnsi" w:hAnsiTheme="majorHAnsi" w:cstheme="majorBidi"/>
          <w:color w:val="00000F"/>
          <w:sz w:val="22"/>
          <w:szCs w:val="22"/>
        </w:rPr>
        <w:t xml:space="preserve"> videoconferencing</w:t>
      </w:r>
      <w:r w:rsidRPr="717C916D">
        <w:rPr>
          <w:rFonts w:asciiTheme="majorHAnsi" w:hAnsiTheme="majorHAnsi" w:cstheme="majorBidi"/>
          <w:color w:val="00000F"/>
          <w:sz w:val="22"/>
          <w:szCs w:val="22"/>
        </w:rPr>
        <w:t xml:space="preserve">; and validation meetings/communications to test findings and clarify details with select stakeholders. </w:t>
      </w:r>
    </w:p>
    <w:p w14:paraId="5E77605E" w14:textId="77777777" w:rsidR="006B7350" w:rsidRPr="00B70917" w:rsidRDefault="006B7350" w:rsidP="00910A41">
      <w:pPr>
        <w:suppressAutoHyphens/>
        <w:autoSpaceDE w:val="0"/>
        <w:autoSpaceDN w:val="0"/>
        <w:adjustRightInd w:val="0"/>
        <w:spacing w:line="288" w:lineRule="auto"/>
        <w:textAlignment w:val="center"/>
        <w:rPr>
          <w:rFonts w:asciiTheme="majorHAnsi" w:hAnsiTheme="majorHAnsi" w:cstheme="majorHAnsi"/>
          <w:color w:val="00000F"/>
          <w:sz w:val="22"/>
          <w:szCs w:val="22"/>
        </w:rPr>
      </w:pPr>
    </w:p>
    <w:p w14:paraId="24B8CBDE" w14:textId="77777777" w:rsidR="00B70917" w:rsidRPr="00314D9B" w:rsidRDefault="00B70917" w:rsidP="00611197">
      <w:pPr>
        <w:pStyle w:val="HEADING3A"/>
      </w:pPr>
      <w:bookmarkStart w:id="16" w:name="_Toc56189447"/>
      <w:r w:rsidRPr="00314D9B">
        <w:t>Limitations and Reliability of the Data Obtained</w:t>
      </w:r>
      <w:bookmarkEnd w:id="16"/>
    </w:p>
    <w:p w14:paraId="6071D5B1" w14:textId="72C322E2" w:rsidR="00B70917" w:rsidRPr="00222B87" w:rsidRDefault="00B70917" w:rsidP="006B7350">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B70917">
        <w:rPr>
          <w:rFonts w:asciiTheme="majorHAnsi" w:hAnsiTheme="majorHAnsi" w:cstheme="majorHAnsi"/>
          <w:color w:val="00000F"/>
          <w:sz w:val="22"/>
          <w:szCs w:val="22"/>
        </w:rPr>
        <w:t xml:space="preserve">The main limitations of the data collected are: (1) the </w:t>
      </w:r>
      <w:r w:rsidR="00B170F6">
        <w:rPr>
          <w:rFonts w:asciiTheme="majorHAnsi" w:hAnsiTheme="majorHAnsi" w:cstheme="majorHAnsi"/>
          <w:color w:val="00000F"/>
          <w:sz w:val="22"/>
          <w:szCs w:val="22"/>
        </w:rPr>
        <w:t>review team</w:t>
      </w:r>
      <w:r w:rsidRPr="00B70917">
        <w:rPr>
          <w:rFonts w:asciiTheme="majorHAnsi" w:hAnsiTheme="majorHAnsi" w:cstheme="majorHAnsi"/>
          <w:color w:val="00000F"/>
          <w:sz w:val="22"/>
          <w:szCs w:val="22"/>
        </w:rPr>
        <w:t xml:space="preserve"> </w:t>
      </w:r>
      <w:r w:rsidR="00B170F6">
        <w:rPr>
          <w:rFonts w:asciiTheme="majorHAnsi" w:hAnsiTheme="majorHAnsi" w:cstheme="majorHAnsi"/>
          <w:color w:val="00000F"/>
          <w:sz w:val="22"/>
          <w:szCs w:val="22"/>
        </w:rPr>
        <w:t>was</w:t>
      </w:r>
      <w:r w:rsidRPr="00B70917">
        <w:rPr>
          <w:rFonts w:asciiTheme="majorHAnsi" w:hAnsiTheme="majorHAnsi" w:cstheme="majorHAnsi"/>
          <w:color w:val="00000F"/>
          <w:sz w:val="22"/>
          <w:szCs w:val="22"/>
        </w:rPr>
        <w:t xml:space="preserve"> only able to interview </w:t>
      </w:r>
      <w:r w:rsidR="00145FBC" w:rsidRPr="00222B87">
        <w:rPr>
          <w:rFonts w:asciiTheme="majorHAnsi" w:hAnsiTheme="majorHAnsi" w:cstheme="majorHAnsi"/>
          <w:color w:val="00000F"/>
          <w:sz w:val="22"/>
          <w:szCs w:val="22"/>
        </w:rPr>
        <w:t xml:space="preserve">a limited number of </w:t>
      </w:r>
      <w:r w:rsidRPr="00B70917">
        <w:rPr>
          <w:rFonts w:asciiTheme="majorHAnsi" w:hAnsiTheme="majorHAnsi" w:cstheme="majorHAnsi"/>
          <w:color w:val="00000F"/>
          <w:sz w:val="22"/>
          <w:szCs w:val="22"/>
        </w:rPr>
        <w:t xml:space="preserve">representatives </w:t>
      </w:r>
      <w:r w:rsidR="00EE0496" w:rsidRPr="00222B87">
        <w:rPr>
          <w:rFonts w:asciiTheme="majorHAnsi" w:hAnsiTheme="majorHAnsi" w:cstheme="majorHAnsi"/>
          <w:color w:val="00000F"/>
          <w:sz w:val="22"/>
          <w:szCs w:val="22"/>
        </w:rPr>
        <w:t xml:space="preserve">from Pacific Island Countries (mainly through regional organisations), although </w:t>
      </w:r>
      <w:r w:rsidR="005B2C2A" w:rsidRPr="00222B87">
        <w:rPr>
          <w:rFonts w:asciiTheme="majorHAnsi" w:hAnsiTheme="majorHAnsi" w:cstheme="majorHAnsi"/>
          <w:color w:val="00000F"/>
          <w:sz w:val="22"/>
          <w:szCs w:val="22"/>
        </w:rPr>
        <w:t xml:space="preserve">a greater number of </w:t>
      </w:r>
      <w:r w:rsidR="00EE0496" w:rsidRPr="00222B87">
        <w:rPr>
          <w:rFonts w:asciiTheme="majorHAnsi" w:hAnsiTheme="majorHAnsi" w:cstheme="majorHAnsi"/>
          <w:color w:val="00000F"/>
          <w:sz w:val="22"/>
          <w:szCs w:val="22"/>
        </w:rPr>
        <w:t>governm</w:t>
      </w:r>
      <w:r w:rsidR="005B2C2A" w:rsidRPr="00222B87">
        <w:rPr>
          <w:rFonts w:asciiTheme="majorHAnsi" w:hAnsiTheme="majorHAnsi" w:cstheme="majorHAnsi"/>
          <w:color w:val="00000F"/>
          <w:sz w:val="22"/>
          <w:szCs w:val="22"/>
        </w:rPr>
        <w:t>e</w:t>
      </w:r>
      <w:r w:rsidR="00EE0496" w:rsidRPr="00222B87">
        <w:rPr>
          <w:rFonts w:asciiTheme="majorHAnsi" w:hAnsiTheme="majorHAnsi" w:cstheme="majorHAnsi"/>
          <w:color w:val="00000F"/>
          <w:sz w:val="22"/>
          <w:szCs w:val="22"/>
        </w:rPr>
        <w:t>nt</w:t>
      </w:r>
      <w:r w:rsidRPr="00B70917">
        <w:rPr>
          <w:rFonts w:asciiTheme="majorHAnsi" w:hAnsiTheme="majorHAnsi" w:cstheme="majorHAnsi"/>
          <w:color w:val="00000F"/>
          <w:sz w:val="22"/>
          <w:szCs w:val="22"/>
        </w:rPr>
        <w:t xml:space="preserve"> representatives were invited to participate; (2) </w:t>
      </w:r>
      <w:r w:rsidR="00FA38BB" w:rsidRPr="00222B87">
        <w:rPr>
          <w:rFonts w:asciiTheme="majorHAnsi" w:hAnsiTheme="majorHAnsi" w:cstheme="majorHAnsi"/>
          <w:color w:val="00000F"/>
          <w:sz w:val="22"/>
          <w:szCs w:val="22"/>
        </w:rPr>
        <w:t xml:space="preserve">the lack of in-country consultations </w:t>
      </w:r>
      <w:r w:rsidR="00EB73C1">
        <w:rPr>
          <w:rFonts w:asciiTheme="majorHAnsi" w:hAnsiTheme="majorHAnsi" w:cstheme="majorHAnsi"/>
          <w:color w:val="00000F"/>
          <w:sz w:val="22"/>
          <w:szCs w:val="22"/>
        </w:rPr>
        <w:t>(</w:t>
      </w:r>
      <w:r w:rsidR="00E86ADF" w:rsidRPr="00B70917">
        <w:rPr>
          <w:rFonts w:asciiTheme="majorHAnsi" w:hAnsiTheme="majorHAnsi" w:cstheme="majorHAnsi"/>
          <w:color w:val="00000F"/>
          <w:sz w:val="22"/>
          <w:szCs w:val="22"/>
        </w:rPr>
        <w:t>due to the COVID-19 pandemic</w:t>
      </w:r>
      <w:r w:rsidR="00EB73C1">
        <w:rPr>
          <w:rFonts w:asciiTheme="majorHAnsi" w:hAnsiTheme="majorHAnsi" w:cstheme="majorHAnsi"/>
          <w:color w:val="00000F"/>
          <w:sz w:val="22"/>
          <w:szCs w:val="22"/>
        </w:rPr>
        <w:t>)</w:t>
      </w:r>
      <w:r w:rsidR="00E86ADF" w:rsidRPr="00222B87">
        <w:rPr>
          <w:rFonts w:asciiTheme="majorHAnsi" w:hAnsiTheme="majorHAnsi" w:cstheme="majorHAnsi"/>
          <w:color w:val="00000F"/>
          <w:sz w:val="22"/>
          <w:szCs w:val="22"/>
        </w:rPr>
        <w:t xml:space="preserve"> </w:t>
      </w:r>
      <w:r w:rsidR="00FA38BB" w:rsidRPr="00222B87">
        <w:rPr>
          <w:rFonts w:asciiTheme="majorHAnsi" w:hAnsiTheme="majorHAnsi" w:cstheme="majorHAnsi"/>
          <w:color w:val="00000F"/>
          <w:sz w:val="22"/>
          <w:szCs w:val="22"/>
        </w:rPr>
        <w:t>limited the information able to be collected from local stakeholders</w:t>
      </w:r>
      <w:r w:rsidR="000E3932">
        <w:rPr>
          <w:rFonts w:asciiTheme="majorHAnsi" w:hAnsiTheme="majorHAnsi" w:cstheme="majorHAnsi"/>
          <w:color w:val="00000F"/>
          <w:sz w:val="22"/>
          <w:szCs w:val="22"/>
        </w:rPr>
        <w:t xml:space="preserve">; (3) </w:t>
      </w:r>
      <w:r w:rsidR="000E3932" w:rsidRPr="00F369E1">
        <w:rPr>
          <w:rFonts w:asciiTheme="majorHAnsi" w:hAnsiTheme="majorHAnsi" w:cstheme="majorHAnsi"/>
          <w:color w:val="00000F"/>
          <w:sz w:val="22"/>
          <w:szCs w:val="22"/>
        </w:rPr>
        <w:t xml:space="preserve">Gaps in quantitative and qualitative data to support assessments of progress towards the </w:t>
      </w:r>
      <w:r w:rsidR="000E3932">
        <w:rPr>
          <w:rFonts w:asciiTheme="majorHAnsi" w:hAnsiTheme="majorHAnsi" w:cstheme="majorHAnsi"/>
          <w:color w:val="00000F"/>
          <w:sz w:val="22"/>
          <w:szCs w:val="22"/>
        </w:rPr>
        <w:t>outcomes</w:t>
      </w:r>
      <w:r w:rsidRPr="00B70917">
        <w:rPr>
          <w:rFonts w:asciiTheme="majorHAnsi" w:hAnsiTheme="majorHAnsi" w:cstheme="majorHAnsi"/>
          <w:color w:val="00000F"/>
          <w:sz w:val="22"/>
          <w:szCs w:val="22"/>
        </w:rPr>
        <w:t>.</w:t>
      </w:r>
    </w:p>
    <w:p w14:paraId="0A1FE389" w14:textId="77777777" w:rsidR="006B7350" w:rsidRDefault="006B7350" w:rsidP="00B70917">
      <w:pPr>
        <w:pStyle w:val="Subheading"/>
        <w:outlineLvl w:val="0"/>
        <w:rPr>
          <w:rFonts w:asciiTheme="majorHAnsi" w:hAnsiTheme="majorHAnsi" w:cstheme="majorHAnsi"/>
        </w:rPr>
      </w:pPr>
      <w:bookmarkStart w:id="17" w:name="_Toc56189448"/>
    </w:p>
    <w:p w14:paraId="0468B865" w14:textId="77777777" w:rsidR="00B70917" w:rsidRPr="00314D9B" w:rsidRDefault="00B70917" w:rsidP="00611197">
      <w:pPr>
        <w:pStyle w:val="HEADING3A"/>
      </w:pPr>
      <w:r w:rsidRPr="00314D9B">
        <w:t>Ethical Considerations</w:t>
      </w:r>
      <w:bookmarkEnd w:id="17"/>
    </w:p>
    <w:p w14:paraId="4076A1F4" w14:textId="77777777" w:rsidR="00B70917" w:rsidRPr="00B70917" w:rsidRDefault="00B70917" w:rsidP="006B7350">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B70917">
        <w:rPr>
          <w:rFonts w:asciiTheme="majorHAnsi" w:hAnsiTheme="majorHAnsi" w:cstheme="majorHAnsi"/>
          <w:color w:val="00000F"/>
          <w:sz w:val="22"/>
          <w:szCs w:val="22"/>
        </w:rPr>
        <w:t xml:space="preserve">The </w:t>
      </w:r>
      <w:r w:rsidR="0011424D">
        <w:rPr>
          <w:rFonts w:asciiTheme="majorHAnsi" w:hAnsiTheme="majorHAnsi" w:cstheme="majorHAnsi"/>
          <w:color w:val="00000F"/>
          <w:sz w:val="22"/>
          <w:szCs w:val="22"/>
        </w:rPr>
        <w:t>review team</w:t>
      </w:r>
      <w:r w:rsidRPr="00B70917">
        <w:rPr>
          <w:rFonts w:asciiTheme="majorHAnsi" w:hAnsiTheme="majorHAnsi" w:cstheme="majorHAnsi"/>
          <w:color w:val="00000F"/>
          <w:sz w:val="22"/>
          <w:szCs w:val="22"/>
        </w:rPr>
        <w:t xml:space="preserve"> started each interview with a clear description of the purposes of the evaluation and </w:t>
      </w:r>
      <w:r w:rsidR="00E76A55">
        <w:rPr>
          <w:rFonts w:asciiTheme="majorHAnsi" w:hAnsiTheme="majorHAnsi" w:cstheme="majorHAnsi"/>
          <w:color w:val="00000F"/>
          <w:sz w:val="22"/>
          <w:szCs w:val="22"/>
        </w:rPr>
        <w:t xml:space="preserve">noted that </w:t>
      </w:r>
      <w:r w:rsidRPr="00B70917">
        <w:rPr>
          <w:rFonts w:asciiTheme="majorHAnsi" w:hAnsiTheme="majorHAnsi" w:cstheme="majorHAnsi"/>
          <w:color w:val="00000F"/>
          <w:sz w:val="22"/>
          <w:szCs w:val="22"/>
        </w:rPr>
        <w:t xml:space="preserve">participation was voluntary. The </w:t>
      </w:r>
      <w:r w:rsidR="0011424D">
        <w:rPr>
          <w:rFonts w:asciiTheme="majorHAnsi" w:hAnsiTheme="majorHAnsi" w:cstheme="majorHAnsi"/>
          <w:color w:val="00000F"/>
          <w:sz w:val="22"/>
          <w:szCs w:val="22"/>
        </w:rPr>
        <w:t>review team</w:t>
      </w:r>
      <w:r w:rsidRPr="00B70917">
        <w:rPr>
          <w:rFonts w:asciiTheme="majorHAnsi" w:hAnsiTheme="majorHAnsi" w:cstheme="majorHAnsi"/>
          <w:color w:val="00000F"/>
          <w:sz w:val="22"/>
          <w:szCs w:val="22"/>
        </w:rPr>
        <w:t xml:space="preserve"> emphasised that information provided would be treated confidentially, and that there would be no direct attribution of views to any individual. Attribution of information shared by specific countries was also minimised. Given that most stakeholders were very open about their views and were prepared to provide a critical assessment of the project, the </w:t>
      </w:r>
      <w:r w:rsidR="00F95FE4">
        <w:rPr>
          <w:rFonts w:asciiTheme="majorHAnsi" w:hAnsiTheme="majorHAnsi" w:cstheme="majorHAnsi"/>
          <w:color w:val="00000F"/>
          <w:sz w:val="22"/>
          <w:szCs w:val="22"/>
        </w:rPr>
        <w:t>review team</w:t>
      </w:r>
      <w:r w:rsidRPr="00B70917">
        <w:rPr>
          <w:rFonts w:asciiTheme="majorHAnsi" w:hAnsiTheme="majorHAnsi" w:cstheme="majorHAnsi"/>
          <w:color w:val="00000F"/>
          <w:sz w:val="22"/>
          <w:szCs w:val="22"/>
        </w:rPr>
        <w:t xml:space="preserve"> consider that this approach was successful.</w:t>
      </w:r>
    </w:p>
    <w:p w14:paraId="23D89F76" w14:textId="77777777" w:rsidR="008A2D52" w:rsidRDefault="008A2D52">
      <w:pPr>
        <w:rPr>
          <w:rFonts w:asciiTheme="majorHAnsi" w:hAnsiTheme="majorHAnsi" w:cstheme="majorHAnsi"/>
          <w:b/>
          <w:color w:val="0E1428"/>
          <w:spacing w:val="120"/>
          <w:sz w:val="52"/>
          <w:szCs w:val="52"/>
        </w:rPr>
      </w:pPr>
      <w:bookmarkStart w:id="18" w:name="_Toc72104076"/>
      <w:bookmarkEnd w:id="11"/>
      <w:bookmarkEnd w:id="12"/>
      <w:r>
        <w:rPr>
          <w:rFonts w:asciiTheme="majorHAnsi" w:hAnsiTheme="majorHAnsi" w:cstheme="majorHAnsi"/>
          <w:b/>
          <w:color w:val="0E1428"/>
          <w:spacing w:val="120"/>
          <w:sz w:val="52"/>
          <w:szCs w:val="52"/>
        </w:rPr>
        <w:br w:type="page"/>
      </w:r>
    </w:p>
    <w:p w14:paraId="486A2964" w14:textId="77777777" w:rsidR="00FB2C3C" w:rsidRPr="00611197" w:rsidRDefault="00736A50" w:rsidP="00611197">
      <w:pPr>
        <w:pStyle w:val="Heading2A"/>
        <w:rPr>
          <w:rStyle w:val="Heading"/>
        </w:rPr>
      </w:pPr>
      <w:r w:rsidRPr="00611197">
        <w:rPr>
          <w:rStyle w:val="Heading"/>
        </w:rPr>
        <w:t>KEY FINDINGS</w:t>
      </w:r>
      <w:bookmarkEnd w:id="18"/>
    </w:p>
    <w:p w14:paraId="2BC2ABA9" w14:textId="77777777" w:rsidR="00FB2C3C" w:rsidRPr="00876E35" w:rsidRDefault="00FB2C3C" w:rsidP="00FB2C3C">
      <w:pPr>
        <w:suppressAutoHyphens/>
        <w:autoSpaceDE w:val="0"/>
        <w:autoSpaceDN w:val="0"/>
        <w:adjustRightInd w:val="0"/>
        <w:spacing w:line="288" w:lineRule="auto"/>
        <w:textAlignment w:val="center"/>
        <w:rPr>
          <w:rFonts w:asciiTheme="majorHAnsi" w:hAnsiTheme="majorHAnsi" w:cstheme="majorHAnsi"/>
          <w:color w:val="00000F"/>
          <w:sz w:val="22"/>
          <w:szCs w:val="22"/>
          <w:lang w:val="en-US"/>
        </w:rPr>
      </w:pPr>
    </w:p>
    <w:p w14:paraId="66402D10" w14:textId="77777777" w:rsidR="00A00532" w:rsidRDefault="00A00532" w:rsidP="00A0053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A00532">
        <w:rPr>
          <w:rFonts w:asciiTheme="majorHAnsi" w:hAnsiTheme="majorHAnsi" w:cstheme="majorHAnsi"/>
          <w:color w:val="00000F"/>
          <w:sz w:val="22"/>
          <w:szCs w:val="22"/>
        </w:rPr>
        <w:t xml:space="preserve">During the </w:t>
      </w:r>
      <w:r>
        <w:rPr>
          <w:rFonts w:asciiTheme="majorHAnsi" w:hAnsiTheme="majorHAnsi" w:cstheme="majorHAnsi"/>
          <w:color w:val="00000F"/>
          <w:sz w:val="22"/>
          <w:szCs w:val="22"/>
        </w:rPr>
        <w:t>review consultations</w:t>
      </w:r>
      <w:r w:rsidRPr="00A00532">
        <w:rPr>
          <w:rFonts w:asciiTheme="majorHAnsi" w:hAnsiTheme="majorHAnsi" w:cstheme="majorHAnsi"/>
          <w:color w:val="00000F"/>
          <w:sz w:val="22"/>
          <w:szCs w:val="22"/>
        </w:rPr>
        <w:t xml:space="preserve">, stakeholders were asked about the relevance of the project to the needs of PICs, and whether there are any new issues, challenges or priorities that have emerged over the past three years that any future support should consider. </w:t>
      </w:r>
      <w:r w:rsidRPr="00684E2B">
        <w:rPr>
          <w:rFonts w:asciiTheme="majorHAnsi" w:hAnsiTheme="majorHAnsi" w:cstheme="majorHAnsi"/>
          <w:color w:val="00000F"/>
          <w:sz w:val="22"/>
          <w:szCs w:val="22"/>
        </w:rPr>
        <w:t>Their responses show universal agreement that the</w:t>
      </w:r>
      <w:r w:rsidR="00B92306" w:rsidRPr="00684E2B">
        <w:rPr>
          <w:rFonts w:asciiTheme="majorHAnsi" w:hAnsiTheme="majorHAnsi" w:cstheme="majorHAnsi"/>
          <w:color w:val="00000F"/>
          <w:sz w:val="22"/>
          <w:szCs w:val="22"/>
        </w:rPr>
        <w:t xml:space="preserve"> Partnership (often </w:t>
      </w:r>
      <w:r w:rsidR="00EA6679" w:rsidRPr="00684E2B">
        <w:rPr>
          <w:rFonts w:asciiTheme="majorHAnsi" w:hAnsiTheme="majorHAnsi" w:cstheme="majorHAnsi"/>
          <w:color w:val="00000F"/>
          <w:sz w:val="22"/>
          <w:szCs w:val="22"/>
        </w:rPr>
        <w:t xml:space="preserve">construed as the Support Unit) </w:t>
      </w:r>
      <w:r w:rsidRPr="00684E2B">
        <w:rPr>
          <w:rFonts w:asciiTheme="majorHAnsi" w:hAnsiTheme="majorHAnsi" w:cstheme="majorHAnsi"/>
          <w:color w:val="00000F"/>
          <w:sz w:val="22"/>
          <w:szCs w:val="22"/>
        </w:rPr>
        <w:t xml:space="preserve">is highly relevant to the needs of </w:t>
      </w:r>
      <w:r w:rsidR="00EA6679" w:rsidRPr="00684E2B">
        <w:rPr>
          <w:rFonts w:asciiTheme="majorHAnsi" w:hAnsiTheme="majorHAnsi" w:cstheme="majorHAnsi"/>
          <w:color w:val="00000F"/>
          <w:sz w:val="22"/>
          <w:szCs w:val="22"/>
        </w:rPr>
        <w:t>the region</w:t>
      </w:r>
      <w:r w:rsidRPr="00684E2B">
        <w:rPr>
          <w:rFonts w:asciiTheme="majorHAnsi" w:hAnsiTheme="majorHAnsi" w:cstheme="majorHAnsi"/>
          <w:color w:val="00000F"/>
          <w:sz w:val="22"/>
          <w:szCs w:val="22"/>
        </w:rPr>
        <w:t> and there is a clear rationale for continued Australian investment. Over the course of the investment, climate change, the COVID-19 pandemic, and </w:t>
      </w:r>
      <w:r w:rsidR="00AB2877">
        <w:rPr>
          <w:rFonts w:asciiTheme="majorHAnsi" w:hAnsiTheme="majorHAnsi" w:cstheme="majorHAnsi"/>
          <w:color w:val="00000F"/>
          <w:sz w:val="22"/>
          <w:szCs w:val="22"/>
        </w:rPr>
        <w:t xml:space="preserve">other </w:t>
      </w:r>
      <w:r w:rsidR="00BA0C6A">
        <w:rPr>
          <w:rFonts w:asciiTheme="majorHAnsi" w:hAnsiTheme="majorHAnsi" w:cstheme="majorHAnsi"/>
          <w:color w:val="00000F"/>
          <w:sz w:val="22"/>
          <w:szCs w:val="22"/>
        </w:rPr>
        <w:t>contextual</w:t>
      </w:r>
      <w:r w:rsidR="00835F82" w:rsidRPr="00684E2B">
        <w:rPr>
          <w:rFonts w:asciiTheme="majorHAnsi" w:hAnsiTheme="majorHAnsi" w:cstheme="majorHAnsi"/>
          <w:color w:val="00000F"/>
          <w:sz w:val="22"/>
          <w:szCs w:val="22"/>
        </w:rPr>
        <w:t xml:space="preserve"> </w:t>
      </w:r>
      <w:r w:rsidRPr="00684E2B">
        <w:rPr>
          <w:rFonts w:asciiTheme="majorHAnsi" w:hAnsiTheme="majorHAnsi" w:cstheme="majorHAnsi"/>
          <w:color w:val="00000F"/>
          <w:sz w:val="22"/>
          <w:szCs w:val="22"/>
        </w:rPr>
        <w:t>impediments to the completion of outstanding work have emerged as key challenges prompting a shift in ways of working.</w:t>
      </w:r>
      <w:r w:rsidRPr="00A00532">
        <w:rPr>
          <w:rFonts w:asciiTheme="majorHAnsi" w:hAnsiTheme="majorHAnsi" w:cstheme="majorHAnsi"/>
          <w:color w:val="00000F"/>
          <w:sz w:val="22"/>
          <w:szCs w:val="22"/>
        </w:rPr>
        <w:t> </w:t>
      </w:r>
    </w:p>
    <w:p w14:paraId="470DA145" w14:textId="77777777" w:rsidR="00EA6679" w:rsidRPr="00A00532" w:rsidRDefault="00EA6679" w:rsidP="00A0053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70F0A177" w14:textId="77777777" w:rsidR="00A00532" w:rsidRDefault="00A00532" w:rsidP="00A00532">
      <w:pPr>
        <w:suppressAutoHyphens/>
        <w:autoSpaceDE w:val="0"/>
        <w:autoSpaceDN w:val="0"/>
        <w:adjustRightInd w:val="0"/>
        <w:spacing w:line="288" w:lineRule="auto"/>
        <w:jc w:val="both"/>
        <w:textAlignment w:val="center"/>
        <w:rPr>
          <w:rFonts w:asciiTheme="majorHAnsi" w:hAnsiTheme="majorHAnsi" w:cstheme="majorHAnsi"/>
          <w:color w:val="5B9BD5" w:themeColor="accent5"/>
          <w:sz w:val="22"/>
          <w:szCs w:val="22"/>
        </w:rPr>
      </w:pPr>
      <w:r w:rsidRPr="00A00532">
        <w:rPr>
          <w:rFonts w:asciiTheme="majorHAnsi" w:hAnsiTheme="majorHAnsi" w:cstheme="majorHAnsi"/>
          <w:color w:val="00000F"/>
          <w:sz w:val="22"/>
          <w:szCs w:val="22"/>
        </w:rPr>
        <w:t xml:space="preserve">The rationale for providing support for </w:t>
      </w:r>
      <w:r w:rsidR="004709A6" w:rsidRPr="00916F07">
        <w:rPr>
          <w:rFonts w:asciiTheme="majorHAnsi" w:hAnsiTheme="majorHAnsi" w:cstheme="majorHAnsi"/>
          <w:sz w:val="22"/>
          <w:szCs w:val="22"/>
        </w:rPr>
        <w:t>climate and disaster resilience in Pacific</w:t>
      </w:r>
      <w:r w:rsidRPr="00916F07">
        <w:rPr>
          <w:rFonts w:asciiTheme="majorHAnsi" w:hAnsiTheme="majorHAnsi" w:cstheme="majorHAnsi"/>
          <w:sz w:val="22"/>
          <w:szCs w:val="22"/>
        </w:rPr>
        <w:t xml:space="preserve"> </w:t>
      </w:r>
      <w:r w:rsidRPr="00A00532">
        <w:rPr>
          <w:rFonts w:asciiTheme="majorHAnsi" w:hAnsiTheme="majorHAnsi" w:cstheme="majorHAnsi"/>
          <w:color w:val="00000F"/>
          <w:sz w:val="22"/>
          <w:szCs w:val="22"/>
        </w:rPr>
        <w:t xml:space="preserve">is set out in the Investment Design: </w:t>
      </w:r>
      <w:r w:rsidR="003A19CE">
        <w:rPr>
          <w:rFonts w:asciiTheme="majorHAnsi" w:hAnsiTheme="majorHAnsi" w:cstheme="majorHAnsi"/>
          <w:color w:val="00000F"/>
          <w:sz w:val="22"/>
          <w:szCs w:val="22"/>
        </w:rPr>
        <w:t xml:space="preserve">with research, resilience and </w:t>
      </w:r>
      <w:r w:rsidR="0016267E">
        <w:rPr>
          <w:rFonts w:asciiTheme="majorHAnsi" w:hAnsiTheme="majorHAnsi" w:cstheme="majorHAnsi"/>
          <w:color w:val="00000F"/>
          <w:sz w:val="22"/>
          <w:szCs w:val="22"/>
        </w:rPr>
        <w:t xml:space="preserve">response </w:t>
      </w:r>
      <w:r w:rsidR="000579F8">
        <w:rPr>
          <w:rFonts w:asciiTheme="majorHAnsi" w:hAnsiTheme="majorHAnsi" w:cstheme="majorHAnsi"/>
          <w:color w:val="00000F"/>
          <w:sz w:val="22"/>
          <w:szCs w:val="22"/>
        </w:rPr>
        <w:t>the focus in addressing current and future climate and disaster impacts</w:t>
      </w:r>
      <w:r w:rsidRPr="00A00532">
        <w:rPr>
          <w:rFonts w:asciiTheme="majorHAnsi" w:hAnsiTheme="majorHAnsi" w:cstheme="majorHAnsi"/>
          <w:color w:val="00000F"/>
          <w:sz w:val="22"/>
          <w:szCs w:val="22"/>
        </w:rPr>
        <w:t xml:space="preserve">. </w:t>
      </w:r>
      <w:r w:rsidR="0009714E">
        <w:rPr>
          <w:rFonts w:asciiTheme="majorHAnsi" w:hAnsiTheme="majorHAnsi" w:cstheme="majorHAnsi"/>
          <w:color w:val="00000F"/>
          <w:sz w:val="22"/>
          <w:szCs w:val="22"/>
        </w:rPr>
        <w:t xml:space="preserve">PICs are highly vulnerable to climate change and </w:t>
      </w:r>
      <w:r w:rsidR="00272DD6">
        <w:rPr>
          <w:rFonts w:asciiTheme="majorHAnsi" w:hAnsiTheme="majorHAnsi" w:cstheme="majorHAnsi"/>
          <w:color w:val="00000F"/>
          <w:sz w:val="22"/>
          <w:szCs w:val="22"/>
        </w:rPr>
        <w:t xml:space="preserve">disasters, and failure to address the risks of climate change is likely to </w:t>
      </w:r>
      <w:r w:rsidR="002A56A8">
        <w:rPr>
          <w:rFonts w:asciiTheme="majorHAnsi" w:hAnsiTheme="majorHAnsi" w:cstheme="majorHAnsi"/>
          <w:color w:val="00000F"/>
          <w:sz w:val="22"/>
          <w:szCs w:val="22"/>
        </w:rPr>
        <w:t xml:space="preserve">undermine current and future social and economic development in the region. </w:t>
      </w:r>
      <w:r w:rsidR="00095DF4">
        <w:rPr>
          <w:rFonts w:asciiTheme="majorHAnsi" w:hAnsiTheme="majorHAnsi" w:cstheme="majorHAnsi"/>
          <w:color w:val="00000F"/>
          <w:sz w:val="22"/>
          <w:szCs w:val="22"/>
        </w:rPr>
        <w:t xml:space="preserve">Australia is committed to supporting </w:t>
      </w:r>
      <w:r w:rsidR="00C5789D">
        <w:rPr>
          <w:rFonts w:asciiTheme="majorHAnsi" w:hAnsiTheme="majorHAnsi" w:cstheme="majorHAnsi"/>
          <w:color w:val="00000F"/>
          <w:sz w:val="22"/>
          <w:szCs w:val="22"/>
        </w:rPr>
        <w:t xml:space="preserve">the </w:t>
      </w:r>
      <w:r w:rsidR="00716BC2">
        <w:rPr>
          <w:rFonts w:asciiTheme="majorHAnsi" w:hAnsiTheme="majorHAnsi" w:cstheme="majorHAnsi"/>
          <w:color w:val="00000F"/>
          <w:sz w:val="22"/>
          <w:szCs w:val="22"/>
        </w:rPr>
        <w:t>Pacific with a commitment of $500 million in climate finance</w:t>
      </w:r>
      <w:r w:rsidR="005B1DCC">
        <w:rPr>
          <w:rFonts w:asciiTheme="majorHAnsi" w:hAnsiTheme="majorHAnsi" w:cstheme="majorHAnsi"/>
          <w:color w:val="00000F"/>
          <w:sz w:val="22"/>
          <w:szCs w:val="22"/>
        </w:rPr>
        <w:t xml:space="preserve"> over the period 2020-2025</w:t>
      </w:r>
      <w:r w:rsidR="00E3300C">
        <w:rPr>
          <w:rStyle w:val="FootnoteReference"/>
          <w:rFonts w:asciiTheme="majorHAnsi" w:hAnsiTheme="majorHAnsi" w:cstheme="majorHAnsi"/>
          <w:color w:val="00000F"/>
          <w:sz w:val="22"/>
          <w:szCs w:val="22"/>
        </w:rPr>
        <w:footnoteReference w:id="5"/>
      </w:r>
      <w:r w:rsidR="005B1DCC">
        <w:rPr>
          <w:rFonts w:asciiTheme="majorHAnsi" w:hAnsiTheme="majorHAnsi" w:cstheme="majorHAnsi"/>
          <w:color w:val="00000F"/>
          <w:sz w:val="22"/>
          <w:szCs w:val="22"/>
        </w:rPr>
        <w:t>.</w:t>
      </w:r>
    </w:p>
    <w:p w14:paraId="5A6F446B" w14:textId="77777777" w:rsidR="0001782E" w:rsidRDefault="0001782E" w:rsidP="00A00532">
      <w:pPr>
        <w:suppressAutoHyphens/>
        <w:autoSpaceDE w:val="0"/>
        <w:autoSpaceDN w:val="0"/>
        <w:adjustRightInd w:val="0"/>
        <w:spacing w:line="288" w:lineRule="auto"/>
        <w:jc w:val="both"/>
        <w:textAlignment w:val="center"/>
        <w:rPr>
          <w:rFonts w:asciiTheme="majorHAnsi" w:hAnsiTheme="majorHAnsi" w:cstheme="majorHAnsi"/>
          <w:color w:val="5B9BD5" w:themeColor="accent5"/>
          <w:sz w:val="22"/>
          <w:szCs w:val="22"/>
        </w:rPr>
      </w:pPr>
    </w:p>
    <w:p w14:paraId="79A0B62D" w14:textId="77777777" w:rsidR="0001782E" w:rsidRPr="00325154" w:rsidRDefault="0001782E" w:rsidP="00A00532">
      <w:pPr>
        <w:suppressAutoHyphens/>
        <w:autoSpaceDE w:val="0"/>
        <w:autoSpaceDN w:val="0"/>
        <w:adjustRightInd w:val="0"/>
        <w:spacing w:line="288" w:lineRule="auto"/>
        <w:jc w:val="both"/>
        <w:textAlignment w:val="center"/>
        <w:rPr>
          <w:rFonts w:asciiTheme="majorHAnsi" w:hAnsiTheme="majorHAnsi" w:cstheme="majorHAnsi"/>
          <w:sz w:val="22"/>
          <w:szCs w:val="22"/>
        </w:rPr>
      </w:pPr>
      <w:r w:rsidRPr="00325154">
        <w:rPr>
          <w:rFonts w:asciiTheme="majorHAnsi" w:hAnsiTheme="majorHAnsi" w:cstheme="majorHAnsi"/>
          <w:sz w:val="22"/>
          <w:szCs w:val="22"/>
        </w:rPr>
        <w:t xml:space="preserve">PICs </w:t>
      </w:r>
      <w:r w:rsidR="0093497A">
        <w:rPr>
          <w:rFonts w:asciiTheme="majorHAnsi" w:hAnsiTheme="majorHAnsi" w:cstheme="majorHAnsi"/>
          <w:sz w:val="22"/>
          <w:szCs w:val="22"/>
        </w:rPr>
        <w:t>continue to be</w:t>
      </w:r>
      <w:r w:rsidRPr="00325154">
        <w:rPr>
          <w:rFonts w:asciiTheme="majorHAnsi" w:hAnsiTheme="majorHAnsi" w:cstheme="majorHAnsi"/>
          <w:sz w:val="22"/>
          <w:szCs w:val="22"/>
        </w:rPr>
        <w:t xml:space="preserve"> actively engaged in influencing climate change policy </w:t>
      </w:r>
      <w:r w:rsidR="005F48E5" w:rsidRPr="00325154">
        <w:rPr>
          <w:rFonts w:asciiTheme="majorHAnsi" w:hAnsiTheme="majorHAnsi" w:cstheme="majorHAnsi"/>
          <w:sz w:val="22"/>
          <w:szCs w:val="22"/>
        </w:rPr>
        <w:t xml:space="preserve">internationally and have signalled addressing climate change and disasters as a high priority </w:t>
      </w:r>
      <w:r w:rsidR="00636A14" w:rsidRPr="00325154">
        <w:rPr>
          <w:rFonts w:asciiTheme="majorHAnsi" w:hAnsiTheme="majorHAnsi" w:cstheme="majorHAnsi"/>
          <w:sz w:val="22"/>
          <w:szCs w:val="22"/>
        </w:rPr>
        <w:t xml:space="preserve">through broad national policy and regional declarations. </w:t>
      </w:r>
      <w:r w:rsidR="00F945EC" w:rsidRPr="00325154">
        <w:rPr>
          <w:rFonts w:asciiTheme="majorHAnsi" w:hAnsiTheme="majorHAnsi" w:cstheme="majorHAnsi"/>
          <w:sz w:val="22"/>
          <w:szCs w:val="22"/>
        </w:rPr>
        <w:t xml:space="preserve">Pacific island countries reaffirmed </w:t>
      </w:r>
      <w:r w:rsidR="00DB7957">
        <w:rPr>
          <w:rFonts w:asciiTheme="majorHAnsi" w:hAnsiTheme="majorHAnsi" w:cstheme="majorHAnsi"/>
          <w:sz w:val="22"/>
          <w:szCs w:val="22"/>
        </w:rPr>
        <w:t xml:space="preserve">that </w:t>
      </w:r>
      <w:r w:rsidR="00DB7957" w:rsidRPr="005147CA">
        <w:rPr>
          <w:rFonts w:asciiTheme="majorHAnsi" w:hAnsiTheme="majorHAnsi" w:cstheme="majorHAnsi"/>
          <w:color w:val="00000F"/>
          <w:sz w:val="22"/>
          <w:szCs w:val="22"/>
        </w:rPr>
        <w:t xml:space="preserve">climate change poses </w:t>
      </w:r>
      <w:r w:rsidR="00DB7957">
        <w:rPr>
          <w:rFonts w:asciiTheme="majorHAnsi" w:hAnsiTheme="majorHAnsi" w:cstheme="majorHAnsi"/>
          <w:color w:val="00000F"/>
          <w:sz w:val="22"/>
          <w:szCs w:val="22"/>
        </w:rPr>
        <w:t>the single greatest threat to the livelihoods, security and wellbeing of the peoples of the Pacific</w:t>
      </w:r>
      <w:r w:rsidR="00DB7957" w:rsidRPr="00325154" w:rsidDel="00DB7957">
        <w:rPr>
          <w:rFonts w:asciiTheme="majorHAnsi" w:hAnsiTheme="majorHAnsi" w:cstheme="majorHAnsi"/>
          <w:sz w:val="22"/>
          <w:szCs w:val="22"/>
        </w:rPr>
        <w:t xml:space="preserve"> </w:t>
      </w:r>
      <w:r w:rsidR="00F945EC" w:rsidRPr="00325154">
        <w:rPr>
          <w:rFonts w:asciiTheme="majorHAnsi" w:hAnsiTheme="majorHAnsi" w:cstheme="majorHAnsi"/>
          <w:sz w:val="22"/>
          <w:szCs w:val="22"/>
        </w:rPr>
        <w:t>through the 2019 Pacific Islands Forum (PIF) </w:t>
      </w:r>
      <w:r w:rsidR="00F945EC" w:rsidRPr="00325154">
        <w:rPr>
          <w:rFonts w:asciiTheme="majorHAnsi" w:hAnsiTheme="majorHAnsi" w:cstheme="majorHAnsi"/>
          <w:i/>
          <w:iCs/>
          <w:sz w:val="22"/>
          <w:szCs w:val="22"/>
        </w:rPr>
        <w:t>Kainaki II Declaration for Urgent Climate Change Action Now</w:t>
      </w:r>
      <w:r w:rsidR="005B5510">
        <w:rPr>
          <w:rStyle w:val="FootnoteReference"/>
          <w:rFonts w:asciiTheme="majorHAnsi" w:hAnsiTheme="majorHAnsi" w:cstheme="majorHAnsi"/>
          <w:i/>
          <w:iCs/>
          <w:sz w:val="22"/>
          <w:szCs w:val="22"/>
        </w:rPr>
        <w:footnoteReference w:id="6"/>
      </w:r>
      <w:r w:rsidR="00EE656B">
        <w:rPr>
          <w:rFonts w:asciiTheme="majorHAnsi" w:hAnsiTheme="majorHAnsi" w:cstheme="majorHAnsi"/>
          <w:sz w:val="22"/>
          <w:szCs w:val="22"/>
        </w:rPr>
        <w:t xml:space="preserve">, </w:t>
      </w:r>
      <w:r w:rsidR="00A31CD7">
        <w:rPr>
          <w:rFonts w:asciiTheme="majorHAnsi" w:hAnsiTheme="majorHAnsi" w:cstheme="majorHAnsi"/>
          <w:sz w:val="22"/>
          <w:szCs w:val="22"/>
        </w:rPr>
        <w:t xml:space="preserve">and continue to </w:t>
      </w:r>
      <w:r w:rsidR="000B361A">
        <w:rPr>
          <w:rFonts w:asciiTheme="majorHAnsi" w:hAnsiTheme="majorHAnsi" w:cstheme="majorHAnsi"/>
          <w:sz w:val="22"/>
          <w:szCs w:val="22"/>
        </w:rPr>
        <w:t xml:space="preserve">take a leading role in the region </w:t>
      </w:r>
      <w:r w:rsidR="00C861DB">
        <w:rPr>
          <w:rFonts w:asciiTheme="majorHAnsi" w:hAnsiTheme="majorHAnsi" w:cstheme="majorHAnsi"/>
          <w:sz w:val="22"/>
          <w:szCs w:val="22"/>
        </w:rPr>
        <w:t xml:space="preserve">advocating for climate action. </w:t>
      </w:r>
    </w:p>
    <w:p w14:paraId="2579DF79" w14:textId="77777777" w:rsidR="00E362DE" w:rsidRDefault="00E362DE" w:rsidP="00A0053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F7EFA00" w14:textId="77777777" w:rsidR="00A221A8" w:rsidRDefault="00A8166E" w:rsidP="00A0053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In the context of global disruption caused by the COVID-19 pandemic, Australia has sought to redefine </w:t>
      </w:r>
      <w:r w:rsidR="00D44BC2">
        <w:rPr>
          <w:rFonts w:asciiTheme="majorHAnsi" w:hAnsiTheme="majorHAnsi" w:cstheme="majorHAnsi"/>
          <w:color w:val="00000F"/>
          <w:sz w:val="22"/>
          <w:szCs w:val="22"/>
        </w:rPr>
        <w:t>its</w:t>
      </w:r>
      <w:r>
        <w:rPr>
          <w:rFonts w:asciiTheme="majorHAnsi" w:hAnsiTheme="majorHAnsi" w:cstheme="majorHAnsi"/>
          <w:color w:val="00000F"/>
          <w:sz w:val="22"/>
          <w:szCs w:val="22"/>
        </w:rPr>
        <w:t xml:space="preserve"> </w:t>
      </w:r>
      <w:r w:rsidR="00BE6F3C">
        <w:rPr>
          <w:rFonts w:asciiTheme="majorHAnsi" w:hAnsiTheme="majorHAnsi" w:cstheme="majorHAnsi"/>
          <w:color w:val="00000F"/>
          <w:sz w:val="22"/>
          <w:szCs w:val="22"/>
        </w:rPr>
        <w:t>international development</w:t>
      </w:r>
      <w:r w:rsidR="00D1369C">
        <w:rPr>
          <w:rFonts w:asciiTheme="majorHAnsi" w:hAnsiTheme="majorHAnsi" w:cstheme="majorHAnsi"/>
          <w:color w:val="00000F"/>
          <w:sz w:val="22"/>
          <w:szCs w:val="22"/>
        </w:rPr>
        <w:t xml:space="preserve"> policy and aid program </w:t>
      </w:r>
      <w:r w:rsidR="00BE6F3C">
        <w:rPr>
          <w:rFonts w:asciiTheme="majorHAnsi" w:hAnsiTheme="majorHAnsi" w:cstheme="majorHAnsi"/>
          <w:color w:val="00000F"/>
          <w:sz w:val="22"/>
          <w:szCs w:val="22"/>
        </w:rPr>
        <w:t xml:space="preserve">priorities </w:t>
      </w:r>
      <w:r w:rsidR="00D1369C">
        <w:rPr>
          <w:rFonts w:asciiTheme="majorHAnsi" w:hAnsiTheme="majorHAnsi" w:cstheme="majorHAnsi"/>
          <w:color w:val="00000F"/>
          <w:sz w:val="22"/>
          <w:szCs w:val="22"/>
        </w:rPr>
        <w:t xml:space="preserve">through the </w:t>
      </w:r>
      <w:r w:rsidR="00D1369C">
        <w:rPr>
          <w:rFonts w:asciiTheme="majorHAnsi" w:hAnsiTheme="majorHAnsi" w:cstheme="majorHAnsi"/>
          <w:i/>
          <w:iCs/>
          <w:color w:val="00000F"/>
          <w:sz w:val="22"/>
          <w:szCs w:val="22"/>
        </w:rPr>
        <w:t>Partnerships for Recovery</w:t>
      </w:r>
      <w:r w:rsidR="0005211B">
        <w:rPr>
          <w:rFonts w:asciiTheme="majorHAnsi" w:hAnsiTheme="majorHAnsi" w:cstheme="majorHAnsi"/>
          <w:i/>
          <w:iCs/>
          <w:color w:val="00000F"/>
          <w:sz w:val="22"/>
          <w:szCs w:val="22"/>
        </w:rPr>
        <w:t xml:space="preserve">: Australia’s COVID-19 Development Response </w:t>
      </w:r>
      <w:r w:rsidR="00D1369C" w:rsidRPr="00AD3FFD">
        <w:rPr>
          <w:rFonts w:asciiTheme="majorHAnsi" w:hAnsiTheme="majorHAnsi" w:cstheme="majorHAnsi"/>
          <w:color w:val="00000F"/>
          <w:sz w:val="22"/>
          <w:szCs w:val="22"/>
        </w:rPr>
        <w:t>Strategy 2020</w:t>
      </w:r>
      <w:r w:rsidR="00D1369C">
        <w:rPr>
          <w:rStyle w:val="FootnoteReference"/>
          <w:rFonts w:asciiTheme="majorHAnsi" w:hAnsiTheme="majorHAnsi" w:cstheme="majorHAnsi"/>
          <w:i/>
          <w:iCs/>
          <w:color w:val="00000F"/>
          <w:sz w:val="22"/>
          <w:szCs w:val="22"/>
        </w:rPr>
        <w:footnoteReference w:id="7"/>
      </w:r>
      <w:r w:rsidR="00927B0D">
        <w:rPr>
          <w:rFonts w:asciiTheme="majorHAnsi" w:hAnsiTheme="majorHAnsi" w:cstheme="majorHAnsi"/>
          <w:i/>
          <w:iCs/>
          <w:color w:val="00000F"/>
          <w:sz w:val="22"/>
          <w:szCs w:val="22"/>
        </w:rPr>
        <w:t xml:space="preserve"> </w:t>
      </w:r>
      <w:r w:rsidR="00927B0D" w:rsidRPr="00927B0D">
        <w:rPr>
          <w:rFonts w:asciiTheme="majorHAnsi" w:hAnsiTheme="majorHAnsi" w:cstheme="majorHAnsi"/>
          <w:color w:val="00000F"/>
          <w:sz w:val="22"/>
          <w:szCs w:val="22"/>
        </w:rPr>
        <w:t>(</w:t>
      </w:r>
      <w:r w:rsidR="00DF1D54" w:rsidRPr="00E8217C">
        <w:rPr>
          <w:rFonts w:asciiTheme="majorHAnsi" w:hAnsiTheme="majorHAnsi" w:cstheme="majorHAnsi"/>
          <w:i/>
          <w:iCs/>
          <w:color w:val="00000F"/>
          <w:sz w:val="22"/>
          <w:szCs w:val="22"/>
        </w:rPr>
        <w:t>Partnerships for Recovery</w:t>
      </w:r>
      <w:r w:rsidR="00A41AA4">
        <w:rPr>
          <w:rFonts w:asciiTheme="majorHAnsi" w:hAnsiTheme="majorHAnsi" w:cstheme="majorHAnsi"/>
          <w:color w:val="00000F"/>
          <w:sz w:val="22"/>
          <w:szCs w:val="22"/>
        </w:rPr>
        <w:t xml:space="preserve"> </w:t>
      </w:r>
      <w:r w:rsidR="00FE6F08">
        <w:rPr>
          <w:rFonts w:asciiTheme="majorHAnsi" w:hAnsiTheme="majorHAnsi" w:cstheme="majorHAnsi"/>
          <w:color w:val="00000F"/>
          <w:sz w:val="22"/>
          <w:szCs w:val="22"/>
        </w:rPr>
        <w:t>Strategy</w:t>
      </w:r>
      <w:r w:rsidR="00FE6F08" w:rsidRPr="00927B0D" w:rsidDel="00DF1D54">
        <w:rPr>
          <w:rFonts w:asciiTheme="majorHAnsi" w:hAnsiTheme="majorHAnsi" w:cstheme="majorHAnsi"/>
          <w:color w:val="00000F"/>
          <w:sz w:val="22"/>
          <w:szCs w:val="22"/>
        </w:rPr>
        <w:t>)</w:t>
      </w:r>
      <w:r w:rsidR="00D1369C">
        <w:rPr>
          <w:rFonts w:asciiTheme="majorHAnsi" w:hAnsiTheme="majorHAnsi" w:cstheme="majorHAnsi"/>
          <w:i/>
          <w:iCs/>
          <w:color w:val="00000F"/>
          <w:sz w:val="22"/>
          <w:szCs w:val="22"/>
        </w:rPr>
        <w:t xml:space="preserve">. </w:t>
      </w:r>
      <w:r w:rsidR="00D1369C">
        <w:rPr>
          <w:rFonts w:asciiTheme="majorHAnsi" w:hAnsiTheme="majorHAnsi" w:cstheme="majorHAnsi"/>
          <w:color w:val="00000F"/>
          <w:sz w:val="22"/>
          <w:szCs w:val="22"/>
        </w:rPr>
        <w:t xml:space="preserve"> </w:t>
      </w:r>
      <w:r w:rsidR="00A63B72">
        <w:rPr>
          <w:rFonts w:asciiTheme="majorHAnsi" w:hAnsiTheme="majorHAnsi" w:cstheme="majorHAnsi"/>
          <w:color w:val="00000F"/>
          <w:sz w:val="22"/>
          <w:szCs w:val="22"/>
        </w:rPr>
        <w:t xml:space="preserve">The P4R strategy recognises the </w:t>
      </w:r>
      <w:r w:rsidR="00C440C3">
        <w:rPr>
          <w:rFonts w:asciiTheme="majorHAnsi" w:hAnsiTheme="majorHAnsi" w:cstheme="majorHAnsi"/>
          <w:color w:val="00000F"/>
          <w:sz w:val="22"/>
          <w:szCs w:val="22"/>
        </w:rPr>
        <w:t xml:space="preserve">role of climate change adaptation in supporting resilience and stability within the </w:t>
      </w:r>
      <w:r w:rsidR="001D3C2E">
        <w:rPr>
          <w:rFonts w:asciiTheme="majorHAnsi" w:hAnsiTheme="majorHAnsi" w:cstheme="majorHAnsi"/>
          <w:color w:val="00000F"/>
          <w:sz w:val="22"/>
          <w:szCs w:val="22"/>
        </w:rPr>
        <w:t>Indo-Pacific region</w:t>
      </w:r>
      <w:r w:rsidR="00413977">
        <w:rPr>
          <w:rFonts w:asciiTheme="majorHAnsi" w:hAnsiTheme="majorHAnsi" w:cstheme="majorHAnsi"/>
          <w:color w:val="00000F"/>
          <w:sz w:val="22"/>
          <w:szCs w:val="22"/>
        </w:rPr>
        <w:t xml:space="preserve"> to support </w:t>
      </w:r>
      <w:r w:rsidR="0094147B">
        <w:rPr>
          <w:rFonts w:asciiTheme="majorHAnsi" w:hAnsiTheme="majorHAnsi" w:cstheme="majorHAnsi"/>
          <w:color w:val="00000F"/>
          <w:sz w:val="22"/>
          <w:szCs w:val="22"/>
        </w:rPr>
        <w:t>a sustainable recovery from the economic impact of the pandemic</w:t>
      </w:r>
      <w:r w:rsidR="001D3C2E">
        <w:rPr>
          <w:rFonts w:asciiTheme="majorHAnsi" w:hAnsiTheme="majorHAnsi" w:cstheme="majorHAnsi"/>
          <w:color w:val="00000F"/>
          <w:sz w:val="22"/>
          <w:szCs w:val="22"/>
        </w:rPr>
        <w:t xml:space="preserve">. It also reinforces </w:t>
      </w:r>
      <w:r w:rsidR="00E362DE">
        <w:rPr>
          <w:rFonts w:asciiTheme="majorHAnsi" w:hAnsiTheme="majorHAnsi" w:cstheme="majorHAnsi"/>
          <w:color w:val="00000F"/>
          <w:sz w:val="22"/>
          <w:szCs w:val="22"/>
        </w:rPr>
        <w:t xml:space="preserve">Australia’s Pacific </w:t>
      </w:r>
      <w:r w:rsidR="00AB3B8E">
        <w:rPr>
          <w:rFonts w:asciiTheme="majorHAnsi" w:hAnsiTheme="majorHAnsi" w:cstheme="majorHAnsi"/>
          <w:color w:val="00000F"/>
          <w:sz w:val="22"/>
          <w:szCs w:val="22"/>
        </w:rPr>
        <w:t>Step-Up</w:t>
      </w:r>
      <w:r w:rsidR="001D3C2E">
        <w:rPr>
          <w:rFonts w:asciiTheme="majorHAnsi" w:hAnsiTheme="majorHAnsi" w:cstheme="majorHAnsi"/>
          <w:color w:val="00000F"/>
          <w:sz w:val="22"/>
          <w:szCs w:val="22"/>
        </w:rPr>
        <w:t xml:space="preserve"> priorities</w:t>
      </w:r>
      <w:r w:rsidR="003E3D31">
        <w:rPr>
          <w:rFonts w:asciiTheme="majorHAnsi" w:hAnsiTheme="majorHAnsi" w:cstheme="majorHAnsi"/>
          <w:color w:val="00000F"/>
          <w:sz w:val="22"/>
          <w:szCs w:val="22"/>
        </w:rPr>
        <w:t>,</w:t>
      </w:r>
      <w:r w:rsidR="00D57DEB">
        <w:rPr>
          <w:rFonts w:asciiTheme="majorHAnsi" w:hAnsiTheme="majorHAnsi" w:cstheme="majorHAnsi"/>
          <w:color w:val="00000F"/>
          <w:sz w:val="22"/>
          <w:szCs w:val="22"/>
        </w:rPr>
        <w:t xml:space="preserve"> where climate and disaster resilience are critical </w:t>
      </w:r>
      <w:r w:rsidR="003E3D31">
        <w:rPr>
          <w:rFonts w:asciiTheme="majorHAnsi" w:hAnsiTheme="majorHAnsi" w:cstheme="majorHAnsi"/>
          <w:color w:val="00000F"/>
          <w:sz w:val="22"/>
          <w:szCs w:val="22"/>
        </w:rPr>
        <w:t xml:space="preserve">to </w:t>
      </w:r>
      <w:r w:rsidR="004A2618">
        <w:rPr>
          <w:rFonts w:asciiTheme="majorHAnsi" w:hAnsiTheme="majorHAnsi" w:cstheme="majorHAnsi"/>
          <w:color w:val="00000F"/>
          <w:sz w:val="22"/>
          <w:szCs w:val="22"/>
        </w:rPr>
        <w:t xml:space="preserve">the shared </w:t>
      </w:r>
      <w:r w:rsidR="00133F23">
        <w:rPr>
          <w:rFonts w:asciiTheme="majorHAnsi" w:hAnsiTheme="majorHAnsi" w:cstheme="majorHAnsi"/>
          <w:color w:val="00000F"/>
          <w:sz w:val="22"/>
          <w:szCs w:val="22"/>
        </w:rPr>
        <w:t>security and economic prosperity of the region</w:t>
      </w:r>
      <w:r w:rsidR="004A6F74">
        <w:rPr>
          <w:rFonts w:asciiTheme="majorHAnsi" w:hAnsiTheme="majorHAnsi" w:cstheme="majorHAnsi"/>
          <w:color w:val="00000F"/>
          <w:sz w:val="22"/>
          <w:szCs w:val="22"/>
        </w:rPr>
        <w:t>.</w:t>
      </w:r>
      <w:r w:rsidR="00D41D82">
        <w:rPr>
          <w:rFonts w:asciiTheme="majorHAnsi" w:hAnsiTheme="majorHAnsi" w:cstheme="majorHAnsi"/>
          <w:color w:val="00000F"/>
          <w:sz w:val="22"/>
          <w:szCs w:val="22"/>
        </w:rPr>
        <w:t xml:space="preserve"> </w:t>
      </w:r>
    </w:p>
    <w:p w14:paraId="5549B20F" w14:textId="77777777" w:rsidR="005E4371" w:rsidRDefault="005E4371" w:rsidP="00A0053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740BE0C" w14:textId="77777777" w:rsidR="00E362DE" w:rsidRDefault="00D41D82" w:rsidP="00A0053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However, the challenges </w:t>
      </w:r>
      <w:r w:rsidR="00636399">
        <w:rPr>
          <w:rFonts w:asciiTheme="majorHAnsi" w:hAnsiTheme="majorHAnsi" w:cstheme="majorHAnsi"/>
          <w:color w:val="00000F"/>
          <w:sz w:val="22"/>
          <w:szCs w:val="22"/>
        </w:rPr>
        <w:t xml:space="preserve">associated with the COVID-19 pandemic in the Pacific </w:t>
      </w:r>
      <w:r w:rsidR="00405BD6">
        <w:rPr>
          <w:rFonts w:asciiTheme="majorHAnsi" w:hAnsiTheme="majorHAnsi" w:cstheme="majorHAnsi"/>
          <w:color w:val="00000F"/>
          <w:sz w:val="22"/>
          <w:szCs w:val="22"/>
        </w:rPr>
        <w:t xml:space="preserve">are enormous </w:t>
      </w:r>
      <w:r w:rsidR="00324A97">
        <w:rPr>
          <w:rFonts w:asciiTheme="majorHAnsi" w:hAnsiTheme="majorHAnsi" w:cstheme="majorHAnsi"/>
          <w:color w:val="00000F"/>
          <w:sz w:val="22"/>
          <w:szCs w:val="22"/>
        </w:rPr>
        <w:t xml:space="preserve">and the region’s path to </w:t>
      </w:r>
      <w:r w:rsidR="00F80328">
        <w:rPr>
          <w:rFonts w:asciiTheme="majorHAnsi" w:hAnsiTheme="majorHAnsi" w:cstheme="majorHAnsi"/>
          <w:color w:val="00000F"/>
          <w:sz w:val="22"/>
          <w:szCs w:val="22"/>
        </w:rPr>
        <w:t xml:space="preserve">protecting livelihoods and </w:t>
      </w:r>
      <w:r w:rsidR="00926720">
        <w:rPr>
          <w:rFonts w:asciiTheme="majorHAnsi" w:hAnsiTheme="majorHAnsi" w:cstheme="majorHAnsi"/>
          <w:color w:val="00000F"/>
          <w:sz w:val="22"/>
          <w:szCs w:val="22"/>
        </w:rPr>
        <w:t>building back better</w:t>
      </w:r>
      <w:r w:rsidR="00405BD6">
        <w:rPr>
          <w:rFonts w:asciiTheme="majorHAnsi" w:hAnsiTheme="majorHAnsi" w:cstheme="majorHAnsi"/>
          <w:color w:val="00000F"/>
          <w:sz w:val="22"/>
          <w:szCs w:val="22"/>
        </w:rPr>
        <w:t xml:space="preserve"> </w:t>
      </w:r>
      <w:r w:rsidR="009D3054">
        <w:rPr>
          <w:rFonts w:asciiTheme="majorHAnsi" w:hAnsiTheme="majorHAnsi" w:cstheme="majorHAnsi"/>
          <w:color w:val="00000F"/>
          <w:sz w:val="22"/>
          <w:szCs w:val="22"/>
        </w:rPr>
        <w:t xml:space="preserve">will require innovative and </w:t>
      </w:r>
      <w:r w:rsidR="005A6C3C">
        <w:rPr>
          <w:rFonts w:asciiTheme="majorHAnsi" w:hAnsiTheme="majorHAnsi" w:cstheme="majorHAnsi"/>
          <w:color w:val="00000F"/>
          <w:sz w:val="22"/>
          <w:szCs w:val="22"/>
        </w:rPr>
        <w:t>transformative solutions</w:t>
      </w:r>
      <w:r w:rsidR="007E5048">
        <w:rPr>
          <w:rFonts w:asciiTheme="majorHAnsi" w:hAnsiTheme="majorHAnsi" w:cstheme="majorHAnsi"/>
          <w:color w:val="00000F"/>
          <w:sz w:val="22"/>
          <w:szCs w:val="22"/>
        </w:rPr>
        <w:t xml:space="preserve"> </w:t>
      </w:r>
      <w:r w:rsidR="001620B1">
        <w:rPr>
          <w:rFonts w:asciiTheme="majorHAnsi" w:hAnsiTheme="majorHAnsi" w:cstheme="majorHAnsi"/>
          <w:color w:val="00000F"/>
          <w:sz w:val="22"/>
          <w:szCs w:val="22"/>
        </w:rPr>
        <w:t>that prioritis</w:t>
      </w:r>
      <w:r w:rsidR="001C0D4E">
        <w:rPr>
          <w:rFonts w:asciiTheme="majorHAnsi" w:hAnsiTheme="majorHAnsi" w:cstheme="majorHAnsi"/>
          <w:color w:val="00000F"/>
          <w:sz w:val="22"/>
          <w:szCs w:val="22"/>
        </w:rPr>
        <w:t>e</w:t>
      </w:r>
      <w:r w:rsidR="001620B1">
        <w:rPr>
          <w:rFonts w:asciiTheme="majorHAnsi" w:hAnsiTheme="majorHAnsi" w:cstheme="majorHAnsi"/>
          <w:color w:val="00000F"/>
          <w:sz w:val="22"/>
          <w:szCs w:val="22"/>
        </w:rPr>
        <w:t xml:space="preserve"> climate and disaster resilience</w:t>
      </w:r>
      <w:r w:rsidR="005A6C3C">
        <w:rPr>
          <w:rFonts w:asciiTheme="majorHAnsi" w:hAnsiTheme="majorHAnsi" w:cstheme="majorHAnsi"/>
          <w:color w:val="00000F"/>
          <w:sz w:val="22"/>
          <w:szCs w:val="22"/>
        </w:rPr>
        <w:t xml:space="preserve">. The </w:t>
      </w:r>
      <w:r w:rsidR="00A95090">
        <w:rPr>
          <w:rFonts w:asciiTheme="majorHAnsi" w:hAnsiTheme="majorHAnsi" w:cstheme="majorHAnsi"/>
          <w:color w:val="00000F"/>
          <w:sz w:val="22"/>
          <w:szCs w:val="22"/>
        </w:rPr>
        <w:t>World Bank</w:t>
      </w:r>
      <w:r w:rsidR="00890F11">
        <w:rPr>
          <w:rStyle w:val="FootnoteReference"/>
          <w:rFonts w:asciiTheme="majorHAnsi" w:hAnsiTheme="majorHAnsi" w:cstheme="majorHAnsi"/>
          <w:color w:val="00000F"/>
          <w:sz w:val="22"/>
          <w:szCs w:val="22"/>
        </w:rPr>
        <w:footnoteReference w:id="8"/>
      </w:r>
      <w:r w:rsidR="00A95090">
        <w:rPr>
          <w:rFonts w:asciiTheme="majorHAnsi" w:hAnsiTheme="majorHAnsi" w:cstheme="majorHAnsi"/>
          <w:color w:val="00000F"/>
          <w:sz w:val="22"/>
          <w:szCs w:val="22"/>
        </w:rPr>
        <w:t xml:space="preserve"> </w:t>
      </w:r>
      <w:r w:rsidR="003905CB">
        <w:rPr>
          <w:rFonts w:asciiTheme="majorHAnsi" w:hAnsiTheme="majorHAnsi" w:cstheme="majorHAnsi"/>
          <w:color w:val="00000F"/>
          <w:sz w:val="22"/>
          <w:szCs w:val="22"/>
        </w:rPr>
        <w:t xml:space="preserve">estimates </w:t>
      </w:r>
      <w:r w:rsidR="005E6DBB">
        <w:rPr>
          <w:rFonts w:asciiTheme="majorHAnsi" w:hAnsiTheme="majorHAnsi" w:cstheme="majorHAnsi"/>
          <w:color w:val="00000F"/>
          <w:sz w:val="22"/>
          <w:szCs w:val="22"/>
        </w:rPr>
        <w:t>the number of poor people in the region</w:t>
      </w:r>
      <w:r w:rsidR="00536B82">
        <w:rPr>
          <w:rFonts w:asciiTheme="majorHAnsi" w:hAnsiTheme="majorHAnsi" w:cstheme="majorHAnsi"/>
          <w:color w:val="00000F"/>
          <w:sz w:val="22"/>
          <w:szCs w:val="22"/>
        </w:rPr>
        <w:t xml:space="preserve"> in 2020</w:t>
      </w:r>
      <w:r w:rsidR="005E6DBB">
        <w:rPr>
          <w:rFonts w:asciiTheme="majorHAnsi" w:hAnsiTheme="majorHAnsi" w:cstheme="majorHAnsi"/>
          <w:color w:val="00000F"/>
          <w:sz w:val="22"/>
          <w:szCs w:val="22"/>
        </w:rPr>
        <w:t xml:space="preserve"> increased for the first</w:t>
      </w:r>
      <w:r w:rsidR="000169D3">
        <w:rPr>
          <w:rFonts w:asciiTheme="majorHAnsi" w:hAnsiTheme="majorHAnsi" w:cstheme="majorHAnsi"/>
          <w:color w:val="00000F"/>
          <w:sz w:val="22"/>
          <w:szCs w:val="22"/>
        </w:rPr>
        <w:t xml:space="preserve"> time in</w:t>
      </w:r>
      <w:r w:rsidR="005E6DBB">
        <w:rPr>
          <w:rFonts w:asciiTheme="majorHAnsi" w:hAnsiTheme="majorHAnsi" w:cstheme="majorHAnsi"/>
          <w:color w:val="00000F"/>
          <w:sz w:val="22"/>
          <w:szCs w:val="22"/>
        </w:rPr>
        <w:t xml:space="preserve"> </w:t>
      </w:r>
      <w:r w:rsidR="00536B82">
        <w:rPr>
          <w:rFonts w:asciiTheme="majorHAnsi" w:hAnsiTheme="majorHAnsi" w:cstheme="majorHAnsi"/>
          <w:color w:val="00000F"/>
          <w:sz w:val="22"/>
          <w:szCs w:val="22"/>
        </w:rPr>
        <w:t xml:space="preserve">twenty years, and that </w:t>
      </w:r>
      <w:r w:rsidR="00E83C10">
        <w:rPr>
          <w:rFonts w:asciiTheme="majorHAnsi" w:hAnsiTheme="majorHAnsi" w:cstheme="majorHAnsi"/>
          <w:color w:val="00000F"/>
          <w:sz w:val="22"/>
          <w:szCs w:val="22"/>
        </w:rPr>
        <w:t>PICs</w:t>
      </w:r>
      <w:r w:rsidR="00031910">
        <w:rPr>
          <w:rFonts w:asciiTheme="majorHAnsi" w:hAnsiTheme="majorHAnsi" w:cstheme="majorHAnsi"/>
          <w:color w:val="00000F"/>
          <w:sz w:val="22"/>
          <w:szCs w:val="22"/>
        </w:rPr>
        <w:t>’</w:t>
      </w:r>
      <w:r w:rsidR="00E83C10">
        <w:rPr>
          <w:rFonts w:asciiTheme="majorHAnsi" w:hAnsiTheme="majorHAnsi" w:cstheme="majorHAnsi"/>
          <w:color w:val="00000F"/>
          <w:sz w:val="22"/>
          <w:szCs w:val="22"/>
        </w:rPr>
        <w:t xml:space="preserve"> GDP in 2020 declined by 11.3%</w:t>
      </w:r>
      <w:r w:rsidR="002F21BA">
        <w:rPr>
          <w:rFonts w:asciiTheme="majorHAnsi" w:hAnsiTheme="majorHAnsi" w:cstheme="majorHAnsi"/>
          <w:color w:val="00000F"/>
          <w:sz w:val="22"/>
          <w:szCs w:val="22"/>
        </w:rPr>
        <w:t xml:space="preserve"> from the previous year</w:t>
      </w:r>
      <w:r w:rsidR="00BE60CF">
        <w:rPr>
          <w:rFonts w:asciiTheme="majorHAnsi" w:hAnsiTheme="majorHAnsi" w:cstheme="majorHAnsi"/>
          <w:color w:val="00000F"/>
          <w:sz w:val="22"/>
          <w:szCs w:val="22"/>
        </w:rPr>
        <w:t>.</w:t>
      </w:r>
      <w:r w:rsidR="00E079CE">
        <w:rPr>
          <w:rFonts w:asciiTheme="majorHAnsi" w:hAnsiTheme="majorHAnsi" w:cstheme="majorHAnsi"/>
          <w:color w:val="00000F"/>
          <w:sz w:val="22"/>
          <w:szCs w:val="22"/>
        </w:rPr>
        <w:t xml:space="preserve"> </w:t>
      </w:r>
      <w:r w:rsidR="00536B82">
        <w:rPr>
          <w:rFonts w:asciiTheme="majorHAnsi" w:hAnsiTheme="majorHAnsi" w:cstheme="majorHAnsi"/>
          <w:color w:val="00000F"/>
          <w:sz w:val="22"/>
          <w:szCs w:val="22"/>
        </w:rPr>
        <w:t>A</w:t>
      </w:r>
      <w:r w:rsidR="00E079CE">
        <w:rPr>
          <w:rFonts w:asciiTheme="majorHAnsi" w:hAnsiTheme="majorHAnsi" w:cstheme="majorHAnsi"/>
          <w:color w:val="00000F"/>
          <w:sz w:val="22"/>
          <w:szCs w:val="22"/>
        </w:rPr>
        <w:t xml:space="preserve"> </w:t>
      </w:r>
      <w:r w:rsidR="00846180">
        <w:rPr>
          <w:rFonts w:asciiTheme="majorHAnsi" w:hAnsiTheme="majorHAnsi" w:cstheme="majorHAnsi"/>
          <w:color w:val="00000F"/>
          <w:sz w:val="22"/>
          <w:szCs w:val="22"/>
        </w:rPr>
        <w:t xml:space="preserve">potential return to growth </w:t>
      </w:r>
      <w:r w:rsidR="00536B82">
        <w:rPr>
          <w:rFonts w:asciiTheme="majorHAnsi" w:hAnsiTheme="majorHAnsi" w:cstheme="majorHAnsi"/>
          <w:color w:val="00000F"/>
          <w:sz w:val="22"/>
          <w:szCs w:val="22"/>
        </w:rPr>
        <w:t>is only expected once travel restrictions ease</w:t>
      </w:r>
      <w:r w:rsidR="00AE7116">
        <w:rPr>
          <w:rFonts w:asciiTheme="majorHAnsi" w:hAnsiTheme="majorHAnsi" w:cstheme="majorHAnsi"/>
          <w:color w:val="00000F"/>
          <w:sz w:val="22"/>
          <w:szCs w:val="22"/>
        </w:rPr>
        <w:t xml:space="preserve">; however, this </w:t>
      </w:r>
      <w:r w:rsidR="00846180">
        <w:rPr>
          <w:rFonts w:asciiTheme="majorHAnsi" w:hAnsiTheme="majorHAnsi" w:cstheme="majorHAnsi"/>
          <w:color w:val="00000F"/>
          <w:sz w:val="22"/>
          <w:szCs w:val="22"/>
        </w:rPr>
        <w:t xml:space="preserve">is tempered </w:t>
      </w:r>
      <w:r w:rsidR="00D128E6">
        <w:rPr>
          <w:rFonts w:asciiTheme="majorHAnsi" w:hAnsiTheme="majorHAnsi" w:cstheme="majorHAnsi"/>
          <w:color w:val="00000F"/>
          <w:sz w:val="22"/>
          <w:szCs w:val="22"/>
        </w:rPr>
        <w:t>by</w:t>
      </w:r>
      <w:r w:rsidR="00846180">
        <w:rPr>
          <w:rFonts w:asciiTheme="majorHAnsi" w:hAnsiTheme="majorHAnsi" w:cstheme="majorHAnsi"/>
          <w:color w:val="00000F"/>
          <w:sz w:val="22"/>
          <w:szCs w:val="22"/>
        </w:rPr>
        <w:t xml:space="preserve"> </w:t>
      </w:r>
      <w:r w:rsidR="00F30B07">
        <w:rPr>
          <w:rFonts w:asciiTheme="majorHAnsi" w:hAnsiTheme="majorHAnsi" w:cstheme="majorHAnsi"/>
          <w:color w:val="00000F"/>
          <w:sz w:val="22"/>
          <w:szCs w:val="22"/>
        </w:rPr>
        <w:t>the threat of climate induced hazards in the region</w:t>
      </w:r>
      <w:r w:rsidR="00ED31D9">
        <w:rPr>
          <w:rFonts w:asciiTheme="majorHAnsi" w:hAnsiTheme="majorHAnsi" w:cstheme="majorHAnsi"/>
          <w:color w:val="00000F"/>
          <w:sz w:val="22"/>
          <w:szCs w:val="22"/>
        </w:rPr>
        <w:t>,</w:t>
      </w:r>
      <w:r w:rsidR="00F30B07">
        <w:rPr>
          <w:rFonts w:asciiTheme="majorHAnsi" w:hAnsiTheme="majorHAnsi" w:cstheme="majorHAnsi"/>
          <w:color w:val="00000F"/>
          <w:sz w:val="22"/>
          <w:szCs w:val="22"/>
        </w:rPr>
        <w:t xml:space="preserve"> a high probability in the coming years</w:t>
      </w:r>
      <w:r w:rsidR="00ED31D9">
        <w:rPr>
          <w:rFonts w:asciiTheme="majorHAnsi" w:hAnsiTheme="majorHAnsi" w:cstheme="majorHAnsi"/>
          <w:color w:val="00000F"/>
          <w:sz w:val="22"/>
          <w:szCs w:val="22"/>
        </w:rPr>
        <w:t xml:space="preserve"> that </w:t>
      </w:r>
      <w:r w:rsidR="00E07761">
        <w:rPr>
          <w:rFonts w:asciiTheme="majorHAnsi" w:hAnsiTheme="majorHAnsi" w:cstheme="majorHAnsi"/>
          <w:color w:val="00000F"/>
          <w:sz w:val="22"/>
          <w:szCs w:val="22"/>
        </w:rPr>
        <w:t>may limit longer-term growth</w:t>
      </w:r>
      <w:r w:rsidR="00F30B07">
        <w:rPr>
          <w:rFonts w:asciiTheme="majorHAnsi" w:hAnsiTheme="majorHAnsi" w:cstheme="majorHAnsi"/>
          <w:color w:val="00000F"/>
          <w:sz w:val="22"/>
          <w:szCs w:val="22"/>
        </w:rPr>
        <w:t xml:space="preserve">. </w:t>
      </w:r>
      <w:r w:rsidR="00EA0225">
        <w:rPr>
          <w:rFonts w:asciiTheme="majorHAnsi" w:hAnsiTheme="majorHAnsi" w:cstheme="majorHAnsi"/>
          <w:color w:val="00000F"/>
          <w:sz w:val="22"/>
          <w:szCs w:val="22"/>
        </w:rPr>
        <w:t xml:space="preserve">Promoting a green recovery in the region is seen as one way to </w:t>
      </w:r>
      <w:r w:rsidR="00EE7410">
        <w:rPr>
          <w:rFonts w:asciiTheme="majorHAnsi" w:hAnsiTheme="majorHAnsi" w:cstheme="majorHAnsi"/>
          <w:color w:val="00000F"/>
          <w:sz w:val="22"/>
          <w:szCs w:val="22"/>
        </w:rPr>
        <w:t xml:space="preserve">balance the needs for economic growth with </w:t>
      </w:r>
      <w:r w:rsidR="005E4371">
        <w:rPr>
          <w:rFonts w:asciiTheme="majorHAnsi" w:hAnsiTheme="majorHAnsi" w:cstheme="majorHAnsi"/>
          <w:color w:val="00000F"/>
          <w:sz w:val="22"/>
          <w:szCs w:val="22"/>
        </w:rPr>
        <w:t>regional stability into the future.</w:t>
      </w:r>
      <w:r w:rsidR="001C0D4E">
        <w:rPr>
          <w:rFonts w:asciiTheme="majorHAnsi" w:hAnsiTheme="majorHAnsi" w:cstheme="majorHAnsi"/>
          <w:color w:val="00000F"/>
          <w:sz w:val="22"/>
          <w:szCs w:val="22"/>
        </w:rPr>
        <w:t xml:space="preserve"> </w:t>
      </w:r>
    </w:p>
    <w:p w14:paraId="59C7889B" w14:textId="77777777" w:rsidR="005C0724" w:rsidRDefault="005C0724" w:rsidP="005C0724">
      <w:pPr>
        <w:tabs>
          <w:tab w:val="left" w:pos="7780"/>
        </w:tabs>
        <w:outlineLvl w:val="0"/>
        <w:rPr>
          <w:rFonts w:asciiTheme="majorHAnsi" w:hAnsiTheme="majorHAnsi" w:cstheme="majorHAnsi"/>
          <w:color w:val="0E1428"/>
          <w:sz w:val="36"/>
          <w:szCs w:val="36"/>
        </w:rPr>
      </w:pPr>
    </w:p>
    <w:p w14:paraId="56D08FA1" w14:textId="77777777" w:rsidR="005C0724" w:rsidRPr="00611197" w:rsidRDefault="006F2AD6" w:rsidP="00611197">
      <w:pPr>
        <w:pStyle w:val="Heading2A"/>
        <w:rPr>
          <w:rStyle w:val="Heading"/>
        </w:rPr>
      </w:pPr>
      <w:bookmarkStart w:id="19" w:name="_Toc72104077"/>
      <w:r w:rsidRPr="00611197">
        <w:rPr>
          <w:rStyle w:val="Heading"/>
        </w:rPr>
        <w:t xml:space="preserve">STRATEGIC </w:t>
      </w:r>
      <w:r w:rsidR="005C0724" w:rsidRPr="00611197">
        <w:rPr>
          <w:rStyle w:val="Heading"/>
        </w:rPr>
        <w:t xml:space="preserve">ASSESSMENT </w:t>
      </w:r>
      <w:r w:rsidRPr="00611197">
        <w:rPr>
          <w:rStyle w:val="Heading"/>
        </w:rPr>
        <w:t>-</w:t>
      </w:r>
      <w:r w:rsidR="005C0724" w:rsidRPr="00611197">
        <w:rPr>
          <w:rStyle w:val="Heading"/>
        </w:rPr>
        <w:t xml:space="preserve"> THE PARTNERSHIP MODEL</w:t>
      </w:r>
      <w:bookmarkEnd w:id="19"/>
    </w:p>
    <w:p w14:paraId="1A22EDDB"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b/>
          <w:bCs/>
          <w:color w:val="00000F"/>
          <w:sz w:val="22"/>
          <w:szCs w:val="22"/>
        </w:rPr>
      </w:pPr>
    </w:p>
    <w:p w14:paraId="490BA048" w14:textId="4C960405" w:rsidR="00E21E7F" w:rsidRPr="006F2AD6" w:rsidRDefault="006D630F" w:rsidP="005C0724">
      <w:pPr>
        <w:suppressAutoHyphens/>
        <w:autoSpaceDE w:val="0"/>
        <w:autoSpaceDN w:val="0"/>
        <w:adjustRightInd w:val="0"/>
        <w:spacing w:line="288" w:lineRule="auto"/>
        <w:jc w:val="both"/>
        <w:textAlignment w:val="center"/>
        <w:rPr>
          <w:rFonts w:asciiTheme="majorHAnsi" w:hAnsiTheme="majorHAnsi" w:cstheme="majorHAnsi"/>
          <w:b/>
          <w:bCs/>
          <w:color w:val="00000F"/>
          <w:sz w:val="22"/>
          <w:szCs w:val="22"/>
        </w:rPr>
      </w:pPr>
      <w:r w:rsidRPr="006D630F">
        <w:rPr>
          <w:rFonts w:asciiTheme="majorHAnsi" w:hAnsiTheme="majorHAnsi" w:cstheme="majorHAnsi"/>
          <w:b/>
          <w:bCs/>
          <w:color w:val="00000F"/>
          <w:sz w:val="22"/>
          <w:szCs w:val="22"/>
        </w:rPr>
        <w:t>In its current form, the Partnership model will not achieve its intended outcomes by the end of the program</w:t>
      </w:r>
      <w:r w:rsidR="00E21E7F">
        <w:rPr>
          <w:rFonts w:asciiTheme="majorHAnsi" w:hAnsiTheme="majorHAnsi" w:cstheme="majorHAnsi"/>
          <w:b/>
          <w:bCs/>
          <w:color w:val="00000F"/>
          <w:sz w:val="22"/>
          <w:szCs w:val="22"/>
        </w:rPr>
        <w:t xml:space="preserve">. </w:t>
      </w:r>
      <w:r w:rsidR="00E21E7F" w:rsidRPr="00F5375F">
        <w:rPr>
          <w:rFonts w:asciiTheme="majorHAnsi" w:hAnsiTheme="majorHAnsi" w:cstheme="majorHAnsi"/>
          <w:color w:val="00000F"/>
          <w:sz w:val="22"/>
          <w:szCs w:val="22"/>
        </w:rPr>
        <w:t>Despite good intentions</w:t>
      </w:r>
      <w:r w:rsidR="00B472C4">
        <w:rPr>
          <w:rFonts w:asciiTheme="majorHAnsi" w:hAnsiTheme="majorHAnsi" w:cstheme="majorHAnsi"/>
          <w:color w:val="00000F"/>
          <w:sz w:val="22"/>
          <w:szCs w:val="22"/>
        </w:rPr>
        <w:t xml:space="preserve"> and some isolated examples</w:t>
      </w:r>
      <w:r w:rsidR="00D518C2">
        <w:rPr>
          <w:rFonts w:asciiTheme="majorHAnsi" w:hAnsiTheme="majorHAnsi" w:cstheme="majorHAnsi"/>
          <w:color w:val="00000F"/>
          <w:sz w:val="22"/>
          <w:szCs w:val="22"/>
        </w:rPr>
        <w:t xml:space="preserve"> of collaboration</w:t>
      </w:r>
      <w:r w:rsidR="00E21E7F" w:rsidRPr="00F5375F">
        <w:rPr>
          <w:rFonts w:asciiTheme="majorHAnsi" w:hAnsiTheme="majorHAnsi" w:cstheme="majorHAnsi"/>
          <w:color w:val="00000F"/>
          <w:sz w:val="22"/>
          <w:szCs w:val="22"/>
        </w:rPr>
        <w:t xml:space="preserve">, it </w:t>
      </w:r>
      <w:r w:rsidR="005C0724" w:rsidRPr="00F5375F">
        <w:rPr>
          <w:rFonts w:asciiTheme="majorHAnsi" w:hAnsiTheme="majorHAnsi" w:cstheme="majorHAnsi"/>
          <w:color w:val="00000F"/>
          <w:sz w:val="22"/>
          <w:szCs w:val="22"/>
        </w:rPr>
        <w:t xml:space="preserve">has </w:t>
      </w:r>
      <w:r w:rsidR="00E21E7F" w:rsidRPr="00F5375F">
        <w:rPr>
          <w:rFonts w:asciiTheme="majorHAnsi" w:hAnsiTheme="majorHAnsi" w:cstheme="majorHAnsi"/>
          <w:color w:val="00000F"/>
          <w:sz w:val="22"/>
          <w:szCs w:val="22"/>
        </w:rPr>
        <w:t xml:space="preserve">not </w:t>
      </w:r>
      <w:r w:rsidR="00AA7F46">
        <w:rPr>
          <w:rFonts w:asciiTheme="majorHAnsi" w:hAnsiTheme="majorHAnsi" w:cstheme="majorHAnsi"/>
          <w:color w:val="00000F"/>
          <w:sz w:val="22"/>
          <w:szCs w:val="22"/>
        </w:rPr>
        <w:t xml:space="preserve">yet </w:t>
      </w:r>
      <w:r w:rsidR="00E21E7F" w:rsidRPr="00F5375F">
        <w:rPr>
          <w:rFonts w:asciiTheme="majorHAnsi" w:hAnsiTheme="majorHAnsi" w:cstheme="majorHAnsi"/>
          <w:color w:val="00000F"/>
          <w:sz w:val="22"/>
          <w:szCs w:val="22"/>
        </w:rPr>
        <w:t xml:space="preserve">been able </w:t>
      </w:r>
      <w:r w:rsidR="005C0724" w:rsidRPr="00F5375F">
        <w:rPr>
          <w:rFonts w:asciiTheme="majorHAnsi" w:hAnsiTheme="majorHAnsi" w:cstheme="majorHAnsi"/>
          <w:color w:val="00000F"/>
          <w:sz w:val="22"/>
          <w:szCs w:val="22"/>
        </w:rPr>
        <w:t xml:space="preserve">to </w:t>
      </w:r>
      <w:r w:rsidR="00E21E7F" w:rsidRPr="00F5375F">
        <w:rPr>
          <w:rFonts w:asciiTheme="majorHAnsi" w:hAnsiTheme="majorHAnsi" w:cstheme="majorHAnsi"/>
          <w:color w:val="00000F"/>
          <w:sz w:val="22"/>
          <w:szCs w:val="22"/>
        </w:rPr>
        <w:t>demonstrate</w:t>
      </w:r>
      <w:r w:rsidR="005C0724" w:rsidRPr="00F5375F">
        <w:rPr>
          <w:rFonts w:asciiTheme="majorHAnsi" w:hAnsiTheme="majorHAnsi" w:cstheme="majorHAnsi"/>
          <w:color w:val="00000F"/>
          <w:sz w:val="22"/>
          <w:szCs w:val="22"/>
        </w:rPr>
        <w:t xml:space="preserve"> its </w:t>
      </w:r>
      <w:r w:rsidR="00E21E7F" w:rsidRPr="00F5375F">
        <w:rPr>
          <w:rFonts w:asciiTheme="majorHAnsi" w:hAnsiTheme="majorHAnsi" w:cstheme="majorHAnsi"/>
          <w:color w:val="00000F"/>
          <w:sz w:val="22"/>
          <w:szCs w:val="22"/>
        </w:rPr>
        <w:t>benefits</w:t>
      </w:r>
      <w:r w:rsidR="005C0724" w:rsidRPr="00F5375F">
        <w:rPr>
          <w:rFonts w:asciiTheme="majorHAnsi" w:hAnsiTheme="majorHAnsi" w:cstheme="majorHAnsi"/>
          <w:color w:val="00000F"/>
          <w:sz w:val="22"/>
          <w:szCs w:val="22"/>
        </w:rPr>
        <w:t xml:space="preserve"> in the Pacific beyond the three sub-program components.</w:t>
      </w:r>
      <w:r w:rsidR="005C0724">
        <w:rPr>
          <w:rFonts w:asciiTheme="majorHAnsi" w:hAnsiTheme="majorHAnsi" w:cstheme="majorHAnsi"/>
          <w:b/>
          <w:bCs/>
          <w:color w:val="00000F"/>
          <w:sz w:val="22"/>
          <w:szCs w:val="22"/>
        </w:rPr>
        <w:t xml:space="preserve"> </w:t>
      </w:r>
      <w:r w:rsidR="00651159">
        <w:rPr>
          <w:rFonts w:asciiTheme="majorHAnsi" w:hAnsiTheme="majorHAnsi" w:cstheme="majorHAnsi"/>
          <w:color w:val="00000F"/>
          <w:sz w:val="22"/>
          <w:szCs w:val="22"/>
        </w:rPr>
        <w:t>T</w:t>
      </w:r>
      <w:r w:rsidR="00624CFC" w:rsidRPr="00F5375F">
        <w:rPr>
          <w:rFonts w:asciiTheme="majorHAnsi" w:hAnsiTheme="majorHAnsi" w:cstheme="majorHAnsi"/>
          <w:color w:val="00000F"/>
          <w:sz w:val="22"/>
          <w:szCs w:val="22"/>
        </w:rPr>
        <w:t xml:space="preserve">he Partnership model </w:t>
      </w:r>
      <w:r w:rsidR="00651159">
        <w:rPr>
          <w:rFonts w:asciiTheme="majorHAnsi" w:hAnsiTheme="majorHAnsi" w:cstheme="majorHAnsi"/>
          <w:color w:val="00000F"/>
          <w:sz w:val="22"/>
          <w:szCs w:val="22"/>
        </w:rPr>
        <w:t>has been unable to overcome structural and historical differences</w:t>
      </w:r>
      <w:r w:rsidR="006A0D2E">
        <w:rPr>
          <w:rFonts w:asciiTheme="majorHAnsi" w:hAnsiTheme="majorHAnsi" w:cstheme="majorHAnsi"/>
          <w:color w:val="00000F"/>
          <w:sz w:val="22"/>
          <w:szCs w:val="22"/>
        </w:rPr>
        <w:t>, and</w:t>
      </w:r>
      <w:r w:rsidR="00651159">
        <w:rPr>
          <w:rFonts w:asciiTheme="majorHAnsi" w:hAnsiTheme="majorHAnsi" w:cstheme="majorHAnsi"/>
          <w:color w:val="00000F"/>
          <w:sz w:val="22"/>
          <w:szCs w:val="22"/>
        </w:rPr>
        <w:t xml:space="preserve"> </w:t>
      </w:r>
      <w:r w:rsidR="00624CFC" w:rsidRPr="00F5375F">
        <w:rPr>
          <w:rFonts w:asciiTheme="majorHAnsi" w:hAnsiTheme="majorHAnsi" w:cstheme="majorHAnsi"/>
          <w:color w:val="00000F"/>
          <w:sz w:val="22"/>
          <w:szCs w:val="22"/>
        </w:rPr>
        <w:t xml:space="preserve">is adding another </w:t>
      </w:r>
      <w:r w:rsidR="00624CFC">
        <w:rPr>
          <w:rFonts w:asciiTheme="majorHAnsi" w:hAnsiTheme="majorHAnsi" w:cstheme="majorHAnsi"/>
          <w:color w:val="00000F"/>
          <w:sz w:val="22"/>
          <w:szCs w:val="22"/>
        </w:rPr>
        <w:t xml:space="preserve">layer </w:t>
      </w:r>
      <w:r w:rsidR="00624CFC" w:rsidRPr="00F5375F">
        <w:rPr>
          <w:rFonts w:asciiTheme="majorHAnsi" w:hAnsiTheme="majorHAnsi" w:cstheme="majorHAnsi"/>
          <w:color w:val="00000F"/>
          <w:sz w:val="22"/>
          <w:szCs w:val="22"/>
        </w:rPr>
        <w:t>of</w:t>
      </w:r>
      <w:r w:rsidR="00624CFC">
        <w:rPr>
          <w:rFonts w:asciiTheme="majorHAnsi" w:hAnsiTheme="majorHAnsi" w:cstheme="majorHAnsi"/>
          <w:color w:val="00000F"/>
          <w:sz w:val="22"/>
          <w:szCs w:val="22"/>
        </w:rPr>
        <w:t xml:space="preserve"> organisation that is diverting effort from achieving sub-program objectives. </w:t>
      </w:r>
      <w:r w:rsidR="00651159">
        <w:rPr>
          <w:rFonts w:asciiTheme="majorHAnsi" w:hAnsiTheme="majorHAnsi" w:cstheme="majorHAnsi"/>
          <w:color w:val="00000F"/>
          <w:sz w:val="22"/>
          <w:szCs w:val="22"/>
        </w:rPr>
        <w:t xml:space="preserve"> In the eye of many stakeholders, the Partnership has come to mean the Support Unit only.</w:t>
      </w:r>
    </w:p>
    <w:p w14:paraId="5E10CD0F" w14:textId="77777777" w:rsidR="00E21E7F" w:rsidRDefault="00E21E7F" w:rsidP="005C0724">
      <w:pPr>
        <w:suppressAutoHyphens/>
        <w:autoSpaceDE w:val="0"/>
        <w:autoSpaceDN w:val="0"/>
        <w:adjustRightInd w:val="0"/>
        <w:spacing w:line="288" w:lineRule="auto"/>
        <w:jc w:val="both"/>
        <w:textAlignment w:val="center"/>
        <w:rPr>
          <w:rFonts w:asciiTheme="majorHAnsi" w:hAnsiTheme="majorHAnsi" w:cstheme="majorHAnsi"/>
          <w:b/>
          <w:bCs/>
          <w:color w:val="00000F"/>
          <w:sz w:val="22"/>
          <w:szCs w:val="22"/>
        </w:rPr>
      </w:pPr>
    </w:p>
    <w:p w14:paraId="4597AFA9" w14:textId="4B62CA6C" w:rsidR="005C0724" w:rsidRDefault="005C0724" w:rsidP="0C1DC608">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 xml:space="preserve">The potential </w:t>
      </w:r>
      <w:r w:rsidR="00E21E7F" w:rsidRPr="0C1DC608">
        <w:rPr>
          <w:rFonts w:asciiTheme="majorHAnsi" w:hAnsiTheme="majorHAnsi" w:cstheme="majorBidi"/>
          <w:color w:val="00000F"/>
          <w:sz w:val="22"/>
          <w:szCs w:val="22"/>
        </w:rPr>
        <w:t xml:space="preserve">gains </w:t>
      </w:r>
      <w:r w:rsidR="00524309" w:rsidRPr="0C1DC608">
        <w:rPr>
          <w:rFonts w:asciiTheme="majorHAnsi" w:hAnsiTheme="majorHAnsi" w:cstheme="majorBidi"/>
          <w:color w:val="00000F"/>
          <w:sz w:val="22"/>
          <w:szCs w:val="22"/>
        </w:rPr>
        <w:t>from a</w:t>
      </w:r>
      <w:r w:rsidRPr="0C1DC608">
        <w:rPr>
          <w:rFonts w:asciiTheme="majorHAnsi" w:hAnsiTheme="majorHAnsi" w:cstheme="majorBidi"/>
          <w:color w:val="00000F"/>
          <w:sz w:val="22"/>
          <w:szCs w:val="22"/>
        </w:rPr>
        <w:t xml:space="preserve"> shared identity </w:t>
      </w:r>
      <w:r w:rsidR="00C730DF" w:rsidRPr="0C1DC608">
        <w:rPr>
          <w:rFonts w:asciiTheme="majorHAnsi" w:hAnsiTheme="majorHAnsi" w:cstheme="majorBidi"/>
          <w:color w:val="00000F"/>
          <w:sz w:val="22"/>
          <w:szCs w:val="22"/>
        </w:rPr>
        <w:t>and strategy</w:t>
      </w:r>
      <w:r w:rsidRPr="0C1DC608">
        <w:rPr>
          <w:rFonts w:asciiTheme="majorHAnsi" w:hAnsiTheme="majorHAnsi" w:cstheme="majorBidi"/>
          <w:color w:val="00000F"/>
          <w:sz w:val="22"/>
          <w:szCs w:val="22"/>
        </w:rPr>
        <w:t xml:space="preserve"> for Australia’s contributions to climate and disaster information</w:t>
      </w:r>
      <w:r w:rsidRPr="0C1DC608">
        <w:rPr>
          <w:rFonts w:asciiTheme="majorHAnsi" w:hAnsiTheme="majorHAnsi" w:cstheme="majorBidi"/>
          <w:b/>
          <w:bCs/>
          <w:color w:val="00000F"/>
          <w:sz w:val="22"/>
          <w:szCs w:val="22"/>
        </w:rPr>
        <w:t xml:space="preserve"> </w:t>
      </w:r>
      <w:r w:rsidRPr="0C1DC608">
        <w:rPr>
          <w:rFonts w:asciiTheme="majorHAnsi" w:hAnsiTheme="majorHAnsi" w:cstheme="majorBidi"/>
          <w:color w:val="00000F"/>
          <w:sz w:val="22"/>
          <w:szCs w:val="22"/>
        </w:rPr>
        <w:t xml:space="preserve">have not </w:t>
      </w:r>
      <w:r w:rsidR="009A1F36">
        <w:rPr>
          <w:rFonts w:asciiTheme="majorHAnsi" w:hAnsiTheme="majorHAnsi" w:cstheme="majorBidi"/>
          <w:color w:val="00000F"/>
          <w:sz w:val="22"/>
          <w:szCs w:val="22"/>
        </w:rPr>
        <w:t xml:space="preserve">yet </w:t>
      </w:r>
      <w:r w:rsidRPr="0C1DC608">
        <w:rPr>
          <w:rFonts w:asciiTheme="majorHAnsi" w:hAnsiTheme="majorHAnsi" w:cstheme="majorBidi"/>
          <w:color w:val="00000F"/>
          <w:sz w:val="22"/>
          <w:szCs w:val="22"/>
        </w:rPr>
        <w:t xml:space="preserve">been realised.  The original rationale for combining the three sub-programs under the Partnership was loosely defined to promote flexibility and respond to the needs of the Pacific region. However, the lack of formalised Partnership structures </w:t>
      </w:r>
      <w:r w:rsidR="00E21E7F" w:rsidRPr="0C1DC608">
        <w:rPr>
          <w:rFonts w:asciiTheme="majorHAnsi" w:hAnsiTheme="majorHAnsi" w:cstheme="majorBidi"/>
          <w:color w:val="00000F"/>
          <w:sz w:val="22"/>
          <w:szCs w:val="22"/>
        </w:rPr>
        <w:t xml:space="preserve">and dedicated resources </w:t>
      </w:r>
      <w:r w:rsidRPr="0C1DC608">
        <w:rPr>
          <w:rFonts w:asciiTheme="majorHAnsi" w:hAnsiTheme="majorHAnsi" w:cstheme="majorBidi"/>
          <w:color w:val="00000F"/>
          <w:sz w:val="22"/>
          <w:szCs w:val="22"/>
        </w:rPr>
        <w:t xml:space="preserve">has provided few incentives for collaboration and is reliant on goodwill between the sub-program team leaders. </w:t>
      </w:r>
      <w:r w:rsidR="0093375E">
        <w:rPr>
          <w:rFonts w:asciiTheme="majorHAnsi" w:hAnsiTheme="majorHAnsi" w:cstheme="majorBidi"/>
          <w:color w:val="00000F"/>
          <w:sz w:val="22"/>
          <w:szCs w:val="22"/>
        </w:rPr>
        <w:t xml:space="preserve">DFAT’s clear preference for the life of the program has been to promote the Australian Government’s support for climate change and disaster resilience, not the partnership itself. As such, a </w:t>
      </w:r>
      <w:r w:rsidRPr="0C1DC608">
        <w:rPr>
          <w:rFonts w:asciiTheme="majorHAnsi" w:hAnsiTheme="majorHAnsi" w:cstheme="majorBidi"/>
          <w:color w:val="00000F"/>
          <w:sz w:val="22"/>
          <w:szCs w:val="22"/>
        </w:rPr>
        <w:t xml:space="preserve">Partnership branding has not been </w:t>
      </w:r>
      <w:r w:rsidR="0093375E">
        <w:rPr>
          <w:rFonts w:asciiTheme="majorHAnsi" w:hAnsiTheme="majorHAnsi" w:cstheme="majorBidi"/>
          <w:color w:val="00000F"/>
          <w:sz w:val="22"/>
          <w:szCs w:val="22"/>
        </w:rPr>
        <w:t>developed</w:t>
      </w:r>
      <w:r w:rsidR="00F07400" w:rsidRPr="0C1DC608">
        <w:rPr>
          <w:rFonts w:asciiTheme="majorHAnsi" w:hAnsiTheme="majorHAnsi" w:cstheme="majorBidi"/>
          <w:color w:val="00000F"/>
          <w:sz w:val="22"/>
          <w:szCs w:val="22"/>
        </w:rPr>
        <w:t>,</w:t>
      </w:r>
      <w:r w:rsidRPr="0C1DC608">
        <w:rPr>
          <w:rFonts w:asciiTheme="majorHAnsi" w:hAnsiTheme="majorHAnsi" w:cstheme="majorBidi"/>
          <w:color w:val="00000F"/>
          <w:sz w:val="22"/>
          <w:szCs w:val="22"/>
        </w:rPr>
        <w:t xml:space="preserve"> </w:t>
      </w:r>
      <w:r w:rsidR="0093375E">
        <w:rPr>
          <w:rFonts w:asciiTheme="majorHAnsi" w:hAnsiTheme="majorHAnsi" w:cstheme="majorBidi"/>
          <w:color w:val="00000F"/>
          <w:sz w:val="22"/>
          <w:szCs w:val="22"/>
        </w:rPr>
        <w:t>and the potential to profile the work of the Australian Government instead</w:t>
      </w:r>
      <w:r w:rsidRPr="0C1DC608">
        <w:rPr>
          <w:rFonts w:asciiTheme="majorHAnsi" w:hAnsiTheme="majorHAnsi" w:cstheme="majorBidi"/>
          <w:color w:val="00000F"/>
          <w:sz w:val="22"/>
          <w:szCs w:val="22"/>
        </w:rPr>
        <w:t xml:space="preserve"> has fallen short in influenc</w:t>
      </w:r>
      <w:r w:rsidR="0093375E">
        <w:rPr>
          <w:rFonts w:asciiTheme="majorHAnsi" w:hAnsiTheme="majorHAnsi" w:cstheme="majorBidi"/>
          <w:color w:val="00000F"/>
          <w:sz w:val="22"/>
          <w:szCs w:val="22"/>
        </w:rPr>
        <w:t>ing</w:t>
      </w:r>
      <w:r w:rsidRPr="0C1DC608">
        <w:rPr>
          <w:rFonts w:asciiTheme="majorHAnsi" w:hAnsiTheme="majorHAnsi" w:cstheme="majorBidi"/>
          <w:color w:val="00000F"/>
          <w:sz w:val="22"/>
          <w:szCs w:val="22"/>
        </w:rPr>
        <w:t xml:space="preserve"> positive perceptions in the Pacific of Australia as a valued partner in climate change action and DRR</w:t>
      </w:r>
      <w:r w:rsidR="0093375E">
        <w:rPr>
          <w:rFonts w:asciiTheme="majorHAnsi" w:hAnsiTheme="majorHAnsi" w:cstheme="majorBidi"/>
          <w:color w:val="00000F"/>
          <w:sz w:val="22"/>
          <w:szCs w:val="22"/>
        </w:rPr>
        <w:t xml:space="preserve">. </w:t>
      </w:r>
    </w:p>
    <w:p w14:paraId="673ABFDB"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53DF301D"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It was well-recognised amongst partners that the three sub-programs are very different on many fronts: they have different programmatic histories; the timing for commencement and completion of the sub-programs is different; the high-level objectives of each program are different; and the organisational ways of working of each sub program partner and their institutional culture are very different.</w:t>
      </w:r>
    </w:p>
    <w:p w14:paraId="3445B688"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71784BC1" w14:textId="77777777" w:rsidR="005C0724" w:rsidRPr="000A33B5"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Stakeholders have more visibility of the individual contributions being made by the sub-programs and as a result there was a common and broad acceptance of the Partnership SU as being the main vehicle for the Partnership brand in the Pacific. </w:t>
      </w:r>
    </w:p>
    <w:p w14:paraId="2EFF2ED7"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b/>
          <w:bCs/>
          <w:color w:val="00000F"/>
          <w:sz w:val="22"/>
          <w:szCs w:val="22"/>
        </w:rPr>
      </w:pPr>
    </w:p>
    <w:p w14:paraId="0EB4AE2C" w14:textId="482B81BB"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b/>
          <w:bCs/>
          <w:color w:val="00000F"/>
          <w:sz w:val="22"/>
          <w:szCs w:val="22"/>
        </w:rPr>
        <w:t>The Partnership</w:t>
      </w:r>
      <w:r w:rsidRPr="00D911F7">
        <w:rPr>
          <w:rFonts w:asciiTheme="majorHAnsi" w:hAnsiTheme="majorHAnsi" w:cstheme="majorHAnsi"/>
          <w:b/>
          <w:bCs/>
          <w:color w:val="00000F"/>
          <w:sz w:val="22"/>
          <w:szCs w:val="22"/>
        </w:rPr>
        <w:t xml:space="preserve"> has demonstrated some </w:t>
      </w:r>
      <w:r w:rsidR="00651159">
        <w:rPr>
          <w:rFonts w:asciiTheme="majorHAnsi" w:hAnsiTheme="majorHAnsi" w:cstheme="majorHAnsi"/>
          <w:b/>
          <w:bCs/>
          <w:color w:val="00000F"/>
          <w:sz w:val="22"/>
          <w:szCs w:val="22"/>
        </w:rPr>
        <w:t xml:space="preserve">isolated and </w:t>
      </w:r>
      <w:r w:rsidRPr="00D911F7">
        <w:rPr>
          <w:rFonts w:asciiTheme="majorHAnsi" w:hAnsiTheme="majorHAnsi" w:cstheme="majorHAnsi"/>
          <w:b/>
          <w:bCs/>
          <w:color w:val="00000F"/>
          <w:sz w:val="22"/>
          <w:szCs w:val="22"/>
        </w:rPr>
        <w:t>discrete areas of collaboration that have added value beyond their individual workstreams.</w:t>
      </w:r>
      <w:r w:rsidRPr="00D911F7">
        <w:rPr>
          <w:rFonts w:asciiTheme="majorHAnsi" w:hAnsiTheme="majorHAnsi" w:cstheme="majorHAnsi"/>
          <w:color w:val="00000F"/>
          <w:sz w:val="22"/>
          <w:szCs w:val="22"/>
        </w:rPr>
        <w:t xml:space="preserve">  </w:t>
      </w:r>
      <w:r>
        <w:rPr>
          <w:rFonts w:asciiTheme="majorHAnsi" w:hAnsiTheme="majorHAnsi" w:cstheme="majorHAnsi"/>
          <w:color w:val="00000F"/>
          <w:sz w:val="22"/>
          <w:szCs w:val="22"/>
        </w:rPr>
        <w:t xml:space="preserve">The team leaders have instigated regular dialogues at a management level to share information and identify opportunities where they can support or extend their programs to meet shared Partnership objectives.  The other significant collaboration has been the Regional Workshop held in </w:t>
      </w:r>
      <w:r w:rsidR="00DD5386">
        <w:rPr>
          <w:rFonts w:asciiTheme="majorHAnsi" w:hAnsiTheme="majorHAnsi" w:cstheme="majorHAnsi"/>
          <w:color w:val="00000F"/>
          <w:sz w:val="22"/>
          <w:szCs w:val="22"/>
        </w:rPr>
        <w:t xml:space="preserve">2018 (Fiji) and </w:t>
      </w:r>
      <w:r>
        <w:rPr>
          <w:rFonts w:asciiTheme="majorHAnsi" w:hAnsiTheme="majorHAnsi" w:cstheme="majorHAnsi"/>
          <w:color w:val="00000F"/>
          <w:sz w:val="22"/>
          <w:szCs w:val="22"/>
        </w:rPr>
        <w:t>2019</w:t>
      </w:r>
      <w:r w:rsidR="00DD5386">
        <w:rPr>
          <w:rFonts w:asciiTheme="majorHAnsi" w:hAnsiTheme="majorHAnsi" w:cstheme="majorHAnsi"/>
          <w:color w:val="00000F"/>
          <w:sz w:val="22"/>
          <w:szCs w:val="22"/>
        </w:rPr>
        <w:t xml:space="preserve"> (Canberra)</w:t>
      </w:r>
      <w:r>
        <w:rPr>
          <w:rFonts w:asciiTheme="majorHAnsi" w:hAnsiTheme="majorHAnsi" w:cstheme="majorHAnsi"/>
          <w:color w:val="00000F"/>
          <w:sz w:val="22"/>
          <w:szCs w:val="22"/>
        </w:rPr>
        <w:t xml:space="preserve"> (due to COVID-19 the 2020 workshop did not proceed) that brought together implementing partners from the sub programs with key DFAT staff and stakeholders in the region. Th</w:t>
      </w:r>
      <w:r w:rsidR="00311D66">
        <w:rPr>
          <w:rFonts w:asciiTheme="majorHAnsi" w:hAnsiTheme="majorHAnsi" w:cstheme="majorHAnsi"/>
          <w:color w:val="00000F"/>
          <w:sz w:val="22"/>
          <w:szCs w:val="22"/>
        </w:rPr>
        <w:t>ese</w:t>
      </w:r>
      <w:r>
        <w:rPr>
          <w:rFonts w:asciiTheme="majorHAnsi" w:hAnsiTheme="majorHAnsi" w:cstheme="majorHAnsi"/>
          <w:color w:val="00000F"/>
          <w:sz w:val="22"/>
          <w:szCs w:val="22"/>
        </w:rPr>
        <w:t xml:space="preserve"> event</w:t>
      </w:r>
      <w:r w:rsidR="00DD5386">
        <w:rPr>
          <w:rFonts w:asciiTheme="majorHAnsi" w:hAnsiTheme="majorHAnsi" w:cstheme="majorHAnsi"/>
          <w:color w:val="00000F"/>
          <w:sz w:val="22"/>
          <w:szCs w:val="22"/>
        </w:rPr>
        <w:t xml:space="preserve">s </w:t>
      </w:r>
      <w:r>
        <w:rPr>
          <w:rFonts w:asciiTheme="majorHAnsi" w:hAnsiTheme="majorHAnsi" w:cstheme="majorHAnsi"/>
          <w:color w:val="00000F"/>
          <w:sz w:val="22"/>
          <w:szCs w:val="22"/>
        </w:rPr>
        <w:t>w</w:t>
      </w:r>
      <w:r w:rsidR="00DD5386">
        <w:rPr>
          <w:rFonts w:asciiTheme="majorHAnsi" w:hAnsiTheme="majorHAnsi" w:cstheme="majorHAnsi"/>
          <w:color w:val="00000F"/>
          <w:sz w:val="22"/>
          <w:szCs w:val="22"/>
        </w:rPr>
        <w:t>ere</w:t>
      </w:r>
      <w:r>
        <w:rPr>
          <w:rFonts w:asciiTheme="majorHAnsi" w:hAnsiTheme="majorHAnsi" w:cstheme="majorHAnsi"/>
          <w:color w:val="00000F"/>
          <w:sz w:val="22"/>
          <w:szCs w:val="22"/>
        </w:rPr>
        <w:t xml:space="preserve"> well-received and provided a space for learning and networking among participants with a view to strengthen the Partnership implementation. </w:t>
      </w:r>
    </w:p>
    <w:p w14:paraId="448A8D13" w14:textId="77777777" w:rsidR="005C0724" w:rsidRPr="00191E96"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1252E97F"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8508C">
        <w:rPr>
          <w:rFonts w:asciiTheme="majorHAnsi" w:hAnsiTheme="majorHAnsi" w:cstheme="majorHAnsi"/>
          <w:b/>
          <w:bCs/>
          <w:color w:val="00000F"/>
          <w:sz w:val="22"/>
          <w:szCs w:val="22"/>
        </w:rPr>
        <w:t>The focus for the sub-programs has been on delivering results under their individual program frameworks rather than a shared overarching strategy.</w:t>
      </w:r>
      <w:r w:rsidRPr="00576CA2">
        <w:rPr>
          <w:rFonts w:asciiTheme="majorHAnsi" w:hAnsiTheme="majorHAnsi" w:cstheme="majorHAnsi"/>
          <w:color w:val="00000F"/>
          <w:sz w:val="22"/>
          <w:szCs w:val="22"/>
        </w:rPr>
        <w:t xml:space="preserve"> </w:t>
      </w:r>
      <w:r>
        <w:rPr>
          <w:rFonts w:asciiTheme="majorHAnsi" w:hAnsiTheme="majorHAnsi" w:cstheme="majorHAnsi"/>
          <w:color w:val="00000F"/>
          <w:sz w:val="22"/>
          <w:szCs w:val="22"/>
        </w:rPr>
        <w:t xml:space="preserve">Much of the success achieved by the Partnership has been through the individual programs and the relationships they have made in the Pacific. </w:t>
      </w:r>
      <w:r w:rsidRPr="00684E2B">
        <w:rPr>
          <w:rFonts w:asciiTheme="majorHAnsi" w:hAnsiTheme="majorHAnsi" w:cstheme="majorHAnsi"/>
          <w:color w:val="00000F"/>
          <w:sz w:val="22"/>
          <w:szCs w:val="22"/>
        </w:rPr>
        <w:t xml:space="preserve">Where the Programs are responding to specific needs of Pacific stakeholders and working in tandem with them to address those gaps or </w:t>
      </w:r>
      <w:r w:rsidR="00C363FA" w:rsidRPr="005242E5">
        <w:rPr>
          <w:rFonts w:asciiTheme="majorHAnsi" w:hAnsiTheme="majorHAnsi" w:cstheme="majorHAnsi"/>
          <w:color w:val="00000F"/>
          <w:sz w:val="22"/>
          <w:szCs w:val="22"/>
        </w:rPr>
        <w:t>challenges,</w:t>
      </w:r>
      <w:r w:rsidRPr="00684E2B">
        <w:rPr>
          <w:rFonts w:asciiTheme="majorHAnsi" w:hAnsiTheme="majorHAnsi" w:cstheme="majorHAnsi"/>
          <w:color w:val="00000F"/>
          <w:sz w:val="22"/>
          <w:szCs w:val="22"/>
        </w:rPr>
        <w:t xml:space="preserve"> they are demonstrating the strongest value.</w:t>
      </w:r>
      <w:r>
        <w:rPr>
          <w:rFonts w:asciiTheme="majorHAnsi" w:hAnsiTheme="majorHAnsi" w:cstheme="majorHAnsi"/>
          <w:color w:val="00000F"/>
          <w:sz w:val="22"/>
          <w:szCs w:val="22"/>
        </w:rPr>
        <w:t xml:space="preserve"> Pacific stakeholders identified the desire to have country level coordination of the Partnership to be able to access the full benefits of the partnership approach (for example, the 3 sub-programs jointly identifying or responding to country-specific needs and developing a plan to address it in partnership). They re-iterated that the Pacific region is not homogenous and requires nuanced understanding of the different culture both within and between countries.</w:t>
      </w:r>
    </w:p>
    <w:p w14:paraId="11D46D94" w14:textId="77777777" w:rsidR="005C0724" w:rsidRDefault="005C0724" w:rsidP="005C0724">
      <w:pPr>
        <w:jc w:val="both"/>
        <w:rPr>
          <w:rFonts w:asciiTheme="majorHAnsi" w:hAnsiTheme="majorHAnsi" w:cstheme="majorHAnsi"/>
          <w:color w:val="00000F"/>
          <w:sz w:val="22"/>
          <w:szCs w:val="22"/>
        </w:rPr>
      </w:pPr>
    </w:p>
    <w:p w14:paraId="1D7C8256"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While not an example of collaboration, </w:t>
      </w:r>
      <w:r w:rsidRPr="00684E2B">
        <w:rPr>
          <w:rFonts w:asciiTheme="majorHAnsi" w:hAnsiTheme="majorHAnsi" w:cstheme="majorHAnsi"/>
          <w:color w:val="00000F"/>
          <w:sz w:val="22"/>
          <w:szCs w:val="22"/>
        </w:rPr>
        <w:t xml:space="preserve">the Partnership has also created incentives for partners to push beyond their traditional comfort zones and consider the different approaches to achieving their goals. For example, COSPPac2 considering approaches to generating and delivering climate science that </w:t>
      </w:r>
      <w:r w:rsidRPr="005242E5">
        <w:rPr>
          <w:rFonts w:asciiTheme="majorHAnsi" w:hAnsiTheme="majorHAnsi" w:cstheme="majorHAnsi"/>
          <w:color w:val="00000F"/>
          <w:sz w:val="22"/>
          <w:szCs w:val="22"/>
        </w:rPr>
        <w:t>go beyond a client-focused approach to incorporate community level engagement.</w:t>
      </w:r>
      <w:r>
        <w:rPr>
          <w:rFonts w:asciiTheme="majorHAnsi" w:hAnsiTheme="majorHAnsi" w:cstheme="majorHAnsi"/>
          <w:color w:val="00000F"/>
          <w:sz w:val="22"/>
          <w:szCs w:val="22"/>
        </w:rPr>
        <w:t xml:space="preserve"> </w:t>
      </w:r>
    </w:p>
    <w:p w14:paraId="4CA0E03A" w14:textId="77777777" w:rsidR="005C0724" w:rsidRPr="00D911F7"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52C6F9BF" w14:textId="481CBCC6" w:rsidR="005C0724" w:rsidRPr="0057216D" w:rsidRDefault="005C0724" w:rsidP="005C0724">
      <w:pPr>
        <w:suppressAutoHyphens/>
        <w:autoSpaceDE w:val="0"/>
        <w:autoSpaceDN w:val="0"/>
        <w:adjustRightInd w:val="0"/>
        <w:spacing w:line="288" w:lineRule="auto"/>
        <w:jc w:val="both"/>
        <w:textAlignment w:val="center"/>
        <w:rPr>
          <w:rFonts w:asciiTheme="majorHAnsi" w:hAnsiTheme="majorHAnsi" w:cstheme="majorHAnsi"/>
          <w:sz w:val="22"/>
          <w:szCs w:val="22"/>
        </w:rPr>
      </w:pPr>
      <w:r w:rsidRPr="0057216D">
        <w:rPr>
          <w:rFonts w:asciiTheme="majorHAnsi" w:hAnsiTheme="majorHAnsi" w:cstheme="majorHAnsi"/>
          <w:b/>
          <w:bCs/>
          <w:sz w:val="22"/>
          <w:szCs w:val="22"/>
        </w:rPr>
        <w:t>There is a lack of dedicated resources for coordination of the partnership</w:t>
      </w:r>
      <w:r w:rsidRPr="0057216D">
        <w:rPr>
          <w:rFonts w:asciiTheme="majorHAnsi" w:hAnsiTheme="majorHAnsi" w:cstheme="majorHAnsi"/>
          <w:sz w:val="22"/>
          <w:szCs w:val="22"/>
        </w:rPr>
        <w:t xml:space="preserve"> and the role </w:t>
      </w:r>
      <w:r w:rsidR="009C7E3C" w:rsidRPr="0057216D">
        <w:rPr>
          <w:rFonts w:asciiTheme="majorHAnsi" w:hAnsiTheme="majorHAnsi" w:cstheme="majorHAnsi"/>
          <w:sz w:val="22"/>
          <w:szCs w:val="22"/>
        </w:rPr>
        <w:t xml:space="preserve">of the different sub-programs </w:t>
      </w:r>
      <w:r w:rsidRPr="0057216D">
        <w:rPr>
          <w:rFonts w:asciiTheme="majorHAnsi" w:hAnsiTheme="majorHAnsi" w:cstheme="majorHAnsi"/>
          <w:sz w:val="22"/>
          <w:szCs w:val="22"/>
        </w:rPr>
        <w:t xml:space="preserve">was </w:t>
      </w:r>
      <w:r w:rsidR="00E773F3">
        <w:rPr>
          <w:rFonts w:asciiTheme="majorHAnsi" w:hAnsiTheme="majorHAnsi" w:cstheme="majorHAnsi"/>
          <w:sz w:val="22"/>
          <w:szCs w:val="22"/>
        </w:rPr>
        <w:t>not well</w:t>
      </w:r>
      <w:r w:rsidR="00E773F3" w:rsidRPr="0057216D">
        <w:rPr>
          <w:rFonts w:asciiTheme="majorHAnsi" w:hAnsiTheme="majorHAnsi" w:cstheme="majorHAnsi"/>
          <w:sz w:val="22"/>
          <w:szCs w:val="22"/>
        </w:rPr>
        <w:t xml:space="preserve"> </w:t>
      </w:r>
      <w:r w:rsidRPr="0057216D">
        <w:rPr>
          <w:rFonts w:asciiTheme="majorHAnsi" w:hAnsiTheme="majorHAnsi" w:cstheme="majorHAnsi"/>
          <w:sz w:val="22"/>
          <w:szCs w:val="22"/>
        </w:rPr>
        <w:t>articulated in the original design and service agreements between DFAT and the subprogram partners. DFAT’s role in supporting the Partnership has shifted over the course of the Partnership which has created further uncertainty about the roles of the partners in relation to the Partnership. Partners recognised the need to revisit roles and responsibilities to reset expectations and review the unmet needs of the Partnership model if it is to be effective.</w:t>
      </w:r>
    </w:p>
    <w:p w14:paraId="3667E4B6" w14:textId="77777777" w:rsidR="005C0724" w:rsidRPr="0057216D" w:rsidRDefault="005C0724" w:rsidP="005C0724">
      <w:pPr>
        <w:suppressAutoHyphens/>
        <w:autoSpaceDE w:val="0"/>
        <w:autoSpaceDN w:val="0"/>
        <w:adjustRightInd w:val="0"/>
        <w:spacing w:line="288" w:lineRule="auto"/>
        <w:jc w:val="both"/>
        <w:textAlignment w:val="center"/>
        <w:rPr>
          <w:rFonts w:asciiTheme="majorHAnsi" w:hAnsiTheme="majorHAnsi" w:cstheme="majorHAnsi"/>
          <w:sz w:val="22"/>
          <w:szCs w:val="22"/>
        </w:rPr>
      </w:pPr>
    </w:p>
    <w:p w14:paraId="4ABDE92B" w14:textId="77777777" w:rsidR="005C0724" w:rsidRPr="00684E2B" w:rsidRDefault="005C0724" w:rsidP="005C0724">
      <w:pPr>
        <w:suppressAutoHyphens/>
        <w:autoSpaceDE w:val="0"/>
        <w:autoSpaceDN w:val="0"/>
        <w:adjustRightInd w:val="0"/>
        <w:spacing w:line="288" w:lineRule="auto"/>
        <w:jc w:val="both"/>
        <w:textAlignment w:val="center"/>
        <w:rPr>
          <w:rFonts w:asciiTheme="majorHAnsi" w:hAnsiTheme="majorHAnsi" w:cstheme="majorHAnsi"/>
          <w:sz w:val="22"/>
          <w:szCs w:val="22"/>
        </w:rPr>
      </w:pPr>
      <w:r w:rsidRPr="0057216D">
        <w:rPr>
          <w:rFonts w:asciiTheme="majorHAnsi" w:hAnsiTheme="majorHAnsi" w:cstheme="majorHAnsi"/>
          <w:sz w:val="22"/>
          <w:szCs w:val="22"/>
        </w:rPr>
        <w:t>The management of the sub-programs by DFAT is fragmented with each sub-program managed by and reporting to different sections within DFAT. This further complicates and confuses any approaches within the Partnership to streamline activities, MEL, and reporting. Without a single point of accountability within DFAT, the sub-programs are incentivised to respond to the priorities of the section they report to. Limited communication between these relevant sections in DFAT further exacerbates this challenge.</w:t>
      </w:r>
      <w:r w:rsidRPr="00684E2B">
        <w:rPr>
          <w:rFonts w:asciiTheme="majorHAnsi" w:hAnsiTheme="majorHAnsi" w:cstheme="majorHAnsi"/>
          <w:sz w:val="22"/>
          <w:szCs w:val="22"/>
        </w:rPr>
        <w:t xml:space="preserve"> </w:t>
      </w:r>
    </w:p>
    <w:p w14:paraId="72A6E24C" w14:textId="77777777" w:rsidR="005C0724" w:rsidRPr="00684E2B" w:rsidRDefault="005C0724" w:rsidP="005C0724">
      <w:pPr>
        <w:suppressAutoHyphens/>
        <w:autoSpaceDE w:val="0"/>
        <w:autoSpaceDN w:val="0"/>
        <w:adjustRightInd w:val="0"/>
        <w:spacing w:line="288" w:lineRule="auto"/>
        <w:jc w:val="both"/>
        <w:textAlignment w:val="center"/>
        <w:rPr>
          <w:rFonts w:asciiTheme="majorHAnsi" w:hAnsiTheme="majorHAnsi" w:cstheme="majorHAnsi"/>
          <w:sz w:val="22"/>
          <w:szCs w:val="22"/>
        </w:rPr>
      </w:pPr>
    </w:p>
    <w:p w14:paraId="074468FC" w14:textId="1BA07CB2"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The </w:t>
      </w:r>
      <w:r w:rsidRPr="00C669D5">
        <w:rPr>
          <w:rFonts w:asciiTheme="majorHAnsi" w:hAnsiTheme="majorHAnsi" w:cstheme="majorHAnsi"/>
          <w:b/>
          <w:bCs/>
          <w:color w:val="00000F"/>
          <w:sz w:val="22"/>
          <w:szCs w:val="22"/>
        </w:rPr>
        <w:t>Monitoring Evaluation and Learning (MEL)</w:t>
      </w:r>
      <w:r>
        <w:rPr>
          <w:rFonts w:asciiTheme="majorHAnsi" w:hAnsiTheme="majorHAnsi" w:cstheme="majorHAnsi"/>
          <w:color w:val="00000F"/>
          <w:sz w:val="22"/>
          <w:szCs w:val="22"/>
        </w:rPr>
        <w:t xml:space="preserve"> Plan developed for the Partnership considers the different outcomes being delivered by each sub-program and provides a practical approach to conceptualising how the overall Partnership contributes to improved climate and disaster resilience in the Pacific. Collection and analysis of MEL data through the Partnership SU has resulted in a rich repository of information across the Partnership, and more broadly for Australia’s aid investments in the climate change and DRR portfolio, housed and accessed through the Partnership’s Climate Wise online platform.</w:t>
      </w:r>
      <w:r w:rsidR="00A95BC0">
        <w:rPr>
          <w:rFonts w:asciiTheme="majorHAnsi" w:hAnsiTheme="majorHAnsi" w:cstheme="majorHAnsi"/>
          <w:color w:val="00000F"/>
          <w:sz w:val="22"/>
          <w:szCs w:val="22"/>
        </w:rPr>
        <w:t xml:space="preserve"> </w:t>
      </w:r>
      <w:r w:rsidR="00BE6BE0">
        <w:rPr>
          <w:rFonts w:asciiTheme="majorHAnsi" w:hAnsiTheme="majorHAnsi" w:cstheme="majorHAnsi"/>
          <w:color w:val="00000F"/>
          <w:sz w:val="22"/>
          <w:szCs w:val="22"/>
        </w:rPr>
        <w:t>While the platform</w:t>
      </w:r>
      <w:r w:rsidR="007E75BD">
        <w:rPr>
          <w:rFonts w:asciiTheme="majorHAnsi" w:hAnsiTheme="majorHAnsi" w:cstheme="majorHAnsi"/>
          <w:color w:val="00000F"/>
          <w:sz w:val="22"/>
          <w:szCs w:val="22"/>
        </w:rPr>
        <w:t xml:space="preserve"> itself</w:t>
      </w:r>
      <w:r w:rsidR="00BE6BE0">
        <w:rPr>
          <w:rFonts w:asciiTheme="majorHAnsi" w:hAnsiTheme="majorHAnsi" w:cstheme="majorHAnsi"/>
          <w:color w:val="00000F"/>
          <w:sz w:val="22"/>
          <w:szCs w:val="22"/>
        </w:rPr>
        <w:t xml:space="preserve"> is accessible by DFAT officers, </w:t>
      </w:r>
      <w:r w:rsidR="00BF3F66">
        <w:rPr>
          <w:rFonts w:asciiTheme="majorHAnsi" w:hAnsiTheme="majorHAnsi" w:cstheme="majorHAnsi"/>
          <w:color w:val="00000F"/>
          <w:sz w:val="22"/>
          <w:szCs w:val="22"/>
        </w:rPr>
        <w:t xml:space="preserve">the detailed information </w:t>
      </w:r>
      <w:r w:rsidR="009211F6">
        <w:rPr>
          <w:rFonts w:asciiTheme="majorHAnsi" w:hAnsiTheme="majorHAnsi" w:cstheme="majorHAnsi"/>
          <w:color w:val="00000F"/>
          <w:sz w:val="22"/>
          <w:szCs w:val="22"/>
        </w:rPr>
        <w:t>provided</w:t>
      </w:r>
      <w:r w:rsidR="007E75BD">
        <w:rPr>
          <w:rFonts w:asciiTheme="majorHAnsi" w:hAnsiTheme="majorHAnsi" w:cstheme="majorHAnsi"/>
          <w:color w:val="00000F"/>
          <w:sz w:val="22"/>
          <w:szCs w:val="22"/>
        </w:rPr>
        <w:t xml:space="preserve"> is difficult for DFAT officers to interpret and </w:t>
      </w:r>
      <w:r w:rsidR="008E49AD">
        <w:rPr>
          <w:rFonts w:asciiTheme="majorHAnsi" w:hAnsiTheme="majorHAnsi" w:cstheme="majorHAnsi"/>
          <w:color w:val="00000F"/>
          <w:sz w:val="22"/>
          <w:szCs w:val="22"/>
        </w:rPr>
        <w:t>is more usefully accessed when transformed into a communications product</w:t>
      </w:r>
      <w:r w:rsidR="009211F6">
        <w:rPr>
          <w:rFonts w:asciiTheme="majorHAnsi" w:hAnsiTheme="majorHAnsi" w:cstheme="majorHAnsi"/>
          <w:color w:val="00000F"/>
          <w:sz w:val="22"/>
          <w:szCs w:val="22"/>
        </w:rPr>
        <w:t>.</w:t>
      </w:r>
    </w:p>
    <w:p w14:paraId="76DC87A3" w14:textId="054C634B" w:rsidR="00BC3194" w:rsidRDefault="00BC319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5E89D716" w14:textId="06AF5707" w:rsidR="00BC3194" w:rsidRDefault="00BC319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Despite this, there has been difficulty in obtaining adequate qualitative and quantitative information to support assessment of Outcome 3 of the Partnership. The outcome is poorly defined (whose perceptions of Australia are we influencing?) and the MEL Plan does not engage with measuring this outcome directly in the performance assessment framework.</w:t>
      </w:r>
    </w:p>
    <w:p w14:paraId="667C4A43"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939C774"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Strong efforts have been made to build the capacity of DFAT program managers and partners to provide clear data across the key result areas of the Partnership’s performance assessment framework (PAF), including online tools for data collection and accessible documentation. There has been effective tracking progress of the outputs under the Partnership and reporting has focused on aggregating information from the three sub-programs to demonstrate compliance with DFAT’s AQC reporting. There is great potential for the longitudinal impact study being conducted by the University of Technology Sydney, Institute of Sustainable Futures (UTS-ISF) to provide tangible demonstrations of the Partnership theory of change in practice. However, delays to the study and challenges around the publication of the first report have reduced the likelihood of the study having a meaningful contribution before the end of this phase of the Partnership. </w:t>
      </w:r>
    </w:p>
    <w:p w14:paraId="48A5822F"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10802523"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35AF8">
        <w:rPr>
          <w:rFonts w:asciiTheme="majorHAnsi" w:hAnsiTheme="majorHAnsi" w:cstheme="majorHAnsi"/>
          <w:b/>
          <w:bCs/>
          <w:color w:val="00000F"/>
          <w:sz w:val="22"/>
          <w:szCs w:val="22"/>
        </w:rPr>
        <w:t>The sub-programs do see opportunities for collaboration in the future.</w:t>
      </w:r>
      <w:r>
        <w:rPr>
          <w:rFonts w:asciiTheme="majorHAnsi" w:hAnsiTheme="majorHAnsi" w:cstheme="majorHAnsi"/>
          <w:color w:val="00000F"/>
          <w:sz w:val="22"/>
          <w:szCs w:val="22"/>
        </w:rPr>
        <w:t xml:space="preserve"> This would require dedicated time and resources to identify, assess and implement such collaborative activities which sit outside the current scope of all three program’s current resourcing. The purpose of such activities would be to pilot potential joint activities and test the effectiveness of the proposed Partnership synergies. </w:t>
      </w:r>
    </w:p>
    <w:p w14:paraId="1F1D5DF3" w14:textId="77777777"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4A9E987" w14:textId="4435BFD6" w:rsidR="005C0724" w:rsidRDefault="005C0724" w:rsidP="005C072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There is also a renewed focus on climate change within DFAT that is considering how Australia can best allocate, deliver and account for its resources in climate and disaster resilience across the entire aid program, not just the Pacific. This has led to internal discussions about the value of </w:t>
      </w:r>
      <w:r w:rsidR="002F1E9C">
        <w:rPr>
          <w:rFonts w:asciiTheme="majorHAnsi" w:hAnsiTheme="majorHAnsi" w:cstheme="majorHAnsi"/>
          <w:color w:val="00000F"/>
          <w:sz w:val="22"/>
          <w:szCs w:val="22"/>
        </w:rPr>
        <w:t>a support unit function</w:t>
      </w:r>
      <w:r>
        <w:rPr>
          <w:rFonts w:asciiTheme="majorHAnsi" w:hAnsiTheme="majorHAnsi" w:cstheme="majorHAnsi"/>
          <w:color w:val="00000F"/>
          <w:sz w:val="22"/>
          <w:szCs w:val="22"/>
        </w:rPr>
        <w:t xml:space="preserve"> in assisting the aid program to further its ambitions in having a climate and disaster risk informed portfolio globally. The notion that this may lead to further internal resources in DFAT presents a potential opportunity to strengthen linkages between the SU and DFAT and address challenges of connecting DFAT’s </w:t>
      </w:r>
      <w:r w:rsidR="0093375E">
        <w:rPr>
          <w:rFonts w:asciiTheme="majorHAnsi" w:hAnsiTheme="majorHAnsi" w:cstheme="majorHAnsi"/>
          <w:color w:val="00000F"/>
          <w:sz w:val="22"/>
          <w:szCs w:val="22"/>
        </w:rPr>
        <w:t>policy areas</w:t>
      </w:r>
      <w:r>
        <w:rPr>
          <w:rFonts w:asciiTheme="majorHAnsi" w:hAnsiTheme="majorHAnsi" w:cstheme="majorHAnsi"/>
          <w:color w:val="00000F"/>
          <w:sz w:val="22"/>
          <w:szCs w:val="22"/>
        </w:rPr>
        <w:t xml:space="preserve"> with climate and disaster science and information.</w:t>
      </w:r>
    </w:p>
    <w:p w14:paraId="4570A700" w14:textId="77777777" w:rsidR="005C0724" w:rsidRDefault="005C0724" w:rsidP="005C0724">
      <w:pPr>
        <w:tabs>
          <w:tab w:val="left" w:pos="7780"/>
        </w:tabs>
        <w:outlineLvl w:val="0"/>
        <w:rPr>
          <w:rFonts w:asciiTheme="majorHAnsi" w:hAnsiTheme="majorHAnsi" w:cstheme="majorHAnsi"/>
          <w:color w:val="0E1428"/>
          <w:sz w:val="36"/>
          <w:szCs w:val="36"/>
        </w:rPr>
      </w:pPr>
    </w:p>
    <w:p w14:paraId="0DC3855E" w14:textId="77777777" w:rsidR="005C0724" w:rsidRPr="00611197" w:rsidRDefault="00E35FF2" w:rsidP="00611197">
      <w:pPr>
        <w:pStyle w:val="Heading2A"/>
        <w:rPr>
          <w:rStyle w:val="Heading"/>
        </w:rPr>
      </w:pPr>
      <w:bookmarkStart w:id="20" w:name="_Toc72104078"/>
      <w:r w:rsidRPr="00611197">
        <w:rPr>
          <w:rStyle w:val="Heading"/>
        </w:rPr>
        <w:t xml:space="preserve">OPERATIONAL </w:t>
      </w:r>
      <w:r w:rsidR="003D66C2" w:rsidRPr="00611197">
        <w:rPr>
          <w:rStyle w:val="Heading"/>
        </w:rPr>
        <w:t xml:space="preserve">ASSESSMENT - </w:t>
      </w:r>
      <w:r w:rsidR="005C0724" w:rsidRPr="00611197">
        <w:rPr>
          <w:rStyle w:val="Heading"/>
        </w:rPr>
        <w:t>PROGRESS TOWARDS THE PARTNERSHIP OUTCOMES</w:t>
      </w:r>
      <w:bookmarkEnd w:id="20"/>
    </w:p>
    <w:p w14:paraId="20E01CE0" w14:textId="77777777" w:rsidR="00B472C4" w:rsidRDefault="00B472C4" w:rsidP="005C0724">
      <w:pPr>
        <w:tabs>
          <w:tab w:val="left" w:pos="7780"/>
        </w:tabs>
        <w:outlineLvl w:val="0"/>
        <w:rPr>
          <w:rFonts w:asciiTheme="majorHAnsi" w:hAnsiTheme="majorHAnsi" w:cstheme="majorHAnsi"/>
          <w:color w:val="0E1428"/>
          <w:sz w:val="36"/>
          <w:szCs w:val="36"/>
        </w:rPr>
      </w:pPr>
    </w:p>
    <w:p w14:paraId="5DDA9ABD" w14:textId="5262F9B3" w:rsidR="000C39BA" w:rsidRDefault="00B472C4" w:rsidP="000C39BA">
      <w:pPr>
        <w:suppressAutoHyphens/>
        <w:autoSpaceDE w:val="0"/>
        <w:autoSpaceDN w:val="0"/>
        <w:adjustRightInd w:val="0"/>
        <w:spacing w:line="288" w:lineRule="auto"/>
        <w:jc w:val="both"/>
        <w:textAlignment w:val="center"/>
        <w:rPr>
          <w:rFonts w:asciiTheme="majorHAnsi" w:hAnsiTheme="majorHAnsi" w:cstheme="majorHAnsi"/>
          <w:color w:val="B7432A"/>
          <w:lang w:val="en-US"/>
        </w:rPr>
      </w:pPr>
      <w:r w:rsidRPr="005B1793">
        <w:rPr>
          <w:rFonts w:asciiTheme="majorHAnsi" w:hAnsiTheme="majorHAnsi" w:cstheme="majorHAnsi"/>
          <w:color w:val="00000F"/>
          <w:sz w:val="22"/>
          <w:szCs w:val="22"/>
        </w:rPr>
        <w:t xml:space="preserve">While the Partnership model </w:t>
      </w:r>
      <w:r>
        <w:rPr>
          <w:rFonts w:asciiTheme="majorHAnsi" w:hAnsiTheme="majorHAnsi" w:cstheme="majorHAnsi"/>
          <w:color w:val="00000F"/>
          <w:sz w:val="22"/>
          <w:szCs w:val="22"/>
        </w:rPr>
        <w:t xml:space="preserve">itself </w:t>
      </w:r>
      <w:r w:rsidRPr="005B1793">
        <w:rPr>
          <w:rFonts w:asciiTheme="majorHAnsi" w:hAnsiTheme="majorHAnsi" w:cstheme="majorHAnsi"/>
          <w:color w:val="00000F"/>
          <w:sz w:val="22"/>
          <w:szCs w:val="22"/>
        </w:rPr>
        <w:t xml:space="preserve">has struggled to </w:t>
      </w:r>
      <w:r w:rsidR="00EE69CD">
        <w:rPr>
          <w:rFonts w:asciiTheme="majorHAnsi" w:hAnsiTheme="majorHAnsi" w:cstheme="majorHAnsi"/>
          <w:color w:val="00000F"/>
          <w:sz w:val="22"/>
          <w:szCs w:val="22"/>
        </w:rPr>
        <w:t>make headway</w:t>
      </w:r>
      <w:r w:rsidRPr="005B1793">
        <w:rPr>
          <w:rFonts w:asciiTheme="majorHAnsi" w:hAnsiTheme="majorHAnsi" w:cstheme="majorHAnsi"/>
          <w:color w:val="00000F"/>
          <w:sz w:val="22"/>
          <w:szCs w:val="22"/>
        </w:rPr>
        <w:t>,</w:t>
      </w:r>
      <w:r>
        <w:rPr>
          <w:rFonts w:asciiTheme="majorHAnsi" w:hAnsiTheme="majorHAnsi" w:cstheme="majorHAnsi"/>
          <w:color w:val="00000F"/>
          <w:sz w:val="22"/>
          <w:szCs w:val="22"/>
        </w:rPr>
        <w:t xml:space="preserve"> progress towards</w:t>
      </w:r>
      <w:r w:rsidRPr="005B1793">
        <w:rPr>
          <w:rFonts w:asciiTheme="majorHAnsi" w:hAnsiTheme="majorHAnsi" w:cstheme="majorHAnsi"/>
          <w:color w:val="00000F"/>
          <w:sz w:val="22"/>
          <w:szCs w:val="22"/>
        </w:rPr>
        <w:t xml:space="preserve"> the outcomes articulated in the Partnership design</w:t>
      </w:r>
      <w:r>
        <w:rPr>
          <w:rFonts w:asciiTheme="majorHAnsi" w:hAnsiTheme="majorHAnsi" w:cstheme="majorHAnsi"/>
          <w:color w:val="00000F"/>
          <w:sz w:val="22"/>
          <w:szCs w:val="22"/>
        </w:rPr>
        <w:t xml:space="preserve"> - and essentially those being pursued by the individual sub-programs -</w:t>
      </w:r>
      <w:r w:rsidRPr="005B1793">
        <w:rPr>
          <w:rFonts w:asciiTheme="majorHAnsi" w:hAnsiTheme="majorHAnsi" w:cstheme="majorHAnsi"/>
          <w:color w:val="00000F"/>
          <w:sz w:val="22"/>
          <w:szCs w:val="22"/>
        </w:rPr>
        <w:t xml:space="preserve"> are </w:t>
      </w:r>
      <w:r w:rsidR="006A0D2E">
        <w:rPr>
          <w:rFonts w:asciiTheme="majorHAnsi" w:hAnsiTheme="majorHAnsi" w:cstheme="majorHAnsi"/>
          <w:color w:val="00000F"/>
          <w:sz w:val="22"/>
          <w:szCs w:val="22"/>
        </w:rPr>
        <w:t xml:space="preserve">more encouraging and are </w:t>
      </w:r>
      <w:r>
        <w:rPr>
          <w:rFonts w:asciiTheme="majorHAnsi" w:hAnsiTheme="majorHAnsi" w:cstheme="majorHAnsi"/>
          <w:color w:val="00000F"/>
          <w:sz w:val="22"/>
          <w:szCs w:val="22"/>
        </w:rPr>
        <w:t>discussed below.</w:t>
      </w:r>
      <w:r w:rsidRPr="005B1793">
        <w:rPr>
          <w:rFonts w:asciiTheme="majorHAnsi" w:hAnsiTheme="majorHAnsi" w:cstheme="majorHAnsi"/>
          <w:color w:val="00000F"/>
          <w:sz w:val="22"/>
          <w:szCs w:val="22"/>
        </w:rPr>
        <w:t xml:space="preserve"> </w:t>
      </w:r>
      <w:bookmarkStart w:id="21" w:name="_Toc72104079"/>
      <w:r w:rsidR="000C39BA">
        <w:br w:type="page"/>
      </w:r>
    </w:p>
    <w:p w14:paraId="642C26CE" w14:textId="139F35AB" w:rsidR="00FB2C3C" w:rsidRPr="00876E35" w:rsidRDefault="009A485D" w:rsidP="00611197">
      <w:pPr>
        <w:pStyle w:val="HEADING3A"/>
      </w:pPr>
      <w:r>
        <w:t xml:space="preserve">OUTCOME </w:t>
      </w:r>
      <w:r w:rsidR="00751326">
        <w:t xml:space="preserve">1. </w:t>
      </w:r>
      <w:r>
        <w:t>AUSTRALIAN AID INVESTMENTS ARE CLIMATE AND DISASTER RISK INFORMED</w:t>
      </w:r>
      <w:bookmarkEnd w:id="21"/>
    </w:p>
    <w:p w14:paraId="0CD9A866" w14:textId="77777777" w:rsidR="00FB2C3C" w:rsidRPr="0065150C" w:rsidRDefault="00FB2C3C"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151E0954" w14:textId="77777777" w:rsidR="0065150C" w:rsidRPr="0065150C" w:rsidRDefault="0065150C"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04181">
        <w:rPr>
          <w:rFonts w:asciiTheme="majorHAnsi" w:hAnsiTheme="majorHAnsi" w:cstheme="majorHAnsi"/>
          <w:b/>
          <w:bCs/>
          <w:color w:val="00000F"/>
          <w:sz w:val="22"/>
          <w:szCs w:val="22"/>
        </w:rPr>
        <w:t xml:space="preserve">There has been sustained improvement in the integration of climate change and disaster risk resilience </w:t>
      </w:r>
      <w:r w:rsidRPr="0065150C">
        <w:rPr>
          <w:rFonts w:asciiTheme="majorHAnsi" w:hAnsiTheme="majorHAnsi" w:cstheme="majorHAnsi"/>
          <w:color w:val="00000F"/>
          <w:sz w:val="22"/>
          <w:szCs w:val="22"/>
        </w:rPr>
        <w:t>in Australian aid investments in the Pacific over recent years.  This is evidenced from:</w:t>
      </w:r>
    </w:p>
    <w:p w14:paraId="3C589ECD" w14:textId="77777777" w:rsidR="0065150C" w:rsidRPr="0065150C" w:rsidRDefault="0065150C" w:rsidP="0065150C">
      <w:pPr>
        <w:pStyle w:val="BasicParagraph"/>
        <w:tabs>
          <w:tab w:val="left" w:pos="454"/>
        </w:tabs>
        <w:suppressAutoHyphens/>
        <w:rPr>
          <w:rFonts w:ascii="Calibri" w:eastAsia="Calibri" w:hAnsi="Calibri" w:cs="Calibri"/>
          <w:color w:val="FF0000"/>
          <w:sz w:val="22"/>
          <w:szCs w:val="22"/>
        </w:rPr>
      </w:pPr>
    </w:p>
    <w:p w14:paraId="2ED0FCA9" w14:textId="77777777" w:rsidR="0065150C" w:rsidRPr="00D37283" w:rsidRDefault="0065150C" w:rsidP="002D5E66">
      <w:pPr>
        <w:pStyle w:val="ListParagraph"/>
        <w:numPr>
          <w:ilvl w:val="0"/>
          <w:numId w:val="1"/>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sidRPr="00D37283">
        <w:rPr>
          <w:rFonts w:asciiTheme="majorHAnsi" w:hAnsiTheme="majorHAnsi" w:cstheme="majorHAnsi"/>
          <w:color w:val="00000F"/>
          <w:sz w:val="22"/>
          <w:szCs w:val="22"/>
        </w:rPr>
        <w:t>trend data on climate integration drawn from annual investment checks</w:t>
      </w:r>
      <w:r w:rsidR="006A0D2E">
        <w:rPr>
          <w:rFonts w:asciiTheme="majorHAnsi" w:hAnsiTheme="majorHAnsi" w:cstheme="majorHAnsi"/>
          <w:color w:val="00000F"/>
          <w:sz w:val="22"/>
          <w:szCs w:val="22"/>
        </w:rPr>
        <w:t xml:space="preserve"> from </w:t>
      </w:r>
      <w:r w:rsidR="007A144E">
        <w:rPr>
          <w:rFonts w:asciiTheme="majorHAnsi" w:hAnsiTheme="majorHAnsi" w:cstheme="majorHAnsi"/>
          <w:color w:val="00000F"/>
          <w:sz w:val="22"/>
          <w:szCs w:val="22"/>
        </w:rPr>
        <w:t>2018.</w:t>
      </w:r>
    </w:p>
    <w:p w14:paraId="22799F3C" w14:textId="77777777" w:rsidR="0065150C" w:rsidRPr="00D37283" w:rsidRDefault="0065150C" w:rsidP="002D5E66">
      <w:pPr>
        <w:pStyle w:val="ListParagraph"/>
        <w:numPr>
          <w:ilvl w:val="0"/>
          <w:numId w:val="1"/>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sidRPr="00D37283">
        <w:rPr>
          <w:rFonts w:asciiTheme="majorHAnsi" w:hAnsiTheme="majorHAnsi" w:cstheme="majorHAnsi"/>
          <w:color w:val="00000F"/>
          <w:sz w:val="22"/>
          <w:szCs w:val="22"/>
        </w:rPr>
        <w:t xml:space="preserve">the increase in climate and disaster risk resilience being the primary or secondary objective in aid investments and the corresponding increase in reported climate </w:t>
      </w:r>
      <w:r w:rsidR="007B6051" w:rsidRPr="00D37283">
        <w:rPr>
          <w:rFonts w:asciiTheme="majorHAnsi" w:hAnsiTheme="majorHAnsi" w:cstheme="majorHAnsi"/>
          <w:color w:val="00000F"/>
          <w:sz w:val="22"/>
          <w:szCs w:val="22"/>
        </w:rPr>
        <w:t>financing.</w:t>
      </w:r>
    </w:p>
    <w:p w14:paraId="2EDE9159" w14:textId="77777777" w:rsidR="0065150C" w:rsidRPr="00D37283" w:rsidRDefault="0065150C" w:rsidP="002D5E66">
      <w:pPr>
        <w:pStyle w:val="ListParagraph"/>
        <w:numPr>
          <w:ilvl w:val="0"/>
          <w:numId w:val="1"/>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sidRPr="00D37283">
        <w:rPr>
          <w:rFonts w:asciiTheme="majorHAnsi" w:hAnsiTheme="majorHAnsi" w:cstheme="majorHAnsi"/>
          <w:color w:val="00000F"/>
          <w:sz w:val="22"/>
          <w:szCs w:val="22"/>
        </w:rPr>
        <w:t>the high-level of demand for SU services</w:t>
      </w:r>
      <w:r w:rsidR="006A0D2E">
        <w:rPr>
          <w:rFonts w:asciiTheme="majorHAnsi" w:hAnsiTheme="majorHAnsi" w:cstheme="majorHAnsi"/>
          <w:color w:val="00000F"/>
          <w:sz w:val="22"/>
          <w:szCs w:val="22"/>
        </w:rPr>
        <w:t xml:space="preserve"> (194 requests from 98 programs in 2019-20)</w:t>
      </w:r>
      <w:r w:rsidR="006A0D2E">
        <w:rPr>
          <w:rStyle w:val="FootnoteReference"/>
          <w:rFonts w:asciiTheme="majorHAnsi" w:hAnsiTheme="majorHAnsi" w:cstheme="majorHAnsi"/>
          <w:color w:val="00000F"/>
          <w:sz w:val="22"/>
          <w:szCs w:val="22"/>
        </w:rPr>
        <w:footnoteReference w:id="9"/>
      </w:r>
    </w:p>
    <w:p w14:paraId="2B7AC0ED" w14:textId="77777777" w:rsidR="0065150C" w:rsidRPr="00D37283" w:rsidRDefault="0065150C" w:rsidP="002D5E66">
      <w:pPr>
        <w:pStyle w:val="ListParagraph"/>
        <w:numPr>
          <w:ilvl w:val="0"/>
          <w:numId w:val="1"/>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sidRPr="00D37283">
        <w:rPr>
          <w:rFonts w:asciiTheme="majorHAnsi" w:hAnsiTheme="majorHAnsi" w:cstheme="majorHAnsi"/>
          <w:color w:val="00000F"/>
          <w:sz w:val="22"/>
          <w:szCs w:val="22"/>
        </w:rPr>
        <w:t xml:space="preserve">collaborating information from interviews and case studies conducted during this review. </w:t>
      </w:r>
    </w:p>
    <w:p w14:paraId="1F48036A" w14:textId="77777777" w:rsidR="0065150C" w:rsidRPr="0065150C" w:rsidRDefault="0065150C" w:rsidP="0065150C">
      <w:pPr>
        <w:pStyle w:val="BasicParagraph"/>
        <w:tabs>
          <w:tab w:val="left" w:pos="454"/>
        </w:tabs>
        <w:suppressAutoHyphens/>
        <w:rPr>
          <w:rFonts w:ascii="Calibri" w:eastAsia="Calibri" w:hAnsi="Calibri" w:cs="Calibri"/>
          <w:color w:val="FF0000"/>
          <w:sz w:val="22"/>
          <w:szCs w:val="22"/>
        </w:rPr>
      </w:pPr>
    </w:p>
    <w:p w14:paraId="28B7BFA4" w14:textId="77777777" w:rsidR="0065150C" w:rsidRPr="0065150C" w:rsidRDefault="0065150C"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5150C">
        <w:rPr>
          <w:rFonts w:asciiTheme="majorHAnsi" w:hAnsiTheme="majorHAnsi" w:cstheme="majorHAnsi"/>
          <w:color w:val="00000F"/>
          <w:sz w:val="22"/>
          <w:szCs w:val="22"/>
        </w:rPr>
        <w:t xml:space="preserve">Data, however, to support a more comprehensive and qualitative assessment of integration is not available, nor did the review have the time and resources to conduct such an assessment. </w:t>
      </w:r>
    </w:p>
    <w:p w14:paraId="2C3FD105" w14:textId="77777777" w:rsidR="0065150C" w:rsidRPr="0065150C" w:rsidRDefault="0065150C"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27426983" w14:textId="4529E462" w:rsidR="0065150C" w:rsidRPr="00557D23" w:rsidRDefault="0065150C"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84E2B">
        <w:rPr>
          <w:rFonts w:asciiTheme="majorHAnsi" w:hAnsiTheme="majorHAnsi" w:cstheme="majorHAnsi"/>
          <w:b/>
          <w:bCs/>
          <w:color w:val="00000F"/>
          <w:sz w:val="22"/>
          <w:szCs w:val="22"/>
        </w:rPr>
        <w:t xml:space="preserve">Evidence and feedback suggest that </w:t>
      </w:r>
      <w:r w:rsidR="00D518C2">
        <w:rPr>
          <w:rFonts w:asciiTheme="majorHAnsi" w:hAnsiTheme="majorHAnsi" w:cstheme="majorHAnsi"/>
          <w:b/>
          <w:bCs/>
          <w:color w:val="00000F"/>
          <w:sz w:val="22"/>
          <w:szCs w:val="22"/>
        </w:rPr>
        <w:t xml:space="preserve">the </w:t>
      </w:r>
      <w:r w:rsidRPr="00684E2B">
        <w:rPr>
          <w:rFonts w:asciiTheme="majorHAnsi" w:hAnsiTheme="majorHAnsi" w:cstheme="majorHAnsi"/>
          <w:b/>
          <w:bCs/>
          <w:color w:val="00000F"/>
          <w:sz w:val="22"/>
          <w:szCs w:val="22"/>
        </w:rPr>
        <w:t>SU has been instrumental in achieving these gains in integration</w:t>
      </w:r>
      <w:r w:rsidRPr="005242E5">
        <w:rPr>
          <w:rFonts w:asciiTheme="majorHAnsi" w:hAnsiTheme="majorHAnsi" w:cstheme="majorHAnsi"/>
          <w:color w:val="00000F"/>
          <w:sz w:val="22"/>
          <w:szCs w:val="22"/>
        </w:rPr>
        <w:t>. Consultations with Post/DFAT staff and implementing partners conf</w:t>
      </w:r>
      <w:r w:rsidRPr="00684E2B">
        <w:rPr>
          <w:rFonts w:asciiTheme="majorHAnsi" w:hAnsiTheme="majorHAnsi" w:cstheme="majorHAnsi"/>
          <w:color w:val="00000F"/>
          <w:sz w:val="22"/>
          <w:szCs w:val="22"/>
        </w:rPr>
        <w:t>irmed that, for the most part, assistance from the SU and Expert Panels</w:t>
      </w:r>
      <w:r w:rsidR="004667EE" w:rsidRPr="00684E2B">
        <w:rPr>
          <w:rStyle w:val="FootnoteReference"/>
          <w:rFonts w:asciiTheme="majorHAnsi" w:hAnsiTheme="majorHAnsi" w:cstheme="majorHAnsi"/>
          <w:color w:val="00000F"/>
          <w:sz w:val="22"/>
          <w:szCs w:val="22"/>
        </w:rPr>
        <w:footnoteReference w:id="10"/>
      </w:r>
      <w:r w:rsidRPr="00684E2B">
        <w:rPr>
          <w:rFonts w:asciiTheme="majorHAnsi" w:hAnsiTheme="majorHAnsi" w:cstheme="majorHAnsi"/>
          <w:color w:val="00000F"/>
          <w:sz w:val="22"/>
          <w:szCs w:val="22"/>
        </w:rPr>
        <w:t xml:space="preserve"> was flexible, responsive and of high quality. This was confirmed in more detail by the case studies (</w:t>
      </w:r>
      <w:r w:rsidR="007B6051" w:rsidRPr="005242E5">
        <w:rPr>
          <w:rFonts w:asciiTheme="majorHAnsi" w:hAnsiTheme="majorHAnsi" w:cstheme="majorHAnsi"/>
          <w:color w:val="00000F"/>
          <w:sz w:val="22"/>
          <w:szCs w:val="22"/>
        </w:rPr>
        <w:t>e.g.,</w:t>
      </w:r>
      <w:r w:rsidRPr="00684E2B">
        <w:rPr>
          <w:rFonts w:asciiTheme="majorHAnsi" w:hAnsiTheme="majorHAnsi" w:cstheme="majorHAnsi"/>
          <w:color w:val="00000F"/>
          <w:sz w:val="22"/>
          <w:szCs w:val="22"/>
        </w:rPr>
        <w:t xml:space="preserve"> PNG Transport Program).  Feedback surveys </w:t>
      </w:r>
      <w:r w:rsidRPr="0057216D">
        <w:rPr>
          <w:rFonts w:asciiTheme="majorHAnsi" w:hAnsiTheme="majorHAnsi" w:cstheme="majorHAnsi"/>
          <w:color w:val="00000F"/>
          <w:sz w:val="22"/>
          <w:szCs w:val="22"/>
        </w:rPr>
        <w:t>conducted by the SU show high levels of client satisfaction (over 90</w:t>
      </w:r>
      <w:r w:rsidRPr="00274516">
        <w:rPr>
          <w:rFonts w:asciiTheme="majorHAnsi" w:hAnsiTheme="majorHAnsi" w:cstheme="majorHAnsi"/>
          <w:color w:val="00000F"/>
          <w:sz w:val="22"/>
          <w:szCs w:val="22"/>
          <w:shd w:val="clear" w:color="auto" w:fill="FFFFFF" w:themeFill="background1"/>
        </w:rPr>
        <w:t xml:space="preserve">%).  A particular advantage is that the SU is resourced to fund this assistance, enabling it to be mobilized quickly. </w:t>
      </w:r>
      <w:r w:rsidR="004B5D6B" w:rsidRPr="00274516">
        <w:rPr>
          <w:rFonts w:asciiTheme="majorHAnsi" w:hAnsiTheme="majorHAnsi" w:cstheme="majorHAnsi"/>
          <w:color w:val="00000F"/>
          <w:sz w:val="22"/>
          <w:szCs w:val="22"/>
          <w:shd w:val="clear" w:color="auto" w:fill="FFFFFF" w:themeFill="background1"/>
        </w:rPr>
        <w:t xml:space="preserve"> </w:t>
      </w:r>
      <w:r w:rsidR="00BB1482" w:rsidRPr="00274516">
        <w:rPr>
          <w:rFonts w:asciiTheme="majorHAnsi" w:hAnsiTheme="majorHAnsi" w:cstheme="majorHAnsi"/>
          <w:color w:val="00000F"/>
          <w:sz w:val="22"/>
          <w:szCs w:val="22"/>
          <w:shd w:val="clear" w:color="auto" w:fill="FFFFFF" w:themeFill="background1"/>
        </w:rPr>
        <w:t>To a notic</w:t>
      </w:r>
      <w:r w:rsidR="001C7686" w:rsidRPr="00274516">
        <w:rPr>
          <w:rFonts w:asciiTheme="majorHAnsi" w:hAnsiTheme="majorHAnsi" w:cstheme="majorHAnsi"/>
          <w:color w:val="00000F"/>
          <w:sz w:val="22"/>
          <w:szCs w:val="22"/>
          <w:shd w:val="clear" w:color="auto" w:fill="FFFFFF" w:themeFill="background1"/>
        </w:rPr>
        <w:t>e</w:t>
      </w:r>
      <w:r w:rsidR="00BB1482" w:rsidRPr="00274516">
        <w:rPr>
          <w:rFonts w:asciiTheme="majorHAnsi" w:hAnsiTheme="majorHAnsi" w:cstheme="majorHAnsi"/>
          <w:color w:val="00000F"/>
          <w:sz w:val="22"/>
          <w:szCs w:val="22"/>
          <w:shd w:val="clear" w:color="auto" w:fill="FFFFFF" w:themeFill="background1"/>
        </w:rPr>
        <w:t>able extent, t</w:t>
      </w:r>
      <w:r w:rsidR="004B5D6B" w:rsidRPr="00274516">
        <w:rPr>
          <w:rFonts w:asciiTheme="majorHAnsi" w:hAnsiTheme="majorHAnsi" w:cstheme="majorHAnsi"/>
          <w:color w:val="00000F"/>
          <w:sz w:val="22"/>
          <w:szCs w:val="22"/>
          <w:shd w:val="clear" w:color="auto" w:fill="FFFFFF" w:themeFill="background1"/>
        </w:rPr>
        <w:t xml:space="preserve">he SU has served to fill the </w:t>
      </w:r>
      <w:r w:rsidR="00BB1482" w:rsidRPr="00274516">
        <w:rPr>
          <w:rFonts w:asciiTheme="majorHAnsi" w:hAnsiTheme="majorHAnsi" w:cstheme="majorHAnsi"/>
          <w:color w:val="00000F"/>
          <w:sz w:val="22"/>
          <w:szCs w:val="22"/>
          <w:shd w:val="clear" w:color="auto" w:fill="FFFFFF" w:themeFill="background1"/>
        </w:rPr>
        <w:t xml:space="preserve">technical expertise </w:t>
      </w:r>
      <w:r w:rsidR="004B5D6B" w:rsidRPr="00274516">
        <w:rPr>
          <w:rFonts w:asciiTheme="majorHAnsi" w:hAnsiTheme="majorHAnsi" w:cstheme="majorHAnsi"/>
          <w:color w:val="00000F"/>
          <w:sz w:val="22"/>
          <w:szCs w:val="22"/>
          <w:shd w:val="clear" w:color="auto" w:fill="FFFFFF" w:themeFill="background1"/>
        </w:rPr>
        <w:t>gap</w:t>
      </w:r>
      <w:r w:rsidR="00BB1482" w:rsidRPr="00274516">
        <w:rPr>
          <w:rFonts w:asciiTheme="majorHAnsi" w:hAnsiTheme="majorHAnsi" w:cstheme="majorHAnsi"/>
          <w:color w:val="00000F"/>
          <w:sz w:val="22"/>
          <w:szCs w:val="22"/>
          <w:shd w:val="clear" w:color="auto" w:fill="FFFFFF" w:themeFill="background1"/>
        </w:rPr>
        <w:t xml:space="preserve"> within DFAT, at least in the Pacific, on climate change that was</w:t>
      </w:r>
      <w:r w:rsidR="004B5D6B" w:rsidRPr="00274516">
        <w:rPr>
          <w:rFonts w:asciiTheme="majorHAnsi" w:hAnsiTheme="majorHAnsi" w:cstheme="majorHAnsi"/>
          <w:color w:val="00000F"/>
          <w:sz w:val="22"/>
          <w:szCs w:val="22"/>
          <w:shd w:val="clear" w:color="auto" w:fill="FFFFFF" w:themeFill="background1"/>
        </w:rPr>
        <w:t xml:space="preserve"> </w:t>
      </w:r>
      <w:r w:rsidR="00BB1482" w:rsidRPr="00274516">
        <w:rPr>
          <w:rFonts w:asciiTheme="majorHAnsi" w:hAnsiTheme="majorHAnsi" w:cstheme="majorHAnsi"/>
          <w:color w:val="00000F"/>
          <w:sz w:val="22"/>
          <w:szCs w:val="22"/>
          <w:shd w:val="clear" w:color="auto" w:fill="FFFFFF" w:themeFill="background1"/>
        </w:rPr>
        <w:t>identified in the Office of Development Effectiveness’s 2018 Climate Evaluation</w:t>
      </w:r>
      <w:r w:rsidR="00BB1482" w:rsidRPr="0057216D">
        <w:rPr>
          <w:rStyle w:val="FootnoteReference"/>
          <w:rFonts w:asciiTheme="majorHAnsi" w:hAnsiTheme="majorHAnsi" w:cstheme="majorHAnsi"/>
          <w:color w:val="00000F"/>
          <w:sz w:val="22"/>
          <w:szCs w:val="22"/>
        </w:rPr>
        <w:footnoteReference w:id="11"/>
      </w:r>
      <w:r w:rsidR="00BB1482" w:rsidRPr="0057216D">
        <w:rPr>
          <w:rFonts w:asciiTheme="majorHAnsi" w:hAnsiTheme="majorHAnsi" w:cstheme="majorHAnsi"/>
          <w:color w:val="00000F"/>
          <w:sz w:val="22"/>
          <w:szCs w:val="22"/>
        </w:rPr>
        <w:t>.</w:t>
      </w:r>
      <w:r w:rsidR="00BB1482" w:rsidRPr="00557D23">
        <w:rPr>
          <w:rFonts w:asciiTheme="majorHAnsi" w:hAnsiTheme="majorHAnsi" w:cstheme="majorHAnsi"/>
          <w:color w:val="00000F"/>
          <w:sz w:val="22"/>
          <w:szCs w:val="22"/>
        </w:rPr>
        <w:t xml:space="preserve"> </w:t>
      </w:r>
    </w:p>
    <w:p w14:paraId="39D67F03" w14:textId="77777777" w:rsidR="00350CF9" w:rsidRPr="005C7C19" w:rsidRDefault="00350CF9"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74D3674F" w14:textId="77777777" w:rsidR="00350CF9" w:rsidRPr="0065150C" w:rsidRDefault="008741B0"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C7C19">
        <w:rPr>
          <w:rFonts w:asciiTheme="majorHAnsi" w:hAnsiTheme="majorHAnsi" w:cstheme="majorHAnsi"/>
          <w:color w:val="00000F"/>
          <w:sz w:val="22"/>
          <w:szCs w:val="22"/>
        </w:rPr>
        <w:t xml:space="preserve">While disaster risk reduction appears to be a less visible feature of the </w:t>
      </w:r>
      <w:r w:rsidR="0016567E" w:rsidRPr="005C7C19">
        <w:rPr>
          <w:rFonts w:asciiTheme="majorHAnsi" w:hAnsiTheme="majorHAnsi" w:cstheme="majorHAnsi"/>
          <w:color w:val="00000F"/>
          <w:sz w:val="22"/>
          <w:szCs w:val="22"/>
        </w:rPr>
        <w:t xml:space="preserve">SU communications </w:t>
      </w:r>
      <w:r w:rsidR="00343D81" w:rsidRPr="005C7C19">
        <w:rPr>
          <w:rFonts w:asciiTheme="majorHAnsi" w:hAnsiTheme="majorHAnsi" w:cstheme="majorHAnsi"/>
          <w:color w:val="00000F"/>
          <w:sz w:val="22"/>
          <w:szCs w:val="22"/>
        </w:rPr>
        <w:t>where climate change dominates</w:t>
      </w:r>
      <w:r w:rsidR="0016567E" w:rsidRPr="0057216D">
        <w:rPr>
          <w:rFonts w:asciiTheme="majorHAnsi" w:hAnsiTheme="majorHAnsi" w:cstheme="majorHAnsi"/>
          <w:color w:val="00000F"/>
          <w:sz w:val="22"/>
          <w:szCs w:val="22"/>
        </w:rPr>
        <w:t>, there is no indication that the assistance provided by the SU or the Expert Panels is not adequately addressing</w:t>
      </w:r>
      <w:r w:rsidR="00343D81" w:rsidRPr="0057216D">
        <w:rPr>
          <w:rFonts w:asciiTheme="majorHAnsi" w:hAnsiTheme="majorHAnsi" w:cstheme="majorHAnsi"/>
          <w:color w:val="00000F"/>
          <w:sz w:val="22"/>
          <w:szCs w:val="22"/>
        </w:rPr>
        <w:t xml:space="preserve"> these risks. </w:t>
      </w:r>
      <w:r w:rsidR="00E247CE" w:rsidRPr="0057216D">
        <w:rPr>
          <w:rFonts w:asciiTheme="majorHAnsi" w:hAnsiTheme="majorHAnsi" w:cstheme="majorHAnsi"/>
          <w:color w:val="00000F"/>
          <w:sz w:val="22"/>
          <w:szCs w:val="22"/>
        </w:rPr>
        <w:t>Feedback indicated the SU DRR Advisor located in the Pacific has been a valued resource, able to connect people and programs where there are opportunities for synergy in addressing disaster risk. Strong collaboration with G</w:t>
      </w:r>
      <w:r w:rsidR="003020B6" w:rsidRPr="0057216D">
        <w:rPr>
          <w:rFonts w:asciiTheme="majorHAnsi" w:hAnsiTheme="majorHAnsi" w:cstheme="majorHAnsi"/>
          <w:color w:val="00000F"/>
          <w:sz w:val="22"/>
          <w:szCs w:val="22"/>
        </w:rPr>
        <w:t xml:space="preserve">eoscience </w:t>
      </w:r>
      <w:r w:rsidR="00E247CE" w:rsidRPr="0057216D">
        <w:rPr>
          <w:rFonts w:asciiTheme="majorHAnsi" w:hAnsiTheme="majorHAnsi" w:cstheme="majorHAnsi"/>
          <w:color w:val="00000F"/>
          <w:sz w:val="22"/>
          <w:szCs w:val="22"/>
        </w:rPr>
        <w:t>A</w:t>
      </w:r>
      <w:r w:rsidR="003020B6" w:rsidRPr="0057216D">
        <w:rPr>
          <w:rFonts w:asciiTheme="majorHAnsi" w:hAnsiTheme="majorHAnsi" w:cstheme="majorHAnsi"/>
          <w:color w:val="00000F"/>
          <w:sz w:val="22"/>
          <w:szCs w:val="22"/>
        </w:rPr>
        <w:t>ustralia</w:t>
      </w:r>
      <w:r w:rsidR="00E247CE" w:rsidRPr="0057216D">
        <w:rPr>
          <w:rFonts w:asciiTheme="majorHAnsi" w:hAnsiTheme="majorHAnsi" w:cstheme="majorHAnsi"/>
          <w:color w:val="00000F"/>
          <w:sz w:val="22"/>
          <w:szCs w:val="22"/>
        </w:rPr>
        <w:t>’s flexible mode of working has also seen quality and influential support provided in Tonga through the Gov4Res program.</w:t>
      </w:r>
    </w:p>
    <w:p w14:paraId="6D2F3E01" w14:textId="77777777" w:rsidR="0065150C" w:rsidRPr="0065150C" w:rsidRDefault="0065150C"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86A9364" w14:textId="732B4C81" w:rsidR="0065150C" w:rsidRDefault="0065150C"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5150C">
        <w:rPr>
          <w:rFonts w:asciiTheme="majorHAnsi" w:hAnsiTheme="majorHAnsi" w:cstheme="majorHAnsi"/>
          <w:color w:val="00000F"/>
          <w:sz w:val="22"/>
          <w:szCs w:val="22"/>
        </w:rPr>
        <w:t xml:space="preserve">There is some evidence of </w:t>
      </w:r>
      <w:r w:rsidRPr="00BE3F38">
        <w:rPr>
          <w:rFonts w:asciiTheme="majorHAnsi" w:hAnsiTheme="majorHAnsi" w:cstheme="majorHAnsi"/>
          <w:color w:val="00000F"/>
          <w:sz w:val="22"/>
          <w:szCs w:val="22"/>
        </w:rPr>
        <w:t>integration b</w:t>
      </w:r>
      <w:r w:rsidRPr="0065150C">
        <w:rPr>
          <w:rFonts w:asciiTheme="majorHAnsi" w:hAnsiTheme="majorHAnsi" w:cstheme="majorHAnsi"/>
          <w:color w:val="00000F"/>
          <w:sz w:val="22"/>
          <w:szCs w:val="22"/>
        </w:rPr>
        <w:t>enefiting from the “partnership” approach, for instance in linking COS</w:t>
      </w:r>
      <w:r w:rsidR="00121574">
        <w:rPr>
          <w:rFonts w:asciiTheme="majorHAnsi" w:hAnsiTheme="majorHAnsi" w:cstheme="majorHAnsi"/>
          <w:color w:val="00000F"/>
          <w:sz w:val="22"/>
          <w:szCs w:val="22"/>
        </w:rPr>
        <w:t>P</w:t>
      </w:r>
      <w:r w:rsidRPr="0065150C">
        <w:rPr>
          <w:rFonts w:asciiTheme="majorHAnsi" w:hAnsiTheme="majorHAnsi" w:cstheme="majorHAnsi"/>
          <w:color w:val="00000F"/>
          <w:sz w:val="22"/>
          <w:szCs w:val="22"/>
        </w:rPr>
        <w:t>P</w:t>
      </w:r>
      <w:r w:rsidR="00121574">
        <w:rPr>
          <w:rFonts w:asciiTheme="majorHAnsi" w:hAnsiTheme="majorHAnsi" w:cstheme="majorHAnsi"/>
          <w:color w:val="00000F"/>
          <w:sz w:val="22"/>
          <w:szCs w:val="22"/>
        </w:rPr>
        <w:t>ac2</w:t>
      </w:r>
      <w:r w:rsidRPr="0065150C">
        <w:rPr>
          <w:rFonts w:asciiTheme="majorHAnsi" w:hAnsiTheme="majorHAnsi" w:cstheme="majorHAnsi"/>
          <w:color w:val="00000F"/>
          <w:sz w:val="22"/>
          <w:szCs w:val="22"/>
        </w:rPr>
        <w:t xml:space="preserve"> </w:t>
      </w:r>
      <w:r w:rsidR="0023718A">
        <w:rPr>
          <w:rFonts w:asciiTheme="majorHAnsi" w:hAnsiTheme="majorHAnsi" w:cstheme="majorHAnsi"/>
          <w:color w:val="00000F"/>
          <w:sz w:val="22"/>
          <w:szCs w:val="22"/>
        </w:rPr>
        <w:t xml:space="preserve">historical </w:t>
      </w:r>
      <w:r w:rsidR="005E74B1">
        <w:rPr>
          <w:rFonts w:asciiTheme="majorHAnsi" w:hAnsiTheme="majorHAnsi" w:cstheme="majorHAnsi"/>
          <w:color w:val="00000F"/>
          <w:sz w:val="22"/>
          <w:szCs w:val="22"/>
        </w:rPr>
        <w:t>weather data</w:t>
      </w:r>
      <w:r w:rsidR="00DB6C7E">
        <w:rPr>
          <w:rFonts w:asciiTheme="majorHAnsi" w:hAnsiTheme="majorHAnsi" w:cstheme="majorHAnsi"/>
          <w:color w:val="00000F"/>
          <w:sz w:val="22"/>
          <w:szCs w:val="22"/>
        </w:rPr>
        <w:t xml:space="preserve"> and seasonal forecasts</w:t>
      </w:r>
      <w:r w:rsidRPr="0065150C">
        <w:rPr>
          <w:rFonts w:asciiTheme="majorHAnsi" w:hAnsiTheme="majorHAnsi" w:cstheme="majorHAnsi"/>
          <w:color w:val="00000F"/>
          <w:sz w:val="22"/>
          <w:szCs w:val="22"/>
        </w:rPr>
        <w:t xml:space="preserve"> for AIFFP PNG Trans-National Highway, and in upcoming agriculture sector programs. This is not, however, a dominating feature of the integration effort.</w:t>
      </w:r>
    </w:p>
    <w:p w14:paraId="3BA533E0" w14:textId="77777777" w:rsidR="00A42F11" w:rsidRDefault="00A42F11"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BC3FC54" w14:textId="3BFE0E0E" w:rsidR="00A42F11" w:rsidRPr="0065150C" w:rsidRDefault="00A42F11" w:rsidP="00A42F1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04181">
        <w:rPr>
          <w:rFonts w:asciiTheme="majorHAnsi" w:hAnsiTheme="majorHAnsi" w:cstheme="majorHAnsi"/>
          <w:b/>
          <w:bCs/>
          <w:color w:val="00000F"/>
          <w:sz w:val="22"/>
          <w:szCs w:val="22"/>
        </w:rPr>
        <w:t>On occasion support provided has not been fit for purpose</w:t>
      </w:r>
      <w:r w:rsidRPr="0065150C">
        <w:rPr>
          <w:rFonts w:asciiTheme="majorHAnsi" w:hAnsiTheme="majorHAnsi" w:cstheme="majorHAnsi"/>
          <w:color w:val="00000F"/>
          <w:sz w:val="22"/>
          <w:szCs w:val="22"/>
        </w:rPr>
        <w:t xml:space="preserve"> and some knowledge brokering efforts have not had the desired results</w:t>
      </w:r>
      <w:r w:rsidR="00DD5386">
        <w:rPr>
          <w:rFonts w:asciiTheme="majorHAnsi" w:hAnsiTheme="majorHAnsi" w:cstheme="majorHAnsi"/>
          <w:color w:val="00000F"/>
          <w:sz w:val="22"/>
          <w:szCs w:val="22"/>
        </w:rPr>
        <w:t xml:space="preserve">, </w:t>
      </w:r>
      <w:r w:rsidR="0023718A">
        <w:rPr>
          <w:rFonts w:asciiTheme="majorHAnsi" w:hAnsiTheme="majorHAnsi" w:cstheme="majorHAnsi"/>
          <w:color w:val="00000F"/>
          <w:sz w:val="22"/>
          <w:szCs w:val="22"/>
        </w:rPr>
        <w:t>partly because of</w:t>
      </w:r>
      <w:r w:rsidR="00DD5386">
        <w:rPr>
          <w:rFonts w:asciiTheme="majorHAnsi" w:hAnsiTheme="majorHAnsi" w:cstheme="majorHAnsi"/>
          <w:color w:val="00000F"/>
          <w:sz w:val="22"/>
          <w:szCs w:val="22"/>
        </w:rPr>
        <w:t xml:space="preserve"> COVID restrictions</w:t>
      </w:r>
      <w:r w:rsidRPr="0065150C">
        <w:rPr>
          <w:rFonts w:asciiTheme="majorHAnsi" w:hAnsiTheme="majorHAnsi" w:cstheme="majorHAnsi"/>
          <w:color w:val="00000F"/>
          <w:sz w:val="22"/>
          <w:szCs w:val="22"/>
        </w:rPr>
        <w:t xml:space="preserve">. </w:t>
      </w:r>
      <w:r>
        <w:rPr>
          <w:rFonts w:asciiTheme="majorHAnsi" w:hAnsiTheme="majorHAnsi" w:cstheme="majorHAnsi"/>
          <w:color w:val="00000F"/>
          <w:sz w:val="22"/>
          <w:szCs w:val="22"/>
        </w:rPr>
        <w:t>In</w:t>
      </w:r>
      <w:r w:rsidR="00A316BE">
        <w:rPr>
          <w:rFonts w:asciiTheme="majorHAnsi" w:hAnsiTheme="majorHAnsi" w:cstheme="majorHAnsi"/>
          <w:color w:val="00000F"/>
          <w:sz w:val="22"/>
          <w:szCs w:val="22"/>
        </w:rPr>
        <w:t xml:space="preserve"> rare</w:t>
      </w:r>
      <w:r>
        <w:rPr>
          <w:rFonts w:asciiTheme="majorHAnsi" w:hAnsiTheme="majorHAnsi" w:cstheme="majorHAnsi"/>
          <w:color w:val="00000F"/>
          <w:sz w:val="22"/>
          <w:szCs w:val="22"/>
        </w:rPr>
        <w:t xml:space="preserve"> instances, technical assistance provided through the Expert Panels was not up to the task at hand from both a technical and developmental aspect.</w:t>
      </w:r>
      <w:r w:rsidRPr="0065150C">
        <w:rPr>
          <w:rFonts w:asciiTheme="majorHAnsi" w:hAnsiTheme="majorHAnsi" w:cstheme="majorHAnsi"/>
          <w:color w:val="00000F"/>
          <w:sz w:val="22"/>
          <w:szCs w:val="22"/>
        </w:rPr>
        <w:t xml:space="preserve"> Comment was made </w:t>
      </w:r>
      <w:r w:rsidRPr="00557D23">
        <w:rPr>
          <w:rFonts w:asciiTheme="majorHAnsi" w:hAnsiTheme="majorHAnsi" w:cstheme="majorHAnsi"/>
          <w:color w:val="00000F"/>
          <w:sz w:val="22"/>
          <w:szCs w:val="22"/>
        </w:rPr>
        <w:t xml:space="preserve">that while SU advice was very good technically, it </w:t>
      </w:r>
      <w:r w:rsidR="008F1449" w:rsidRPr="00557D23">
        <w:rPr>
          <w:rFonts w:asciiTheme="majorHAnsi" w:hAnsiTheme="majorHAnsi" w:cstheme="majorHAnsi"/>
          <w:color w:val="00000F"/>
          <w:sz w:val="22"/>
          <w:szCs w:val="22"/>
        </w:rPr>
        <w:t xml:space="preserve">sometimes </w:t>
      </w:r>
      <w:r w:rsidRPr="006E3576">
        <w:rPr>
          <w:rFonts w:asciiTheme="majorHAnsi" w:hAnsiTheme="majorHAnsi" w:cstheme="majorHAnsi"/>
          <w:color w:val="00000F"/>
          <w:sz w:val="22"/>
          <w:szCs w:val="22"/>
        </w:rPr>
        <w:t>struggled with more strategic pieces of work</w:t>
      </w:r>
      <w:r w:rsidRPr="005C7C19">
        <w:rPr>
          <w:rFonts w:asciiTheme="majorHAnsi" w:hAnsiTheme="majorHAnsi" w:cstheme="majorHAnsi"/>
          <w:color w:val="00000F"/>
          <w:sz w:val="22"/>
          <w:szCs w:val="22"/>
        </w:rPr>
        <w:t>.  F</w:t>
      </w:r>
      <w:r w:rsidRPr="00D7329F">
        <w:rPr>
          <w:rFonts w:asciiTheme="majorHAnsi" w:hAnsiTheme="majorHAnsi" w:cstheme="majorHAnsi"/>
          <w:color w:val="00000F"/>
          <w:sz w:val="22"/>
          <w:szCs w:val="22"/>
        </w:rPr>
        <w:t>urther,</w:t>
      </w:r>
      <w:r w:rsidR="0000702E">
        <w:rPr>
          <w:rFonts w:asciiTheme="majorHAnsi" w:hAnsiTheme="majorHAnsi" w:cstheme="majorHAnsi"/>
          <w:color w:val="00000F"/>
          <w:sz w:val="22"/>
          <w:szCs w:val="22"/>
        </w:rPr>
        <w:t xml:space="preserve"> while </w:t>
      </w:r>
      <w:r w:rsidRPr="00D7329F">
        <w:rPr>
          <w:rFonts w:asciiTheme="majorHAnsi" w:hAnsiTheme="majorHAnsi" w:cstheme="majorHAnsi"/>
          <w:color w:val="00000F"/>
          <w:sz w:val="22"/>
          <w:szCs w:val="22"/>
        </w:rPr>
        <w:t>assistance</w:t>
      </w:r>
      <w:r w:rsidR="0000702E">
        <w:rPr>
          <w:rFonts w:asciiTheme="majorHAnsi" w:hAnsiTheme="majorHAnsi" w:cstheme="majorHAnsi"/>
          <w:color w:val="00000F"/>
          <w:sz w:val="22"/>
          <w:szCs w:val="22"/>
        </w:rPr>
        <w:t xml:space="preserve"> is provided </w:t>
      </w:r>
      <w:r w:rsidRPr="00D7329F">
        <w:rPr>
          <w:rFonts w:asciiTheme="majorHAnsi" w:hAnsiTheme="majorHAnsi" w:cstheme="majorHAnsi"/>
          <w:color w:val="00000F"/>
          <w:sz w:val="22"/>
          <w:szCs w:val="22"/>
        </w:rPr>
        <w:t>almost entirely by Australians and is often fly-in and fly-out</w:t>
      </w:r>
      <w:r w:rsidR="0000702E" w:rsidRPr="0000702E">
        <w:rPr>
          <w:rFonts w:asciiTheme="majorHAnsi" w:hAnsiTheme="majorHAnsi" w:cstheme="majorHAnsi"/>
          <w:color w:val="00000F"/>
          <w:sz w:val="22"/>
          <w:szCs w:val="22"/>
        </w:rPr>
        <w:t xml:space="preserve"> </w:t>
      </w:r>
      <w:r w:rsidR="0000702E">
        <w:rPr>
          <w:rFonts w:asciiTheme="majorHAnsi" w:hAnsiTheme="majorHAnsi" w:cstheme="majorHAnsi"/>
          <w:color w:val="00000F"/>
          <w:sz w:val="22"/>
          <w:szCs w:val="22"/>
        </w:rPr>
        <w:t>(recognising that most of the climate science, engineering and architectural</w:t>
      </w:r>
      <w:r w:rsidR="0000702E" w:rsidRPr="00D7329F">
        <w:rPr>
          <w:rFonts w:asciiTheme="majorHAnsi" w:hAnsiTheme="majorHAnsi" w:cstheme="majorHAnsi"/>
          <w:color w:val="00000F"/>
          <w:sz w:val="22"/>
          <w:szCs w:val="22"/>
        </w:rPr>
        <w:t xml:space="preserve"> </w:t>
      </w:r>
      <w:r w:rsidR="0000702E">
        <w:rPr>
          <w:rFonts w:asciiTheme="majorHAnsi" w:hAnsiTheme="majorHAnsi" w:cstheme="majorHAnsi"/>
          <w:color w:val="00000F"/>
          <w:sz w:val="22"/>
          <w:szCs w:val="22"/>
        </w:rPr>
        <w:t xml:space="preserve">skills being mobilised are not readily available in the Pacific) </w:t>
      </w:r>
      <w:r w:rsidR="00D518C2">
        <w:rPr>
          <w:rFonts w:asciiTheme="majorHAnsi" w:hAnsiTheme="majorHAnsi" w:cstheme="majorHAnsi"/>
          <w:color w:val="00000F"/>
          <w:sz w:val="22"/>
          <w:szCs w:val="22"/>
        </w:rPr>
        <w:t xml:space="preserve">it would be timely to investigate scaling up the </w:t>
      </w:r>
      <w:r w:rsidR="0000702E">
        <w:rPr>
          <w:rFonts w:asciiTheme="majorHAnsi" w:hAnsiTheme="majorHAnsi" w:cstheme="majorHAnsi"/>
          <w:color w:val="00000F"/>
          <w:sz w:val="22"/>
          <w:szCs w:val="22"/>
        </w:rPr>
        <w:t>engag</w:t>
      </w:r>
      <w:r w:rsidR="00D518C2">
        <w:rPr>
          <w:rFonts w:asciiTheme="majorHAnsi" w:hAnsiTheme="majorHAnsi" w:cstheme="majorHAnsi"/>
          <w:color w:val="00000F"/>
          <w:sz w:val="22"/>
          <w:szCs w:val="22"/>
        </w:rPr>
        <w:t>ement of</w:t>
      </w:r>
      <w:r w:rsidR="0000702E">
        <w:rPr>
          <w:rFonts w:asciiTheme="majorHAnsi" w:hAnsiTheme="majorHAnsi" w:cstheme="majorHAnsi"/>
          <w:color w:val="00000F"/>
          <w:sz w:val="22"/>
          <w:szCs w:val="22"/>
        </w:rPr>
        <w:t xml:space="preserve"> </w:t>
      </w:r>
      <w:r w:rsidRPr="00D7329F">
        <w:rPr>
          <w:rFonts w:asciiTheme="majorHAnsi" w:hAnsiTheme="majorHAnsi" w:cstheme="majorHAnsi"/>
          <w:color w:val="00000F"/>
          <w:sz w:val="22"/>
          <w:szCs w:val="22"/>
        </w:rPr>
        <w:t xml:space="preserve">local capacity </w:t>
      </w:r>
      <w:r w:rsidR="0000702E">
        <w:rPr>
          <w:rFonts w:asciiTheme="majorHAnsi" w:hAnsiTheme="majorHAnsi" w:cstheme="majorHAnsi"/>
          <w:color w:val="00000F"/>
          <w:sz w:val="22"/>
          <w:szCs w:val="22"/>
        </w:rPr>
        <w:t>that is available</w:t>
      </w:r>
      <w:r w:rsidRPr="00D7329F">
        <w:rPr>
          <w:rFonts w:asciiTheme="majorHAnsi" w:hAnsiTheme="majorHAnsi" w:cstheme="majorHAnsi"/>
          <w:color w:val="00000F"/>
          <w:sz w:val="22"/>
          <w:szCs w:val="22"/>
        </w:rPr>
        <w:t xml:space="preserve"> in the region. The review notes and welcomes recent efforts by the SU to appoint local facilitators in major countries and to engage some Pacific expertise in the Expert Panels.</w:t>
      </w:r>
      <w:r>
        <w:rPr>
          <w:rFonts w:asciiTheme="majorHAnsi" w:hAnsiTheme="majorHAnsi" w:cstheme="majorHAnsi"/>
          <w:color w:val="00000F"/>
          <w:sz w:val="22"/>
          <w:szCs w:val="22"/>
        </w:rPr>
        <w:t xml:space="preserve"> </w:t>
      </w:r>
    </w:p>
    <w:p w14:paraId="38B40832" w14:textId="77777777" w:rsidR="00A42F11" w:rsidRDefault="00A42F11"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DAB2C4B" w14:textId="77777777" w:rsidR="00B246DA" w:rsidRPr="0065150C" w:rsidRDefault="00A42F11"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5150C">
        <w:rPr>
          <w:rFonts w:asciiTheme="majorHAnsi" w:hAnsiTheme="majorHAnsi" w:cstheme="majorHAnsi"/>
          <w:color w:val="00000F"/>
          <w:sz w:val="22"/>
          <w:szCs w:val="22"/>
        </w:rPr>
        <w:t xml:space="preserve">To minimize this occurring in the future, the SU should </w:t>
      </w:r>
      <w:r>
        <w:rPr>
          <w:rFonts w:asciiTheme="majorHAnsi" w:hAnsiTheme="majorHAnsi" w:cstheme="majorHAnsi"/>
          <w:color w:val="00000F"/>
          <w:sz w:val="22"/>
          <w:szCs w:val="22"/>
        </w:rPr>
        <w:t>continue</w:t>
      </w:r>
      <w:r w:rsidRPr="0065150C">
        <w:rPr>
          <w:rFonts w:asciiTheme="majorHAnsi" w:hAnsiTheme="majorHAnsi" w:cstheme="majorHAnsi"/>
          <w:color w:val="00000F"/>
          <w:sz w:val="22"/>
          <w:szCs w:val="22"/>
        </w:rPr>
        <w:t xml:space="preserve"> to strengthen its quality assurance processes</w:t>
      </w:r>
      <w:r>
        <w:rPr>
          <w:rFonts w:asciiTheme="majorHAnsi" w:hAnsiTheme="majorHAnsi" w:cstheme="majorHAnsi"/>
          <w:color w:val="00000F"/>
          <w:sz w:val="22"/>
          <w:szCs w:val="22"/>
        </w:rPr>
        <w:t>, particularly at the early identification stage</w:t>
      </w:r>
      <w:r w:rsidR="008F1449">
        <w:rPr>
          <w:rFonts w:asciiTheme="majorHAnsi" w:hAnsiTheme="majorHAnsi" w:cstheme="majorHAnsi"/>
          <w:color w:val="00000F"/>
          <w:sz w:val="22"/>
          <w:szCs w:val="22"/>
        </w:rPr>
        <w:t xml:space="preserve"> (e.g., determining whether they have the right expertise available to meet a particular request)</w:t>
      </w:r>
      <w:r>
        <w:rPr>
          <w:rFonts w:asciiTheme="majorHAnsi" w:hAnsiTheme="majorHAnsi" w:cstheme="majorHAnsi"/>
          <w:color w:val="00000F"/>
          <w:sz w:val="22"/>
          <w:szCs w:val="22"/>
        </w:rPr>
        <w:t>,</w:t>
      </w:r>
      <w:r w:rsidRPr="0065150C">
        <w:rPr>
          <w:rFonts w:asciiTheme="majorHAnsi" w:hAnsiTheme="majorHAnsi" w:cstheme="majorHAnsi"/>
          <w:color w:val="00000F"/>
          <w:sz w:val="22"/>
          <w:szCs w:val="22"/>
        </w:rPr>
        <w:t xml:space="preserve"> and </w:t>
      </w:r>
      <w:r>
        <w:rPr>
          <w:rFonts w:asciiTheme="majorHAnsi" w:hAnsiTheme="majorHAnsi" w:cstheme="majorHAnsi"/>
          <w:color w:val="00000F"/>
          <w:sz w:val="22"/>
          <w:szCs w:val="22"/>
        </w:rPr>
        <w:t>regularly</w:t>
      </w:r>
      <w:r w:rsidRPr="0065150C">
        <w:rPr>
          <w:rFonts w:asciiTheme="majorHAnsi" w:hAnsiTheme="majorHAnsi" w:cstheme="majorHAnsi"/>
          <w:color w:val="00000F"/>
          <w:sz w:val="22"/>
          <w:szCs w:val="22"/>
        </w:rPr>
        <w:t xml:space="preserve"> review its panels and processes to ensure they are relevant and efficient. </w:t>
      </w:r>
      <w:r>
        <w:rPr>
          <w:rFonts w:asciiTheme="majorHAnsi" w:hAnsiTheme="majorHAnsi" w:cstheme="majorHAnsi"/>
          <w:color w:val="00000F"/>
          <w:sz w:val="22"/>
          <w:szCs w:val="22"/>
        </w:rPr>
        <w:t xml:space="preserve">Drawing in greater Pacific-sourced expertise would add significant cache to the SU’s work and build Australia’s credentials as an enduring climate partner in the region. </w:t>
      </w:r>
    </w:p>
    <w:p w14:paraId="5ACF3A0C" w14:textId="70D98023" w:rsidR="00B246DA" w:rsidRDefault="00B246DA"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1EC4F43" w14:textId="77777777" w:rsidR="00611197" w:rsidRPr="00611197" w:rsidRDefault="00611197" w:rsidP="00611197">
      <w:pPr>
        <w:pStyle w:val="Heading2A"/>
        <w:rPr>
          <w:rStyle w:val="Heading"/>
        </w:rPr>
      </w:pPr>
      <w:r w:rsidRPr="00611197">
        <w:rPr>
          <w:rStyle w:val="Heading"/>
        </w:rPr>
        <w:t>CASE STUDY</w:t>
      </w:r>
    </w:p>
    <w:p w14:paraId="21A991A3" w14:textId="77777777" w:rsidR="00611197" w:rsidRPr="00611197" w:rsidRDefault="00611197" w:rsidP="00611197">
      <w:pPr>
        <w:pStyle w:val="HEADING3A"/>
      </w:pPr>
      <w:r w:rsidRPr="00611197">
        <w:t>PNG TRANSPORT SECTOR SUPPORT PROGRAM</w:t>
      </w:r>
    </w:p>
    <w:p w14:paraId="0144DAF5" w14:textId="77777777" w:rsidR="00611197" w:rsidRDefault="00611197" w:rsidP="00611197">
      <w:pPr>
        <w:ind w:left="283"/>
        <w:rPr>
          <w:rStyle w:val="MajorHeading"/>
          <w:color w:val="EB8C30"/>
          <w:sz w:val="32"/>
          <w:szCs w:val="32"/>
        </w:rPr>
      </w:pPr>
    </w:p>
    <w:p w14:paraId="49909A15" w14:textId="77777777" w:rsidR="00611197" w:rsidRPr="003C58BC" w:rsidRDefault="00611197" w:rsidP="00611197">
      <w:pPr>
        <w:pStyle w:val="Bodycopy"/>
        <w:ind w:left="284" w:right="233"/>
        <w:jc w:val="both"/>
      </w:pPr>
      <w:r w:rsidRPr="003C58BC">
        <w:t>The Papua New Guinea-Australia Transport Sector Support Program (TSSP) commenced in 2007 as a 15–20-year commitment to support the PNG Government to maintain its transport infrastructure network. Australian support is nearing $1 billion since its inception.</w:t>
      </w:r>
    </w:p>
    <w:p w14:paraId="4B73F07F" w14:textId="77777777" w:rsidR="00611197" w:rsidRPr="003C58BC" w:rsidRDefault="00611197" w:rsidP="00611197">
      <w:pPr>
        <w:pStyle w:val="Bodycopy"/>
        <w:ind w:left="284" w:right="233"/>
        <w:jc w:val="both"/>
      </w:pPr>
    </w:p>
    <w:p w14:paraId="39DE0769" w14:textId="77777777" w:rsidR="00611197" w:rsidRPr="003C58BC" w:rsidRDefault="00611197" w:rsidP="00611197">
      <w:pPr>
        <w:pStyle w:val="Bodycopy"/>
        <w:ind w:left="284" w:right="233"/>
        <w:jc w:val="both"/>
      </w:pPr>
      <w:r>
        <w:t>After a request from</w:t>
      </w:r>
      <w:r w:rsidRPr="003C58BC">
        <w:t xml:space="preserve"> DFAT staff in the PNG High Commission, the Support Unit initiated engagement with TSSP’s management to discuss the project’s approach to climate and disaster risk. The SU assisted with the development of terms of reference (TORs) for an Environmental Safeguards and Climate and Disaster Resilience Strategy (ESCCDR Strategy) for the project in early 2020.  The SU drew on the Expert Panel (Pacific Connections) to provide technical assistance to undertake consultations and develop the ESCCDR Strategy in late 2020. The SU reviewed the strategy and, arising from that strategy, advised on the TORs for an Environmental Safeguards position within TSSP.</w:t>
      </w:r>
    </w:p>
    <w:p w14:paraId="15CF27BB" w14:textId="77777777" w:rsidR="00611197" w:rsidRPr="003C58BC" w:rsidRDefault="00611197" w:rsidP="00611197">
      <w:pPr>
        <w:pStyle w:val="Bodycopy"/>
        <w:ind w:left="284" w:right="233"/>
        <w:jc w:val="both"/>
      </w:pPr>
    </w:p>
    <w:p w14:paraId="4733E994" w14:textId="77777777" w:rsidR="00611197" w:rsidRPr="003C58BC" w:rsidRDefault="00611197" w:rsidP="00611197">
      <w:pPr>
        <w:pStyle w:val="Bodycopy"/>
        <w:ind w:left="284" w:right="233"/>
        <w:jc w:val="both"/>
      </w:pPr>
      <w:r w:rsidRPr="003C58BC">
        <w:t xml:space="preserve">The SU and Pacific Connections are providing technical assistance for a workshop with PNG Climate Change Development Agency to </w:t>
      </w:r>
      <w:proofErr w:type="spellStart"/>
      <w:r w:rsidRPr="003C58BC">
        <w:t>finalise</w:t>
      </w:r>
      <w:proofErr w:type="spellEnd"/>
      <w:r w:rsidRPr="003C58BC">
        <w:t xml:space="preserve"> the ESCCDR Strategy for broader application across the PNG transport sector. Implementation of the strategy should deliver significant benefits in providing more climate and disaster resilient roads and other transport infrastructure in PNG.</w:t>
      </w:r>
    </w:p>
    <w:p w14:paraId="2D94B8E5" w14:textId="77777777" w:rsidR="00611197" w:rsidRPr="003C58BC" w:rsidRDefault="00611197" w:rsidP="00611197">
      <w:pPr>
        <w:pStyle w:val="Bodycopy"/>
        <w:ind w:left="284"/>
      </w:pPr>
    </w:p>
    <w:p w14:paraId="3D85F2C5" w14:textId="77777777" w:rsidR="00611197" w:rsidRPr="003C58BC" w:rsidRDefault="00611197" w:rsidP="00611197">
      <w:pPr>
        <w:pStyle w:val="Bodycopy"/>
        <w:ind w:left="284"/>
        <w:jc w:val="both"/>
      </w:pPr>
      <w:r w:rsidRPr="003C58BC">
        <w:t>Feedback from TSSP management and the PNG post was uniformly positive on the support and performance of the SU and Expert Panel.  Assistance was seen to have been responsive, timely and of high quality.</w:t>
      </w:r>
      <w:r>
        <w:t xml:space="preserve"> </w:t>
      </w:r>
      <w:proofErr w:type="gramStart"/>
      <w:r w:rsidRPr="003C58BC">
        <w:t>Particular praise</w:t>
      </w:r>
      <w:proofErr w:type="gramEnd"/>
      <w:r w:rsidRPr="003C58BC">
        <w:t xml:space="preserve"> was given to the flexibility of support, aided by the ability of the Expert Panel/SU to draw on its own resources to respond.  This initiative was also facilitated by DFAT staff at Post who had knowledge and experience in climate and disaster risk and were able to use the outreach undertaken by the Support Unit to drive the engagement.</w:t>
      </w:r>
    </w:p>
    <w:p w14:paraId="6315A644" w14:textId="77777777" w:rsidR="00611197" w:rsidRDefault="00611197"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78D1E5C" w14:textId="69E24DCB" w:rsidR="0065150C" w:rsidRPr="0065150C" w:rsidRDefault="0065150C"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04181">
        <w:rPr>
          <w:rFonts w:asciiTheme="majorHAnsi" w:hAnsiTheme="majorHAnsi" w:cstheme="majorHAnsi"/>
          <w:b/>
          <w:bCs/>
          <w:color w:val="00000F"/>
          <w:sz w:val="22"/>
          <w:szCs w:val="22"/>
        </w:rPr>
        <w:t xml:space="preserve">While integration has improved, </w:t>
      </w:r>
      <w:r w:rsidR="00D518C2" w:rsidRPr="000C6135">
        <w:rPr>
          <w:rFonts w:asciiTheme="majorHAnsi" w:hAnsiTheme="majorHAnsi" w:cstheme="majorHAnsi"/>
          <w:b/>
          <w:bCs/>
          <w:color w:val="00000F"/>
          <w:sz w:val="22"/>
          <w:szCs w:val="22"/>
        </w:rPr>
        <w:t>t</w:t>
      </w:r>
      <w:r w:rsidRPr="000C6135">
        <w:rPr>
          <w:rFonts w:asciiTheme="majorHAnsi" w:hAnsiTheme="majorHAnsi" w:cstheme="majorHAnsi"/>
          <w:b/>
          <w:bCs/>
          <w:color w:val="00000F"/>
          <w:sz w:val="22"/>
          <w:szCs w:val="22"/>
        </w:rPr>
        <w:t>here remain significant opportunities to strengthen the coverage and depth of climate and disaster resilience in Pacific aid investments.</w:t>
      </w:r>
      <w:r w:rsidRPr="0065150C">
        <w:rPr>
          <w:rFonts w:asciiTheme="majorHAnsi" w:hAnsiTheme="majorHAnsi" w:cstheme="majorHAnsi"/>
          <w:color w:val="00000F"/>
          <w:sz w:val="22"/>
          <w:szCs w:val="22"/>
        </w:rPr>
        <w:t xml:space="preserve"> Integration has been more difficult, for instance, with existing legacy projects.  With new designs the effectiveness of integration efforts will depend largely on the stage in which the SU is engaged. There also appears to be an opportunity to enhance its influence by going upstream and influencing country and sector strategies and investment pipelines.</w:t>
      </w:r>
    </w:p>
    <w:p w14:paraId="0BD285BE" w14:textId="77777777" w:rsidR="0065150C" w:rsidRPr="0065150C" w:rsidRDefault="0065150C" w:rsidP="0065150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26618718" w14:textId="77777777" w:rsidR="0065150C" w:rsidRPr="005C7C19" w:rsidRDefault="0065150C" w:rsidP="00537770">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6E3576">
        <w:rPr>
          <w:rFonts w:asciiTheme="majorHAnsi" w:hAnsiTheme="majorHAnsi" w:cstheme="majorHAnsi"/>
          <w:b/>
          <w:bCs/>
          <w:color w:val="00000F"/>
          <w:sz w:val="22"/>
          <w:szCs w:val="22"/>
        </w:rPr>
        <w:t>The reasons for this uneven approach rest in DFAT’s policies, systems and people</w:t>
      </w:r>
      <w:r w:rsidRPr="006E3576">
        <w:rPr>
          <w:rFonts w:asciiTheme="majorHAnsi" w:hAnsiTheme="majorHAnsi" w:cstheme="majorHAnsi"/>
          <w:color w:val="00000F"/>
          <w:sz w:val="22"/>
          <w:szCs w:val="22"/>
        </w:rPr>
        <w:t xml:space="preserve">: </w:t>
      </w:r>
    </w:p>
    <w:p w14:paraId="0688589F" w14:textId="77777777" w:rsidR="0065150C" w:rsidRPr="005C7C19" w:rsidRDefault="0065150C" w:rsidP="00537770">
      <w:pPr>
        <w:pStyle w:val="BasicParagraph"/>
        <w:tabs>
          <w:tab w:val="left" w:pos="454"/>
        </w:tabs>
        <w:suppressAutoHyphens/>
        <w:rPr>
          <w:rFonts w:ascii="Calibri" w:eastAsia="Calibri" w:hAnsi="Calibri" w:cs="Calibri"/>
          <w:color w:val="FF0000"/>
          <w:sz w:val="22"/>
          <w:szCs w:val="22"/>
          <w:lang w:val="en-AU"/>
        </w:rPr>
      </w:pPr>
    </w:p>
    <w:p w14:paraId="37BC8861" w14:textId="73782C35" w:rsidR="0065150C" w:rsidRPr="005C7C19" w:rsidRDefault="0065150C" w:rsidP="00537770">
      <w:pPr>
        <w:pStyle w:val="ListParagraph"/>
        <w:numPr>
          <w:ilvl w:val="0"/>
          <w:numId w:val="1"/>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sidRPr="005C7C19">
        <w:rPr>
          <w:rFonts w:asciiTheme="majorHAnsi" w:hAnsiTheme="majorHAnsi" w:cstheme="majorHAnsi"/>
          <w:i/>
          <w:iCs/>
          <w:color w:val="00000F"/>
          <w:sz w:val="22"/>
          <w:szCs w:val="22"/>
        </w:rPr>
        <w:t>Time pressures on DFAT staff and inconsistent leadership</w:t>
      </w:r>
      <w:r w:rsidR="00681C8A">
        <w:rPr>
          <w:rFonts w:asciiTheme="majorHAnsi" w:hAnsiTheme="majorHAnsi" w:cstheme="majorHAnsi"/>
          <w:i/>
          <w:iCs/>
          <w:color w:val="00000F"/>
          <w:sz w:val="22"/>
          <w:szCs w:val="22"/>
        </w:rPr>
        <w:t xml:space="preserve"> on</w:t>
      </w:r>
      <w:r w:rsidR="00CB7E6B">
        <w:rPr>
          <w:rFonts w:asciiTheme="majorHAnsi" w:hAnsiTheme="majorHAnsi" w:cstheme="majorHAnsi"/>
          <w:i/>
          <w:iCs/>
          <w:color w:val="00000F"/>
          <w:sz w:val="22"/>
          <w:szCs w:val="22"/>
        </w:rPr>
        <w:t xml:space="preserve"> the priority afforded to the integration of</w:t>
      </w:r>
      <w:r w:rsidR="00681C8A">
        <w:rPr>
          <w:rFonts w:asciiTheme="majorHAnsi" w:hAnsiTheme="majorHAnsi" w:cstheme="majorHAnsi"/>
          <w:i/>
          <w:iCs/>
          <w:color w:val="00000F"/>
          <w:sz w:val="22"/>
          <w:szCs w:val="22"/>
        </w:rPr>
        <w:t xml:space="preserve"> climate change</w:t>
      </w:r>
      <w:r w:rsidR="00CB7E6B">
        <w:rPr>
          <w:rFonts w:asciiTheme="majorHAnsi" w:hAnsiTheme="majorHAnsi" w:cstheme="majorHAnsi"/>
          <w:i/>
          <w:iCs/>
          <w:color w:val="00000F"/>
          <w:sz w:val="22"/>
          <w:szCs w:val="22"/>
        </w:rPr>
        <w:t xml:space="preserve"> considerations in aid </w:t>
      </w:r>
      <w:r w:rsidR="009B02DC">
        <w:rPr>
          <w:rFonts w:asciiTheme="majorHAnsi" w:hAnsiTheme="majorHAnsi" w:cstheme="majorHAnsi"/>
          <w:i/>
          <w:iCs/>
          <w:color w:val="00000F"/>
          <w:sz w:val="22"/>
          <w:szCs w:val="22"/>
        </w:rPr>
        <w:t>investments.</w:t>
      </w:r>
      <w:r w:rsidRPr="005C7C19">
        <w:rPr>
          <w:rFonts w:asciiTheme="majorHAnsi" w:hAnsiTheme="majorHAnsi" w:cstheme="majorHAnsi"/>
          <w:i/>
          <w:iCs/>
          <w:color w:val="00000F"/>
          <w:sz w:val="22"/>
          <w:szCs w:val="22"/>
        </w:rPr>
        <w:t xml:space="preserve"> </w:t>
      </w:r>
      <w:r w:rsidRPr="005C7C19">
        <w:rPr>
          <w:rFonts w:asciiTheme="majorHAnsi" w:hAnsiTheme="majorHAnsi" w:cstheme="majorHAnsi"/>
          <w:color w:val="00000F"/>
          <w:sz w:val="22"/>
          <w:szCs w:val="22"/>
        </w:rPr>
        <w:t>Posts face significant pressures which have intensified due to COVID19.  Further, parts of DFAT perceive that there is not a clear policy priority afforded to climate and disaster risk in the Partnership for Recovery policy released early last year.  These two factors appear to constrain the ability of some Post staff to allocate the time to fully engage with integration efforts.</w:t>
      </w:r>
    </w:p>
    <w:p w14:paraId="56C8C90E" w14:textId="77777777" w:rsidR="0065150C" w:rsidRPr="00D7329F" w:rsidRDefault="0065150C" w:rsidP="00537770">
      <w:pPr>
        <w:pStyle w:val="ListParagraph"/>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p>
    <w:p w14:paraId="6FD5F36D" w14:textId="77777777" w:rsidR="0065150C" w:rsidRPr="005C7C19" w:rsidRDefault="0065150C" w:rsidP="00537770">
      <w:pPr>
        <w:pStyle w:val="ListParagraph"/>
        <w:numPr>
          <w:ilvl w:val="0"/>
          <w:numId w:val="1"/>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sidRPr="00D7329F">
        <w:rPr>
          <w:rFonts w:asciiTheme="majorHAnsi" w:hAnsiTheme="majorHAnsi" w:cstheme="majorHAnsi"/>
          <w:i/>
          <w:iCs/>
          <w:color w:val="00000F"/>
          <w:sz w:val="22"/>
          <w:szCs w:val="22"/>
        </w:rPr>
        <w:t>Varying capacity and knowledge of DFAT staff.</w:t>
      </w:r>
      <w:r w:rsidRPr="00D7329F">
        <w:rPr>
          <w:rFonts w:asciiTheme="majorHAnsi" w:hAnsiTheme="majorHAnsi" w:cstheme="majorHAnsi"/>
          <w:color w:val="00000F"/>
          <w:sz w:val="22"/>
          <w:szCs w:val="22"/>
        </w:rPr>
        <w:t xml:space="preserve"> Past evaluations (</w:t>
      </w:r>
      <w:r w:rsidR="007B6051" w:rsidRPr="00D7329F">
        <w:rPr>
          <w:rFonts w:asciiTheme="majorHAnsi" w:hAnsiTheme="majorHAnsi" w:cstheme="majorHAnsi"/>
          <w:color w:val="00000F"/>
          <w:sz w:val="22"/>
          <w:szCs w:val="22"/>
        </w:rPr>
        <w:t>e.g.,</w:t>
      </w:r>
      <w:r w:rsidRPr="00D7329F">
        <w:rPr>
          <w:rFonts w:asciiTheme="majorHAnsi" w:hAnsiTheme="majorHAnsi" w:cstheme="majorHAnsi"/>
          <w:color w:val="00000F"/>
          <w:sz w:val="22"/>
          <w:szCs w:val="22"/>
        </w:rPr>
        <w:t xml:space="preserve"> ODE Disability</w:t>
      </w:r>
      <w:r w:rsidR="004B5D6B" w:rsidRPr="006E3576">
        <w:rPr>
          <w:rStyle w:val="FootnoteReference"/>
          <w:rFonts w:asciiTheme="majorHAnsi" w:hAnsiTheme="majorHAnsi" w:cstheme="majorHAnsi"/>
          <w:color w:val="00000F"/>
          <w:sz w:val="22"/>
          <w:szCs w:val="22"/>
        </w:rPr>
        <w:footnoteReference w:id="12"/>
      </w:r>
      <w:r w:rsidRPr="006E3576">
        <w:rPr>
          <w:rFonts w:asciiTheme="majorHAnsi" w:hAnsiTheme="majorHAnsi" w:cstheme="majorHAnsi"/>
          <w:color w:val="00000F"/>
          <w:sz w:val="22"/>
          <w:szCs w:val="22"/>
        </w:rPr>
        <w:t xml:space="preserve">) underline the disproportionately positive impact that a basic understanding of a thematic issue can have on integration efforts. Positive examples of </w:t>
      </w:r>
      <w:r w:rsidRPr="005C7C19">
        <w:rPr>
          <w:rFonts w:asciiTheme="majorHAnsi" w:hAnsiTheme="majorHAnsi" w:cstheme="majorHAnsi"/>
          <w:color w:val="00000F"/>
          <w:sz w:val="22"/>
          <w:szCs w:val="22"/>
        </w:rPr>
        <w:t>climate integration can often be traced to the identification of opportunities by DFAT staff (</w:t>
      </w:r>
      <w:r w:rsidR="007B6051" w:rsidRPr="005C7C19">
        <w:rPr>
          <w:rFonts w:asciiTheme="majorHAnsi" w:hAnsiTheme="majorHAnsi" w:cstheme="majorHAnsi"/>
          <w:color w:val="00000F"/>
          <w:sz w:val="22"/>
          <w:szCs w:val="22"/>
        </w:rPr>
        <w:t>e.g.,</w:t>
      </w:r>
      <w:r w:rsidRPr="005C7C19">
        <w:rPr>
          <w:rFonts w:asciiTheme="majorHAnsi" w:hAnsiTheme="majorHAnsi" w:cstheme="majorHAnsi"/>
          <w:color w:val="00000F"/>
          <w:sz w:val="22"/>
          <w:szCs w:val="22"/>
        </w:rPr>
        <w:t xml:space="preserve"> PNG Post on Transport Sector’s Climate Change and Environmental Safeguards Policy).  Further, despite outreach efforts, knowledge of the Partnership and of the SU varies across Posts and is exacerbated by staff turnover.</w:t>
      </w:r>
    </w:p>
    <w:p w14:paraId="7DE89887" w14:textId="77777777" w:rsidR="0065150C" w:rsidRPr="005C7C19" w:rsidRDefault="0065150C" w:rsidP="00537770">
      <w:pPr>
        <w:pStyle w:val="ListParagraph"/>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p>
    <w:p w14:paraId="5F305DAA" w14:textId="77777777" w:rsidR="0065150C" w:rsidRPr="00D7329F" w:rsidRDefault="0065150C" w:rsidP="00537770">
      <w:pPr>
        <w:pStyle w:val="ListParagraph"/>
        <w:numPr>
          <w:ilvl w:val="0"/>
          <w:numId w:val="1"/>
        </w:numPr>
        <w:suppressAutoHyphens/>
        <w:autoSpaceDE w:val="0"/>
        <w:autoSpaceDN w:val="0"/>
        <w:adjustRightInd w:val="0"/>
        <w:spacing w:line="288" w:lineRule="auto"/>
        <w:ind w:left="709"/>
        <w:jc w:val="both"/>
        <w:textAlignment w:val="center"/>
        <w:rPr>
          <w:rFonts w:ascii="Calibri" w:eastAsia="Calibri" w:hAnsi="Calibri" w:cs="Calibri"/>
          <w:color w:val="FF0000"/>
          <w:sz w:val="22"/>
          <w:szCs w:val="22"/>
        </w:rPr>
      </w:pPr>
      <w:r w:rsidRPr="00D7329F">
        <w:rPr>
          <w:rFonts w:asciiTheme="majorHAnsi" w:hAnsiTheme="majorHAnsi" w:cstheme="majorBidi"/>
          <w:i/>
          <w:iCs/>
          <w:color w:val="00000F"/>
          <w:sz w:val="22"/>
          <w:szCs w:val="22"/>
        </w:rPr>
        <w:t>System weaknesses.</w:t>
      </w:r>
      <w:r w:rsidRPr="00D7329F">
        <w:rPr>
          <w:rFonts w:asciiTheme="majorHAnsi" w:hAnsiTheme="majorHAnsi" w:cstheme="majorBidi"/>
          <w:color w:val="00000F"/>
          <w:sz w:val="22"/>
          <w:szCs w:val="22"/>
        </w:rPr>
        <w:t xml:space="preserve"> The cessation of the previous </w:t>
      </w:r>
      <w:r w:rsidR="00641C92" w:rsidRPr="00D7329F">
        <w:rPr>
          <w:rFonts w:asciiTheme="majorHAnsi" w:hAnsiTheme="majorHAnsi" w:cstheme="majorBidi"/>
          <w:color w:val="00000F"/>
          <w:sz w:val="22"/>
          <w:szCs w:val="22"/>
        </w:rPr>
        <w:t xml:space="preserve">annual </w:t>
      </w:r>
      <w:r w:rsidRPr="00D7329F">
        <w:rPr>
          <w:rFonts w:asciiTheme="majorHAnsi" w:hAnsiTheme="majorHAnsi" w:cstheme="majorBidi"/>
          <w:color w:val="00000F"/>
          <w:sz w:val="22"/>
          <w:szCs w:val="22"/>
        </w:rPr>
        <w:t>performance</w:t>
      </w:r>
      <w:r w:rsidR="00641C92" w:rsidRPr="00D7329F">
        <w:rPr>
          <w:rFonts w:asciiTheme="majorHAnsi" w:hAnsiTheme="majorHAnsi" w:cstheme="majorBidi"/>
          <w:color w:val="00000F"/>
          <w:sz w:val="22"/>
          <w:szCs w:val="22"/>
        </w:rPr>
        <w:t xml:space="preserve"> monitoring</w:t>
      </w:r>
      <w:r w:rsidRPr="00D7329F">
        <w:rPr>
          <w:rFonts w:asciiTheme="majorHAnsi" w:hAnsiTheme="majorHAnsi" w:cstheme="majorBidi"/>
          <w:color w:val="00000F"/>
          <w:sz w:val="22"/>
          <w:szCs w:val="22"/>
        </w:rPr>
        <w:t xml:space="preserve"> tool</w:t>
      </w:r>
      <w:r w:rsidR="00641C92" w:rsidRPr="00D7329F">
        <w:rPr>
          <w:rFonts w:asciiTheme="majorHAnsi" w:hAnsiTheme="majorHAnsi" w:cstheme="majorBidi"/>
          <w:color w:val="00000F"/>
          <w:sz w:val="22"/>
          <w:szCs w:val="22"/>
        </w:rPr>
        <w:t xml:space="preserve"> </w:t>
      </w:r>
      <w:r w:rsidR="00C13BB9" w:rsidRPr="00D7329F">
        <w:rPr>
          <w:rFonts w:asciiTheme="majorHAnsi" w:hAnsiTheme="majorHAnsi" w:cstheme="majorBidi"/>
          <w:color w:val="00000F"/>
          <w:sz w:val="22"/>
          <w:szCs w:val="22"/>
        </w:rPr>
        <w:t>(Aid Quality Check)</w:t>
      </w:r>
      <w:r w:rsidRPr="00D7329F">
        <w:rPr>
          <w:rFonts w:asciiTheme="majorHAnsi" w:hAnsiTheme="majorHAnsi" w:cstheme="majorBidi"/>
          <w:color w:val="00000F"/>
          <w:sz w:val="22"/>
          <w:szCs w:val="22"/>
        </w:rPr>
        <w:t xml:space="preserve"> has reduced both the incentive for DFAT staff to engage regularly on climate and disaster risk, and the opportunity for the SU to engage with Posts on investments. Design processes could be enhanced, such as including climate and disaster risk in the quality assurance matrix, while also respecting corporate efforts to simplify and streamline systems and processes.</w:t>
      </w:r>
      <w:r w:rsidRPr="00D7329F">
        <w:rPr>
          <w:rFonts w:ascii="Calibri" w:eastAsia="Calibri" w:hAnsi="Calibri" w:cs="Calibri"/>
          <w:color w:val="FF0000"/>
          <w:sz w:val="22"/>
          <w:szCs w:val="22"/>
        </w:rPr>
        <w:t> </w:t>
      </w:r>
    </w:p>
    <w:p w14:paraId="5D862EE1" w14:textId="77777777" w:rsidR="0065150C" w:rsidRPr="0065150C" w:rsidRDefault="0065150C" w:rsidP="004F25C9">
      <w:pPr>
        <w:pStyle w:val="BasicParagraph"/>
        <w:tabs>
          <w:tab w:val="left" w:pos="454"/>
        </w:tabs>
        <w:suppressAutoHyphens/>
        <w:rPr>
          <w:rFonts w:ascii="Calibri" w:eastAsia="Calibri" w:hAnsi="Calibri" w:cs="Calibri"/>
          <w:color w:val="FF0000"/>
          <w:sz w:val="22"/>
          <w:szCs w:val="22"/>
          <w:lang w:val="en-AU"/>
        </w:rPr>
      </w:pPr>
    </w:p>
    <w:p w14:paraId="7FC14BB2" w14:textId="0A5B17FA" w:rsidR="0065150C" w:rsidRPr="00D7329F" w:rsidRDefault="0065150C" w:rsidP="00537770">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06E3576">
        <w:rPr>
          <w:rFonts w:asciiTheme="majorHAnsi" w:hAnsiTheme="majorHAnsi" w:cstheme="majorBidi"/>
          <w:color w:val="00000F"/>
          <w:sz w:val="22"/>
          <w:szCs w:val="22"/>
        </w:rPr>
        <w:t xml:space="preserve">Finally, </w:t>
      </w:r>
      <w:bookmarkStart w:id="22" w:name="_Hlk73975798"/>
      <w:r w:rsidRPr="006E3576">
        <w:rPr>
          <w:rFonts w:asciiTheme="majorHAnsi" w:hAnsiTheme="majorHAnsi" w:cstheme="majorBidi"/>
          <w:b/>
          <w:bCs/>
          <w:color w:val="00000F"/>
          <w:sz w:val="22"/>
          <w:szCs w:val="22"/>
        </w:rPr>
        <w:t>integration efforts are also constrained by the lack of dedicated climate expertise within DFAT</w:t>
      </w:r>
      <w:r w:rsidRPr="006E3576">
        <w:rPr>
          <w:rFonts w:asciiTheme="majorHAnsi" w:hAnsiTheme="majorHAnsi" w:cstheme="majorBidi"/>
          <w:color w:val="00000F"/>
          <w:sz w:val="22"/>
          <w:szCs w:val="22"/>
        </w:rPr>
        <w:t xml:space="preserve">.  </w:t>
      </w:r>
      <w:bookmarkEnd w:id="22"/>
      <w:r w:rsidRPr="005C7C19">
        <w:rPr>
          <w:rFonts w:asciiTheme="majorHAnsi" w:hAnsiTheme="majorHAnsi" w:cstheme="majorBidi"/>
          <w:color w:val="00000F"/>
          <w:sz w:val="22"/>
          <w:szCs w:val="22"/>
        </w:rPr>
        <w:t xml:space="preserve">Internally, there is no bridge between the SU and the broader DFAT institutional environment – hence that expertise is not present in policy and operational discussions within DFAT, nor are lessons disseminated across divisions. Externally, it means that the technical face of climate change integration in the region is not </w:t>
      </w:r>
      <w:r w:rsidR="008E73FD" w:rsidRPr="005C7C19">
        <w:rPr>
          <w:rFonts w:asciiTheme="majorHAnsi" w:hAnsiTheme="majorHAnsi" w:cstheme="majorBidi"/>
          <w:color w:val="00000F"/>
          <w:sz w:val="22"/>
          <w:szCs w:val="22"/>
        </w:rPr>
        <w:t>DFAT and</w:t>
      </w:r>
      <w:r w:rsidRPr="005C7C19">
        <w:rPr>
          <w:rFonts w:asciiTheme="majorHAnsi" w:hAnsiTheme="majorHAnsi" w:cstheme="majorBidi"/>
          <w:color w:val="00000F"/>
          <w:sz w:val="22"/>
          <w:szCs w:val="22"/>
        </w:rPr>
        <w:t xml:space="preserve"> is not present to advance Australia’s credentials as a climate change partner at high level political and technical discussions.</w:t>
      </w:r>
      <w:r w:rsidR="000D3A6F" w:rsidRPr="005C7C19">
        <w:rPr>
          <w:rFonts w:asciiTheme="majorHAnsi" w:hAnsiTheme="majorHAnsi" w:cstheme="majorBidi"/>
          <w:color w:val="00000F"/>
          <w:sz w:val="22"/>
          <w:szCs w:val="22"/>
        </w:rPr>
        <w:t xml:space="preserve">  </w:t>
      </w:r>
      <w:r w:rsidR="00CD73AC" w:rsidRPr="00D7329F">
        <w:rPr>
          <w:rFonts w:asciiTheme="majorHAnsi" w:hAnsiTheme="majorHAnsi" w:cstheme="majorBidi"/>
          <w:color w:val="00000F"/>
          <w:sz w:val="22"/>
          <w:szCs w:val="22"/>
        </w:rPr>
        <w:t xml:space="preserve">Establishing such </w:t>
      </w:r>
      <w:r w:rsidR="5A73005E" w:rsidRPr="00D7329F">
        <w:rPr>
          <w:rFonts w:asciiTheme="majorHAnsi" w:hAnsiTheme="majorHAnsi" w:cstheme="majorBidi"/>
          <w:color w:val="00000F"/>
          <w:sz w:val="22"/>
          <w:szCs w:val="22"/>
        </w:rPr>
        <w:t xml:space="preserve">internal </w:t>
      </w:r>
      <w:r w:rsidR="00CD73AC" w:rsidRPr="00D7329F">
        <w:rPr>
          <w:rFonts w:asciiTheme="majorHAnsi" w:hAnsiTheme="majorHAnsi" w:cstheme="majorBidi"/>
          <w:color w:val="00000F"/>
          <w:sz w:val="22"/>
          <w:szCs w:val="22"/>
        </w:rPr>
        <w:t xml:space="preserve">expertise and its role within DFAT would be consistent with the recommendations of the 2019 Thematic Group Review.   </w:t>
      </w:r>
    </w:p>
    <w:p w14:paraId="3581E353" w14:textId="77777777" w:rsidR="0065150C" w:rsidRPr="00D7329F" w:rsidRDefault="0065150C" w:rsidP="00537770">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52FAC423" w14:textId="77777777" w:rsidR="00FB2C3C" w:rsidRDefault="0065150C" w:rsidP="00537770">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D7329F">
        <w:rPr>
          <w:rFonts w:asciiTheme="majorHAnsi" w:hAnsiTheme="majorHAnsi" w:cstheme="majorHAnsi"/>
          <w:color w:val="00000F"/>
          <w:sz w:val="22"/>
          <w:szCs w:val="22"/>
        </w:rPr>
        <w:t xml:space="preserve">These challenges are neither new nor unique to climate integration (ODE </w:t>
      </w:r>
      <w:r w:rsidR="00BB1482" w:rsidRPr="00D7329F">
        <w:rPr>
          <w:rFonts w:asciiTheme="majorHAnsi" w:hAnsiTheme="majorHAnsi" w:cstheme="majorHAnsi"/>
          <w:color w:val="00000F"/>
          <w:sz w:val="22"/>
          <w:szCs w:val="22"/>
        </w:rPr>
        <w:t>Disability</w:t>
      </w:r>
      <w:r w:rsidR="00D579DD" w:rsidRPr="00D7329F">
        <w:rPr>
          <w:rFonts w:asciiTheme="majorHAnsi" w:hAnsiTheme="majorHAnsi" w:cstheme="majorHAnsi"/>
          <w:color w:val="00000F"/>
          <w:sz w:val="22"/>
          <w:szCs w:val="22"/>
        </w:rPr>
        <w:t>, Climate</w:t>
      </w:r>
      <w:r w:rsidR="00BB1482" w:rsidRPr="00D7329F">
        <w:rPr>
          <w:rFonts w:asciiTheme="majorHAnsi" w:hAnsiTheme="majorHAnsi" w:cstheme="majorHAnsi"/>
          <w:color w:val="00000F"/>
          <w:sz w:val="22"/>
          <w:szCs w:val="22"/>
        </w:rPr>
        <w:t xml:space="preserve"> 2018)</w:t>
      </w:r>
      <w:r w:rsidRPr="00D7329F">
        <w:rPr>
          <w:rFonts w:asciiTheme="majorHAnsi" w:hAnsiTheme="majorHAnsi" w:cstheme="majorHAnsi"/>
          <w:color w:val="00000F"/>
          <w:sz w:val="22"/>
          <w:szCs w:val="22"/>
        </w:rPr>
        <w:t xml:space="preserve">. </w:t>
      </w:r>
      <w:r w:rsidR="00BB1482" w:rsidRPr="00D7329F">
        <w:rPr>
          <w:rFonts w:asciiTheme="majorHAnsi" w:hAnsiTheme="majorHAnsi" w:cstheme="majorHAnsi"/>
          <w:color w:val="00000F"/>
          <w:sz w:val="22"/>
          <w:szCs w:val="22"/>
        </w:rPr>
        <w:t xml:space="preserve"> </w:t>
      </w:r>
      <w:r w:rsidRPr="00D7329F">
        <w:rPr>
          <w:rFonts w:asciiTheme="majorHAnsi" w:hAnsiTheme="majorHAnsi" w:cstheme="majorHAnsi"/>
          <w:color w:val="00000F"/>
          <w:sz w:val="22"/>
          <w:szCs w:val="22"/>
        </w:rPr>
        <w:t>Nor are we talking about a failure, rather it is seeking to identify the remaining weaknesses that are hindering a more systematic and consistent approach to climate and disaster risk integration in the Pacific.</w:t>
      </w:r>
    </w:p>
    <w:p w14:paraId="2840F9B7" w14:textId="77777777" w:rsidR="00FB2C3C" w:rsidRPr="00876E35" w:rsidRDefault="00FB2C3C" w:rsidP="00FB2C3C">
      <w:pPr>
        <w:pStyle w:val="BasicParagraph"/>
        <w:tabs>
          <w:tab w:val="left" w:pos="454"/>
        </w:tabs>
        <w:suppressAutoHyphens/>
        <w:rPr>
          <w:rFonts w:asciiTheme="majorHAnsi" w:hAnsiTheme="majorHAnsi" w:cstheme="majorHAnsi"/>
          <w:color w:val="0E1428"/>
          <w:sz w:val="18"/>
          <w:szCs w:val="18"/>
        </w:rPr>
      </w:pPr>
    </w:p>
    <w:p w14:paraId="5FB89927" w14:textId="77777777" w:rsidR="00FB2C3C" w:rsidRPr="00611197" w:rsidRDefault="00C86735" w:rsidP="00611197">
      <w:pPr>
        <w:pStyle w:val="HEADING3A"/>
      </w:pPr>
      <w:bookmarkStart w:id="23" w:name="_Toc72104080"/>
      <w:r w:rsidRPr="00611197">
        <w:t xml:space="preserve">OUTCOME </w:t>
      </w:r>
      <w:r w:rsidR="00751326" w:rsidRPr="00611197">
        <w:t>2</w:t>
      </w:r>
      <w:r w:rsidR="0029748D" w:rsidRPr="00611197">
        <w:t>. A</w:t>
      </w:r>
      <w:r w:rsidR="004238F4" w:rsidRPr="00611197">
        <w:t>U</w:t>
      </w:r>
      <w:r w:rsidR="0029748D" w:rsidRPr="00611197">
        <w:t>STRALIAN SUPPORTED CLIMATE</w:t>
      </w:r>
      <w:r w:rsidR="004238F4" w:rsidRPr="00611197">
        <w:t xml:space="preserve"> CHANGE</w:t>
      </w:r>
      <w:r w:rsidR="0029748D" w:rsidRPr="00611197">
        <w:t xml:space="preserve"> INFORMATION IS </w:t>
      </w:r>
      <w:r w:rsidR="004238F4" w:rsidRPr="00611197">
        <w:t>RELEVANT AND INFLUENTIAL</w:t>
      </w:r>
      <w:bookmarkEnd w:id="23"/>
    </w:p>
    <w:p w14:paraId="47D8456F" w14:textId="77777777" w:rsidR="00FB2C3C" w:rsidRPr="00876E35" w:rsidRDefault="00FB2C3C" w:rsidP="00FB2C3C">
      <w:pPr>
        <w:tabs>
          <w:tab w:val="left" w:pos="7780"/>
        </w:tabs>
        <w:rPr>
          <w:rFonts w:asciiTheme="majorHAnsi" w:hAnsiTheme="majorHAnsi" w:cstheme="majorHAnsi"/>
          <w:color w:val="B7432A"/>
          <w:spacing w:val="60"/>
          <w:sz w:val="22"/>
          <w:szCs w:val="22"/>
        </w:rPr>
      </w:pPr>
    </w:p>
    <w:p w14:paraId="4EEC8C1D" w14:textId="77777777" w:rsidR="00A72559" w:rsidRDefault="004E1B84" w:rsidP="00BE138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996A3B">
        <w:rPr>
          <w:rFonts w:asciiTheme="majorHAnsi" w:hAnsiTheme="majorHAnsi" w:cstheme="majorHAnsi"/>
          <w:b/>
          <w:bCs/>
          <w:color w:val="00000F"/>
          <w:sz w:val="22"/>
          <w:szCs w:val="22"/>
        </w:rPr>
        <w:t xml:space="preserve">Progress towards achievement of this outcome </w:t>
      </w:r>
      <w:r w:rsidR="005A6BD9" w:rsidRPr="00996A3B">
        <w:rPr>
          <w:rFonts w:asciiTheme="majorHAnsi" w:hAnsiTheme="majorHAnsi" w:cstheme="majorHAnsi"/>
          <w:b/>
          <w:bCs/>
          <w:color w:val="00000F"/>
          <w:sz w:val="22"/>
          <w:szCs w:val="22"/>
        </w:rPr>
        <w:t xml:space="preserve">has been </w:t>
      </w:r>
      <w:r w:rsidR="00A969EC" w:rsidRPr="00996A3B">
        <w:rPr>
          <w:rFonts w:asciiTheme="majorHAnsi" w:hAnsiTheme="majorHAnsi" w:cstheme="majorHAnsi"/>
          <w:b/>
          <w:bCs/>
          <w:color w:val="00000F"/>
          <w:sz w:val="22"/>
          <w:szCs w:val="22"/>
        </w:rPr>
        <w:t>variable</w:t>
      </w:r>
      <w:r w:rsidR="0072666E" w:rsidRPr="00996A3B">
        <w:rPr>
          <w:rFonts w:asciiTheme="majorHAnsi" w:hAnsiTheme="majorHAnsi" w:cstheme="majorHAnsi"/>
          <w:b/>
          <w:bCs/>
          <w:color w:val="00000F"/>
          <w:sz w:val="22"/>
          <w:szCs w:val="22"/>
        </w:rPr>
        <w:t xml:space="preserve"> across the Partnership.</w:t>
      </w:r>
      <w:r w:rsidR="0072666E">
        <w:rPr>
          <w:rFonts w:asciiTheme="majorHAnsi" w:hAnsiTheme="majorHAnsi" w:cstheme="majorHAnsi"/>
          <w:color w:val="00000F"/>
          <w:sz w:val="22"/>
          <w:szCs w:val="22"/>
        </w:rPr>
        <w:t xml:space="preserve"> </w:t>
      </w:r>
      <w:r w:rsidR="00035441">
        <w:rPr>
          <w:rFonts w:asciiTheme="majorHAnsi" w:hAnsiTheme="majorHAnsi" w:cstheme="majorHAnsi"/>
          <w:color w:val="00000F"/>
          <w:sz w:val="22"/>
          <w:szCs w:val="22"/>
        </w:rPr>
        <w:t xml:space="preserve">The three sub-programs play distinctly different roles in supporting climate </w:t>
      </w:r>
      <w:r w:rsidR="00D90135">
        <w:rPr>
          <w:rFonts w:asciiTheme="majorHAnsi" w:hAnsiTheme="majorHAnsi" w:cstheme="majorHAnsi"/>
          <w:color w:val="00000F"/>
          <w:sz w:val="22"/>
          <w:szCs w:val="22"/>
        </w:rPr>
        <w:t>information and</w:t>
      </w:r>
      <w:r w:rsidR="00A06952">
        <w:rPr>
          <w:rFonts w:asciiTheme="majorHAnsi" w:hAnsiTheme="majorHAnsi" w:cstheme="majorHAnsi"/>
          <w:color w:val="00000F"/>
          <w:sz w:val="22"/>
          <w:szCs w:val="22"/>
        </w:rPr>
        <w:t xml:space="preserve"> have progressed to different degrees in their ability to </w:t>
      </w:r>
      <w:r w:rsidR="00996A3B">
        <w:rPr>
          <w:rFonts w:asciiTheme="majorHAnsi" w:hAnsiTheme="majorHAnsi" w:cstheme="majorHAnsi"/>
          <w:color w:val="00000F"/>
          <w:sz w:val="22"/>
          <w:szCs w:val="22"/>
        </w:rPr>
        <w:t xml:space="preserve">deliver influential climate information for the Pacific. </w:t>
      </w:r>
      <w:r w:rsidR="00D74292">
        <w:rPr>
          <w:rFonts w:asciiTheme="majorHAnsi" w:hAnsiTheme="majorHAnsi" w:cstheme="majorHAnsi"/>
          <w:color w:val="00000F"/>
          <w:sz w:val="22"/>
          <w:szCs w:val="22"/>
        </w:rPr>
        <w:t xml:space="preserve">However, the breadth of climate information being </w:t>
      </w:r>
      <w:r w:rsidR="00806649">
        <w:rPr>
          <w:rFonts w:asciiTheme="majorHAnsi" w:hAnsiTheme="majorHAnsi" w:cstheme="majorHAnsi"/>
          <w:color w:val="00000F"/>
          <w:sz w:val="22"/>
          <w:szCs w:val="22"/>
        </w:rPr>
        <w:t>produced,</w:t>
      </w:r>
      <w:r w:rsidR="00D74292">
        <w:rPr>
          <w:rFonts w:asciiTheme="majorHAnsi" w:hAnsiTheme="majorHAnsi" w:cstheme="majorHAnsi"/>
          <w:color w:val="00000F"/>
          <w:sz w:val="22"/>
          <w:szCs w:val="22"/>
        </w:rPr>
        <w:t xml:space="preserve"> </w:t>
      </w:r>
      <w:r w:rsidR="00B45A67">
        <w:rPr>
          <w:rFonts w:asciiTheme="majorHAnsi" w:hAnsiTheme="majorHAnsi" w:cstheme="majorHAnsi"/>
          <w:color w:val="00000F"/>
          <w:sz w:val="22"/>
          <w:szCs w:val="22"/>
        </w:rPr>
        <w:t xml:space="preserve">and the number of pathways developed to facilitate better utilisation of this information is </w:t>
      </w:r>
      <w:r w:rsidR="00A14D98">
        <w:rPr>
          <w:rFonts w:asciiTheme="majorHAnsi" w:hAnsiTheme="majorHAnsi" w:cstheme="majorHAnsi"/>
          <w:color w:val="00000F"/>
          <w:sz w:val="22"/>
          <w:szCs w:val="22"/>
        </w:rPr>
        <w:t xml:space="preserve">considerable. </w:t>
      </w:r>
    </w:p>
    <w:p w14:paraId="63C817BD" w14:textId="77777777" w:rsidR="000719FF" w:rsidRDefault="000719FF" w:rsidP="00BE138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E439A62" w14:textId="77777777" w:rsidR="000719FF" w:rsidRDefault="000719FF" w:rsidP="009B2980">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COVID-19 has significantly delayed some aspects of the knowledge brokering activities.  Combined with the long lead times for seeing impact in this type of work, there should be caution in dismissing these activities too early as they do require long-term investment to reach their full potential. </w:t>
      </w:r>
    </w:p>
    <w:p w14:paraId="52866A95" w14:textId="77777777" w:rsidR="00D90135" w:rsidRDefault="00D90135" w:rsidP="00BE138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9B3ACD3" w14:textId="2100F8B6" w:rsidR="00D90135" w:rsidRPr="00D7329F" w:rsidRDefault="003E5587" w:rsidP="00BE138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D7329F">
        <w:rPr>
          <w:rFonts w:asciiTheme="majorHAnsi" w:hAnsiTheme="majorHAnsi" w:cstheme="majorHAnsi"/>
          <w:b/>
          <w:bCs/>
          <w:color w:val="00000F"/>
          <w:sz w:val="22"/>
          <w:szCs w:val="22"/>
        </w:rPr>
        <w:t>COS</w:t>
      </w:r>
      <w:r w:rsidR="00996CE1" w:rsidRPr="00D7329F">
        <w:rPr>
          <w:rFonts w:asciiTheme="majorHAnsi" w:hAnsiTheme="majorHAnsi" w:cstheme="majorHAnsi"/>
          <w:b/>
          <w:bCs/>
          <w:color w:val="00000F"/>
          <w:sz w:val="22"/>
          <w:szCs w:val="22"/>
        </w:rPr>
        <w:t>P</w:t>
      </w:r>
      <w:r w:rsidRPr="00D7329F">
        <w:rPr>
          <w:rFonts w:asciiTheme="majorHAnsi" w:hAnsiTheme="majorHAnsi" w:cstheme="majorHAnsi"/>
          <w:b/>
          <w:bCs/>
          <w:color w:val="00000F"/>
          <w:sz w:val="22"/>
          <w:szCs w:val="22"/>
        </w:rPr>
        <w:t>Pac2 continues to provide important, relevant</w:t>
      </w:r>
      <w:r w:rsidR="00F2070D" w:rsidRPr="00D7329F">
        <w:rPr>
          <w:rFonts w:asciiTheme="majorHAnsi" w:hAnsiTheme="majorHAnsi" w:cstheme="majorHAnsi"/>
          <w:b/>
          <w:bCs/>
          <w:color w:val="00000F"/>
          <w:sz w:val="22"/>
          <w:szCs w:val="22"/>
        </w:rPr>
        <w:t xml:space="preserve">, and influential information to </w:t>
      </w:r>
      <w:r w:rsidR="00EB60DA" w:rsidRPr="00D7329F">
        <w:rPr>
          <w:rFonts w:asciiTheme="majorHAnsi" w:hAnsiTheme="majorHAnsi" w:cstheme="majorHAnsi"/>
          <w:b/>
          <w:bCs/>
          <w:color w:val="00000F"/>
          <w:sz w:val="22"/>
          <w:szCs w:val="22"/>
        </w:rPr>
        <w:t xml:space="preserve">Pacific Island </w:t>
      </w:r>
      <w:r w:rsidR="004560A1" w:rsidRPr="00D7329F">
        <w:rPr>
          <w:rFonts w:asciiTheme="majorHAnsi" w:hAnsiTheme="majorHAnsi" w:cstheme="majorHAnsi"/>
          <w:b/>
          <w:bCs/>
          <w:color w:val="00000F"/>
          <w:sz w:val="22"/>
          <w:szCs w:val="22"/>
        </w:rPr>
        <w:t xml:space="preserve">national </w:t>
      </w:r>
      <w:r w:rsidR="008B64F1" w:rsidRPr="00D7329F">
        <w:rPr>
          <w:rFonts w:asciiTheme="majorHAnsi" w:hAnsiTheme="majorHAnsi" w:cstheme="majorHAnsi"/>
          <w:b/>
          <w:bCs/>
          <w:color w:val="00000F"/>
          <w:sz w:val="22"/>
          <w:szCs w:val="22"/>
        </w:rPr>
        <w:t>m</w:t>
      </w:r>
      <w:r w:rsidR="00EB60DA" w:rsidRPr="00D7329F">
        <w:rPr>
          <w:rFonts w:asciiTheme="majorHAnsi" w:hAnsiTheme="majorHAnsi" w:cstheme="majorHAnsi"/>
          <w:b/>
          <w:bCs/>
          <w:color w:val="00000F"/>
          <w:sz w:val="22"/>
          <w:szCs w:val="22"/>
        </w:rPr>
        <w:t xml:space="preserve">eteorological </w:t>
      </w:r>
      <w:r w:rsidR="008B64F1" w:rsidRPr="00D7329F">
        <w:rPr>
          <w:rFonts w:asciiTheme="majorHAnsi" w:hAnsiTheme="majorHAnsi" w:cstheme="majorHAnsi"/>
          <w:b/>
          <w:bCs/>
          <w:color w:val="00000F"/>
          <w:sz w:val="22"/>
          <w:szCs w:val="22"/>
        </w:rPr>
        <w:t>services</w:t>
      </w:r>
      <w:r w:rsidR="00F2070D" w:rsidRPr="00D7329F">
        <w:rPr>
          <w:rFonts w:asciiTheme="majorHAnsi" w:hAnsiTheme="majorHAnsi" w:cstheme="majorHAnsi"/>
          <w:b/>
          <w:bCs/>
          <w:color w:val="00000F"/>
          <w:sz w:val="22"/>
          <w:szCs w:val="22"/>
        </w:rPr>
        <w:t xml:space="preserve"> partners</w:t>
      </w:r>
      <w:r w:rsidR="00B70DF6" w:rsidRPr="00D7329F">
        <w:rPr>
          <w:rFonts w:asciiTheme="majorHAnsi" w:hAnsiTheme="majorHAnsi" w:cstheme="majorHAnsi"/>
          <w:b/>
          <w:bCs/>
          <w:color w:val="00000F"/>
          <w:sz w:val="22"/>
          <w:szCs w:val="22"/>
        </w:rPr>
        <w:t xml:space="preserve">. </w:t>
      </w:r>
      <w:r w:rsidR="007E1F04" w:rsidRPr="00D7329F">
        <w:rPr>
          <w:rFonts w:asciiTheme="majorHAnsi" w:hAnsiTheme="majorHAnsi" w:cstheme="majorHAnsi"/>
          <w:color w:val="00000F"/>
          <w:sz w:val="22"/>
          <w:szCs w:val="22"/>
        </w:rPr>
        <w:t>There is acknowledgement by Pacific partners that Australia’s contribution through COS</w:t>
      </w:r>
      <w:r w:rsidR="00996CE1" w:rsidRPr="00D7329F">
        <w:rPr>
          <w:rFonts w:asciiTheme="majorHAnsi" w:hAnsiTheme="majorHAnsi" w:cstheme="majorHAnsi"/>
          <w:color w:val="00000F"/>
          <w:sz w:val="22"/>
          <w:szCs w:val="22"/>
        </w:rPr>
        <w:t>P</w:t>
      </w:r>
      <w:r w:rsidR="007E1F04" w:rsidRPr="00D7329F">
        <w:rPr>
          <w:rFonts w:asciiTheme="majorHAnsi" w:hAnsiTheme="majorHAnsi" w:cstheme="majorHAnsi"/>
          <w:color w:val="00000F"/>
          <w:sz w:val="22"/>
          <w:szCs w:val="22"/>
        </w:rPr>
        <w:t>Pac2</w:t>
      </w:r>
      <w:r w:rsidR="00B03991" w:rsidRPr="00D7329F">
        <w:rPr>
          <w:rFonts w:asciiTheme="majorHAnsi" w:hAnsiTheme="majorHAnsi" w:cstheme="majorHAnsi"/>
          <w:color w:val="00000F"/>
          <w:sz w:val="22"/>
          <w:szCs w:val="22"/>
        </w:rPr>
        <w:t xml:space="preserve"> fills a </w:t>
      </w:r>
      <w:r w:rsidR="00D0162F" w:rsidRPr="00D7329F">
        <w:rPr>
          <w:rFonts w:asciiTheme="majorHAnsi" w:hAnsiTheme="majorHAnsi" w:cstheme="majorHAnsi"/>
          <w:color w:val="00000F"/>
          <w:sz w:val="22"/>
          <w:szCs w:val="22"/>
        </w:rPr>
        <w:t>u</w:t>
      </w:r>
      <w:r w:rsidR="002124C0" w:rsidRPr="00D7329F">
        <w:rPr>
          <w:rFonts w:asciiTheme="majorHAnsi" w:hAnsiTheme="majorHAnsi" w:cstheme="majorHAnsi"/>
          <w:color w:val="00000F"/>
          <w:sz w:val="22"/>
          <w:szCs w:val="22"/>
        </w:rPr>
        <w:t xml:space="preserve">nique, </w:t>
      </w:r>
      <w:r w:rsidR="00B03991" w:rsidRPr="00D7329F">
        <w:rPr>
          <w:rFonts w:asciiTheme="majorHAnsi" w:hAnsiTheme="majorHAnsi" w:cstheme="majorHAnsi"/>
          <w:color w:val="00000F"/>
          <w:sz w:val="22"/>
          <w:szCs w:val="22"/>
        </w:rPr>
        <w:t>critical need in the Pacific</w:t>
      </w:r>
      <w:r w:rsidR="003C36FB" w:rsidRPr="00D7329F">
        <w:rPr>
          <w:rFonts w:asciiTheme="majorHAnsi" w:hAnsiTheme="majorHAnsi" w:cstheme="majorHAnsi"/>
          <w:color w:val="00000F"/>
          <w:sz w:val="22"/>
          <w:szCs w:val="22"/>
        </w:rPr>
        <w:t>, particula</w:t>
      </w:r>
      <w:r w:rsidR="00D21DC9" w:rsidRPr="00D7329F">
        <w:rPr>
          <w:rFonts w:asciiTheme="majorHAnsi" w:hAnsiTheme="majorHAnsi" w:cstheme="majorHAnsi"/>
          <w:color w:val="00000F"/>
          <w:sz w:val="22"/>
          <w:szCs w:val="22"/>
        </w:rPr>
        <w:t xml:space="preserve">rly in generating short-term seasonal </w:t>
      </w:r>
      <w:r w:rsidR="00D8410A">
        <w:rPr>
          <w:rFonts w:asciiTheme="majorHAnsi" w:hAnsiTheme="majorHAnsi" w:cstheme="majorHAnsi"/>
          <w:color w:val="00000F"/>
          <w:sz w:val="22"/>
          <w:szCs w:val="22"/>
        </w:rPr>
        <w:t>forecasts</w:t>
      </w:r>
      <w:r w:rsidR="00475CBF" w:rsidRPr="00D7329F">
        <w:rPr>
          <w:rFonts w:asciiTheme="majorHAnsi" w:hAnsiTheme="majorHAnsi" w:cstheme="majorHAnsi"/>
          <w:color w:val="00000F"/>
          <w:sz w:val="22"/>
          <w:szCs w:val="22"/>
        </w:rPr>
        <w:t xml:space="preserve"> and building capacity of national meteorological services.</w:t>
      </w:r>
    </w:p>
    <w:p w14:paraId="4CF9D432" w14:textId="77777777" w:rsidR="00503F18" w:rsidRPr="00D7329F" w:rsidRDefault="00503F18" w:rsidP="00503F18">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274E6F30" w14:textId="731E6A97" w:rsidR="00FA0C1C" w:rsidRPr="006E3576" w:rsidRDefault="00D47F51" w:rsidP="00D47F51">
      <w:pPr>
        <w:suppressAutoHyphens/>
        <w:autoSpaceDE w:val="0"/>
        <w:autoSpaceDN w:val="0"/>
        <w:adjustRightInd w:val="0"/>
        <w:spacing w:line="288" w:lineRule="auto"/>
        <w:jc w:val="both"/>
        <w:textAlignment w:val="center"/>
        <w:rPr>
          <w:rFonts w:asciiTheme="majorHAnsi" w:hAnsiTheme="majorHAnsi" w:cstheme="majorHAnsi"/>
          <w:b/>
          <w:bCs/>
          <w:color w:val="00000F"/>
          <w:sz w:val="22"/>
          <w:szCs w:val="22"/>
        </w:rPr>
      </w:pPr>
      <w:r w:rsidRPr="00D7329F">
        <w:rPr>
          <w:rFonts w:asciiTheme="majorHAnsi" w:hAnsiTheme="majorHAnsi" w:cstheme="majorHAnsi"/>
          <w:color w:val="00000F"/>
          <w:sz w:val="22"/>
          <w:szCs w:val="22"/>
        </w:rPr>
        <w:t>The program c</w:t>
      </w:r>
      <w:r w:rsidR="009A47CE" w:rsidRPr="00D7329F">
        <w:rPr>
          <w:rFonts w:asciiTheme="majorHAnsi" w:hAnsiTheme="majorHAnsi" w:cstheme="majorHAnsi"/>
          <w:color w:val="00000F"/>
          <w:sz w:val="22"/>
          <w:szCs w:val="22"/>
        </w:rPr>
        <w:t>ontinues to build on Australia’s strong base of support</w:t>
      </w:r>
      <w:r w:rsidR="004E57F1" w:rsidRPr="00D7329F">
        <w:rPr>
          <w:rFonts w:asciiTheme="majorHAnsi" w:hAnsiTheme="majorHAnsi" w:cstheme="majorHAnsi"/>
          <w:color w:val="00000F"/>
          <w:sz w:val="22"/>
          <w:szCs w:val="22"/>
        </w:rPr>
        <w:t xml:space="preserve"> </w:t>
      </w:r>
      <w:r w:rsidR="00FA0C1C" w:rsidRPr="00D7329F">
        <w:rPr>
          <w:rFonts w:asciiTheme="majorHAnsi" w:hAnsiTheme="majorHAnsi" w:cstheme="majorHAnsi"/>
          <w:color w:val="00000F"/>
          <w:sz w:val="22"/>
          <w:szCs w:val="22"/>
        </w:rPr>
        <w:t xml:space="preserve">for </w:t>
      </w:r>
      <w:r w:rsidR="004E57F1" w:rsidRPr="00D7329F">
        <w:rPr>
          <w:rFonts w:asciiTheme="majorHAnsi" w:hAnsiTheme="majorHAnsi" w:cstheme="majorHAnsi"/>
          <w:color w:val="00000F"/>
          <w:sz w:val="22"/>
          <w:szCs w:val="22"/>
        </w:rPr>
        <w:t xml:space="preserve">seasonal predictions (through </w:t>
      </w:r>
      <w:r w:rsidR="009B02DC">
        <w:rPr>
          <w:rFonts w:asciiTheme="majorHAnsi" w:hAnsiTheme="majorHAnsi" w:cstheme="majorHAnsi"/>
          <w:color w:val="00000F"/>
          <w:sz w:val="22"/>
          <w:szCs w:val="22"/>
        </w:rPr>
        <w:t>weather</w:t>
      </w:r>
      <w:r w:rsidR="009B02DC" w:rsidRPr="00D7329F">
        <w:rPr>
          <w:rFonts w:asciiTheme="majorHAnsi" w:hAnsiTheme="majorHAnsi" w:cstheme="majorHAnsi"/>
          <w:color w:val="00000F"/>
          <w:sz w:val="22"/>
          <w:szCs w:val="22"/>
        </w:rPr>
        <w:t>,</w:t>
      </w:r>
      <w:r w:rsidR="00D726FC">
        <w:rPr>
          <w:rFonts w:asciiTheme="majorHAnsi" w:hAnsiTheme="majorHAnsi" w:cstheme="majorHAnsi"/>
          <w:color w:val="00000F"/>
          <w:sz w:val="22"/>
          <w:szCs w:val="22"/>
        </w:rPr>
        <w:t xml:space="preserve"> </w:t>
      </w:r>
      <w:r w:rsidR="0092000E">
        <w:rPr>
          <w:rFonts w:asciiTheme="majorHAnsi" w:hAnsiTheme="majorHAnsi" w:cstheme="majorHAnsi"/>
          <w:color w:val="00000F"/>
          <w:sz w:val="22"/>
          <w:szCs w:val="22"/>
        </w:rPr>
        <w:t>climate,</w:t>
      </w:r>
      <w:r w:rsidR="00D726FC">
        <w:rPr>
          <w:rFonts w:asciiTheme="majorHAnsi" w:hAnsiTheme="majorHAnsi" w:cstheme="majorHAnsi"/>
          <w:color w:val="00000F"/>
          <w:sz w:val="22"/>
          <w:szCs w:val="22"/>
        </w:rPr>
        <w:t xml:space="preserve"> </w:t>
      </w:r>
      <w:r w:rsidR="004E57F1" w:rsidRPr="00D7329F">
        <w:rPr>
          <w:rFonts w:asciiTheme="majorHAnsi" w:hAnsiTheme="majorHAnsi" w:cstheme="majorHAnsi"/>
          <w:color w:val="00000F"/>
          <w:sz w:val="22"/>
          <w:szCs w:val="22"/>
        </w:rPr>
        <w:t>and oceanographic monitoring) a</w:t>
      </w:r>
      <w:r w:rsidR="00FA0C1C" w:rsidRPr="00D7329F">
        <w:rPr>
          <w:rFonts w:asciiTheme="majorHAnsi" w:hAnsiTheme="majorHAnsi" w:cstheme="majorHAnsi"/>
          <w:color w:val="00000F"/>
          <w:sz w:val="22"/>
          <w:szCs w:val="22"/>
        </w:rPr>
        <w:t>nd for ongoing geodetic sea level monitoring in the Pacific.</w:t>
      </w:r>
      <w:r w:rsidRPr="00D7329F">
        <w:rPr>
          <w:rFonts w:asciiTheme="majorHAnsi" w:hAnsiTheme="majorHAnsi" w:cstheme="majorHAnsi"/>
          <w:b/>
          <w:bCs/>
          <w:color w:val="00000F"/>
          <w:sz w:val="22"/>
          <w:szCs w:val="22"/>
        </w:rPr>
        <w:t xml:space="preserve"> </w:t>
      </w:r>
      <w:r w:rsidR="000F5B12" w:rsidRPr="00D7329F">
        <w:rPr>
          <w:rFonts w:asciiTheme="majorHAnsi" w:hAnsiTheme="majorHAnsi" w:cstheme="majorHAnsi"/>
          <w:color w:val="00000F"/>
          <w:sz w:val="22"/>
          <w:szCs w:val="22"/>
        </w:rPr>
        <w:t xml:space="preserve">Pacific partners </w:t>
      </w:r>
      <w:r w:rsidR="0041310A" w:rsidRPr="00D7329F">
        <w:rPr>
          <w:rFonts w:asciiTheme="majorHAnsi" w:hAnsiTheme="majorHAnsi" w:cstheme="majorHAnsi"/>
          <w:color w:val="00000F"/>
          <w:sz w:val="22"/>
          <w:szCs w:val="22"/>
        </w:rPr>
        <w:t>are ready for COSPPac2 support to be further extended beyond national technical capacity building</w:t>
      </w:r>
      <w:r w:rsidR="00551D8C" w:rsidRPr="00D7329F">
        <w:rPr>
          <w:rFonts w:asciiTheme="majorHAnsi" w:hAnsiTheme="majorHAnsi" w:cstheme="majorHAnsi"/>
          <w:color w:val="00000F"/>
          <w:sz w:val="22"/>
          <w:szCs w:val="22"/>
        </w:rPr>
        <w:t xml:space="preserve"> to consider traditional knowledge and brokering knowledge products </w:t>
      </w:r>
      <w:r w:rsidR="002C2B97" w:rsidRPr="00D7329F">
        <w:rPr>
          <w:rFonts w:asciiTheme="majorHAnsi" w:hAnsiTheme="majorHAnsi" w:cstheme="majorHAnsi"/>
          <w:color w:val="00000F"/>
          <w:sz w:val="22"/>
          <w:szCs w:val="22"/>
        </w:rPr>
        <w:t xml:space="preserve">at </w:t>
      </w:r>
      <w:r w:rsidR="00551D8C" w:rsidRPr="00D7329F">
        <w:rPr>
          <w:rFonts w:asciiTheme="majorHAnsi" w:hAnsiTheme="majorHAnsi" w:cstheme="majorHAnsi"/>
          <w:color w:val="00000F"/>
          <w:sz w:val="22"/>
          <w:szCs w:val="22"/>
        </w:rPr>
        <w:t>the community level.</w:t>
      </w:r>
    </w:p>
    <w:p w14:paraId="070C42EE" w14:textId="77777777" w:rsidR="00D47F51" w:rsidRPr="005C7C19" w:rsidRDefault="00D47F51" w:rsidP="00D47F51">
      <w:pPr>
        <w:pStyle w:val="ListParagraph"/>
        <w:suppressAutoHyphens/>
        <w:autoSpaceDE w:val="0"/>
        <w:autoSpaceDN w:val="0"/>
        <w:adjustRightInd w:val="0"/>
        <w:spacing w:line="288" w:lineRule="auto"/>
        <w:ind w:left="1080"/>
        <w:jc w:val="both"/>
        <w:textAlignment w:val="center"/>
        <w:rPr>
          <w:rFonts w:asciiTheme="majorHAnsi" w:hAnsiTheme="majorHAnsi" w:cstheme="majorHAnsi"/>
          <w:b/>
          <w:bCs/>
          <w:color w:val="00000F"/>
          <w:sz w:val="22"/>
          <w:szCs w:val="22"/>
        </w:rPr>
      </w:pPr>
    </w:p>
    <w:p w14:paraId="7C706AAA" w14:textId="77777777" w:rsidR="00551D8C" w:rsidRPr="00D7329F" w:rsidRDefault="0064537B" w:rsidP="00D47F5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C7C19">
        <w:rPr>
          <w:rFonts w:asciiTheme="majorHAnsi" w:hAnsiTheme="majorHAnsi" w:cstheme="majorHAnsi"/>
          <w:color w:val="00000F"/>
          <w:sz w:val="22"/>
          <w:szCs w:val="22"/>
        </w:rPr>
        <w:t xml:space="preserve">Some pilot activities </w:t>
      </w:r>
      <w:r w:rsidR="0053785D" w:rsidRPr="005C7C19">
        <w:rPr>
          <w:rFonts w:asciiTheme="majorHAnsi" w:hAnsiTheme="majorHAnsi" w:cstheme="majorHAnsi"/>
          <w:color w:val="00000F"/>
          <w:sz w:val="22"/>
          <w:szCs w:val="22"/>
        </w:rPr>
        <w:t xml:space="preserve">are </w:t>
      </w:r>
      <w:r w:rsidRPr="005C7C19">
        <w:rPr>
          <w:rFonts w:asciiTheme="majorHAnsi" w:hAnsiTheme="majorHAnsi" w:cstheme="majorHAnsi"/>
          <w:color w:val="00000F"/>
          <w:sz w:val="22"/>
          <w:szCs w:val="22"/>
        </w:rPr>
        <w:t xml:space="preserve">showing success in </w:t>
      </w:r>
      <w:r w:rsidR="00024ED4" w:rsidRPr="005C7C19">
        <w:rPr>
          <w:rFonts w:asciiTheme="majorHAnsi" w:hAnsiTheme="majorHAnsi" w:cstheme="majorHAnsi"/>
          <w:color w:val="00000F"/>
          <w:sz w:val="22"/>
          <w:szCs w:val="22"/>
        </w:rPr>
        <w:t>downscaling climate information</w:t>
      </w:r>
      <w:r w:rsidR="008F498B" w:rsidRPr="005C7C19">
        <w:rPr>
          <w:rFonts w:asciiTheme="majorHAnsi" w:hAnsiTheme="majorHAnsi" w:cstheme="majorHAnsi"/>
          <w:color w:val="00000F"/>
          <w:sz w:val="22"/>
          <w:szCs w:val="22"/>
        </w:rPr>
        <w:t xml:space="preserve"> produced by COSPPac2</w:t>
      </w:r>
      <w:r w:rsidR="00024ED4" w:rsidRPr="005C7C19">
        <w:rPr>
          <w:rFonts w:asciiTheme="majorHAnsi" w:hAnsiTheme="majorHAnsi" w:cstheme="majorHAnsi"/>
          <w:color w:val="00000F"/>
          <w:sz w:val="22"/>
          <w:szCs w:val="22"/>
        </w:rPr>
        <w:t xml:space="preserve"> to </w:t>
      </w:r>
      <w:r w:rsidR="00FD3DC7" w:rsidRPr="00D7329F">
        <w:rPr>
          <w:rFonts w:asciiTheme="majorHAnsi" w:hAnsiTheme="majorHAnsi" w:cstheme="majorHAnsi"/>
          <w:color w:val="00000F"/>
          <w:sz w:val="22"/>
          <w:szCs w:val="22"/>
        </w:rPr>
        <w:t>particular sectors within countries</w:t>
      </w:r>
      <w:r w:rsidR="00024ED4" w:rsidRPr="00D7329F">
        <w:rPr>
          <w:rFonts w:asciiTheme="majorHAnsi" w:hAnsiTheme="majorHAnsi" w:cstheme="majorHAnsi"/>
          <w:color w:val="00000F"/>
          <w:sz w:val="22"/>
          <w:szCs w:val="22"/>
        </w:rPr>
        <w:t xml:space="preserve">. </w:t>
      </w:r>
      <w:r w:rsidR="0053785D" w:rsidRPr="00D7329F">
        <w:rPr>
          <w:rFonts w:asciiTheme="majorHAnsi" w:hAnsiTheme="majorHAnsi" w:cstheme="majorHAnsi"/>
          <w:color w:val="00000F"/>
          <w:sz w:val="22"/>
          <w:szCs w:val="22"/>
        </w:rPr>
        <w:t xml:space="preserve">For example, </w:t>
      </w:r>
      <w:r w:rsidR="00024ED4" w:rsidRPr="00D7329F">
        <w:rPr>
          <w:rFonts w:asciiTheme="majorHAnsi" w:hAnsiTheme="majorHAnsi" w:cstheme="majorHAnsi"/>
          <w:color w:val="00000F"/>
          <w:sz w:val="22"/>
          <w:szCs w:val="22"/>
        </w:rPr>
        <w:t>Fiji</w:t>
      </w:r>
      <w:r w:rsidR="00D60D8D" w:rsidRPr="00D7329F">
        <w:rPr>
          <w:rFonts w:asciiTheme="majorHAnsi" w:hAnsiTheme="majorHAnsi" w:cstheme="majorHAnsi"/>
          <w:color w:val="00000F"/>
          <w:sz w:val="22"/>
          <w:szCs w:val="22"/>
        </w:rPr>
        <w:t>’s sugar industry (through the Sugar</w:t>
      </w:r>
      <w:r w:rsidR="00CD595D" w:rsidRPr="00D7329F">
        <w:rPr>
          <w:rFonts w:asciiTheme="majorHAnsi" w:hAnsiTheme="majorHAnsi" w:cstheme="majorHAnsi"/>
          <w:color w:val="00000F"/>
          <w:sz w:val="22"/>
          <w:szCs w:val="22"/>
        </w:rPr>
        <w:t xml:space="preserve"> Research</w:t>
      </w:r>
      <w:r w:rsidR="00D60D8D" w:rsidRPr="00D7329F">
        <w:rPr>
          <w:rFonts w:asciiTheme="majorHAnsi" w:hAnsiTheme="majorHAnsi" w:cstheme="majorHAnsi"/>
          <w:color w:val="00000F"/>
          <w:sz w:val="22"/>
          <w:szCs w:val="22"/>
        </w:rPr>
        <w:t xml:space="preserve"> Institute of Fiji</w:t>
      </w:r>
      <w:r w:rsidR="004A40A6" w:rsidRPr="00D7329F">
        <w:rPr>
          <w:rFonts w:asciiTheme="majorHAnsi" w:hAnsiTheme="majorHAnsi" w:cstheme="majorHAnsi"/>
          <w:color w:val="00000F"/>
          <w:sz w:val="22"/>
          <w:szCs w:val="22"/>
        </w:rPr>
        <w:t xml:space="preserve"> - SRIF</w:t>
      </w:r>
      <w:r w:rsidR="00D60D8D" w:rsidRPr="00D7329F">
        <w:rPr>
          <w:rFonts w:asciiTheme="majorHAnsi" w:hAnsiTheme="majorHAnsi" w:cstheme="majorHAnsi"/>
          <w:color w:val="00000F"/>
          <w:sz w:val="22"/>
          <w:szCs w:val="22"/>
        </w:rPr>
        <w:t xml:space="preserve">) is now producing a quarterly bulletin </w:t>
      </w:r>
      <w:r w:rsidR="00F74635" w:rsidRPr="00D7329F">
        <w:rPr>
          <w:rFonts w:asciiTheme="majorHAnsi" w:hAnsiTheme="majorHAnsi" w:cstheme="majorHAnsi"/>
          <w:color w:val="00000F"/>
          <w:sz w:val="22"/>
          <w:szCs w:val="22"/>
        </w:rPr>
        <w:t xml:space="preserve">with seasonal </w:t>
      </w:r>
      <w:r w:rsidR="005B48E4" w:rsidRPr="00D7329F">
        <w:rPr>
          <w:rFonts w:asciiTheme="majorHAnsi" w:hAnsiTheme="majorHAnsi" w:cstheme="majorHAnsi"/>
          <w:color w:val="00000F"/>
          <w:sz w:val="22"/>
          <w:szCs w:val="22"/>
        </w:rPr>
        <w:t xml:space="preserve">outlooks for rainfall and temperature. These bulletins also include advisory information from </w:t>
      </w:r>
      <w:r w:rsidR="004A40A6" w:rsidRPr="00D7329F">
        <w:rPr>
          <w:rFonts w:asciiTheme="majorHAnsi" w:hAnsiTheme="majorHAnsi" w:cstheme="majorHAnsi"/>
          <w:color w:val="00000F"/>
          <w:sz w:val="22"/>
          <w:szCs w:val="22"/>
        </w:rPr>
        <w:t>SRIF</w:t>
      </w:r>
      <w:r w:rsidR="000672E4" w:rsidRPr="00D7329F">
        <w:rPr>
          <w:rFonts w:asciiTheme="majorHAnsi" w:hAnsiTheme="majorHAnsi" w:cstheme="majorHAnsi"/>
          <w:color w:val="00000F"/>
          <w:sz w:val="22"/>
          <w:szCs w:val="22"/>
        </w:rPr>
        <w:t xml:space="preserve"> to sugar cane farmers </w:t>
      </w:r>
      <w:r w:rsidR="003D12CD" w:rsidRPr="00D7329F">
        <w:rPr>
          <w:rFonts w:asciiTheme="majorHAnsi" w:hAnsiTheme="majorHAnsi" w:cstheme="majorHAnsi"/>
          <w:color w:val="00000F"/>
          <w:sz w:val="22"/>
          <w:szCs w:val="22"/>
        </w:rPr>
        <w:t>relating to the appropriate actions that should</w:t>
      </w:r>
      <w:r w:rsidR="00A90CC9" w:rsidRPr="00D7329F">
        <w:rPr>
          <w:rFonts w:asciiTheme="majorHAnsi" w:hAnsiTheme="majorHAnsi" w:cstheme="majorHAnsi"/>
          <w:color w:val="00000F"/>
          <w:sz w:val="22"/>
          <w:szCs w:val="22"/>
        </w:rPr>
        <w:t xml:space="preserve"> be</w:t>
      </w:r>
      <w:r w:rsidR="003D12CD" w:rsidRPr="00D7329F">
        <w:rPr>
          <w:rFonts w:asciiTheme="majorHAnsi" w:hAnsiTheme="majorHAnsi" w:cstheme="majorHAnsi"/>
          <w:color w:val="00000F"/>
          <w:sz w:val="22"/>
          <w:szCs w:val="22"/>
        </w:rPr>
        <w:t xml:space="preserve"> taken to </w:t>
      </w:r>
      <w:r w:rsidR="0053785D" w:rsidRPr="00D7329F">
        <w:rPr>
          <w:rFonts w:asciiTheme="majorHAnsi" w:hAnsiTheme="majorHAnsi" w:cstheme="majorHAnsi"/>
          <w:color w:val="00000F"/>
          <w:sz w:val="22"/>
          <w:szCs w:val="22"/>
        </w:rPr>
        <w:t xml:space="preserve">respond to the </w:t>
      </w:r>
      <w:r w:rsidR="00416E00" w:rsidRPr="00D7329F">
        <w:rPr>
          <w:rFonts w:asciiTheme="majorHAnsi" w:hAnsiTheme="majorHAnsi" w:cstheme="majorHAnsi"/>
          <w:color w:val="00000F"/>
          <w:sz w:val="22"/>
          <w:szCs w:val="22"/>
        </w:rPr>
        <w:t>seasonal predictions</w:t>
      </w:r>
      <w:r w:rsidR="0053785D" w:rsidRPr="00D7329F">
        <w:rPr>
          <w:rFonts w:asciiTheme="majorHAnsi" w:hAnsiTheme="majorHAnsi" w:cstheme="majorHAnsi"/>
          <w:color w:val="00000F"/>
          <w:sz w:val="22"/>
          <w:szCs w:val="22"/>
        </w:rPr>
        <w:t xml:space="preserve"> </w:t>
      </w:r>
      <w:r w:rsidR="00416E00" w:rsidRPr="00D7329F">
        <w:rPr>
          <w:rFonts w:asciiTheme="majorHAnsi" w:hAnsiTheme="majorHAnsi" w:cstheme="majorHAnsi"/>
          <w:color w:val="00000F"/>
          <w:sz w:val="22"/>
          <w:szCs w:val="22"/>
        </w:rPr>
        <w:t>in the bulletin</w:t>
      </w:r>
      <w:r w:rsidR="0053785D" w:rsidRPr="00D7329F">
        <w:rPr>
          <w:rFonts w:asciiTheme="majorHAnsi" w:hAnsiTheme="majorHAnsi" w:cstheme="majorHAnsi"/>
          <w:color w:val="00000F"/>
          <w:sz w:val="22"/>
          <w:szCs w:val="22"/>
        </w:rPr>
        <w:t xml:space="preserve">. </w:t>
      </w:r>
      <w:r w:rsidR="00A90CC9" w:rsidRPr="00D7329F">
        <w:rPr>
          <w:rFonts w:asciiTheme="majorHAnsi" w:hAnsiTheme="majorHAnsi" w:cstheme="majorHAnsi"/>
          <w:color w:val="00000F"/>
          <w:sz w:val="22"/>
          <w:szCs w:val="22"/>
        </w:rPr>
        <w:t>It’s</w:t>
      </w:r>
      <w:r w:rsidR="00727F6B" w:rsidRPr="00D7329F">
        <w:rPr>
          <w:rFonts w:asciiTheme="majorHAnsi" w:hAnsiTheme="majorHAnsi" w:cstheme="majorHAnsi"/>
          <w:color w:val="00000F"/>
          <w:sz w:val="22"/>
          <w:szCs w:val="22"/>
        </w:rPr>
        <w:t xml:space="preserve"> important that as this work takes shape it draws on local knowledge </w:t>
      </w:r>
      <w:r w:rsidR="00A762C7" w:rsidRPr="00D7329F">
        <w:rPr>
          <w:rFonts w:asciiTheme="majorHAnsi" w:hAnsiTheme="majorHAnsi" w:cstheme="majorHAnsi"/>
          <w:color w:val="00000F"/>
          <w:sz w:val="22"/>
          <w:szCs w:val="22"/>
        </w:rPr>
        <w:t>to ensure relevance with local people</w:t>
      </w:r>
      <w:r w:rsidR="00301EA8" w:rsidRPr="00D7329F">
        <w:rPr>
          <w:rFonts w:asciiTheme="majorHAnsi" w:hAnsiTheme="majorHAnsi" w:cstheme="majorHAnsi"/>
          <w:color w:val="00000F"/>
          <w:sz w:val="22"/>
          <w:szCs w:val="22"/>
        </w:rPr>
        <w:t xml:space="preserve"> and systems</w:t>
      </w:r>
      <w:r w:rsidR="00A762C7" w:rsidRPr="00D7329F">
        <w:rPr>
          <w:rFonts w:asciiTheme="majorHAnsi" w:hAnsiTheme="majorHAnsi" w:cstheme="majorHAnsi"/>
          <w:color w:val="00000F"/>
          <w:sz w:val="22"/>
          <w:szCs w:val="22"/>
        </w:rPr>
        <w:t>, rather than relying on approaches to knowledge translation that have worked in the Australian context.</w:t>
      </w:r>
    </w:p>
    <w:p w14:paraId="7FB90386" w14:textId="77777777" w:rsidR="00C443AD" w:rsidRPr="00D7329F" w:rsidRDefault="00C443AD" w:rsidP="00D47F51">
      <w:pPr>
        <w:suppressAutoHyphens/>
        <w:autoSpaceDE w:val="0"/>
        <w:autoSpaceDN w:val="0"/>
        <w:adjustRightInd w:val="0"/>
        <w:spacing w:line="288" w:lineRule="auto"/>
        <w:jc w:val="both"/>
        <w:textAlignment w:val="center"/>
        <w:rPr>
          <w:rFonts w:asciiTheme="majorHAnsi" w:hAnsiTheme="majorHAnsi" w:cstheme="majorHAnsi"/>
          <w:b/>
          <w:bCs/>
          <w:color w:val="00000F"/>
          <w:sz w:val="22"/>
          <w:szCs w:val="22"/>
        </w:rPr>
      </w:pPr>
    </w:p>
    <w:p w14:paraId="77C930F9" w14:textId="77777777" w:rsidR="00DF620A" w:rsidRPr="00D7329F" w:rsidRDefault="00200A19" w:rsidP="009F105C">
      <w:pPr>
        <w:suppressAutoHyphens/>
        <w:autoSpaceDE w:val="0"/>
        <w:autoSpaceDN w:val="0"/>
        <w:adjustRightInd w:val="0"/>
        <w:spacing w:line="288" w:lineRule="auto"/>
        <w:jc w:val="both"/>
        <w:textAlignment w:val="center"/>
        <w:rPr>
          <w:rFonts w:asciiTheme="majorHAnsi" w:hAnsiTheme="majorHAnsi" w:cstheme="majorHAnsi"/>
          <w:b/>
          <w:bCs/>
          <w:color w:val="00000F"/>
          <w:sz w:val="22"/>
          <w:szCs w:val="22"/>
        </w:rPr>
      </w:pPr>
      <w:r w:rsidRPr="00D7329F">
        <w:rPr>
          <w:rFonts w:asciiTheme="majorHAnsi" w:hAnsiTheme="majorHAnsi" w:cstheme="majorHAnsi"/>
          <w:color w:val="00000F"/>
          <w:sz w:val="22"/>
          <w:szCs w:val="22"/>
        </w:rPr>
        <w:t>COSPPac2 recognises the gap in community</w:t>
      </w:r>
      <w:r w:rsidR="00D72B1B" w:rsidRPr="00D7329F">
        <w:rPr>
          <w:rFonts w:asciiTheme="majorHAnsi" w:hAnsiTheme="majorHAnsi" w:cstheme="majorHAnsi"/>
          <w:color w:val="00000F"/>
          <w:sz w:val="22"/>
          <w:szCs w:val="22"/>
        </w:rPr>
        <w:t xml:space="preserve"> capacity to interpret information from scientific services and is also </w:t>
      </w:r>
      <w:r w:rsidR="00A21E72" w:rsidRPr="00D7329F">
        <w:rPr>
          <w:rFonts w:asciiTheme="majorHAnsi" w:hAnsiTheme="majorHAnsi" w:cstheme="majorHAnsi"/>
          <w:color w:val="00000F"/>
          <w:sz w:val="22"/>
          <w:szCs w:val="22"/>
        </w:rPr>
        <w:t xml:space="preserve">seeking new partnerships (such as the Red Cross </w:t>
      </w:r>
      <w:r w:rsidR="004614E5" w:rsidRPr="00D7329F">
        <w:rPr>
          <w:rFonts w:asciiTheme="majorHAnsi" w:hAnsiTheme="majorHAnsi" w:cstheme="majorHAnsi"/>
          <w:color w:val="00000F"/>
          <w:sz w:val="22"/>
          <w:szCs w:val="22"/>
        </w:rPr>
        <w:t>with the Early Action Rainfall Watch</w:t>
      </w:r>
      <w:r w:rsidR="00A62DAB" w:rsidRPr="00D7329F">
        <w:rPr>
          <w:rFonts w:asciiTheme="majorHAnsi" w:hAnsiTheme="majorHAnsi" w:cstheme="majorHAnsi"/>
          <w:color w:val="00000F"/>
          <w:sz w:val="22"/>
          <w:szCs w:val="22"/>
        </w:rPr>
        <w:t xml:space="preserve">) to continue to </w:t>
      </w:r>
      <w:r w:rsidR="006F1A3F" w:rsidRPr="00D7329F">
        <w:rPr>
          <w:rFonts w:asciiTheme="majorHAnsi" w:hAnsiTheme="majorHAnsi" w:cstheme="majorHAnsi"/>
          <w:color w:val="00000F"/>
          <w:sz w:val="22"/>
          <w:szCs w:val="22"/>
        </w:rPr>
        <w:t>ensure information is linking with community needs.</w:t>
      </w:r>
      <w:r w:rsidR="009F105C" w:rsidRPr="00D7329F">
        <w:rPr>
          <w:rFonts w:asciiTheme="majorHAnsi" w:hAnsiTheme="majorHAnsi" w:cstheme="majorHAnsi"/>
          <w:b/>
          <w:bCs/>
          <w:color w:val="00000F"/>
          <w:sz w:val="22"/>
          <w:szCs w:val="22"/>
        </w:rPr>
        <w:t xml:space="preserve"> </w:t>
      </w:r>
      <w:r w:rsidR="0079087F" w:rsidRPr="00D7329F">
        <w:rPr>
          <w:rFonts w:asciiTheme="majorHAnsi" w:hAnsiTheme="majorHAnsi" w:cstheme="majorHAnsi"/>
          <w:color w:val="00000F"/>
          <w:sz w:val="22"/>
          <w:szCs w:val="22"/>
        </w:rPr>
        <w:t>This is also ensuring that COSPPac2 is strengthening its approach to GEDSI</w:t>
      </w:r>
      <w:r w:rsidR="00A97A70" w:rsidRPr="00D7329F">
        <w:rPr>
          <w:rFonts w:asciiTheme="majorHAnsi" w:hAnsiTheme="majorHAnsi" w:cstheme="majorHAnsi"/>
          <w:color w:val="00000F"/>
          <w:sz w:val="22"/>
          <w:szCs w:val="22"/>
        </w:rPr>
        <w:t>. The Solomon Islands E</w:t>
      </w:r>
      <w:r w:rsidR="00BF7DE7" w:rsidRPr="00D7329F">
        <w:rPr>
          <w:rFonts w:asciiTheme="majorHAnsi" w:hAnsiTheme="majorHAnsi" w:cstheme="majorHAnsi"/>
          <w:color w:val="00000F"/>
          <w:sz w:val="22"/>
          <w:szCs w:val="22"/>
        </w:rPr>
        <w:t xml:space="preserve">arly </w:t>
      </w:r>
      <w:r w:rsidR="00A97A70" w:rsidRPr="00D7329F">
        <w:rPr>
          <w:rFonts w:asciiTheme="majorHAnsi" w:hAnsiTheme="majorHAnsi" w:cstheme="majorHAnsi"/>
          <w:color w:val="00000F"/>
          <w:sz w:val="22"/>
          <w:szCs w:val="22"/>
        </w:rPr>
        <w:t>A</w:t>
      </w:r>
      <w:r w:rsidR="00BF7DE7" w:rsidRPr="00D7329F">
        <w:rPr>
          <w:rFonts w:asciiTheme="majorHAnsi" w:hAnsiTheme="majorHAnsi" w:cstheme="majorHAnsi"/>
          <w:color w:val="00000F"/>
          <w:sz w:val="22"/>
          <w:szCs w:val="22"/>
        </w:rPr>
        <w:t xml:space="preserve">ction </w:t>
      </w:r>
      <w:r w:rsidR="00A97A70" w:rsidRPr="00D7329F">
        <w:rPr>
          <w:rFonts w:asciiTheme="majorHAnsi" w:hAnsiTheme="majorHAnsi" w:cstheme="majorHAnsi"/>
          <w:color w:val="00000F"/>
          <w:sz w:val="22"/>
          <w:szCs w:val="22"/>
        </w:rPr>
        <w:t>R</w:t>
      </w:r>
      <w:r w:rsidR="00BF7DE7" w:rsidRPr="00D7329F">
        <w:rPr>
          <w:rFonts w:asciiTheme="majorHAnsi" w:hAnsiTheme="majorHAnsi" w:cstheme="majorHAnsi"/>
          <w:color w:val="00000F"/>
          <w:sz w:val="22"/>
          <w:szCs w:val="22"/>
        </w:rPr>
        <w:t>ainfall (EAR)</w:t>
      </w:r>
      <w:r w:rsidR="00A97A70" w:rsidRPr="00D7329F">
        <w:rPr>
          <w:rFonts w:asciiTheme="majorHAnsi" w:hAnsiTheme="majorHAnsi" w:cstheme="majorHAnsi"/>
          <w:color w:val="00000F"/>
          <w:sz w:val="22"/>
          <w:szCs w:val="22"/>
        </w:rPr>
        <w:t xml:space="preserve"> Watch </w:t>
      </w:r>
      <w:r w:rsidR="00191302" w:rsidRPr="00D7329F">
        <w:rPr>
          <w:rFonts w:asciiTheme="majorHAnsi" w:hAnsiTheme="majorHAnsi" w:cstheme="majorHAnsi"/>
          <w:color w:val="00000F"/>
          <w:sz w:val="22"/>
          <w:szCs w:val="22"/>
        </w:rPr>
        <w:t>workshop was the first time a person with disability has attended a</w:t>
      </w:r>
      <w:r w:rsidR="005553FD" w:rsidRPr="00D7329F">
        <w:rPr>
          <w:rFonts w:asciiTheme="majorHAnsi" w:hAnsiTheme="majorHAnsi" w:cstheme="majorHAnsi"/>
          <w:color w:val="00000F"/>
          <w:sz w:val="22"/>
          <w:szCs w:val="22"/>
        </w:rPr>
        <w:t xml:space="preserve"> COSPPac2 workshop. This has given the program a new perspective on the relevance of information produced by the program and </w:t>
      </w:r>
      <w:r w:rsidR="00F32E78" w:rsidRPr="00D7329F">
        <w:rPr>
          <w:rFonts w:asciiTheme="majorHAnsi" w:hAnsiTheme="majorHAnsi" w:cstheme="majorHAnsi"/>
          <w:color w:val="00000F"/>
          <w:sz w:val="22"/>
          <w:szCs w:val="22"/>
        </w:rPr>
        <w:t xml:space="preserve">the need to secure further resources and expertise to effectively integrate GEDSI into </w:t>
      </w:r>
      <w:r w:rsidR="00DF620A" w:rsidRPr="00D7329F">
        <w:rPr>
          <w:rFonts w:asciiTheme="majorHAnsi" w:hAnsiTheme="majorHAnsi" w:cstheme="majorHAnsi"/>
          <w:color w:val="00000F"/>
          <w:sz w:val="22"/>
          <w:szCs w:val="22"/>
        </w:rPr>
        <w:t>climate information products.</w:t>
      </w:r>
    </w:p>
    <w:p w14:paraId="7C68C60D" w14:textId="77777777" w:rsidR="009F105C" w:rsidRPr="00D7329F" w:rsidRDefault="009F105C" w:rsidP="009F105C">
      <w:pPr>
        <w:suppressAutoHyphens/>
        <w:autoSpaceDE w:val="0"/>
        <w:autoSpaceDN w:val="0"/>
        <w:adjustRightInd w:val="0"/>
        <w:spacing w:line="288" w:lineRule="auto"/>
        <w:ind w:left="720"/>
        <w:jc w:val="both"/>
        <w:textAlignment w:val="center"/>
        <w:rPr>
          <w:rFonts w:asciiTheme="majorHAnsi" w:hAnsiTheme="majorHAnsi" w:cstheme="majorHAnsi"/>
          <w:b/>
          <w:bCs/>
          <w:color w:val="00000F"/>
          <w:sz w:val="22"/>
          <w:szCs w:val="22"/>
        </w:rPr>
      </w:pPr>
    </w:p>
    <w:p w14:paraId="5A82DBD4" w14:textId="77777777" w:rsidR="00416E00" w:rsidRPr="006E3576" w:rsidRDefault="00C23C41" w:rsidP="009F105C">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D7329F">
        <w:rPr>
          <w:rFonts w:asciiTheme="majorHAnsi" w:hAnsiTheme="majorHAnsi" w:cstheme="majorHAnsi"/>
          <w:color w:val="00000F"/>
          <w:sz w:val="22"/>
          <w:szCs w:val="22"/>
        </w:rPr>
        <w:t>While this phase of COSPPac2 is the first to extend beyond national government support</w:t>
      </w:r>
      <w:r w:rsidR="008D060B" w:rsidRPr="00D7329F">
        <w:rPr>
          <w:rFonts w:asciiTheme="majorHAnsi" w:hAnsiTheme="majorHAnsi" w:cstheme="majorHAnsi"/>
          <w:color w:val="00000F"/>
          <w:sz w:val="22"/>
          <w:szCs w:val="22"/>
        </w:rPr>
        <w:t xml:space="preserve"> and reach out to community level actors, </w:t>
      </w:r>
      <w:r w:rsidR="005A0E5F" w:rsidRPr="00D7329F">
        <w:rPr>
          <w:rFonts w:asciiTheme="majorHAnsi" w:hAnsiTheme="majorHAnsi" w:cstheme="majorHAnsi"/>
          <w:color w:val="00000F"/>
          <w:sz w:val="22"/>
          <w:szCs w:val="22"/>
        </w:rPr>
        <w:t>developing climate knowledge products at this scale is still in its early stages and achievements remain unclear</w:t>
      </w:r>
      <w:r w:rsidR="00652CDF" w:rsidRPr="00D7329F">
        <w:rPr>
          <w:rFonts w:asciiTheme="majorHAnsi" w:hAnsiTheme="majorHAnsi" w:cstheme="majorHAnsi"/>
          <w:color w:val="00000F"/>
          <w:sz w:val="22"/>
          <w:szCs w:val="22"/>
        </w:rPr>
        <w:t xml:space="preserve">. </w:t>
      </w:r>
      <w:r w:rsidR="006A4D7E" w:rsidRPr="00D7329F">
        <w:rPr>
          <w:rFonts w:asciiTheme="majorHAnsi" w:hAnsiTheme="majorHAnsi" w:cstheme="majorHAnsi"/>
          <w:color w:val="00000F"/>
          <w:sz w:val="22"/>
          <w:szCs w:val="22"/>
        </w:rPr>
        <w:t xml:space="preserve">Pacific organisations have noted that the majority of Pacific Islanders </w:t>
      </w:r>
      <w:r w:rsidR="003C0C75" w:rsidRPr="00D7329F">
        <w:rPr>
          <w:rFonts w:asciiTheme="majorHAnsi" w:hAnsiTheme="majorHAnsi" w:cstheme="majorHAnsi"/>
          <w:color w:val="00000F"/>
          <w:sz w:val="22"/>
          <w:szCs w:val="22"/>
        </w:rPr>
        <w:t>have a strong preference for relying</w:t>
      </w:r>
      <w:r w:rsidR="0012659F" w:rsidRPr="00D7329F">
        <w:rPr>
          <w:rFonts w:asciiTheme="majorHAnsi" w:hAnsiTheme="majorHAnsi" w:cstheme="majorHAnsi"/>
          <w:color w:val="00000F"/>
          <w:sz w:val="22"/>
          <w:szCs w:val="22"/>
        </w:rPr>
        <w:t xml:space="preserve"> on traditional knowledge </w:t>
      </w:r>
      <w:r w:rsidR="003C0C75" w:rsidRPr="00D7329F">
        <w:rPr>
          <w:rFonts w:asciiTheme="majorHAnsi" w:hAnsiTheme="majorHAnsi" w:cstheme="majorHAnsi"/>
          <w:color w:val="00000F"/>
          <w:sz w:val="22"/>
          <w:szCs w:val="22"/>
        </w:rPr>
        <w:t xml:space="preserve">over scientific knowledge in relation to climate </w:t>
      </w:r>
      <w:r w:rsidR="00F1792E" w:rsidRPr="00D7329F">
        <w:rPr>
          <w:rFonts w:asciiTheme="majorHAnsi" w:hAnsiTheme="majorHAnsi" w:cstheme="majorHAnsi"/>
          <w:color w:val="00000F"/>
          <w:sz w:val="22"/>
          <w:szCs w:val="22"/>
        </w:rPr>
        <w:t xml:space="preserve">and weather information. </w:t>
      </w:r>
      <w:r w:rsidR="00441E10" w:rsidRPr="00D7329F">
        <w:rPr>
          <w:rFonts w:asciiTheme="majorHAnsi" w:hAnsiTheme="majorHAnsi" w:cstheme="majorHAnsi"/>
          <w:color w:val="00000F"/>
          <w:sz w:val="22"/>
          <w:szCs w:val="22"/>
        </w:rPr>
        <w:t xml:space="preserve">Identifying the pathways for COSPPac2 information to be </w:t>
      </w:r>
      <w:r w:rsidR="00F652BC" w:rsidRPr="00D7329F">
        <w:rPr>
          <w:rFonts w:asciiTheme="majorHAnsi" w:hAnsiTheme="majorHAnsi" w:cstheme="majorHAnsi"/>
          <w:color w:val="00000F"/>
          <w:sz w:val="22"/>
          <w:szCs w:val="22"/>
        </w:rPr>
        <w:t xml:space="preserve">downscaled to the community level – through early warning systems, linking with traditional knowledge, tailoring to </w:t>
      </w:r>
      <w:r w:rsidR="002D31EB" w:rsidRPr="00D7329F">
        <w:rPr>
          <w:rFonts w:asciiTheme="majorHAnsi" w:hAnsiTheme="majorHAnsi" w:cstheme="majorHAnsi"/>
          <w:color w:val="00000F"/>
          <w:sz w:val="22"/>
          <w:szCs w:val="22"/>
        </w:rPr>
        <w:t xml:space="preserve">inclusive community groups – will be critical to scientific knowledge in the Pacific being influential </w:t>
      </w:r>
      <w:r w:rsidR="00FD3DC7" w:rsidRPr="00D7329F">
        <w:rPr>
          <w:rFonts w:asciiTheme="majorHAnsi" w:hAnsiTheme="majorHAnsi" w:cstheme="majorHAnsi"/>
          <w:color w:val="00000F"/>
          <w:sz w:val="22"/>
          <w:szCs w:val="22"/>
        </w:rPr>
        <w:t>beyond national meteorological services</w:t>
      </w:r>
      <w:r w:rsidR="00FD3DC7" w:rsidRPr="006E3576">
        <w:rPr>
          <w:rFonts w:asciiTheme="majorHAnsi" w:hAnsiTheme="majorHAnsi" w:cstheme="majorHAnsi"/>
          <w:color w:val="00000F"/>
          <w:sz w:val="22"/>
          <w:szCs w:val="22"/>
        </w:rPr>
        <w:t xml:space="preserve">. </w:t>
      </w:r>
    </w:p>
    <w:p w14:paraId="69383EA3" w14:textId="77777777" w:rsidR="00E80CD1" w:rsidRPr="005C7C19" w:rsidRDefault="00E80CD1" w:rsidP="00E80CD1">
      <w:pPr>
        <w:pStyle w:val="ListParagraph"/>
        <w:suppressAutoHyphens/>
        <w:autoSpaceDE w:val="0"/>
        <w:autoSpaceDN w:val="0"/>
        <w:adjustRightInd w:val="0"/>
        <w:spacing w:line="288" w:lineRule="auto"/>
        <w:ind w:left="1080"/>
        <w:jc w:val="both"/>
        <w:textAlignment w:val="center"/>
        <w:rPr>
          <w:rFonts w:asciiTheme="majorHAnsi" w:hAnsiTheme="majorHAnsi" w:cstheme="majorHAnsi"/>
          <w:b/>
          <w:bCs/>
          <w:color w:val="00000F"/>
          <w:sz w:val="22"/>
          <w:szCs w:val="22"/>
        </w:rPr>
      </w:pPr>
    </w:p>
    <w:p w14:paraId="2DC7DF43" w14:textId="7D5612EB" w:rsidR="009F26CD" w:rsidRPr="00E80CD1" w:rsidRDefault="00F06ED5" w:rsidP="00E80CD1">
      <w:pPr>
        <w:suppressAutoHyphens/>
        <w:autoSpaceDE w:val="0"/>
        <w:autoSpaceDN w:val="0"/>
        <w:adjustRightInd w:val="0"/>
        <w:spacing w:line="288" w:lineRule="auto"/>
        <w:jc w:val="both"/>
        <w:textAlignment w:val="center"/>
        <w:rPr>
          <w:rFonts w:asciiTheme="majorHAnsi" w:hAnsiTheme="majorHAnsi" w:cstheme="majorHAnsi"/>
          <w:b/>
          <w:bCs/>
          <w:color w:val="00000F"/>
          <w:sz w:val="22"/>
          <w:szCs w:val="22"/>
        </w:rPr>
      </w:pPr>
      <w:r w:rsidRPr="005C7C19">
        <w:rPr>
          <w:rFonts w:asciiTheme="majorHAnsi" w:hAnsiTheme="majorHAnsi" w:cstheme="majorHAnsi"/>
          <w:b/>
          <w:bCs/>
          <w:color w:val="00000F"/>
          <w:sz w:val="22"/>
          <w:szCs w:val="22"/>
        </w:rPr>
        <w:t xml:space="preserve">There </w:t>
      </w:r>
      <w:r w:rsidR="006B4BAD">
        <w:rPr>
          <w:rFonts w:asciiTheme="majorHAnsi" w:hAnsiTheme="majorHAnsi" w:cstheme="majorHAnsi"/>
          <w:b/>
          <w:bCs/>
          <w:color w:val="00000F"/>
          <w:sz w:val="22"/>
          <w:szCs w:val="22"/>
        </w:rPr>
        <w:t>remains</w:t>
      </w:r>
      <w:r w:rsidR="006B4BAD" w:rsidRPr="005C7C19">
        <w:rPr>
          <w:rFonts w:asciiTheme="majorHAnsi" w:hAnsiTheme="majorHAnsi" w:cstheme="majorHAnsi"/>
          <w:b/>
          <w:bCs/>
          <w:color w:val="00000F"/>
          <w:sz w:val="22"/>
          <w:szCs w:val="22"/>
        </w:rPr>
        <w:t xml:space="preserve"> </w:t>
      </w:r>
      <w:r w:rsidRPr="005C7C19">
        <w:rPr>
          <w:rFonts w:asciiTheme="majorHAnsi" w:hAnsiTheme="majorHAnsi" w:cstheme="majorHAnsi"/>
          <w:b/>
          <w:bCs/>
          <w:color w:val="00000F"/>
          <w:sz w:val="22"/>
          <w:szCs w:val="22"/>
        </w:rPr>
        <w:t xml:space="preserve">a </w:t>
      </w:r>
      <w:r w:rsidR="00E96E40" w:rsidRPr="005C7C19">
        <w:rPr>
          <w:rFonts w:asciiTheme="majorHAnsi" w:hAnsiTheme="majorHAnsi" w:cstheme="majorHAnsi"/>
          <w:b/>
          <w:bCs/>
          <w:color w:val="00000F"/>
          <w:sz w:val="22"/>
          <w:szCs w:val="22"/>
        </w:rPr>
        <w:t xml:space="preserve">gap in the Partnership’s ability to provide long-term climate </w:t>
      </w:r>
      <w:r w:rsidR="00D15AD9" w:rsidRPr="005C7C19">
        <w:rPr>
          <w:rFonts w:asciiTheme="majorHAnsi" w:hAnsiTheme="majorHAnsi" w:cstheme="majorHAnsi"/>
          <w:b/>
          <w:bCs/>
          <w:color w:val="00000F"/>
          <w:sz w:val="22"/>
          <w:szCs w:val="22"/>
        </w:rPr>
        <w:t>projections</w:t>
      </w:r>
      <w:r w:rsidR="00E96E40" w:rsidRPr="005C7C19">
        <w:rPr>
          <w:rFonts w:asciiTheme="majorHAnsi" w:hAnsiTheme="majorHAnsi" w:cstheme="majorHAnsi"/>
          <w:b/>
          <w:bCs/>
          <w:color w:val="00000F"/>
          <w:sz w:val="22"/>
          <w:szCs w:val="22"/>
        </w:rPr>
        <w:t xml:space="preserve"> that can inform </w:t>
      </w:r>
      <w:r w:rsidR="00191AC6" w:rsidRPr="005C7C19">
        <w:rPr>
          <w:rFonts w:asciiTheme="majorHAnsi" w:hAnsiTheme="majorHAnsi" w:cstheme="majorHAnsi"/>
          <w:b/>
          <w:bCs/>
          <w:color w:val="00000F"/>
          <w:sz w:val="22"/>
          <w:szCs w:val="22"/>
        </w:rPr>
        <w:t>DFAT investments</w:t>
      </w:r>
      <w:r w:rsidR="00334F33" w:rsidRPr="005C7C19">
        <w:rPr>
          <w:rFonts w:asciiTheme="majorHAnsi" w:hAnsiTheme="majorHAnsi" w:cstheme="majorHAnsi"/>
          <w:b/>
          <w:bCs/>
          <w:color w:val="00000F"/>
          <w:sz w:val="22"/>
          <w:szCs w:val="22"/>
        </w:rPr>
        <w:t xml:space="preserve">, particularly in infrastructure. </w:t>
      </w:r>
      <w:r w:rsidR="00966C60">
        <w:rPr>
          <w:rFonts w:asciiTheme="majorHAnsi" w:hAnsiTheme="majorHAnsi" w:cstheme="majorHAnsi"/>
          <w:color w:val="00000F"/>
          <w:sz w:val="22"/>
          <w:szCs w:val="22"/>
        </w:rPr>
        <w:t>While the expert panels engaged by the SU have been able to deliver</w:t>
      </w:r>
      <w:r w:rsidR="004A3192">
        <w:rPr>
          <w:rFonts w:asciiTheme="majorHAnsi" w:hAnsiTheme="majorHAnsi" w:cstheme="majorHAnsi"/>
          <w:color w:val="00000F"/>
          <w:sz w:val="22"/>
          <w:szCs w:val="22"/>
        </w:rPr>
        <w:t xml:space="preserve"> this technical support, the</w:t>
      </w:r>
      <w:r w:rsidR="0089097B">
        <w:rPr>
          <w:rFonts w:asciiTheme="majorHAnsi" w:hAnsiTheme="majorHAnsi" w:cstheme="majorHAnsi"/>
          <w:color w:val="00000F"/>
          <w:sz w:val="22"/>
          <w:szCs w:val="22"/>
        </w:rPr>
        <w:t xml:space="preserve">re have been </w:t>
      </w:r>
      <w:r w:rsidR="00727EE6">
        <w:rPr>
          <w:rFonts w:asciiTheme="majorHAnsi" w:hAnsiTheme="majorHAnsi" w:cstheme="majorHAnsi"/>
          <w:color w:val="00000F"/>
          <w:sz w:val="22"/>
          <w:szCs w:val="22"/>
        </w:rPr>
        <w:t>concerns about the currency of the information provided and methodologies used</w:t>
      </w:r>
      <w:r w:rsidR="00457AE7">
        <w:rPr>
          <w:rFonts w:asciiTheme="majorHAnsi" w:hAnsiTheme="majorHAnsi" w:cstheme="majorHAnsi"/>
          <w:color w:val="00000F"/>
          <w:sz w:val="22"/>
          <w:szCs w:val="22"/>
        </w:rPr>
        <w:t xml:space="preserve"> </w:t>
      </w:r>
      <w:r w:rsidR="001D0373">
        <w:rPr>
          <w:rFonts w:asciiTheme="majorHAnsi" w:hAnsiTheme="majorHAnsi" w:cstheme="majorHAnsi"/>
          <w:color w:val="00000F"/>
          <w:sz w:val="22"/>
          <w:szCs w:val="22"/>
        </w:rPr>
        <w:t>in</w:t>
      </w:r>
      <w:r w:rsidR="00457AE7">
        <w:rPr>
          <w:rFonts w:asciiTheme="majorHAnsi" w:hAnsiTheme="majorHAnsi" w:cstheme="majorHAnsi"/>
          <w:color w:val="00000F"/>
          <w:sz w:val="22"/>
          <w:szCs w:val="22"/>
        </w:rPr>
        <w:t xml:space="preserve"> some</w:t>
      </w:r>
      <w:r w:rsidR="001D0373">
        <w:rPr>
          <w:rFonts w:asciiTheme="majorHAnsi" w:hAnsiTheme="majorHAnsi" w:cstheme="majorHAnsi"/>
          <w:color w:val="00000F"/>
          <w:sz w:val="22"/>
          <w:szCs w:val="22"/>
        </w:rPr>
        <w:t xml:space="preserve"> instances</w:t>
      </w:r>
      <w:r w:rsidR="00727EE6">
        <w:rPr>
          <w:rFonts w:asciiTheme="majorHAnsi" w:hAnsiTheme="majorHAnsi" w:cstheme="majorHAnsi"/>
          <w:color w:val="00000F"/>
          <w:sz w:val="22"/>
          <w:szCs w:val="22"/>
        </w:rPr>
        <w:t>.</w:t>
      </w:r>
      <w:r w:rsidR="00457AE7">
        <w:rPr>
          <w:rFonts w:asciiTheme="majorHAnsi" w:hAnsiTheme="majorHAnsi" w:cstheme="majorHAnsi"/>
          <w:color w:val="00000F"/>
          <w:sz w:val="22"/>
          <w:szCs w:val="22"/>
        </w:rPr>
        <w:t xml:space="preserve"> Having a more consistent approach</w:t>
      </w:r>
      <w:r w:rsidR="00322CC2">
        <w:rPr>
          <w:rFonts w:asciiTheme="majorHAnsi" w:hAnsiTheme="majorHAnsi" w:cstheme="majorHAnsi"/>
          <w:color w:val="00000F"/>
          <w:sz w:val="22"/>
          <w:szCs w:val="22"/>
        </w:rPr>
        <w:t xml:space="preserve"> to </w:t>
      </w:r>
      <w:r w:rsidR="001D0373">
        <w:rPr>
          <w:rFonts w:asciiTheme="majorHAnsi" w:hAnsiTheme="majorHAnsi" w:cstheme="majorHAnsi"/>
          <w:color w:val="00000F"/>
          <w:sz w:val="22"/>
          <w:szCs w:val="22"/>
        </w:rPr>
        <w:t xml:space="preserve">sourcing and </w:t>
      </w:r>
      <w:r w:rsidR="00322CC2">
        <w:rPr>
          <w:rFonts w:asciiTheme="majorHAnsi" w:hAnsiTheme="majorHAnsi" w:cstheme="majorHAnsi"/>
          <w:color w:val="00000F"/>
          <w:sz w:val="22"/>
          <w:szCs w:val="22"/>
        </w:rPr>
        <w:t>provi</w:t>
      </w:r>
      <w:r w:rsidR="001D0373">
        <w:rPr>
          <w:rFonts w:asciiTheme="majorHAnsi" w:hAnsiTheme="majorHAnsi" w:cstheme="majorHAnsi"/>
          <w:color w:val="00000F"/>
          <w:sz w:val="22"/>
          <w:szCs w:val="22"/>
        </w:rPr>
        <w:t>ding</w:t>
      </w:r>
      <w:r w:rsidR="00F73FD2">
        <w:rPr>
          <w:rFonts w:asciiTheme="majorHAnsi" w:hAnsiTheme="majorHAnsi" w:cstheme="majorHAnsi"/>
          <w:color w:val="00000F"/>
          <w:sz w:val="22"/>
          <w:szCs w:val="22"/>
        </w:rPr>
        <w:t xml:space="preserve"> this</w:t>
      </w:r>
      <w:r w:rsidR="00322CC2">
        <w:rPr>
          <w:rFonts w:asciiTheme="majorHAnsi" w:hAnsiTheme="majorHAnsi" w:cstheme="majorHAnsi"/>
          <w:color w:val="00000F"/>
          <w:sz w:val="22"/>
          <w:szCs w:val="22"/>
        </w:rPr>
        <w:t xml:space="preserve"> climate </w:t>
      </w:r>
      <w:r w:rsidR="00F73FD2">
        <w:rPr>
          <w:rFonts w:asciiTheme="majorHAnsi" w:hAnsiTheme="majorHAnsi" w:cstheme="majorHAnsi"/>
          <w:color w:val="00000F"/>
          <w:sz w:val="22"/>
          <w:szCs w:val="22"/>
        </w:rPr>
        <w:t>information</w:t>
      </w:r>
      <w:r w:rsidR="00322CC2">
        <w:rPr>
          <w:rFonts w:asciiTheme="majorHAnsi" w:hAnsiTheme="majorHAnsi" w:cstheme="majorHAnsi"/>
          <w:color w:val="00000F"/>
          <w:sz w:val="22"/>
          <w:szCs w:val="22"/>
        </w:rPr>
        <w:t xml:space="preserve"> </w:t>
      </w:r>
      <w:r w:rsidR="001D0373">
        <w:rPr>
          <w:rFonts w:asciiTheme="majorHAnsi" w:hAnsiTheme="majorHAnsi" w:cstheme="majorHAnsi"/>
          <w:color w:val="00000F"/>
          <w:sz w:val="22"/>
          <w:szCs w:val="22"/>
        </w:rPr>
        <w:t>may</w:t>
      </w:r>
      <w:r w:rsidR="00322CC2">
        <w:rPr>
          <w:rFonts w:asciiTheme="majorHAnsi" w:hAnsiTheme="majorHAnsi" w:cstheme="majorHAnsi"/>
          <w:color w:val="00000F"/>
          <w:sz w:val="22"/>
          <w:szCs w:val="22"/>
        </w:rPr>
        <w:t xml:space="preserve"> increase confidence </w:t>
      </w:r>
      <w:r w:rsidR="005052B0">
        <w:rPr>
          <w:rFonts w:asciiTheme="majorHAnsi" w:hAnsiTheme="majorHAnsi" w:cstheme="majorHAnsi"/>
          <w:color w:val="00000F"/>
          <w:sz w:val="22"/>
          <w:szCs w:val="22"/>
        </w:rPr>
        <w:t>with DFAT program managers.</w:t>
      </w:r>
      <w:r w:rsidR="00727EE6">
        <w:rPr>
          <w:rFonts w:asciiTheme="majorHAnsi" w:hAnsiTheme="majorHAnsi" w:cstheme="majorHAnsi"/>
          <w:color w:val="00000F"/>
          <w:sz w:val="22"/>
          <w:szCs w:val="22"/>
        </w:rPr>
        <w:t xml:space="preserve"> </w:t>
      </w:r>
      <w:r w:rsidR="00334F33" w:rsidRPr="005C7C19">
        <w:rPr>
          <w:rFonts w:asciiTheme="majorHAnsi" w:hAnsiTheme="majorHAnsi" w:cstheme="majorHAnsi"/>
          <w:color w:val="00000F"/>
          <w:sz w:val="22"/>
          <w:szCs w:val="22"/>
        </w:rPr>
        <w:t>Australia has previously supported this work through CSIRO</w:t>
      </w:r>
      <w:r w:rsidR="0084458A" w:rsidRPr="005C7C19">
        <w:rPr>
          <w:rFonts w:asciiTheme="majorHAnsi" w:hAnsiTheme="majorHAnsi" w:cstheme="majorHAnsi"/>
          <w:color w:val="00000F"/>
          <w:sz w:val="22"/>
          <w:szCs w:val="22"/>
        </w:rPr>
        <w:t xml:space="preserve"> in the Pacific</w:t>
      </w:r>
      <w:r w:rsidR="00117192">
        <w:rPr>
          <w:rFonts w:asciiTheme="majorHAnsi" w:hAnsiTheme="majorHAnsi" w:cstheme="majorHAnsi"/>
          <w:color w:val="00000F"/>
          <w:sz w:val="22"/>
          <w:szCs w:val="22"/>
        </w:rPr>
        <w:t xml:space="preserve">, however there remains </w:t>
      </w:r>
      <w:r w:rsidR="00D61CE3">
        <w:rPr>
          <w:rFonts w:asciiTheme="majorHAnsi" w:hAnsiTheme="majorHAnsi" w:cstheme="majorHAnsi"/>
          <w:color w:val="00000F"/>
          <w:sz w:val="22"/>
          <w:szCs w:val="22"/>
        </w:rPr>
        <w:t>a critical need to continue to build climate science capabilities in the Pacific</w:t>
      </w:r>
      <w:r w:rsidR="00987429">
        <w:rPr>
          <w:rFonts w:asciiTheme="majorHAnsi" w:hAnsiTheme="majorHAnsi" w:cstheme="majorHAnsi"/>
          <w:color w:val="00000F"/>
          <w:sz w:val="22"/>
          <w:szCs w:val="22"/>
        </w:rPr>
        <w:t xml:space="preserve"> which is currently outside the scope of this partnership</w:t>
      </w:r>
      <w:r w:rsidR="0084458A" w:rsidRPr="005C7C19">
        <w:rPr>
          <w:rFonts w:asciiTheme="majorHAnsi" w:hAnsiTheme="majorHAnsi" w:cstheme="majorHAnsi"/>
          <w:color w:val="00000F"/>
          <w:sz w:val="22"/>
          <w:szCs w:val="22"/>
        </w:rPr>
        <w:t>. The role of CSIRO in the current Partnership is</w:t>
      </w:r>
      <w:r w:rsidR="00E957A7" w:rsidRPr="00D7329F">
        <w:rPr>
          <w:rFonts w:asciiTheme="majorHAnsi" w:hAnsiTheme="majorHAnsi" w:cstheme="majorHAnsi"/>
          <w:color w:val="00000F"/>
          <w:sz w:val="22"/>
          <w:szCs w:val="22"/>
        </w:rPr>
        <w:t xml:space="preserve"> framed through knowledge brokering activitie</w:t>
      </w:r>
      <w:r w:rsidR="00B0136C" w:rsidRPr="00D7329F">
        <w:rPr>
          <w:rFonts w:asciiTheme="majorHAnsi" w:hAnsiTheme="majorHAnsi" w:cstheme="majorHAnsi"/>
          <w:color w:val="00000F"/>
          <w:sz w:val="22"/>
          <w:szCs w:val="22"/>
        </w:rPr>
        <w:t>s connect</w:t>
      </w:r>
      <w:r w:rsidR="009657C5" w:rsidRPr="00D7329F">
        <w:rPr>
          <w:rFonts w:asciiTheme="majorHAnsi" w:hAnsiTheme="majorHAnsi" w:cstheme="majorHAnsi"/>
          <w:color w:val="00000F"/>
          <w:sz w:val="22"/>
          <w:szCs w:val="22"/>
        </w:rPr>
        <w:t>ing</w:t>
      </w:r>
      <w:r w:rsidR="00B0136C" w:rsidRPr="00D7329F">
        <w:rPr>
          <w:rFonts w:asciiTheme="majorHAnsi" w:hAnsiTheme="majorHAnsi" w:cstheme="majorHAnsi"/>
          <w:color w:val="00000F"/>
          <w:sz w:val="22"/>
          <w:szCs w:val="22"/>
        </w:rPr>
        <w:t xml:space="preserve"> climate projections</w:t>
      </w:r>
      <w:r w:rsidR="0080771B" w:rsidRPr="00D7329F">
        <w:rPr>
          <w:rFonts w:asciiTheme="majorHAnsi" w:hAnsiTheme="majorHAnsi" w:cstheme="majorHAnsi"/>
          <w:color w:val="00000F"/>
          <w:sz w:val="22"/>
          <w:szCs w:val="22"/>
        </w:rPr>
        <w:t xml:space="preserve"> </w:t>
      </w:r>
      <w:r w:rsidR="009657C5" w:rsidRPr="00D7329F">
        <w:rPr>
          <w:rFonts w:asciiTheme="majorHAnsi" w:hAnsiTheme="majorHAnsi" w:cstheme="majorHAnsi"/>
          <w:color w:val="00000F"/>
          <w:sz w:val="22"/>
          <w:szCs w:val="22"/>
        </w:rPr>
        <w:t xml:space="preserve">with national/subnational </w:t>
      </w:r>
      <w:r w:rsidR="00066DCC" w:rsidRPr="00D7329F">
        <w:rPr>
          <w:rFonts w:asciiTheme="majorHAnsi" w:hAnsiTheme="majorHAnsi" w:cstheme="majorHAnsi"/>
          <w:color w:val="00000F"/>
          <w:sz w:val="22"/>
          <w:szCs w:val="22"/>
        </w:rPr>
        <w:t xml:space="preserve">and sectoral applications informing climate change impact assessments. </w:t>
      </w:r>
      <w:r w:rsidR="00423699" w:rsidRPr="00D7329F">
        <w:rPr>
          <w:rFonts w:asciiTheme="majorHAnsi" w:hAnsiTheme="majorHAnsi" w:cstheme="majorHAnsi"/>
          <w:color w:val="00000F"/>
          <w:sz w:val="22"/>
          <w:szCs w:val="22"/>
        </w:rPr>
        <w:t xml:space="preserve">CSIRO are keen to </w:t>
      </w:r>
      <w:r w:rsidR="006C6A68" w:rsidRPr="00D7329F">
        <w:rPr>
          <w:rFonts w:asciiTheme="majorHAnsi" w:hAnsiTheme="majorHAnsi" w:cstheme="majorHAnsi"/>
          <w:color w:val="00000F"/>
          <w:sz w:val="22"/>
          <w:szCs w:val="22"/>
        </w:rPr>
        <w:t xml:space="preserve">see relationships within the Partnership be </w:t>
      </w:r>
      <w:r w:rsidR="00D66980" w:rsidRPr="00D7329F">
        <w:rPr>
          <w:rFonts w:asciiTheme="majorHAnsi" w:hAnsiTheme="majorHAnsi" w:cstheme="majorHAnsi"/>
          <w:color w:val="00000F"/>
          <w:sz w:val="22"/>
          <w:szCs w:val="22"/>
        </w:rPr>
        <w:t xml:space="preserve">more effective </w:t>
      </w:r>
      <w:r w:rsidR="00B821E9" w:rsidRPr="00D7329F">
        <w:rPr>
          <w:rFonts w:asciiTheme="majorHAnsi" w:hAnsiTheme="majorHAnsi" w:cstheme="majorHAnsi"/>
          <w:color w:val="00000F"/>
          <w:sz w:val="22"/>
          <w:szCs w:val="22"/>
        </w:rPr>
        <w:t>and strategic to maximise opportunities across DFAT’s entire portfolio,</w:t>
      </w:r>
      <w:r w:rsidR="00B821E9">
        <w:rPr>
          <w:rFonts w:asciiTheme="majorHAnsi" w:hAnsiTheme="majorHAnsi" w:cstheme="majorHAnsi"/>
          <w:color w:val="00000F"/>
          <w:sz w:val="22"/>
          <w:szCs w:val="22"/>
        </w:rPr>
        <w:t xml:space="preserve"> not just within the Partnership.</w:t>
      </w:r>
      <w:r w:rsidR="00423699">
        <w:rPr>
          <w:rFonts w:asciiTheme="majorHAnsi" w:hAnsiTheme="majorHAnsi" w:cstheme="majorHAnsi"/>
          <w:color w:val="00000F"/>
          <w:sz w:val="22"/>
          <w:szCs w:val="22"/>
        </w:rPr>
        <w:t xml:space="preserve"> </w:t>
      </w:r>
    </w:p>
    <w:p w14:paraId="67CCE454" w14:textId="77777777" w:rsidR="00AC06BE" w:rsidRPr="00AC06BE" w:rsidRDefault="0084458A" w:rsidP="009F26CD">
      <w:pPr>
        <w:pStyle w:val="ListParagraph"/>
        <w:suppressAutoHyphens/>
        <w:autoSpaceDE w:val="0"/>
        <w:autoSpaceDN w:val="0"/>
        <w:adjustRightInd w:val="0"/>
        <w:spacing w:line="288" w:lineRule="auto"/>
        <w:ind w:left="1080"/>
        <w:jc w:val="both"/>
        <w:textAlignment w:val="center"/>
        <w:rPr>
          <w:rFonts w:asciiTheme="majorHAnsi" w:hAnsiTheme="majorHAnsi" w:cstheme="majorHAnsi"/>
          <w:b/>
          <w:bCs/>
          <w:color w:val="00000F"/>
          <w:sz w:val="22"/>
          <w:szCs w:val="22"/>
        </w:rPr>
      </w:pPr>
      <w:r>
        <w:rPr>
          <w:rFonts w:asciiTheme="majorHAnsi" w:hAnsiTheme="majorHAnsi" w:cstheme="majorHAnsi"/>
          <w:color w:val="00000F"/>
          <w:sz w:val="22"/>
          <w:szCs w:val="22"/>
        </w:rPr>
        <w:t xml:space="preserve"> </w:t>
      </w:r>
    </w:p>
    <w:p w14:paraId="3A60664C" w14:textId="77777777" w:rsidR="00046E40" w:rsidRDefault="002908E1" w:rsidP="00AC06BE">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AC06BE">
        <w:rPr>
          <w:rFonts w:asciiTheme="majorHAnsi" w:hAnsiTheme="majorHAnsi" w:cstheme="majorHAnsi"/>
          <w:color w:val="00000F"/>
          <w:sz w:val="22"/>
          <w:szCs w:val="22"/>
        </w:rPr>
        <w:t>There are also opportunities for COSPPac2 to work more closely with Gov4</w:t>
      </w:r>
      <w:r w:rsidR="00561666">
        <w:rPr>
          <w:rFonts w:asciiTheme="majorHAnsi" w:hAnsiTheme="majorHAnsi" w:cstheme="majorHAnsi"/>
          <w:color w:val="00000F"/>
          <w:sz w:val="22"/>
          <w:szCs w:val="22"/>
        </w:rPr>
        <w:t>R</w:t>
      </w:r>
      <w:r w:rsidRPr="00AC06BE">
        <w:rPr>
          <w:rFonts w:asciiTheme="majorHAnsi" w:hAnsiTheme="majorHAnsi" w:cstheme="majorHAnsi"/>
          <w:color w:val="00000F"/>
          <w:sz w:val="22"/>
          <w:szCs w:val="22"/>
        </w:rPr>
        <w:t xml:space="preserve">es </w:t>
      </w:r>
      <w:r w:rsidR="008C3DD2">
        <w:rPr>
          <w:rFonts w:asciiTheme="majorHAnsi" w:hAnsiTheme="majorHAnsi" w:cstheme="majorHAnsi"/>
          <w:color w:val="00000F"/>
          <w:sz w:val="22"/>
          <w:szCs w:val="22"/>
        </w:rPr>
        <w:t xml:space="preserve">to ensure the climate information is grounded with </w:t>
      </w:r>
      <w:r w:rsidR="00766C35">
        <w:rPr>
          <w:rFonts w:asciiTheme="majorHAnsi" w:hAnsiTheme="majorHAnsi" w:cstheme="majorHAnsi"/>
          <w:color w:val="00000F"/>
          <w:sz w:val="22"/>
          <w:szCs w:val="22"/>
        </w:rPr>
        <w:t xml:space="preserve">broader </w:t>
      </w:r>
      <w:r w:rsidR="008C3DD2">
        <w:rPr>
          <w:rFonts w:asciiTheme="majorHAnsi" w:hAnsiTheme="majorHAnsi" w:cstheme="majorHAnsi"/>
          <w:color w:val="00000F"/>
          <w:sz w:val="22"/>
          <w:szCs w:val="22"/>
        </w:rPr>
        <w:t xml:space="preserve">government </w:t>
      </w:r>
      <w:r w:rsidR="00766C35">
        <w:rPr>
          <w:rFonts w:asciiTheme="majorHAnsi" w:hAnsiTheme="majorHAnsi" w:cstheme="majorHAnsi"/>
          <w:color w:val="00000F"/>
          <w:sz w:val="22"/>
          <w:szCs w:val="22"/>
        </w:rPr>
        <w:t>ministries</w:t>
      </w:r>
      <w:r w:rsidR="008C3DD2">
        <w:rPr>
          <w:rFonts w:asciiTheme="majorHAnsi" w:hAnsiTheme="majorHAnsi" w:cstheme="majorHAnsi"/>
          <w:color w:val="00000F"/>
          <w:sz w:val="22"/>
          <w:szCs w:val="22"/>
        </w:rPr>
        <w:t xml:space="preserve"> beyond technical climate and meteorological </w:t>
      </w:r>
      <w:r w:rsidR="00766C35">
        <w:rPr>
          <w:rFonts w:asciiTheme="majorHAnsi" w:hAnsiTheme="majorHAnsi" w:cstheme="majorHAnsi"/>
          <w:color w:val="00000F"/>
          <w:sz w:val="22"/>
          <w:szCs w:val="22"/>
        </w:rPr>
        <w:t xml:space="preserve">agencies and departments. </w:t>
      </w:r>
      <w:r w:rsidR="00143BE0">
        <w:rPr>
          <w:rFonts w:asciiTheme="majorHAnsi" w:hAnsiTheme="majorHAnsi" w:cstheme="majorHAnsi"/>
          <w:color w:val="00000F"/>
          <w:sz w:val="22"/>
          <w:szCs w:val="22"/>
        </w:rPr>
        <w:t xml:space="preserve">However, COSPPac2’s more supply-driven approach </w:t>
      </w:r>
      <w:r w:rsidR="00F47C20">
        <w:rPr>
          <w:rFonts w:asciiTheme="majorHAnsi" w:hAnsiTheme="majorHAnsi" w:cstheme="majorHAnsi"/>
          <w:color w:val="00000F"/>
          <w:sz w:val="22"/>
          <w:szCs w:val="22"/>
        </w:rPr>
        <w:t xml:space="preserve">has been identified as a barrier to pursuing </w:t>
      </w:r>
      <w:r w:rsidR="005B29B2">
        <w:rPr>
          <w:rFonts w:asciiTheme="majorHAnsi" w:hAnsiTheme="majorHAnsi" w:cstheme="majorHAnsi"/>
          <w:color w:val="00000F"/>
          <w:sz w:val="22"/>
          <w:szCs w:val="22"/>
        </w:rPr>
        <w:t xml:space="preserve">closer engagement with the emergent needs of Pacific </w:t>
      </w:r>
      <w:r w:rsidR="008E1920">
        <w:rPr>
          <w:rFonts w:asciiTheme="majorHAnsi" w:hAnsiTheme="majorHAnsi" w:cstheme="majorHAnsi"/>
          <w:color w:val="00000F"/>
          <w:sz w:val="22"/>
          <w:szCs w:val="22"/>
        </w:rPr>
        <w:t>Government and</w:t>
      </w:r>
      <w:r w:rsidR="00004BF3">
        <w:rPr>
          <w:rFonts w:asciiTheme="majorHAnsi" w:hAnsiTheme="majorHAnsi" w:cstheme="majorHAnsi"/>
          <w:color w:val="00000F"/>
          <w:sz w:val="22"/>
          <w:szCs w:val="22"/>
        </w:rPr>
        <w:t xml:space="preserve"> other stakeholders, beyond the meteorological services.</w:t>
      </w:r>
      <w:r w:rsidR="00B0136C">
        <w:rPr>
          <w:rFonts w:asciiTheme="majorHAnsi" w:hAnsiTheme="majorHAnsi" w:cstheme="majorHAnsi"/>
          <w:color w:val="00000F"/>
          <w:sz w:val="22"/>
          <w:szCs w:val="22"/>
        </w:rPr>
        <w:t xml:space="preserve"> </w:t>
      </w:r>
    </w:p>
    <w:p w14:paraId="1F414E26" w14:textId="77777777" w:rsidR="00046E40" w:rsidRDefault="00046E40" w:rsidP="00AC06BE">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275FC7CC" w14:textId="77777777" w:rsidR="002908E1" w:rsidRPr="006E3576" w:rsidRDefault="004E5355" w:rsidP="0C1DC608">
      <w:pPr>
        <w:suppressAutoHyphens/>
        <w:autoSpaceDE w:val="0"/>
        <w:autoSpaceDN w:val="0"/>
        <w:adjustRightInd w:val="0"/>
        <w:spacing w:line="288" w:lineRule="auto"/>
        <w:jc w:val="both"/>
        <w:textAlignment w:val="center"/>
        <w:rPr>
          <w:rFonts w:asciiTheme="majorHAnsi" w:hAnsiTheme="majorHAnsi" w:cstheme="majorBidi"/>
          <w:b/>
          <w:bCs/>
          <w:color w:val="00000F"/>
          <w:sz w:val="22"/>
          <w:szCs w:val="22"/>
        </w:rPr>
      </w:pPr>
      <w:r w:rsidRPr="00D7329F">
        <w:rPr>
          <w:rFonts w:asciiTheme="majorHAnsi" w:hAnsiTheme="majorHAnsi" w:cstheme="majorBidi"/>
          <w:color w:val="00000F"/>
          <w:sz w:val="22"/>
          <w:szCs w:val="22"/>
        </w:rPr>
        <w:t>Gov4Res</w:t>
      </w:r>
      <w:r w:rsidR="00700499" w:rsidRPr="00D7329F">
        <w:rPr>
          <w:rFonts w:asciiTheme="majorHAnsi" w:hAnsiTheme="majorHAnsi" w:cstheme="majorBidi"/>
          <w:color w:val="00000F"/>
          <w:sz w:val="22"/>
          <w:szCs w:val="22"/>
        </w:rPr>
        <w:t xml:space="preserve"> recognises</w:t>
      </w:r>
      <w:r w:rsidRPr="00D7329F">
        <w:rPr>
          <w:rFonts w:asciiTheme="majorHAnsi" w:hAnsiTheme="majorHAnsi" w:cstheme="majorBidi"/>
          <w:color w:val="00000F"/>
          <w:sz w:val="22"/>
          <w:szCs w:val="22"/>
        </w:rPr>
        <w:t xml:space="preserve"> </w:t>
      </w:r>
      <w:r w:rsidR="18A91CE6" w:rsidRPr="00D7329F">
        <w:rPr>
          <w:rFonts w:asciiTheme="majorHAnsi" w:hAnsiTheme="majorHAnsi" w:cstheme="majorBidi"/>
          <w:color w:val="00000F"/>
          <w:sz w:val="22"/>
          <w:szCs w:val="22"/>
        </w:rPr>
        <w:t xml:space="preserve">that it </w:t>
      </w:r>
      <w:r w:rsidRPr="00D7329F">
        <w:rPr>
          <w:rFonts w:asciiTheme="majorHAnsi" w:hAnsiTheme="majorHAnsi" w:cstheme="majorBidi"/>
          <w:color w:val="00000F"/>
          <w:sz w:val="22"/>
          <w:szCs w:val="22"/>
        </w:rPr>
        <w:t xml:space="preserve">is a stronger program if </w:t>
      </w:r>
      <w:r w:rsidR="00700499" w:rsidRPr="00D7329F">
        <w:rPr>
          <w:rFonts w:asciiTheme="majorHAnsi" w:hAnsiTheme="majorHAnsi" w:cstheme="majorBidi"/>
          <w:color w:val="00000F"/>
          <w:sz w:val="22"/>
          <w:szCs w:val="22"/>
        </w:rPr>
        <w:t>it has</w:t>
      </w:r>
      <w:r w:rsidRPr="00D7329F">
        <w:rPr>
          <w:rFonts w:asciiTheme="majorHAnsi" w:hAnsiTheme="majorHAnsi" w:cstheme="majorBidi"/>
          <w:color w:val="00000F"/>
          <w:sz w:val="22"/>
          <w:szCs w:val="22"/>
        </w:rPr>
        <w:t xml:space="preserve"> access to appropriate and </w:t>
      </w:r>
      <w:r w:rsidR="00AC1BC6" w:rsidRPr="00D7329F">
        <w:rPr>
          <w:rFonts w:asciiTheme="majorHAnsi" w:hAnsiTheme="majorHAnsi" w:cstheme="majorBidi"/>
          <w:color w:val="00000F"/>
          <w:sz w:val="22"/>
          <w:szCs w:val="22"/>
        </w:rPr>
        <w:t xml:space="preserve">tailored scientific information. For example, </w:t>
      </w:r>
      <w:r w:rsidR="008D26BB" w:rsidRPr="00D7329F">
        <w:rPr>
          <w:rFonts w:asciiTheme="majorHAnsi" w:hAnsiTheme="majorHAnsi" w:cstheme="majorBidi"/>
          <w:color w:val="00000F"/>
          <w:sz w:val="22"/>
          <w:szCs w:val="22"/>
        </w:rPr>
        <w:t>some government ministries are not engaging with climate and disaster risks at all in their planning and budgeting</w:t>
      </w:r>
      <w:r w:rsidR="005F0145" w:rsidRPr="00D7329F">
        <w:rPr>
          <w:rFonts w:asciiTheme="majorHAnsi" w:hAnsiTheme="majorHAnsi" w:cstheme="majorBidi"/>
          <w:color w:val="00000F"/>
          <w:sz w:val="22"/>
          <w:szCs w:val="22"/>
        </w:rPr>
        <w:t>. Having simple hazard information that can be communicated with a non-technical audience</w:t>
      </w:r>
      <w:r w:rsidR="00FE03BE" w:rsidRPr="00D7329F">
        <w:rPr>
          <w:rFonts w:asciiTheme="majorHAnsi" w:hAnsiTheme="majorHAnsi" w:cstheme="majorBidi"/>
          <w:color w:val="00000F"/>
          <w:sz w:val="22"/>
          <w:szCs w:val="22"/>
        </w:rPr>
        <w:t xml:space="preserve"> can create a strong pathway to opening conversations about integrating risk and resilience into </w:t>
      </w:r>
      <w:r w:rsidR="005E1996" w:rsidRPr="00D7329F">
        <w:rPr>
          <w:rFonts w:asciiTheme="majorHAnsi" w:hAnsiTheme="majorHAnsi" w:cstheme="majorBidi"/>
          <w:color w:val="00000F"/>
          <w:sz w:val="22"/>
          <w:szCs w:val="22"/>
        </w:rPr>
        <w:t>those ministries. In Tonga, Gov4Res partnered with Geoscience Australia</w:t>
      </w:r>
      <w:r w:rsidR="00046E40" w:rsidRPr="00D7329F">
        <w:rPr>
          <w:rFonts w:asciiTheme="majorHAnsi" w:hAnsiTheme="majorHAnsi" w:cstheme="majorBidi"/>
          <w:color w:val="00000F"/>
          <w:sz w:val="22"/>
          <w:szCs w:val="22"/>
        </w:rPr>
        <w:t xml:space="preserve"> to produce </w:t>
      </w:r>
      <w:r w:rsidR="00F54ABD" w:rsidRPr="00D7329F">
        <w:rPr>
          <w:rFonts w:asciiTheme="majorHAnsi" w:hAnsiTheme="majorHAnsi" w:cstheme="majorBidi"/>
          <w:color w:val="00000F"/>
          <w:sz w:val="22"/>
          <w:szCs w:val="22"/>
        </w:rPr>
        <w:t>tailored</w:t>
      </w:r>
      <w:r w:rsidR="002C7AB8" w:rsidRPr="00D7329F">
        <w:rPr>
          <w:rFonts w:asciiTheme="majorHAnsi" w:hAnsiTheme="majorHAnsi" w:cstheme="majorBidi"/>
          <w:color w:val="00000F"/>
          <w:sz w:val="22"/>
          <w:szCs w:val="22"/>
        </w:rPr>
        <w:t xml:space="preserve"> mapping that utilised </w:t>
      </w:r>
      <w:r w:rsidR="00537340" w:rsidRPr="00D7329F">
        <w:rPr>
          <w:rFonts w:asciiTheme="majorHAnsi" w:hAnsiTheme="majorHAnsi" w:cstheme="majorBidi"/>
          <w:color w:val="00000F"/>
          <w:sz w:val="22"/>
          <w:szCs w:val="22"/>
        </w:rPr>
        <w:t>Tonga’s Ministry</w:t>
      </w:r>
      <w:r w:rsidR="00081835" w:rsidRPr="00D7329F">
        <w:rPr>
          <w:rFonts w:asciiTheme="majorHAnsi" w:hAnsiTheme="majorHAnsi" w:cstheme="majorBidi"/>
          <w:color w:val="00000F"/>
          <w:sz w:val="22"/>
          <w:szCs w:val="22"/>
        </w:rPr>
        <w:t xml:space="preserve"> of Finance</w:t>
      </w:r>
      <w:r w:rsidR="004D21F5" w:rsidRPr="00D7329F">
        <w:rPr>
          <w:rFonts w:asciiTheme="majorHAnsi" w:hAnsiTheme="majorHAnsi" w:cstheme="majorBidi"/>
          <w:color w:val="00000F"/>
          <w:sz w:val="22"/>
          <w:szCs w:val="22"/>
        </w:rPr>
        <w:t xml:space="preserve"> data </w:t>
      </w:r>
      <w:r w:rsidR="00C92934" w:rsidRPr="00D7329F">
        <w:rPr>
          <w:rFonts w:asciiTheme="majorHAnsi" w:hAnsiTheme="majorHAnsi" w:cstheme="majorBidi"/>
          <w:color w:val="00000F"/>
          <w:sz w:val="22"/>
          <w:szCs w:val="22"/>
        </w:rPr>
        <w:t>from post-cyclone Gita</w:t>
      </w:r>
      <w:r w:rsidR="00D954B6" w:rsidRPr="00D7329F">
        <w:rPr>
          <w:rFonts w:asciiTheme="majorHAnsi" w:hAnsiTheme="majorHAnsi" w:cstheme="majorBidi"/>
          <w:color w:val="00000F"/>
          <w:sz w:val="22"/>
          <w:szCs w:val="22"/>
        </w:rPr>
        <w:t>. This mapping</w:t>
      </w:r>
      <w:r w:rsidR="00C92934" w:rsidRPr="00D7329F">
        <w:rPr>
          <w:rFonts w:asciiTheme="majorHAnsi" w:hAnsiTheme="majorHAnsi" w:cstheme="majorBidi"/>
          <w:color w:val="00000F"/>
          <w:sz w:val="22"/>
          <w:szCs w:val="22"/>
        </w:rPr>
        <w:t xml:space="preserve"> help</w:t>
      </w:r>
      <w:r w:rsidR="00D954B6" w:rsidRPr="00D7329F">
        <w:rPr>
          <w:rFonts w:asciiTheme="majorHAnsi" w:hAnsiTheme="majorHAnsi" w:cstheme="majorBidi"/>
          <w:color w:val="00000F"/>
          <w:sz w:val="22"/>
          <w:szCs w:val="22"/>
        </w:rPr>
        <w:t>ed</w:t>
      </w:r>
      <w:r w:rsidR="00C92934" w:rsidRPr="00D7329F">
        <w:rPr>
          <w:rFonts w:asciiTheme="majorHAnsi" w:hAnsiTheme="majorHAnsi" w:cstheme="majorBidi"/>
          <w:color w:val="00000F"/>
          <w:sz w:val="22"/>
          <w:szCs w:val="22"/>
        </w:rPr>
        <w:t xml:space="preserve"> demonstrate the cost-benefits of </w:t>
      </w:r>
      <w:r w:rsidR="00970367" w:rsidRPr="00D7329F">
        <w:rPr>
          <w:rFonts w:asciiTheme="majorHAnsi" w:hAnsiTheme="majorHAnsi" w:cstheme="majorBidi"/>
          <w:color w:val="00000F"/>
          <w:sz w:val="22"/>
          <w:szCs w:val="22"/>
        </w:rPr>
        <w:t xml:space="preserve">rebuilding post-cyclone vs investing in </w:t>
      </w:r>
      <w:r w:rsidR="00BB2F1F" w:rsidRPr="00D7329F">
        <w:rPr>
          <w:rFonts w:asciiTheme="majorHAnsi" w:hAnsiTheme="majorHAnsi" w:cstheme="majorBidi"/>
          <w:color w:val="00000F"/>
          <w:sz w:val="22"/>
          <w:szCs w:val="22"/>
        </w:rPr>
        <w:t>climate and disaster resilient infrastructure design</w:t>
      </w:r>
      <w:r w:rsidR="00BB2F1F" w:rsidRPr="006E3576">
        <w:rPr>
          <w:rFonts w:asciiTheme="majorHAnsi" w:hAnsiTheme="majorHAnsi" w:cstheme="majorBidi"/>
          <w:color w:val="00000F"/>
          <w:sz w:val="22"/>
          <w:szCs w:val="22"/>
        </w:rPr>
        <w:t>.</w:t>
      </w:r>
    </w:p>
    <w:p w14:paraId="2080953C" w14:textId="77777777" w:rsidR="00E95CF2" w:rsidRPr="005C7C19" w:rsidRDefault="00E95CF2" w:rsidP="00E95CF2">
      <w:pPr>
        <w:suppressAutoHyphens/>
        <w:autoSpaceDE w:val="0"/>
        <w:autoSpaceDN w:val="0"/>
        <w:adjustRightInd w:val="0"/>
        <w:spacing w:line="288" w:lineRule="auto"/>
        <w:jc w:val="both"/>
        <w:textAlignment w:val="center"/>
        <w:rPr>
          <w:rFonts w:asciiTheme="majorHAnsi" w:hAnsiTheme="majorHAnsi" w:cstheme="majorHAnsi"/>
          <w:b/>
          <w:bCs/>
          <w:color w:val="00000F"/>
          <w:sz w:val="22"/>
          <w:szCs w:val="22"/>
        </w:rPr>
      </w:pPr>
    </w:p>
    <w:p w14:paraId="7FE9D424" w14:textId="77777777" w:rsidR="00E95CF2" w:rsidRDefault="00E95CF2" w:rsidP="00E95CF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C7C19">
        <w:rPr>
          <w:rFonts w:asciiTheme="majorHAnsi" w:hAnsiTheme="majorHAnsi" w:cstheme="majorHAnsi"/>
          <w:b/>
          <w:bCs/>
          <w:color w:val="00000F"/>
          <w:sz w:val="22"/>
          <w:szCs w:val="22"/>
        </w:rPr>
        <w:t>The Partnership SU</w:t>
      </w:r>
      <w:r w:rsidR="00F70AD1" w:rsidRPr="005C7C19">
        <w:rPr>
          <w:rFonts w:asciiTheme="majorHAnsi" w:hAnsiTheme="majorHAnsi" w:cstheme="majorHAnsi"/>
          <w:b/>
          <w:bCs/>
          <w:color w:val="00000F"/>
          <w:sz w:val="22"/>
          <w:szCs w:val="22"/>
        </w:rPr>
        <w:t xml:space="preserve"> is </w:t>
      </w:r>
      <w:r w:rsidR="004712C9" w:rsidRPr="005C7C19">
        <w:rPr>
          <w:rFonts w:asciiTheme="majorHAnsi" w:hAnsiTheme="majorHAnsi" w:cstheme="majorHAnsi"/>
          <w:b/>
          <w:bCs/>
          <w:color w:val="00000F"/>
          <w:sz w:val="22"/>
          <w:szCs w:val="22"/>
        </w:rPr>
        <w:t>beginning to fill a gap in the Pacific between the production of climate science</w:t>
      </w:r>
      <w:r w:rsidR="004712C9">
        <w:rPr>
          <w:rFonts w:asciiTheme="majorHAnsi" w:hAnsiTheme="majorHAnsi" w:cstheme="majorHAnsi"/>
          <w:b/>
          <w:bCs/>
          <w:color w:val="00000F"/>
          <w:sz w:val="22"/>
          <w:szCs w:val="22"/>
        </w:rPr>
        <w:t xml:space="preserve"> information and the understanding and utilisation of that information beyond technical partners. </w:t>
      </w:r>
      <w:r w:rsidR="003A7CFC" w:rsidRPr="000060F6">
        <w:rPr>
          <w:rFonts w:asciiTheme="majorHAnsi" w:hAnsiTheme="majorHAnsi" w:cstheme="majorHAnsi"/>
          <w:color w:val="00000F"/>
          <w:sz w:val="22"/>
          <w:szCs w:val="22"/>
        </w:rPr>
        <w:t xml:space="preserve">Most of this work has been </w:t>
      </w:r>
      <w:r w:rsidR="007B7DDB" w:rsidRPr="000060F6">
        <w:rPr>
          <w:rFonts w:asciiTheme="majorHAnsi" w:hAnsiTheme="majorHAnsi" w:cstheme="majorHAnsi"/>
          <w:color w:val="00000F"/>
          <w:sz w:val="22"/>
          <w:szCs w:val="22"/>
        </w:rPr>
        <w:t>prioritised</w:t>
      </w:r>
      <w:r w:rsidR="003A7CFC" w:rsidRPr="000060F6">
        <w:rPr>
          <w:rFonts w:asciiTheme="majorHAnsi" w:hAnsiTheme="majorHAnsi" w:cstheme="majorHAnsi"/>
          <w:color w:val="00000F"/>
          <w:sz w:val="22"/>
          <w:szCs w:val="22"/>
        </w:rPr>
        <w:t xml:space="preserve"> through DFAT investments and opportunities to integrate climate and disaster risk information, however there are some emerging success stories relating to the Partnership SU </w:t>
      </w:r>
      <w:r w:rsidR="00B27BCE" w:rsidRPr="000060F6">
        <w:rPr>
          <w:rFonts w:asciiTheme="majorHAnsi" w:hAnsiTheme="majorHAnsi" w:cstheme="majorHAnsi"/>
          <w:color w:val="00000F"/>
          <w:sz w:val="22"/>
          <w:szCs w:val="22"/>
        </w:rPr>
        <w:t>knowledge brokering activities, particularly where GEDSI is a focus</w:t>
      </w:r>
      <w:r w:rsidR="000060F6" w:rsidRPr="000060F6">
        <w:rPr>
          <w:rFonts w:asciiTheme="majorHAnsi" w:hAnsiTheme="majorHAnsi" w:cstheme="majorHAnsi"/>
          <w:color w:val="00000F"/>
          <w:sz w:val="22"/>
          <w:szCs w:val="22"/>
        </w:rPr>
        <w:t>.</w:t>
      </w:r>
    </w:p>
    <w:p w14:paraId="487C75DE" w14:textId="77777777" w:rsidR="00CD42C1" w:rsidRDefault="00CD42C1" w:rsidP="00910235">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9C2AB2D" w14:textId="77777777" w:rsidR="00910235" w:rsidRPr="00910235" w:rsidRDefault="00910235" w:rsidP="00910235">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910235">
        <w:rPr>
          <w:rFonts w:asciiTheme="majorHAnsi" w:hAnsiTheme="majorHAnsi" w:cstheme="majorHAnsi"/>
          <w:color w:val="00000F"/>
          <w:sz w:val="22"/>
          <w:szCs w:val="22"/>
        </w:rPr>
        <w:t xml:space="preserve">The SU is continuing to deepen its understanding of </w:t>
      </w:r>
      <w:r w:rsidRPr="00443D6D">
        <w:rPr>
          <w:rFonts w:asciiTheme="majorHAnsi" w:hAnsiTheme="majorHAnsi" w:cstheme="majorHAnsi"/>
          <w:color w:val="00000F"/>
          <w:sz w:val="22"/>
          <w:szCs w:val="22"/>
        </w:rPr>
        <w:t>where knowledge gaps exist in</w:t>
      </w:r>
      <w:r w:rsidRPr="00910235">
        <w:rPr>
          <w:rFonts w:asciiTheme="majorHAnsi" w:hAnsiTheme="majorHAnsi" w:cstheme="majorHAnsi"/>
          <w:color w:val="00000F"/>
          <w:sz w:val="22"/>
          <w:szCs w:val="22"/>
        </w:rPr>
        <w:t xml:space="preserve"> the Pacific that </w:t>
      </w:r>
      <w:r w:rsidR="00016980">
        <w:rPr>
          <w:rFonts w:asciiTheme="majorHAnsi" w:hAnsiTheme="majorHAnsi" w:cstheme="majorHAnsi"/>
          <w:color w:val="00000F"/>
          <w:sz w:val="22"/>
          <w:szCs w:val="22"/>
        </w:rPr>
        <w:t>can</w:t>
      </w:r>
      <w:r w:rsidR="007E405A">
        <w:rPr>
          <w:rFonts w:asciiTheme="majorHAnsi" w:hAnsiTheme="majorHAnsi" w:cstheme="majorHAnsi"/>
          <w:color w:val="00000F"/>
          <w:sz w:val="22"/>
          <w:szCs w:val="22"/>
        </w:rPr>
        <w:t xml:space="preserve"> be addressed to</w:t>
      </w:r>
      <w:r w:rsidRPr="00910235">
        <w:rPr>
          <w:rFonts w:asciiTheme="majorHAnsi" w:hAnsiTheme="majorHAnsi" w:cstheme="majorHAnsi"/>
          <w:color w:val="00000F"/>
          <w:sz w:val="22"/>
          <w:szCs w:val="22"/>
        </w:rPr>
        <w:t xml:space="preserve"> strengthen integration of climate and disaster risks. Part of this includes acknowledging that the demand for climate information is generated at a sectoral level </w:t>
      </w:r>
      <w:r w:rsidR="00AF276A">
        <w:rPr>
          <w:rFonts w:asciiTheme="majorHAnsi" w:hAnsiTheme="majorHAnsi" w:cstheme="majorHAnsi"/>
          <w:color w:val="00000F"/>
          <w:sz w:val="22"/>
          <w:szCs w:val="22"/>
        </w:rPr>
        <w:t xml:space="preserve">within countries </w:t>
      </w:r>
      <w:r w:rsidRPr="00910235">
        <w:rPr>
          <w:rFonts w:asciiTheme="majorHAnsi" w:hAnsiTheme="majorHAnsi" w:cstheme="majorHAnsi"/>
          <w:color w:val="00000F"/>
          <w:sz w:val="22"/>
          <w:szCs w:val="22"/>
        </w:rPr>
        <w:t>rather than the need for broad geographic climate information (</w:t>
      </w:r>
      <w:r w:rsidR="004F66E2" w:rsidRPr="00910235">
        <w:rPr>
          <w:rFonts w:asciiTheme="majorHAnsi" w:hAnsiTheme="majorHAnsi" w:cstheme="majorHAnsi"/>
          <w:color w:val="00000F"/>
          <w:sz w:val="22"/>
          <w:szCs w:val="22"/>
        </w:rPr>
        <w:t>e.g.,</w:t>
      </w:r>
      <w:r w:rsidRPr="00910235">
        <w:rPr>
          <w:rFonts w:asciiTheme="majorHAnsi" w:hAnsiTheme="majorHAnsi" w:cstheme="majorHAnsi"/>
          <w:color w:val="00000F"/>
          <w:sz w:val="22"/>
          <w:szCs w:val="22"/>
        </w:rPr>
        <w:t xml:space="preserve"> country or subnational level).</w:t>
      </w:r>
      <w:r w:rsidR="00545AA2">
        <w:rPr>
          <w:rFonts w:asciiTheme="majorHAnsi" w:hAnsiTheme="majorHAnsi" w:cstheme="majorHAnsi"/>
          <w:color w:val="00000F"/>
          <w:sz w:val="22"/>
          <w:szCs w:val="22"/>
        </w:rPr>
        <w:t xml:space="preserve"> A</w:t>
      </w:r>
      <w:r w:rsidR="00042067">
        <w:rPr>
          <w:rFonts w:asciiTheme="majorHAnsi" w:hAnsiTheme="majorHAnsi" w:cstheme="majorHAnsi"/>
          <w:color w:val="00000F"/>
          <w:sz w:val="22"/>
          <w:szCs w:val="22"/>
        </w:rPr>
        <w:t xml:space="preserve"> pertinent example in the </w:t>
      </w:r>
      <w:r w:rsidR="00906C65">
        <w:rPr>
          <w:rFonts w:asciiTheme="majorHAnsi" w:hAnsiTheme="majorHAnsi" w:cstheme="majorHAnsi"/>
          <w:color w:val="00000F"/>
          <w:sz w:val="22"/>
          <w:szCs w:val="22"/>
        </w:rPr>
        <w:t xml:space="preserve">time of COVID-19 has been the </w:t>
      </w:r>
      <w:r w:rsidR="00E407D9">
        <w:rPr>
          <w:rFonts w:asciiTheme="majorHAnsi" w:hAnsiTheme="majorHAnsi" w:cstheme="majorHAnsi"/>
          <w:color w:val="00000F"/>
          <w:sz w:val="22"/>
          <w:szCs w:val="22"/>
        </w:rPr>
        <w:t>brokering of climate information into health policy and planning</w:t>
      </w:r>
      <w:r w:rsidR="00507042">
        <w:rPr>
          <w:rFonts w:asciiTheme="majorHAnsi" w:hAnsiTheme="majorHAnsi" w:cstheme="majorHAnsi"/>
          <w:color w:val="00000F"/>
          <w:sz w:val="22"/>
          <w:szCs w:val="22"/>
        </w:rPr>
        <w:t xml:space="preserve"> </w:t>
      </w:r>
      <w:r w:rsidR="004C62DB">
        <w:rPr>
          <w:rFonts w:asciiTheme="majorHAnsi" w:hAnsiTheme="majorHAnsi" w:cstheme="majorHAnsi"/>
          <w:color w:val="00000F"/>
          <w:sz w:val="22"/>
          <w:szCs w:val="22"/>
        </w:rPr>
        <w:t>undertaken by the SU.</w:t>
      </w:r>
    </w:p>
    <w:p w14:paraId="6C2DBBE8" w14:textId="77777777" w:rsidR="00910235" w:rsidRDefault="00910235" w:rsidP="008E1920">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318E95F7" w14:textId="77777777" w:rsidR="002D620B" w:rsidRDefault="00666BBF" w:rsidP="008E1920">
      <w:pPr>
        <w:suppressAutoHyphens/>
        <w:autoSpaceDE w:val="0"/>
        <w:autoSpaceDN w:val="0"/>
        <w:adjustRightInd w:val="0"/>
        <w:spacing w:line="288" w:lineRule="auto"/>
        <w:jc w:val="both"/>
        <w:textAlignment w:val="center"/>
        <w:rPr>
          <w:rFonts w:asciiTheme="majorHAnsi" w:hAnsiTheme="majorHAnsi" w:cstheme="majorHAnsi"/>
          <w:sz w:val="22"/>
          <w:szCs w:val="22"/>
          <w:lang w:val="en-US"/>
        </w:rPr>
      </w:pPr>
      <w:r w:rsidRPr="00D7329F">
        <w:rPr>
          <w:rFonts w:asciiTheme="majorHAnsi" w:hAnsiTheme="majorHAnsi" w:cstheme="majorHAnsi"/>
          <w:color w:val="00000F"/>
          <w:sz w:val="22"/>
          <w:szCs w:val="22"/>
        </w:rPr>
        <w:t>Emerging success stories are evident where the SU is helping to connect Australian climate science investments</w:t>
      </w:r>
      <w:r w:rsidR="00512FE3" w:rsidRPr="00D7329F">
        <w:rPr>
          <w:rFonts w:asciiTheme="majorHAnsi" w:hAnsiTheme="majorHAnsi" w:cstheme="majorHAnsi"/>
          <w:color w:val="00000F"/>
          <w:sz w:val="22"/>
          <w:szCs w:val="22"/>
        </w:rPr>
        <w:t xml:space="preserve"> (see COSPPac2 above)</w:t>
      </w:r>
      <w:r w:rsidR="00D10955" w:rsidRPr="00D7329F">
        <w:rPr>
          <w:rFonts w:asciiTheme="majorHAnsi" w:hAnsiTheme="majorHAnsi" w:cstheme="majorHAnsi"/>
          <w:color w:val="00000F"/>
          <w:sz w:val="22"/>
          <w:szCs w:val="22"/>
        </w:rPr>
        <w:t xml:space="preserve"> with </w:t>
      </w:r>
      <w:r w:rsidR="00C93BE8" w:rsidRPr="00D7329F">
        <w:rPr>
          <w:rFonts w:asciiTheme="majorHAnsi" w:hAnsiTheme="majorHAnsi" w:cstheme="majorHAnsi"/>
          <w:color w:val="00000F"/>
          <w:sz w:val="22"/>
          <w:szCs w:val="22"/>
        </w:rPr>
        <w:t>downstream partners to localise information to the PIC or sectoral context</w:t>
      </w:r>
      <w:r w:rsidR="00512FE3" w:rsidRPr="00D7329F">
        <w:rPr>
          <w:rFonts w:asciiTheme="majorHAnsi" w:hAnsiTheme="majorHAnsi" w:cstheme="majorHAnsi"/>
          <w:color w:val="00000F"/>
          <w:sz w:val="22"/>
          <w:szCs w:val="22"/>
        </w:rPr>
        <w:t xml:space="preserve">. </w:t>
      </w:r>
      <w:r w:rsidR="00FD3886" w:rsidRPr="00D7329F">
        <w:rPr>
          <w:rFonts w:asciiTheme="majorHAnsi" w:hAnsiTheme="majorHAnsi" w:cstheme="majorHAnsi"/>
          <w:b/>
          <w:bCs/>
          <w:color w:val="00000F"/>
          <w:sz w:val="22"/>
          <w:szCs w:val="22"/>
        </w:rPr>
        <w:t>GEDSI</w:t>
      </w:r>
      <w:r w:rsidR="0039342B" w:rsidRPr="00D7329F">
        <w:rPr>
          <w:rFonts w:asciiTheme="majorHAnsi" w:hAnsiTheme="majorHAnsi" w:cstheme="majorHAnsi"/>
          <w:b/>
          <w:bCs/>
          <w:color w:val="00000F"/>
          <w:sz w:val="22"/>
          <w:szCs w:val="22"/>
        </w:rPr>
        <w:t xml:space="preserve"> </w:t>
      </w:r>
      <w:r w:rsidR="0002611A" w:rsidRPr="00D7329F">
        <w:rPr>
          <w:rFonts w:asciiTheme="majorHAnsi" w:hAnsiTheme="majorHAnsi" w:cstheme="majorHAnsi"/>
          <w:b/>
          <w:bCs/>
          <w:color w:val="00000F"/>
          <w:sz w:val="22"/>
          <w:szCs w:val="22"/>
        </w:rPr>
        <w:t>integration with climate and disaster resilience</w:t>
      </w:r>
      <w:r w:rsidR="00AB7AF0" w:rsidRPr="00D7329F">
        <w:rPr>
          <w:rFonts w:asciiTheme="majorHAnsi" w:hAnsiTheme="majorHAnsi" w:cstheme="majorHAnsi"/>
          <w:b/>
          <w:bCs/>
          <w:color w:val="00000F"/>
          <w:sz w:val="22"/>
          <w:szCs w:val="22"/>
        </w:rPr>
        <w:t xml:space="preserve"> </w:t>
      </w:r>
      <w:r w:rsidR="0039342B" w:rsidRPr="00D7329F">
        <w:rPr>
          <w:rFonts w:asciiTheme="majorHAnsi" w:hAnsiTheme="majorHAnsi" w:cstheme="majorHAnsi"/>
          <w:b/>
          <w:bCs/>
          <w:color w:val="00000F"/>
          <w:sz w:val="22"/>
          <w:szCs w:val="22"/>
        </w:rPr>
        <w:t xml:space="preserve">is an area of impact that has </w:t>
      </w:r>
      <w:r w:rsidR="0002611A" w:rsidRPr="00D7329F">
        <w:rPr>
          <w:rFonts w:asciiTheme="majorHAnsi" w:hAnsiTheme="majorHAnsi" w:cstheme="majorHAnsi"/>
          <w:b/>
          <w:bCs/>
          <w:color w:val="00000F"/>
          <w:sz w:val="22"/>
          <w:szCs w:val="22"/>
        </w:rPr>
        <w:t xml:space="preserve">also </w:t>
      </w:r>
      <w:r w:rsidR="0039342B" w:rsidRPr="00D7329F">
        <w:rPr>
          <w:rFonts w:asciiTheme="majorHAnsi" w:hAnsiTheme="majorHAnsi" w:cstheme="majorHAnsi"/>
          <w:b/>
          <w:bCs/>
          <w:color w:val="00000F"/>
          <w:sz w:val="22"/>
          <w:szCs w:val="22"/>
        </w:rPr>
        <w:t>been well-received by par</w:t>
      </w:r>
      <w:r w:rsidR="0002611A" w:rsidRPr="00D7329F">
        <w:rPr>
          <w:rFonts w:asciiTheme="majorHAnsi" w:hAnsiTheme="majorHAnsi" w:cstheme="majorHAnsi"/>
          <w:b/>
          <w:bCs/>
          <w:color w:val="00000F"/>
          <w:sz w:val="22"/>
          <w:szCs w:val="22"/>
        </w:rPr>
        <w:t>tners</w:t>
      </w:r>
      <w:r w:rsidR="00444C0F" w:rsidRPr="00D7329F">
        <w:rPr>
          <w:rFonts w:asciiTheme="majorHAnsi" w:hAnsiTheme="majorHAnsi" w:cstheme="majorHAnsi"/>
          <w:color w:val="00000F"/>
          <w:sz w:val="22"/>
          <w:szCs w:val="22"/>
        </w:rPr>
        <w:t xml:space="preserve"> and has demonstrated a niche where Australia can provide a</w:t>
      </w:r>
      <w:r w:rsidR="00444C0F" w:rsidRPr="006E3576">
        <w:rPr>
          <w:rFonts w:asciiTheme="majorHAnsi" w:hAnsiTheme="majorHAnsi" w:cstheme="majorHAnsi"/>
          <w:color w:val="00000F"/>
          <w:sz w:val="22"/>
          <w:szCs w:val="22"/>
        </w:rPr>
        <w:t xml:space="preserve"> significant value-add in leveraging local knowledge </w:t>
      </w:r>
      <w:r w:rsidR="00222FB4" w:rsidRPr="005C7C19">
        <w:rPr>
          <w:rFonts w:asciiTheme="majorHAnsi" w:hAnsiTheme="majorHAnsi" w:cstheme="majorHAnsi"/>
          <w:color w:val="00000F"/>
          <w:sz w:val="22"/>
          <w:szCs w:val="22"/>
        </w:rPr>
        <w:t>in combination with</w:t>
      </w:r>
      <w:r w:rsidR="00444C0F" w:rsidRPr="005C7C19">
        <w:rPr>
          <w:rFonts w:asciiTheme="majorHAnsi" w:hAnsiTheme="majorHAnsi" w:cstheme="majorHAnsi"/>
          <w:color w:val="00000F"/>
          <w:sz w:val="22"/>
          <w:szCs w:val="22"/>
        </w:rPr>
        <w:t xml:space="preserve"> traditiona</w:t>
      </w:r>
      <w:r w:rsidR="00222FB4" w:rsidRPr="005C7C19">
        <w:rPr>
          <w:rFonts w:asciiTheme="majorHAnsi" w:hAnsiTheme="majorHAnsi" w:cstheme="majorHAnsi"/>
          <w:color w:val="00000F"/>
          <w:sz w:val="22"/>
          <w:szCs w:val="22"/>
        </w:rPr>
        <w:t xml:space="preserve">l climate science-based information. </w:t>
      </w:r>
      <w:r w:rsidR="005735C5" w:rsidRPr="005C7C19">
        <w:rPr>
          <w:rFonts w:asciiTheme="majorHAnsi" w:hAnsiTheme="majorHAnsi" w:cstheme="majorHAnsi"/>
          <w:color w:val="00000F"/>
          <w:sz w:val="22"/>
          <w:szCs w:val="22"/>
        </w:rPr>
        <w:t xml:space="preserve">Several interviewees highlighted the </w:t>
      </w:r>
      <w:r w:rsidR="00FC034D" w:rsidRPr="005C7C19">
        <w:rPr>
          <w:rFonts w:asciiTheme="majorHAnsi" w:hAnsiTheme="majorHAnsi" w:cstheme="majorHAnsi"/>
          <w:color w:val="00000F"/>
          <w:sz w:val="22"/>
          <w:szCs w:val="22"/>
        </w:rPr>
        <w:t>knowledge brokering activities implemented by</w:t>
      </w:r>
      <w:r w:rsidR="005735C5" w:rsidRPr="005C7C19">
        <w:rPr>
          <w:rFonts w:asciiTheme="majorHAnsi" w:hAnsiTheme="majorHAnsi" w:cstheme="majorHAnsi"/>
          <w:color w:val="00000F"/>
          <w:sz w:val="22"/>
          <w:szCs w:val="22"/>
        </w:rPr>
        <w:t xml:space="preserve"> the Shifting the Power Coalition in the Pacific </w:t>
      </w:r>
      <w:r w:rsidR="002060BD" w:rsidRPr="005C7C19">
        <w:rPr>
          <w:rFonts w:asciiTheme="majorHAnsi" w:hAnsiTheme="majorHAnsi" w:cstheme="majorHAnsi"/>
          <w:color w:val="00000F"/>
          <w:sz w:val="22"/>
          <w:szCs w:val="22"/>
        </w:rPr>
        <w:t xml:space="preserve">that is </w:t>
      </w:r>
      <w:r w:rsidR="00AE31A1" w:rsidRPr="005C7C19">
        <w:rPr>
          <w:rFonts w:asciiTheme="majorHAnsi" w:hAnsiTheme="majorHAnsi" w:cstheme="majorHAnsi"/>
          <w:sz w:val="22"/>
          <w:szCs w:val="22"/>
          <w:lang w:val="en-US"/>
        </w:rPr>
        <w:t xml:space="preserve">building inter-generational collaboration and diverse young women’s leadership </w:t>
      </w:r>
      <w:r w:rsidR="002060BD" w:rsidRPr="00D7329F">
        <w:rPr>
          <w:rFonts w:asciiTheme="majorHAnsi" w:hAnsiTheme="majorHAnsi" w:cstheme="majorHAnsi"/>
          <w:sz w:val="22"/>
          <w:szCs w:val="22"/>
          <w:lang w:val="en-US"/>
        </w:rPr>
        <w:t>to support</w:t>
      </w:r>
      <w:r w:rsidR="00AE31A1" w:rsidRPr="00D7329F">
        <w:rPr>
          <w:rFonts w:asciiTheme="majorHAnsi" w:hAnsiTheme="majorHAnsi" w:cstheme="majorHAnsi"/>
          <w:sz w:val="22"/>
          <w:szCs w:val="22"/>
          <w:lang w:val="en-US"/>
        </w:rPr>
        <w:t xml:space="preserve"> linkages between climate science/services and traditional</w:t>
      </w:r>
      <w:r w:rsidR="00AE31A1" w:rsidRPr="001A18B2">
        <w:rPr>
          <w:rFonts w:asciiTheme="majorHAnsi" w:hAnsiTheme="majorHAnsi" w:cstheme="majorHAnsi"/>
          <w:sz w:val="22"/>
          <w:szCs w:val="22"/>
          <w:lang w:val="en-US"/>
        </w:rPr>
        <w:t xml:space="preserve"> knowledge</w:t>
      </w:r>
      <w:r w:rsidR="001A18B2" w:rsidRPr="001A18B2">
        <w:rPr>
          <w:rFonts w:asciiTheme="majorHAnsi" w:hAnsiTheme="majorHAnsi" w:cstheme="majorHAnsi"/>
          <w:sz w:val="22"/>
          <w:szCs w:val="22"/>
          <w:lang w:val="en-US"/>
        </w:rPr>
        <w:t xml:space="preserve">, as well as women’s </w:t>
      </w:r>
      <w:r w:rsidR="00AE31A1" w:rsidRPr="001A18B2">
        <w:rPr>
          <w:rFonts w:asciiTheme="majorHAnsi" w:hAnsiTheme="majorHAnsi" w:cstheme="majorHAnsi"/>
          <w:sz w:val="22"/>
          <w:szCs w:val="22"/>
          <w:lang w:val="en-US"/>
        </w:rPr>
        <w:t>engagement in policy advocacy processes.</w:t>
      </w:r>
      <w:r w:rsidR="00103899">
        <w:rPr>
          <w:rFonts w:asciiTheme="majorHAnsi" w:hAnsiTheme="majorHAnsi" w:cstheme="majorHAnsi"/>
          <w:sz w:val="22"/>
          <w:szCs w:val="22"/>
          <w:lang w:val="en-US"/>
        </w:rPr>
        <w:t xml:space="preserve"> </w:t>
      </w:r>
    </w:p>
    <w:p w14:paraId="461BE0BF" w14:textId="77777777" w:rsidR="002D620B" w:rsidRDefault="002D620B" w:rsidP="008E1920">
      <w:pPr>
        <w:suppressAutoHyphens/>
        <w:autoSpaceDE w:val="0"/>
        <w:autoSpaceDN w:val="0"/>
        <w:adjustRightInd w:val="0"/>
        <w:spacing w:line="288" w:lineRule="auto"/>
        <w:jc w:val="both"/>
        <w:textAlignment w:val="center"/>
        <w:rPr>
          <w:rFonts w:asciiTheme="majorHAnsi" w:hAnsiTheme="majorHAnsi" w:cstheme="majorHAnsi"/>
          <w:sz w:val="22"/>
          <w:szCs w:val="22"/>
          <w:lang w:val="en-US"/>
        </w:rPr>
      </w:pPr>
    </w:p>
    <w:p w14:paraId="3689EC2F" w14:textId="77777777" w:rsidR="000B4ADF" w:rsidRPr="000B4ADF" w:rsidRDefault="00527D65" w:rsidP="008E1920">
      <w:pPr>
        <w:suppressAutoHyphens/>
        <w:autoSpaceDE w:val="0"/>
        <w:autoSpaceDN w:val="0"/>
        <w:adjustRightInd w:val="0"/>
        <w:spacing w:line="288" w:lineRule="auto"/>
        <w:jc w:val="both"/>
        <w:textAlignment w:val="center"/>
        <w:rPr>
          <w:rFonts w:asciiTheme="majorHAnsi" w:hAnsiTheme="majorHAnsi" w:cstheme="majorHAnsi"/>
          <w:sz w:val="22"/>
          <w:szCs w:val="22"/>
          <w:lang w:val="en-US"/>
        </w:rPr>
      </w:pPr>
      <w:r>
        <w:rPr>
          <w:rFonts w:asciiTheme="majorHAnsi" w:hAnsiTheme="majorHAnsi" w:cstheme="majorHAnsi"/>
          <w:sz w:val="22"/>
          <w:szCs w:val="22"/>
          <w:lang w:val="en-US"/>
        </w:rPr>
        <w:t xml:space="preserve">Further success in </w:t>
      </w:r>
      <w:r w:rsidR="00783293">
        <w:rPr>
          <w:rFonts w:asciiTheme="majorHAnsi" w:hAnsiTheme="majorHAnsi" w:cstheme="majorHAnsi"/>
          <w:sz w:val="22"/>
          <w:szCs w:val="22"/>
          <w:lang w:val="en-US"/>
        </w:rPr>
        <w:t xml:space="preserve">integrating </w:t>
      </w:r>
      <w:r>
        <w:rPr>
          <w:rFonts w:asciiTheme="majorHAnsi" w:hAnsiTheme="majorHAnsi" w:cstheme="majorHAnsi"/>
          <w:sz w:val="22"/>
          <w:szCs w:val="22"/>
          <w:lang w:val="en-US"/>
        </w:rPr>
        <w:t xml:space="preserve">GEDSI in climate and disaster risk and resilience activities, particularly in relation to aid program integration, is limited by </w:t>
      </w:r>
      <w:r w:rsidR="00B95A59">
        <w:rPr>
          <w:rFonts w:asciiTheme="majorHAnsi" w:hAnsiTheme="majorHAnsi" w:cstheme="majorHAnsi"/>
          <w:sz w:val="22"/>
          <w:szCs w:val="22"/>
          <w:lang w:val="en-US"/>
        </w:rPr>
        <w:t xml:space="preserve">DFAT’s policy context that </w:t>
      </w:r>
      <w:r w:rsidR="00040EAA">
        <w:rPr>
          <w:rFonts w:asciiTheme="majorHAnsi" w:hAnsiTheme="majorHAnsi" w:cstheme="majorHAnsi"/>
          <w:sz w:val="22"/>
          <w:szCs w:val="22"/>
          <w:lang w:val="en-US"/>
        </w:rPr>
        <w:t xml:space="preserve">does not draw </w:t>
      </w:r>
      <w:r w:rsidR="00A246EE">
        <w:rPr>
          <w:rFonts w:asciiTheme="majorHAnsi" w:hAnsiTheme="majorHAnsi" w:cstheme="majorHAnsi"/>
          <w:sz w:val="22"/>
          <w:szCs w:val="22"/>
          <w:lang w:val="en-US"/>
        </w:rPr>
        <w:t xml:space="preserve">a strong </w:t>
      </w:r>
      <w:r w:rsidR="00040EAA">
        <w:rPr>
          <w:rFonts w:asciiTheme="majorHAnsi" w:hAnsiTheme="majorHAnsi" w:cstheme="majorHAnsi"/>
          <w:sz w:val="22"/>
          <w:szCs w:val="22"/>
          <w:lang w:val="en-US"/>
        </w:rPr>
        <w:t>link between these intersecting areas</w:t>
      </w:r>
      <w:r w:rsidR="00A246EE">
        <w:rPr>
          <w:rFonts w:asciiTheme="majorHAnsi" w:hAnsiTheme="majorHAnsi" w:cstheme="majorHAnsi"/>
          <w:sz w:val="22"/>
          <w:szCs w:val="22"/>
          <w:lang w:val="en-US"/>
        </w:rPr>
        <w:t xml:space="preserve"> either through the </w:t>
      </w:r>
      <w:r w:rsidR="00A246EE">
        <w:rPr>
          <w:rFonts w:asciiTheme="majorHAnsi" w:hAnsiTheme="majorHAnsi" w:cstheme="majorHAnsi"/>
          <w:i/>
          <w:iCs/>
          <w:sz w:val="22"/>
          <w:szCs w:val="22"/>
          <w:lang w:val="en-US"/>
        </w:rPr>
        <w:t>G</w:t>
      </w:r>
      <w:r w:rsidR="00C748CB">
        <w:rPr>
          <w:rFonts w:asciiTheme="majorHAnsi" w:hAnsiTheme="majorHAnsi" w:cstheme="majorHAnsi"/>
          <w:i/>
          <w:iCs/>
          <w:sz w:val="22"/>
          <w:szCs w:val="22"/>
          <w:lang w:val="en-US"/>
        </w:rPr>
        <w:t>e</w:t>
      </w:r>
      <w:r w:rsidR="00A246EE">
        <w:rPr>
          <w:rFonts w:asciiTheme="majorHAnsi" w:hAnsiTheme="majorHAnsi" w:cstheme="majorHAnsi"/>
          <w:i/>
          <w:iCs/>
          <w:sz w:val="22"/>
          <w:szCs w:val="22"/>
          <w:lang w:val="en-US"/>
        </w:rPr>
        <w:t>n</w:t>
      </w:r>
      <w:r w:rsidR="00C748CB">
        <w:rPr>
          <w:rFonts w:asciiTheme="majorHAnsi" w:hAnsiTheme="majorHAnsi" w:cstheme="majorHAnsi"/>
          <w:i/>
          <w:iCs/>
          <w:sz w:val="22"/>
          <w:szCs w:val="22"/>
          <w:lang w:val="en-US"/>
        </w:rPr>
        <w:t>d</w:t>
      </w:r>
      <w:r w:rsidR="00A246EE">
        <w:rPr>
          <w:rFonts w:asciiTheme="majorHAnsi" w:hAnsiTheme="majorHAnsi" w:cstheme="majorHAnsi"/>
          <w:i/>
          <w:iCs/>
          <w:sz w:val="22"/>
          <w:szCs w:val="22"/>
          <w:lang w:val="en-US"/>
        </w:rPr>
        <w:t xml:space="preserve">er Equality and Women’s Empowerment Strategy </w:t>
      </w:r>
      <w:r w:rsidR="007A6CCB">
        <w:rPr>
          <w:rFonts w:asciiTheme="majorHAnsi" w:hAnsiTheme="majorHAnsi" w:cstheme="majorHAnsi"/>
          <w:i/>
          <w:iCs/>
          <w:sz w:val="22"/>
          <w:szCs w:val="22"/>
          <w:lang w:val="en-US"/>
        </w:rPr>
        <w:t>2016</w:t>
      </w:r>
      <w:r w:rsidR="00A065B3">
        <w:rPr>
          <w:rFonts w:asciiTheme="majorHAnsi" w:hAnsiTheme="majorHAnsi" w:cstheme="majorHAnsi"/>
          <w:sz w:val="22"/>
          <w:szCs w:val="22"/>
          <w:lang w:val="en-US"/>
        </w:rPr>
        <w:t xml:space="preserve"> or the </w:t>
      </w:r>
      <w:r w:rsidR="00A065B3">
        <w:rPr>
          <w:rFonts w:asciiTheme="majorHAnsi" w:hAnsiTheme="majorHAnsi" w:cstheme="majorHAnsi"/>
          <w:i/>
          <w:iCs/>
          <w:sz w:val="22"/>
          <w:szCs w:val="22"/>
          <w:lang w:val="en-US"/>
        </w:rPr>
        <w:t>Climate Change Action Strategy</w:t>
      </w:r>
      <w:r w:rsidR="00595BBD">
        <w:rPr>
          <w:rFonts w:asciiTheme="majorHAnsi" w:hAnsiTheme="majorHAnsi" w:cstheme="majorHAnsi"/>
          <w:i/>
          <w:iCs/>
          <w:sz w:val="22"/>
          <w:szCs w:val="22"/>
          <w:lang w:val="en-US"/>
        </w:rPr>
        <w:t xml:space="preserve"> 2019</w:t>
      </w:r>
      <w:r w:rsidR="00A065B3">
        <w:rPr>
          <w:rFonts w:asciiTheme="majorHAnsi" w:hAnsiTheme="majorHAnsi" w:cstheme="majorHAnsi"/>
          <w:i/>
          <w:iCs/>
          <w:sz w:val="22"/>
          <w:szCs w:val="22"/>
          <w:lang w:val="en-US"/>
        </w:rPr>
        <w:t xml:space="preserve">. </w:t>
      </w:r>
      <w:r w:rsidR="00A065B3">
        <w:rPr>
          <w:rFonts w:asciiTheme="majorHAnsi" w:hAnsiTheme="majorHAnsi" w:cstheme="majorHAnsi"/>
          <w:sz w:val="22"/>
          <w:szCs w:val="22"/>
          <w:lang w:val="en-US"/>
        </w:rPr>
        <w:t>M</w:t>
      </w:r>
      <w:r w:rsidR="00975610">
        <w:rPr>
          <w:rFonts w:asciiTheme="majorHAnsi" w:hAnsiTheme="majorHAnsi" w:cstheme="majorHAnsi"/>
          <w:sz w:val="22"/>
          <w:szCs w:val="22"/>
          <w:lang w:val="en-US"/>
        </w:rPr>
        <w:t xml:space="preserve">any staff and partners </w:t>
      </w:r>
      <w:r w:rsidR="00A065B3">
        <w:rPr>
          <w:rFonts w:asciiTheme="majorHAnsi" w:hAnsiTheme="majorHAnsi" w:cstheme="majorHAnsi"/>
          <w:sz w:val="22"/>
          <w:szCs w:val="22"/>
          <w:lang w:val="en-US"/>
        </w:rPr>
        <w:t xml:space="preserve">saw </w:t>
      </w:r>
      <w:r w:rsidR="00975610">
        <w:rPr>
          <w:rFonts w:asciiTheme="majorHAnsi" w:hAnsiTheme="majorHAnsi" w:cstheme="majorHAnsi"/>
          <w:sz w:val="22"/>
          <w:szCs w:val="22"/>
          <w:lang w:val="en-US"/>
        </w:rPr>
        <w:t>the</w:t>
      </w:r>
      <w:r w:rsidR="00A065B3">
        <w:rPr>
          <w:rFonts w:asciiTheme="majorHAnsi" w:hAnsiTheme="majorHAnsi" w:cstheme="majorHAnsi"/>
          <w:sz w:val="22"/>
          <w:szCs w:val="22"/>
          <w:lang w:val="en-US"/>
        </w:rPr>
        <w:t xml:space="preserve"> integration of gender or climate change</w:t>
      </w:r>
      <w:r w:rsidR="00975610">
        <w:rPr>
          <w:rFonts w:asciiTheme="majorHAnsi" w:hAnsiTheme="majorHAnsi" w:cstheme="majorHAnsi"/>
          <w:sz w:val="22"/>
          <w:szCs w:val="22"/>
          <w:lang w:val="en-US"/>
        </w:rPr>
        <w:t xml:space="preserve"> as optional ‘add-ons’</w:t>
      </w:r>
      <w:r w:rsidR="00A065B3">
        <w:rPr>
          <w:rFonts w:asciiTheme="majorHAnsi" w:hAnsiTheme="majorHAnsi" w:cstheme="majorHAnsi"/>
          <w:sz w:val="22"/>
          <w:szCs w:val="22"/>
          <w:lang w:val="en-US"/>
        </w:rPr>
        <w:t xml:space="preserve"> where they could sensibly </w:t>
      </w:r>
      <w:r w:rsidR="003675AB">
        <w:rPr>
          <w:rFonts w:asciiTheme="majorHAnsi" w:hAnsiTheme="majorHAnsi" w:cstheme="majorHAnsi"/>
          <w:sz w:val="22"/>
          <w:szCs w:val="22"/>
          <w:lang w:val="en-US"/>
        </w:rPr>
        <w:t>choose</w:t>
      </w:r>
      <w:r w:rsidR="00A065B3">
        <w:rPr>
          <w:rFonts w:asciiTheme="majorHAnsi" w:hAnsiTheme="majorHAnsi" w:cstheme="majorHAnsi"/>
          <w:sz w:val="22"/>
          <w:szCs w:val="22"/>
          <w:lang w:val="en-US"/>
        </w:rPr>
        <w:t xml:space="preserve"> which policy applied most to the </w:t>
      </w:r>
      <w:r w:rsidR="004F66E2">
        <w:rPr>
          <w:rFonts w:asciiTheme="majorHAnsi" w:hAnsiTheme="majorHAnsi" w:cstheme="majorHAnsi"/>
          <w:sz w:val="22"/>
          <w:szCs w:val="22"/>
          <w:lang w:val="en-US"/>
        </w:rPr>
        <w:t>investment and</w:t>
      </w:r>
      <w:r w:rsidR="009C25C9">
        <w:rPr>
          <w:rFonts w:asciiTheme="majorHAnsi" w:hAnsiTheme="majorHAnsi" w:cstheme="majorHAnsi"/>
          <w:sz w:val="22"/>
          <w:szCs w:val="22"/>
          <w:lang w:val="en-US"/>
        </w:rPr>
        <w:t xml:space="preserve"> discount the less relevant policy</w:t>
      </w:r>
      <w:r w:rsidR="002D05CF">
        <w:rPr>
          <w:rFonts w:asciiTheme="majorHAnsi" w:hAnsiTheme="majorHAnsi" w:cstheme="majorHAnsi"/>
          <w:sz w:val="22"/>
          <w:szCs w:val="22"/>
          <w:lang w:val="en-US"/>
        </w:rPr>
        <w:t xml:space="preserve">. This approach to policy implementation limits the effectiveness of investments in addressing the systemic and intersecting </w:t>
      </w:r>
      <w:r w:rsidR="00BF022D">
        <w:rPr>
          <w:rFonts w:asciiTheme="majorHAnsi" w:hAnsiTheme="majorHAnsi" w:cstheme="majorHAnsi"/>
          <w:sz w:val="22"/>
          <w:szCs w:val="22"/>
          <w:lang w:val="en-US"/>
        </w:rPr>
        <w:t>challenges of addressing GEDSI and climate change and disaster risks concurrently.</w:t>
      </w:r>
    </w:p>
    <w:p w14:paraId="64369705" w14:textId="77777777" w:rsidR="00A65242" w:rsidRDefault="00A65242" w:rsidP="00A65242">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1D4C93C1" w14:textId="70EC0515" w:rsidR="00A63882" w:rsidRDefault="004727D9" w:rsidP="0034338A">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350CF9">
        <w:rPr>
          <w:rFonts w:asciiTheme="majorHAnsi" w:hAnsiTheme="majorHAnsi" w:cstheme="majorHAnsi"/>
          <w:b/>
          <w:bCs/>
          <w:color w:val="00000F"/>
          <w:sz w:val="22"/>
          <w:szCs w:val="22"/>
        </w:rPr>
        <w:t xml:space="preserve">Knowledge brokering activities have primarily </w:t>
      </w:r>
      <w:r w:rsidR="00A65242" w:rsidRPr="00350CF9">
        <w:rPr>
          <w:rFonts w:asciiTheme="majorHAnsi" w:hAnsiTheme="majorHAnsi" w:cstheme="majorHAnsi"/>
          <w:b/>
          <w:bCs/>
          <w:color w:val="00000F"/>
          <w:sz w:val="22"/>
          <w:szCs w:val="22"/>
        </w:rPr>
        <w:t>prioritise</w:t>
      </w:r>
      <w:r w:rsidR="0034338A" w:rsidRPr="00350CF9">
        <w:rPr>
          <w:rFonts w:asciiTheme="majorHAnsi" w:hAnsiTheme="majorHAnsi" w:cstheme="majorHAnsi"/>
          <w:b/>
          <w:bCs/>
          <w:color w:val="00000F"/>
          <w:sz w:val="22"/>
          <w:szCs w:val="22"/>
        </w:rPr>
        <w:t>d</w:t>
      </w:r>
      <w:r w:rsidR="00A65242" w:rsidRPr="00350CF9">
        <w:rPr>
          <w:rFonts w:asciiTheme="majorHAnsi" w:hAnsiTheme="majorHAnsi" w:cstheme="majorHAnsi"/>
          <w:b/>
          <w:bCs/>
          <w:color w:val="00000F"/>
          <w:sz w:val="22"/>
          <w:szCs w:val="22"/>
        </w:rPr>
        <w:t xml:space="preserve"> </w:t>
      </w:r>
      <w:r w:rsidR="0034338A" w:rsidRPr="00350CF9">
        <w:rPr>
          <w:rFonts w:asciiTheme="majorHAnsi" w:hAnsiTheme="majorHAnsi" w:cstheme="majorHAnsi"/>
          <w:b/>
          <w:bCs/>
          <w:color w:val="00000F"/>
          <w:sz w:val="22"/>
          <w:szCs w:val="22"/>
        </w:rPr>
        <w:t>enhancing the</w:t>
      </w:r>
      <w:r w:rsidRPr="00350CF9">
        <w:rPr>
          <w:rFonts w:asciiTheme="majorHAnsi" w:hAnsiTheme="majorHAnsi" w:cstheme="majorHAnsi"/>
          <w:b/>
          <w:bCs/>
          <w:color w:val="00000F"/>
          <w:sz w:val="22"/>
          <w:szCs w:val="22"/>
        </w:rPr>
        <w:t xml:space="preserve"> integration of climate and disaster risks through DFAT investments</w:t>
      </w:r>
      <w:r w:rsidR="0034338A" w:rsidRPr="00350CF9">
        <w:rPr>
          <w:rFonts w:asciiTheme="majorHAnsi" w:hAnsiTheme="majorHAnsi" w:cstheme="majorHAnsi"/>
          <w:b/>
          <w:bCs/>
          <w:color w:val="00000F"/>
          <w:sz w:val="22"/>
          <w:szCs w:val="22"/>
        </w:rPr>
        <w:t xml:space="preserve"> in a way that aligns with PIC needs</w:t>
      </w:r>
      <w:r w:rsidRPr="00350CF9">
        <w:rPr>
          <w:rFonts w:asciiTheme="majorHAnsi" w:hAnsiTheme="majorHAnsi" w:cstheme="majorHAnsi"/>
          <w:b/>
          <w:bCs/>
          <w:color w:val="00000F"/>
          <w:sz w:val="22"/>
          <w:szCs w:val="22"/>
        </w:rPr>
        <w:t>.</w:t>
      </w:r>
      <w:r w:rsidR="0034338A">
        <w:rPr>
          <w:rFonts w:asciiTheme="majorHAnsi" w:hAnsiTheme="majorHAnsi" w:cstheme="majorHAnsi"/>
          <w:color w:val="00000F"/>
          <w:sz w:val="22"/>
          <w:szCs w:val="22"/>
        </w:rPr>
        <w:t xml:space="preserve"> While it </w:t>
      </w:r>
      <w:r w:rsidR="00CA7DD5">
        <w:rPr>
          <w:rFonts w:asciiTheme="majorHAnsi" w:hAnsiTheme="majorHAnsi" w:cstheme="majorHAnsi"/>
          <w:color w:val="00000F"/>
          <w:sz w:val="22"/>
          <w:szCs w:val="22"/>
        </w:rPr>
        <w:t xml:space="preserve">is not possible to say </w:t>
      </w:r>
      <w:r w:rsidR="00810FA7">
        <w:rPr>
          <w:rFonts w:asciiTheme="majorHAnsi" w:hAnsiTheme="majorHAnsi" w:cstheme="majorHAnsi"/>
          <w:color w:val="00000F"/>
          <w:sz w:val="22"/>
          <w:szCs w:val="22"/>
        </w:rPr>
        <w:t xml:space="preserve">yet </w:t>
      </w:r>
      <w:r w:rsidR="00CA7DD5">
        <w:rPr>
          <w:rFonts w:asciiTheme="majorHAnsi" w:hAnsiTheme="majorHAnsi" w:cstheme="majorHAnsi"/>
          <w:color w:val="00000F"/>
          <w:sz w:val="22"/>
          <w:szCs w:val="22"/>
        </w:rPr>
        <w:t>from the evidence viewed whether the investments in knowledge brokering have been the ‘right</w:t>
      </w:r>
      <w:r w:rsidR="00C87218">
        <w:rPr>
          <w:rFonts w:asciiTheme="majorHAnsi" w:hAnsiTheme="majorHAnsi" w:cstheme="majorHAnsi"/>
          <w:color w:val="00000F"/>
          <w:sz w:val="22"/>
          <w:szCs w:val="22"/>
        </w:rPr>
        <w:t>’</w:t>
      </w:r>
      <w:r w:rsidR="00CA7DD5">
        <w:rPr>
          <w:rFonts w:asciiTheme="majorHAnsi" w:hAnsiTheme="majorHAnsi" w:cstheme="majorHAnsi"/>
          <w:color w:val="00000F"/>
          <w:sz w:val="22"/>
          <w:szCs w:val="22"/>
        </w:rPr>
        <w:t xml:space="preserve"> investments</w:t>
      </w:r>
      <w:r w:rsidR="00C87218">
        <w:rPr>
          <w:rFonts w:asciiTheme="majorHAnsi" w:hAnsiTheme="majorHAnsi" w:cstheme="majorHAnsi"/>
          <w:color w:val="00000F"/>
          <w:sz w:val="22"/>
          <w:szCs w:val="22"/>
        </w:rPr>
        <w:t xml:space="preserve"> given the context, </w:t>
      </w:r>
      <w:r w:rsidR="003071ED">
        <w:rPr>
          <w:rFonts w:asciiTheme="majorHAnsi" w:hAnsiTheme="majorHAnsi" w:cstheme="majorHAnsi"/>
          <w:color w:val="00000F"/>
          <w:sz w:val="22"/>
          <w:szCs w:val="22"/>
        </w:rPr>
        <w:t>there</w:t>
      </w:r>
      <w:r w:rsidR="00AF27E9" w:rsidRPr="0034338A">
        <w:rPr>
          <w:rFonts w:asciiTheme="majorHAnsi" w:hAnsiTheme="majorHAnsi" w:cstheme="majorHAnsi"/>
          <w:color w:val="00000F"/>
          <w:sz w:val="22"/>
          <w:szCs w:val="22"/>
        </w:rPr>
        <w:t xml:space="preserve"> doesn’t appear to be a clear </w:t>
      </w:r>
      <w:r w:rsidR="009B02DC">
        <w:rPr>
          <w:rFonts w:asciiTheme="majorHAnsi" w:hAnsiTheme="majorHAnsi" w:cstheme="majorHAnsi"/>
          <w:color w:val="00000F"/>
          <w:sz w:val="22"/>
          <w:szCs w:val="22"/>
        </w:rPr>
        <w:t>decision-making</w:t>
      </w:r>
      <w:r w:rsidR="007D1A86">
        <w:rPr>
          <w:rFonts w:asciiTheme="majorHAnsi" w:hAnsiTheme="majorHAnsi" w:cstheme="majorHAnsi"/>
          <w:color w:val="00000F"/>
          <w:sz w:val="22"/>
          <w:szCs w:val="22"/>
        </w:rPr>
        <w:t xml:space="preserve"> framework</w:t>
      </w:r>
      <w:r w:rsidR="007D1A86" w:rsidRPr="0034338A">
        <w:rPr>
          <w:rFonts w:asciiTheme="majorHAnsi" w:hAnsiTheme="majorHAnsi" w:cstheme="majorHAnsi"/>
          <w:color w:val="00000F"/>
          <w:sz w:val="22"/>
          <w:szCs w:val="22"/>
        </w:rPr>
        <w:t xml:space="preserve"> </w:t>
      </w:r>
      <w:r w:rsidR="00AF27E9" w:rsidRPr="0034338A">
        <w:rPr>
          <w:rFonts w:asciiTheme="majorHAnsi" w:hAnsiTheme="majorHAnsi" w:cstheme="majorHAnsi"/>
          <w:color w:val="00000F"/>
          <w:sz w:val="22"/>
          <w:szCs w:val="22"/>
        </w:rPr>
        <w:t xml:space="preserve">for how knowledge brokering activities are </w:t>
      </w:r>
      <w:r w:rsidR="00821EC2" w:rsidRPr="0034338A">
        <w:rPr>
          <w:rFonts w:asciiTheme="majorHAnsi" w:hAnsiTheme="majorHAnsi" w:cstheme="majorHAnsi"/>
          <w:color w:val="00000F"/>
          <w:sz w:val="22"/>
          <w:szCs w:val="22"/>
        </w:rPr>
        <w:t xml:space="preserve">identified and </w:t>
      </w:r>
      <w:r w:rsidR="00AF27E9" w:rsidRPr="0034338A">
        <w:rPr>
          <w:rFonts w:asciiTheme="majorHAnsi" w:hAnsiTheme="majorHAnsi" w:cstheme="majorHAnsi"/>
          <w:color w:val="00000F"/>
          <w:sz w:val="22"/>
          <w:szCs w:val="22"/>
        </w:rPr>
        <w:t>selected</w:t>
      </w:r>
      <w:r w:rsidR="00821EC2" w:rsidRPr="0034338A">
        <w:rPr>
          <w:rFonts w:asciiTheme="majorHAnsi" w:hAnsiTheme="majorHAnsi" w:cstheme="majorHAnsi"/>
          <w:color w:val="00000F"/>
          <w:sz w:val="22"/>
          <w:szCs w:val="22"/>
        </w:rPr>
        <w:t xml:space="preserve">. </w:t>
      </w:r>
    </w:p>
    <w:p w14:paraId="1DCD0D09" w14:textId="77777777" w:rsidR="00BD5A8D" w:rsidRDefault="00BD5A8D" w:rsidP="0034338A">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5E79D567" w14:textId="77777777" w:rsidR="00B56745" w:rsidRPr="0034338A" w:rsidRDefault="00BD5A8D" w:rsidP="0034338A">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This has also raised some concerns among Pacific stakeholders that the</w:t>
      </w:r>
      <w:r w:rsidR="00CC531D">
        <w:rPr>
          <w:rFonts w:asciiTheme="majorHAnsi" w:hAnsiTheme="majorHAnsi" w:cstheme="majorHAnsi"/>
          <w:color w:val="00000F"/>
          <w:sz w:val="22"/>
          <w:szCs w:val="22"/>
        </w:rPr>
        <w:t xml:space="preserve"> climate information </w:t>
      </w:r>
      <w:r w:rsidR="00244646">
        <w:rPr>
          <w:rFonts w:asciiTheme="majorHAnsi" w:hAnsiTheme="majorHAnsi" w:cstheme="majorHAnsi"/>
          <w:color w:val="00000F"/>
          <w:sz w:val="22"/>
          <w:szCs w:val="22"/>
        </w:rPr>
        <w:t xml:space="preserve">is not grounded in the region and misses the connections with </w:t>
      </w:r>
      <w:r w:rsidR="00247D9E">
        <w:rPr>
          <w:rFonts w:asciiTheme="majorHAnsi" w:hAnsiTheme="majorHAnsi" w:cstheme="majorHAnsi"/>
          <w:color w:val="00000F"/>
          <w:sz w:val="22"/>
          <w:szCs w:val="22"/>
        </w:rPr>
        <w:t xml:space="preserve">Pacific Islands traditional knowledge on climate and disasters. </w:t>
      </w:r>
      <w:r w:rsidR="00C853F8">
        <w:rPr>
          <w:rFonts w:asciiTheme="majorHAnsi" w:hAnsiTheme="majorHAnsi" w:cstheme="majorHAnsi"/>
          <w:color w:val="00000F"/>
          <w:sz w:val="22"/>
          <w:szCs w:val="22"/>
        </w:rPr>
        <w:t xml:space="preserve">They highlighted that the current model for delivering climate information </w:t>
      </w:r>
      <w:r w:rsidR="009C3689">
        <w:rPr>
          <w:rFonts w:asciiTheme="majorHAnsi" w:hAnsiTheme="majorHAnsi" w:cstheme="majorHAnsi"/>
          <w:color w:val="00000F"/>
          <w:sz w:val="22"/>
          <w:szCs w:val="22"/>
        </w:rPr>
        <w:t xml:space="preserve">through the sub programs </w:t>
      </w:r>
      <w:r w:rsidR="00C853F8">
        <w:rPr>
          <w:rFonts w:asciiTheme="majorHAnsi" w:hAnsiTheme="majorHAnsi" w:cstheme="majorHAnsi"/>
          <w:color w:val="00000F"/>
          <w:sz w:val="22"/>
          <w:szCs w:val="22"/>
        </w:rPr>
        <w:t xml:space="preserve">is through </w:t>
      </w:r>
      <w:r w:rsidR="008275E8">
        <w:rPr>
          <w:rFonts w:asciiTheme="majorHAnsi" w:hAnsiTheme="majorHAnsi" w:cstheme="majorHAnsi"/>
          <w:color w:val="00000F"/>
          <w:sz w:val="22"/>
          <w:szCs w:val="22"/>
        </w:rPr>
        <w:t xml:space="preserve">primarily </w:t>
      </w:r>
      <w:r w:rsidR="00C853F8">
        <w:rPr>
          <w:rFonts w:asciiTheme="majorHAnsi" w:hAnsiTheme="majorHAnsi" w:cstheme="majorHAnsi"/>
          <w:color w:val="00000F"/>
          <w:sz w:val="22"/>
          <w:szCs w:val="22"/>
        </w:rPr>
        <w:t>Australian-based implementing partners, with Australian expertise</w:t>
      </w:r>
      <w:r w:rsidR="009C3689">
        <w:rPr>
          <w:rFonts w:asciiTheme="majorHAnsi" w:hAnsiTheme="majorHAnsi" w:cstheme="majorHAnsi"/>
          <w:color w:val="00000F"/>
          <w:sz w:val="22"/>
          <w:szCs w:val="22"/>
        </w:rPr>
        <w:t>, and in some cases propos</w:t>
      </w:r>
      <w:r w:rsidR="008275E8">
        <w:rPr>
          <w:rFonts w:asciiTheme="majorHAnsi" w:hAnsiTheme="majorHAnsi" w:cstheme="majorHAnsi"/>
          <w:color w:val="00000F"/>
          <w:sz w:val="22"/>
          <w:szCs w:val="22"/>
        </w:rPr>
        <w:t>ing</w:t>
      </w:r>
      <w:r w:rsidR="009C3689">
        <w:rPr>
          <w:rFonts w:asciiTheme="majorHAnsi" w:hAnsiTheme="majorHAnsi" w:cstheme="majorHAnsi"/>
          <w:color w:val="00000F"/>
          <w:sz w:val="22"/>
          <w:szCs w:val="22"/>
        </w:rPr>
        <w:t xml:space="preserve"> Australian context-specific solutions</w:t>
      </w:r>
      <w:r w:rsidR="008275E8">
        <w:rPr>
          <w:rFonts w:asciiTheme="majorHAnsi" w:hAnsiTheme="majorHAnsi" w:cstheme="majorHAnsi"/>
          <w:color w:val="00000F"/>
          <w:sz w:val="22"/>
          <w:szCs w:val="22"/>
        </w:rPr>
        <w:t xml:space="preserve">. </w:t>
      </w:r>
      <w:r w:rsidR="00B56745">
        <w:rPr>
          <w:rFonts w:asciiTheme="majorHAnsi" w:hAnsiTheme="majorHAnsi" w:cstheme="majorHAnsi"/>
          <w:color w:val="00000F"/>
          <w:sz w:val="22"/>
          <w:szCs w:val="22"/>
        </w:rPr>
        <w:t xml:space="preserve">The greatest opportunities for strengthening the </w:t>
      </w:r>
      <w:r w:rsidR="00CE20B1">
        <w:rPr>
          <w:rFonts w:asciiTheme="majorHAnsi" w:hAnsiTheme="majorHAnsi" w:cstheme="majorHAnsi"/>
          <w:color w:val="00000F"/>
          <w:sz w:val="22"/>
          <w:szCs w:val="22"/>
        </w:rPr>
        <w:t xml:space="preserve">impact of Australian supported climate information are in connecting to local and traditional knowledge </w:t>
      </w:r>
      <w:r w:rsidR="00A957EA">
        <w:rPr>
          <w:rFonts w:asciiTheme="majorHAnsi" w:hAnsiTheme="majorHAnsi" w:cstheme="majorHAnsi"/>
          <w:color w:val="00000F"/>
          <w:sz w:val="22"/>
          <w:szCs w:val="22"/>
        </w:rPr>
        <w:t xml:space="preserve">and strengthening the network of Pacific knowledge brokers and climate experts to </w:t>
      </w:r>
      <w:r w:rsidR="008E2F5B">
        <w:rPr>
          <w:rFonts w:asciiTheme="majorHAnsi" w:hAnsiTheme="majorHAnsi" w:cstheme="majorHAnsi"/>
          <w:color w:val="00000F"/>
          <w:sz w:val="22"/>
          <w:szCs w:val="22"/>
        </w:rPr>
        <w:t>lead these initiatives.</w:t>
      </w:r>
    </w:p>
    <w:p w14:paraId="02FCC709" w14:textId="77777777" w:rsidR="00A72559" w:rsidRDefault="00A72559" w:rsidP="00BE1381">
      <w:pPr>
        <w:suppressAutoHyphens/>
        <w:autoSpaceDE w:val="0"/>
        <w:autoSpaceDN w:val="0"/>
        <w:adjustRightInd w:val="0"/>
        <w:spacing w:line="288" w:lineRule="auto"/>
        <w:jc w:val="both"/>
        <w:textAlignment w:val="center"/>
        <w:rPr>
          <w:rFonts w:asciiTheme="majorHAnsi" w:hAnsiTheme="majorHAnsi" w:cstheme="majorHAnsi"/>
          <w:b/>
          <w:bCs/>
          <w:color w:val="0E1428"/>
          <w:sz w:val="18"/>
          <w:szCs w:val="18"/>
        </w:rPr>
      </w:pPr>
    </w:p>
    <w:p w14:paraId="4573F112" w14:textId="77777777" w:rsidR="00611197" w:rsidRPr="00611197" w:rsidRDefault="00611197" w:rsidP="00611197">
      <w:pPr>
        <w:pStyle w:val="Heading2A"/>
        <w:rPr>
          <w:rStyle w:val="Heading"/>
        </w:rPr>
      </w:pPr>
      <w:r w:rsidRPr="00611197">
        <w:rPr>
          <w:rStyle w:val="Heading"/>
        </w:rPr>
        <w:t>CASE STUDY</w:t>
      </w:r>
    </w:p>
    <w:p w14:paraId="0BF40EE4" w14:textId="77777777" w:rsidR="00611197" w:rsidRDefault="00611197" w:rsidP="00611197">
      <w:pPr>
        <w:pStyle w:val="HEADING3A"/>
        <w:rPr>
          <w:rStyle w:val="Heading"/>
          <w:rFonts w:asciiTheme="majorHAnsi" w:hAnsiTheme="majorHAnsi" w:cstheme="majorHAnsi"/>
          <w:color w:val="B7432A"/>
          <w:sz w:val="22"/>
          <w:szCs w:val="22"/>
        </w:rPr>
      </w:pPr>
      <w:r>
        <w:rPr>
          <w:rStyle w:val="Heading"/>
          <w:rFonts w:asciiTheme="majorHAnsi" w:hAnsiTheme="majorHAnsi" w:cstheme="majorHAnsi"/>
          <w:color w:val="B7432A"/>
          <w:sz w:val="22"/>
          <w:szCs w:val="22"/>
        </w:rPr>
        <w:t>KIRIBATI FACILITY</w:t>
      </w:r>
    </w:p>
    <w:p w14:paraId="2CEC0204" w14:textId="77777777" w:rsidR="00611197" w:rsidRDefault="00611197" w:rsidP="00611197">
      <w:pPr>
        <w:ind w:left="283"/>
        <w:rPr>
          <w:rStyle w:val="MajorHeading"/>
          <w:color w:val="EB8C30"/>
          <w:sz w:val="32"/>
          <w:szCs w:val="32"/>
        </w:rPr>
      </w:pPr>
    </w:p>
    <w:p w14:paraId="75162E57" w14:textId="77777777" w:rsidR="00611197" w:rsidRDefault="00611197" w:rsidP="00611197">
      <w:pPr>
        <w:pStyle w:val="Bodycopy"/>
        <w:ind w:left="283"/>
      </w:pPr>
      <w:r>
        <w:t xml:space="preserve">The Kiribati Facility continues the long-term Australian investment (since 2010) in the leadership and coordination capacity of the Government of Kiribati Ministry of Employment and Human Resources in the skills and employment sector.  </w:t>
      </w:r>
    </w:p>
    <w:p w14:paraId="6EFCA61B" w14:textId="77777777" w:rsidR="00611197" w:rsidRPr="003C58BC" w:rsidRDefault="00611197" w:rsidP="00611197">
      <w:pPr>
        <w:pStyle w:val="Bodycopy"/>
        <w:ind w:left="284" w:right="233"/>
        <w:jc w:val="both"/>
      </w:pPr>
    </w:p>
    <w:p w14:paraId="6D7D463A" w14:textId="77777777" w:rsidR="00611197" w:rsidRPr="003C58BC" w:rsidRDefault="00611197" w:rsidP="00611197">
      <w:pPr>
        <w:pStyle w:val="Bodycopy"/>
        <w:ind w:left="284" w:right="233"/>
        <w:jc w:val="both"/>
      </w:pPr>
      <w:r>
        <w:t>T</w:t>
      </w:r>
      <w:r w:rsidRPr="003C58BC">
        <w:t xml:space="preserve">he Support Unit </w:t>
      </w:r>
      <w:r>
        <w:t>utilized the annual in-country advisory visit to identify the key priority areas for collaboration with programs supporting the Kiribati education sector. This led to the SU facilitating the engagement of a technical advisor from the Climate Change Expert Panel to support the Kiribati Institute of Technology (KIT) in developing climate change and environment policies and curriculum modules</w:t>
      </w:r>
      <w:r w:rsidRPr="003C58BC">
        <w:t xml:space="preserve">. </w:t>
      </w:r>
      <w:r>
        <w:t xml:space="preserve">This included revision of KIT’s environment and climate change awareness action plan and implementation strategy, and development of a nine-module online climate change curriculum with a view to being a stepping-stone towards a full curriculum on climate change and environment in the future. </w:t>
      </w:r>
    </w:p>
    <w:p w14:paraId="79FC18FA" w14:textId="77777777" w:rsidR="00611197" w:rsidRPr="003C58BC" w:rsidRDefault="00611197" w:rsidP="00611197">
      <w:pPr>
        <w:pStyle w:val="Bodycopy"/>
        <w:ind w:left="284" w:right="233"/>
        <w:jc w:val="both"/>
      </w:pPr>
    </w:p>
    <w:p w14:paraId="57571D0A" w14:textId="77777777" w:rsidR="00611197" w:rsidRDefault="00611197" w:rsidP="00611197">
      <w:pPr>
        <w:pStyle w:val="Bodycopy"/>
        <w:ind w:left="284" w:right="233"/>
        <w:jc w:val="both"/>
      </w:pPr>
      <w:r>
        <w:t>It is too early to make a judgement on t</w:t>
      </w:r>
      <w:r w:rsidRPr="003C58BC">
        <w:t xml:space="preserve">he </w:t>
      </w:r>
      <w:r>
        <w:t xml:space="preserve">impact of the technical support on students, staff and the broader community involved with KIT. The curriculum was still in an approval phase within KIT at the time of interviewing, while the environment and climate change awareness plan </w:t>
      </w:r>
      <w:proofErr w:type="gramStart"/>
      <w:r>
        <w:t>was</w:t>
      </w:r>
      <w:proofErr w:type="gramEnd"/>
      <w:r>
        <w:t xml:space="preserve"> delayed in 2020 but will push ahead in 2021 with the identification of a climate change champion in KIT</w:t>
      </w:r>
      <w:r w:rsidRPr="003C58BC">
        <w:t>.</w:t>
      </w:r>
      <w:r w:rsidRPr="005462D1">
        <w:t xml:space="preserve"> </w:t>
      </w:r>
      <w:r>
        <w:t>KIT is positioning as a climate leader and knowledge broker within their community and recognize the opportunity to support students in validating their experiences of their local environment.</w:t>
      </w:r>
    </w:p>
    <w:p w14:paraId="4401E9F7" w14:textId="77777777" w:rsidR="00611197" w:rsidRDefault="00611197" w:rsidP="00611197">
      <w:pPr>
        <w:pStyle w:val="Bodycopy"/>
        <w:ind w:left="284" w:right="233"/>
        <w:jc w:val="both"/>
      </w:pPr>
    </w:p>
    <w:p w14:paraId="187980B3" w14:textId="77777777" w:rsidR="00611197" w:rsidRDefault="00611197" w:rsidP="00611197">
      <w:pPr>
        <w:pStyle w:val="Bodycopy"/>
        <w:ind w:left="284" w:right="233"/>
        <w:jc w:val="both"/>
      </w:pPr>
      <w:proofErr w:type="gramStart"/>
      <w:r>
        <w:t>Feedback from the Post, KIT, and technical advisor,</w:t>
      </w:r>
      <w:proofErr w:type="gramEnd"/>
      <w:r>
        <w:t xml:space="preserve"> indicate that the assistance and performance of the SU and Expert Panel were positive and of a high quality that met the needs of local stakeholders. Specific f</w:t>
      </w:r>
      <w:r w:rsidRPr="003C58BC">
        <w:t xml:space="preserve">eedback from </w:t>
      </w:r>
      <w:r>
        <w:t xml:space="preserve">KIT and the technical advisor did raise some issues with the consulting-based approach to support: KIT could not develop ongoing (sustainable) relationships with the technical advisor; contracting arrangements created inefficient communications between KIT, SU and technical advisor; the work appeared opportunistic and not linked with the broader sub-programs of the APCP ‘Partnership’; and there is still a lag in knowledge for advisors who require contextual support (local knowledge) to undertake the work. </w:t>
      </w:r>
    </w:p>
    <w:p w14:paraId="084B0FF3" w14:textId="77777777" w:rsidR="00611197" w:rsidRDefault="00611197" w:rsidP="00611197">
      <w:pPr>
        <w:pStyle w:val="Bodycopy"/>
        <w:ind w:left="284"/>
        <w:jc w:val="both"/>
      </w:pPr>
    </w:p>
    <w:p w14:paraId="42AF843D" w14:textId="77777777" w:rsidR="00611197" w:rsidRPr="003C58BC" w:rsidRDefault="00611197" w:rsidP="00611197">
      <w:pPr>
        <w:pStyle w:val="Bodycopy"/>
        <w:ind w:left="284"/>
        <w:jc w:val="both"/>
      </w:pPr>
      <w:r>
        <w:t xml:space="preserve">Stakeholders suggested the SU could be more proactive in supporting co- identification of opportunities for climate change and disasters integration and knowledge brokering in programs, recognizing many programs’ lack of climate expertise. A more sustainable approach to the technical support would be through strengthening PIC expertise in the SU and its Expert Panels, and </w:t>
      </w:r>
      <w:proofErr w:type="gramStart"/>
      <w:r>
        <w:t>in particular engaging</w:t>
      </w:r>
      <w:proofErr w:type="gramEnd"/>
      <w:r>
        <w:t xml:space="preserve"> indigenous people who can speak from lived experience about the impacts of climate change and disasters in each country.</w:t>
      </w:r>
    </w:p>
    <w:p w14:paraId="72C5CAB5" w14:textId="49C691E7" w:rsidR="000B4776" w:rsidRDefault="000B4776">
      <w:pPr>
        <w:rPr>
          <w:rFonts w:asciiTheme="majorHAnsi" w:hAnsiTheme="majorHAnsi" w:cstheme="majorHAnsi"/>
          <w:color w:val="0E1428"/>
          <w:sz w:val="18"/>
          <w:szCs w:val="18"/>
          <w:lang w:val="en-US"/>
        </w:rPr>
      </w:pPr>
      <w:r>
        <w:rPr>
          <w:rFonts w:asciiTheme="majorHAnsi" w:hAnsiTheme="majorHAnsi" w:cstheme="majorHAnsi"/>
        </w:rPr>
        <w:br w:type="page"/>
      </w:r>
    </w:p>
    <w:p w14:paraId="0102447D" w14:textId="77777777" w:rsidR="00AF6156" w:rsidRPr="00C14177" w:rsidRDefault="00C86735" w:rsidP="00611197">
      <w:pPr>
        <w:pStyle w:val="HEADING3A"/>
      </w:pPr>
      <w:bookmarkStart w:id="24" w:name="_Toc72104081"/>
      <w:r w:rsidRPr="00C14177">
        <w:t xml:space="preserve">OUTCOME </w:t>
      </w:r>
      <w:r w:rsidR="00AF6156" w:rsidRPr="00C14177">
        <w:t xml:space="preserve">3. </w:t>
      </w:r>
      <w:r w:rsidRPr="00C14177">
        <w:t>AUSTRALIA IS VALUED AS A CLIMATE CHANGE PARTNER IN THE PACIFIC</w:t>
      </w:r>
      <w:bookmarkEnd w:id="24"/>
    </w:p>
    <w:p w14:paraId="4F0A1C24" w14:textId="77777777" w:rsidR="00AF6156" w:rsidRDefault="00AF6156" w:rsidP="00AF6156">
      <w:pPr>
        <w:pStyle w:val="Subheading"/>
        <w:outlineLvl w:val="0"/>
        <w:rPr>
          <w:rFonts w:asciiTheme="majorHAnsi" w:hAnsiTheme="majorHAnsi" w:cstheme="majorHAnsi"/>
        </w:rPr>
      </w:pPr>
    </w:p>
    <w:p w14:paraId="51E67BC7" w14:textId="77777777" w:rsidR="00EF18B5" w:rsidRDefault="00916CD1"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916CD1">
        <w:rPr>
          <w:rFonts w:asciiTheme="majorHAnsi" w:hAnsiTheme="majorHAnsi" w:cstheme="majorHAnsi"/>
          <w:color w:val="00000F"/>
          <w:sz w:val="22"/>
          <w:szCs w:val="22"/>
        </w:rPr>
        <w:t xml:space="preserve">A key objective of the Pacific Step-Up and the Partnership is to enhance the reputation of Australia as a valued climate change partner.  </w:t>
      </w:r>
    </w:p>
    <w:p w14:paraId="12275969" w14:textId="77777777" w:rsidR="00EF18B5" w:rsidRDefault="00EF18B5"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A9DDC00" w14:textId="06E56830" w:rsidR="00EF18B5" w:rsidRDefault="00EF18B5" w:rsidP="00CB7E6B">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To a large extent,</w:t>
      </w:r>
      <w:r w:rsidR="00916CD1" w:rsidRPr="00916CD1">
        <w:rPr>
          <w:rFonts w:asciiTheme="majorHAnsi" w:hAnsiTheme="majorHAnsi" w:cstheme="majorHAnsi"/>
          <w:color w:val="00000F"/>
          <w:sz w:val="22"/>
          <w:szCs w:val="22"/>
        </w:rPr>
        <w:t xml:space="preserve"> implementing the sub-programs effectively</w:t>
      </w:r>
      <w:r>
        <w:rPr>
          <w:rFonts w:asciiTheme="majorHAnsi" w:hAnsiTheme="majorHAnsi" w:cstheme="majorHAnsi"/>
          <w:color w:val="00000F"/>
          <w:sz w:val="22"/>
          <w:szCs w:val="22"/>
        </w:rPr>
        <w:t xml:space="preserve"> and in a way which partners </w:t>
      </w:r>
      <w:r w:rsidR="00C31ECE">
        <w:rPr>
          <w:rFonts w:asciiTheme="majorHAnsi" w:hAnsiTheme="majorHAnsi" w:cstheme="majorHAnsi"/>
          <w:color w:val="00000F"/>
          <w:sz w:val="22"/>
          <w:szCs w:val="22"/>
        </w:rPr>
        <w:t xml:space="preserve">closely </w:t>
      </w:r>
      <w:r>
        <w:rPr>
          <w:rFonts w:asciiTheme="majorHAnsi" w:hAnsiTheme="majorHAnsi" w:cstheme="majorHAnsi"/>
          <w:color w:val="00000F"/>
          <w:sz w:val="22"/>
          <w:szCs w:val="22"/>
        </w:rPr>
        <w:t xml:space="preserve">with Pacific stakeholders </w:t>
      </w:r>
      <w:r w:rsidR="00916CD1" w:rsidRPr="00916CD1">
        <w:rPr>
          <w:rFonts w:asciiTheme="majorHAnsi" w:hAnsiTheme="majorHAnsi" w:cstheme="majorHAnsi"/>
          <w:color w:val="00000F"/>
          <w:sz w:val="22"/>
          <w:szCs w:val="22"/>
        </w:rPr>
        <w:t>will be the driving factor</w:t>
      </w:r>
      <w:r w:rsidR="00F06F8B">
        <w:rPr>
          <w:rFonts w:asciiTheme="majorHAnsi" w:hAnsiTheme="majorHAnsi" w:cstheme="majorHAnsi"/>
          <w:color w:val="00000F"/>
          <w:sz w:val="22"/>
          <w:szCs w:val="22"/>
        </w:rPr>
        <w:t>s</w:t>
      </w:r>
      <w:r w:rsidR="00916CD1" w:rsidRPr="00916CD1">
        <w:rPr>
          <w:rFonts w:asciiTheme="majorHAnsi" w:hAnsiTheme="majorHAnsi" w:cstheme="majorHAnsi"/>
          <w:color w:val="00000F"/>
          <w:sz w:val="22"/>
          <w:szCs w:val="22"/>
        </w:rPr>
        <w:t xml:space="preserve"> in enhancing Australia’s </w:t>
      </w:r>
      <w:r w:rsidR="0086745D">
        <w:rPr>
          <w:rFonts w:asciiTheme="majorHAnsi" w:hAnsiTheme="majorHAnsi" w:cstheme="majorHAnsi"/>
          <w:color w:val="00000F"/>
          <w:sz w:val="22"/>
          <w:szCs w:val="22"/>
        </w:rPr>
        <w:t>climate credentials</w:t>
      </w:r>
      <w:r>
        <w:rPr>
          <w:rFonts w:asciiTheme="majorHAnsi" w:hAnsiTheme="majorHAnsi" w:cstheme="majorHAnsi"/>
          <w:color w:val="00000F"/>
          <w:sz w:val="22"/>
          <w:szCs w:val="22"/>
        </w:rPr>
        <w:t xml:space="preserve">. </w:t>
      </w:r>
      <w:r w:rsidR="00CB7E6B">
        <w:rPr>
          <w:rFonts w:asciiTheme="majorHAnsi" w:hAnsiTheme="majorHAnsi" w:cstheme="majorHAnsi"/>
          <w:color w:val="00000F"/>
          <w:sz w:val="22"/>
          <w:szCs w:val="22"/>
        </w:rPr>
        <w:t xml:space="preserve">Increasing the involvement of Pacific expertise will enhance Australia’s standing in the Pacific as an enduring climate partner by </w:t>
      </w:r>
      <w:r w:rsidR="00CB7E6B" w:rsidRPr="003D3B47">
        <w:rPr>
          <w:rFonts w:asciiTheme="majorHAnsi" w:hAnsiTheme="majorHAnsi" w:cstheme="majorHAnsi"/>
          <w:color w:val="00000F"/>
          <w:sz w:val="22"/>
          <w:szCs w:val="22"/>
        </w:rPr>
        <w:t>embedding the work in the Pacific context and enhancing incorporation of</w:t>
      </w:r>
      <w:r w:rsidR="00CB7E6B">
        <w:rPr>
          <w:rFonts w:asciiTheme="majorHAnsi" w:hAnsiTheme="majorHAnsi" w:cstheme="majorHAnsi"/>
          <w:color w:val="00000F"/>
          <w:sz w:val="22"/>
          <w:szCs w:val="22"/>
        </w:rPr>
        <w:t xml:space="preserve"> local knowledge and practices</w:t>
      </w:r>
      <w:r w:rsidR="00CB7E6B" w:rsidRPr="001E1234">
        <w:rPr>
          <w:rFonts w:asciiTheme="majorHAnsi" w:hAnsiTheme="majorHAnsi" w:cstheme="majorHAnsi"/>
          <w:color w:val="00000F"/>
          <w:sz w:val="22"/>
          <w:szCs w:val="22"/>
        </w:rPr>
        <w:t>.</w:t>
      </w:r>
      <w:r w:rsidR="00C31ECE">
        <w:rPr>
          <w:rFonts w:asciiTheme="majorHAnsi" w:hAnsiTheme="majorHAnsi" w:cstheme="majorHAnsi"/>
          <w:color w:val="00000F"/>
          <w:sz w:val="22"/>
          <w:szCs w:val="22"/>
        </w:rPr>
        <w:t xml:space="preserve"> It is in Australia’s national interest to engage on this issue in a way that respects the value of Pacific expertise and knowledge.</w:t>
      </w:r>
    </w:p>
    <w:p w14:paraId="0F6E2606" w14:textId="0FB577EB" w:rsidR="001573CF" w:rsidRDefault="001573CF"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B9AB42C" w14:textId="77777777" w:rsidR="001C4A4E" w:rsidRPr="001C4A4E" w:rsidRDefault="001C4A4E" w:rsidP="001C4A4E">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1C4A4E">
        <w:rPr>
          <w:rFonts w:asciiTheme="majorHAnsi" w:hAnsiTheme="majorHAnsi" w:cstheme="majorHAnsi"/>
          <w:color w:val="00000F"/>
          <w:sz w:val="22"/>
          <w:szCs w:val="22"/>
        </w:rPr>
        <w:t>With Gov4Res having broad engagement in the Pacific region, and COSPPac2 having long standing relationships with Pacific stakeholders, it would stand to reason that these sub-programs would also play a key role in driving this outcome. However, discussions with Pacific stakeholders have highlighted the challenges around the Partnership identity, including the ability of the Gov4Res program, a multi-donor funded initiative managed by UNDP, to cut through as an Australian supported initiative.</w:t>
      </w:r>
    </w:p>
    <w:p w14:paraId="650DB115" w14:textId="77777777" w:rsidR="00EF18B5" w:rsidRDefault="00EF18B5"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594F5E99" w14:textId="77777777" w:rsidR="0086745D" w:rsidRPr="00916CD1" w:rsidRDefault="0086745D" w:rsidP="0086745D">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That said, </w:t>
      </w:r>
      <w:r w:rsidRPr="0086745D">
        <w:rPr>
          <w:rFonts w:asciiTheme="majorHAnsi" w:hAnsiTheme="majorHAnsi" w:cstheme="majorHAnsi"/>
          <w:b/>
          <w:bCs/>
          <w:color w:val="00000F"/>
          <w:sz w:val="22"/>
          <w:szCs w:val="22"/>
        </w:rPr>
        <w:t>c</w:t>
      </w:r>
      <w:r w:rsidR="00916CD1" w:rsidRPr="0086745D">
        <w:rPr>
          <w:rFonts w:asciiTheme="majorHAnsi" w:hAnsiTheme="majorHAnsi" w:cstheme="majorHAnsi"/>
          <w:b/>
          <w:bCs/>
          <w:color w:val="00000F"/>
          <w:sz w:val="22"/>
          <w:szCs w:val="22"/>
        </w:rPr>
        <w:t xml:space="preserve">ommunicating what the </w:t>
      </w:r>
      <w:r w:rsidR="00DE0A8A">
        <w:rPr>
          <w:rFonts w:asciiTheme="majorHAnsi" w:hAnsiTheme="majorHAnsi" w:cstheme="majorHAnsi"/>
          <w:b/>
          <w:bCs/>
          <w:color w:val="00000F"/>
          <w:sz w:val="22"/>
          <w:szCs w:val="22"/>
        </w:rPr>
        <w:t xml:space="preserve">Australian Government </w:t>
      </w:r>
      <w:r w:rsidR="00916CD1" w:rsidRPr="0086745D">
        <w:rPr>
          <w:rFonts w:asciiTheme="majorHAnsi" w:hAnsiTheme="majorHAnsi" w:cstheme="majorHAnsi"/>
          <w:b/>
          <w:bCs/>
          <w:color w:val="00000F"/>
          <w:sz w:val="22"/>
          <w:szCs w:val="22"/>
        </w:rPr>
        <w:t>is achieving</w:t>
      </w:r>
      <w:r w:rsidRPr="0086745D">
        <w:rPr>
          <w:rFonts w:asciiTheme="majorHAnsi" w:hAnsiTheme="majorHAnsi" w:cstheme="majorHAnsi"/>
          <w:b/>
          <w:bCs/>
          <w:color w:val="00000F"/>
          <w:sz w:val="22"/>
          <w:szCs w:val="22"/>
        </w:rPr>
        <w:t xml:space="preserve"> has an</w:t>
      </w:r>
      <w:r w:rsidR="00916CD1" w:rsidRPr="0086745D">
        <w:rPr>
          <w:rFonts w:asciiTheme="majorHAnsi" w:hAnsiTheme="majorHAnsi" w:cstheme="majorHAnsi"/>
          <w:b/>
          <w:bCs/>
          <w:color w:val="00000F"/>
          <w:sz w:val="22"/>
          <w:szCs w:val="22"/>
        </w:rPr>
        <w:t xml:space="preserve"> important role</w:t>
      </w:r>
      <w:r w:rsidRPr="0086745D">
        <w:rPr>
          <w:rFonts w:asciiTheme="majorHAnsi" w:hAnsiTheme="majorHAnsi" w:cstheme="majorHAnsi"/>
          <w:b/>
          <w:bCs/>
          <w:color w:val="00000F"/>
          <w:sz w:val="22"/>
          <w:szCs w:val="22"/>
        </w:rPr>
        <w:t xml:space="preserve"> to play</w:t>
      </w:r>
      <w:r w:rsidR="00916CD1" w:rsidRPr="0086745D">
        <w:rPr>
          <w:rFonts w:asciiTheme="majorHAnsi" w:hAnsiTheme="majorHAnsi" w:cstheme="majorHAnsi"/>
          <w:b/>
          <w:bCs/>
          <w:color w:val="00000F"/>
          <w:sz w:val="22"/>
          <w:szCs w:val="22"/>
        </w:rPr>
        <w:t xml:space="preserve">. </w:t>
      </w:r>
      <w:r w:rsidR="00EF18B5">
        <w:rPr>
          <w:rFonts w:asciiTheme="majorHAnsi" w:hAnsiTheme="majorHAnsi" w:cstheme="majorHAnsi"/>
          <w:color w:val="00000F"/>
          <w:sz w:val="22"/>
          <w:szCs w:val="22"/>
        </w:rPr>
        <w:t xml:space="preserve"> </w:t>
      </w:r>
      <w:r w:rsidR="00916CD1" w:rsidRPr="00916CD1">
        <w:rPr>
          <w:rFonts w:asciiTheme="majorHAnsi" w:hAnsiTheme="majorHAnsi" w:cstheme="majorHAnsi"/>
          <w:color w:val="00000F"/>
          <w:sz w:val="22"/>
          <w:szCs w:val="22"/>
        </w:rPr>
        <w:t xml:space="preserve">Communications is also central </w:t>
      </w:r>
      <w:r>
        <w:rPr>
          <w:rFonts w:asciiTheme="majorHAnsi" w:hAnsiTheme="majorHAnsi" w:cstheme="majorHAnsi"/>
          <w:color w:val="00000F"/>
          <w:sz w:val="22"/>
          <w:szCs w:val="22"/>
        </w:rPr>
        <w:t xml:space="preserve">to </w:t>
      </w:r>
      <w:r w:rsidR="00916CD1" w:rsidRPr="00916CD1">
        <w:rPr>
          <w:rFonts w:asciiTheme="majorHAnsi" w:hAnsiTheme="majorHAnsi" w:cstheme="majorHAnsi"/>
          <w:color w:val="00000F"/>
          <w:sz w:val="22"/>
          <w:szCs w:val="22"/>
        </w:rPr>
        <w:t>achieving other Partnership and sub-program objectives, particularly in informing governments and communities on climate and disaster risk.</w:t>
      </w:r>
      <w:r>
        <w:rPr>
          <w:rFonts w:asciiTheme="majorHAnsi" w:hAnsiTheme="majorHAnsi" w:cstheme="majorHAnsi"/>
          <w:color w:val="00000F"/>
          <w:sz w:val="22"/>
          <w:szCs w:val="22"/>
        </w:rPr>
        <w:t xml:space="preserve"> </w:t>
      </w:r>
      <w:r w:rsidRPr="00916CD1">
        <w:rPr>
          <w:rFonts w:asciiTheme="majorHAnsi" w:hAnsiTheme="majorHAnsi" w:cstheme="majorHAnsi"/>
          <w:color w:val="00000F"/>
          <w:sz w:val="22"/>
          <w:szCs w:val="22"/>
        </w:rPr>
        <w:t xml:space="preserve">The Partnership has a communications plan and has generated and disseminated a significant number of products, including country factsheets, </w:t>
      </w:r>
      <w:r w:rsidR="00540721" w:rsidRPr="00916CD1">
        <w:rPr>
          <w:rFonts w:asciiTheme="majorHAnsi" w:hAnsiTheme="majorHAnsi" w:cstheme="majorHAnsi"/>
          <w:color w:val="00000F"/>
          <w:sz w:val="22"/>
          <w:szCs w:val="22"/>
        </w:rPr>
        <w:t>Postcards,</w:t>
      </w:r>
      <w:r w:rsidRPr="00916CD1">
        <w:rPr>
          <w:rFonts w:asciiTheme="majorHAnsi" w:hAnsiTheme="majorHAnsi" w:cstheme="majorHAnsi"/>
          <w:color w:val="00000F"/>
          <w:sz w:val="22"/>
          <w:szCs w:val="22"/>
        </w:rPr>
        <w:t xml:space="preserve"> and the Climate</w:t>
      </w:r>
      <w:r w:rsidR="00B32337">
        <w:rPr>
          <w:rFonts w:asciiTheme="majorHAnsi" w:hAnsiTheme="majorHAnsi" w:cstheme="majorHAnsi"/>
          <w:color w:val="00000F"/>
          <w:sz w:val="22"/>
          <w:szCs w:val="22"/>
        </w:rPr>
        <w:t xml:space="preserve"> </w:t>
      </w:r>
      <w:r w:rsidRPr="00916CD1">
        <w:rPr>
          <w:rFonts w:asciiTheme="majorHAnsi" w:hAnsiTheme="majorHAnsi" w:cstheme="majorHAnsi"/>
          <w:color w:val="00000F"/>
          <w:sz w:val="22"/>
          <w:szCs w:val="22"/>
        </w:rPr>
        <w:t>Wise website.  These products serve numerous purposes and audiences.</w:t>
      </w:r>
      <w:r w:rsidR="0042515E">
        <w:rPr>
          <w:rFonts w:asciiTheme="majorHAnsi" w:hAnsiTheme="majorHAnsi" w:cstheme="majorHAnsi"/>
          <w:color w:val="00000F"/>
          <w:sz w:val="22"/>
          <w:szCs w:val="22"/>
        </w:rPr>
        <w:t xml:space="preserve"> Following requests from DFAT, t</w:t>
      </w:r>
      <w:r w:rsidRPr="00916CD1">
        <w:rPr>
          <w:rFonts w:asciiTheme="majorHAnsi" w:hAnsiTheme="majorHAnsi" w:cstheme="majorHAnsi"/>
          <w:color w:val="00000F"/>
          <w:sz w:val="22"/>
          <w:szCs w:val="22"/>
        </w:rPr>
        <w:t xml:space="preserve">he SU </w:t>
      </w:r>
      <w:r w:rsidR="0042515E">
        <w:rPr>
          <w:rFonts w:asciiTheme="majorHAnsi" w:hAnsiTheme="majorHAnsi" w:cstheme="majorHAnsi"/>
          <w:color w:val="00000F"/>
          <w:sz w:val="22"/>
          <w:szCs w:val="22"/>
        </w:rPr>
        <w:t xml:space="preserve">now </w:t>
      </w:r>
      <w:r w:rsidRPr="00916CD1">
        <w:rPr>
          <w:rFonts w:asciiTheme="majorHAnsi" w:hAnsiTheme="majorHAnsi" w:cstheme="majorHAnsi"/>
          <w:color w:val="00000F"/>
          <w:sz w:val="22"/>
          <w:szCs w:val="22"/>
        </w:rPr>
        <w:t>prepares a calendar of upcoming events in which communication products are attached.</w:t>
      </w:r>
    </w:p>
    <w:p w14:paraId="54ED09F8" w14:textId="77777777" w:rsidR="00916CD1" w:rsidRPr="00916CD1" w:rsidRDefault="00916CD1"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CE5D583" w14:textId="425DA369" w:rsidR="00434564" w:rsidRPr="00434564" w:rsidRDefault="00916CD1" w:rsidP="00434564">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916CD1">
        <w:rPr>
          <w:rFonts w:asciiTheme="majorHAnsi" w:hAnsiTheme="majorHAnsi" w:cstheme="majorHAnsi"/>
          <w:color w:val="00000F"/>
          <w:sz w:val="22"/>
          <w:szCs w:val="22"/>
        </w:rPr>
        <w:t xml:space="preserve">Review discussions suggest that, at the operational level, the APCP is promoting the perception of Australia as a valued partner on climate change. </w:t>
      </w:r>
      <w:r w:rsidRPr="0086745D">
        <w:rPr>
          <w:rFonts w:asciiTheme="majorHAnsi" w:hAnsiTheme="majorHAnsi" w:cstheme="majorHAnsi"/>
          <w:b/>
          <w:bCs/>
          <w:color w:val="00000F"/>
          <w:sz w:val="22"/>
          <w:szCs w:val="22"/>
        </w:rPr>
        <w:t>It is difficult to know, however, whether this is turning the dial on Pacific perceptions more broadly.</w:t>
      </w:r>
      <w:r w:rsidRPr="00916CD1">
        <w:rPr>
          <w:rFonts w:asciiTheme="majorHAnsi" w:hAnsiTheme="majorHAnsi" w:cstheme="majorHAnsi"/>
          <w:color w:val="00000F"/>
          <w:sz w:val="22"/>
          <w:szCs w:val="22"/>
        </w:rPr>
        <w:t xml:space="preserve"> The review did not have the time or resources to critically assess this perception or how widely it is held, or how that may have changed because of the Partnership.</w:t>
      </w:r>
      <w:r w:rsidR="000A2221">
        <w:rPr>
          <w:rFonts w:asciiTheme="majorHAnsi" w:hAnsiTheme="majorHAnsi" w:cstheme="majorHAnsi"/>
          <w:color w:val="00000F"/>
          <w:sz w:val="22"/>
          <w:szCs w:val="22"/>
        </w:rPr>
        <w:t xml:space="preserve"> </w:t>
      </w:r>
      <w:r w:rsidRPr="00916CD1">
        <w:rPr>
          <w:rFonts w:asciiTheme="majorHAnsi" w:hAnsiTheme="majorHAnsi" w:cstheme="majorHAnsi"/>
          <w:color w:val="00000F"/>
          <w:sz w:val="22"/>
          <w:szCs w:val="22"/>
        </w:rPr>
        <w:t xml:space="preserve"> </w:t>
      </w:r>
      <w:r w:rsidR="00273E60">
        <w:rPr>
          <w:rFonts w:asciiTheme="majorHAnsi" w:hAnsiTheme="majorHAnsi" w:cstheme="majorHAnsi"/>
          <w:color w:val="00000F"/>
          <w:sz w:val="22"/>
          <w:szCs w:val="22"/>
        </w:rPr>
        <w:t xml:space="preserve">The framing of this outcome for the Partnership has also not been clearly articulated through the MEL Plan which also leaves </w:t>
      </w:r>
      <w:r w:rsidR="000A2221">
        <w:rPr>
          <w:rFonts w:asciiTheme="majorHAnsi" w:hAnsiTheme="majorHAnsi" w:cstheme="majorHAnsi"/>
          <w:color w:val="00000F"/>
          <w:sz w:val="22"/>
          <w:szCs w:val="22"/>
        </w:rPr>
        <w:t xml:space="preserve">open </w:t>
      </w:r>
      <w:r w:rsidR="00273E60">
        <w:rPr>
          <w:rFonts w:asciiTheme="majorHAnsi" w:hAnsiTheme="majorHAnsi" w:cstheme="majorHAnsi"/>
          <w:color w:val="00000F"/>
          <w:sz w:val="22"/>
          <w:szCs w:val="22"/>
        </w:rPr>
        <w:t>the question of whose perceptions in the Pacific the Partnership is aiming to influence</w:t>
      </w:r>
      <w:r w:rsidR="000A2221">
        <w:rPr>
          <w:rFonts w:asciiTheme="majorHAnsi" w:hAnsiTheme="majorHAnsi" w:cstheme="majorHAnsi"/>
          <w:color w:val="00000F"/>
          <w:sz w:val="22"/>
          <w:szCs w:val="22"/>
        </w:rPr>
        <w:t>.</w:t>
      </w:r>
    </w:p>
    <w:p w14:paraId="4D834B03" w14:textId="77777777" w:rsidR="00916CD1" w:rsidRPr="00916CD1" w:rsidRDefault="00916CD1"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0E19BF7" w14:textId="77777777" w:rsidR="00916CD1" w:rsidRPr="00916CD1" w:rsidRDefault="00916CD1"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916CD1">
        <w:rPr>
          <w:rFonts w:asciiTheme="majorHAnsi" w:hAnsiTheme="majorHAnsi" w:cstheme="majorHAnsi"/>
          <w:color w:val="00000F"/>
          <w:sz w:val="22"/>
          <w:szCs w:val="22"/>
        </w:rPr>
        <w:t xml:space="preserve">Discussions during the review revealed some uncertainty on the intended audiences of communication products.  The Postcard series, for instance, was seen </w:t>
      </w:r>
      <w:r w:rsidR="00967CDA">
        <w:rPr>
          <w:rFonts w:asciiTheme="majorHAnsi" w:hAnsiTheme="majorHAnsi" w:cstheme="majorHAnsi"/>
          <w:color w:val="00000F"/>
          <w:sz w:val="22"/>
          <w:szCs w:val="22"/>
        </w:rPr>
        <w:t xml:space="preserve">by some </w:t>
      </w:r>
      <w:r w:rsidRPr="00916CD1">
        <w:rPr>
          <w:rFonts w:asciiTheme="majorHAnsi" w:hAnsiTheme="majorHAnsi" w:cstheme="majorHAnsi"/>
          <w:color w:val="00000F"/>
          <w:sz w:val="22"/>
          <w:szCs w:val="22"/>
        </w:rPr>
        <w:t>as useful for DFAT briefings, but of no real value to the authors who often received no feedback or recognition of their contributions.  The Climate</w:t>
      </w:r>
      <w:r w:rsidR="00D91379">
        <w:rPr>
          <w:rFonts w:asciiTheme="majorHAnsi" w:hAnsiTheme="majorHAnsi" w:cstheme="majorHAnsi"/>
          <w:color w:val="00000F"/>
          <w:sz w:val="22"/>
          <w:szCs w:val="22"/>
        </w:rPr>
        <w:t xml:space="preserve"> </w:t>
      </w:r>
      <w:r w:rsidRPr="00916CD1">
        <w:rPr>
          <w:rFonts w:asciiTheme="majorHAnsi" w:hAnsiTheme="majorHAnsi" w:cstheme="majorHAnsi"/>
          <w:color w:val="00000F"/>
          <w:sz w:val="22"/>
          <w:szCs w:val="22"/>
        </w:rPr>
        <w:t xml:space="preserve">Wise website contains extensive information on the Partnership, its activities and climate science but access is limited.  Some Posts commented that more country/context specific support and implementation strategies are needed to run effective communication campaigns. Questions were raised as to whether the breadth of communication products should be more focused in order to deliver greater impact. </w:t>
      </w:r>
    </w:p>
    <w:p w14:paraId="06A8A559" w14:textId="2D9E9258" w:rsidR="00916CD1" w:rsidRPr="006E3576" w:rsidRDefault="000A2221"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b/>
          <w:bCs/>
          <w:color w:val="00000F"/>
          <w:sz w:val="22"/>
          <w:szCs w:val="22"/>
        </w:rPr>
        <w:t>E</w:t>
      </w:r>
      <w:r w:rsidR="00916CD1" w:rsidRPr="00D7329F">
        <w:rPr>
          <w:rFonts w:asciiTheme="majorHAnsi" w:hAnsiTheme="majorHAnsi" w:cstheme="majorHAnsi"/>
          <w:b/>
          <w:bCs/>
          <w:color w:val="00000F"/>
          <w:sz w:val="22"/>
          <w:szCs w:val="22"/>
        </w:rPr>
        <w:t>fforts to communicate key messages have been stymied by</w:t>
      </w:r>
      <w:r w:rsidR="00DE0A8A" w:rsidRPr="00D7329F">
        <w:rPr>
          <w:rFonts w:asciiTheme="majorHAnsi" w:hAnsiTheme="majorHAnsi" w:cstheme="majorHAnsi"/>
          <w:b/>
          <w:bCs/>
          <w:color w:val="00000F"/>
          <w:sz w:val="22"/>
          <w:szCs w:val="22"/>
        </w:rPr>
        <w:t xml:space="preserve"> draft material </w:t>
      </w:r>
      <w:r w:rsidR="00517C83">
        <w:rPr>
          <w:rFonts w:asciiTheme="majorHAnsi" w:hAnsiTheme="majorHAnsi" w:cstheme="majorHAnsi"/>
          <w:b/>
          <w:bCs/>
          <w:color w:val="00000F"/>
          <w:sz w:val="22"/>
          <w:szCs w:val="22"/>
        </w:rPr>
        <w:t>not linking in with relevant policy contexts</w:t>
      </w:r>
      <w:r w:rsidR="00DE0A8A" w:rsidRPr="00D7329F">
        <w:rPr>
          <w:rFonts w:asciiTheme="majorHAnsi" w:hAnsiTheme="majorHAnsi" w:cstheme="majorHAnsi"/>
          <w:b/>
          <w:bCs/>
          <w:color w:val="00000F"/>
          <w:sz w:val="22"/>
          <w:szCs w:val="22"/>
        </w:rPr>
        <w:t xml:space="preserve">, </w:t>
      </w:r>
      <w:r w:rsidR="00916CD1" w:rsidRPr="00D7329F">
        <w:rPr>
          <w:rFonts w:asciiTheme="majorHAnsi" w:hAnsiTheme="majorHAnsi" w:cstheme="majorHAnsi"/>
          <w:b/>
          <w:bCs/>
          <w:color w:val="00000F"/>
          <w:sz w:val="22"/>
          <w:szCs w:val="22"/>
        </w:rPr>
        <w:t>slow clearance processes</w:t>
      </w:r>
      <w:r w:rsidR="00916CD1" w:rsidRPr="00D7329F">
        <w:rPr>
          <w:rFonts w:asciiTheme="majorHAnsi" w:hAnsiTheme="majorHAnsi" w:cstheme="majorHAnsi"/>
          <w:color w:val="00000F"/>
          <w:sz w:val="22"/>
          <w:szCs w:val="22"/>
        </w:rPr>
        <w:t xml:space="preserve"> </w:t>
      </w:r>
      <w:r w:rsidR="00916CD1" w:rsidRPr="00D7329F">
        <w:rPr>
          <w:rFonts w:asciiTheme="majorHAnsi" w:hAnsiTheme="majorHAnsi" w:cstheme="majorHAnsi"/>
          <w:b/>
          <w:bCs/>
          <w:color w:val="00000F"/>
          <w:sz w:val="22"/>
          <w:szCs w:val="22"/>
        </w:rPr>
        <w:t>and an unwillingness by DFAT to use dissemination platforms outside of those run by DFAT</w:t>
      </w:r>
      <w:r w:rsidR="00916CD1" w:rsidRPr="00D7329F">
        <w:rPr>
          <w:rFonts w:asciiTheme="majorHAnsi" w:hAnsiTheme="majorHAnsi" w:cstheme="majorHAnsi"/>
          <w:color w:val="00000F"/>
          <w:sz w:val="22"/>
          <w:szCs w:val="22"/>
        </w:rPr>
        <w:t>.</w:t>
      </w:r>
      <w:r w:rsidR="00F06F8B" w:rsidRPr="00D7329F">
        <w:rPr>
          <w:rFonts w:asciiTheme="majorHAnsi" w:hAnsiTheme="majorHAnsi" w:cstheme="majorHAnsi"/>
          <w:color w:val="00000F"/>
          <w:sz w:val="22"/>
          <w:szCs w:val="22"/>
        </w:rPr>
        <w:t xml:space="preserve"> </w:t>
      </w:r>
      <w:r w:rsidR="00916CD1" w:rsidRPr="00D7329F">
        <w:rPr>
          <w:rFonts w:asciiTheme="majorHAnsi" w:hAnsiTheme="majorHAnsi" w:cstheme="majorHAnsi"/>
          <w:color w:val="00000F"/>
          <w:sz w:val="22"/>
          <w:szCs w:val="22"/>
        </w:rPr>
        <w:t xml:space="preserve"> Th</w:t>
      </w:r>
      <w:r w:rsidR="00F06F8B" w:rsidRPr="00D7329F">
        <w:rPr>
          <w:rFonts w:asciiTheme="majorHAnsi" w:hAnsiTheme="majorHAnsi" w:cstheme="majorHAnsi"/>
          <w:color w:val="00000F"/>
          <w:sz w:val="22"/>
          <w:szCs w:val="22"/>
        </w:rPr>
        <w:t>at DFAT takes a cautious approach to communications</w:t>
      </w:r>
      <w:r w:rsidR="00916CD1" w:rsidRPr="00D7329F">
        <w:rPr>
          <w:rFonts w:asciiTheme="majorHAnsi" w:hAnsiTheme="majorHAnsi" w:cstheme="majorHAnsi"/>
          <w:color w:val="00000F"/>
          <w:sz w:val="22"/>
          <w:szCs w:val="22"/>
        </w:rPr>
        <w:t xml:space="preserve"> is </w:t>
      </w:r>
      <w:r w:rsidR="0086745D" w:rsidRPr="00D7329F">
        <w:rPr>
          <w:rFonts w:asciiTheme="majorHAnsi" w:hAnsiTheme="majorHAnsi" w:cstheme="majorHAnsi"/>
          <w:color w:val="00000F"/>
          <w:sz w:val="22"/>
          <w:szCs w:val="22"/>
        </w:rPr>
        <w:t>understandable</w:t>
      </w:r>
      <w:r w:rsidR="00916CD1" w:rsidRPr="00D7329F">
        <w:rPr>
          <w:rFonts w:asciiTheme="majorHAnsi" w:hAnsiTheme="majorHAnsi" w:cstheme="majorHAnsi"/>
          <w:color w:val="00000F"/>
          <w:sz w:val="22"/>
          <w:szCs w:val="22"/>
        </w:rPr>
        <w:t xml:space="preserve"> given the high political profile of climate change in Australia’s relations with the Pacific.  This </w:t>
      </w:r>
      <w:r w:rsidR="00F06F8B" w:rsidRPr="00D7329F">
        <w:rPr>
          <w:rFonts w:asciiTheme="majorHAnsi" w:hAnsiTheme="majorHAnsi" w:cstheme="majorHAnsi"/>
          <w:color w:val="00000F"/>
          <w:sz w:val="22"/>
          <w:szCs w:val="22"/>
        </w:rPr>
        <w:t>risk-aversion</w:t>
      </w:r>
      <w:r w:rsidR="0086745D" w:rsidRPr="00D7329F">
        <w:rPr>
          <w:rFonts w:asciiTheme="majorHAnsi" w:hAnsiTheme="majorHAnsi" w:cstheme="majorHAnsi"/>
          <w:color w:val="00000F"/>
          <w:sz w:val="22"/>
          <w:szCs w:val="22"/>
        </w:rPr>
        <w:t xml:space="preserve"> however </w:t>
      </w:r>
      <w:r w:rsidR="00916CD1" w:rsidRPr="00D7329F">
        <w:rPr>
          <w:rFonts w:asciiTheme="majorHAnsi" w:hAnsiTheme="majorHAnsi" w:cstheme="majorHAnsi"/>
          <w:color w:val="00000F"/>
          <w:sz w:val="22"/>
          <w:szCs w:val="22"/>
        </w:rPr>
        <w:t xml:space="preserve">comes at a cost as the SU is unable to fully utilise the </w:t>
      </w:r>
      <w:r w:rsidR="00556B57">
        <w:rPr>
          <w:rFonts w:asciiTheme="majorHAnsi" w:hAnsiTheme="majorHAnsi" w:cstheme="majorHAnsi"/>
          <w:color w:val="00000F"/>
          <w:sz w:val="22"/>
          <w:szCs w:val="22"/>
        </w:rPr>
        <w:t>wealth of stories and content,</w:t>
      </w:r>
      <w:r w:rsidR="00B123E7">
        <w:rPr>
          <w:rFonts w:asciiTheme="majorHAnsi" w:hAnsiTheme="majorHAnsi" w:cstheme="majorHAnsi"/>
          <w:color w:val="00000F"/>
          <w:sz w:val="22"/>
          <w:szCs w:val="22"/>
        </w:rPr>
        <w:t xml:space="preserve"> </w:t>
      </w:r>
      <w:r w:rsidR="00556B57">
        <w:rPr>
          <w:rFonts w:asciiTheme="majorHAnsi" w:hAnsiTheme="majorHAnsi" w:cstheme="majorHAnsi"/>
          <w:color w:val="00000F"/>
          <w:sz w:val="22"/>
          <w:szCs w:val="22"/>
        </w:rPr>
        <w:t xml:space="preserve">and </w:t>
      </w:r>
      <w:r w:rsidR="00916CD1" w:rsidRPr="00D7329F">
        <w:rPr>
          <w:rFonts w:asciiTheme="majorHAnsi" w:hAnsiTheme="majorHAnsi" w:cstheme="majorHAnsi"/>
          <w:color w:val="00000F"/>
          <w:sz w:val="22"/>
          <w:szCs w:val="22"/>
        </w:rPr>
        <w:t xml:space="preserve">communication tools at its disposal to promote Australia’s </w:t>
      </w:r>
      <w:r w:rsidR="0086745D" w:rsidRPr="00D7329F">
        <w:rPr>
          <w:rFonts w:asciiTheme="majorHAnsi" w:hAnsiTheme="majorHAnsi" w:cstheme="majorHAnsi"/>
          <w:color w:val="00000F"/>
          <w:sz w:val="22"/>
          <w:szCs w:val="22"/>
        </w:rPr>
        <w:t>achievements and support.</w:t>
      </w:r>
      <w:r w:rsidR="00343CCD">
        <w:rPr>
          <w:rFonts w:asciiTheme="majorHAnsi" w:hAnsiTheme="majorHAnsi" w:cstheme="majorHAnsi"/>
          <w:color w:val="00000F"/>
          <w:sz w:val="22"/>
          <w:szCs w:val="22"/>
        </w:rPr>
        <w:t xml:space="preserve"> </w:t>
      </w:r>
      <w:r w:rsidR="00824880">
        <w:rPr>
          <w:rFonts w:asciiTheme="majorHAnsi" w:hAnsiTheme="majorHAnsi" w:cstheme="majorHAnsi"/>
          <w:color w:val="00000F"/>
          <w:sz w:val="22"/>
          <w:szCs w:val="22"/>
        </w:rPr>
        <w:t>Issues around DFAT’s clearance processes together with i</w:t>
      </w:r>
      <w:r w:rsidR="00DE0A8A" w:rsidRPr="00D7329F">
        <w:rPr>
          <w:rFonts w:asciiTheme="majorHAnsi" w:hAnsiTheme="majorHAnsi" w:cstheme="majorHAnsi"/>
          <w:color w:val="00000F"/>
          <w:sz w:val="22"/>
          <w:szCs w:val="22"/>
        </w:rPr>
        <w:t xml:space="preserve">nadequate staff resourcing and direction on communications efforts </w:t>
      </w:r>
      <w:r w:rsidR="007244A6" w:rsidRPr="00D7329F">
        <w:rPr>
          <w:rFonts w:asciiTheme="majorHAnsi" w:hAnsiTheme="majorHAnsi" w:cstheme="majorHAnsi"/>
          <w:color w:val="00000F"/>
          <w:sz w:val="22"/>
          <w:szCs w:val="22"/>
        </w:rPr>
        <w:t xml:space="preserve">within the Support Unit </w:t>
      </w:r>
      <w:r w:rsidR="00916CD1" w:rsidRPr="00D7329F">
        <w:rPr>
          <w:rFonts w:asciiTheme="majorHAnsi" w:hAnsiTheme="majorHAnsi" w:cstheme="majorHAnsi"/>
          <w:color w:val="00000F"/>
          <w:sz w:val="22"/>
          <w:szCs w:val="22"/>
        </w:rPr>
        <w:t>has meant that, at times, the communication needs of Posts have not been met</w:t>
      </w:r>
      <w:r w:rsidR="00824880">
        <w:rPr>
          <w:rFonts w:asciiTheme="majorHAnsi" w:hAnsiTheme="majorHAnsi" w:cstheme="majorHAnsi"/>
          <w:color w:val="00000F"/>
          <w:sz w:val="22"/>
          <w:szCs w:val="22"/>
        </w:rPr>
        <w:t>.</w:t>
      </w:r>
      <w:r w:rsidR="00916CD1" w:rsidRPr="00D7329F">
        <w:rPr>
          <w:rFonts w:asciiTheme="majorHAnsi" w:hAnsiTheme="majorHAnsi" w:cstheme="majorHAnsi"/>
          <w:color w:val="00000F"/>
          <w:sz w:val="22"/>
          <w:szCs w:val="22"/>
        </w:rPr>
        <w:t xml:space="preserve"> and effort has been wasted in producing material that has not been used.</w:t>
      </w:r>
    </w:p>
    <w:p w14:paraId="0EDBF2A5" w14:textId="77777777" w:rsidR="00916CD1" w:rsidRPr="005C7C19" w:rsidRDefault="00916CD1"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26F856F8" w14:textId="7E34B7AA" w:rsidR="00916CD1" w:rsidRPr="00916CD1" w:rsidRDefault="00916CD1"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C7C19">
        <w:rPr>
          <w:rFonts w:asciiTheme="majorHAnsi" w:hAnsiTheme="majorHAnsi" w:cstheme="majorHAnsi"/>
          <w:color w:val="00000F"/>
          <w:sz w:val="22"/>
          <w:szCs w:val="22"/>
        </w:rPr>
        <w:t>Further, there appears to be some</w:t>
      </w:r>
      <w:r w:rsidR="0077015C" w:rsidRPr="005C7C19">
        <w:rPr>
          <w:rFonts w:asciiTheme="majorHAnsi" w:hAnsiTheme="majorHAnsi" w:cstheme="majorBidi"/>
          <w:color w:val="00000F"/>
          <w:sz w:val="22"/>
          <w:szCs w:val="22"/>
        </w:rPr>
        <w:t xml:space="preserve"> </w:t>
      </w:r>
      <w:r w:rsidR="0077015C" w:rsidRPr="005C7C19">
        <w:rPr>
          <w:rFonts w:asciiTheme="majorHAnsi" w:hAnsiTheme="majorHAnsi" w:cstheme="majorHAnsi"/>
          <w:color w:val="00000F"/>
          <w:sz w:val="22"/>
          <w:szCs w:val="22"/>
        </w:rPr>
        <w:t xml:space="preserve">lack of clarity </w:t>
      </w:r>
      <w:r w:rsidRPr="005C7C19">
        <w:rPr>
          <w:rFonts w:asciiTheme="majorHAnsi" w:hAnsiTheme="majorHAnsi" w:cstheme="majorHAnsi"/>
          <w:color w:val="00000F"/>
          <w:sz w:val="22"/>
          <w:szCs w:val="22"/>
        </w:rPr>
        <w:t>around the roles and responsibilities of the SU and DFAT</w:t>
      </w:r>
      <w:r w:rsidR="00B123E7">
        <w:rPr>
          <w:rFonts w:asciiTheme="majorHAnsi" w:hAnsiTheme="majorHAnsi" w:cstheme="majorHAnsi"/>
          <w:color w:val="00000F"/>
          <w:sz w:val="22"/>
          <w:szCs w:val="22"/>
        </w:rPr>
        <w:t xml:space="preserve"> at Post and DFAT Canberra</w:t>
      </w:r>
      <w:r w:rsidRPr="005C7C19">
        <w:rPr>
          <w:rFonts w:asciiTheme="majorHAnsi" w:hAnsiTheme="majorHAnsi" w:cstheme="majorHAnsi"/>
          <w:color w:val="00000F"/>
          <w:sz w:val="22"/>
          <w:szCs w:val="22"/>
        </w:rPr>
        <w:t xml:space="preserve">.  In some instances, the SU’s engagement in </w:t>
      </w:r>
      <w:r w:rsidR="005C5E1D">
        <w:rPr>
          <w:rFonts w:asciiTheme="majorHAnsi" w:hAnsiTheme="majorHAnsi" w:cstheme="majorHAnsi"/>
          <w:color w:val="00000F"/>
          <w:sz w:val="22"/>
          <w:szCs w:val="22"/>
        </w:rPr>
        <w:t xml:space="preserve">policy </w:t>
      </w:r>
      <w:r w:rsidRPr="005C7C19">
        <w:rPr>
          <w:rFonts w:asciiTheme="majorHAnsi" w:hAnsiTheme="majorHAnsi" w:cstheme="majorHAnsi"/>
          <w:color w:val="00000F"/>
          <w:sz w:val="22"/>
          <w:szCs w:val="22"/>
        </w:rPr>
        <w:t>messaging blurs with its technical</w:t>
      </w:r>
      <w:r w:rsidRPr="00916CD1">
        <w:rPr>
          <w:rFonts w:asciiTheme="majorHAnsi" w:hAnsiTheme="majorHAnsi" w:cstheme="majorHAnsi"/>
          <w:color w:val="00000F"/>
          <w:sz w:val="22"/>
          <w:szCs w:val="22"/>
        </w:rPr>
        <w:t xml:space="preserve"> support and briefing role as outlined in the APCP Communications Plan. </w:t>
      </w:r>
      <w:r w:rsidR="00900C8C">
        <w:rPr>
          <w:rFonts w:asciiTheme="majorHAnsi" w:hAnsiTheme="majorHAnsi" w:cstheme="majorHAnsi"/>
          <w:color w:val="00000F"/>
          <w:sz w:val="22"/>
          <w:szCs w:val="22"/>
        </w:rPr>
        <w:t>Difficulties negotiating the Partnership</w:t>
      </w:r>
      <w:r w:rsidR="00C91C02">
        <w:rPr>
          <w:rFonts w:asciiTheme="majorHAnsi" w:hAnsiTheme="majorHAnsi" w:cstheme="majorHAnsi"/>
          <w:color w:val="00000F"/>
          <w:sz w:val="22"/>
          <w:szCs w:val="22"/>
        </w:rPr>
        <w:t>’s</w:t>
      </w:r>
      <w:r w:rsidR="00900C8C">
        <w:rPr>
          <w:rFonts w:asciiTheme="majorHAnsi" w:hAnsiTheme="majorHAnsi" w:cstheme="majorHAnsi"/>
          <w:color w:val="00000F"/>
          <w:sz w:val="22"/>
          <w:szCs w:val="22"/>
        </w:rPr>
        <w:t xml:space="preserve"> communication </w:t>
      </w:r>
      <w:r w:rsidR="00C91C02">
        <w:rPr>
          <w:rFonts w:asciiTheme="majorHAnsi" w:hAnsiTheme="majorHAnsi" w:cstheme="majorHAnsi"/>
          <w:color w:val="00000F"/>
          <w:sz w:val="22"/>
          <w:szCs w:val="22"/>
        </w:rPr>
        <w:t xml:space="preserve">clearance </w:t>
      </w:r>
      <w:r w:rsidR="00900C8C">
        <w:rPr>
          <w:rFonts w:asciiTheme="majorHAnsi" w:hAnsiTheme="majorHAnsi" w:cstheme="majorHAnsi"/>
          <w:color w:val="00000F"/>
          <w:sz w:val="22"/>
          <w:szCs w:val="22"/>
        </w:rPr>
        <w:t xml:space="preserve">processes has meant that the sub-programs have been more comfortable releasing communications under their own sub-program banner, thereby creating some duplication of message and lost opportunities to promote </w:t>
      </w:r>
      <w:r w:rsidR="00790E32">
        <w:rPr>
          <w:rFonts w:asciiTheme="majorHAnsi" w:hAnsiTheme="majorHAnsi" w:cstheme="majorHAnsi"/>
          <w:color w:val="00000F"/>
          <w:sz w:val="22"/>
          <w:szCs w:val="22"/>
        </w:rPr>
        <w:t xml:space="preserve">Australian Government support in the sector. </w:t>
      </w:r>
    </w:p>
    <w:p w14:paraId="202D3652" w14:textId="77777777" w:rsidR="00916CD1" w:rsidRPr="00916CD1" w:rsidRDefault="00916CD1"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189B38C" w14:textId="77777777" w:rsidR="00916CD1" w:rsidRPr="00916CD1" w:rsidRDefault="00916CD1" w:rsidP="00916CD1">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916CD1">
        <w:rPr>
          <w:rFonts w:asciiTheme="majorHAnsi" w:hAnsiTheme="majorHAnsi" w:cstheme="majorHAnsi"/>
          <w:color w:val="00000F"/>
          <w:sz w:val="22"/>
          <w:szCs w:val="22"/>
        </w:rPr>
        <w:t>Recent efforts to sharpen the focus of communication efforts around campaigns (</w:t>
      </w:r>
      <w:r w:rsidR="004F66E2" w:rsidRPr="00916CD1">
        <w:rPr>
          <w:rFonts w:asciiTheme="majorHAnsi" w:hAnsiTheme="majorHAnsi" w:cstheme="majorHAnsi"/>
          <w:color w:val="00000F"/>
          <w:sz w:val="22"/>
          <w:szCs w:val="22"/>
        </w:rPr>
        <w:t>e.g.,</w:t>
      </w:r>
      <w:r w:rsidRPr="00916CD1">
        <w:rPr>
          <w:rFonts w:asciiTheme="majorHAnsi" w:hAnsiTheme="majorHAnsi" w:cstheme="majorHAnsi"/>
          <w:color w:val="00000F"/>
          <w:sz w:val="22"/>
          <w:szCs w:val="22"/>
        </w:rPr>
        <w:t xml:space="preserve"> UN</w:t>
      </w:r>
      <w:r w:rsidR="00A9413E">
        <w:rPr>
          <w:rFonts w:asciiTheme="majorHAnsi" w:hAnsiTheme="majorHAnsi" w:cstheme="majorHAnsi"/>
          <w:color w:val="00000F"/>
          <w:sz w:val="22"/>
          <w:szCs w:val="22"/>
        </w:rPr>
        <w:t>F</w:t>
      </w:r>
      <w:r w:rsidRPr="00916CD1">
        <w:rPr>
          <w:rFonts w:asciiTheme="majorHAnsi" w:hAnsiTheme="majorHAnsi" w:cstheme="majorHAnsi"/>
          <w:color w:val="00000F"/>
          <w:sz w:val="22"/>
          <w:szCs w:val="22"/>
        </w:rPr>
        <w:t>CCC meeting in Glasgow), and an agreement around the framing of communication messages</w:t>
      </w:r>
      <w:r w:rsidR="00DA3F2A">
        <w:rPr>
          <w:rFonts w:asciiTheme="majorHAnsi" w:hAnsiTheme="majorHAnsi" w:cstheme="majorHAnsi"/>
          <w:color w:val="00000F"/>
          <w:sz w:val="22"/>
          <w:szCs w:val="22"/>
        </w:rPr>
        <w:t>,</w:t>
      </w:r>
      <w:r w:rsidRPr="00916CD1">
        <w:rPr>
          <w:rFonts w:asciiTheme="majorHAnsi" w:hAnsiTheme="majorHAnsi" w:cstheme="majorHAnsi"/>
          <w:color w:val="00000F"/>
          <w:sz w:val="22"/>
          <w:szCs w:val="22"/>
        </w:rPr>
        <w:t xml:space="preserve"> are welcome.  These efforts should be accelerated and accompanied by support to Posts to tailor communication messages and campaigns to their particular contexts. Consideration should be given to broadening communication platforms and to provide access to the SU communications experts to analytics from DFAT platforms. </w:t>
      </w:r>
    </w:p>
    <w:p w14:paraId="40A51F3D" w14:textId="77777777" w:rsidR="000B4776" w:rsidRDefault="000B4776" w:rsidP="000A313B">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5F5AADD7" w14:textId="670EDF9B" w:rsidR="00FB2C3C" w:rsidRDefault="00916CD1" w:rsidP="000A313B">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916CD1">
        <w:rPr>
          <w:rFonts w:asciiTheme="majorHAnsi" w:hAnsiTheme="majorHAnsi" w:cstheme="majorHAnsi"/>
          <w:color w:val="00000F"/>
          <w:sz w:val="22"/>
          <w:szCs w:val="22"/>
        </w:rPr>
        <w:t xml:space="preserve">In summary, there is a need to accelerate efforts to sharpen the focus of communication efforts and more deliberated strategies to implement them. </w:t>
      </w:r>
      <w:r w:rsidR="00967CDA">
        <w:rPr>
          <w:rFonts w:asciiTheme="majorHAnsi" w:hAnsiTheme="majorHAnsi" w:cstheme="majorHAnsi"/>
          <w:color w:val="00000F"/>
          <w:sz w:val="22"/>
          <w:szCs w:val="22"/>
        </w:rPr>
        <w:t xml:space="preserve">Clearance processes need to be streamlined, aided by </w:t>
      </w:r>
      <w:r w:rsidR="00A746EE">
        <w:rPr>
          <w:rFonts w:asciiTheme="majorHAnsi" w:hAnsiTheme="majorHAnsi" w:cstheme="majorHAnsi"/>
          <w:color w:val="00000F"/>
          <w:sz w:val="22"/>
          <w:szCs w:val="22"/>
        </w:rPr>
        <w:t xml:space="preserve">a clearer articulation of </w:t>
      </w:r>
      <w:r w:rsidR="007244A6">
        <w:rPr>
          <w:rFonts w:asciiTheme="majorHAnsi" w:hAnsiTheme="majorHAnsi" w:cstheme="majorHAnsi"/>
          <w:color w:val="00000F"/>
          <w:sz w:val="22"/>
          <w:szCs w:val="22"/>
        </w:rPr>
        <w:t xml:space="preserve">Australian Government </w:t>
      </w:r>
      <w:r w:rsidR="00A746EE">
        <w:rPr>
          <w:rFonts w:asciiTheme="majorHAnsi" w:hAnsiTheme="majorHAnsi" w:cstheme="majorHAnsi"/>
          <w:color w:val="00000F"/>
          <w:sz w:val="22"/>
          <w:szCs w:val="22"/>
        </w:rPr>
        <w:t>messages by DFAT a</w:t>
      </w:r>
      <w:r w:rsidR="00FA5F4C">
        <w:rPr>
          <w:rFonts w:asciiTheme="majorHAnsi" w:hAnsiTheme="majorHAnsi" w:cstheme="majorHAnsi"/>
          <w:color w:val="00000F"/>
          <w:sz w:val="22"/>
          <w:szCs w:val="22"/>
        </w:rPr>
        <w:t>nd more senior direction within the SU</w:t>
      </w:r>
      <w:r w:rsidR="00A746EE">
        <w:rPr>
          <w:rFonts w:asciiTheme="majorHAnsi" w:hAnsiTheme="majorHAnsi" w:cstheme="majorHAnsi"/>
          <w:color w:val="00000F"/>
          <w:sz w:val="22"/>
          <w:szCs w:val="22"/>
        </w:rPr>
        <w:t>.  T</w:t>
      </w:r>
      <w:r w:rsidRPr="00916CD1">
        <w:rPr>
          <w:rFonts w:asciiTheme="majorHAnsi" w:hAnsiTheme="majorHAnsi" w:cstheme="majorHAnsi"/>
          <w:color w:val="00000F"/>
          <w:sz w:val="22"/>
          <w:szCs w:val="22"/>
        </w:rPr>
        <w:t xml:space="preserve">he roles and responsibilities of DFAT </w:t>
      </w:r>
      <w:r w:rsidR="00824880">
        <w:rPr>
          <w:rFonts w:asciiTheme="majorHAnsi" w:hAnsiTheme="majorHAnsi" w:cstheme="majorHAnsi"/>
          <w:color w:val="00000F"/>
          <w:sz w:val="22"/>
          <w:szCs w:val="22"/>
        </w:rPr>
        <w:t xml:space="preserve">(Posts and Canberra) </w:t>
      </w:r>
      <w:r w:rsidRPr="00916CD1">
        <w:rPr>
          <w:rFonts w:asciiTheme="majorHAnsi" w:hAnsiTheme="majorHAnsi" w:cstheme="majorHAnsi"/>
          <w:color w:val="00000F"/>
          <w:sz w:val="22"/>
          <w:szCs w:val="22"/>
        </w:rPr>
        <w:t>and the SU need to be clarified and widely understood.  Clear parameters for developing and disseminating communications should be developed and implemented.</w:t>
      </w:r>
    </w:p>
    <w:p w14:paraId="0EEE3CE2" w14:textId="77777777" w:rsidR="00BD42D1" w:rsidRDefault="00BD42D1">
      <w:pPr>
        <w:rPr>
          <w:rFonts w:asciiTheme="majorHAnsi" w:hAnsiTheme="majorHAnsi" w:cstheme="majorHAnsi"/>
          <w:color w:val="00000F"/>
          <w:sz w:val="22"/>
          <w:szCs w:val="22"/>
        </w:rPr>
      </w:pPr>
      <w:r>
        <w:rPr>
          <w:rFonts w:asciiTheme="majorHAnsi" w:hAnsiTheme="majorHAnsi" w:cstheme="majorHAnsi"/>
          <w:color w:val="00000F"/>
          <w:sz w:val="22"/>
          <w:szCs w:val="22"/>
        </w:rPr>
        <w:br w:type="page"/>
      </w:r>
    </w:p>
    <w:p w14:paraId="64A25EED" w14:textId="77777777" w:rsidR="00C978D1" w:rsidRPr="000A313B" w:rsidRDefault="00C978D1" w:rsidP="000A313B">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4420861C" w14:textId="77777777" w:rsidR="00FB2C3C" w:rsidRPr="00611197" w:rsidRDefault="005909EA" w:rsidP="00C875FA">
      <w:pPr>
        <w:pStyle w:val="Heading1A"/>
        <w:rPr>
          <w:rStyle w:val="Heading"/>
        </w:rPr>
      </w:pPr>
      <w:bookmarkStart w:id="25" w:name="_Toc72104082"/>
      <w:r w:rsidRPr="00611197">
        <w:rPr>
          <w:rStyle w:val="Heading"/>
        </w:rPr>
        <w:t>CONCLUSION AND RECOMMENDATIONS</w:t>
      </w:r>
      <w:bookmarkEnd w:id="25"/>
    </w:p>
    <w:p w14:paraId="2EC5BC1C" w14:textId="77777777" w:rsidR="00FB2C3C" w:rsidRPr="00876E35" w:rsidRDefault="00FB2C3C" w:rsidP="00FB2C3C">
      <w:pPr>
        <w:tabs>
          <w:tab w:val="left" w:pos="7780"/>
        </w:tabs>
        <w:rPr>
          <w:rFonts w:asciiTheme="majorHAnsi" w:hAnsiTheme="majorHAnsi" w:cstheme="majorHAnsi"/>
          <w:b/>
          <w:color w:val="0E1428"/>
          <w:spacing w:val="120"/>
          <w:sz w:val="52"/>
          <w:szCs w:val="52"/>
        </w:rPr>
      </w:pPr>
    </w:p>
    <w:p w14:paraId="72CE5323" w14:textId="77777777" w:rsidR="00907215" w:rsidRPr="005147CA" w:rsidRDefault="0014533A" w:rsidP="00C21436">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CE6F68">
        <w:rPr>
          <w:rFonts w:asciiTheme="majorHAnsi" w:hAnsiTheme="majorHAnsi" w:cstheme="majorHAnsi"/>
          <w:color w:val="00000F"/>
          <w:sz w:val="22"/>
          <w:szCs w:val="22"/>
        </w:rPr>
        <w:t xml:space="preserve">There are compelling developmental and political imperatives </w:t>
      </w:r>
      <w:r w:rsidR="00C91C02">
        <w:rPr>
          <w:rFonts w:asciiTheme="majorHAnsi" w:hAnsiTheme="majorHAnsi" w:cstheme="majorHAnsi"/>
          <w:color w:val="00000F"/>
          <w:sz w:val="22"/>
          <w:szCs w:val="22"/>
        </w:rPr>
        <w:t>for ensuring</w:t>
      </w:r>
      <w:r w:rsidRPr="005147CA">
        <w:rPr>
          <w:rFonts w:asciiTheme="majorHAnsi" w:hAnsiTheme="majorHAnsi" w:cstheme="majorHAnsi"/>
          <w:color w:val="00000F"/>
          <w:sz w:val="22"/>
          <w:szCs w:val="22"/>
        </w:rPr>
        <w:t xml:space="preserve"> Australia’s aid support for climate and disaster risk is effective and seen to be effective. </w:t>
      </w:r>
    </w:p>
    <w:p w14:paraId="7058652A" w14:textId="77777777" w:rsidR="00907215" w:rsidRPr="005147CA" w:rsidRDefault="00907215" w:rsidP="00C21436">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0A2DFB6A" w14:textId="77777777" w:rsidR="00AA05AC" w:rsidRPr="005147CA" w:rsidRDefault="0014533A" w:rsidP="00C21436">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147CA">
        <w:rPr>
          <w:rFonts w:asciiTheme="majorHAnsi" w:hAnsiTheme="majorHAnsi" w:cstheme="majorHAnsi"/>
          <w:color w:val="00000F"/>
          <w:sz w:val="22"/>
          <w:szCs w:val="22"/>
        </w:rPr>
        <w:t>Pacific island countries reaffirmed th</w:t>
      </w:r>
      <w:r w:rsidR="00790E32">
        <w:rPr>
          <w:rFonts w:asciiTheme="majorHAnsi" w:hAnsiTheme="majorHAnsi" w:cstheme="majorHAnsi"/>
          <w:color w:val="00000F"/>
          <w:sz w:val="22"/>
          <w:szCs w:val="22"/>
        </w:rPr>
        <w:t>at</w:t>
      </w:r>
      <w:r w:rsidRPr="005147CA">
        <w:rPr>
          <w:rFonts w:asciiTheme="majorHAnsi" w:hAnsiTheme="majorHAnsi" w:cstheme="majorHAnsi"/>
          <w:color w:val="00000F"/>
          <w:sz w:val="22"/>
          <w:szCs w:val="22"/>
        </w:rPr>
        <w:t xml:space="preserve"> climate change poses </w:t>
      </w:r>
      <w:r w:rsidR="00790E32">
        <w:rPr>
          <w:rFonts w:asciiTheme="majorHAnsi" w:hAnsiTheme="majorHAnsi" w:cstheme="majorHAnsi"/>
          <w:color w:val="00000F"/>
          <w:sz w:val="22"/>
          <w:szCs w:val="22"/>
        </w:rPr>
        <w:t xml:space="preserve">the </w:t>
      </w:r>
      <w:r w:rsidR="00DB7957">
        <w:rPr>
          <w:rFonts w:asciiTheme="majorHAnsi" w:hAnsiTheme="majorHAnsi" w:cstheme="majorHAnsi"/>
          <w:color w:val="00000F"/>
          <w:sz w:val="22"/>
          <w:szCs w:val="22"/>
        </w:rPr>
        <w:t xml:space="preserve">single </w:t>
      </w:r>
      <w:r w:rsidR="00790E32">
        <w:rPr>
          <w:rFonts w:asciiTheme="majorHAnsi" w:hAnsiTheme="majorHAnsi" w:cstheme="majorHAnsi"/>
          <w:color w:val="00000F"/>
          <w:sz w:val="22"/>
          <w:szCs w:val="22"/>
        </w:rPr>
        <w:t xml:space="preserve">greatest threat to </w:t>
      </w:r>
      <w:r w:rsidR="00DB7957">
        <w:rPr>
          <w:rFonts w:asciiTheme="majorHAnsi" w:hAnsiTheme="majorHAnsi" w:cstheme="majorHAnsi"/>
          <w:color w:val="00000F"/>
          <w:sz w:val="22"/>
          <w:szCs w:val="22"/>
        </w:rPr>
        <w:t xml:space="preserve">the livelihoods, </w:t>
      </w:r>
      <w:r w:rsidR="00790E32">
        <w:rPr>
          <w:rFonts w:asciiTheme="majorHAnsi" w:hAnsiTheme="majorHAnsi" w:cstheme="majorHAnsi"/>
          <w:color w:val="00000F"/>
          <w:sz w:val="22"/>
          <w:szCs w:val="22"/>
        </w:rPr>
        <w:t xml:space="preserve">security </w:t>
      </w:r>
      <w:r w:rsidR="00DB7957">
        <w:rPr>
          <w:rFonts w:asciiTheme="majorHAnsi" w:hAnsiTheme="majorHAnsi" w:cstheme="majorHAnsi"/>
          <w:color w:val="00000F"/>
          <w:sz w:val="22"/>
          <w:szCs w:val="22"/>
        </w:rPr>
        <w:t xml:space="preserve">and wellbeing </w:t>
      </w:r>
      <w:r w:rsidR="00790E32">
        <w:rPr>
          <w:rFonts w:asciiTheme="majorHAnsi" w:hAnsiTheme="majorHAnsi" w:cstheme="majorHAnsi"/>
          <w:color w:val="00000F"/>
          <w:sz w:val="22"/>
          <w:szCs w:val="22"/>
        </w:rPr>
        <w:t xml:space="preserve">of the peoples of the Pacific </w:t>
      </w:r>
      <w:r w:rsidRPr="005147CA">
        <w:rPr>
          <w:rFonts w:asciiTheme="majorHAnsi" w:hAnsiTheme="majorHAnsi" w:cstheme="majorHAnsi"/>
          <w:color w:val="00000F"/>
          <w:sz w:val="22"/>
          <w:szCs w:val="22"/>
        </w:rPr>
        <w:t>through the 2019 Pacific Islands Forum (PIF) Kainaki II Declaration for Urgent Climate Change Action Now. This is the strongest collective statement Forum Leaders have issued on climate change.</w:t>
      </w:r>
      <w:r w:rsidR="00AA05AC" w:rsidRPr="005147CA">
        <w:rPr>
          <w:rFonts w:asciiTheme="majorHAnsi" w:hAnsiTheme="majorHAnsi" w:cstheme="majorHAnsi"/>
          <w:color w:val="00000F"/>
          <w:sz w:val="22"/>
          <w:szCs w:val="22"/>
        </w:rPr>
        <w:t xml:space="preserve"> </w:t>
      </w:r>
    </w:p>
    <w:p w14:paraId="2112CE6D" w14:textId="77777777" w:rsidR="00AA05AC" w:rsidRPr="005147CA" w:rsidRDefault="00AA05AC" w:rsidP="00C21436">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6985F8EC" w14:textId="77777777" w:rsidR="003E7FB7" w:rsidRPr="005147CA" w:rsidRDefault="00C91C02" w:rsidP="0C1DC608">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For Australia, h</w:t>
      </w:r>
      <w:r w:rsidR="00AA05AC" w:rsidRPr="0C1DC608">
        <w:rPr>
          <w:rFonts w:asciiTheme="majorHAnsi" w:hAnsiTheme="majorHAnsi" w:cstheme="majorBidi"/>
          <w:color w:val="00000F"/>
          <w:sz w:val="22"/>
          <w:szCs w:val="22"/>
        </w:rPr>
        <w:t xml:space="preserve">elping the </w:t>
      </w:r>
      <w:r w:rsidR="00907215" w:rsidRPr="0C1DC608">
        <w:rPr>
          <w:rFonts w:asciiTheme="majorHAnsi" w:hAnsiTheme="majorHAnsi" w:cstheme="majorBidi"/>
          <w:color w:val="00000F"/>
          <w:sz w:val="22"/>
          <w:szCs w:val="22"/>
        </w:rPr>
        <w:t>region</w:t>
      </w:r>
      <w:r w:rsidR="00AA05AC" w:rsidRPr="0C1DC608">
        <w:rPr>
          <w:rFonts w:asciiTheme="majorHAnsi" w:hAnsiTheme="majorHAnsi" w:cstheme="majorBidi"/>
          <w:color w:val="00000F"/>
          <w:sz w:val="22"/>
          <w:szCs w:val="22"/>
        </w:rPr>
        <w:t xml:space="preserve"> </w:t>
      </w:r>
      <w:r w:rsidRPr="0C1DC608">
        <w:rPr>
          <w:rFonts w:asciiTheme="majorHAnsi" w:hAnsiTheme="majorHAnsi" w:cstheme="majorBidi"/>
          <w:color w:val="00000F"/>
          <w:sz w:val="22"/>
          <w:szCs w:val="22"/>
        </w:rPr>
        <w:t>tackle</w:t>
      </w:r>
      <w:r w:rsidR="00AA05AC" w:rsidRPr="0C1DC608">
        <w:rPr>
          <w:rFonts w:asciiTheme="majorHAnsi" w:hAnsiTheme="majorHAnsi" w:cstheme="majorBidi"/>
          <w:color w:val="00000F"/>
          <w:sz w:val="22"/>
          <w:szCs w:val="22"/>
        </w:rPr>
        <w:t xml:space="preserve"> climate and disaster risk </w:t>
      </w:r>
      <w:r w:rsidRPr="0C1DC608">
        <w:rPr>
          <w:rFonts w:asciiTheme="majorHAnsi" w:hAnsiTheme="majorHAnsi" w:cstheme="majorBidi"/>
          <w:color w:val="00000F"/>
          <w:sz w:val="22"/>
          <w:szCs w:val="22"/>
        </w:rPr>
        <w:t>was</w:t>
      </w:r>
      <w:r w:rsidR="00AA05AC" w:rsidRPr="0C1DC608">
        <w:rPr>
          <w:rFonts w:asciiTheme="majorHAnsi" w:hAnsiTheme="majorHAnsi" w:cstheme="majorBidi"/>
          <w:color w:val="00000F"/>
          <w:sz w:val="22"/>
          <w:szCs w:val="22"/>
        </w:rPr>
        <w:t xml:space="preserve"> </w:t>
      </w:r>
      <w:r w:rsidR="00907215" w:rsidRPr="0C1DC608">
        <w:rPr>
          <w:rFonts w:asciiTheme="majorHAnsi" w:hAnsiTheme="majorHAnsi" w:cstheme="majorBidi"/>
          <w:color w:val="00000F"/>
          <w:sz w:val="22"/>
          <w:szCs w:val="22"/>
        </w:rPr>
        <w:t xml:space="preserve">identified as a central priority in 2017 Foreign Policy White Paper and </w:t>
      </w:r>
      <w:r w:rsidR="00AA05AC" w:rsidRPr="0C1DC608">
        <w:rPr>
          <w:rFonts w:asciiTheme="majorHAnsi" w:hAnsiTheme="majorHAnsi" w:cstheme="majorBidi"/>
          <w:color w:val="00000F"/>
          <w:sz w:val="22"/>
          <w:szCs w:val="22"/>
        </w:rPr>
        <w:t>Pacific Step-Up</w:t>
      </w:r>
      <w:r w:rsidR="00907215" w:rsidRPr="0C1DC608">
        <w:rPr>
          <w:rFonts w:asciiTheme="majorHAnsi" w:hAnsiTheme="majorHAnsi" w:cstheme="majorBidi"/>
          <w:color w:val="00000F"/>
          <w:sz w:val="22"/>
          <w:szCs w:val="22"/>
        </w:rPr>
        <w:t xml:space="preserve"> </w:t>
      </w:r>
      <w:r w:rsidRPr="0C1DC608">
        <w:rPr>
          <w:rFonts w:asciiTheme="majorHAnsi" w:hAnsiTheme="majorHAnsi" w:cstheme="majorBidi"/>
          <w:color w:val="00000F"/>
          <w:sz w:val="22"/>
          <w:szCs w:val="22"/>
        </w:rPr>
        <w:t>-</w:t>
      </w:r>
      <w:r w:rsidR="00AA05AC" w:rsidRPr="0C1DC608">
        <w:rPr>
          <w:rFonts w:asciiTheme="majorHAnsi" w:hAnsiTheme="majorHAnsi" w:cstheme="majorBidi"/>
          <w:color w:val="00000F"/>
          <w:sz w:val="22"/>
          <w:szCs w:val="22"/>
        </w:rPr>
        <w:t xml:space="preserve"> both </w:t>
      </w:r>
      <w:r w:rsidR="4C750401" w:rsidRPr="0C1DC608">
        <w:rPr>
          <w:rFonts w:asciiTheme="majorHAnsi" w:hAnsiTheme="majorHAnsi" w:cstheme="majorBidi"/>
          <w:color w:val="00000F"/>
          <w:sz w:val="22"/>
          <w:szCs w:val="22"/>
        </w:rPr>
        <w:t xml:space="preserve">as </w:t>
      </w:r>
      <w:r w:rsidR="00AA05AC" w:rsidRPr="0C1DC608">
        <w:rPr>
          <w:rFonts w:asciiTheme="majorHAnsi" w:hAnsiTheme="majorHAnsi" w:cstheme="majorBidi"/>
          <w:color w:val="00000F"/>
          <w:sz w:val="22"/>
          <w:szCs w:val="22"/>
        </w:rPr>
        <w:t xml:space="preserve">an issue in itself and as a core part of </w:t>
      </w:r>
      <w:r w:rsidRPr="0C1DC608">
        <w:rPr>
          <w:rFonts w:asciiTheme="majorHAnsi" w:hAnsiTheme="majorHAnsi" w:cstheme="majorBidi"/>
          <w:color w:val="00000F"/>
          <w:sz w:val="22"/>
          <w:szCs w:val="22"/>
        </w:rPr>
        <w:t>ensuring</w:t>
      </w:r>
      <w:r w:rsidR="00AA05AC" w:rsidRPr="0C1DC608">
        <w:rPr>
          <w:rFonts w:asciiTheme="majorHAnsi" w:hAnsiTheme="majorHAnsi" w:cstheme="majorBidi"/>
          <w:color w:val="00000F"/>
          <w:sz w:val="22"/>
          <w:szCs w:val="22"/>
        </w:rPr>
        <w:t xml:space="preserve"> regional security.</w:t>
      </w:r>
      <w:r w:rsidRPr="0C1DC608">
        <w:rPr>
          <w:rFonts w:asciiTheme="majorHAnsi" w:hAnsiTheme="majorHAnsi" w:cstheme="majorBidi"/>
          <w:color w:val="00000F"/>
          <w:sz w:val="22"/>
          <w:szCs w:val="22"/>
        </w:rPr>
        <w:t xml:space="preserve"> COVID 19 and shifting geo-political forces only serves to </w:t>
      </w:r>
      <w:r w:rsidR="0004013D" w:rsidRPr="0C1DC608">
        <w:rPr>
          <w:rFonts w:asciiTheme="majorHAnsi" w:hAnsiTheme="majorHAnsi" w:cstheme="majorBidi"/>
          <w:color w:val="00000F"/>
          <w:sz w:val="22"/>
          <w:szCs w:val="22"/>
        </w:rPr>
        <w:t xml:space="preserve">sharpen this priority. </w:t>
      </w:r>
      <w:r w:rsidR="00FC03C7" w:rsidRPr="0C1DC608">
        <w:rPr>
          <w:rFonts w:asciiTheme="majorHAnsi" w:hAnsiTheme="majorHAnsi" w:cstheme="majorBidi"/>
          <w:color w:val="00000F"/>
          <w:sz w:val="22"/>
          <w:szCs w:val="22"/>
        </w:rPr>
        <w:t xml:space="preserve"> </w:t>
      </w:r>
      <w:r w:rsidR="003E7FB7" w:rsidRPr="0C1DC608">
        <w:rPr>
          <w:rFonts w:asciiTheme="majorHAnsi" w:hAnsiTheme="majorHAnsi" w:cstheme="majorBidi"/>
          <w:color w:val="00000F"/>
          <w:sz w:val="22"/>
          <w:szCs w:val="22"/>
        </w:rPr>
        <w:t xml:space="preserve">As part of its global commitments, </w:t>
      </w:r>
      <w:r w:rsidR="00A6494E" w:rsidRPr="0C1DC608">
        <w:rPr>
          <w:rFonts w:asciiTheme="majorHAnsi" w:hAnsiTheme="majorHAnsi" w:cstheme="majorBidi"/>
          <w:color w:val="00000F"/>
          <w:sz w:val="22"/>
          <w:szCs w:val="22"/>
        </w:rPr>
        <w:t>Aus</w:t>
      </w:r>
      <w:r w:rsidR="003E7FB7" w:rsidRPr="0C1DC608">
        <w:rPr>
          <w:rFonts w:asciiTheme="majorHAnsi" w:hAnsiTheme="majorHAnsi" w:cstheme="majorBidi"/>
          <w:color w:val="00000F"/>
          <w:sz w:val="22"/>
          <w:szCs w:val="22"/>
        </w:rPr>
        <w:t>tralia</w:t>
      </w:r>
      <w:r w:rsidR="00A6494E" w:rsidRPr="0C1DC608">
        <w:rPr>
          <w:rFonts w:asciiTheme="majorHAnsi" w:hAnsiTheme="majorHAnsi" w:cstheme="majorBidi"/>
          <w:color w:val="00000F"/>
          <w:sz w:val="22"/>
          <w:szCs w:val="22"/>
        </w:rPr>
        <w:t xml:space="preserve"> </w:t>
      </w:r>
      <w:r w:rsidR="00200C2A" w:rsidRPr="0C1DC608">
        <w:rPr>
          <w:rFonts w:asciiTheme="majorHAnsi" w:hAnsiTheme="majorHAnsi" w:cstheme="majorBidi"/>
          <w:color w:val="00000F"/>
          <w:sz w:val="22"/>
          <w:szCs w:val="22"/>
        </w:rPr>
        <w:t xml:space="preserve">also </w:t>
      </w:r>
      <w:r w:rsidR="00A6494E" w:rsidRPr="0C1DC608">
        <w:rPr>
          <w:rFonts w:asciiTheme="majorHAnsi" w:hAnsiTheme="majorHAnsi" w:cstheme="majorBidi"/>
          <w:color w:val="00000F"/>
          <w:sz w:val="22"/>
          <w:szCs w:val="22"/>
        </w:rPr>
        <w:t>need</w:t>
      </w:r>
      <w:r w:rsidR="003E7FB7" w:rsidRPr="0C1DC608">
        <w:rPr>
          <w:rFonts w:asciiTheme="majorHAnsi" w:hAnsiTheme="majorHAnsi" w:cstheme="majorBidi"/>
          <w:color w:val="00000F"/>
          <w:sz w:val="22"/>
          <w:szCs w:val="22"/>
        </w:rPr>
        <w:t>s</w:t>
      </w:r>
      <w:r w:rsidR="00A6494E" w:rsidRPr="0C1DC608">
        <w:rPr>
          <w:rFonts w:asciiTheme="majorHAnsi" w:hAnsiTheme="majorHAnsi" w:cstheme="majorBidi"/>
          <w:color w:val="00000F"/>
          <w:sz w:val="22"/>
          <w:szCs w:val="22"/>
        </w:rPr>
        <w:t xml:space="preserve"> to </w:t>
      </w:r>
      <w:r w:rsidR="00EC34DE" w:rsidRPr="0C1DC608">
        <w:rPr>
          <w:rFonts w:asciiTheme="majorHAnsi" w:hAnsiTheme="majorHAnsi" w:cstheme="majorBidi"/>
          <w:color w:val="00000F"/>
          <w:sz w:val="22"/>
          <w:szCs w:val="22"/>
        </w:rPr>
        <w:t xml:space="preserve">account for its climate finance and </w:t>
      </w:r>
      <w:r w:rsidR="00200C2A" w:rsidRPr="0C1DC608">
        <w:rPr>
          <w:rFonts w:asciiTheme="majorHAnsi" w:hAnsiTheme="majorHAnsi" w:cstheme="majorBidi"/>
          <w:color w:val="00000F"/>
          <w:sz w:val="22"/>
          <w:szCs w:val="22"/>
        </w:rPr>
        <w:t>demonstrate its international credentials.</w:t>
      </w:r>
      <w:r w:rsidR="003E7FB7" w:rsidRPr="0C1DC608">
        <w:rPr>
          <w:rFonts w:asciiTheme="majorHAnsi" w:hAnsiTheme="majorHAnsi" w:cstheme="majorBidi"/>
          <w:color w:val="00000F"/>
          <w:sz w:val="22"/>
          <w:szCs w:val="22"/>
        </w:rPr>
        <w:t xml:space="preserve"> </w:t>
      </w:r>
    </w:p>
    <w:p w14:paraId="53AB60F5" w14:textId="77777777" w:rsidR="003E7FB7" w:rsidRPr="005147CA" w:rsidRDefault="003E7FB7" w:rsidP="00C21436">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p>
    <w:p w14:paraId="70B36E11" w14:textId="77777777" w:rsidR="00FB2C3C" w:rsidRPr="00012AF9" w:rsidRDefault="003E7FB7" w:rsidP="00C21436">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5147CA">
        <w:rPr>
          <w:rFonts w:asciiTheme="majorHAnsi" w:hAnsiTheme="majorHAnsi" w:cstheme="majorHAnsi"/>
          <w:color w:val="00000F"/>
          <w:sz w:val="22"/>
          <w:szCs w:val="22"/>
        </w:rPr>
        <w:t xml:space="preserve">The APCP is a critical part of Australia’s efforts towards these ends. </w:t>
      </w:r>
      <w:r w:rsidR="0004013D">
        <w:rPr>
          <w:rFonts w:asciiTheme="majorHAnsi" w:hAnsiTheme="majorHAnsi" w:cstheme="majorHAnsi"/>
          <w:color w:val="00000F"/>
          <w:sz w:val="22"/>
          <w:szCs w:val="22"/>
        </w:rPr>
        <w:t>It</w:t>
      </w:r>
      <w:r w:rsidRPr="005147CA">
        <w:rPr>
          <w:rFonts w:asciiTheme="majorHAnsi" w:hAnsiTheme="majorHAnsi" w:cstheme="majorHAnsi"/>
          <w:color w:val="00000F"/>
          <w:sz w:val="22"/>
          <w:szCs w:val="22"/>
        </w:rPr>
        <w:t xml:space="preserve"> ha</w:t>
      </w:r>
      <w:r w:rsidR="0004013D">
        <w:rPr>
          <w:rFonts w:asciiTheme="majorHAnsi" w:hAnsiTheme="majorHAnsi" w:cstheme="majorHAnsi"/>
          <w:color w:val="00000F"/>
          <w:sz w:val="22"/>
          <w:szCs w:val="22"/>
        </w:rPr>
        <w:t>s</w:t>
      </w:r>
      <w:r w:rsidRPr="005147CA">
        <w:rPr>
          <w:rFonts w:asciiTheme="majorHAnsi" w:hAnsiTheme="majorHAnsi" w:cstheme="majorHAnsi"/>
          <w:color w:val="00000F"/>
          <w:sz w:val="22"/>
          <w:szCs w:val="22"/>
        </w:rPr>
        <w:t xml:space="preserve"> made </w:t>
      </w:r>
      <w:r w:rsidR="00651159">
        <w:rPr>
          <w:rFonts w:asciiTheme="majorHAnsi" w:hAnsiTheme="majorHAnsi" w:cstheme="majorHAnsi"/>
          <w:color w:val="00000F"/>
          <w:sz w:val="22"/>
          <w:szCs w:val="22"/>
        </w:rPr>
        <w:t xml:space="preserve">some </w:t>
      </w:r>
      <w:r w:rsidRPr="005147CA">
        <w:rPr>
          <w:rFonts w:asciiTheme="majorHAnsi" w:hAnsiTheme="majorHAnsi" w:cstheme="majorHAnsi"/>
          <w:color w:val="00000F"/>
          <w:sz w:val="22"/>
          <w:szCs w:val="22"/>
        </w:rPr>
        <w:t xml:space="preserve">good progress in advancing Australia’s </w:t>
      </w:r>
      <w:r w:rsidR="00200C2A" w:rsidRPr="005147CA">
        <w:rPr>
          <w:rFonts w:asciiTheme="majorHAnsi" w:hAnsiTheme="majorHAnsi" w:cstheme="majorHAnsi"/>
          <w:color w:val="00000F"/>
          <w:sz w:val="22"/>
          <w:szCs w:val="22"/>
        </w:rPr>
        <w:t xml:space="preserve">and the region’s </w:t>
      </w:r>
      <w:r w:rsidRPr="005147CA">
        <w:rPr>
          <w:rFonts w:asciiTheme="majorHAnsi" w:hAnsiTheme="majorHAnsi" w:cstheme="majorHAnsi"/>
          <w:color w:val="00000F"/>
          <w:sz w:val="22"/>
          <w:szCs w:val="22"/>
        </w:rPr>
        <w:t xml:space="preserve">interests.  The recommendations below are designed to strengthen these efforts, by focusing resources, </w:t>
      </w:r>
      <w:r w:rsidR="00651159">
        <w:rPr>
          <w:rFonts w:asciiTheme="majorHAnsi" w:hAnsiTheme="majorHAnsi" w:cstheme="majorHAnsi"/>
          <w:color w:val="00000F"/>
          <w:sz w:val="22"/>
          <w:szCs w:val="22"/>
        </w:rPr>
        <w:t xml:space="preserve">enhancing the role of Pacific </w:t>
      </w:r>
      <w:r w:rsidR="007F6458">
        <w:rPr>
          <w:rFonts w:asciiTheme="majorHAnsi" w:hAnsiTheme="majorHAnsi" w:cstheme="majorHAnsi"/>
          <w:color w:val="00000F"/>
          <w:sz w:val="22"/>
          <w:szCs w:val="22"/>
        </w:rPr>
        <w:t>expertise and knowledge</w:t>
      </w:r>
      <w:r w:rsidR="00651159">
        <w:rPr>
          <w:rFonts w:asciiTheme="majorHAnsi" w:hAnsiTheme="majorHAnsi" w:cstheme="majorHAnsi"/>
          <w:color w:val="00000F"/>
          <w:sz w:val="22"/>
          <w:szCs w:val="22"/>
        </w:rPr>
        <w:t>,</w:t>
      </w:r>
      <w:r w:rsidR="00FA0E47">
        <w:rPr>
          <w:rFonts w:asciiTheme="majorHAnsi" w:hAnsiTheme="majorHAnsi" w:cstheme="majorHAnsi"/>
          <w:color w:val="00000F"/>
          <w:sz w:val="22"/>
          <w:szCs w:val="22"/>
        </w:rPr>
        <w:t xml:space="preserve"> </w:t>
      </w:r>
      <w:r w:rsidR="00C31ECE">
        <w:rPr>
          <w:rFonts w:asciiTheme="majorHAnsi" w:hAnsiTheme="majorHAnsi" w:cstheme="majorHAnsi"/>
          <w:color w:val="00000F"/>
          <w:sz w:val="22"/>
          <w:szCs w:val="22"/>
        </w:rPr>
        <w:t>strengthening</w:t>
      </w:r>
      <w:r w:rsidRPr="005147CA">
        <w:rPr>
          <w:rFonts w:asciiTheme="majorHAnsi" w:hAnsiTheme="majorHAnsi" w:cstheme="majorHAnsi"/>
          <w:color w:val="00000F"/>
          <w:sz w:val="22"/>
          <w:szCs w:val="22"/>
        </w:rPr>
        <w:t xml:space="preserve"> integration, better communicating </w:t>
      </w:r>
      <w:r w:rsidR="00540721" w:rsidRPr="005147CA">
        <w:rPr>
          <w:rFonts w:asciiTheme="majorHAnsi" w:hAnsiTheme="majorHAnsi" w:cstheme="majorHAnsi"/>
          <w:color w:val="00000F"/>
          <w:sz w:val="22"/>
          <w:szCs w:val="22"/>
        </w:rPr>
        <w:t>achievements,</w:t>
      </w:r>
      <w:r w:rsidRPr="005147CA">
        <w:rPr>
          <w:rFonts w:asciiTheme="majorHAnsi" w:hAnsiTheme="majorHAnsi" w:cstheme="majorHAnsi"/>
          <w:color w:val="00000F"/>
          <w:sz w:val="22"/>
          <w:szCs w:val="22"/>
        </w:rPr>
        <w:t xml:space="preserve"> and working towards more transformative solutions.</w:t>
      </w:r>
      <w:r w:rsidRPr="007916C0">
        <w:rPr>
          <w:rFonts w:asciiTheme="majorHAnsi" w:hAnsiTheme="majorHAnsi" w:cstheme="majorHAnsi"/>
          <w:color w:val="00000F"/>
          <w:sz w:val="22"/>
          <w:szCs w:val="22"/>
        </w:rPr>
        <w:t xml:space="preserve"> </w:t>
      </w:r>
      <w:r w:rsidR="004F781B">
        <w:rPr>
          <w:rFonts w:asciiTheme="majorHAnsi" w:hAnsiTheme="majorHAnsi" w:cstheme="majorHAnsi"/>
          <w:color w:val="00000F"/>
          <w:sz w:val="22"/>
          <w:szCs w:val="22"/>
        </w:rPr>
        <w:t>The recommendations are divided into two sections: strategic level and operational level</w:t>
      </w:r>
      <w:r w:rsidR="001D5037">
        <w:rPr>
          <w:rFonts w:asciiTheme="majorHAnsi" w:hAnsiTheme="majorHAnsi" w:cstheme="majorHAnsi"/>
          <w:color w:val="00000F"/>
          <w:sz w:val="22"/>
          <w:szCs w:val="22"/>
        </w:rPr>
        <w:t>. They</w:t>
      </w:r>
      <w:r w:rsidR="00F13B7F">
        <w:rPr>
          <w:rFonts w:asciiTheme="majorHAnsi" w:hAnsiTheme="majorHAnsi" w:cstheme="majorHAnsi"/>
          <w:color w:val="00000F"/>
          <w:sz w:val="22"/>
          <w:szCs w:val="22"/>
        </w:rPr>
        <w:t xml:space="preserve"> are intended to help inform future </w:t>
      </w:r>
      <w:r w:rsidR="000B6650">
        <w:rPr>
          <w:rFonts w:asciiTheme="majorHAnsi" w:hAnsiTheme="majorHAnsi" w:cstheme="majorHAnsi"/>
          <w:color w:val="00000F"/>
          <w:sz w:val="22"/>
          <w:szCs w:val="22"/>
        </w:rPr>
        <w:t>Australian support for climate and disaster resilience in the Pacific.</w:t>
      </w:r>
    </w:p>
    <w:p w14:paraId="2E9284ED" w14:textId="77777777" w:rsidR="00AE64A5" w:rsidRDefault="00AE64A5" w:rsidP="00FB2C3C">
      <w:pPr>
        <w:tabs>
          <w:tab w:val="left" w:pos="7780"/>
        </w:tabs>
        <w:rPr>
          <w:rFonts w:asciiTheme="majorHAnsi" w:hAnsiTheme="majorHAnsi" w:cstheme="majorHAnsi"/>
          <w:color w:val="0E1428"/>
          <w:sz w:val="36"/>
          <w:szCs w:val="36"/>
        </w:rPr>
      </w:pPr>
    </w:p>
    <w:p w14:paraId="46025097" w14:textId="77777777" w:rsidR="004376B6" w:rsidRDefault="002D4898" w:rsidP="00611197">
      <w:pPr>
        <w:pStyle w:val="Heading2A"/>
      </w:pPr>
      <w:bookmarkStart w:id="26" w:name="_Toc72104083"/>
      <w:r w:rsidRPr="002D4898">
        <w:t xml:space="preserve">STRATEGIC </w:t>
      </w:r>
      <w:r w:rsidRPr="00FC54DD">
        <w:t>RECOMMENDATIONS</w:t>
      </w:r>
      <w:bookmarkEnd w:id="26"/>
    </w:p>
    <w:p w14:paraId="61DA782F" w14:textId="77777777" w:rsidR="000665C3" w:rsidRPr="00CE7731" w:rsidRDefault="00125FDD" w:rsidP="00611197">
      <w:pPr>
        <w:pStyle w:val="HEADING3A"/>
        <w:rPr>
          <w:rFonts w:cstheme="majorBidi"/>
          <w:sz w:val="22"/>
          <w:szCs w:val="22"/>
        </w:rPr>
      </w:pPr>
      <w:r w:rsidRPr="0C1DC608">
        <w:rPr>
          <w:rFonts w:cstheme="majorBidi"/>
          <w:sz w:val="22"/>
          <w:szCs w:val="22"/>
        </w:rPr>
        <w:t>1</w:t>
      </w:r>
      <w:r w:rsidR="008C5ECA" w:rsidRPr="0C1DC608">
        <w:rPr>
          <w:rFonts w:cstheme="majorBidi"/>
          <w:sz w:val="22"/>
          <w:szCs w:val="22"/>
        </w:rPr>
        <w:t xml:space="preserve">. </w:t>
      </w:r>
      <w:r w:rsidR="003940EF" w:rsidRPr="0C1DC608">
        <w:rPr>
          <w:rFonts w:cstheme="majorBidi"/>
          <w:sz w:val="22"/>
          <w:szCs w:val="22"/>
        </w:rPr>
        <w:t xml:space="preserve"> </w:t>
      </w:r>
      <w:r w:rsidR="003F1C31" w:rsidRPr="0C1DC608">
        <w:rPr>
          <w:rFonts w:cstheme="majorBidi"/>
          <w:spacing w:val="20"/>
          <w:sz w:val="22"/>
          <w:szCs w:val="22"/>
        </w:rPr>
        <w:t>Wind down</w:t>
      </w:r>
      <w:r w:rsidR="004548E3" w:rsidRPr="0C1DC608">
        <w:rPr>
          <w:rFonts w:cstheme="majorBidi"/>
          <w:spacing w:val="20"/>
          <w:sz w:val="22"/>
          <w:szCs w:val="22"/>
        </w:rPr>
        <w:t xml:space="preserve"> the partnership approach and allow </w:t>
      </w:r>
      <w:r w:rsidR="004F66E2" w:rsidRPr="0C1DC608">
        <w:rPr>
          <w:rFonts w:cstheme="majorBidi"/>
          <w:spacing w:val="20"/>
          <w:sz w:val="22"/>
          <w:szCs w:val="22"/>
        </w:rPr>
        <w:t>the sub</w:t>
      </w:r>
      <w:r w:rsidR="004548E3" w:rsidRPr="0C1DC608">
        <w:rPr>
          <w:rFonts w:cstheme="majorBidi"/>
          <w:spacing w:val="20"/>
          <w:sz w:val="22"/>
          <w:szCs w:val="22"/>
        </w:rPr>
        <w:t>-programs to continue independently</w:t>
      </w:r>
      <w:r w:rsidR="00756EB7" w:rsidRPr="0C1DC608">
        <w:rPr>
          <w:rFonts w:cstheme="majorBidi"/>
          <w:sz w:val="22"/>
          <w:szCs w:val="22"/>
        </w:rPr>
        <w:t xml:space="preserve"> </w:t>
      </w:r>
    </w:p>
    <w:p w14:paraId="1541A048" w14:textId="77777777" w:rsidR="00B62203" w:rsidRDefault="004412D1" w:rsidP="0C1DC608">
      <w:p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 xml:space="preserve">DFAT and sub-program partners should begin to wind-down the </w:t>
      </w:r>
      <w:r w:rsidR="4EB44F71" w:rsidRPr="0C1DC608">
        <w:rPr>
          <w:rFonts w:asciiTheme="majorHAnsi" w:hAnsiTheme="majorHAnsi" w:cstheme="majorBidi"/>
          <w:color w:val="00000F"/>
          <w:sz w:val="22"/>
          <w:szCs w:val="22"/>
        </w:rPr>
        <w:t xml:space="preserve">current </w:t>
      </w:r>
      <w:r w:rsidRPr="0C1DC608">
        <w:rPr>
          <w:rFonts w:asciiTheme="majorHAnsi" w:hAnsiTheme="majorHAnsi" w:cstheme="majorBidi"/>
          <w:color w:val="00000F"/>
          <w:sz w:val="22"/>
          <w:szCs w:val="22"/>
        </w:rPr>
        <w:t>partnership approach</w:t>
      </w:r>
      <w:r w:rsidR="00561E81" w:rsidRPr="0C1DC608">
        <w:rPr>
          <w:rFonts w:asciiTheme="majorHAnsi" w:hAnsiTheme="majorHAnsi" w:cstheme="majorBidi"/>
          <w:color w:val="00000F"/>
          <w:sz w:val="22"/>
          <w:szCs w:val="22"/>
        </w:rPr>
        <w:t>. The next phase of support should focus on the quality of the sub-programs</w:t>
      </w:r>
      <w:r w:rsidR="00E77C8B" w:rsidRPr="0C1DC608">
        <w:rPr>
          <w:rFonts w:asciiTheme="majorHAnsi" w:hAnsiTheme="majorHAnsi" w:cstheme="majorBidi"/>
          <w:color w:val="00000F"/>
          <w:sz w:val="22"/>
          <w:szCs w:val="22"/>
        </w:rPr>
        <w:t xml:space="preserve">, </w:t>
      </w:r>
      <w:r w:rsidR="021DD5F5" w:rsidRPr="0C1DC608">
        <w:rPr>
          <w:rFonts w:asciiTheme="majorHAnsi" w:hAnsiTheme="majorHAnsi" w:cstheme="majorBidi"/>
          <w:color w:val="00000F"/>
          <w:sz w:val="22"/>
          <w:szCs w:val="22"/>
        </w:rPr>
        <w:t>and on</w:t>
      </w:r>
      <w:r w:rsidR="00561E81" w:rsidRPr="0C1DC608">
        <w:rPr>
          <w:rFonts w:asciiTheme="majorHAnsi" w:hAnsiTheme="majorHAnsi" w:cstheme="majorBidi"/>
          <w:color w:val="00000F"/>
          <w:sz w:val="22"/>
          <w:szCs w:val="22"/>
        </w:rPr>
        <w:t xml:space="preserve"> identify</w:t>
      </w:r>
      <w:r w:rsidR="7B06FC10" w:rsidRPr="0C1DC608">
        <w:rPr>
          <w:rFonts w:asciiTheme="majorHAnsi" w:hAnsiTheme="majorHAnsi" w:cstheme="majorBidi"/>
          <w:color w:val="00000F"/>
          <w:sz w:val="22"/>
          <w:szCs w:val="22"/>
        </w:rPr>
        <w:t>ing</w:t>
      </w:r>
      <w:r w:rsidR="00561E81" w:rsidRPr="0C1DC608">
        <w:rPr>
          <w:rFonts w:asciiTheme="majorHAnsi" w:hAnsiTheme="majorHAnsi" w:cstheme="majorBidi"/>
          <w:color w:val="00000F"/>
          <w:sz w:val="22"/>
          <w:szCs w:val="22"/>
        </w:rPr>
        <w:t xml:space="preserve"> opportunities for </w:t>
      </w:r>
      <w:r w:rsidR="00E77C8B" w:rsidRPr="0C1DC608">
        <w:rPr>
          <w:rFonts w:asciiTheme="majorHAnsi" w:hAnsiTheme="majorHAnsi" w:cstheme="majorBidi"/>
          <w:color w:val="00000F"/>
          <w:sz w:val="22"/>
          <w:szCs w:val="22"/>
        </w:rPr>
        <w:t xml:space="preserve">the SU to be </w:t>
      </w:r>
      <w:r w:rsidR="06EC86A8" w:rsidRPr="0C1DC608">
        <w:rPr>
          <w:rFonts w:asciiTheme="majorHAnsi" w:hAnsiTheme="majorHAnsi" w:cstheme="majorBidi"/>
          <w:color w:val="00000F"/>
          <w:sz w:val="22"/>
          <w:szCs w:val="22"/>
        </w:rPr>
        <w:t xml:space="preserve">a </w:t>
      </w:r>
      <w:r w:rsidR="00561E81" w:rsidRPr="0C1DC608">
        <w:rPr>
          <w:rFonts w:asciiTheme="majorHAnsi" w:hAnsiTheme="majorHAnsi" w:cstheme="majorBidi"/>
          <w:color w:val="00000F"/>
          <w:sz w:val="22"/>
          <w:szCs w:val="22"/>
        </w:rPr>
        <w:t xml:space="preserve">resource </w:t>
      </w:r>
      <w:r w:rsidR="00DC1BF3" w:rsidRPr="0C1DC608">
        <w:rPr>
          <w:rFonts w:asciiTheme="majorHAnsi" w:hAnsiTheme="majorHAnsi" w:cstheme="majorBidi"/>
          <w:color w:val="00000F"/>
          <w:sz w:val="22"/>
          <w:szCs w:val="22"/>
        </w:rPr>
        <w:t xml:space="preserve">to support cross-regional </w:t>
      </w:r>
      <w:r w:rsidR="009D1402" w:rsidRPr="0C1DC608">
        <w:rPr>
          <w:rFonts w:asciiTheme="majorHAnsi" w:hAnsiTheme="majorHAnsi" w:cstheme="majorBidi"/>
          <w:color w:val="00000F"/>
          <w:sz w:val="22"/>
          <w:szCs w:val="22"/>
        </w:rPr>
        <w:t>activities that build relationships and learning.</w:t>
      </w:r>
      <w:r w:rsidR="009D0133" w:rsidRPr="0C1DC608">
        <w:rPr>
          <w:rFonts w:asciiTheme="majorHAnsi" w:hAnsiTheme="majorHAnsi" w:cstheme="majorBidi"/>
          <w:color w:val="00000F"/>
          <w:sz w:val="22"/>
          <w:szCs w:val="22"/>
        </w:rPr>
        <w:t xml:space="preserve"> This may include</w:t>
      </w:r>
      <w:r w:rsidR="00B62203" w:rsidRPr="0C1DC608">
        <w:rPr>
          <w:rFonts w:asciiTheme="majorHAnsi" w:hAnsiTheme="majorHAnsi" w:cstheme="majorBidi"/>
          <w:color w:val="00000F"/>
          <w:sz w:val="22"/>
          <w:szCs w:val="22"/>
        </w:rPr>
        <w:t>:</w:t>
      </w:r>
    </w:p>
    <w:p w14:paraId="11AEB1A4" w14:textId="77777777" w:rsidR="00B62203" w:rsidRDefault="009D29F3" w:rsidP="002D5E66">
      <w:pPr>
        <w:pStyle w:val="ListParagraph"/>
        <w:numPr>
          <w:ilvl w:val="0"/>
          <w:numId w:val="7"/>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B62203">
        <w:rPr>
          <w:rFonts w:asciiTheme="majorHAnsi" w:hAnsiTheme="majorHAnsi" w:cstheme="majorHAnsi"/>
          <w:color w:val="00000F"/>
          <w:sz w:val="22"/>
          <w:szCs w:val="22"/>
        </w:rPr>
        <w:t>i</w:t>
      </w:r>
      <w:r w:rsidR="003F1C31" w:rsidRPr="00B62203">
        <w:rPr>
          <w:rFonts w:asciiTheme="majorHAnsi" w:hAnsiTheme="majorHAnsi" w:cstheme="majorHAnsi"/>
          <w:color w:val="00000F"/>
          <w:sz w:val="22"/>
          <w:szCs w:val="22"/>
        </w:rPr>
        <w:t>dentif</w:t>
      </w:r>
      <w:r w:rsidR="009D1402" w:rsidRPr="00B62203">
        <w:rPr>
          <w:rFonts w:asciiTheme="majorHAnsi" w:hAnsiTheme="majorHAnsi" w:cstheme="majorHAnsi"/>
          <w:color w:val="00000F"/>
          <w:sz w:val="22"/>
          <w:szCs w:val="22"/>
        </w:rPr>
        <w:t>ication of</w:t>
      </w:r>
      <w:r w:rsidR="003F1C31" w:rsidRPr="00B62203">
        <w:rPr>
          <w:rFonts w:asciiTheme="majorHAnsi" w:hAnsiTheme="majorHAnsi" w:cstheme="majorHAnsi"/>
          <w:color w:val="00000F"/>
          <w:sz w:val="22"/>
          <w:szCs w:val="22"/>
        </w:rPr>
        <w:t xml:space="preserve"> specific pilots where collaboration between sub-programs could be tested</w:t>
      </w:r>
      <w:r w:rsidR="00B62203">
        <w:rPr>
          <w:rFonts w:asciiTheme="majorHAnsi" w:hAnsiTheme="majorHAnsi" w:cstheme="majorHAnsi"/>
          <w:color w:val="00000F"/>
          <w:sz w:val="22"/>
          <w:szCs w:val="22"/>
        </w:rPr>
        <w:t>.</w:t>
      </w:r>
    </w:p>
    <w:p w14:paraId="75E19EFE" w14:textId="77777777" w:rsidR="008A488B" w:rsidRDefault="009D29F3" w:rsidP="002D5E66">
      <w:pPr>
        <w:pStyle w:val="ListParagraph"/>
        <w:numPr>
          <w:ilvl w:val="0"/>
          <w:numId w:val="7"/>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B62203">
        <w:rPr>
          <w:rFonts w:asciiTheme="majorHAnsi" w:hAnsiTheme="majorHAnsi" w:cstheme="majorHAnsi"/>
          <w:color w:val="00000F"/>
          <w:sz w:val="22"/>
          <w:szCs w:val="22"/>
        </w:rPr>
        <w:t>m</w:t>
      </w:r>
      <w:r w:rsidR="001A17C7" w:rsidRPr="00B62203">
        <w:rPr>
          <w:rFonts w:asciiTheme="majorHAnsi" w:hAnsiTheme="majorHAnsi" w:cstheme="majorHAnsi"/>
          <w:color w:val="00000F"/>
          <w:sz w:val="22"/>
          <w:szCs w:val="22"/>
        </w:rPr>
        <w:t>aintenance or expansion of</w:t>
      </w:r>
      <w:r w:rsidR="003F1C31" w:rsidRPr="00B62203">
        <w:rPr>
          <w:rFonts w:asciiTheme="majorHAnsi" w:hAnsiTheme="majorHAnsi" w:cstheme="majorHAnsi"/>
          <w:color w:val="00000F"/>
          <w:sz w:val="22"/>
          <w:szCs w:val="22"/>
        </w:rPr>
        <w:t xml:space="preserve"> regional learni</w:t>
      </w:r>
      <w:r w:rsidRPr="00B62203">
        <w:rPr>
          <w:rFonts w:asciiTheme="majorHAnsi" w:hAnsiTheme="majorHAnsi" w:cstheme="majorHAnsi"/>
          <w:color w:val="00000F"/>
          <w:sz w:val="22"/>
          <w:szCs w:val="22"/>
        </w:rPr>
        <w:t xml:space="preserve">ng events. </w:t>
      </w:r>
    </w:p>
    <w:p w14:paraId="6B9D5BE0" w14:textId="77777777" w:rsidR="003F1C31" w:rsidRDefault="008A488B" w:rsidP="002D5E66">
      <w:pPr>
        <w:pStyle w:val="ListParagraph"/>
        <w:numPr>
          <w:ilvl w:val="0"/>
          <w:numId w:val="7"/>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a </w:t>
      </w:r>
      <w:r w:rsidR="007B7EBB" w:rsidRPr="008A488B">
        <w:rPr>
          <w:rFonts w:asciiTheme="majorHAnsi" w:hAnsiTheme="majorHAnsi" w:cstheme="majorHAnsi"/>
          <w:color w:val="00000F"/>
          <w:sz w:val="22"/>
          <w:szCs w:val="22"/>
        </w:rPr>
        <w:t xml:space="preserve">revised MEL </w:t>
      </w:r>
      <w:r w:rsidR="004B33D5" w:rsidRPr="008A488B">
        <w:rPr>
          <w:rFonts w:asciiTheme="majorHAnsi" w:hAnsiTheme="majorHAnsi" w:cstheme="majorHAnsi"/>
          <w:color w:val="00000F"/>
          <w:sz w:val="22"/>
          <w:szCs w:val="22"/>
        </w:rPr>
        <w:t xml:space="preserve">framework for the SU </w:t>
      </w:r>
      <w:r>
        <w:rPr>
          <w:rFonts w:asciiTheme="majorHAnsi" w:hAnsiTheme="majorHAnsi" w:cstheme="majorHAnsi"/>
          <w:color w:val="00000F"/>
          <w:sz w:val="22"/>
          <w:szCs w:val="22"/>
        </w:rPr>
        <w:t>to repla</w:t>
      </w:r>
      <w:r w:rsidR="00183BB7">
        <w:rPr>
          <w:rFonts w:asciiTheme="majorHAnsi" w:hAnsiTheme="majorHAnsi" w:cstheme="majorHAnsi"/>
          <w:color w:val="00000F"/>
          <w:sz w:val="22"/>
          <w:szCs w:val="22"/>
        </w:rPr>
        <w:t>ce the</w:t>
      </w:r>
      <w:r w:rsidR="007E2873" w:rsidRPr="008A488B">
        <w:rPr>
          <w:rFonts w:asciiTheme="majorHAnsi" w:hAnsiTheme="majorHAnsi" w:cstheme="majorHAnsi"/>
          <w:color w:val="00000F"/>
          <w:sz w:val="22"/>
          <w:szCs w:val="22"/>
        </w:rPr>
        <w:t xml:space="preserve"> Partnership MEL plan</w:t>
      </w:r>
      <w:r w:rsidR="00EA49D4" w:rsidRPr="008A488B">
        <w:rPr>
          <w:rFonts w:asciiTheme="majorHAnsi" w:hAnsiTheme="majorHAnsi" w:cstheme="majorHAnsi"/>
          <w:color w:val="00000F"/>
          <w:sz w:val="22"/>
          <w:szCs w:val="22"/>
        </w:rPr>
        <w:t>.</w:t>
      </w:r>
      <w:r w:rsidR="000005B4" w:rsidRPr="008A488B">
        <w:rPr>
          <w:rFonts w:asciiTheme="majorHAnsi" w:hAnsiTheme="majorHAnsi" w:cstheme="majorHAnsi"/>
          <w:color w:val="00000F"/>
          <w:sz w:val="22"/>
          <w:szCs w:val="22"/>
        </w:rPr>
        <w:t xml:space="preserve"> </w:t>
      </w:r>
    </w:p>
    <w:p w14:paraId="0EDA85E8" w14:textId="77777777" w:rsidR="00183BB7" w:rsidRPr="008A488B" w:rsidRDefault="10766945" w:rsidP="0C1DC608">
      <w:pPr>
        <w:pStyle w:val="ListParagraph"/>
        <w:numPr>
          <w:ilvl w:val="0"/>
          <w:numId w:val="7"/>
        </w:num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r</w:t>
      </w:r>
      <w:r w:rsidR="00183BB7" w:rsidRPr="0C1DC608">
        <w:rPr>
          <w:rFonts w:asciiTheme="majorHAnsi" w:hAnsiTheme="majorHAnsi" w:cstheme="majorBidi"/>
          <w:color w:val="00000F"/>
          <w:sz w:val="22"/>
          <w:szCs w:val="22"/>
        </w:rPr>
        <w:t>evitalising Australia’s support for long-term climate projections</w:t>
      </w:r>
      <w:r w:rsidR="00015D0F" w:rsidRPr="0C1DC608">
        <w:rPr>
          <w:rFonts w:asciiTheme="majorHAnsi" w:hAnsiTheme="majorHAnsi" w:cstheme="majorBidi"/>
          <w:color w:val="00000F"/>
          <w:sz w:val="22"/>
          <w:szCs w:val="22"/>
        </w:rPr>
        <w:t>, in particular to inform infrastructure investments</w:t>
      </w:r>
      <w:r w:rsidR="004B3E33" w:rsidRPr="0C1DC608">
        <w:rPr>
          <w:rFonts w:asciiTheme="majorHAnsi" w:hAnsiTheme="majorHAnsi" w:cstheme="majorBidi"/>
          <w:color w:val="00000F"/>
          <w:sz w:val="22"/>
          <w:szCs w:val="22"/>
        </w:rPr>
        <w:t>.</w:t>
      </w:r>
    </w:p>
    <w:p w14:paraId="704FCD8D" w14:textId="77777777" w:rsidR="00FB2C3C" w:rsidRPr="00876E35" w:rsidRDefault="00FB2C3C" w:rsidP="00FB2C3C">
      <w:pPr>
        <w:tabs>
          <w:tab w:val="left" w:pos="7780"/>
        </w:tabs>
        <w:rPr>
          <w:rFonts w:asciiTheme="majorHAnsi" w:hAnsiTheme="majorHAnsi" w:cstheme="majorHAnsi"/>
          <w:color w:val="B7432A"/>
          <w:spacing w:val="60"/>
          <w:sz w:val="22"/>
          <w:szCs w:val="22"/>
        </w:rPr>
      </w:pPr>
    </w:p>
    <w:p w14:paraId="408D83DF" w14:textId="77777777" w:rsidR="00746BBD" w:rsidRPr="00CE7731" w:rsidRDefault="00125FDD" w:rsidP="00611197">
      <w:pPr>
        <w:pStyle w:val="HEADING3A"/>
      </w:pPr>
      <w:r w:rsidRPr="0097445A">
        <w:t>2</w:t>
      </w:r>
      <w:r w:rsidR="0097445A" w:rsidRPr="0097445A">
        <w:t xml:space="preserve">. </w:t>
      </w:r>
      <w:r w:rsidR="00746BBD" w:rsidRPr="0097445A">
        <w:t xml:space="preserve"> Enhance engagement </w:t>
      </w:r>
      <w:r w:rsidR="0098558D">
        <w:t>with</w:t>
      </w:r>
      <w:r w:rsidR="0098558D" w:rsidRPr="0097445A">
        <w:t xml:space="preserve"> </w:t>
      </w:r>
      <w:r w:rsidR="00746BBD" w:rsidRPr="0097445A">
        <w:t>Pacific partners</w:t>
      </w:r>
    </w:p>
    <w:p w14:paraId="1008E05A" w14:textId="77777777" w:rsidR="00746BBD" w:rsidRPr="004F56FF" w:rsidRDefault="003060C8" w:rsidP="004F56FF">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Any future </w:t>
      </w:r>
      <w:r w:rsidR="00EB40C6">
        <w:rPr>
          <w:rFonts w:asciiTheme="majorHAnsi" w:hAnsiTheme="majorHAnsi" w:cstheme="majorHAnsi"/>
          <w:color w:val="00000F"/>
          <w:sz w:val="22"/>
          <w:szCs w:val="22"/>
        </w:rPr>
        <w:t xml:space="preserve">strategic </w:t>
      </w:r>
      <w:r>
        <w:rPr>
          <w:rFonts w:asciiTheme="majorHAnsi" w:hAnsiTheme="majorHAnsi" w:cstheme="majorHAnsi"/>
          <w:color w:val="00000F"/>
          <w:sz w:val="22"/>
          <w:szCs w:val="22"/>
        </w:rPr>
        <w:t>investments</w:t>
      </w:r>
      <w:r w:rsidR="00EB40C6">
        <w:rPr>
          <w:rFonts w:asciiTheme="majorHAnsi" w:hAnsiTheme="majorHAnsi" w:cstheme="majorHAnsi"/>
          <w:color w:val="00000F"/>
          <w:sz w:val="22"/>
          <w:szCs w:val="22"/>
        </w:rPr>
        <w:t xml:space="preserve"> should </w:t>
      </w:r>
      <w:r w:rsidR="00651159" w:rsidRPr="004F56FF">
        <w:rPr>
          <w:rFonts w:asciiTheme="majorHAnsi" w:hAnsiTheme="majorHAnsi" w:cstheme="majorHAnsi"/>
          <w:color w:val="00000F"/>
          <w:sz w:val="22"/>
          <w:szCs w:val="22"/>
        </w:rPr>
        <w:t xml:space="preserve">identify, </w:t>
      </w:r>
      <w:r w:rsidR="00540721" w:rsidRPr="004F56FF">
        <w:rPr>
          <w:rFonts w:asciiTheme="majorHAnsi" w:hAnsiTheme="majorHAnsi" w:cstheme="majorHAnsi"/>
          <w:color w:val="00000F"/>
          <w:sz w:val="22"/>
          <w:szCs w:val="22"/>
        </w:rPr>
        <w:t>develop,</w:t>
      </w:r>
      <w:r w:rsidR="00651159" w:rsidRPr="004F56FF">
        <w:rPr>
          <w:rFonts w:asciiTheme="majorHAnsi" w:hAnsiTheme="majorHAnsi" w:cstheme="majorHAnsi"/>
          <w:color w:val="00000F"/>
          <w:sz w:val="22"/>
          <w:szCs w:val="22"/>
        </w:rPr>
        <w:t xml:space="preserve"> and </w:t>
      </w:r>
      <w:r w:rsidR="00746BBD" w:rsidRPr="004F56FF">
        <w:rPr>
          <w:rFonts w:asciiTheme="majorHAnsi" w:hAnsiTheme="majorHAnsi" w:cstheme="majorHAnsi"/>
          <w:color w:val="00000F"/>
          <w:sz w:val="22"/>
          <w:szCs w:val="22"/>
        </w:rPr>
        <w:t xml:space="preserve">draw on Pacific sources of expertise </w:t>
      </w:r>
      <w:r w:rsidR="00EB40C6">
        <w:rPr>
          <w:rFonts w:asciiTheme="majorHAnsi" w:hAnsiTheme="majorHAnsi" w:cstheme="majorHAnsi"/>
          <w:color w:val="00000F"/>
          <w:sz w:val="22"/>
          <w:szCs w:val="22"/>
        </w:rPr>
        <w:t>where available</w:t>
      </w:r>
      <w:r w:rsidR="001F4474">
        <w:rPr>
          <w:rFonts w:asciiTheme="majorHAnsi" w:hAnsiTheme="majorHAnsi" w:cstheme="majorHAnsi"/>
          <w:color w:val="00000F"/>
          <w:sz w:val="22"/>
          <w:szCs w:val="22"/>
        </w:rPr>
        <w:t xml:space="preserve"> and build on the SU recent appointments of local facilitators in country</w:t>
      </w:r>
      <w:r w:rsidR="00EB40C6">
        <w:rPr>
          <w:rFonts w:asciiTheme="majorHAnsi" w:hAnsiTheme="majorHAnsi" w:cstheme="majorHAnsi"/>
          <w:color w:val="00000F"/>
          <w:sz w:val="22"/>
          <w:szCs w:val="22"/>
        </w:rPr>
        <w:t>. This is particularly pertinent where DFAT</w:t>
      </w:r>
      <w:r w:rsidR="00BD1DE5">
        <w:rPr>
          <w:rFonts w:asciiTheme="majorHAnsi" w:hAnsiTheme="majorHAnsi" w:cstheme="majorHAnsi"/>
          <w:color w:val="00000F"/>
          <w:sz w:val="22"/>
          <w:szCs w:val="22"/>
        </w:rPr>
        <w:t xml:space="preserve"> is seeking to strengthen the effectiveness </w:t>
      </w:r>
      <w:r w:rsidR="003A5DE5">
        <w:rPr>
          <w:rFonts w:asciiTheme="majorHAnsi" w:hAnsiTheme="majorHAnsi" w:cstheme="majorHAnsi"/>
          <w:color w:val="00000F"/>
          <w:sz w:val="22"/>
          <w:szCs w:val="22"/>
        </w:rPr>
        <w:t xml:space="preserve">of </w:t>
      </w:r>
      <w:r w:rsidR="003A5DE5" w:rsidRPr="004F56FF">
        <w:rPr>
          <w:rFonts w:asciiTheme="majorHAnsi" w:hAnsiTheme="majorHAnsi" w:cstheme="majorHAnsi"/>
          <w:color w:val="00000F"/>
          <w:sz w:val="22"/>
          <w:szCs w:val="22"/>
        </w:rPr>
        <w:t>integration</w:t>
      </w:r>
      <w:r w:rsidR="00746BBD" w:rsidRPr="004F56FF">
        <w:rPr>
          <w:rFonts w:asciiTheme="majorHAnsi" w:hAnsiTheme="majorHAnsi" w:cstheme="majorHAnsi"/>
          <w:color w:val="00000F"/>
          <w:sz w:val="22"/>
          <w:szCs w:val="22"/>
        </w:rPr>
        <w:t xml:space="preserve"> and knowledge brokering effort</w:t>
      </w:r>
      <w:r w:rsidR="00BD1DE5">
        <w:rPr>
          <w:rFonts w:asciiTheme="majorHAnsi" w:hAnsiTheme="majorHAnsi" w:cstheme="majorHAnsi"/>
          <w:color w:val="00000F"/>
          <w:sz w:val="22"/>
          <w:szCs w:val="22"/>
        </w:rPr>
        <w:t xml:space="preserve">. </w:t>
      </w:r>
      <w:r w:rsidR="00945857">
        <w:rPr>
          <w:rFonts w:asciiTheme="majorHAnsi" w:hAnsiTheme="majorHAnsi" w:cstheme="majorHAnsi"/>
          <w:color w:val="00000F"/>
          <w:sz w:val="22"/>
          <w:szCs w:val="22"/>
        </w:rPr>
        <w:t xml:space="preserve">DFAT should explore options to create more meaningful partnerships with Pacific partners </w:t>
      </w:r>
      <w:r w:rsidR="00306AB2">
        <w:rPr>
          <w:rFonts w:asciiTheme="majorHAnsi" w:hAnsiTheme="majorHAnsi" w:cstheme="majorHAnsi"/>
          <w:color w:val="00000F"/>
          <w:sz w:val="22"/>
          <w:szCs w:val="22"/>
        </w:rPr>
        <w:t>already influencing climate change discourse in the Pacific</w:t>
      </w:r>
      <w:r w:rsidR="00203D1F">
        <w:rPr>
          <w:rFonts w:asciiTheme="majorHAnsi" w:hAnsiTheme="majorHAnsi" w:cstheme="majorHAnsi"/>
          <w:color w:val="00000F"/>
          <w:sz w:val="22"/>
          <w:szCs w:val="22"/>
        </w:rPr>
        <w:t xml:space="preserve">. </w:t>
      </w:r>
      <w:r w:rsidR="00152CCE">
        <w:rPr>
          <w:rFonts w:asciiTheme="majorHAnsi" w:hAnsiTheme="majorHAnsi" w:cstheme="majorHAnsi"/>
          <w:color w:val="00000F"/>
          <w:sz w:val="22"/>
          <w:szCs w:val="22"/>
        </w:rPr>
        <w:t xml:space="preserve">Climate science and other related climate information must be targeted more directly to the needs of PICs and this can only be achieved with consistent and </w:t>
      </w:r>
      <w:r w:rsidR="00E15B6E">
        <w:rPr>
          <w:rFonts w:asciiTheme="majorHAnsi" w:hAnsiTheme="majorHAnsi" w:cstheme="majorHAnsi"/>
          <w:color w:val="00000F"/>
          <w:sz w:val="22"/>
          <w:szCs w:val="22"/>
        </w:rPr>
        <w:t>relevant PIC expertise and experience.</w:t>
      </w:r>
    </w:p>
    <w:p w14:paraId="3F93841C" w14:textId="77777777" w:rsidR="003F1C31" w:rsidRDefault="003F1C31" w:rsidP="003940EF">
      <w:pPr>
        <w:pStyle w:val="Subheading"/>
        <w:outlineLvl w:val="0"/>
        <w:rPr>
          <w:rFonts w:asciiTheme="majorHAnsi" w:hAnsiTheme="majorHAnsi" w:cstheme="majorHAnsi"/>
        </w:rPr>
      </w:pPr>
    </w:p>
    <w:p w14:paraId="193FEE7B" w14:textId="77777777" w:rsidR="00836880" w:rsidRPr="00CE7731" w:rsidRDefault="00836880" w:rsidP="00611197">
      <w:pPr>
        <w:pStyle w:val="HEADING3A"/>
      </w:pPr>
      <w:r w:rsidRPr="00943AC0">
        <w:t>3</w:t>
      </w:r>
      <w:r w:rsidR="00943AC0">
        <w:t>.</w:t>
      </w:r>
      <w:r w:rsidRPr="00943AC0">
        <w:t xml:space="preserve"> </w:t>
      </w:r>
      <w:r w:rsidR="00AE64A5" w:rsidRPr="00943AC0">
        <w:t>Develop</w:t>
      </w:r>
      <w:r w:rsidRPr="00943AC0">
        <w:t xml:space="preserve"> DFAT internal expertise on climate change </w:t>
      </w:r>
    </w:p>
    <w:p w14:paraId="44ACA306" w14:textId="77777777" w:rsidR="005124FC" w:rsidRDefault="003A5DE5" w:rsidP="003A5DE5">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There is a noticeable gap in implementation </w:t>
      </w:r>
      <w:r w:rsidR="002162D2">
        <w:rPr>
          <w:rFonts w:asciiTheme="majorHAnsi" w:hAnsiTheme="majorHAnsi" w:cstheme="majorHAnsi"/>
          <w:color w:val="00000F"/>
          <w:sz w:val="22"/>
          <w:szCs w:val="22"/>
        </w:rPr>
        <w:t xml:space="preserve">of Australia’s climate change support that requires internalisation of expertise in DFAT. </w:t>
      </w:r>
      <w:r w:rsidR="005124FC">
        <w:rPr>
          <w:rFonts w:asciiTheme="majorHAnsi" w:hAnsiTheme="majorHAnsi" w:cstheme="majorHAnsi"/>
          <w:color w:val="00000F"/>
          <w:sz w:val="22"/>
          <w:szCs w:val="22"/>
        </w:rPr>
        <w:t>In considering what this may look like, DFAT should consider expertise that can:</w:t>
      </w:r>
    </w:p>
    <w:p w14:paraId="2DF6FBD1" w14:textId="77777777" w:rsidR="002716B5" w:rsidRPr="007A49DB" w:rsidRDefault="004667EE" w:rsidP="002D5E66">
      <w:pPr>
        <w:pStyle w:val="ListParagraph"/>
        <w:numPr>
          <w:ilvl w:val="0"/>
          <w:numId w:val="5"/>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7A49DB">
        <w:rPr>
          <w:rFonts w:asciiTheme="majorHAnsi" w:hAnsiTheme="majorHAnsi" w:cstheme="majorHAnsi"/>
          <w:color w:val="00000F"/>
          <w:sz w:val="22"/>
          <w:szCs w:val="22"/>
        </w:rPr>
        <w:t xml:space="preserve">be </w:t>
      </w:r>
      <w:r w:rsidR="002716B5" w:rsidRPr="007A49DB">
        <w:rPr>
          <w:rFonts w:asciiTheme="majorHAnsi" w:hAnsiTheme="majorHAnsi" w:cstheme="majorHAnsi"/>
          <w:color w:val="00000F"/>
          <w:sz w:val="22"/>
          <w:szCs w:val="22"/>
        </w:rPr>
        <w:t>responsible for the overall quality of climate related advice within DFAT</w:t>
      </w:r>
      <w:r w:rsidR="007F6458" w:rsidRPr="007A49DB">
        <w:rPr>
          <w:rFonts w:asciiTheme="majorHAnsi" w:hAnsiTheme="majorHAnsi" w:cstheme="majorHAnsi"/>
          <w:color w:val="00000F"/>
          <w:sz w:val="22"/>
          <w:szCs w:val="22"/>
        </w:rPr>
        <w:t>,</w:t>
      </w:r>
      <w:r w:rsidR="002716B5" w:rsidRPr="007A49DB">
        <w:rPr>
          <w:rFonts w:asciiTheme="majorHAnsi" w:hAnsiTheme="majorHAnsi" w:cstheme="majorHAnsi"/>
          <w:color w:val="00000F"/>
          <w:sz w:val="22"/>
          <w:szCs w:val="22"/>
        </w:rPr>
        <w:t xml:space="preserve"> centralised under the Ambassador for Climate </w:t>
      </w:r>
      <w:r w:rsidR="00D14DC2" w:rsidRPr="007A49DB">
        <w:rPr>
          <w:rFonts w:asciiTheme="majorHAnsi" w:hAnsiTheme="majorHAnsi" w:cstheme="majorHAnsi"/>
          <w:color w:val="00000F"/>
          <w:sz w:val="22"/>
          <w:szCs w:val="22"/>
        </w:rPr>
        <w:t>Chan</w:t>
      </w:r>
      <w:r w:rsidR="00D14DC2">
        <w:rPr>
          <w:rFonts w:asciiTheme="majorHAnsi" w:hAnsiTheme="majorHAnsi" w:cstheme="majorHAnsi"/>
          <w:color w:val="00000F"/>
          <w:sz w:val="22"/>
          <w:szCs w:val="22"/>
        </w:rPr>
        <w:t>g</w:t>
      </w:r>
      <w:r w:rsidR="00D14DC2" w:rsidRPr="007A49DB">
        <w:rPr>
          <w:rFonts w:asciiTheme="majorHAnsi" w:hAnsiTheme="majorHAnsi" w:cstheme="majorHAnsi"/>
          <w:color w:val="00000F"/>
          <w:sz w:val="22"/>
          <w:szCs w:val="22"/>
        </w:rPr>
        <w:t>e</w:t>
      </w:r>
      <w:r w:rsidR="00D14DC2">
        <w:rPr>
          <w:rFonts w:asciiTheme="majorHAnsi" w:hAnsiTheme="majorHAnsi" w:cstheme="majorHAnsi"/>
          <w:color w:val="00000F"/>
          <w:sz w:val="22"/>
          <w:szCs w:val="22"/>
        </w:rPr>
        <w:t>.</w:t>
      </w:r>
    </w:p>
    <w:p w14:paraId="77274435" w14:textId="77777777" w:rsidR="00836880" w:rsidRPr="009F68C6" w:rsidRDefault="7118B413" w:rsidP="002D5E66">
      <w:pPr>
        <w:pStyle w:val="ListParagraph"/>
        <w:numPr>
          <w:ilvl w:val="0"/>
          <w:numId w:val="5"/>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717C916D">
        <w:rPr>
          <w:rFonts w:asciiTheme="majorHAnsi" w:hAnsiTheme="majorHAnsi" w:cstheme="majorBidi"/>
          <w:color w:val="00000F"/>
          <w:sz w:val="22"/>
          <w:szCs w:val="22"/>
        </w:rPr>
        <w:t xml:space="preserve">engage </w:t>
      </w:r>
      <w:r w:rsidR="107F4BB1" w:rsidRPr="717C916D">
        <w:rPr>
          <w:rFonts w:asciiTheme="majorHAnsi" w:hAnsiTheme="majorHAnsi" w:cstheme="majorBidi"/>
          <w:color w:val="00000F"/>
          <w:sz w:val="22"/>
          <w:szCs w:val="22"/>
        </w:rPr>
        <w:t xml:space="preserve">with </w:t>
      </w:r>
      <w:r w:rsidRPr="717C916D">
        <w:rPr>
          <w:rFonts w:asciiTheme="majorHAnsi" w:hAnsiTheme="majorHAnsi" w:cstheme="majorBidi"/>
          <w:color w:val="00000F"/>
          <w:sz w:val="22"/>
          <w:szCs w:val="22"/>
        </w:rPr>
        <w:t xml:space="preserve">DFAT’s policy and operational discussions and </w:t>
      </w:r>
      <w:r w:rsidR="00836880" w:rsidRPr="717C916D">
        <w:rPr>
          <w:rFonts w:asciiTheme="majorHAnsi" w:hAnsiTheme="majorHAnsi" w:cstheme="majorBidi"/>
          <w:color w:val="00000F"/>
          <w:sz w:val="22"/>
          <w:szCs w:val="22"/>
        </w:rPr>
        <w:t xml:space="preserve">provide a bridge </w:t>
      </w:r>
      <w:r w:rsidR="78EE8A4A" w:rsidRPr="717C916D">
        <w:rPr>
          <w:rFonts w:asciiTheme="majorHAnsi" w:hAnsiTheme="majorHAnsi" w:cstheme="majorBidi"/>
          <w:color w:val="00000F"/>
          <w:sz w:val="22"/>
          <w:szCs w:val="22"/>
        </w:rPr>
        <w:t>between</w:t>
      </w:r>
      <w:r w:rsidR="65885434" w:rsidRPr="717C916D">
        <w:rPr>
          <w:rFonts w:asciiTheme="majorHAnsi" w:hAnsiTheme="majorHAnsi" w:cstheme="majorBidi"/>
          <w:color w:val="00000F"/>
          <w:sz w:val="22"/>
          <w:szCs w:val="22"/>
        </w:rPr>
        <w:t xml:space="preserve"> those discussions </w:t>
      </w:r>
      <w:r w:rsidR="78EE8A4A" w:rsidRPr="717C916D">
        <w:rPr>
          <w:rFonts w:asciiTheme="majorHAnsi" w:hAnsiTheme="majorHAnsi" w:cstheme="majorBidi"/>
          <w:color w:val="00000F"/>
          <w:sz w:val="22"/>
          <w:szCs w:val="22"/>
        </w:rPr>
        <w:t>and the SU’s considerable technical expertise and knowledge</w:t>
      </w:r>
      <w:r w:rsidR="004672F7">
        <w:rPr>
          <w:rFonts w:asciiTheme="majorHAnsi" w:hAnsiTheme="majorHAnsi" w:cstheme="majorBidi"/>
          <w:color w:val="00000F"/>
          <w:sz w:val="22"/>
          <w:szCs w:val="22"/>
        </w:rPr>
        <w:t xml:space="preserve"> </w:t>
      </w:r>
      <w:r w:rsidR="00AE64A5">
        <w:rPr>
          <w:rFonts w:asciiTheme="majorHAnsi" w:hAnsiTheme="majorHAnsi" w:cstheme="majorHAnsi"/>
          <w:color w:val="00000F"/>
          <w:sz w:val="22"/>
          <w:szCs w:val="22"/>
        </w:rPr>
        <w:t>share</w:t>
      </w:r>
      <w:r w:rsidR="00836880" w:rsidRPr="009F68C6">
        <w:rPr>
          <w:rFonts w:asciiTheme="majorHAnsi" w:hAnsiTheme="majorHAnsi" w:cstheme="majorHAnsi"/>
          <w:color w:val="00000F"/>
          <w:sz w:val="22"/>
          <w:szCs w:val="22"/>
        </w:rPr>
        <w:t xml:space="preserve"> across DFAT divisions, drive system enhancements and build </w:t>
      </w:r>
      <w:r w:rsidR="00D14DC2" w:rsidRPr="009F68C6">
        <w:rPr>
          <w:rFonts w:asciiTheme="majorHAnsi" w:hAnsiTheme="majorHAnsi" w:cstheme="majorHAnsi"/>
          <w:color w:val="00000F"/>
          <w:sz w:val="22"/>
          <w:szCs w:val="22"/>
        </w:rPr>
        <w:t>capacity</w:t>
      </w:r>
      <w:r w:rsidR="00D14DC2">
        <w:rPr>
          <w:rFonts w:asciiTheme="majorHAnsi" w:hAnsiTheme="majorHAnsi" w:cstheme="majorHAnsi"/>
          <w:color w:val="00000F"/>
          <w:sz w:val="22"/>
          <w:szCs w:val="22"/>
        </w:rPr>
        <w:t>.</w:t>
      </w:r>
    </w:p>
    <w:p w14:paraId="3870A9CE" w14:textId="77777777" w:rsidR="00836880" w:rsidRPr="009F68C6" w:rsidRDefault="00836880" w:rsidP="002D5E66">
      <w:pPr>
        <w:pStyle w:val="ListParagraph"/>
        <w:numPr>
          <w:ilvl w:val="0"/>
          <w:numId w:val="5"/>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sidRPr="009F68C6">
        <w:rPr>
          <w:rFonts w:asciiTheme="majorHAnsi" w:hAnsiTheme="majorHAnsi" w:cstheme="majorHAnsi"/>
          <w:color w:val="00000F"/>
          <w:sz w:val="22"/>
          <w:szCs w:val="22"/>
        </w:rPr>
        <w:t>quality-assure the work of the SU</w:t>
      </w:r>
      <w:r w:rsidR="0061525A">
        <w:rPr>
          <w:rFonts w:asciiTheme="majorHAnsi" w:hAnsiTheme="majorHAnsi" w:cstheme="majorHAnsi"/>
          <w:color w:val="00000F"/>
          <w:sz w:val="22"/>
          <w:szCs w:val="22"/>
        </w:rPr>
        <w:t>.</w:t>
      </w:r>
    </w:p>
    <w:p w14:paraId="552F03C0" w14:textId="77777777" w:rsidR="00836880" w:rsidRPr="00E66A5E" w:rsidRDefault="00836880" w:rsidP="00836880">
      <w:pPr>
        <w:pStyle w:val="Subheading"/>
        <w:outlineLvl w:val="0"/>
        <w:rPr>
          <w:rFonts w:asciiTheme="majorHAnsi" w:hAnsiTheme="majorHAnsi" w:cstheme="majorHAnsi"/>
          <w:color w:val="00000F"/>
          <w:spacing w:val="0"/>
        </w:rPr>
      </w:pPr>
    </w:p>
    <w:p w14:paraId="07AFB445" w14:textId="77777777" w:rsidR="003F1C31" w:rsidRDefault="003F1C31" w:rsidP="003940EF">
      <w:pPr>
        <w:pStyle w:val="Subheading"/>
        <w:outlineLvl w:val="0"/>
        <w:rPr>
          <w:rFonts w:asciiTheme="majorHAnsi" w:hAnsiTheme="majorHAnsi" w:cstheme="majorHAnsi"/>
        </w:rPr>
      </w:pPr>
    </w:p>
    <w:p w14:paraId="7AA37488" w14:textId="77777777" w:rsidR="00943AC0" w:rsidRDefault="00943AC0" w:rsidP="00611197">
      <w:pPr>
        <w:pStyle w:val="Heading2A"/>
      </w:pPr>
      <w:bookmarkStart w:id="27" w:name="_Toc72104084"/>
      <w:r>
        <w:t xml:space="preserve">OPERATIONAL </w:t>
      </w:r>
      <w:r w:rsidR="00836880">
        <w:t>RECOMMENDATION</w:t>
      </w:r>
      <w:r>
        <w:t>S</w:t>
      </w:r>
      <w:bookmarkEnd w:id="27"/>
    </w:p>
    <w:p w14:paraId="6BBA91D2" w14:textId="77777777" w:rsidR="00943AC0" w:rsidRDefault="00836880" w:rsidP="003940EF">
      <w:pPr>
        <w:pStyle w:val="Subheading"/>
        <w:outlineLvl w:val="0"/>
        <w:rPr>
          <w:rFonts w:asciiTheme="majorHAnsi" w:hAnsiTheme="majorHAnsi" w:cstheme="majorHAnsi"/>
          <w:lang w:val="en-US"/>
        </w:rPr>
      </w:pPr>
      <w:r>
        <w:rPr>
          <w:rFonts w:asciiTheme="majorHAnsi" w:hAnsiTheme="majorHAnsi" w:cstheme="majorHAnsi"/>
          <w:lang w:val="en-US"/>
        </w:rPr>
        <w:t xml:space="preserve"> </w:t>
      </w:r>
    </w:p>
    <w:p w14:paraId="6F790E69" w14:textId="77777777" w:rsidR="00E72C08" w:rsidRPr="00CE7731" w:rsidRDefault="00836880" w:rsidP="00611197">
      <w:pPr>
        <w:pStyle w:val="HEADING3A"/>
      </w:pPr>
      <w:r w:rsidRPr="00B441A5">
        <w:t>4</w:t>
      </w:r>
      <w:r w:rsidR="00F77ABF" w:rsidRPr="00B441A5">
        <w:t>.</w:t>
      </w:r>
      <w:r w:rsidR="00746BBD" w:rsidRPr="00B441A5">
        <w:t xml:space="preserve"> </w:t>
      </w:r>
      <w:r w:rsidR="00C31ECE" w:rsidRPr="00B441A5">
        <w:t xml:space="preserve">Strengthen </w:t>
      </w:r>
      <w:r w:rsidR="00746BBD" w:rsidRPr="00B441A5">
        <w:t xml:space="preserve">the </w:t>
      </w:r>
      <w:r w:rsidR="004548E3" w:rsidRPr="00B441A5">
        <w:t xml:space="preserve">Support Unit </w:t>
      </w:r>
      <w:r w:rsidR="00EA426A">
        <w:t>t</w:t>
      </w:r>
      <w:r w:rsidR="00DA0912">
        <w:t>o ensure it rema</w:t>
      </w:r>
      <w:r w:rsidR="008B037F">
        <w:t xml:space="preserve">ins </w:t>
      </w:r>
      <w:r w:rsidR="006A5FF4">
        <w:t>fit for purpose as its role evolves</w:t>
      </w:r>
    </w:p>
    <w:p w14:paraId="122ACC5B" w14:textId="77777777" w:rsidR="0061525A" w:rsidRDefault="0061525A" w:rsidP="0061525A">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The</w:t>
      </w:r>
      <w:r w:rsidR="00211373">
        <w:rPr>
          <w:rFonts w:asciiTheme="majorHAnsi" w:hAnsiTheme="majorHAnsi" w:cstheme="majorHAnsi"/>
          <w:color w:val="00000F"/>
          <w:sz w:val="22"/>
          <w:szCs w:val="22"/>
        </w:rPr>
        <w:t xml:space="preserve"> Support Unit provides critical support to </w:t>
      </w:r>
      <w:r w:rsidR="002B17CB">
        <w:rPr>
          <w:rFonts w:asciiTheme="majorHAnsi" w:hAnsiTheme="majorHAnsi" w:cstheme="majorHAnsi"/>
          <w:color w:val="00000F"/>
          <w:sz w:val="22"/>
          <w:szCs w:val="22"/>
        </w:rPr>
        <w:t xml:space="preserve">Australia’s aid investments across the Pacific </w:t>
      </w:r>
      <w:r w:rsidR="00B30F09">
        <w:rPr>
          <w:rFonts w:asciiTheme="majorHAnsi" w:hAnsiTheme="majorHAnsi" w:cstheme="majorHAnsi"/>
          <w:color w:val="00000F"/>
          <w:sz w:val="22"/>
          <w:szCs w:val="22"/>
        </w:rPr>
        <w:t xml:space="preserve">and has </w:t>
      </w:r>
      <w:r w:rsidR="00A94A23">
        <w:rPr>
          <w:rFonts w:asciiTheme="majorHAnsi" w:hAnsiTheme="majorHAnsi" w:cstheme="majorHAnsi"/>
          <w:color w:val="00000F"/>
          <w:sz w:val="22"/>
          <w:szCs w:val="22"/>
        </w:rPr>
        <w:t xml:space="preserve">established generally strong systems, processes and engagement </w:t>
      </w:r>
      <w:r w:rsidR="004A19B0">
        <w:rPr>
          <w:rFonts w:asciiTheme="majorHAnsi" w:hAnsiTheme="majorHAnsi" w:cstheme="majorHAnsi"/>
          <w:color w:val="00000F"/>
          <w:sz w:val="22"/>
          <w:szCs w:val="22"/>
        </w:rPr>
        <w:t xml:space="preserve">that should continue unimpeded. </w:t>
      </w:r>
      <w:r w:rsidR="0074253D">
        <w:rPr>
          <w:rFonts w:asciiTheme="majorHAnsi" w:hAnsiTheme="majorHAnsi" w:cstheme="majorHAnsi"/>
          <w:color w:val="00000F"/>
          <w:sz w:val="22"/>
          <w:szCs w:val="22"/>
        </w:rPr>
        <w:t xml:space="preserve">There are opportunities to further </w:t>
      </w:r>
      <w:r w:rsidR="002B17CB">
        <w:rPr>
          <w:rFonts w:asciiTheme="majorHAnsi" w:hAnsiTheme="majorHAnsi" w:cstheme="majorHAnsi"/>
          <w:color w:val="00000F"/>
          <w:sz w:val="22"/>
          <w:szCs w:val="22"/>
        </w:rPr>
        <w:t>strengthen</w:t>
      </w:r>
      <w:r w:rsidR="0074253D">
        <w:rPr>
          <w:rFonts w:asciiTheme="majorHAnsi" w:hAnsiTheme="majorHAnsi" w:cstheme="majorHAnsi"/>
          <w:color w:val="00000F"/>
          <w:sz w:val="22"/>
          <w:szCs w:val="22"/>
        </w:rPr>
        <w:t xml:space="preserve"> the SU</w:t>
      </w:r>
      <w:r w:rsidR="006E22FF">
        <w:rPr>
          <w:rFonts w:asciiTheme="majorHAnsi" w:hAnsiTheme="majorHAnsi" w:cstheme="majorHAnsi"/>
          <w:color w:val="00000F"/>
          <w:sz w:val="22"/>
          <w:szCs w:val="22"/>
        </w:rPr>
        <w:t xml:space="preserve"> with consideration to:</w:t>
      </w:r>
    </w:p>
    <w:p w14:paraId="0EEE7C6E" w14:textId="77777777" w:rsidR="00836880" w:rsidRPr="006E22FF" w:rsidRDefault="25681094" w:rsidP="0C1DC608">
      <w:pPr>
        <w:pStyle w:val="ListParagraph"/>
        <w:numPr>
          <w:ilvl w:val="0"/>
          <w:numId w:val="6"/>
        </w:num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e</w:t>
      </w:r>
      <w:r w:rsidR="00836880" w:rsidRPr="0C1DC608">
        <w:rPr>
          <w:rFonts w:asciiTheme="majorHAnsi" w:hAnsiTheme="majorHAnsi" w:cstheme="majorBidi"/>
          <w:color w:val="00000F"/>
          <w:sz w:val="22"/>
          <w:szCs w:val="22"/>
        </w:rPr>
        <w:t>nsur</w:t>
      </w:r>
      <w:r w:rsidR="006E22FF" w:rsidRPr="0C1DC608">
        <w:rPr>
          <w:rFonts w:asciiTheme="majorHAnsi" w:hAnsiTheme="majorHAnsi" w:cstheme="majorBidi"/>
          <w:color w:val="00000F"/>
          <w:sz w:val="22"/>
          <w:szCs w:val="22"/>
        </w:rPr>
        <w:t>ing</w:t>
      </w:r>
      <w:r w:rsidR="00836880" w:rsidRPr="0C1DC608">
        <w:rPr>
          <w:rFonts w:asciiTheme="majorHAnsi" w:hAnsiTheme="majorHAnsi" w:cstheme="majorBidi"/>
          <w:color w:val="00000F"/>
          <w:sz w:val="22"/>
          <w:szCs w:val="22"/>
        </w:rPr>
        <w:t xml:space="preserve"> assistance</w:t>
      </w:r>
      <w:r w:rsidR="006E22FF" w:rsidRPr="0C1DC608">
        <w:rPr>
          <w:rFonts w:asciiTheme="majorHAnsi" w:hAnsiTheme="majorHAnsi" w:cstheme="majorBidi"/>
          <w:color w:val="00000F"/>
          <w:sz w:val="22"/>
          <w:szCs w:val="22"/>
        </w:rPr>
        <w:t xml:space="preserve"> provided by the SU and Expert Panels</w:t>
      </w:r>
      <w:r w:rsidR="00836880" w:rsidRPr="0C1DC608">
        <w:rPr>
          <w:rFonts w:asciiTheme="majorHAnsi" w:hAnsiTheme="majorHAnsi" w:cstheme="majorBidi"/>
          <w:color w:val="00000F"/>
          <w:sz w:val="22"/>
          <w:szCs w:val="22"/>
        </w:rPr>
        <w:t xml:space="preserve"> </w:t>
      </w:r>
      <w:r w:rsidR="4F2430E2" w:rsidRPr="0C1DC608">
        <w:rPr>
          <w:rFonts w:asciiTheme="majorHAnsi" w:hAnsiTheme="majorHAnsi" w:cstheme="majorBidi"/>
          <w:color w:val="00000F"/>
          <w:sz w:val="22"/>
          <w:szCs w:val="22"/>
        </w:rPr>
        <w:t>is</w:t>
      </w:r>
      <w:r w:rsidR="00FD3CCF">
        <w:rPr>
          <w:rFonts w:asciiTheme="majorHAnsi" w:hAnsiTheme="majorHAnsi" w:cstheme="majorBidi"/>
          <w:color w:val="00000F"/>
          <w:sz w:val="22"/>
          <w:szCs w:val="22"/>
        </w:rPr>
        <w:t xml:space="preserve"> </w:t>
      </w:r>
      <w:r w:rsidR="00836880" w:rsidRPr="0C1DC608">
        <w:rPr>
          <w:rFonts w:asciiTheme="majorHAnsi" w:hAnsiTheme="majorHAnsi" w:cstheme="majorBidi"/>
          <w:color w:val="00000F"/>
          <w:sz w:val="22"/>
          <w:szCs w:val="22"/>
        </w:rPr>
        <w:t xml:space="preserve">fit for </w:t>
      </w:r>
      <w:r w:rsidR="004F66E2" w:rsidRPr="0C1DC608">
        <w:rPr>
          <w:rFonts w:asciiTheme="majorHAnsi" w:hAnsiTheme="majorHAnsi" w:cstheme="majorBidi"/>
          <w:color w:val="00000F"/>
          <w:sz w:val="22"/>
          <w:szCs w:val="22"/>
        </w:rPr>
        <w:t>purpose.</w:t>
      </w:r>
      <w:r w:rsidR="00593742" w:rsidRPr="0C1DC608">
        <w:rPr>
          <w:rFonts w:asciiTheme="majorHAnsi" w:hAnsiTheme="majorHAnsi" w:cstheme="majorBidi"/>
          <w:color w:val="00000F"/>
          <w:sz w:val="22"/>
          <w:szCs w:val="22"/>
        </w:rPr>
        <w:t xml:space="preserve"> </w:t>
      </w:r>
    </w:p>
    <w:p w14:paraId="6E28325E" w14:textId="77777777" w:rsidR="00836880" w:rsidRPr="00593742" w:rsidRDefault="751D46C2" w:rsidP="0C1DC608">
      <w:pPr>
        <w:pStyle w:val="ListParagraph"/>
        <w:numPr>
          <w:ilvl w:val="1"/>
          <w:numId w:val="6"/>
        </w:num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 xml:space="preserve">consider </w:t>
      </w:r>
      <w:r w:rsidR="00836880" w:rsidRPr="0C1DC608">
        <w:rPr>
          <w:rFonts w:asciiTheme="majorHAnsi" w:hAnsiTheme="majorHAnsi" w:cstheme="majorBidi"/>
          <w:color w:val="00000F"/>
          <w:sz w:val="22"/>
          <w:szCs w:val="22"/>
        </w:rPr>
        <w:t>locat</w:t>
      </w:r>
      <w:r w:rsidR="00D170C0" w:rsidRPr="0C1DC608">
        <w:rPr>
          <w:rFonts w:asciiTheme="majorHAnsi" w:hAnsiTheme="majorHAnsi" w:cstheme="majorBidi"/>
          <w:color w:val="00000F"/>
          <w:sz w:val="22"/>
          <w:szCs w:val="22"/>
        </w:rPr>
        <w:t>ing</w:t>
      </w:r>
      <w:r w:rsidR="00836880" w:rsidRPr="0C1DC608">
        <w:rPr>
          <w:rFonts w:asciiTheme="majorHAnsi" w:hAnsiTheme="majorHAnsi" w:cstheme="majorBidi"/>
          <w:color w:val="00000F"/>
          <w:sz w:val="22"/>
          <w:szCs w:val="22"/>
        </w:rPr>
        <w:t xml:space="preserve"> SU staff in</w:t>
      </w:r>
      <w:r w:rsidR="00D170C0" w:rsidRPr="0C1DC608">
        <w:rPr>
          <w:rFonts w:asciiTheme="majorHAnsi" w:hAnsiTheme="majorHAnsi" w:cstheme="majorBidi"/>
          <w:color w:val="00000F"/>
          <w:sz w:val="22"/>
          <w:szCs w:val="22"/>
        </w:rPr>
        <w:t xml:space="preserve"> the</w:t>
      </w:r>
      <w:r w:rsidR="00836880" w:rsidRPr="0C1DC608">
        <w:rPr>
          <w:rFonts w:asciiTheme="majorHAnsi" w:hAnsiTheme="majorHAnsi" w:cstheme="majorBidi"/>
          <w:color w:val="00000F"/>
          <w:sz w:val="22"/>
          <w:szCs w:val="22"/>
        </w:rPr>
        <w:t xml:space="preserve"> region</w:t>
      </w:r>
      <w:r w:rsidR="003B10DF">
        <w:rPr>
          <w:rFonts w:asciiTheme="majorHAnsi" w:hAnsiTheme="majorHAnsi" w:cstheme="majorBidi"/>
          <w:color w:val="00000F"/>
          <w:sz w:val="22"/>
          <w:szCs w:val="22"/>
        </w:rPr>
        <w:t xml:space="preserve"> in order to</w:t>
      </w:r>
      <w:r w:rsidR="00D170C0" w:rsidRPr="0C1DC608">
        <w:rPr>
          <w:rFonts w:asciiTheme="majorHAnsi" w:hAnsiTheme="majorHAnsi" w:cstheme="majorBidi"/>
          <w:color w:val="00000F"/>
          <w:sz w:val="22"/>
          <w:szCs w:val="22"/>
        </w:rPr>
        <w:t xml:space="preserve"> enhance quality of relationships</w:t>
      </w:r>
      <w:r w:rsidR="00AD3A9B" w:rsidRPr="0C1DC608">
        <w:rPr>
          <w:rFonts w:asciiTheme="majorHAnsi" w:hAnsiTheme="majorHAnsi" w:cstheme="majorBidi"/>
          <w:color w:val="00000F"/>
          <w:sz w:val="22"/>
          <w:szCs w:val="22"/>
        </w:rPr>
        <w:t xml:space="preserve"> and advice</w:t>
      </w:r>
      <w:r w:rsidR="003649ED" w:rsidRPr="0C1DC608">
        <w:rPr>
          <w:rFonts w:asciiTheme="majorHAnsi" w:hAnsiTheme="majorHAnsi" w:cstheme="majorBidi"/>
          <w:color w:val="00000F"/>
          <w:sz w:val="22"/>
          <w:szCs w:val="22"/>
        </w:rPr>
        <w:t>.</w:t>
      </w:r>
    </w:p>
    <w:p w14:paraId="17213903" w14:textId="77777777" w:rsidR="00777439" w:rsidRPr="00593742" w:rsidRDefault="66DD9A01" w:rsidP="0C1DC608">
      <w:pPr>
        <w:pStyle w:val="ListParagraph"/>
        <w:numPr>
          <w:ilvl w:val="1"/>
          <w:numId w:val="6"/>
        </w:num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 xml:space="preserve">strengthen </w:t>
      </w:r>
      <w:r w:rsidR="00836880" w:rsidRPr="0C1DC608">
        <w:rPr>
          <w:rFonts w:asciiTheme="majorHAnsi" w:hAnsiTheme="majorHAnsi" w:cstheme="majorBidi"/>
          <w:color w:val="00000F"/>
          <w:sz w:val="22"/>
          <w:szCs w:val="22"/>
        </w:rPr>
        <w:t xml:space="preserve">quality assurance </w:t>
      </w:r>
      <w:r w:rsidR="00F307B9" w:rsidRPr="0C1DC608">
        <w:rPr>
          <w:rFonts w:asciiTheme="majorHAnsi" w:hAnsiTheme="majorHAnsi" w:cstheme="majorBidi"/>
          <w:color w:val="00000F"/>
          <w:sz w:val="22"/>
          <w:szCs w:val="22"/>
        </w:rPr>
        <w:t>processes</w:t>
      </w:r>
      <w:r w:rsidR="00AD3A9B" w:rsidRPr="0C1DC608">
        <w:rPr>
          <w:rFonts w:asciiTheme="majorHAnsi" w:hAnsiTheme="majorHAnsi" w:cstheme="majorBidi"/>
          <w:color w:val="00000F"/>
          <w:sz w:val="22"/>
          <w:szCs w:val="22"/>
        </w:rPr>
        <w:t xml:space="preserve"> </w:t>
      </w:r>
      <w:r w:rsidR="00F307B9" w:rsidRPr="0C1DC608">
        <w:rPr>
          <w:rFonts w:asciiTheme="majorHAnsi" w:hAnsiTheme="majorHAnsi" w:cstheme="majorBidi"/>
          <w:color w:val="00000F"/>
          <w:sz w:val="22"/>
          <w:szCs w:val="22"/>
        </w:rPr>
        <w:t>for</w:t>
      </w:r>
      <w:r w:rsidR="00836880" w:rsidRPr="0C1DC608">
        <w:rPr>
          <w:rFonts w:asciiTheme="majorHAnsi" w:hAnsiTheme="majorHAnsi" w:cstheme="majorBidi"/>
          <w:color w:val="00000F"/>
          <w:sz w:val="22"/>
          <w:szCs w:val="22"/>
        </w:rPr>
        <w:t xml:space="preserve"> SU and </w:t>
      </w:r>
      <w:r w:rsidR="007F6458" w:rsidRPr="0C1DC608">
        <w:rPr>
          <w:rFonts w:asciiTheme="majorHAnsi" w:hAnsiTheme="majorHAnsi" w:cstheme="majorBidi"/>
          <w:color w:val="00000F"/>
          <w:sz w:val="22"/>
          <w:szCs w:val="22"/>
        </w:rPr>
        <w:t xml:space="preserve">Expert </w:t>
      </w:r>
      <w:r w:rsidR="00836880" w:rsidRPr="0C1DC608">
        <w:rPr>
          <w:rFonts w:asciiTheme="majorHAnsi" w:hAnsiTheme="majorHAnsi" w:cstheme="majorBidi"/>
          <w:color w:val="00000F"/>
          <w:sz w:val="22"/>
          <w:szCs w:val="22"/>
        </w:rPr>
        <w:t>Panel support</w:t>
      </w:r>
      <w:r w:rsidR="00AD3A9B" w:rsidRPr="0C1DC608">
        <w:rPr>
          <w:rFonts w:asciiTheme="majorHAnsi" w:hAnsiTheme="majorHAnsi" w:cstheme="majorBidi"/>
          <w:color w:val="00000F"/>
          <w:sz w:val="22"/>
          <w:szCs w:val="22"/>
        </w:rPr>
        <w:t xml:space="preserve"> </w:t>
      </w:r>
    </w:p>
    <w:p w14:paraId="7094DB1D" w14:textId="77777777" w:rsidR="00836880" w:rsidRDefault="00836880" w:rsidP="0C1DC608">
      <w:pPr>
        <w:pStyle w:val="ListParagraph"/>
        <w:numPr>
          <w:ilvl w:val="1"/>
          <w:numId w:val="6"/>
        </w:num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regularly review</w:t>
      </w:r>
      <w:r w:rsidR="76A71D57" w:rsidRPr="0C1DC608">
        <w:rPr>
          <w:rFonts w:asciiTheme="majorHAnsi" w:hAnsiTheme="majorHAnsi" w:cstheme="majorBidi"/>
          <w:color w:val="00000F"/>
          <w:sz w:val="22"/>
          <w:szCs w:val="22"/>
        </w:rPr>
        <w:t xml:space="preserve"> and </w:t>
      </w:r>
      <w:r w:rsidRPr="0C1DC608">
        <w:rPr>
          <w:rFonts w:asciiTheme="majorHAnsi" w:hAnsiTheme="majorHAnsi" w:cstheme="majorBidi"/>
          <w:color w:val="00000F"/>
          <w:sz w:val="22"/>
          <w:szCs w:val="22"/>
        </w:rPr>
        <w:t xml:space="preserve">renew </w:t>
      </w:r>
      <w:r w:rsidR="000C3CA0" w:rsidRPr="0C1DC608">
        <w:rPr>
          <w:rFonts w:asciiTheme="majorHAnsi" w:hAnsiTheme="majorHAnsi" w:cstheme="majorBidi"/>
          <w:color w:val="00000F"/>
          <w:sz w:val="22"/>
          <w:szCs w:val="22"/>
        </w:rPr>
        <w:t xml:space="preserve">the </w:t>
      </w:r>
      <w:r w:rsidRPr="0C1DC608">
        <w:rPr>
          <w:rFonts w:asciiTheme="majorHAnsi" w:hAnsiTheme="majorHAnsi" w:cstheme="majorBidi"/>
          <w:color w:val="00000F"/>
          <w:sz w:val="22"/>
          <w:szCs w:val="22"/>
        </w:rPr>
        <w:t xml:space="preserve">Expert Panels </w:t>
      </w:r>
      <w:r w:rsidR="000C3CA0" w:rsidRPr="0C1DC608">
        <w:rPr>
          <w:rFonts w:asciiTheme="majorHAnsi" w:hAnsiTheme="majorHAnsi" w:cstheme="majorBidi"/>
          <w:color w:val="00000F"/>
          <w:sz w:val="22"/>
          <w:szCs w:val="22"/>
        </w:rPr>
        <w:t>and prioritise Pacific Island</w:t>
      </w:r>
      <w:r w:rsidR="003649ED" w:rsidRPr="0C1DC608">
        <w:rPr>
          <w:rFonts w:asciiTheme="majorHAnsi" w:hAnsiTheme="majorHAnsi" w:cstheme="majorBidi"/>
          <w:color w:val="00000F"/>
          <w:sz w:val="22"/>
          <w:szCs w:val="22"/>
        </w:rPr>
        <w:t xml:space="preserve"> identities.</w:t>
      </w:r>
    </w:p>
    <w:p w14:paraId="19A6DC20" w14:textId="77777777" w:rsidR="00593742" w:rsidRDefault="2A212A43" w:rsidP="0C1DC608">
      <w:pPr>
        <w:pStyle w:val="ListParagraph"/>
        <w:numPr>
          <w:ilvl w:val="0"/>
          <w:numId w:val="6"/>
        </w:num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i</w:t>
      </w:r>
      <w:r w:rsidR="00593742" w:rsidRPr="0C1DC608">
        <w:rPr>
          <w:rFonts w:asciiTheme="majorHAnsi" w:hAnsiTheme="majorHAnsi" w:cstheme="majorBidi"/>
          <w:color w:val="00000F"/>
          <w:sz w:val="22"/>
          <w:szCs w:val="22"/>
        </w:rPr>
        <w:t>dentify</w:t>
      </w:r>
      <w:r w:rsidR="00475913" w:rsidRPr="0C1DC608">
        <w:rPr>
          <w:rFonts w:asciiTheme="majorHAnsi" w:hAnsiTheme="majorHAnsi" w:cstheme="majorBidi"/>
          <w:color w:val="00000F"/>
          <w:sz w:val="22"/>
          <w:szCs w:val="22"/>
        </w:rPr>
        <w:t>ing</w:t>
      </w:r>
      <w:r w:rsidR="00593742" w:rsidRPr="0C1DC608">
        <w:rPr>
          <w:rFonts w:asciiTheme="majorHAnsi" w:hAnsiTheme="majorHAnsi" w:cstheme="majorBidi"/>
          <w:color w:val="00000F"/>
          <w:sz w:val="22"/>
          <w:szCs w:val="22"/>
        </w:rPr>
        <w:t xml:space="preserve"> and manag</w:t>
      </w:r>
      <w:r w:rsidR="00475913" w:rsidRPr="0C1DC608">
        <w:rPr>
          <w:rFonts w:asciiTheme="majorHAnsi" w:hAnsiTheme="majorHAnsi" w:cstheme="majorBidi"/>
          <w:color w:val="00000F"/>
          <w:sz w:val="22"/>
          <w:szCs w:val="22"/>
        </w:rPr>
        <w:t>ing</w:t>
      </w:r>
      <w:r w:rsidR="00593742" w:rsidRPr="0C1DC608">
        <w:rPr>
          <w:rFonts w:asciiTheme="majorHAnsi" w:hAnsiTheme="majorHAnsi" w:cstheme="majorBidi"/>
          <w:color w:val="00000F"/>
          <w:sz w:val="22"/>
          <w:szCs w:val="22"/>
        </w:rPr>
        <w:t xml:space="preserve"> opportunities for collaboration with other climate and disaster risk programs</w:t>
      </w:r>
    </w:p>
    <w:p w14:paraId="31578361" w14:textId="77777777" w:rsidR="006C465E" w:rsidRPr="009C29BF" w:rsidRDefault="6CC57657" w:rsidP="0C1DC608">
      <w:pPr>
        <w:pStyle w:val="ListParagraph"/>
        <w:numPr>
          <w:ilvl w:val="0"/>
          <w:numId w:val="6"/>
        </w:num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a</w:t>
      </w:r>
      <w:r w:rsidR="005B4024" w:rsidRPr="0C1DC608">
        <w:rPr>
          <w:rFonts w:asciiTheme="majorHAnsi" w:hAnsiTheme="majorHAnsi" w:cstheme="majorBidi"/>
          <w:color w:val="00000F"/>
          <w:sz w:val="22"/>
          <w:szCs w:val="22"/>
        </w:rPr>
        <w:t xml:space="preserve">dopting a clear strategy for </w:t>
      </w:r>
      <w:r w:rsidR="004B3E33" w:rsidRPr="0C1DC608">
        <w:rPr>
          <w:rFonts w:asciiTheme="majorHAnsi" w:hAnsiTheme="majorHAnsi" w:cstheme="majorBidi"/>
          <w:color w:val="00000F"/>
          <w:sz w:val="22"/>
          <w:szCs w:val="22"/>
        </w:rPr>
        <w:t xml:space="preserve">identification and selection of </w:t>
      </w:r>
      <w:r w:rsidR="005B4024" w:rsidRPr="0C1DC608">
        <w:rPr>
          <w:rFonts w:asciiTheme="majorHAnsi" w:hAnsiTheme="majorHAnsi" w:cstheme="majorBidi"/>
          <w:color w:val="00000F"/>
          <w:sz w:val="22"/>
          <w:szCs w:val="22"/>
        </w:rPr>
        <w:t>knowledge brokering activities</w:t>
      </w:r>
    </w:p>
    <w:p w14:paraId="0557EC38" w14:textId="77777777" w:rsidR="00C31ECE" w:rsidRDefault="00C31ECE" w:rsidP="002D5E66">
      <w:pPr>
        <w:pStyle w:val="ListParagraph"/>
        <w:numPr>
          <w:ilvl w:val="0"/>
          <w:numId w:val="6"/>
        </w:num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establish</w:t>
      </w:r>
      <w:r w:rsidR="00EF71CD">
        <w:rPr>
          <w:rFonts w:asciiTheme="majorHAnsi" w:hAnsiTheme="majorHAnsi" w:cstheme="majorHAnsi"/>
          <w:color w:val="00000F"/>
          <w:sz w:val="22"/>
          <w:szCs w:val="22"/>
        </w:rPr>
        <w:t>ing</w:t>
      </w:r>
      <w:r>
        <w:rPr>
          <w:rFonts w:asciiTheme="majorHAnsi" w:hAnsiTheme="majorHAnsi" w:cstheme="majorHAnsi"/>
          <w:color w:val="00000F"/>
          <w:sz w:val="22"/>
          <w:szCs w:val="22"/>
        </w:rPr>
        <w:t xml:space="preserve"> clearer lines of responsibility with</w:t>
      </w:r>
      <w:r w:rsidR="00FA0E47">
        <w:rPr>
          <w:rFonts w:asciiTheme="majorHAnsi" w:hAnsiTheme="majorHAnsi" w:cstheme="majorHAnsi"/>
          <w:color w:val="00000F"/>
          <w:sz w:val="22"/>
          <w:szCs w:val="22"/>
        </w:rPr>
        <w:t xml:space="preserve"> DFAT</w:t>
      </w:r>
    </w:p>
    <w:p w14:paraId="190DDADE" w14:textId="77777777" w:rsidR="00593742" w:rsidRPr="009F68C6" w:rsidRDefault="00593742" w:rsidP="0C1DC608">
      <w:pPr>
        <w:pStyle w:val="ListParagraph"/>
        <w:numPr>
          <w:ilvl w:val="0"/>
          <w:numId w:val="6"/>
        </w:numPr>
        <w:suppressAutoHyphens/>
        <w:autoSpaceDE w:val="0"/>
        <w:autoSpaceDN w:val="0"/>
        <w:adjustRightInd w:val="0"/>
        <w:spacing w:line="288" w:lineRule="auto"/>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enabl</w:t>
      </w:r>
      <w:r w:rsidR="00976663" w:rsidRPr="0C1DC608">
        <w:rPr>
          <w:rFonts w:asciiTheme="majorHAnsi" w:hAnsiTheme="majorHAnsi" w:cstheme="majorBidi"/>
          <w:color w:val="00000F"/>
          <w:sz w:val="22"/>
          <w:szCs w:val="22"/>
        </w:rPr>
        <w:t>ing</w:t>
      </w:r>
      <w:r w:rsidRPr="0C1DC608">
        <w:rPr>
          <w:rFonts w:asciiTheme="majorHAnsi" w:hAnsiTheme="majorHAnsi" w:cstheme="majorBidi"/>
          <w:color w:val="00000F"/>
          <w:sz w:val="22"/>
          <w:szCs w:val="22"/>
        </w:rPr>
        <w:t xml:space="preserve"> services to be available to areas of DFAT beyond the Pacific</w:t>
      </w:r>
      <w:r w:rsidR="0757BBB3" w:rsidRPr="0C1DC608">
        <w:rPr>
          <w:rFonts w:asciiTheme="majorHAnsi" w:hAnsiTheme="majorHAnsi" w:cstheme="majorBidi"/>
          <w:color w:val="00000F"/>
          <w:sz w:val="22"/>
          <w:szCs w:val="22"/>
        </w:rPr>
        <w:t xml:space="preserve"> while not diverting effort and resources away from the Pacific</w:t>
      </w:r>
    </w:p>
    <w:p w14:paraId="439224CE" w14:textId="77777777" w:rsidR="00E50579" w:rsidRDefault="00E50579" w:rsidP="00FB2C3C">
      <w:pPr>
        <w:pStyle w:val="Subheading"/>
        <w:outlineLvl w:val="0"/>
        <w:rPr>
          <w:rFonts w:asciiTheme="majorHAnsi" w:hAnsiTheme="majorHAnsi" w:cstheme="majorHAnsi"/>
          <w:lang w:val="en-US"/>
        </w:rPr>
      </w:pPr>
    </w:p>
    <w:p w14:paraId="589AC87A" w14:textId="77777777" w:rsidR="00746BBD" w:rsidRPr="00CE7731" w:rsidRDefault="00746BBD" w:rsidP="00611197">
      <w:pPr>
        <w:pStyle w:val="HEADING3A"/>
      </w:pPr>
      <w:r w:rsidRPr="00B441A5">
        <w:t>5</w:t>
      </w:r>
      <w:r w:rsidR="008456C3">
        <w:t>.</w:t>
      </w:r>
      <w:r w:rsidRPr="00B441A5">
        <w:t xml:space="preserve"> Enhance integration by strengthening internal incentives </w:t>
      </w:r>
    </w:p>
    <w:p w14:paraId="4509E1C3" w14:textId="77777777" w:rsidR="00487179" w:rsidRPr="00487179" w:rsidRDefault="00487179" w:rsidP="00487179">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 xml:space="preserve">DFAT </w:t>
      </w:r>
      <w:r w:rsidR="00CA66AA">
        <w:rPr>
          <w:rFonts w:asciiTheme="majorHAnsi" w:hAnsiTheme="majorHAnsi" w:cstheme="majorHAnsi"/>
          <w:color w:val="00000F"/>
          <w:sz w:val="22"/>
          <w:szCs w:val="22"/>
        </w:rPr>
        <w:t>can enhance integration of aid investments through targeted incent</w:t>
      </w:r>
      <w:r w:rsidR="005666DC">
        <w:rPr>
          <w:rFonts w:asciiTheme="majorHAnsi" w:hAnsiTheme="majorHAnsi" w:cstheme="majorHAnsi"/>
          <w:color w:val="00000F"/>
          <w:sz w:val="22"/>
          <w:szCs w:val="22"/>
        </w:rPr>
        <w:t xml:space="preserve">ives that reaffirm the importance of climate change and disaster risks </w:t>
      </w:r>
      <w:r w:rsidR="007E24E8">
        <w:rPr>
          <w:rFonts w:asciiTheme="majorHAnsi" w:hAnsiTheme="majorHAnsi" w:cstheme="majorHAnsi"/>
          <w:color w:val="00000F"/>
          <w:sz w:val="22"/>
          <w:szCs w:val="22"/>
        </w:rPr>
        <w:t>and opportunities in effective aid programming. This may include:</w:t>
      </w:r>
    </w:p>
    <w:p w14:paraId="2726CFD5" w14:textId="77777777" w:rsidR="00746BBD" w:rsidRPr="003610CF" w:rsidRDefault="00746BBD" w:rsidP="002D5E66">
      <w:pPr>
        <w:pStyle w:val="ListParagraph"/>
        <w:numPr>
          <w:ilvl w:val="0"/>
          <w:numId w:val="8"/>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sidRPr="003610CF">
        <w:rPr>
          <w:rFonts w:asciiTheme="majorHAnsi" w:hAnsiTheme="majorHAnsi" w:cstheme="majorHAnsi"/>
          <w:color w:val="00000F"/>
          <w:sz w:val="22"/>
          <w:szCs w:val="22"/>
        </w:rPr>
        <w:t>re-emphasis</w:t>
      </w:r>
      <w:r w:rsidR="007E24E8">
        <w:rPr>
          <w:rFonts w:asciiTheme="majorHAnsi" w:hAnsiTheme="majorHAnsi" w:cstheme="majorHAnsi"/>
          <w:color w:val="00000F"/>
          <w:sz w:val="22"/>
          <w:szCs w:val="22"/>
        </w:rPr>
        <w:t>ing the</w:t>
      </w:r>
      <w:r w:rsidRPr="003610CF">
        <w:rPr>
          <w:rFonts w:asciiTheme="majorHAnsi" w:hAnsiTheme="majorHAnsi" w:cstheme="majorHAnsi"/>
          <w:color w:val="00000F"/>
          <w:sz w:val="22"/>
          <w:szCs w:val="22"/>
        </w:rPr>
        <w:t xml:space="preserve"> policy priority of climate and disaster risk in aid </w:t>
      </w:r>
      <w:r w:rsidR="00203D1F" w:rsidRPr="003610CF">
        <w:rPr>
          <w:rFonts w:asciiTheme="majorHAnsi" w:hAnsiTheme="majorHAnsi" w:cstheme="majorHAnsi"/>
          <w:color w:val="00000F"/>
          <w:sz w:val="22"/>
          <w:szCs w:val="22"/>
        </w:rPr>
        <w:t>investments</w:t>
      </w:r>
      <w:r w:rsidR="00203D1F">
        <w:rPr>
          <w:rFonts w:asciiTheme="majorHAnsi" w:hAnsiTheme="majorHAnsi" w:cstheme="majorHAnsi"/>
          <w:color w:val="00000F"/>
          <w:sz w:val="22"/>
          <w:szCs w:val="22"/>
        </w:rPr>
        <w:t xml:space="preserve"> and</w:t>
      </w:r>
      <w:r w:rsidR="009C29BF">
        <w:rPr>
          <w:rFonts w:asciiTheme="majorHAnsi" w:hAnsiTheme="majorHAnsi" w:cstheme="majorHAnsi"/>
          <w:color w:val="00000F"/>
          <w:sz w:val="22"/>
          <w:szCs w:val="22"/>
        </w:rPr>
        <w:t xml:space="preserve"> strengthen the linkage with GE</w:t>
      </w:r>
      <w:r w:rsidR="00BE6FAF">
        <w:rPr>
          <w:rFonts w:asciiTheme="majorHAnsi" w:hAnsiTheme="majorHAnsi" w:cstheme="majorHAnsi"/>
          <w:color w:val="00000F"/>
          <w:sz w:val="22"/>
          <w:szCs w:val="22"/>
        </w:rPr>
        <w:t>DSI</w:t>
      </w:r>
      <w:r w:rsidR="00632767">
        <w:rPr>
          <w:rFonts w:asciiTheme="majorHAnsi" w:hAnsiTheme="majorHAnsi" w:cstheme="majorHAnsi"/>
          <w:color w:val="00000F"/>
          <w:sz w:val="22"/>
          <w:szCs w:val="22"/>
        </w:rPr>
        <w:t xml:space="preserve"> to avoid being an ‘add-on’.</w:t>
      </w:r>
    </w:p>
    <w:p w14:paraId="16FFD7A1" w14:textId="77777777" w:rsidR="00746BBD" w:rsidRPr="003610CF" w:rsidRDefault="00746BBD" w:rsidP="002D5E66">
      <w:pPr>
        <w:pStyle w:val="ListParagraph"/>
        <w:numPr>
          <w:ilvl w:val="0"/>
          <w:numId w:val="8"/>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sidRPr="003610CF">
        <w:rPr>
          <w:rFonts w:asciiTheme="majorHAnsi" w:hAnsiTheme="majorHAnsi" w:cstheme="majorHAnsi"/>
          <w:color w:val="00000F"/>
          <w:sz w:val="22"/>
          <w:szCs w:val="22"/>
        </w:rPr>
        <w:t>strengthen</w:t>
      </w:r>
      <w:r w:rsidR="00B80ACE">
        <w:rPr>
          <w:rFonts w:asciiTheme="majorHAnsi" w:hAnsiTheme="majorHAnsi" w:cstheme="majorHAnsi"/>
          <w:color w:val="00000F"/>
          <w:sz w:val="22"/>
          <w:szCs w:val="22"/>
        </w:rPr>
        <w:t>ing</w:t>
      </w:r>
      <w:r w:rsidRPr="003610CF">
        <w:rPr>
          <w:rFonts w:asciiTheme="majorHAnsi" w:hAnsiTheme="majorHAnsi" w:cstheme="majorHAnsi"/>
          <w:color w:val="00000F"/>
          <w:sz w:val="22"/>
          <w:szCs w:val="22"/>
        </w:rPr>
        <w:t xml:space="preserve"> climate and disaster risk</w:t>
      </w:r>
      <w:r w:rsidR="00B80ACE">
        <w:rPr>
          <w:rFonts w:asciiTheme="majorHAnsi" w:hAnsiTheme="majorHAnsi" w:cstheme="majorHAnsi"/>
          <w:color w:val="00000F"/>
          <w:sz w:val="22"/>
          <w:szCs w:val="22"/>
        </w:rPr>
        <w:t xml:space="preserve"> considerations</w:t>
      </w:r>
      <w:r w:rsidRPr="003610CF">
        <w:rPr>
          <w:rFonts w:asciiTheme="majorHAnsi" w:hAnsiTheme="majorHAnsi" w:cstheme="majorHAnsi"/>
          <w:color w:val="00000F"/>
          <w:sz w:val="22"/>
          <w:szCs w:val="22"/>
        </w:rPr>
        <w:t xml:space="preserve"> in DFAT’s </w:t>
      </w:r>
      <w:r w:rsidR="00B80ACE">
        <w:rPr>
          <w:rFonts w:asciiTheme="majorHAnsi" w:hAnsiTheme="majorHAnsi" w:cstheme="majorHAnsi"/>
          <w:color w:val="00000F"/>
          <w:sz w:val="22"/>
          <w:szCs w:val="22"/>
        </w:rPr>
        <w:t xml:space="preserve">aid investment </w:t>
      </w:r>
      <w:r w:rsidRPr="003610CF">
        <w:rPr>
          <w:rFonts w:asciiTheme="majorHAnsi" w:hAnsiTheme="majorHAnsi" w:cstheme="majorHAnsi"/>
          <w:color w:val="00000F"/>
          <w:sz w:val="22"/>
          <w:szCs w:val="22"/>
        </w:rPr>
        <w:t>design guidelines</w:t>
      </w:r>
      <w:r w:rsidR="009F7024">
        <w:rPr>
          <w:rFonts w:asciiTheme="majorHAnsi" w:hAnsiTheme="majorHAnsi" w:cstheme="majorHAnsi"/>
          <w:color w:val="00000F"/>
          <w:sz w:val="22"/>
          <w:szCs w:val="22"/>
        </w:rPr>
        <w:t>.</w:t>
      </w:r>
    </w:p>
    <w:p w14:paraId="6FFFE645" w14:textId="0B4A7379" w:rsidR="00746BBD" w:rsidRPr="003610CF" w:rsidRDefault="00746BBD" w:rsidP="002D5E66">
      <w:pPr>
        <w:pStyle w:val="ListParagraph"/>
        <w:numPr>
          <w:ilvl w:val="0"/>
          <w:numId w:val="8"/>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sidRPr="003610CF">
        <w:rPr>
          <w:rFonts w:asciiTheme="majorHAnsi" w:hAnsiTheme="majorHAnsi" w:cstheme="majorHAnsi"/>
          <w:color w:val="00000F"/>
          <w:sz w:val="22"/>
          <w:szCs w:val="22"/>
        </w:rPr>
        <w:t>conduct</w:t>
      </w:r>
      <w:r w:rsidR="00B80ACE">
        <w:rPr>
          <w:rFonts w:asciiTheme="majorHAnsi" w:hAnsiTheme="majorHAnsi" w:cstheme="majorHAnsi"/>
          <w:color w:val="00000F"/>
          <w:sz w:val="22"/>
          <w:szCs w:val="22"/>
        </w:rPr>
        <w:t>ing</w:t>
      </w:r>
      <w:r w:rsidRPr="003610CF">
        <w:rPr>
          <w:rFonts w:asciiTheme="majorHAnsi" w:hAnsiTheme="majorHAnsi" w:cstheme="majorHAnsi"/>
          <w:color w:val="00000F"/>
          <w:sz w:val="22"/>
          <w:szCs w:val="22"/>
        </w:rPr>
        <w:t xml:space="preserve"> </w:t>
      </w:r>
      <w:r w:rsidR="00573D39">
        <w:rPr>
          <w:rFonts w:asciiTheme="majorHAnsi" w:hAnsiTheme="majorHAnsi" w:cstheme="majorHAnsi"/>
          <w:color w:val="00000F"/>
          <w:sz w:val="22"/>
          <w:szCs w:val="22"/>
        </w:rPr>
        <w:t xml:space="preserve">regular, preferably </w:t>
      </w:r>
      <w:r w:rsidRPr="003610CF">
        <w:rPr>
          <w:rFonts w:asciiTheme="majorHAnsi" w:hAnsiTheme="majorHAnsi" w:cstheme="majorHAnsi"/>
          <w:color w:val="00000F"/>
          <w:sz w:val="22"/>
          <w:szCs w:val="22"/>
        </w:rPr>
        <w:t>biannual</w:t>
      </w:r>
      <w:r w:rsidR="00573D39">
        <w:rPr>
          <w:rFonts w:asciiTheme="majorHAnsi" w:hAnsiTheme="majorHAnsi" w:cstheme="majorHAnsi"/>
          <w:color w:val="00000F"/>
          <w:sz w:val="22"/>
          <w:szCs w:val="22"/>
        </w:rPr>
        <w:t>,</w:t>
      </w:r>
      <w:r w:rsidRPr="003610CF">
        <w:rPr>
          <w:rFonts w:asciiTheme="majorHAnsi" w:hAnsiTheme="majorHAnsi" w:cstheme="majorHAnsi"/>
          <w:color w:val="00000F"/>
          <w:sz w:val="22"/>
          <w:szCs w:val="22"/>
        </w:rPr>
        <w:t xml:space="preserve"> surveys </w:t>
      </w:r>
      <w:r>
        <w:rPr>
          <w:rFonts w:asciiTheme="majorHAnsi" w:hAnsiTheme="majorHAnsi" w:cstheme="majorHAnsi"/>
          <w:color w:val="00000F"/>
          <w:sz w:val="22"/>
          <w:szCs w:val="22"/>
        </w:rPr>
        <w:t>on</w:t>
      </w:r>
      <w:r w:rsidRPr="003610CF">
        <w:rPr>
          <w:rFonts w:asciiTheme="majorHAnsi" w:hAnsiTheme="majorHAnsi" w:cstheme="majorHAnsi"/>
          <w:color w:val="00000F"/>
          <w:sz w:val="22"/>
          <w:szCs w:val="22"/>
        </w:rPr>
        <w:t xml:space="preserve"> the depth and quality of climate and disaster risk integration</w:t>
      </w:r>
      <w:r w:rsidR="005736B9">
        <w:rPr>
          <w:rFonts w:asciiTheme="majorHAnsi" w:hAnsiTheme="majorHAnsi" w:cstheme="majorHAnsi"/>
          <w:color w:val="00000F"/>
          <w:sz w:val="22"/>
          <w:szCs w:val="22"/>
        </w:rPr>
        <w:t xml:space="preserve"> across the aid portfolio</w:t>
      </w:r>
      <w:r w:rsidR="009F7024">
        <w:rPr>
          <w:rFonts w:asciiTheme="majorHAnsi" w:hAnsiTheme="majorHAnsi" w:cstheme="majorHAnsi"/>
          <w:color w:val="00000F"/>
          <w:sz w:val="22"/>
          <w:szCs w:val="22"/>
        </w:rPr>
        <w:t>.</w:t>
      </w:r>
    </w:p>
    <w:p w14:paraId="4731DA67" w14:textId="77777777" w:rsidR="00746BBD" w:rsidRDefault="00746BBD" w:rsidP="0C1DC608">
      <w:pPr>
        <w:pStyle w:val="ListParagraph"/>
        <w:numPr>
          <w:ilvl w:val="0"/>
          <w:numId w:val="8"/>
        </w:numPr>
        <w:suppressAutoHyphens/>
        <w:autoSpaceDE w:val="0"/>
        <w:autoSpaceDN w:val="0"/>
        <w:adjustRightInd w:val="0"/>
        <w:spacing w:line="288" w:lineRule="auto"/>
        <w:ind w:left="709"/>
        <w:jc w:val="both"/>
        <w:textAlignment w:val="center"/>
        <w:rPr>
          <w:rFonts w:asciiTheme="majorHAnsi" w:hAnsiTheme="majorHAnsi" w:cstheme="majorBidi"/>
          <w:color w:val="00000F"/>
          <w:sz w:val="22"/>
          <w:szCs w:val="22"/>
        </w:rPr>
      </w:pPr>
      <w:r w:rsidRPr="0C1DC608">
        <w:rPr>
          <w:rFonts w:asciiTheme="majorHAnsi" w:hAnsiTheme="majorHAnsi" w:cstheme="majorBidi"/>
          <w:color w:val="00000F"/>
          <w:sz w:val="22"/>
          <w:szCs w:val="22"/>
        </w:rPr>
        <w:t>ensur</w:t>
      </w:r>
      <w:r w:rsidR="005736B9" w:rsidRPr="0C1DC608">
        <w:rPr>
          <w:rFonts w:asciiTheme="majorHAnsi" w:hAnsiTheme="majorHAnsi" w:cstheme="majorBidi"/>
          <w:color w:val="00000F"/>
          <w:sz w:val="22"/>
          <w:szCs w:val="22"/>
        </w:rPr>
        <w:t>ing</w:t>
      </w:r>
      <w:r w:rsidRPr="0C1DC608">
        <w:rPr>
          <w:rFonts w:asciiTheme="majorHAnsi" w:hAnsiTheme="majorHAnsi" w:cstheme="majorBidi"/>
          <w:color w:val="00000F"/>
          <w:sz w:val="22"/>
          <w:szCs w:val="22"/>
        </w:rPr>
        <w:t xml:space="preserve"> Posted officers have a developed understanding of climate and disaster risk</w:t>
      </w:r>
      <w:r w:rsidR="005736B9" w:rsidRPr="0C1DC608">
        <w:rPr>
          <w:rFonts w:asciiTheme="majorHAnsi" w:hAnsiTheme="majorHAnsi" w:cstheme="majorBidi"/>
          <w:color w:val="00000F"/>
          <w:sz w:val="22"/>
          <w:szCs w:val="22"/>
        </w:rPr>
        <w:t xml:space="preserve"> prior to </w:t>
      </w:r>
      <w:r w:rsidR="00265ED6" w:rsidRPr="0C1DC608">
        <w:rPr>
          <w:rFonts w:asciiTheme="majorHAnsi" w:hAnsiTheme="majorHAnsi" w:cstheme="majorBidi"/>
          <w:color w:val="00000F"/>
          <w:sz w:val="22"/>
          <w:szCs w:val="22"/>
        </w:rPr>
        <w:t>commencement</w:t>
      </w:r>
      <w:r w:rsidR="5E995A2D" w:rsidRPr="0C1DC608">
        <w:rPr>
          <w:rFonts w:asciiTheme="majorHAnsi" w:hAnsiTheme="majorHAnsi" w:cstheme="majorBidi"/>
          <w:color w:val="00000F"/>
          <w:sz w:val="22"/>
          <w:szCs w:val="22"/>
        </w:rPr>
        <w:t xml:space="preserve"> and receive continual learning</w:t>
      </w:r>
      <w:r w:rsidR="009F7024" w:rsidRPr="0C1DC608">
        <w:rPr>
          <w:rFonts w:asciiTheme="majorHAnsi" w:hAnsiTheme="majorHAnsi" w:cstheme="majorBidi"/>
          <w:color w:val="00000F"/>
          <w:sz w:val="22"/>
          <w:szCs w:val="22"/>
        </w:rPr>
        <w:t>.</w:t>
      </w:r>
    </w:p>
    <w:p w14:paraId="5E948CA4" w14:textId="77777777" w:rsidR="005632C2" w:rsidRDefault="005632C2" w:rsidP="00FB2C3C">
      <w:pPr>
        <w:pStyle w:val="Subheading"/>
        <w:outlineLvl w:val="0"/>
        <w:rPr>
          <w:rFonts w:asciiTheme="majorHAnsi" w:hAnsiTheme="majorHAnsi" w:cstheme="majorHAnsi"/>
          <w:lang w:val="en-US"/>
        </w:rPr>
      </w:pPr>
    </w:p>
    <w:p w14:paraId="03E446A6" w14:textId="77777777" w:rsidR="005632C2" w:rsidRDefault="005632C2" w:rsidP="00FB2C3C">
      <w:pPr>
        <w:pStyle w:val="Subheading"/>
        <w:outlineLvl w:val="0"/>
        <w:rPr>
          <w:rFonts w:asciiTheme="majorHAnsi" w:hAnsiTheme="majorHAnsi" w:cstheme="majorHAnsi"/>
          <w:lang w:val="en-US"/>
        </w:rPr>
      </w:pPr>
    </w:p>
    <w:p w14:paraId="67770453" w14:textId="77777777" w:rsidR="005632C2" w:rsidRPr="00CE7731" w:rsidRDefault="008456C3" w:rsidP="00611197">
      <w:pPr>
        <w:pStyle w:val="HEADING3A"/>
      </w:pPr>
      <w:r>
        <w:t>6.</w:t>
      </w:r>
      <w:r w:rsidR="005632C2" w:rsidRPr="008456C3">
        <w:t xml:space="preserve"> </w:t>
      </w:r>
      <w:r w:rsidR="00593742" w:rsidRPr="008456C3">
        <w:t>S</w:t>
      </w:r>
      <w:r w:rsidR="005632C2" w:rsidRPr="008456C3">
        <w:t>harpen the focus of communications</w:t>
      </w:r>
      <w:r w:rsidR="00593742" w:rsidRPr="008456C3">
        <w:t xml:space="preserve"> to promote Australia as a valued climate partner</w:t>
      </w:r>
    </w:p>
    <w:p w14:paraId="5BEDE2EE" w14:textId="77777777" w:rsidR="00265ED6" w:rsidRPr="003F56DA" w:rsidRDefault="003F56DA" w:rsidP="003F56DA">
      <w:pPr>
        <w:suppressAutoHyphens/>
        <w:autoSpaceDE w:val="0"/>
        <w:autoSpaceDN w:val="0"/>
        <w:adjustRightInd w:val="0"/>
        <w:spacing w:line="288" w:lineRule="auto"/>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For Australia to be a valued climate partner, effective communications wil</w:t>
      </w:r>
      <w:r w:rsidR="00902CCE">
        <w:rPr>
          <w:rFonts w:asciiTheme="majorHAnsi" w:hAnsiTheme="majorHAnsi" w:cstheme="majorHAnsi"/>
          <w:color w:val="00000F"/>
          <w:sz w:val="22"/>
          <w:szCs w:val="22"/>
        </w:rPr>
        <w:t xml:space="preserve">l be critical to building a strong narrative that </w:t>
      </w:r>
      <w:r w:rsidR="00514E19">
        <w:rPr>
          <w:rFonts w:asciiTheme="majorHAnsi" w:hAnsiTheme="majorHAnsi" w:cstheme="majorHAnsi"/>
          <w:color w:val="00000F"/>
          <w:sz w:val="22"/>
          <w:szCs w:val="22"/>
        </w:rPr>
        <w:t>complements</w:t>
      </w:r>
      <w:r w:rsidR="00902CCE">
        <w:rPr>
          <w:rFonts w:asciiTheme="majorHAnsi" w:hAnsiTheme="majorHAnsi" w:cstheme="majorHAnsi"/>
          <w:color w:val="00000F"/>
          <w:sz w:val="22"/>
          <w:szCs w:val="22"/>
        </w:rPr>
        <w:t xml:space="preserve"> the stro</w:t>
      </w:r>
      <w:r w:rsidR="00514E19">
        <w:rPr>
          <w:rFonts w:asciiTheme="majorHAnsi" w:hAnsiTheme="majorHAnsi" w:cstheme="majorHAnsi"/>
          <w:color w:val="00000F"/>
          <w:sz w:val="22"/>
          <w:szCs w:val="22"/>
        </w:rPr>
        <w:t>ng Pacific narratives on climate change and disasters. Future communications should:</w:t>
      </w:r>
    </w:p>
    <w:p w14:paraId="5027AB30" w14:textId="77777777" w:rsidR="007A6298" w:rsidRPr="007A6298" w:rsidRDefault="00200C2A" w:rsidP="002D5E66">
      <w:pPr>
        <w:pStyle w:val="ListParagraph"/>
        <w:numPr>
          <w:ilvl w:val="0"/>
          <w:numId w:val="8"/>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a</w:t>
      </w:r>
      <w:r w:rsidR="007A6298" w:rsidRPr="007A6298">
        <w:rPr>
          <w:rFonts w:asciiTheme="majorHAnsi" w:hAnsiTheme="majorHAnsi" w:cstheme="majorHAnsi"/>
          <w:color w:val="00000F"/>
          <w:sz w:val="22"/>
          <w:szCs w:val="22"/>
        </w:rPr>
        <w:t>gree and resource more focused and tailored communication priorities and products</w:t>
      </w:r>
      <w:r w:rsidR="002E77B6">
        <w:rPr>
          <w:rFonts w:asciiTheme="majorHAnsi" w:hAnsiTheme="majorHAnsi" w:cstheme="majorHAnsi"/>
          <w:color w:val="00000F"/>
          <w:sz w:val="22"/>
          <w:szCs w:val="22"/>
        </w:rPr>
        <w:t>.</w:t>
      </w:r>
    </w:p>
    <w:p w14:paraId="1CDF2B67" w14:textId="3A1C50B9" w:rsidR="007A6298" w:rsidRDefault="00200C2A" w:rsidP="002D5E66">
      <w:pPr>
        <w:pStyle w:val="ListParagraph"/>
        <w:numPr>
          <w:ilvl w:val="0"/>
          <w:numId w:val="8"/>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s</w:t>
      </w:r>
      <w:r w:rsidR="007A6298" w:rsidRPr="007A6298">
        <w:rPr>
          <w:rFonts w:asciiTheme="majorHAnsi" w:hAnsiTheme="majorHAnsi" w:cstheme="majorHAnsi"/>
          <w:color w:val="00000F"/>
          <w:sz w:val="22"/>
          <w:szCs w:val="22"/>
        </w:rPr>
        <w:t>treamline and devolve clearance processes and clarify guidelines for communications, including broadening dissemination platforms</w:t>
      </w:r>
      <w:r w:rsidR="002E77B6">
        <w:rPr>
          <w:rFonts w:asciiTheme="majorHAnsi" w:hAnsiTheme="majorHAnsi" w:cstheme="majorHAnsi"/>
          <w:color w:val="00000F"/>
          <w:sz w:val="22"/>
          <w:szCs w:val="22"/>
        </w:rPr>
        <w:t>.</w:t>
      </w:r>
      <w:r w:rsidR="007A6298" w:rsidRPr="007A6298">
        <w:rPr>
          <w:rFonts w:asciiTheme="majorHAnsi" w:hAnsiTheme="majorHAnsi" w:cstheme="majorHAnsi"/>
          <w:color w:val="00000F"/>
          <w:sz w:val="22"/>
          <w:szCs w:val="22"/>
        </w:rPr>
        <w:t xml:space="preserve"> </w:t>
      </w:r>
    </w:p>
    <w:p w14:paraId="3890D587" w14:textId="77777777" w:rsidR="007A6298" w:rsidRPr="007A6298" w:rsidRDefault="00200C2A" w:rsidP="002D5E66">
      <w:pPr>
        <w:pStyle w:val="ListParagraph"/>
        <w:numPr>
          <w:ilvl w:val="0"/>
          <w:numId w:val="8"/>
        </w:numPr>
        <w:suppressAutoHyphens/>
        <w:autoSpaceDE w:val="0"/>
        <w:autoSpaceDN w:val="0"/>
        <w:adjustRightInd w:val="0"/>
        <w:spacing w:line="288" w:lineRule="auto"/>
        <w:ind w:left="709"/>
        <w:jc w:val="both"/>
        <w:textAlignment w:val="center"/>
        <w:rPr>
          <w:rFonts w:asciiTheme="majorHAnsi" w:hAnsiTheme="majorHAnsi" w:cstheme="majorHAnsi"/>
          <w:color w:val="00000F"/>
          <w:sz w:val="22"/>
          <w:szCs w:val="22"/>
        </w:rPr>
      </w:pPr>
      <w:r>
        <w:rPr>
          <w:rFonts w:asciiTheme="majorHAnsi" w:hAnsiTheme="majorHAnsi" w:cstheme="majorHAnsi"/>
          <w:color w:val="00000F"/>
          <w:sz w:val="22"/>
          <w:szCs w:val="22"/>
        </w:rPr>
        <w:t>r</w:t>
      </w:r>
      <w:r w:rsidR="007A6298" w:rsidRPr="007A6298">
        <w:rPr>
          <w:rFonts w:asciiTheme="majorHAnsi" w:hAnsiTheme="majorHAnsi" w:cstheme="majorHAnsi"/>
          <w:color w:val="00000F"/>
          <w:sz w:val="22"/>
          <w:szCs w:val="22"/>
        </w:rPr>
        <w:t>eaffirm roles and responsibilities as outlined in the 2018 Communications Plan</w:t>
      </w:r>
      <w:r w:rsidR="002E77B6">
        <w:rPr>
          <w:rFonts w:asciiTheme="majorHAnsi" w:hAnsiTheme="majorHAnsi" w:cstheme="majorHAnsi"/>
          <w:color w:val="00000F"/>
          <w:sz w:val="22"/>
          <w:szCs w:val="22"/>
        </w:rPr>
        <w:t>.</w:t>
      </w:r>
    </w:p>
    <w:p w14:paraId="097A03CF" w14:textId="77777777" w:rsidR="00487179" w:rsidRDefault="00487179">
      <w:pPr>
        <w:rPr>
          <w:rFonts w:asciiTheme="majorHAnsi" w:hAnsiTheme="majorHAnsi" w:cstheme="majorHAnsi"/>
          <w:b/>
          <w:color w:val="0E1428"/>
          <w:spacing w:val="120"/>
          <w:sz w:val="52"/>
          <w:szCs w:val="52"/>
        </w:rPr>
      </w:pPr>
      <w:bookmarkStart w:id="28" w:name="_Toc72104085"/>
      <w:r>
        <w:rPr>
          <w:rFonts w:asciiTheme="majorHAnsi" w:hAnsiTheme="majorHAnsi" w:cstheme="majorHAnsi"/>
          <w:b/>
          <w:color w:val="0E1428"/>
          <w:spacing w:val="120"/>
          <w:sz w:val="52"/>
          <w:szCs w:val="52"/>
        </w:rPr>
        <w:br w:type="page"/>
      </w:r>
    </w:p>
    <w:p w14:paraId="28F0D692" w14:textId="77777777" w:rsidR="00FB2C3C" w:rsidRPr="00C875FA" w:rsidRDefault="00B12D74" w:rsidP="00C875FA">
      <w:pPr>
        <w:pStyle w:val="Heading1A"/>
      </w:pPr>
      <w:r w:rsidRPr="00C875FA">
        <w:t>ANNEXURES</w:t>
      </w:r>
      <w:bookmarkEnd w:id="28"/>
    </w:p>
    <w:p w14:paraId="389B62A6" w14:textId="78C5DA7D" w:rsidR="008456C3" w:rsidRDefault="00611197" w:rsidP="00611197">
      <w:pPr>
        <w:pStyle w:val="Heading2A"/>
      </w:pPr>
      <w:bookmarkStart w:id="29" w:name="_Toc72104086"/>
      <w:r>
        <w:br/>
      </w:r>
      <w:r w:rsidR="00F90E09">
        <w:t>ANNEX 1: Terms of Reference</w:t>
      </w:r>
      <w:bookmarkEnd w:id="29"/>
    </w:p>
    <w:p w14:paraId="3C2444A2" w14:textId="77777777" w:rsidR="00F90E09" w:rsidRPr="00876E35" w:rsidRDefault="00F90E09" w:rsidP="00611197">
      <w:pPr>
        <w:pStyle w:val="Heading2A"/>
      </w:pPr>
      <w:bookmarkStart w:id="30" w:name="_Toc72104087"/>
      <w:r>
        <w:t xml:space="preserve">ANNEX 2: </w:t>
      </w:r>
      <w:r w:rsidR="00B97665">
        <w:t>Mid-Term Review Plan</w:t>
      </w:r>
      <w:bookmarkEnd w:id="30"/>
    </w:p>
    <w:p w14:paraId="36254F8F" w14:textId="77777777" w:rsidR="00FB2C3C" w:rsidRPr="00876E35" w:rsidRDefault="00B97665" w:rsidP="002235B2">
      <w:pPr>
        <w:suppressAutoHyphens/>
        <w:autoSpaceDE w:val="0"/>
        <w:autoSpaceDN w:val="0"/>
        <w:adjustRightInd w:val="0"/>
        <w:spacing w:line="288" w:lineRule="auto"/>
        <w:textAlignment w:val="center"/>
        <w:rPr>
          <w:rFonts w:asciiTheme="majorHAnsi" w:hAnsiTheme="majorHAnsi" w:cstheme="majorHAnsi"/>
          <w:color w:val="0E1428"/>
          <w:sz w:val="36"/>
          <w:szCs w:val="36"/>
        </w:rPr>
      </w:pPr>
      <w:r>
        <w:rPr>
          <w:rFonts w:asciiTheme="majorHAnsi" w:hAnsiTheme="majorHAnsi" w:cstheme="majorHAnsi"/>
          <w:color w:val="00000F"/>
          <w:sz w:val="22"/>
          <w:szCs w:val="22"/>
          <w:lang w:val="en-US"/>
        </w:rPr>
        <w:t>Annex 1 and 2 have been submitted to DFAT separately and are available upon request.</w:t>
      </w:r>
    </w:p>
    <w:p w14:paraId="0AE9BE87" w14:textId="77777777" w:rsidR="00FB2C3C" w:rsidRPr="00AB3ED7" w:rsidRDefault="00FB2C3C" w:rsidP="00AB3ED7">
      <w:pPr>
        <w:rPr>
          <w:rFonts w:asciiTheme="majorHAnsi" w:hAnsiTheme="majorHAnsi" w:cstheme="majorHAnsi"/>
          <w:color w:val="0E1428"/>
          <w:sz w:val="18"/>
          <w:szCs w:val="18"/>
          <w:lang w:val="en-US"/>
        </w:rPr>
      </w:pPr>
    </w:p>
    <w:p w14:paraId="443EEDA0" w14:textId="41BD28F7" w:rsidR="00FB2C3C" w:rsidRDefault="002235B2" w:rsidP="00FB2C3C">
      <w:pPr>
        <w:tabs>
          <w:tab w:val="left" w:pos="7780"/>
        </w:tabs>
        <w:outlineLvl w:val="0"/>
        <w:rPr>
          <w:rFonts w:asciiTheme="majorHAnsi" w:hAnsiTheme="majorHAnsi" w:cstheme="majorHAnsi"/>
          <w:b/>
          <w:bCs/>
          <w:color w:val="222A35" w:themeColor="text2" w:themeShade="80"/>
          <w:spacing w:val="30"/>
          <w:lang w:val="en-US"/>
        </w:rPr>
      </w:pPr>
      <w:bookmarkStart w:id="31" w:name="_Toc72104088"/>
      <w:r w:rsidRPr="00611197">
        <w:rPr>
          <w:rFonts w:asciiTheme="majorHAnsi" w:hAnsiTheme="majorHAnsi" w:cstheme="majorHAnsi"/>
          <w:b/>
          <w:bCs/>
          <w:color w:val="222A35" w:themeColor="text2" w:themeShade="80"/>
          <w:spacing w:val="30"/>
          <w:lang w:val="en-US"/>
        </w:rPr>
        <w:t>ANNEX 3: Consultation List</w:t>
      </w:r>
      <w:bookmarkEnd w:id="31"/>
    </w:p>
    <w:p w14:paraId="10D96FFD" w14:textId="77777777" w:rsidR="000C39BA" w:rsidRPr="00611197" w:rsidRDefault="000C39BA" w:rsidP="00FB2C3C">
      <w:pPr>
        <w:tabs>
          <w:tab w:val="left" w:pos="7780"/>
        </w:tabs>
        <w:outlineLvl w:val="0"/>
        <w:rPr>
          <w:rFonts w:asciiTheme="majorHAnsi" w:hAnsiTheme="majorHAnsi" w:cstheme="majorHAnsi"/>
          <w:b/>
          <w:bCs/>
          <w:color w:val="222A35" w:themeColor="text2" w:themeShade="80"/>
          <w:spacing w:val="30"/>
          <w:lang w:val="en-US"/>
        </w:rPr>
      </w:pPr>
    </w:p>
    <w:p w14:paraId="64BFD1D3" w14:textId="77777777" w:rsidR="000C39BA" w:rsidRPr="000C39BA" w:rsidRDefault="000C39BA" w:rsidP="000C39BA">
      <w:pPr>
        <w:rPr>
          <w:rStyle w:val="Heading"/>
        </w:rPr>
      </w:pPr>
      <w:r w:rsidRPr="000C39BA">
        <w:rPr>
          <w:rStyle w:val="Heading"/>
        </w:rPr>
        <w:t>DFAT - Canberra</w:t>
      </w:r>
    </w:p>
    <w:tbl>
      <w:tblPr>
        <w:tblStyle w:val="TableGrid"/>
        <w:tblW w:w="0" w:type="auto"/>
        <w:tblLook w:val="04A0" w:firstRow="1" w:lastRow="0" w:firstColumn="1" w:lastColumn="0" w:noHBand="0" w:noVBand="1"/>
      </w:tblPr>
      <w:tblGrid>
        <w:gridCol w:w="4505"/>
        <w:gridCol w:w="4505"/>
      </w:tblGrid>
      <w:tr w:rsidR="000C39BA" w:rsidRPr="00A204B6" w14:paraId="525D3012" w14:textId="77777777" w:rsidTr="000C39BA">
        <w:trPr>
          <w:tblHeader/>
        </w:trPr>
        <w:tc>
          <w:tcPr>
            <w:tcW w:w="4508" w:type="dxa"/>
            <w:shd w:val="clear" w:color="auto" w:fill="44546A"/>
          </w:tcPr>
          <w:p w14:paraId="2DE18842" w14:textId="77777777" w:rsidR="000C39BA" w:rsidRPr="00A204B6" w:rsidRDefault="000C39BA" w:rsidP="001062C8">
            <w:pPr>
              <w:rPr>
                <w:color w:val="FFFFFF" w:themeColor="background1"/>
              </w:rPr>
            </w:pPr>
            <w:r w:rsidRPr="00A204B6">
              <w:rPr>
                <w:color w:val="FFFFFF" w:themeColor="background1"/>
              </w:rPr>
              <w:t>Name</w:t>
            </w:r>
          </w:p>
        </w:tc>
        <w:tc>
          <w:tcPr>
            <w:tcW w:w="4508" w:type="dxa"/>
            <w:shd w:val="clear" w:color="auto" w:fill="44546A"/>
          </w:tcPr>
          <w:p w14:paraId="40352870" w14:textId="5EF0E9E8" w:rsidR="000C39BA" w:rsidRPr="00A204B6" w:rsidRDefault="000C39BA" w:rsidP="001062C8">
            <w:pPr>
              <w:rPr>
                <w:color w:val="FFFFFF" w:themeColor="background1"/>
              </w:rPr>
            </w:pPr>
            <w:r w:rsidRPr="00A204B6">
              <w:rPr>
                <w:color w:val="FFFFFF" w:themeColor="background1"/>
              </w:rPr>
              <w:t>Level /Division/</w:t>
            </w:r>
            <w:r>
              <w:rPr>
                <w:color w:val="FFFFFF" w:themeColor="background1"/>
              </w:rPr>
              <w:t>B</w:t>
            </w:r>
            <w:r w:rsidRPr="00A204B6">
              <w:rPr>
                <w:color w:val="FFFFFF" w:themeColor="background1"/>
              </w:rPr>
              <w:t>ranch</w:t>
            </w:r>
          </w:p>
        </w:tc>
      </w:tr>
      <w:tr w:rsidR="000C39BA" w:rsidRPr="00A204B6" w14:paraId="108CB73F" w14:textId="77777777" w:rsidTr="001062C8">
        <w:tc>
          <w:tcPr>
            <w:tcW w:w="4508" w:type="dxa"/>
          </w:tcPr>
          <w:p w14:paraId="5C0A0525" w14:textId="77777777" w:rsidR="000C39BA" w:rsidRPr="00A204B6" w:rsidRDefault="000C39BA" w:rsidP="001062C8">
            <w:r w:rsidRPr="00A204B6">
              <w:t>James Gilling</w:t>
            </w:r>
          </w:p>
        </w:tc>
        <w:tc>
          <w:tcPr>
            <w:tcW w:w="4508" w:type="dxa"/>
          </w:tcPr>
          <w:p w14:paraId="077437C8" w14:textId="77777777" w:rsidR="000C39BA" w:rsidRPr="00A204B6" w:rsidRDefault="000C39BA" w:rsidP="001062C8">
            <w:r w:rsidRPr="00A204B6">
              <w:t>First Assistant Secretary, Humanitarian Partnerships Division</w:t>
            </w:r>
          </w:p>
        </w:tc>
      </w:tr>
      <w:tr w:rsidR="000C39BA" w:rsidRPr="00A204B6" w14:paraId="299C6ADD" w14:textId="77777777" w:rsidTr="001062C8">
        <w:tc>
          <w:tcPr>
            <w:tcW w:w="4508" w:type="dxa"/>
          </w:tcPr>
          <w:p w14:paraId="015E9939" w14:textId="77777777" w:rsidR="000C39BA" w:rsidRPr="00A204B6" w:rsidRDefault="000C39BA" w:rsidP="001062C8">
            <w:r w:rsidRPr="00A204B6">
              <w:t>Andrew Egan</w:t>
            </w:r>
          </w:p>
        </w:tc>
        <w:tc>
          <w:tcPr>
            <w:tcW w:w="4508" w:type="dxa"/>
          </w:tcPr>
          <w:p w14:paraId="2528CF10" w14:textId="77777777" w:rsidR="000C39BA" w:rsidRPr="00A204B6" w:rsidRDefault="000C39BA" w:rsidP="001062C8">
            <w:r w:rsidRPr="00A204B6">
              <w:t>Assistant Secretary, Agriculture, Infrastructure and Water Branch</w:t>
            </w:r>
          </w:p>
        </w:tc>
      </w:tr>
      <w:tr w:rsidR="000C39BA" w:rsidRPr="00A204B6" w14:paraId="7BAADA1A" w14:textId="77777777" w:rsidTr="001062C8">
        <w:tc>
          <w:tcPr>
            <w:tcW w:w="4508" w:type="dxa"/>
          </w:tcPr>
          <w:p w14:paraId="70BC5B4A" w14:textId="77777777" w:rsidR="000C39BA" w:rsidRPr="00A204B6" w:rsidRDefault="000C39BA" w:rsidP="001062C8">
            <w:r w:rsidRPr="00A204B6">
              <w:t>Tim Gill</w:t>
            </w:r>
          </w:p>
        </w:tc>
        <w:tc>
          <w:tcPr>
            <w:tcW w:w="4508" w:type="dxa"/>
          </w:tcPr>
          <w:p w14:paraId="05071485" w14:textId="77777777" w:rsidR="000C39BA" w:rsidRPr="00A204B6" w:rsidRDefault="000C39BA" w:rsidP="001062C8">
            <w:r w:rsidRPr="00A204B6">
              <w:t>Director, Agriculture and Water Section</w:t>
            </w:r>
          </w:p>
        </w:tc>
      </w:tr>
      <w:tr w:rsidR="000C39BA" w:rsidRPr="00A204B6" w14:paraId="2BE030AD" w14:textId="77777777" w:rsidTr="001062C8">
        <w:tc>
          <w:tcPr>
            <w:tcW w:w="4508" w:type="dxa"/>
          </w:tcPr>
          <w:p w14:paraId="647E0297" w14:textId="77777777" w:rsidR="000C39BA" w:rsidRPr="00A204B6" w:rsidRDefault="000C39BA" w:rsidP="001062C8">
            <w:r w:rsidRPr="00A204B6">
              <w:t>Russell Miles</w:t>
            </w:r>
          </w:p>
        </w:tc>
        <w:tc>
          <w:tcPr>
            <w:tcW w:w="4508" w:type="dxa"/>
          </w:tcPr>
          <w:p w14:paraId="51365177" w14:textId="77777777" w:rsidR="000C39BA" w:rsidRPr="00A204B6" w:rsidRDefault="000C39BA" w:rsidP="001062C8">
            <w:r w:rsidRPr="00A204B6">
              <w:t>Director, Climate Adaptation</w:t>
            </w:r>
          </w:p>
        </w:tc>
      </w:tr>
      <w:tr w:rsidR="000C39BA" w:rsidRPr="00A204B6" w14:paraId="4D4BFFB6" w14:textId="77777777" w:rsidTr="001062C8">
        <w:tc>
          <w:tcPr>
            <w:tcW w:w="4508" w:type="dxa"/>
          </w:tcPr>
          <w:p w14:paraId="52B82CA5" w14:textId="77777777" w:rsidR="000C39BA" w:rsidRPr="00A204B6" w:rsidRDefault="000C39BA" w:rsidP="001062C8">
            <w:r w:rsidRPr="00A204B6">
              <w:t>Emi Tagi</w:t>
            </w:r>
          </w:p>
        </w:tc>
        <w:tc>
          <w:tcPr>
            <w:tcW w:w="4508" w:type="dxa"/>
          </w:tcPr>
          <w:p w14:paraId="7E95A0EF" w14:textId="77777777" w:rsidR="000C39BA" w:rsidRPr="00A204B6" w:rsidRDefault="000C39BA" w:rsidP="001062C8">
            <w:r w:rsidRPr="00A204B6">
              <w:t>Pacific Climate Change Section</w:t>
            </w:r>
          </w:p>
        </w:tc>
      </w:tr>
      <w:tr w:rsidR="000C39BA" w:rsidRPr="00A204B6" w14:paraId="1E6F3A86" w14:textId="77777777" w:rsidTr="001062C8">
        <w:tc>
          <w:tcPr>
            <w:tcW w:w="4508" w:type="dxa"/>
          </w:tcPr>
          <w:p w14:paraId="779DD1F0" w14:textId="77777777" w:rsidR="000C39BA" w:rsidRPr="00A204B6" w:rsidRDefault="000C39BA" w:rsidP="001062C8">
            <w:r w:rsidRPr="00A204B6">
              <w:t>Natalie McKelleher</w:t>
            </w:r>
          </w:p>
        </w:tc>
        <w:tc>
          <w:tcPr>
            <w:tcW w:w="4508" w:type="dxa"/>
          </w:tcPr>
          <w:p w14:paraId="7C8BE8CF" w14:textId="77777777" w:rsidR="000C39BA" w:rsidRPr="00A204B6" w:rsidRDefault="000C39BA" w:rsidP="001062C8">
            <w:r w:rsidRPr="00A204B6">
              <w:t xml:space="preserve">(Former) Pacific Climate Change Section </w:t>
            </w:r>
          </w:p>
        </w:tc>
      </w:tr>
      <w:tr w:rsidR="000C39BA" w:rsidRPr="00A204B6" w14:paraId="31DEAD68" w14:textId="77777777" w:rsidTr="001062C8">
        <w:tc>
          <w:tcPr>
            <w:tcW w:w="4508" w:type="dxa"/>
          </w:tcPr>
          <w:p w14:paraId="2C24DAC2" w14:textId="77777777" w:rsidR="000C39BA" w:rsidRPr="00A204B6" w:rsidRDefault="000C39BA" w:rsidP="001062C8">
            <w:r w:rsidRPr="00A204B6">
              <w:t>Kirsten Hawke</w:t>
            </w:r>
          </w:p>
        </w:tc>
        <w:tc>
          <w:tcPr>
            <w:tcW w:w="4508" w:type="dxa"/>
          </w:tcPr>
          <w:p w14:paraId="1CE9012C" w14:textId="77777777" w:rsidR="000C39BA" w:rsidRPr="00A204B6" w:rsidRDefault="000C39BA" w:rsidP="001062C8">
            <w:r w:rsidRPr="00A204B6">
              <w:t>Aid Management and Performance Branch</w:t>
            </w:r>
          </w:p>
        </w:tc>
      </w:tr>
      <w:tr w:rsidR="000C39BA" w:rsidRPr="00A204B6" w14:paraId="7E116349" w14:textId="77777777" w:rsidTr="001062C8">
        <w:tc>
          <w:tcPr>
            <w:tcW w:w="4508" w:type="dxa"/>
          </w:tcPr>
          <w:p w14:paraId="46AF4001" w14:textId="77777777" w:rsidR="000C39BA" w:rsidRPr="00A204B6" w:rsidRDefault="000C39BA" w:rsidP="001062C8">
            <w:r w:rsidRPr="00A204B6">
              <w:t>Mark Palu</w:t>
            </w:r>
          </w:p>
        </w:tc>
        <w:tc>
          <w:tcPr>
            <w:tcW w:w="4508" w:type="dxa"/>
          </w:tcPr>
          <w:p w14:paraId="4C373C4E" w14:textId="77777777" w:rsidR="000C39BA" w:rsidRPr="00A204B6" w:rsidRDefault="000C39BA" w:rsidP="001062C8">
            <w:r w:rsidRPr="00A204B6">
              <w:t>Aid Management and Performance Branch</w:t>
            </w:r>
          </w:p>
        </w:tc>
      </w:tr>
      <w:tr w:rsidR="000C39BA" w:rsidRPr="00A204B6" w14:paraId="3C1BC5E9" w14:textId="77777777" w:rsidTr="001062C8">
        <w:tc>
          <w:tcPr>
            <w:tcW w:w="4508" w:type="dxa"/>
          </w:tcPr>
          <w:p w14:paraId="7C1AD762" w14:textId="77777777" w:rsidR="000C39BA" w:rsidRPr="00A204B6" w:rsidRDefault="000C39BA" w:rsidP="001062C8">
            <w:proofErr w:type="spellStart"/>
            <w:r w:rsidRPr="00A204B6">
              <w:t>Racheline</w:t>
            </w:r>
            <w:proofErr w:type="spellEnd"/>
            <w:r w:rsidRPr="00A204B6">
              <w:t xml:space="preserve"> Jackson</w:t>
            </w:r>
          </w:p>
        </w:tc>
        <w:tc>
          <w:tcPr>
            <w:tcW w:w="4508" w:type="dxa"/>
          </w:tcPr>
          <w:p w14:paraId="2CC5D226" w14:textId="77777777" w:rsidR="000C39BA" w:rsidRPr="00A204B6" w:rsidRDefault="000C39BA" w:rsidP="001062C8">
            <w:r w:rsidRPr="00A204B6">
              <w:t>Sustainability and Climate Change Branch</w:t>
            </w:r>
          </w:p>
        </w:tc>
      </w:tr>
      <w:tr w:rsidR="000C39BA" w:rsidRPr="00A204B6" w14:paraId="6006853D" w14:textId="77777777" w:rsidTr="001062C8">
        <w:tc>
          <w:tcPr>
            <w:tcW w:w="4508" w:type="dxa"/>
          </w:tcPr>
          <w:p w14:paraId="108447C6" w14:textId="77777777" w:rsidR="000C39BA" w:rsidRPr="00A204B6" w:rsidRDefault="000C39BA" w:rsidP="001062C8">
            <w:r w:rsidRPr="00A204B6">
              <w:t>Luke Millar</w:t>
            </w:r>
          </w:p>
        </w:tc>
        <w:tc>
          <w:tcPr>
            <w:tcW w:w="4508" w:type="dxa"/>
          </w:tcPr>
          <w:p w14:paraId="3DC23F63" w14:textId="77777777" w:rsidR="000C39BA" w:rsidRPr="00A204B6" w:rsidRDefault="000C39BA" w:rsidP="001062C8">
            <w:r w:rsidRPr="00A204B6">
              <w:t>Sustainability and Climate Change Branch</w:t>
            </w:r>
          </w:p>
        </w:tc>
      </w:tr>
      <w:tr w:rsidR="000C39BA" w:rsidRPr="00A204B6" w14:paraId="2BD454ED" w14:textId="77777777" w:rsidTr="001062C8">
        <w:tc>
          <w:tcPr>
            <w:tcW w:w="4508" w:type="dxa"/>
          </w:tcPr>
          <w:p w14:paraId="753271EA" w14:textId="77777777" w:rsidR="000C39BA" w:rsidRPr="00A204B6" w:rsidRDefault="000C39BA" w:rsidP="001062C8">
            <w:r w:rsidRPr="00A204B6">
              <w:t>Christine Ford</w:t>
            </w:r>
          </w:p>
        </w:tc>
        <w:tc>
          <w:tcPr>
            <w:tcW w:w="4508" w:type="dxa"/>
          </w:tcPr>
          <w:p w14:paraId="2B490868" w14:textId="77777777" w:rsidR="000C39BA" w:rsidRPr="00A204B6" w:rsidRDefault="000C39BA" w:rsidP="001062C8">
            <w:r w:rsidRPr="00A204B6">
              <w:t>Sustainability and Climate Change Branch</w:t>
            </w:r>
          </w:p>
        </w:tc>
      </w:tr>
      <w:tr w:rsidR="000C39BA" w:rsidRPr="00A204B6" w14:paraId="4B18E268" w14:textId="77777777" w:rsidTr="001062C8">
        <w:tc>
          <w:tcPr>
            <w:tcW w:w="4508" w:type="dxa"/>
          </w:tcPr>
          <w:p w14:paraId="0BCAC518" w14:textId="77777777" w:rsidR="000C39BA" w:rsidRPr="00A204B6" w:rsidRDefault="000C39BA" w:rsidP="001062C8">
            <w:r w:rsidRPr="00A204B6">
              <w:t>Rhonda Bobbin</w:t>
            </w:r>
          </w:p>
        </w:tc>
        <w:tc>
          <w:tcPr>
            <w:tcW w:w="4508" w:type="dxa"/>
          </w:tcPr>
          <w:p w14:paraId="7CF7D7A5" w14:textId="77777777" w:rsidR="000C39BA" w:rsidRPr="00A204B6" w:rsidRDefault="000C39BA" w:rsidP="001062C8">
            <w:r w:rsidRPr="00A204B6">
              <w:t>Sustainability and Climate Change Branch</w:t>
            </w:r>
          </w:p>
        </w:tc>
      </w:tr>
      <w:tr w:rsidR="000C39BA" w:rsidRPr="00A204B6" w14:paraId="6570C136" w14:textId="77777777" w:rsidTr="001062C8">
        <w:tc>
          <w:tcPr>
            <w:tcW w:w="4508" w:type="dxa"/>
          </w:tcPr>
          <w:p w14:paraId="14B2873A" w14:textId="77777777" w:rsidR="000C39BA" w:rsidRPr="00A204B6" w:rsidRDefault="000C39BA" w:rsidP="001062C8">
            <w:r w:rsidRPr="00A204B6">
              <w:t>Fiona Lynn</w:t>
            </w:r>
          </w:p>
        </w:tc>
        <w:tc>
          <w:tcPr>
            <w:tcW w:w="4508" w:type="dxa"/>
          </w:tcPr>
          <w:p w14:paraId="1FFA6E93" w14:textId="77777777" w:rsidR="000C39BA" w:rsidRPr="00A204B6" w:rsidRDefault="000C39BA" w:rsidP="001062C8">
            <w:r w:rsidRPr="00A204B6">
              <w:t>Agriculture, Infrastructure and Water Branch</w:t>
            </w:r>
          </w:p>
        </w:tc>
      </w:tr>
      <w:tr w:rsidR="000C39BA" w:rsidRPr="00A204B6" w14:paraId="7FFFC432" w14:textId="77777777" w:rsidTr="001062C8">
        <w:tc>
          <w:tcPr>
            <w:tcW w:w="4508" w:type="dxa"/>
          </w:tcPr>
          <w:p w14:paraId="31B11D38" w14:textId="77777777" w:rsidR="000C39BA" w:rsidRPr="00A204B6" w:rsidRDefault="000C39BA" w:rsidP="001062C8">
            <w:r w:rsidRPr="00A204B6">
              <w:t>Ceri Teather</w:t>
            </w:r>
          </w:p>
        </w:tc>
        <w:tc>
          <w:tcPr>
            <w:tcW w:w="4508" w:type="dxa"/>
          </w:tcPr>
          <w:p w14:paraId="72BAB6B2" w14:textId="77777777" w:rsidR="000C39BA" w:rsidRPr="00A204B6" w:rsidRDefault="000C39BA" w:rsidP="001062C8">
            <w:r w:rsidRPr="00A204B6">
              <w:t>Disaster Risk, Resilience and Recovery section</w:t>
            </w:r>
          </w:p>
        </w:tc>
      </w:tr>
      <w:tr w:rsidR="000C39BA" w:rsidRPr="00A204B6" w14:paraId="00AB738C" w14:textId="77777777" w:rsidTr="001062C8">
        <w:tc>
          <w:tcPr>
            <w:tcW w:w="4508" w:type="dxa"/>
          </w:tcPr>
          <w:p w14:paraId="1216A3FC" w14:textId="77777777" w:rsidR="000C39BA" w:rsidRPr="00A204B6" w:rsidRDefault="000C39BA" w:rsidP="001062C8">
            <w:r w:rsidRPr="00A204B6">
              <w:t>Ryan Thew</w:t>
            </w:r>
          </w:p>
        </w:tc>
        <w:tc>
          <w:tcPr>
            <w:tcW w:w="4508" w:type="dxa"/>
          </w:tcPr>
          <w:p w14:paraId="099DAABB" w14:textId="77777777" w:rsidR="000C39BA" w:rsidRPr="00A204B6" w:rsidRDefault="000C39BA" w:rsidP="001062C8">
            <w:r w:rsidRPr="00A204B6">
              <w:t>Private Sector Partnership and Finance Branch</w:t>
            </w:r>
          </w:p>
        </w:tc>
      </w:tr>
      <w:tr w:rsidR="000C39BA" w:rsidRPr="00A204B6" w14:paraId="1B2ED2D4" w14:textId="77777777" w:rsidTr="001062C8">
        <w:tc>
          <w:tcPr>
            <w:tcW w:w="4508" w:type="dxa"/>
          </w:tcPr>
          <w:p w14:paraId="4C7C6A65" w14:textId="77777777" w:rsidR="000C39BA" w:rsidRPr="00A204B6" w:rsidRDefault="000C39BA" w:rsidP="001062C8">
            <w:r w:rsidRPr="00A204B6">
              <w:t>Celeste Powell</w:t>
            </w:r>
          </w:p>
        </w:tc>
        <w:tc>
          <w:tcPr>
            <w:tcW w:w="4508" w:type="dxa"/>
          </w:tcPr>
          <w:p w14:paraId="5C0A88CC" w14:textId="77777777" w:rsidR="000C39BA" w:rsidRPr="00A204B6" w:rsidRDefault="000C39BA" w:rsidP="001062C8">
            <w:r w:rsidRPr="00A204B6">
              <w:t>(Former) Pacific Climate Change Section</w:t>
            </w:r>
          </w:p>
        </w:tc>
      </w:tr>
      <w:tr w:rsidR="000C39BA" w:rsidRPr="00A204B6" w14:paraId="577D8474" w14:textId="77777777" w:rsidTr="001062C8">
        <w:tc>
          <w:tcPr>
            <w:tcW w:w="4508" w:type="dxa"/>
          </w:tcPr>
          <w:p w14:paraId="6E5AC4E3" w14:textId="77777777" w:rsidR="000C39BA" w:rsidRPr="00A204B6" w:rsidRDefault="000C39BA" w:rsidP="001062C8">
            <w:r w:rsidRPr="00A204B6">
              <w:t>Philip Martin</w:t>
            </w:r>
          </w:p>
        </w:tc>
        <w:tc>
          <w:tcPr>
            <w:tcW w:w="4508" w:type="dxa"/>
          </w:tcPr>
          <w:p w14:paraId="2B40294F" w14:textId="77777777" w:rsidR="000C39BA" w:rsidRPr="00A204B6" w:rsidRDefault="000C39BA" w:rsidP="001062C8">
            <w:r w:rsidRPr="00A204B6">
              <w:t xml:space="preserve">Australian Infrastructure Financing Facility for the Pacific </w:t>
            </w:r>
          </w:p>
        </w:tc>
      </w:tr>
      <w:tr w:rsidR="000C39BA" w:rsidRPr="00A204B6" w14:paraId="713B8910" w14:textId="77777777" w:rsidTr="001062C8">
        <w:tc>
          <w:tcPr>
            <w:tcW w:w="4508" w:type="dxa"/>
          </w:tcPr>
          <w:p w14:paraId="054F3E4B" w14:textId="77777777" w:rsidR="000C39BA" w:rsidRPr="00A204B6" w:rsidRDefault="000C39BA" w:rsidP="001062C8">
            <w:r w:rsidRPr="00A204B6">
              <w:t xml:space="preserve">Nikolas </w:t>
            </w:r>
            <w:proofErr w:type="spellStart"/>
            <w:r w:rsidRPr="00A204B6">
              <w:t>Yiannakopoulos</w:t>
            </w:r>
            <w:proofErr w:type="spellEnd"/>
          </w:p>
        </w:tc>
        <w:tc>
          <w:tcPr>
            <w:tcW w:w="4508" w:type="dxa"/>
          </w:tcPr>
          <w:p w14:paraId="4C158927" w14:textId="77777777" w:rsidR="000C39BA" w:rsidRPr="00A204B6" w:rsidRDefault="000C39BA" w:rsidP="001062C8">
            <w:r w:rsidRPr="00A204B6">
              <w:t xml:space="preserve">Australian Infrastructure Financing Facility for the Pacific </w:t>
            </w:r>
          </w:p>
        </w:tc>
      </w:tr>
    </w:tbl>
    <w:p w14:paraId="14061A3C" w14:textId="77777777" w:rsidR="000C39BA" w:rsidRDefault="000C39BA" w:rsidP="000C39BA"/>
    <w:p w14:paraId="4929272B" w14:textId="77777777" w:rsidR="000C39BA" w:rsidRPr="000C39BA" w:rsidRDefault="000C39BA" w:rsidP="000C39BA">
      <w:pPr>
        <w:rPr>
          <w:rStyle w:val="Heading"/>
        </w:rPr>
      </w:pPr>
      <w:r w:rsidRPr="000C39BA">
        <w:rPr>
          <w:rStyle w:val="Heading"/>
        </w:rPr>
        <w:t>DFAT - Post</w:t>
      </w:r>
    </w:p>
    <w:tbl>
      <w:tblPr>
        <w:tblStyle w:val="TableGrid"/>
        <w:tblW w:w="0" w:type="auto"/>
        <w:tblLook w:val="04A0" w:firstRow="1" w:lastRow="0" w:firstColumn="1" w:lastColumn="0" w:noHBand="0" w:noVBand="1"/>
      </w:tblPr>
      <w:tblGrid>
        <w:gridCol w:w="4505"/>
        <w:gridCol w:w="4505"/>
      </w:tblGrid>
      <w:tr w:rsidR="000C39BA" w:rsidRPr="00A204B6" w14:paraId="6DBBE682" w14:textId="77777777" w:rsidTr="000C39BA">
        <w:trPr>
          <w:tblHeader/>
        </w:trPr>
        <w:tc>
          <w:tcPr>
            <w:tcW w:w="4508" w:type="dxa"/>
            <w:shd w:val="clear" w:color="auto" w:fill="44546A"/>
          </w:tcPr>
          <w:p w14:paraId="4AD07F60" w14:textId="77777777" w:rsidR="000C39BA" w:rsidRPr="00A204B6" w:rsidRDefault="000C39BA" w:rsidP="001062C8">
            <w:pPr>
              <w:rPr>
                <w:color w:val="FFFFFF" w:themeColor="background1"/>
              </w:rPr>
            </w:pPr>
            <w:r w:rsidRPr="00A204B6">
              <w:rPr>
                <w:color w:val="FFFFFF" w:themeColor="background1"/>
              </w:rPr>
              <w:t>Name</w:t>
            </w:r>
          </w:p>
        </w:tc>
        <w:tc>
          <w:tcPr>
            <w:tcW w:w="4508" w:type="dxa"/>
            <w:shd w:val="clear" w:color="auto" w:fill="44546A"/>
          </w:tcPr>
          <w:p w14:paraId="3BB36F26" w14:textId="77777777" w:rsidR="000C39BA" w:rsidRPr="00A204B6" w:rsidRDefault="000C39BA" w:rsidP="001062C8">
            <w:pPr>
              <w:rPr>
                <w:color w:val="FFFFFF" w:themeColor="background1"/>
              </w:rPr>
            </w:pPr>
            <w:r w:rsidRPr="00A204B6">
              <w:rPr>
                <w:color w:val="FFFFFF" w:themeColor="background1"/>
              </w:rPr>
              <w:t>Post</w:t>
            </w:r>
          </w:p>
        </w:tc>
      </w:tr>
      <w:tr w:rsidR="000C39BA" w:rsidRPr="00A204B6" w14:paraId="591841FC" w14:textId="77777777" w:rsidTr="001062C8">
        <w:tc>
          <w:tcPr>
            <w:tcW w:w="4508" w:type="dxa"/>
          </w:tcPr>
          <w:p w14:paraId="5C870408" w14:textId="77777777" w:rsidR="000C39BA" w:rsidRPr="00A204B6" w:rsidRDefault="000C39BA" w:rsidP="001062C8">
            <w:r w:rsidRPr="00A204B6">
              <w:t>Melissa Tipping</w:t>
            </w:r>
          </w:p>
        </w:tc>
        <w:tc>
          <w:tcPr>
            <w:tcW w:w="4508" w:type="dxa"/>
          </w:tcPr>
          <w:p w14:paraId="42B29C05" w14:textId="77777777" w:rsidR="000C39BA" w:rsidRPr="00A204B6" w:rsidRDefault="000C39BA" w:rsidP="001062C8">
            <w:r w:rsidRPr="00A204B6">
              <w:t>Fiji Post – Suva</w:t>
            </w:r>
          </w:p>
        </w:tc>
      </w:tr>
      <w:tr w:rsidR="000C39BA" w:rsidRPr="00A204B6" w14:paraId="31EE7DF2" w14:textId="77777777" w:rsidTr="001062C8">
        <w:tc>
          <w:tcPr>
            <w:tcW w:w="4508" w:type="dxa"/>
          </w:tcPr>
          <w:p w14:paraId="12A8360B" w14:textId="77777777" w:rsidR="000C39BA" w:rsidRPr="00A204B6" w:rsidRDefault="000C39BA" w:rsidP="001062C8">
            <w:r w:rsidRPr="00A204B6">
              <w:t>Natasha Verma</w:t>
            </w:r>
          </w:p>
        </w:tc>
        <w:tc>
          <w:tcPr>
            <w:tcW w:w="4508" w:type="dxa"/>
          </w:tcPr>
          <w:p w14:paraId="5A2E0123" w14:textId="77777777" w:rsidR="000C39BA" w:rsidRPr="00A204B6" w:rsidRDefault="000C39BA" w:rsidP="001062C8">
            <w:r w:rsidRPr="00A204B6">
              <w:t>Fiji Post – Suva</w:t>
            </w:r>
          </w:p>
        </w:tc>
      </w:tr>
      <w:tr w:rsidR="000C39BA" w:rsidRPr="00A204B6" w14:paraId="19198E16" w14:textId="77777777" w:rsidTr="001062C8">
        <w:tc>
          <w:tcPr>
            <w:tcW w:w="4508" w:type="dxa"/>
          </w:tcPr>
          <w:p w14:paraId="25628BC6" w14:textId="77777777" w:rsidR="000C39BA" w:rsidRPr="00A204B6" w:rsidRDefault="000C39BA" w:rsidP="001062C8">
            <w:r w:rsidRPr="00A204B6">
              <w:t xml:space="preserve">Kenneth </w:t>
            </w:r>
            <w:proofErr w:type="spellStart"/>
            <w:r w:rsidRPr="00A204B6">
              <w:t>Cokonasiga</w:t>
            </w:r>
            <w:proofErr w:type="spellEnd"/>
          </w:p>
        </w:tc>
        <w:tc>
          <w:tcPr>
            <w:tcW w:w="4508" w:type="dxa"/>
          </w:tcPr>
          <w:p w14:paraId="5099031F" w14:textId="77777777" w:rsidR="000C39BA" w:rsidRPr="00A204B6" w:rsidRDefault="000C39BA" w:rsidP="001062C8">
            <w:r w:rsidRPr="00A204B6">
              <w:t>Fiji Post – Suva</w:t>
            </w:r>
          </w:p>
        </w:tc>
      </w:tr>
      <w:tr w:rsidR="000C39BA" w:rsidRPr="00A204B6" w14:paraId="5F79F469" w14:textId="77777777" w:rsidTr="001062C8">
        <w:tc>
          <w:tcPr>
            <w:tcW w:w="4508" w:type="dxa"/>
          </w:tcPr>
          <w:p w14:paraId="046CA2F5" w14:textId="77777777" w:rsidR="000C39BA" w:rsidRPr="00A204B6" w:rsidRDefault="000C39BA" w:rsidP="001062C8">
            <w:r w:rsidRPr="00A204B6">
              <w:t xml:space="preserve">Nige </w:t>
            </w:r>
            <w:proofErr w:type="spellStart"/>
            <w:r w:rsidRPr="00A204B6">
              <w:t>Kaupa</w:t>
            </w:r>
            <w:proofErr w:type="spellEnd"/>
          </w:p>
        </w:tc>
        <w:tc>
          <w:tcPr>
            <w:tcW w:w="4508" w:type="dxa"/>
          </w:tcPr>
          <w:p w14:paraId="56B456FC" w14:textId="77777777" w:rsidR="000C39BA" w:rsidRPr="00A204B6" w:rsidRDefault="000C39BA" w:rsidP="001062C8">
            <w:r w:rsidRPr="00A204B6">
              <w:t>PNG Post – Port Moresby</w:t>
            </w:r>
          </w:p>
        </w:tc>
      </w:tr>
      <w:tr w:rsidR="000C39BA" w:rsidRPr="00A204B6" w14:paraId="2B1D8042" w14:textId="77777777" w:rsidTr="001062C8">
        <w:tc>
          <w:tcPr>
            <w:tcW w:w="4508" w:type="dxa"/>
          </w:tcPr>
          <w:p w14:paraId="64A24B71" w14:textId="77777777" w:rsidR="000C39BA" w:rsidRPr="00A204B6" w:rsidRDefault="000C39BA" w:rsidP="001062C8">
            <w:r w:rsidRPr="00A204B6">
              <w:t>Nicholas Saunders</w:t>
            </w:r>
          </w:p>
        </w:tc>
        <w:tc>
          <w:tcPr>
            <w:tcW w:w="4508" w:type="dxa"/>
          </w:tcPr>
          <w:p w14:paraId="41350C16" w14:textId="77777777" w:rsidR="000C39BA" w:rsidRPr="00A204B6" w:rsidRDefault="000C39BA" w:rsidP="001062C8">
            <w:r w:rsidRPr="00A204B6">
              <w:t>PNG Post – Port Moresby</w:t>
            </w:r>
          </w:p>
        </w:tc>
      </w:tr>
      <w:tr w:rsidR="000C39BA" w:rsidRPr="00A204B6" w14:paraId="747B9880" w14:textId="77777777" w:rsidTr="001062C8">
        <w:tc>
          <w:tcPr>
            <w:tcW w:w="4508" w:type="dxa"/>
          </w:tcPr>
          <w:p w14:paraId="25CE3CC5" w14:textId="77777777" w:rsidR="000C39BA" w:rsidRPr="00A204B6" w:rsidRDefault="000C39BA" w:rsidP="001062C8">
            <w:proofErr w:type="spellStart"/>
            <w:r w:rsidRPr="00A204B6">
              <w:t>Tekirabereta</w:t>
            </w:r>
            <w:proofErr w:type="spellEnd"/>
            <w:r w:rsidRPr="00A204B6">
              <w:t xml:space="preserve"> </w:t>
            </w:r>
            <w:proofErr w:type="spellStart"/>
            <w:r w:rsidRPr="00A204B6">
              <w:t>Matiota</w:t>
            </w:r>
            <w:proofErr w:type="spellEnd"/>
          </w:p>
        </w:tc>
        <w:tc>
          <w:tcPr>
            <w:tcW w:w="4508" w:type="dxa"/>
          </w:tcPr>
          <w:p w14:paraId="73FE0E68" w14:textId="77777777" w:rsidR="000C39BA" w:rsidRPr="00A204B6" w:rsidRDefault="000C39BA" w:rsidP="001062C8">
            <w:r w:rsidRPr="00A204B6">
              <w:t>Kiribati Post – Tarawa</w:t>
            </w:r>
          </w:p>
        </w:tc>
      </w:tr>
      <w:tr w:rsidR="000C39BA" w:rsidRPr="00A204B6" w14:paraId="60704C90" w14:textId="77777777" w:rsidTr="001062C8">
        <w:tc>
          <w:tcPr>
            <w:tcW w:w="4508" w:type="dxa"/>
          </w:tcPr>
          <w:p w14:paraId="449655EB" w14:textId="77777777" w:rsidR="000C39BA" w:rsidRPr="00A204B6" w:rsidRDefault="000C39BA" w:rsidP="001062C8">
            <w:proofErr w:type="spellStart"/>
            <w:r w:rsidRPr="00A204B6">
              <w:t>Arititea</w:t>
            </w:r>
            <w:proofErr w:type="spellEnd"/>
            <w:r w:rsidRPr="00A204B6">
              <w:t xml:space="preserve"> </w:t>
            </w:r>
            <w:proofErr w:type="spellStart"/>
            <w:r w:rsidRPr="00A204B6">
              <w:t>Teeta</w:t>
            </w:r>
            <w:proofErr w:type="spellEnd"/>
          </w:p>
        </w:tc>
        <w:tc>
          <w:tcPr>
            <w:tcW w:w="4508" w:type="dxa"/>
          </w:tcPr>
          <w:p w14:paraId="566AF61B" w14:textId="77777777" w:rsidR="000C39BA" w:rsidRPr="00A204B6" w:rsidRDefault="000C39BA" w:rsidP="001062C8">
            <w:r w:rsidRPr="00A204B6">
              <w:t>Kiribati Post – Tarawa</w:t>
            </w:r>
          </w:p>
        </w:tc>
      </w:tr>
      <w:tr w:rsidR="000C39BA" w:rsidRPr="00A204B6" w14:paraId="7F8385F8" w14:textId="77777777" w:rsidTr="001062C8">
        <w:tc>
          <w:tcPr>
            <w:tcW w:w="4508" w:type="dxa"/>
          </w:tcPr>
          <w:p w14:paraId="4F361996" w14:textId="77777777" w:rsidR="000C39BA" w:rsidRPr="00A204B6" w:rsidRDefault="000C39BA" w:rsidP="001062C8">
            <w:proofErr w:type="spellStart"/>
            <w:r w:rsidRPr="00A204B6">
              <w:t>Kilistina</w:t>
            </w:r>
            <w:proofErr w:type="spellEnd"/>
            <w:r w:rsidRPr="00A204B6">
              <w:t xml:space="preserve"> Best</w:t>
            </w:r>
          </w:p>
        </w:tc>
        <w:tc>
          <w:tcPr>
            <w:tcW w:w="4508" w:type="dxa"/>
          </w:tcPr>
          <w:p w14:paraId="69807132" w14:textId="77777777" w:rsidR="000C39BA" w:rsidRPr="00A204B6" w:rsidRDefault="000C39BA" w:rsidP="001062C8">
            <w:r w:rsidRPr="00A204B6">
              <w:t>Tonga Post – Nuku’alofa</w:t>
            </w:r>
          </w:p>
        </w:tc>
      </w:tr>
      <w:tr w:rsidR="000C39BA" w:rsidRPr="00A204B6" w14:paraId="71A995A7" w14:textId="77777777" w:rsidTr="001062C8">
        <w:tc>
          <w:tcPr>
            <w:tcW w:w="4508" w:type="dxa"/>
          </w:tcPr>
          <w:p w14:paraId="73B77021" w14:textId="77777777" w:rsidR="000C39BA" w:rsidRPr="00A204B6" w:rsidRDefault="000C39BA" w:rsidP="001062C8">
            <w:proofErr w:type="spellStart"/>
            <w:r w:rsidRPr="00A204B6">
              <w:t>Kepreen</w:t>
            </w:r>
            <w:proofErr w:type="spellEnd"/>
            <w:r w:rsidRPr="00A204B6">
              <w:t xml:space="preserve"> </w:t>
            </w:r>
            <w:proofErr w:type="spellStart"/>
            <w:r w:rsidRPr="00A204B6">
              <w:t>Veetutu</w:t>
            </w:r>
            <w:proofErr w:type="spellEnd"/>
          </w:p>
        </w:tc>
        <w:tc>
          <w:tcPr>
            <w:tcW w:w="4508" w:type="dxa"/>
          </w:tcPr>
          <w:p w14:paraId="5F5597B3" w14:textId="77777777" w:rsidR="000C39BA" w:rsidRPr="00A204B6" w:rsidRDefault="000C39BA" w:rsidP="001062C8">
            <w:r w:rsidRPr="00A204B6">
              <w:t>Tonga Post – Nuku’alofa</w:t>
            </w:r>
          </w:p>
        </w:tc>
      </w:tr>
      <w:tr w:rsidR="000C39BA" w:rsidRPr="00A204B6" w14:paraId="437BB7FD" w14:textId="77777777" w:rsidTr="001062C8">
        <w:tc>
          <w:tcPr>
            <w:tcW w:w="4508" w:type="dxa"/>
          </w:tcPr>
          <w:p w14:paraId="11DF0987" w14:textId="77777777" w:rsidR="000C39BA" w:rsidRPr="00A204B6" w:rsidRDefault="000C39BA" w:rsidP="001062C8">
            <w:r w:rsidRPr="00A204B6">
              <w:t>Shelly Thomson</w:t>
            </w:r>
          </w:p>
        </w:tc>
        <w:tc>
          <w:tcPr>
            <w:tcW w:w="4508" w:type="dxa"/>
          </w:tcPr>
          <w:p w14:paraId="347D3C36" w14:textId="77777777" w:rsidR="000C39BA" w:rsidRPr="00A204B6" w:rsidRDefault="000C39BA" w:rsidP="001062C8">
            <w:r w:rsidRPr="00A204B6">
              <w:t>Tonga Post – Nuku’alofa</w:t>
            </w:r>
          </w:p>
        </w:tc>
      </w:tr>
    </w:tbl>
    <w:p w14:paraId="7C4E2C9D" w14:textId="77777777" w:rsidR="000C39BA" w:rsidRDefault="000C39BA" w:rsidP="000C39BA"/>
    <w:p w14:paraId="5E127CB8" w14:textId="77777777" w:rsidR="000C39BA" w:rsidRPr="000C39BA" w:rsidRDefault="000C39BA" w:rsidP="000C39BA">
      <w:pPr>
        <w:rPr>
          <w:rStyle w:val="Heading"/>
        </w:rPr>
      </w:pPr>
      <w:r w:rsidRPr="000C39BA">
        <w:rPr>
          <w:rStyle w:val="Heading"/>
        </w:rPr>
        <w:t>Sub-Program Implementing Partners</w:t>
      </w:r>
    </w:p>
    <w:tbl>
      <w:tblPr>
        <w:tblStyle w:val="TableGrid"/>
        <w:tblW w:w="0" w:type="auto"/>
        <w:tblLook w:val="04A0" w:firstRow="1" w:lastRow="0" w:firstColumn="1" w:lastColumn="0" w:noHBand="0" w:noVBand="1"/>
      </w:tblPr>
      <w:tblGrid>
        <w:gridCol w:w="4505"/>
        <w:gridCol w:w="4505"/>
      </w:tblGrid>
      <w:tr w:rsidR="000C39BA" w:rsidRPr="00A204B6" w14:paraId="0B693228" w14:textId="77777777" w:rsidTr="000C39BA">
        <w:trPr>
          <w:tblHeader/>
        </w:trPr>
        <w:tc>
          <w:tcPr>
            <w:tcW w:w="4508" w:type="dxa"/>
            <w:shd w:val="clear" w:color="auto" w:fill="44546A"/>
          </w:tcPr>
          <w:p w14:paraId="06477816" w14:textId="77777777" w:rsidR="000C39BA" w:rsidRPr="00A204B6" w:rsidRDefault="000C39BA" w:rsidP="001062C8">
            <w:pPr>
              <w:rPr>
                <w:color w:val="FFFFFF" w:themeColor="background1"/>
              </w:rPr>
            </w:pPr>
            <w:r w:rsidRPr="00A204B6">
              <w:rPr>
                <w:color w:val="FFFFFF" w:themeColor="background1"/>
              </w:rPr>
              <w:t>Name</w:t>
            </w:r>
          </w:p>
        </w:tc>
        <w:tc>
          <w:tcPr>
            <w:tcW w:w="4508" w:type="dxa"/>
            <w:shd w:val="clear" w:color="auto" w:fill="44546A"/>
          </w:tcPr>
          <w:p w14:paraId="7ED6A447" w14:textId="77777777" w:rsidR="000C39BA" w:rsidRPr="00A204B6" w:rsidRDefault="000C39BA" w:rsidP="001062C8">
            <w:pPr>
              <w:rPr>
                <w:color w:val="FFFFFF" w:themeColor="background1"/>
              </w:rPr>
            </w:pPr>
            <w:r w:rsidRPr="00A204B6">
              <w:rPr>
                <w:color w:val="FFFFFF" w:themeColor="background1"/>
              </w:rPr>
              <w:t>Partner</w:t>
            </w:r>
          </w:p>
        </w:tc>
      </w:tr>
      <w:tr w:rsidR="000C39BA" w:rsidRPr="00A204B6" w14:paraId="4B2D85A8" w14:textId="77777777" w:rsidTr="001062C8">
        <w:tc>
          <w:tcPr>
            <w:tcW w:w="4508" w:type="dxa"/>
          </w:tcPr>
          <w:p w14:paraId="5DB5CD78" w14:textId="77777777" w:rsidR="000C39BA" w:rsidRPr="00A204B6" w:rsidRDefault="000C39BA" w:rsidP="001062C8">
            <w:r w:rsidRPr="00A204B6">
              <w:t>Kate Duggan</w:t>
            </w:r>
          </w:p>
        </w:tc>
        <w:tc>
          <w:tcPr>
            <w:tcW w:w="4508" w:type="dxa"/>
          </w:tcPr>
          <w:p w14:paraId="2298637D" w14:textId="77777777" w:rsidR="000C39BA" w:rsidRPr="00A204B6" w:rsidRDefault="000C39BA" w:rsidP="001062C8">
            <w:r w:rsidRPr="00A204B6">
              <w:t>Palladium, APCP SU (Team Leader)</w:t>
            </w:r>
          </w:p>
        </w:tc>
      </w:tr>
      <w:tr w:rsidR="000C39BA" w:rsidRPr="00A204B6" w14:paraId="5A276701" w14:textId="77777777" w:rsidTr="001062C8">
        <w:tc>
          <w:tcPr>
            <w:tcW w:w="4508" w:type="dxa"/>
          </w:tcPr>
          <w:p w14:paraId="2C6D504E" w14:textId="77777777" w:rsidR="000C39BA" w:rsidRPr="00A204B6" w:rsidRDefault="000C39BA" w:rsidP="001062C8">
            <w:r w:rsidRPr="00A204B6">
              <w:t>Gillian Starling</w:t>
            </w:r>
          </w:p>
        </w:tc>
        <w:tc>
          <w:tcPr>
            <w:tcW w:w="4508" w:type="dxa"/>
          </w:tcPr>
          <w:p w14:paraId="78AE84BE" w14:textId="77777777" w:rsidR="000C39BA" w:rsidRPr="00A204B6" w:rsidRDefault="000C39BA" w:rsidP="001062C8">
            <w:r w:rsidRPr="00A204B6">
              <w:t>Palladium, APCP SU (Climate Change Advisor)</w:t>
            </w:r>
          </w:p>
        </w:tc>
      </w:tr>
      <w:tr w:rsidR="000C39BA" w:rsidRPr="00A204B6" w14:paraId="1357ACE8" w14:textId="77777777" w:rsidTr="001062C8">
        <w:tc>
          <w:tcPr>
            <w:tcW w:w="4508" w:type="dxa"/>
          </w:tcPr>
          <w:p w14:paraId="34A7867A" w14:textId="77777777" w:rsidR="000C39BA" w:rsidRPr="00A204B6" w:rsidRDefault="000C39BA" w:rsidP="001062C8">
            <w:r w:rsidRPr="00A204B6">
              <w:t>Clare White</w:t>
            </w:r>
          </w:p>
        </w:tc>
        <w:tc>
          <w:tcPr>
            <w:tcW w:w="4508" w:type="dxa"/>
          </w:tcPr>
          <w:p w14:paraId="19DECC7E" w14:textId="77777777" w:rsidR="000C39BA" w:rsidRPr="00A204B6" w:rsidRDefault="000C39BA" w:rsidP="001062C8">
            <w:r w:rsidRPr="00A204B6">
              <w:t>Palladium, APCP SU (Climate Change Advisor)</w:t>
            </w:r>
          </w:p>
        </w:tc>
      </w:tr>
      <w:tr w:rsidR="000C39BA" w:rsidRPr="00A204B6" w14:paraId="11D38618" w14:textId="77777777" w:rsidTr="001062C8">
        <w:tc>
          <w:tcPr>
            <w:tcW w:w="4508" w:type="dxa"/>
          </w:tcPr>
          <w:p w14:paraId="2590FD6D" w14:textId="77777777" w:rsidR="000C39BA" w:rsidRPr="00A204B6" w:rsidRDefault="000C39BA" w:rsidP="001062C8">
            <w:r w:rsidRPr="00A204B6">
              <w:t>Jeong Park</w:t>
            </w:r>
          </w:p>
        </w:tc>
        <w:tc>
          <w:tcPr>
            <w:tcW w:w="4508" w:type="dxa"/>
          </w:tcPr>
          <w:p w14:paraId="4656FA77" w14:textId="77777777" w:rsidR="000C39BA" w:rsidRPr="00A204B6" w:rsidRDefault="000C39BA" w:rsidP="001062C8">
            <w:r w:rsidRPr="00A204B6">
              <w:t>Palladium, APCP SU (DRR Advisor)</w:t>
            </w:r>
          </w:p>
        </w:tc>
      </w:tr>
      <w:tr w:rsidR="000C39BA" w:rsidRPr="00A204B6" w14:paraId="02F3CE8B" w14:textId="77777777" w:rsidTr="001062C8">
        <w:tc>
          <w:tcPr>
            <w:tcW w:w="4508" w:type="dxa"/>
          </w:tcPr>
          <w:p w14:paraId="7ACBF88B" w14:textId="77777777" w:rsidR="000C39BA" w:rsidRPr="00A204B6" w:rsidRDefault="000C39BA" w:rsidP="001062C8">
            <w:proofErr w:type="spellStart"/>
            <w:r w:rsidRPr="00A204B6">
              <w:t>Arthi</w:t>
            </w:r>
            <w:proofErr w:type="spellEnd"/>
            <w:r w:rsidRPr="00A204B6">
              <w:t xml:space="preserve"> Patel</w:t>
            </w:r>
          </w:p>
        </w:tc>
        <w:tc>
          <w:tcPr>
            <w:tcW w:w="4508" w:type="dxa"/>
          </w:tcPr>
          <w:p w14:paraId="7E0AE4AD" w14:textId="77777777" w:rsidR="000C39BA" w:rsidRPr="00A204B6" w:rsidRDefault="000C39BA" w:rsidP="001062C8">
            <w:r w:rsidRPr="00A204B6">
              <w:t>APCP SU (GESI Advisor)</w:t>
            </w:r>
          </w:p>
        </w:tc>
      </w:tr>
      <w:tr w:rsidR="000C39BA" w:rsidRPr="00A204B6" w14:paraId="4D680E3F" w14:textId="77777777" w:rsidTr="001062C8">
        <w:tc>
          <w:tcPr>
            <w:tcW w:w="4508" w:type="dxa"/>
          </w:tcPr>
          <w:p w14:paraId="5E474A30" w14:textId="77777777" w:rsidR="000C39BA" w:rsidRPr="00A204B6" w:rsidRDefault="000C39BA" w:rsidP="001062C8">
            <w:r w:rsidRPr="00A204B6">
              <w:t>Katie Frisch</w:t>
            </w:r>
          </w:p>
        </w:tc>
        <w:tc>
          <w:tcPr>
            <w:tcW w:w="4508" w:type="dxa"/>
          </w:tcPr>
          <w:p w14:paraId="6FF60D45" w14:textId="77777777" w:rsidR="000C39BA" w:rsidRPr="00A204B6" w:rsidRDefault="000C39BA" w:rsidP="001062C8">
            <w:r w:rsidRPr="00A204B6">
              <w:t>APCP SU (Knowledge Brokering Advisor)</w:t>
            </w:r>
          </w:p>
        </w:tc>
      </w:tr>
      <w:tr w:rsidR="000C39BA" w:rsidRPr="00A204B6" w14:paraId="71BDFF78" w14:textId="77777777" w:rsidTr="001062C8">
        <w:tc>
          <w:tcPr>
            <w:tcW w:w="4508" w:type="dxa"/>
          </w:tcPr>
          <w:p w14:paraId="2BF75C3B" w14:textId="77777777" w:rsidR="000C39BA" w:rsidRPr="00A204B6" w:rsidRDefault="000C39BA" w:rsidP="001062C8">
            <w:r w:rsidRPr="00A204B6">
              <w:t>Alex Nichols</w:t>
            </w:r>
          </w:p>
        </w:tc>
        <w:tc>
          <w:tcPr>
            <w:tcW w:w="4508" w:type="dxa"/>
          </w:tcPr>
          <w:p w14:paraId="4B9A1900" w14:textId="77777777" w:rsidR="000C39BA" w:rsidRPr="00A204B6" w:rsidRDefault="000C39BA" w:rsidP="001062C8">
            <w:r w:rsidRPr="00A204B6">
              <w:t>APCP SU (Communications Specialist)</w:t>
            </w:r>
          </w:p>
        </w:tc>
      </w:tr>
      <w:tr w:rsidR="000C39BA" w:rsidRPr="00A204B6" w14:paraId="3CDD6AD0" w14:textId="77777777" w:rsidTr="001062C8">
        <w:tc>
          <w:tcPr>
            <w:tcW w:w="4508" w:type="dxa"/>
          </w:tcPr>
          <w:p w14:paraId="20FEA312" w14:textId="77777777" w:rsidR="000C39BA" w:rsidRPr="00A204B6" w:rsidRDefault="000C39BA" w:rsidP="001062C8">
            <w:r w:rsidRPr="00A204B6">
              <w:t xml:space="preserve">Paul Crawford </w:t>
            </w:r>
          </w:p>
        </w:tc>
        <w:tc>
          <w:tcPr>
            <w:tcW w:w="4508" w:type="dxa"/>
          </w:tcPr>
          <w:p w14:paraId="63C2A268" w14:textId="77777777" w:rsidR="000C39BA" w:rsidRPr="00A204B6" w:rsidRDefault="000C39BA" w:rsidP="001062C8">
            <w:r w:rsidRPr="00A204B6">
              <w:t>APCP SU (MEL Advisor)</w:t>
            </w:r>
          </w:p>
        </w:tc>
      </w:tr>
      <w:tr w:rsidR="000C39BA" w:rsidRPr="00A204B6" w14:paraId="3F1FAD88" w14:textId="77777777" w:rsidTr="001062C8">
        <w:tc>
          <w:tcPr>
            <w:tcW w:w="4508" w:type="dxa"/>
          </w:tcPr>
          <w:p w14:paraId="15579125" w14:textId="77777777" w:rsidR="000C39BA" w:rsidRPr="00A204B6" w:rsidRDefault="000C39BA" w:rsidP="001062C8">
            <w:r w:rsidRPr="00A204B6">
              <w:t>Bruce Bailey</w:t>
            </w:r>
          </w:p>
        </w:tc>
        <w:tc>
          <w:tcPr>
            <w:tcW w:w="4508" w:type="dxa"/>
          </w:tcPr>
          <w:p w14:paraId="5B67FB47" w14:textId="77777777" w:rsidR="000C39BA" w:rsidRPr="00A204B6" w:rsidRDefault="000C39BA" w:rsidP="001062C8">
            <w:r w:rsidRPr="00A204B6">
              <w:t>APCP SU (MEL Advisor)</w:t>
            </w:r>
          </w:p>
        </w:tc>
      </w:tr>
      <w:tr w:rsidR="000C39BA" w:rsidRPr="00A204B6" w14:paraId="59C3ED32" w14:textId="77777777" w:rsidTr="001062C8">
        <w:tc>
          <w:tcPr>
            <w:tcW w:w="4508" w:type="dxa"/>
          </w:tcPr>
          <w:p w14:paraId="3D5112F9" w14:textId="77777777" w:rsidR="000C39BA" w:rsidRPr="00A204B6" w:rsidRDefault="000C39BA" w:rsidP="001062C8">
            <w:r w:rsidRPr="00A204B6">
              <w:t xml:space="preserve">Celine Becker </w:t>
            </w:r>
          </w:p>
        </w:tc>
        <w:tc>
          <w:tcPr>
            <w:tcW w:w="4508" w:type="dxa"/>
          </w:tcPr>
          <w:p w14:paraId="6A51A8C1" w14:textId="77777777" w:rsidR="000C39BA" w:rsidRPr="00A204B6" w:rsidRDefault="000C39BA" w:rsidP="001062C8">
            <w:r w:rsidRPr="00A204B6">
              <w:t>Australian Bureau of Meteorology, COSPPac2 (Project Manager)</w:t>
            </w:r>
          </w:p>
        </w:tc>
      </w:tr>
      <w:tr w:rsidR="000C39BA" w:rsidRPr="00A204B6" w14:paraId="1F5185EC" w14:textId="77777777" w:rsidTr="001062C8">
        <w:tc>
          <w:tcPr>
            <w:tcW w:w="4508" w:type="dxa"/>
          </w:tcPr>
          <w:p w14:paraId="4C6F8562" w14:textId="77777777" w:rsidR="000C39BA" w:rsidRPr="00A204B6" w:rsidRDefault="000C39BA" w:rsidP="001062C8">
            <w:r w:rsidRPr="00A204B6">
              <w:t xml:space="preserve">Simon </w:t>
            </w:r>
            <w:proofErr w:type="spellStart"/>
            <w:r w:rsidRPr="00A204B6">
              <w:t>McGree</w:t>
            </w:r>
            <w:proofErr w:type="spellEnd"/>
          </w:p>
        </w:tc>
        <w:tc>
          <w:tcPr>
            <w:tcW w:w="4508" w:type="dxa"/>
          </w:tcPr>
          <w:p w14:paraId="6D5CE1DB" w14:textId="77777777" w:rsidR="000C39BA" w:rsidRPr="00A204B6" w:rsidRDefault="000C39BA" w:rsidP="001062C8">
            <w:r w:rsidRPr="00A204B6">
              <w:t>Australian Bureau of Meteorology, COSPPac2 (Technical Lead)</w:t>
            </w:r>
          </w:p>
        </w:tc>
      </w:tr>
      <w:tr w:rsidR="000C39BA" w:rsidRPr="00A204B6" w14:paraId="621FCF5F" w14:textId="77777777" w:rsidTr="001062C8">
        <w:tc>
          <w:tcPr>
            <w:tcW w:w="4508" w:type="dxa"/>
          </w:tcPr>
          <w:p w14:paraId="158B6FDA" w14:textId="77777777" w:rsidR="000C39BA" w:rsidRPr="00A204B6" w:rsidRDefault="000C39BA" w:rsidP="001062C8">
            <w:r w:rsidRPr="00A204B6">
              <w:t>Jeff Aquilina</w:t>
            </w:r>
          </w:p>
        </w:tc>
        <w:tc>
          <w:tcPr>
            <w:tcW w:w="4508" w:type="dxa"/>
          </w:tcPr>
          <w:p w14:paraId="214EABC1" w14:textId="77777777" w:rsidR="000C39BA" w:rsidRPr="00A204B6" w:rsidRDefault="000C39BA" w:rsidP="001062C8">
            <w:r w:rsidRPr="00A204B6">
              <w:t>Australian Bureau of Meteorology, COSPPac2 (Team Leader, Pacific Sea Level and Geodetic Monitoring)</w:t>
            </w:r>
          </w:p>
        </w:tc>
      </w:tr>
      <w:tr w:rsidR="000C39BA" w:rsidRPr="00A204B6" w14:paraId="1AED1A0C" w14:textId="77777777" w:rsidTr="001062C8">
        <w:tc>
          <w:tcPr>
            <w:tcW w:w="4508" w:type="dxa"/>
          </w:tcPr>
          <w:p w14:paraId="79635B8E" w14:textId="77777777" w:rsidR="000C39BA" w:rsidRPr="00A204B6" w:rsidRDefault="000C39BA" w:rsidP="001062C8">
            <w:proofErr w:type="spellStart"/>
            <w:r w:rsidRPr="00A204B6">
              <w:t>Moortaza</w:t>
            </w:r>
            <w:proofErr w:type="spellEnd"/>
            <w:r w:rsidRPr="00A204B6">
              <w:t xml:space="preserve"> </w:t>
            </w:r>
            <w:proofErr w:type="spellStart"/>
            <w:r w:rsidRPr="00A204B6">
              <w:t>Jiwanji</w:t>
            </w:r>
            <w:proofErr w:type="spellEnd"/>
          </w:p>
        </w:tc>
        <w:tc>
          <w:tcPr>
            <w:tcW w:w="4508" w:type="dxa"/>
          </w:tcPr>
          <w:p w14:paraId="73BC53F0" w14:textId="77777777" w:rsidR="000C39BA" w:rsidRPr="00A204B6" w:rsidRDefault="000C39BA" w:rsidP="001062C8">
            <w:r w:rsidRPr="00A204B6">
              <w:t>UNDP, Gov4 Res (Project Manager)</w:t>
            </w:r>
          </w:p>
        </w:tc>
      </w:tr>
      <w:tr w:rsidR="000C39BA" w:rsidRPr="00A204B6" w14:paraId="07F531B0" w14:textId="77777777" w:rsidTr="001062C8">
        <w:tc>
          <w:tcPr>
            <w:tcW w:w="4508" w:type="dxa"/>
          </w:tcPr>
          <w:p w14:paraId="150CFB94" w14:textId="77777777" w:rsidR="000C39BA" w:rsidRPr="00A204B6" w:rsidRDefault="000C39BA" w:rsidP="001062C8">
            <w:r w:rsidRPr="00A204B6">
              <w:t>Nicola Glendinning</w:t>
            </w:r>
          </w:p>
        </w:tc>
        <w:tc>
          <w:tcPr>
            <w:tcW w:w="4508" w:type="dxa"/>
          </w:tcPr>
          <w:p w14:paraId="2E1C1F9A" w14:textId="77777777" w:rsidR="000C39BA" w:rsidRPr="00A204B6" w:rsidRDefault="000C39BA" w:rsidP="001062C8">
            <w:r w:rsidRPr="00A204B6">
              <w:t>UNDP, Gov4 Res (Deputy Project Manager)</w:t>
            </w:r>
          </w:p>
        </w:tc>
      </w:tr>
    </w:tbl>
    <w:p w14:paraId="647FDF23" w14:textId="77777777" w:rsidR="000C39BA" w:rsidRDefault="000C39BA" w:rsidP="000C39BA"/>
    <w:p w14:paraId="18A03662" w14:textId="77777777" w:rsidR="000C39BA" w:rsidRPr="000C39BA" w:rsidRDefault="000C39BA" w:rsidP="000C39BA">
      <w:pPr>
        <w:rPr>
          <w:rStyle w:val="Heading"/>
        </w:rPr>
      </w:pPr>
      <w:r w:rsidRPr="000C39BA">
        <w:rPr>
          <w:rStyle w:val="Heading"/>
        </w:rPr>
        <w:t>Pacific-based Organisations and Programs</w:t>
      </w:r>
    </w:p>
    <w:tbl>
      <w:tblPr>
        <w:tblStyle w:val="TableGrid"/>
        <w:tblW w:w="0" w:type="auto"/>
        <w:tblLook w:val="04A0" w:firstRow="1" w:lastRow="0" w:firstColumn="1" w:lastColumn="0" w:noHBand="0" w:noVBand="1"/>
      </w:tblPr>
      <w:tblGrid>
        <w:gridCol w:w="4505"/>
        <w:gridCol w:w="4505"/>
      </w:tblGrid>
      <w:tr w:rsidR="000C39BA" w:rsidRPr="00A204B6" w14:paraId="6196DDF6" w14:textId="77777777" w:rsidTr="000C39BA">
        <w:trPr>
          <w:tblHeader/>
        </w:trPr>
        <w:tc>
          <w:tcPr>
            <w:tcW w:w="4508" w:type="dxa"/>
            <w:shd w:val="clear" w:color="auto" w:fill="44546A"/>
          </w:tcPr>
          <w:p w14:paraId="5552F9F5" w14:textId="77777777" w:rsidR="000C39BA" w:rsidRPr="00A204B6" w:rsidRDefault="000C39BA" w:rsidP="001062C8">
            <w:pPr>
              <w:rPr>
                <w:color w:val="FFFFFF" w:themeColor="background1"/>
              </w:rPr>
            </w:pPr>
            <w:r w:rsidRPr="00A204B6">
              <w:rPr>
                <w:color w:val="FFFFFF" w:themeColor="background1"/>
              </w:rPr>
              <w:t>Name</w:t>
            </w:r>
          </w:p>
        </w:tc>
        <w:tc>
          <w:tcPr>
            <w:tcW w:w="4508" w:type="dxa"/>
            <w:shd w:val="clear" w:color="auto" w:fill="44546A"/>
          </w:tcPr>
          <w:p w14:paraId="6B4C1A39" w14:textId="77777777" w:rsidR="000C39BA" w:rsidRPr="00A204B6" w:rsidRDefault="000C39BA" w:rsidP="001062C8">
            <w:pPr>
              <w:rPr>
                <w:color w:val="FFFFFF" w:themeColor="background1"/>
              </w:rPr>
            </w:pPr>
            <w:r w:rsidRPr="00A204B6">
              <w:rPr>
                <w:color w:val="FFFFFF" w:themeColor="background1"/>
              </w:rPr>
              <w:t>Organisations and Programs</w:t>
            </w:r>
          </w:p>
        </w:tc>
      </w:tr>
      <w:tr w:rsidR="000C39BA" w:rsidRPr="00A204B6" w14:paraId="1E30A458" w14:textId="77777777" w:rsidTr="001062C8">
        <w:tc>
          <w:tcPr>
            <w:tcW w:w="4508" w:type="dxa"/>
          </w:tcPr>
          <w:p w14:paraId="73CE1DE0" w14:textId="77777777" w:rsidR="000C39BA" w:rsidRPr="00A204B6" w:rsidRDefault="000C39BA" w:rsidP="001062C8">
            <w:proofErr w:type="spellStart"/>
            <w:r w:rsidRPr="00A204B6">
              <w:t>Tagaloa</w:t>
            </w:r>
            <w:proofErr w:type="spellEnd"/>
            <w:r w:rsidRPr="00A204B6">
              <w:t xml:space="preserve"> Cooper</w:t>
            </w:r>
          </w:p>
        </w:tc>
        <w:tc>
          <w:tcPr>
            <w:tcW w:w="4508" w:type="dxa"/>
          </w:tcPr>
          <w:p w14:paraId="455D0FB6" w14:textId="77777777" w:rsidR="000C39BA" w:rsidRPr="00A204B6" w:rsidRDefault="000C39BA" w:rsidP="001062C8">
            <w:r w:rsidRPr="00A204B6">
              <w:t>Secretariat of the Pacific Regional Environment Programme (SPREP)</w:t>
            </w:r>
          </w:p>
        </w:tc>
      </w:tr>
      <w:tr w:rsidR="000C39BA" w:rsidRPr="00A204B6" w14:paraId="7907316D" w14:textId="77777777" w:rsidTr="001062C8">
        <w:tc>
          <w:tcPr>
            <w:tcW w:w="4508" w:type="dxa"/>
          </w:tcPr>
          <w:p w14:paraId="4B1D74AC" w14:textId="77777777" w:rsidR="000C39BA" w:rsidRPr="00A204B6" w:rsidRDefault="000C39BA" w:rsidP="001062C8">
            <w:proofErr w:type="spellStart"/>
            <w:r w:rsidRPr="00A204B6">
              <w:t>Teuila</w:t>
            </w:r>
            <w:proofErr w:type="spellEnd"/>
            <w:r w:rsidRPr="00A204B6">
              <w:t xml:space="preserve"> Jane</w:t>
            </w:r>
          </w:p>
        </w:tc>
        <w:tc>
          <w:tcPr>
            <w:tcW w:w="4508" w:type="dxa"/>
          </w:tcPr>
          <w:p w14:paraId="4411C6DF" w14:textId="77777777" w:rsidR="000C39BA" w:rsidRPr="00A204B6" w:rsidRDefault="000C39BA" w:rsidP="001062C8">
            <w:r w:rsidRPr="00A204B6">
              <w:t>Secretariat of the Pacific Regional Environment Programme (SPREP)</w:t>
            </w:r>
          </w:p>
        </w:tc>
      </w:tr>
      <w:tr w:rsidR="000C39BA" w:rsidRPr="00A204B6" w14:paraId="361275E1" w14:textId="77777777" w:rsidTr="001062C8">
        <w:tc>
          <w:tcPr>
            <w:tcW w:w="4508" w:type="dxa"/>
          </w:tcPr>
          <w:p w14:paraId="24000954" w14:textId="77777777" w:rsidR="000C39BA" w:rsidRPr="00A204B6" w:rsidRDefault="000C39BA" w:rsidP="001062C8">
            <w:proofErr w:type="spellStart"/>
            <w:r w:rsidRPr="00A204B6">
              <w:t>Salesa</w:t>
            </w:r>
            <w:proofErr w:type="spellEnd"/>
            <w:r w:rsidRPr="00A204B6">
              <w:t xml:space="preserve"> </w:t>
            </w:r>
            <w:proofErr w:type="spellStart"/>
            <w:r w:rsidRPr="00A204B6">
              <w:t>Nihmei</w:t>
            </w:r>
            <w:proofErr w:type="spellEnd"/>
          </w:p>
        </w:tc>
        <w:tc>
          <w:tcPr>
            <w:tcW w:w="4508" w:type="dxa"/>
          </w:tcPr>
          <w:p w14:paraId="30729031" w14:textId="77777777" w:rsidR="000C39BA" w:rsidRPr="00A204B6" w:rsidRDefault="000C39BA" w:rsidP="001062C8">
            <w:r w:rsidRPr="00A204B6">
              <w:t>Secretariat of the Pacific Regional Environment Programme (SPREP)</w:t>
            </w:r>
          </w:p>
        </w:tc>
      </w:tr>
      <w:tr w:rsidR="000C39BA" w:rsidRPr="00A204B6" w14:paraId="5E30B3F8" w14:textId="77777777" w:rsidTr="001062C8">
        <w:tc>
          <w:tcPr>
            <w:tcW w:w="4508" w:type="dxa"/>
          </w:tcPr>
          <w:p w14:paraId="7D40F68D" w14:textId="77777777" w:rsidR="000C39BA" w:rsidRPr="00A204B6" w:rsidRDefault="000C39BA" w:rsidP="001062C8">
            <w:proofErr w:type="spellStart"/>
            <w:r w:rsidRPr="00A204B6">
              <w:t>Siosinamele</w:t>
            </w:r>
            <w:proofErr w:type="spellEnd"/>
            <w:r w:rsidRPr="00A204B6">
              <w:t xml:space="preserve"> Lui</w:t>
            </w:r>
          </w:p>
        </w:tc>
        <w:tc>
          <w:tcPr>
            <w:tcW w:w="4508" w:type="dxa"/>
          </w:tcPr>
          <w:p w14:paraId="403F79CE" w14:textId="77777777" w:rsidR="000C39BA" w:rsidRPr="00A204B6" w:rsidRDefault="000C39BA" w:rsidP="001062C8">
            <w:r w:rsidRPr="00A204B6">
              <w:t>Secretariat of the Pacific Regional Environment Programme (SPREP)</w:t>
            </w:r>
          </w:p>
        </w:tc>
      </w:tr>
      <w:tr w:rsidR="000C39BA" w:rsidRPr="00A204B6" w14:paraId="0B711904" w14:textId="77777777" w:rsidTr="001062C8">
        <w:tc>
          <w:tcPr>
            <w:tcW w:w="4508" w:type="dxa"/>
          </w:tcPr>
          <w:p w14:paraId="0D750CA9" w14:textId="77777777" w:rsidR="000C39BA" w:rsidRPr="00A204B6" w:rsidRDefault="000C39BA" w:rsidP="001062C8">
            <w:r w:rsidRPr="00A204B6">
              <w:t>Molly Powers</w:t>
            </w:r>
          </w:p>
        </w:tc>
        <w:tc>
          <w:tcPr>
            <w:tcW w:w="4508" w:type="dxa"/>
          </w:tcPr>
          <w:p w14:paraId="5E736185" w14:textId="77777777" w:rsidR="000C39BA" w:rsidRPr="00A204B6" w:rsidRDefault="000C39BA" w:rsidP="001062C8">
            <w:r w:rsidRPr="00A204B6">
              <w:t>The Pacific Community (SPC)</w:t>
            </w:r>
          </w:p>
        </w:tc>
      </w:tr>
      <w:tr w:rsidR="000C39BA" w:rsidRPr="00A204B6" w14:paraId="65609B1D" w14:textId="77777777" w:rsidTr="001062C8">
        <w:tc>
          <w:tcPr>
            <w:tcW w:w="4508" w:type="dxa"/>
          </w:tcPr>
          <w:p w14:paraId="0CD95EEF" w14:textId="77777777" w:rsidR="000C39BA" w:rsidRPr="00A204B6" w:rsidRDefault="000C39BA" w:rsidP="001062C8">
            <w:proofErr w:type="spellStart"/>
            <w:r w:rsidRPr="00A204B6">
              <w:t>Bipen</w:t>
            </w:r>
            <w:proofErr w:type="spellEnd"/>
            <w:r w:rsidRPr="00A204B6">
              <w:t xml:space="preserve"> Prakash</w:t>
            </w:r>
          </w:p>
        </w:tc>
        <w:tc>
          <w:tcPr>
            <w:tcW w:w="4508" w:type="dxa"/>
          </w:tcPr>
          <w:p w14:paraId="0A1BBE4F" w14:textId="77777777" w:rsidR="000C39BA" w:rsidRPr="00A204B6" w:rsidRDefault="000C39BA" w:rsidP="001062C8">
            <w:r w:rsidRPr="00A204B6">
              <w:t>Fiji Meteorological Service</w:t>
            </w:r>
          </w:p>
        </w:tc>
      </w:tr>
      <w:tr w:rsidR="000C39BA" w:rsidRPr="00A204B6" w14:paraId="144FF216" w14:textId="77777777" w:rsidTr="001062C8">
        <w:tc>
          <w:tcPr>
            <w:tcW w:w="4508" w:type="dxa"/>
          </w:tcPr>
          <w:p w14:paraId="462B8D23" w14:textId="77777777" w:rsidR="000C39BA" w:rsidRPr="00A204B6" w:rsidRDefault="000C39BA" w:rsidP="001062C8">
            <w:proofErr w:type="spellStart"/>
            <w:r w:rsidRPr="00A204B6">
              <w:t>Seti</w:t>
            </w:r>
            <w:proofErr w:type="spellEnd"/>
            <w:r w:rsidRPr="00A204B6">
              <w:t xml:space="preserve"> Chen</w:t>
            </w:r>
          </w:p>
        </w:tc>
        <w:tc>
          <w:tcPr>
            <w:tcW w:w="4508" w:type="dxa"/>
          </w:tcPr>
          <w:p w14:paraId="0FD25D3F" w14:textId="77777777" w:rsidR="000C39BA" w:rsidRPr="00A204B6" w:rsidRDefault="000C39BA" w:rsidP="001062C8">
            <w:r w:rsidRPr="00A204B6">
              <w:t>CEO, Tonga Power Pty Ltd</w:t>
            </w:r>
          </w:p>
        </w:tc>
      </w:tr>
      <w:tr w:rsidR="000C39BA" w:rsidRPr="00A204B6" w14:paraId="7C9C4330" w14:textId="77777777" w:rsidTr="001062C8">
        <w:tc>
          <w:tcPr>
            <w:tcW w:w="4508" w:type="dxa"/>
          </w:tcPr>
          <w:p w14:paraId="5A06F24F" w14:textId="77777777" w:rsidR="000C39BA" w:rsidRPr="00A204B6" w:rsidRDefault="000C39BA" w:rsidP="001062C8">
            <w:r w:rsidRPr="00A204B6">
              <w:t xml:space="preserve">Emily </w:t>
            </w:r>
            <w:proofErr w:type="spellStart"/>
            <w:r w:rsidRPr="00A204B6">
              <w:t>Erasito</w:t>
            </w:r>
            <w:proofErr w:type="spellEnd"/>
          </w:p>
        </w:tc>
        <w:tc>
          <w:tcPr>
            <w:tcW w:w="4508" w:type="dxa"/>
          </w:tcPr>
          <w:p w14:paraId="578AA301" w14:textId="77777777" w:rsidR="000C39BA" w:rsidRPr="00A204B6" w:rsidRDefault="000C39BA" w:rsidP="001062C8">
            <w:r w:rsidRPr="00A204B6">
              <w:t>GIZ, Accelerating Climate Education</w:t>
            </w:r>
          </w:p>
        </w:tc>
      </w:tr>
      <w:tr w:rsidR="000C39BA" w:rsidRPr="00A204B6" w14:paraId="4FEECFCD" w14:textId="77777777" w:rsidTr="001062C8">
        <w:tc>
          <w:tcPr>
            <w:tcW w:w="4508" w:type="dxa"/>
          </w:tcPr>
          <w:p w14:paraId="11CA82E0" w14:textId="77777777" w:rsidR="000C39BA" w:rsidRPr="00A204B6" w:rsidRDefault="000C39BA" w:rsidP="001062C8">
            <w:proofErr w:type="spellStart"/>
            <w:r w:rsidRPr="00A204B6">
              <w:t>Sanjeshni</w:t>
            </w:r>
            <w:proofErr w:type="spellEnd"/>
            <w:r w:rsidRPr="00A204B6">
              <w:t xml:space="preserve"> </w:t>
            </w:r>
            <w:proofErr w:type="spellStart"/>
            <w:r w:rsidRPr="00A204B6">
              <w:t>Kissun</w:t>
            </w:r>
            <w:proofErr w:type="spellEnd"/>
          </w:p>
        </w:tc>
        <w:tc>
          <w:tcPr>
            <w:tcW w:w="4508" w:type="dxa"/>
          </w:tcPr>
          <w:p w14:paraId="210B775C" w14:textId="77777777" w:rsidR="000C39BA" w:rsidRPr="00A204B6" w:rsidRDefault="000C39BA" w:rsidP="001062C8">
            <w:r w:rsidRPr="00A204B6">
              <w:t>GIZ, Accelerating Climate Education</w:t>
            </w:r>
          </w:p>
        </w:tc>
      </w:tr>
      <w:tr w:rsidR="000C39BA" w:rsidRPr="00A204B6" w14:paraId="5C2C73C6" w14:textId="77777777" w:rsidTr="001062C8">
        <w:tc>
          <w:tcPr>
            <w:tcW w:w="4508" w:type="dxa"/>
          </w:tcPr>
          <w:p w14:paraId="17A6BAF9" w14:textId="77777777" w:rsidR="000C39BA" w:rsidRPr="00A204B6" w:rsidRDefault="000C39BA" w:rsidP="001062C8">
            <w:r w:rsidRPr="00A204B6">
              <w:t xml:space="preserve">Amelia </w:t>
            </w:r>
            <w:proofErr w:type="spellStart"/>
            <w:r w:rsidRPr="00A204B6">
              <w:t>Siga</w:t>
            </w:r>
            <w:proofErr w:type="spellEnd"/>
          </w:p>
        </w:tc>
        <w:tc>
          <w:tcPr>
            <w:tcW w:w="4508" w:type="dxa"/>
          </w:tcPr>
          <w:p w14:paraId="725FB194" w14:textId="77777777" w:rsidR="000C39BA" w:rsidRPr="00A204B6" w:rsidRDefault="000C39BA" w:rsidP="001062C8">
            <w:r w:rsidRPr="00A204B6">
              <w:t>GIZ, Accelerating Climate Education</w:t>
            </w:r>
          </w:p>
        </w:tc>
      </w:tr>
      <w:tr w:rsidR="000C39BA" w:rsidRPr="00A204B6" w14:paraId="0F2DB8DF" w14:textId="77777777" w:rsidTr="001062C8">
        <w:tc>
          <w:tcPr>
            <w:tcW w:w="4508" w:type="dxa"/>
          </w:tcPr>
          <w:p w14:paraId="30625A42" w14:textId="77777777" w:rsidR="000C39BA" w:rsidRPr="00A204B6" w:rsidRDefault="000C39BA" w:rsidP="001062C8">
            <w:r w:rsidRPr="00A204B6">
              <w:t xml:space="preserve">Sharon </w:t>
            </w:r>
            <w:proofErr w:type="spellStart"/>
            <w:r w:rsidRPr="00A204B6">
              <w:t>Bhagwan</w:t>
            </w:r>
            <w:proofErr w:type="spellEnd"/>
            <w:r w:rsidRPr="00A204B6">
              <w:t>-Rolls</w:t>
            </w:r>
          </w:p>
        </w:tc>
        <w:tc>
          <w:tcPr>
            <w:tcW w:w="4508" w:type="dxa"/>
          </w:tcPr>
          <w:p w14:paraId="482D5BF6" w14:textId="77777777" w:rsidR="000C39BA" w:rsidRPr="00A204B6" w:rsidRDefault="000C39BA" w:rsidP="001062C8">
            <w:r w:rsidRPr="00A204B6">
              <w:t>Shifting the Power Coalition</w:t>
            </w:r>
          </w:p>
        </w:tc>
      </w:tr>
      <w:tr w:rsidR="000C39BA" w:rsidRPr="00A204B6" w14:paraId="738ABE8A" w14:textId="77777777" w:rsidTr="001062C8">
        <w:tc>
          <w:tcPr>
            <w:tcW w:w="4508" w:type="dxa"/>
          </w:tcPr>
          <w:p w14:paraId="681A07F2" w14:textId="77777777" w:rsidR="000C39BA" w:rsidRPr="00A204B6" w:rsidRDefault="000C39BA" w:rsidP="001062C8">
            <w:r w:rsidRPr="00A204B6">
              <w:t>Marita Manley</w:t>
            </w:r>
          </w:p>
        </w:tc>
        <w:tc>
          <w:tcPr>
            <w:tcW w:w="4508" w:type="dxa"/>
          </w:tcPr>
          <w:p w14:paraId="49AFACF3" w14:textId="77777777" w:rsidR="000C39BA" w:rsidRPr="00A204B6" w:rsidRDefault="000C39BA" w:rsidP="001062C8">
            <w:proofErr w:type="spellStart"/>
            <w:r w:rsidRPr="00A204B6">
              <w:t>Talanoa</w:t>
            </w:r>
            <w:proofErr w:type="spellEnd"/>
            <w:r w:rsidRPr="00A204B6">
              <w:t xml:space="preserve"> Consulting, Australia Pacific Climate Alumni Network</w:t>
            </w:r>
          </w:p>
        </w:tc>
      </w:tr>
      <w:tr w:rsidR="000C39BA" w:rsidRPr="00A204B6" w14:paraId="7974B7CC" w14:textId="77777777" w:rsidTr="001062C8">
        <w:tc>
          <w:tcPr>
            <w:tcW w:w="4508" w:type="dxa"/>
          </w:tcPr>
          <w:p w14:paraId="2CBCB34A" w14:textId="77777777" w:rsidR="000C39BA" w:rsidRPr="00A204B6" w:rsidRDefault="000C39BA" w:rsidP="001062C8">
            <w:r w:rsidRPr="00A204B6">
              <w:t>Niki Goulding</w:t>
            </w:r>
          </w:p>
        </w:tc>
        <w:tc>
          <w:tcPr>
            <w:tcW w:w="4508" w:type="dxa"/>
          </w:tcPr>
          <w:p w14:paraId="5E36DACC" w14:textId="77777777" w:rsidR="000C39BA" w:rsidRPr="00A204B6" w:rsidRDefault="000C39BA" w:rsidP="001062C8">
            <w:proofErr w:type="spellStart"/>
            <w:r w:rsidRPr="00A204B6">
              <w:t>Talanoa</w:t>
            </w:r>
            <w:proofErr w:type="spellEnd"/>
            <w:r w:rsidRPr="00A204B6">
              <w:t xml:space="preserve"> Consulting, Australia Pacific Climate Alumni Network</w:t>
            </w:r>
          </w:p>
        </w:tc>
      </w:tr>
      <w:tr w:rsidR="000C39BA" w:rsidRPr="00A204B6" w14:paraId="55FE1F2C" w14:textId="77777777" w:rsidTr="001062C8">
        <w:tc>
          <w:tcPr>
            <w:tcW w:w="4508" w:type="dxa"/>
          </w:tcPr>
          <w:p w14:paraId="0DBBF856" w14:textId="77777777" w:rsidR="000C39BA" w:rsidRPr="00A204B6" w:rsidRDefault="000C39BA" w:rsidP="001062C8">
            <w:r w:rsidRPr="00A204B6">
              <w:t xml:space="preserve">Jason </w:t>
            </w:r>
            <w:proofErr w:type="spellStart"/>
            <w:r w:rsidRPr="00A204B6">
              <w:t>Flello</w:t>
            </w:r>
            <w:proofErr w:type="spellEnd"/>
          </w:p>
        </w:tc>
        <w:tc>
          <w:tcPr>
            <w:tcW w:w="4508" w:type="dxa"/>
          </w:tcPr>
          <w:p w14:paraId="7F32AC04" w14:textId="77777777" w:rsidR="000C39BA" w:rsidRPr="00A204B6" w:rsidRDefault="000C39BA" w:rsidP="001062C8">
            <w:r w:rsidRPr="00A204B6">
              <w:t>Kiribati Facility (Team Leader)</w:t>
            </w:r>
          </w:p>
        </w:tc>
      </w:tr>
      <w:tr w:rsidR="000C39BA" w:rsidRPr="00A204B6" w14:paraId="3DEF856A" w14:textId="77777777" w:rsidTr="001062C8">
        <w:tc>
          <w:tcPr>
            <w:tcW w:w="4508" w:type="dxa"/>
          </w:tcPr>
          <w:p w14:paraId="10FEAF6F" w14:textId="77777777" w:rsidR="000C39BA" w:rsidRPr="00A204B6" w:rsidRDefault="000C39BA" w:rsidP="001062C8">
            <w:r w:rsidRPr="00A204B6">
              <w:t>Jo Simpson</w:t>
            </w:r>
          </w:p>
        </w:tc>
        <w:tc>
          <w:tcPr>
            <w:tcW w:w="4508" w:type="dxa"/>
          </w:tcPr>
          <w:p w14:paraId="159CDDA3" w14:textId="77777777" w:rsidR="000C39BA" w:rsidRPr="00A204B6" w:rsidRDefault="000C39BA" w:rsidP="001062C8">
            <w:r w:rsidRPr="00A204B6">
              <w:t>GHD, PNG Transport Sector Support Program</w:t>
            </w:r>
          </w:p>
        </w:tc>
      </w:tr>
    </w:tbl>
    <w:p w14:paraId="28DE0D20" w14:textId="77777777" w:rsidR="000C39BA" w:rsidRDefault="000C39BA" w:rsidP="000C39BA"/>
    <w:p w14:paraId="69AA4164" w14:textId="77777777" w:rsidR="000C39BA" w:rsidRPr="000C39BA" w:rsidRDefault="000C39BA" w:rsidP="000C39BA">
      <w:pPr>
        <w:rPr>
          <w:rStyle w:val="Heading"/>
        </w:rPr>
      </w:pPr>
      <w:r w:rsidRPr="000C39BA">
        <w:rPr>
          <w:rStyle w:val="Heading"/>
        </w:rPr>
        <w:t>Other Stakeholders</w:t>
      </w:r>
    </w:p>
    <w:tbl>
      <w:tblPr>
        <w:tblStyle w:val="TableGrid"/>
        <w:tblW w:w="0" w:type="auto"/>
        <w:tblLook w:val="04A0" w:firstRow="1" w:lastRow="0" w:firstColumn="1" w:lastColumn="0" w:noHBand="0" w:noVBand="1"/>
      </w:tblPr>
      <w:tblGrid>
        <w:gridCol w:w="4505"/>
        <w:gridCol w:w="4505"/>
      </w:tblGrid>
      <w:tr w:rsidR="000C39BA" w:rsidRPr="00A204B6" w14:paraId="70B97D40" w14:textId="77777777" w:rsidTr="000C39BA">
        <w:trPr>
          <w:tblHeader/>
        </w:trPr>
        <w:tc>
          <w:tcPr>
            <w:tcW w:w="4508" w:type="dxa"/>
            <w:shd w:val="clear" w:color="auto" w:fill="44546A"/>
          </w:tcPr>
          <w:p w14:paraId="439B7F15" w14:textId="77777777" w:rsidR="000C39BA" w:rsidRPr="00A204B6" w:rsidRDefault="000C39BA" w:rsidP="001062C8">
            <w:pPr>
              <w:rPr>
                <w:color w:val="FFFFFF" w:themeColor="background1"/>
              </w:rPr>
            </w:pPr>
            <w:r w:rsidRPr="00A204B6">
              <w:rPr>
                <w:color w:val="FFFFFF" w:themeColor="background1"/>
              </w:rPr>
              <w:t>Name</w:t>
            </w:r>
          </w:p>
        </w:tc>
        <w:tc>
          <w:tcPr>
            <w:tcW w:w="4508" w:type="dxa"/>
            <w:shd w:val="clear" w:color="auto" w:fill="44546A"/>
          </w:tcPr>
          <w:p w14:paraId="3F6715BB" w14:textId="77777777" w:rsidR="000C39BA" w:rsidRPr="00A204B6" w:rsidRDefault="000C39BA" w:rsidP="001062C8">
            <w:pPr>
              <w:rPr>
                <w:color w:val="FFFFFF" w:themeColor="background1"/>
              </w:rPr>
            </w:pPr>
            <w:r w:rsidRPr="00A204B6">
              <w:rPr>
                <w:color w:val="FFFFFF" w:themeColor="background1"/>
              </w:rPr>
              <w:t>Stakeholder</w:t>
            </w:r>
          </w:p>
        </w:tc>
      </w:tr>
      <w:tr w:rsidR="000C39BA" w:rsidRPr="00A204B6" w14:paraId="469995CF" w14:textId="77777777" w:rsidTr="001062C8">
        <w:tc>
          <w:tcPr>
            <w:tcW w:w="4508" w:type="dxa"/>
          </w:tcPr>
          <w:p w14:paraId="1706E3AF" w14:textId="77777777" w:rsidR="000C39BA" w:rsidRPr="00A204B6" w:rsidRDefault="000C39BA" w:rsidP="001062C8">
            <w:r w:rsidRPr="00A204B6">
              <w:t>Rebecca McNaught</w:t>
            </w:r>
          </w:p>
        </w:tc>
        <w:tc>
          <w:tcPr>
            <w:tcW w:w="4508" w:type="dxa"/>
          </w:tcPr>
          <w:p w14:paraId="7E59658C" w14:textId="77777777" w:rsidR="000C39BA" w:rsidRPr="00A204B6" w:rsidRDefault="000C39BA" w:rsidP="001062C8">
            <w:r w:rsidRPr="00A204B6">
              <w:t>SU Expert Panel Member</w:t>
            </w:r>
          </w:p>
        </w:tc>
      </w:tr>
      <w:tr w:rsidR="000C39BA" w:rsidRPr="00A204B6" w14:paraId="5FCDDF79" w14:textId="77777777" w:rsidTr="001062C8">
        <w:tc>
          <w:tcPr>
            <w:tcW w:w="4508" w:type="dxa"/>
          </w:tcPr>
          <w:p w14:paraId="0D14FA0C" w14:textId="77777777" w:rsidR="000C39BA" w:rsidRPr="00A204B6" w:rsidRDefault="000C39BA" w:rsidP="001062C8">
            <w:r w:rsidRPr="00A204B6">
              <w:t>Simon Wilson</w:t>
            </w:r>
          </w:p>
        </w:tc>
        <w:tc>
          <w:tcPr>
            <w:tcW w:w="4508" w:type="dxa"/>
          </w:tcPr>
          <w:p w14:paraId="78C95BA6" w14:textId="77777777" w:rsidR="000C39BA" w:rsidRPr="00A204B6" w:rsidRDefault="000C39BA" w:rsidP="001062C8">
            <w:r w:rsidRPr="00A204B6">
              <w:t>SU Expert Panel Member</w:t>
            </w:r>
          </w:p>
        </w:tc>
      </w:tr>
      <w:tr w:rsidR="000C39BA" w:rsidRPr="00A204B6" w14:paraId="44F1D7A3" w14:textId="77777777" w:rsidTr="001062C8">
        <w:tc>
          <w:tcPr>
            <w:tcW w:w="4508" w:type="dxa"/>
          </w:tcPr>
          <w:p w14:paraId="7802FBA5" w14:textId="77777777" w:rsidR="000C39BA" w:rsidRPr="00A204B6" w:rsidRDefault="000C39BA" w:rsidP="001062C8">
            <w:r w:rsidRPr="00A204B6">
              <w:t>Shirley McGill</w:t>
            </w:r>
          </w:p>
        </w:tc>
        <w:tc>
          <w:tcPr>
            <w:tcW w:w="4508" w:type="dxa"/>
          </w:tcPr>
          <w:p w14:paraId="257CEF37" w14:textId="77777777" w:rsidR="000C39BA" w:rsidRPr="00A204B6" w:rsidRDefault="000C39BA" w:rsidP="001062C8">
            <w:r w:rsidRPr="00A204B6">
              <w:t>New Zealand’s Ministry of Foreign Affairs and Trade (MFAT)</w:t>
            </w:r>
          </w:p>
        </w:tc>
      </w:tr>
      <w:tr w:rsidR="000C39BA" w:rsidRPr="00A204B6" w14:paraId="4520ADCB" w14:textId="77777777" w:rsidTr="001062C8">
        <w:tc>
          <w:tcPr>
            <w:tcW w:w="4508" w:type="dxa"/>
          </w:tcPr>
          <w:p w14:paraId="0CEA6D12" w14:textId="77777777" w:rsidR="000C39BA" w:rsidRPr="00A204B6" w:rsidRDefault="000C39BA" w:rsidP="001062C8">
            <w:r w:rsidRPr="00A204B6">
              <w:t xml:space="preserve">Sarah </w:t>
            </w:r>
            <w:proofErr w:type="spellStart"/>
            <w:r w:rsidRPr="00A204B6">
              <w:t>MacCana</w:t>
            </w:r>
            <w:proofErr w:type="spellEnd"/>
          </w:p>
        </w:tc>
        <w:tc>
          <w:tcPr>
            <w:tcW w:w="4508" w:type="dxa"/>
          </w:tcPr>
          <w:p w14:paraId="186711C0" w14:textId="77777777" w:rsidR="000C39BA" w:rsidRPr="00A204B6" w:rsidRDefault="000C39BA" w:rsidP="001062C8">
            <w:r w:rsidRPr="00A204B6">
              <w:t>New Zealand’s Ministry of Foreign Affairs and Trade (MFAT)</w:t>
            </w:r>
          </w:p>
        </w:tc>
      </w:tr>
      <w:tr w:rsidR="000C39BA" w:rsidRPr="00A204B6" w14:paraId="38976F37" w14:textId="77777777" w:rsidTr="001062C8">
        <w:tc>
          <w:tcPr>
            <w:tcW w:w="4508" w:type="dxa"/>
          </w:tcPr>
          <w:p w14:paraId="11B823AF" w14:textId="77777777" w:rsidR="000C39BA" w:rsidRPr="00A204B6" w:rsidRDefault="000C39BA" w:rsidP="001062C8">
            <w:r w:rsidRPr="00A204B6">
              <w:t xml:space="preserve">Keren </w:t>
            </w:r>
            <w:proofErr w:type="spellStart"/>
            <w:r w:rsidRPr="00A204B6">
              <w:t>Winterford</w:t>
            </w:r>
            <w:proofErr w:type="spellEnd"/>
          </w:p>
        </w:tc>
        <w:tc>
          <w:tcPr>
            <w:tcW w:w="4508" w:type="dxa"/>
          </w:tcPr>
          <w:p w14:paraId="603DA95E" w14:textId="77777777" w:rsidR="000C39BA" w:rsidRPr="00A204B6" w:rsidRDefault="000C39BA" w:rsidP="001062C8">
            <w:r w:rsidRPr="00A204B6">
              <w:t>UTS ISF, Knowledge Brokering Longitudinal Study</w:t>
            </w:r>
          </w:p>
        </w:tc>
      </w:tr>
      <w:tr w:rsidR="000C39BA" w:rsidRPr="00A204B6" w14:paraId="16643383" w14:textId="77777777" w:rsidTr="001062C8">
        <w:tc>
          <w:tcPr>
            <w:tcW w:w="4508" w:type="dxa"/>
          </w:tcPr>
          <w:p w14:paraId="24925252" w14:textId="77777777" w:rsidR="000C39BA" w:rsidRPr="00A204B6" w:rsidRDefault="000C39BA" w:rsidP="001062C8">
            <w:r w:rsidRPr="00A204B6">
              <w:t xml:space="preserve">Anna </w:t>
            </w:r>
            <w:proofErr w:type="spellStart"/>
            <w:r w:rsidRPr="00A204B6">
              <w:t>Gero</w:t>
            </w:r>
            <w:proofErr w:type="spellEnd"/>
          </w:p>
        </w:tc>
        <w:tc>
          <w:tcPr>
            <w:tcW w:w="4508" w:type="dxa"/>
          </w:tcPr>
          <w:p w14:paraId="1C6CD641" w14:textId="77777777" w:rsidR="000C39BA" w:rsidRPr="00A204B6" w:rsidRDefault="000C39BA" w:rsidP="001062C8">
            <w:r w:rsidRPr="00A204B6">
              <w:t>UTS ISF, Knowledge Brokering Longitudinal Study</w:t>
            </w:r>
          </w:p>
        </w:tc>
      </w:tr>
      <w:tr w:rsidR="000C39BA" w:rsidRPr="00A204B6" w14:paraId="31779B04" w14:textId="77777777" w:rsidTr="001062C8">
        <w:tc>
          <w:tcPr>
            <w:tcW w:w="4508" w:type="dxa"/>
          </w:tcPr>
          <w:p w14:paraId="1D18EF66" w14:textId="77777777" w:rsidR="000C39BA" w:rsidRPr="00A204B6" w:rsidRDefault="000C39BA" w:rsidP="001062C8">
            <w:r w:rsidRPr="00A204B6">
              <w:t xml:space="preserve">Geoff </w:t>
            </w:r>
            <w:proofErr w:type="spellStart"/>
            <w:r w:rsidRPr="00A204B6">
              <w:t>Gooley</w:t>
            </w:r>
            <w:proofErr w:type="spellEnd"/>
          </w:p>
        </w:tc>
        <w:tc>
          <w:tcPr>
            <w:tcW w:w="4508" w:type="dxa"/>
          </w:tcPr>
          <w:p w14:paraId="60A4E87B" w14:textId="77777777" w:rsidR="000C39BA" w:rsidRPr="00A204B6" w:rsidRDefault="000C39BA" w:rsidP="001062C8">
            <w:r w:rsidRPr="00A204B6">
              <w:t>CSIRO, Next Generation Climate Projections for the Pacific</w:t>
            </w:r>
          </w:p>
        </w:tc>
      </w:tr>
      <w:tr w:rsidR="000C39BA" w:rsidRPr="00A204B6" w14:paraId="6A999A9A" w14:textId="77777777" w:rsidTr="001062C8">
        <w:tc>
          <w:tcPr>
            <w:tcW w:w="4508" w:type="dxa"/>
          </w:tcPr>
          <w:p w14:paraId="5482A43F" w14:textId="77777777" w:rsidR="000C39BA" w:rsidRPr="00A204B6" w:rsidRDefault="000C39BA" w:rsidP="001062C8">
            <w:r w:rsidRPr="00A204B6">
              <w:t>Kath Kirby</w:t>
            </w:r>
          </w:p>
        </w:tc>
        <w:tc>
          <w:tcPr>
            <w:tcW w:w="4508" w:type="dxa"/>
          </w:tcPr>
          <w:p w14:paraId="32E3DCC7" w14:textId="77777777" w:rsidR="000C39BA" w:rsidRPr="00A204B6" w:rsidRDefault="000C39BA" w:rsidP="001062C8">
            <w:r w:rsidRPr="00A204B6">
              <w:t>Asia Education Foundation, Australian PNG Australian Secondary Schools (PASS) Education program</w:t>
            </w:r>
          </w:p>
        </w:tc>
      </w:tr>
      <w:tr w:rsidR="000C39BA" w:rsidRPr="00A204B6" w14:paraId="52E41AF4" w14:textId="77777777" w:rsidTr="001062C8">
        <w:tc>
          <w:tcPr>
            <w:tcW w:w="4508" w:type="dxa"/>
          </w:tcPr>
          <w:p w14:paraId="21CCFDC2" w14:textId="77777777" w:rsidR="000C39BA" w:rsidRPr="00A204B6" w:rsidRDefault="000C39BA" w:rsidP="001062C8">
            <w:r w:rsidRPr="00A204B6">
              <w:t>Sophie Howlett</w:t>
            </w:r>
          </w:p>
        </w:tc>
        <w:tc>
          <w:tcPr>
            <w:tcW w:w="4508" w:type="dxa"/>
          </w:tcPr>
          <w:p w14:paraId="502FBFF6" w14:textId="77777777" w:rsidR="000C39BA" w:rsidRPr="00A204B6" w:rsidRDefault="000C39BA" w:rsidP="001062C8">
            <w:r w:rsidRPr="00A204B6">
              <w:t>Asia Education Foundation, PASS</w:t>
            </w:r>
          </w:p>
        </w:tc>
      </w:tr>
      <w:tr w:rsidR="000C39BA" w14:paraId="5FC548A9" w14:textId="77777777" w:rsidTr="001062C8">
        <w:tc>
          <w:tcPr>
            <w:tcW w:w="4508" w:type="dxa"/>
          </w:tcPr>
          <w:p w14:paraId="13EAF3A3" w14:textId="77777777" w:rsidR="000C39BA" w:rsidRPr="00A204B6" w:rsidRDefault="000C39BA" w:rsidP="001062C8">
            <w:r w:rsidRPr="00A204B6">
              <w:t>Emeline Gillingham</w:t>
            </w:r>
          </w:p>
        </w:tc>
        <w:tc>
          <w:tcPr>
            <w:tcW w:w="4508" w:type="dxa"/>
          </w:tcPr>
          <w:p w14:paraId="37916465" w14:textId="77777777" w:rsidR="000C39BA" w:rsidRDefault="000C39BA" w:rsidP="001062C8">
            <w:r w:rsidRPr="00A204B6">
              <w:t>Asia Education Foundation, PASS</w:t>
            </w:r>
          </w:p>
        </w:tc>
      </w:tr>
    </w:tbl>
    <w:p w14:paraId="7949C992" w14:textId="77777777" w:rsidR="001C0238" w:rsidRPr="00132FEE" w:rsidRDefault="001C0238" w:rsidP="000B4776">
      <w:pPr>
        <w:pStyle w:val="Bodycopy"/>
        <w:rPr>
          <w:rStyle w:val="MajorHeading"/>
          <w:rFonts w:ascii="Roboto Light" w:hAnsi="Roboto Light" w:cs="Roboto Light"/>
          <w:b w:val="0"/>
          <w:spacing w:val="0"/>
          <w:sz w:val="18"/>
          <w:szCs w:val="18"/>
        </w:rPr>
      </w:pPr>
    </w:p>
    <w:sectPr w:rsidR="001C0238" w:rsidRPr="00132FEE" w:rsidSect="005B64B5">
      <w:headerReference w:type="default" r:id="rId13"/>
      <w:footerReference w:type="default" r:id="rId14"/>
      <w:pgSz w:w="11900" w:h="16840"/>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796BD" w14:textId="77777777" w:rsidR="000B4776" w:rsidRDefault="000B4776" w:rsidP="00FB2C3C">
      <w:r>
        <w:separator/>
      </w:r>
    </w:p>
  </w:endnote>
  <w:endnote w:type="continuationSeparator" w:id="0">
    <w:p w14:paraId="05BD9ABF" w14:textId="77777777" w:rsidR="000B4776" w:rsidRDefault="000B4776" w:rsidP="00FB2C3C">
      <w:r>
        <w:continuationSeparator/>
      </w:r>
    </w:p>
  </w:endnote>
  <w:endnote w:type="continuationNotice" w:id="1">
    <w:p w14:paraId="00370994" w14:textId="77777777" w:rsidR="000B4776" w:rsidRDefault="000B4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Light">
    <w:altName w:val="Arial Narrow"/>
    <w:charset w:val="00"/>
    <w:family w:val="auto"/>
    <w:pitch w:val="variable"/>
    <w:sig w:usb0="2000020F" w:usb1="00000000" w:usb2="00000000" w:usb3="00000000" w:csb0="00000197" w:csb1="00000000"/>
  </w:font>
  <w:font w:name="Times New Roman (Body CS)">
    <w:altName w:val="Times New Roman"/>
    <w:charset w:val="00"/>
    <w:family w:val="roman"/>
    <w:pitch w:val="variable"/>
    <w:sig w:usb0="E0002AEF" w:usb1="C0007841" w:usb2="00000009" w:usb3="00000000" w:csb0="000001FF" w:csb1="00000000"/>
  </w:font>
  <w:font w:name="Oswald">
    <w:altName w:val="Oswald"/>
    <w:charset w:val="00"/>
    <w:family w:val="auto"/>
    <w:pitch w:val="variable"/>
    <w:sig w:usb0="2000020F" w:usb1="00000000" w:usb2="00000000" w:usb3="00000000" w:csb0="00000197" w:csb1="00000000"/>
  </w:font>
  <w:font w:name="Minion Pro">
    <w:charset w:val="00"/>
    <w:family w:val="roman"/>
    <w:pitch w:val="variable"/>
    <w:sig w:usb0="60000287" w:usb1="00000001" w:usb2="00000000" w:usb3="00000000" w:csb0="0000019F" w:csb1="00000000"/>
  </w:font>
  <w:font w:name="Roboto Light">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7238380"/>
      <w:docPartObj>
        <w:docPartGallery w:val="Page Numbers (Bottom of Page)"/>
        <w:docPartUnique/>
      </w:docPartObj>
    </w:sdtPr>
    <w:sdtEndPr>
      <w:rPr>
        <w:rStyle w:val="PageNumber"/>
      </w:rPr>
    </w:sdtEndPr>
    <w:sdtContent>
      <w:p w14:paraId="6FA541C0" w14:textId="77777777" w:rsidR="000B4776" w:rsidRDefault="000B4776" w:rsidP="002704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07048936"/>
      <w:docPartObj>
        <w:docPartGallery w:val="Page Numbers (Bottom of Page)"/>
        <w:docPartUnique/>
      </w:docPartObj>
    </w:sdtPr>
    <w:sdtEndPr>
      <w:rPr>
        <w:rStyle w:val="PageNumber"/>
      </w:rPr>
    </w:sdtEndPr>
    <w:sdtContent>
      <w:p w14:paraId="31D850F9" w14:textId="77777777" w:rsidR="000B4776" w:rsidRDefault="000B4776" w:rsidP="00A112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A71B6D" w14:textId="77777777" w:rsidR="000B4776" w:rsidRDefault="000B4776" w:rsidP="00A11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7351659"/>
      <w:docPartObj>
        <w:docPartGallery w:val="Page Numbers (Bottom of Page)"/>
        <w:docPartUnique/>
      </w:docPartObj>
    </w:sdtPr>
    <w:sdtEndPr>
      <w:rPr>
        <w:rStyle w:val="PageNumber"/>
      </w:rPr>
    </w:sdtEndPr>
    <w:sdtContent>
      <w:p w14:paraId="328D0398" w14:textId="32ABD3F3" w:rsidR="000B4776" w:rsidRDefault="000B4776" w:rsidP="00A11201">
        <w:pPr>
          <w:pStyle w:val="Subheading"/>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6CFAB9E" w14:textId="42BF7C6D" w:rsidR="000B4776" w:rsidRDefault="000B4776" w:rsidP="000B4776">
    <w:pPr>
      <w:jc w:val="center"/>
    </w:pPr>
    <w:r>
      <w:rPr>
        <w:rStyle w:val="Heading"/>
        <w:rFonts w:asciiTheme="majorHAnsi" w:hAnsiTheme="majorHAnsi" w:cstheme="majorHAnsi"/>
        <w:sz w:val="24"/>
        <w:szCs w:val="24"/>
        <w:lang w:val="en-US"/>
      </w:rPr>
      <w:t>APCP MID-TERM REVIEW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79CE" w14:textId="7CC50311" w:rsidR="000B4776" w:rsidRDefault="000B4776" w:rsidP="000B4776">
    <w:pPr>
      <w:pStyle w:val="Footer"/>
      <w:jc w:val="center"/>
    </w:pPr>
    <w:r w:rsidRPr="00AD47EE">
      <w:rPr>
        <w:rFonts w:ascii="Oswald" w:hAnsi="Oswald" w:cs="Times New Roman (Body CS)"/>
        <w:color w:val="EB8C30"/>
        <w:spacing w:val="80"/>
        <w:sz w:val="13"/>
        <w:szCs w:val="13"/>
      </w:rPr>
      <w:t>FORWARD THINKING PROJECTS. THRIVING COMMUNITIES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0203813"/>
      <w:docPartObj>
        <w:docPartGallery w:val="Page Numbers (Bottom of Page)"/>
        <w:docPartUnique/>
      </w:docPartObj>
    </w:sdtPr>
    <w:sdtEndPr>
      <w:rPr>
        <w:rStyle w:val="PageNumber"/>
      </w:rPr>
    </w:sdtEndPr>
    <w:sdtContent>
      <w:p w14:paraId="5BF42B6B" w14:textId="7D9A9BAB" w:rsidR="000B4776" w:rsidRDefault="000B4776" w:rsidP="00A11201">
        <w:pPr>
          <w:pStyle w:val="Subheading"/>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2E9DDFEF" w14:textId="4A0F4D97" w:rsidR="000B4776" w:rsidRDefault="000B4776" w:rsidP="000B4776">
    <w:pPr>
      <w:jc w:val="center"/>
      <w:rPr>
        <w:rStyle w:val="Heading"/>
        <w:rFonts w:asciiTheme="majorHAnsi" w:hAnsiTheme="majorHAnsi" w:cstheme="majorHAnsi"/>
        <w:sz w:val="24"/>
        <w:szCs w:val="24"/>
      </w:rPr>
    </w:pPr>
    <w:r>
      <w:rPr>
        <w:rStyle w:val="Heading"/>
        <w:rFonts w:asciiTheme="majorHAnsi" w:hAnsiTheme="majorHAnsi" w:cstheme="majorHAnsi"/>
        <w:sz w:val="24"/>
        <w:szCs w:val="24"/>
      </w:rPr>
      <w:t>APCP Mid-Term Review</w:t>
    </w:r>
  </w:p>
  <w:p w14:paraId="41328515" w14:textId="5BFD20F9" w:rsidR="000B4776" w:rsidRPr="000B4776" w:rsidRDefault="000B4776" w:rsidP="000B4776">
    <w:pPr>
      <w:jc w:val="center"/>
      <w:rPr>
        <w:rFonts w:ascii="Oswald" w:eastAsia="Times New Roman" w:hAnsi="Oswald" w:cs="Times New Roman"/>
        <w:sz w:val="13"/>
        <w:szCs w:val="13"/>
      </w:rPr>
    </w:pPr>
    <w:r w:rsidRPr="00AD47EE">
      <w:rPr>
        <w:rFonts w:ascii="Oswald" w:hAnsi="Oswald" w:cs="Times New Roman (Body CS)"/>
        <w:color w:val="EB8C30"/>
        <w:spacing w:val="80"/>
        <w:sz w:val="13"/>
        <w:szCs w:val="13"/>
      </w:rPr>
      <w:t>FORWARD THINKING PROJECTS. THRIVING COMMUNITIES</w:t>
    </w:r>
    <w:r>
      <w:rPr>
        <w:rFonts w:ascii="Oswald" w:hAnsi="Oswald" w:cs="Times New Roman (Body CS)"/>
        <w:color w:val="EB8C30"/>
        <w:spacing w:val="80"/>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DB9B" w14:textId="77777777" w:rsidR="000B4776" w:rsidRDefault="000B4776" w:rsidP="00FB2C3C">
      <w:r>
        <w:separator/>
      </w:r>
    </w:p>
  </w:footnote>
  <w:footnote w:type="continuationSeparator" w:id="0">
    <w:p w14:paraId="4DC76B9F" w14:textId="77777777" w:rsidR="000B4776" w:rsidRDefault="000B4776" w:rsidP="00FB2C3C">
      <w:r>
        <w:continuationSeparator/>
      </w:r>
    </w:p>
  </w:footnote>
  <w:footnote w:type="continuationNotice" w:id="1">
    <w:p w14:paraId="089D0E4B" w14:textId="77777777" w:rsidR="000B4776" w:rsidRDefault="000B4776"/>
  </w:footnote>
  <w:footnote w:id="2">
    <w:p w14:paraId="28C80DEF" w14:textId="77777777" w:rsidR="000B4776" w:rsidRDefault="000B4776" w:rsidP="00E35623">
      <w:pPr>
        <w:pStyle w:val="FootnoteText"/>
      </w:pPr>
      <w:r>
        <w:rPr>
          <w:rStyle w:val="FootnoteReference"/>
        </w:rPr>
        <w:footnoteRef/>
      </w:r>
      <w:r>
        <w:t xml:space="preserve"> </w:t>
      </w:r>
      <w:r w:rsidRPr="002E01F0">
        <w:rPr>
          <w:sz w:val="16"/>
          <w:szCs w:val="16"/>
        </w:rPr>
        <w:t>Expert Panels are specialists contracted to provide climate and disaster risk advice across eight sectors including health and infrastructure.</w:t>
      </w:r>
    </w:p>
  </w:footnote>
  <w:footnote w:id="3">
    <w:p w14:paraId="1DCB59B3" w14:textId="77777777" w:rsidR="000B4776" w:rsidRPr="000E2714" w:rsidRDefault="000B4776" w:rsidP="00852138">
      <w:pPr>
        <w:pStyle w:val="FootnoteText"/>
        <w:jc w:val="both"/>
        <w:rPr>
          <w:sz w:val="16"/>
          <w:szCs w:val="16"/>
        </w:rPr>
      </w:pPr>
      <w:r w:rsidRPr="004F4B09">
        <w:rPr>
          <w:sz w:val="16"/>
          <w:szCs w:val="16"/>
          <w:vertAlign w:val="superscript"/>
        </w:rPr>
        <w:t>2</w:t>
      </w:r>
      <w:r>
        <w:rPr>
          <w:sz w:val="16"/>
          <w:szCs w:val="16"/>
        </w:rPr>
        <w:t xml:space="preserve"> Australia Pacific Climate Change Program Framework Design, November 2017</w:t>
      </w:r>
    </w:p>
  </w:footnote>
  <w:footnote w:id="4">
    <w:p w14:paraId="1D3CF3A2" w14:textId="77777777" w:rsidR="000B4776" w:rsidRPr="002A3AFF" w:rsidRDefault="000B4776">
      <w:pPr>
        <w:pStyle w:val="FootnoteText"/>
      </w:pPr>
      <w:r w:rsidRPr="007A761F">
        <w:rPr>
          <w:rStyle w:val="FootnoteReference"/>
          <w:sz w:val="16"/>
          <w:szCs w:val="16"/>
        </w:rPr>
        <w:footnoteRef/>
      </w:r>
      <w:r w:rsidRPr="007A761F">
        <w:rPr>
          <w:sz w:val="16"/>
          <w:szCs w:val="16"/>
        </w:rPr>
        <w:t xml:space="preserve"> </w:t>
      </w:r>
      <w:r w:rsidRPr="007768DC">
        <w:rPr>
          <w:sz w:val="16"/>
          <w:szCs w:val="16"/>
        </w:rPr>
        <w:t>Terms of Reference – Annex 1</w:t>
      </w:r>
    </w:p>
  </w:footnote>
  <w:footnote w:id="5">
    <w:p w14:paraId="465B4BE4" w14:textId="77777777" w:rsidR="000B4776" w:rsidRDefault="000B4776">
      <w:pPr>
        <w:pStyle w:val="FootnoteText"/>
      </w:pPr>
      <w:r>
        <w:rPr>
          <w:rStyle w:val="FootnoteReference"/>
        </w:rPr>
        <w:footnoteRef/>
      </w:r>
      <w:r>
        <w:t xml:space="preserve"> </w:t>
      </w:r>
      <w:r w:rsidRPr="001D4715">
        <w:rPr>
          <w:sz w:val="16"/>
          <w:szCs w:val="16"/>
        </w:rPr>
        <w:t xml:space="preserve">Prime Minister of Australia, Media Release – </w:t>
      </w:r>
      <w:r w:rsidRPr="001D4715">
        <w:rPr>
          <w:i/>
          <w:iCs/>
          <w:sz w:val="16"/>
          <w:szCs w:val="16"/>
        </w:rPr>
        <w:t>Stepping up Climate Resilience in the Pacific</w:t>
      </w:r>
      <w:r w:rsidRPr="001D4715">
        <w:rPr>
          <w:sz w:val="16"/>
          <w:szCs w:val="16"/>
        </w:rPr>
        <w:t xml:space="preserve">, 13 August 2019. Accessed at: </w:t>
      </w:r>
      <w:hyperlink r:id="rId1" w:history="1">
        <w:r w:rsidRPr="001D4715">
          <w:rPr>
            <w:rStyle w:val="Hyperlink"/>
            <w:sz w:val="16"/>
            <w:szCs w:val="16"/>
          </w:rPr>
          <w:t>https://www.pm.gov.au/media/stepping-climate-resilience-pacific</w:t>
        </w:r>
      </w:hyperlink>
    </w:p>
  </w:footnote>
  <w:footnote w:id="6">
    <w:p w14:paraId="377B52F4" w14:textId="77777777" w:rsidR="000B4776" w:rsidRPr="00A9413E" w:rsidRDefault="000B4776">
      <w:pPr>
        <w:pStyle w:val="FootnoteText"/>
        <w:rPr>
          <w:highlight w:val="yellow"/>
        </w:rPr>
      </w:pPr>
      <w:r>
        <w:rPr>
          <w:rStyle w:val="FootnoteReference"/>
        </w:rPr>
        <w:footnoteRef/>
      </w:r>
      <w:r>
        <w:t xml:space="preserve"> </w:t>
      </w:r>
      <w:r w:rsidRPr="00E74AE3">
        <w:rPr>
          <w:sz w:val="16"/>
          <w:szCs w:val="16"/>
        </w:rPr>
        <w:t xml:space="preserve">Pacific Islands Forum (2019) </w:t>
      </w:r>
      <w:r w:rsidRPr="00E74AE3">
        <w:rPr>
          <w:i/>
          <w:iCs/>
          <w:sz w:val="16"/>
          <w:szCs w:val="16"/>
        </w:rPr>
        <w:t>Kainaki II Declaration for Urgent Climate Action Now</w:t>
      </w:r>
      <w:r w:rsidRPr="00E74AE3">
        <w:rPr>
          <w:sz w:val="16"/>
          <w:szCs w:val="16"/>
        </w:rPr>
        <w:t xml:space="preserve">¸15 August 2019, Funafuti, Tuvalu. Accessed at: </w:t>
      </w:r>
      <w:hyperlink r:id="rId2" w:history="1">
        <w:r w:rsidRPr="00E74AE3">
          <w:rPr>
            <w:rStyle w:val="Hyperlink"/>
            <w:sz w:val="16"/>
            <w:szCs w:val="16"/>
          </w:rPr>
          <w:t>https://www.forumsec.org/2020/11/11/kainaki/</w:t>
        </w:r>
      </w:hyperlink>
    </w:p>
  </w:footnote>
  <w:footnote w:id="7">
    <w:p w14:paraId="112A2E6A" w14:textId="77777777" w:rsidR="000B4776" w:rsidRPr="00A9413E" w:rsidRDefault="000B4776">
      <w:pPr>
        <w:pStyle w:val="FootnoteText"/>
        <w:rPr>
          <w:i/>
          <w:iCs/>
        </w:rPr>
      </w:pPr>
      <w:r w:rsidRPr="00A96859">
        <w:rPr>
          <w:rStyle w:val="FootnoteReference"/>
        </w:rPr>
        <w:footnoteRef/>
      </w:r>
      <w:r w:rsidRPr="00A96859">
        <w:t xml:space="preserve"> </w:t>
      </w:r>
      <w:r w:rsidRPr="007768DC">
        <w:rPr>
          <w:sz w:val="16"/>
          <w:szCs w:val="16"/>
        </w:rPr>
        <w:t xml:space="preserve">DFAT (2020) </w:t>
      </w:r>
      <w:r w:rsidRPr="007768DC">
        <w:rPr>
          <w:i/>
          <w:iCs/>
          <w:sz w:val="16"/>
          <w:szCs w:val="16"/>
        </w:rPr>
        <w:t>Partnerships for Recovery: Australia’s COVID-19 Development Response</w:t>
      </w:r>
    </w:p>
  </w:footnote>
  <w:footnote w:id="8">
    <w:p w14:paraId="1A434ED5" w14:textId="77777777" w:rsidR="000B4776" w:rsidRDefault="000B4776">
      <w:pPr>
        <w:pStyle w:val="FootnoteText"/>
      </w:pPr>
      <w:r w:rsidRPr="000854D1">
        <w:rPr>
          <w:rStyle w:val="FootnoteReference"/>
        </w:rPr>
        <w:footnoteRef/>
      </w:r>
      <w:r w:rsidRPr="00E74AE3">
        <w:rPr>
          <w:sz w:val="16"/>
          <w:szCs w:val="16"/>
        </w:rPr>
        <w:t xml:space="preserve"> The World Bank (2021) </w:t>
      </w:r>
      <w:r w:rsidRPr="00E74AE3">
        <w:rPr>
          <w:i/>
          <w:iCs/>
          <w:sz w:val="16"/>
          <w:szCs w:val="16"/>
        </w:rPr>
        <w:t xml:space="preserve">Uneven Recovery: East Asia and Pacific Economic Update, </w:t>
      </w:r>
      <w:r w:rsidRPr="00E74AE3">
        <w:rPr>
          <w:sz w:val="16"/>
          <w:szCs w:val="16"/>
        </w:rPr>
        <w:t xml:space="preserve">April 2021. Accessed at: </w:t>
      </w:r>
      <w:hyperlink r:id="rId3" w:history="1">
        <w:r w:rsidRPr="00E74AE3">
          <w:rPr>
            <w:rStyle w:val="Hyperlink"/>
            <w:sz w:val="16"/>
            <w:szCs w:val="16"/>
          </w:rPr>
          <w:t>https://www.worldbank.org/en/region/eap/publication/uneven-recovery-east-asia-and-pacific-economic-update-april-2021</w:t>
        </w:r>
      </w:hyperlink>
    </w:p>
  </w:footnote>
  <w:footnote w:id="9">
    <w:p w14:paraId="23340F4E" w14:textId="77777777" w:rsidR="000B4776" w:rsidRDefault="000B4776">
      <w:pPr>
        <w:pStyle w:val="FootnoteText"/>
      </w:pPr>
      <w:r w:rsidRPr="002E01F0">
        <w:rPr>
          <w:rStyle w:val="FootnoteReference"/>
        </w:rPr>
        <w:footnoteRef/>
      </w:r>
      <w:r w:rsidRPr="002E01F0">
        <w:t xml:space="preserve"> </w:t>
      </w:r>
      <w:r w:rsidRPr="002E01F0">
        <w:rPr>
          <w:sz w:val="16"/>
          <w:szCs w:val="16"/>
        </w:rPr>
        <w:t>APCP Aid Quality Check (AQC) Report 2020</w:t>
      </w:r>
    </w:p>
  </w:footnote>
  <w:footnote w:id="10">
    <w:p w14:paraId="1F3BF995" w14:textId="77777777" w:rsidR="000B4776" w:rsidRDefault="000B4776">
      <w:pPr>
        <w:pStyle w:val="FootnoteText"/>
      </w:pPr>
      <w:r>
        <w:rPr>
          <w:rStyle w:val="FootnoteReference"/>
        </w:rPr>
        <w:footnoteRef/>
      </w:r>
      <w:r>
        <w:t xml:space="preserve"> </w:t>
      </w:r>
      <w:r w:rsidRPr="002E01F0">
        <w:rPr>
          <w:sz w:val="16"/>
          <w:szCs w:val="16"/>
        </w:rPr>
        <w:t>Expert Panels are specialists contracted to provide climate and disaster risk advice across eight sectors including health and infrastructure.</w:t>
      </w:r>
    </w:p>
  </w:footnote>
  <w:footnote w:id="11">
    <w:p w14:paraId="5AE27F3A" w14:textId="77777777" w:rsidR="000B4776" w:rsidRDefault="000B4776">
      <w:pPr>
        <w:pStyle w:val="FootnoteText"/>
      </w:pPr>
      <w:r>
        <w:rPr>
          <w:rStyle w:val="FootnoteReference"/>
        </w:rPr>
        <w:footnoteRef/>
      </w:r>
      <w:r>
        <w:t xml:space="preserve"> </w:t>
      </w:r>
      <w:r w:rsidRPr="002E01F0">
        <w:rPr>
          <w:sz w:val="16"/>
          <w:szCs w:val="16"/>
        </w:rPr>
        <w:t xml:space="preserve">DFAT (2018) </w:t>
      </w:r>
      <w:r w:rsidRPr="002E01F0">
        <w:rPr>
          <w:i/>
          <w:iCs/>
          <w:sz w:val="16"/>
          <w:szCs w:val="16"/>
        </w:rPr>
        <w:t xml:space="preserve">Investing in the Future: Evaluation of Australia’s Climate Change Assistance, </w:t>
      </w:r>
      <w:r w:rsidRPr="002E01F0">
        <w:rPr>
          <w:sz w:val="16"/>
          <w:szCs w:val="16"/>
        </w:rPr>
        <w:t xml:space="preserve">Accessed at: </w:t>
      </w:r>
      <w:hyperlink r:id="rId4" w:history="1">
        <w:r w:rsidRPr="002E01F0">
          <w:rPr>
            <w:rStyle w:val="Hyperlink"/>
            <w:sz w:val="16"/>
            <w:szCs w:val="16"/>
          </w:rPr>
          <w:t>https://www.dfat.gov.au/sites/default/files/evaluation-of-australias-climate-change-assistance.pdf</w:t>
        </w:r>
      </w:hyperlink>
      <w:r w:rsidRPr="002E01F0">
        <w:rPr>
          <w:sz w:val="16"/>
          <w:szCs w:val="16"/>
        </w:rPr>
        <w:t>, p60</w:t>
      </w:r>
    </w:p>
  </w:footnote>
  <w:footnote w:id="12">
    <w:p w14:paraId="3E37B374" w14:textId="77777777" w:rsidR="000B4776" w:rsidRPr="000901BB" w:rsidRDefault="000B4776">
      <w:pPr>
        <w:pStyle w:val="FootnoteText"/>
        <w:rPr>
          <w:sz w:val="16"/>
          <w:szCs w:val="16"/>
        </w:rPr>
      </w:pPr>
      <w:r>
        <w:rPr>
          <w:rStyle w:val="FootnoteReference"/>
        </w:rPr>
        <w:footnoteRef/>
      </w:r>
      <w:r>
        <w:t xml:space="preserve"> </w:t>
      </w:r>
      <w:r w:rsidRPr="000901BB">
        <w:rPr>
          <w:sz w:val="16"/>
          <w:szCs w:val="16"/>
        </w:rPr>
        <w:t xml:space="preserve">DFAT (2018) </w:t>
      </w:r>
      <w:r w:rsidRPr="000901BB">
        <w:rPr>
          <w:i/>
          <w:iCs/>
          <w:sz w:val="16"/>
          <w:szCs w:val="16"/>
        </w:rPr>
        <w:t>Development for All: Evaluation of Progress Made in Strengthening Disability Inclusion in Australian Aid</w:t>
      </w:r>
      <w:r w:rsidRPr="000901BB">
        <w:rPr>
          <w:sz w:val="16"/>
          <w:szCs w:val="16"/>
        </w:rPr>
        <w:t xml:space="preserve">, Accessed at </w:t>
      </w:r>
      <w:hyperlink r:id="rId5" w:history="1">
        <w:r w:rsidRPr="000901BB">
          <w:rPr>
            <w:rStyle w:val="Hyperlink"/>
            <w:sz w:val="16"/>
            <w:szCs w:val="16"/>
          </w:rPr>
          <w:t>https://www.dfat.gov.au/sites/default/files/development-for-all-evaluation.pdf</w:t>
        </w:r>
      </w:hyperlink>
      <w:r w:rsidRPr="000901BB">
        <w:rPr>
          <w:sz w:val="16"/>
          <w:szCs w:val="16"/>
        </w:rPr>
        <w:t>, p61.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BF4B1" w14:textId="77777777" w:rsidR="000B4776" w:rsidRDefault="000B4776">
    <w:pPr>
      <w:pStyle w:val="Header"/>
    </w:pPr>
    <w:r>
      <w:rPr>
        <w:noProof/>
        <w:lang w:eastAsia="en-AU"/>
      </w:rPr>
      <w:drawing>
        <wp:anchor distT="0" distB="0" distL="114300" distR="114300" simplePos="0" relativeHeight="251658246" behindDoc="0" locked="0" layoutInCell="1" allowOverlap="1" wp14:anchorId="7BE040BE" wp14:editId="6CE7004C">
          <wp:simplePos x="0" y="0"/>
          <wp:positionH relativeFrom="column">
            <wp:posOffset>5586153</wp:posOffset>
          </wp:positionH>
          <wp:positionV relativeFrom="paragraph">
            <wp:posOffset>32616</wp:posOffset>
          </wp:positionV>
          <wp:extent cx="346841" cy="346841"/>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9812" w14:textId="77777777" w:rsidR="000B4776" w:rsidRDefault="000B4776">
    <w:pPr>
      <w:pStyle w:val="Header"/>
    </w:pPr>
    <w:r>
      <w:rPr>
        <w:noProof/>
        <w:lang w:eastAsia="en-AU"/>
      </w:rPr>
      <w:drawing>
        <wp:anchor distT="0" distB="0" distL="114300" distR="114300" simplePos="0" relativeHeight="251658242" behindDoc="0" locked="0" layoutInCell="1" allowOverlap="1" wp14:anchorId="330CFC37" wp14:editId="7AFAC9AD">
          <wp:simplePos x="0" y="0"/>
          <wp:positionH relativeFrom="column">
            <wp:posOffset>5586095</wp:posOffset>
          </wp:positionH>
          <wp:positionV relativeFrom="paragraph">
            <wp:posOffset>198640</wp:posOffset>
          </wp:positionV>
          <wp:extent cx="346841" cy="346841"/>
          <wp:effectExtent l="0" t="0" r="0"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0ADB"/>
    <w:multiLevelType w:val="hybridMultilevel"/>
    <w:tmpl w:val="40DC8220"/>
    <w:lvl w:ilvl="0" w:tplc="EC4A6C9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42605B"/>
    <w:multiLevelType w:val="hybridMultilevel"/>
    <w:tmpl w:val="D542E0AE"/>
    <w:lvl w:ilvl="0" w:tplc="32647622">
      <w:start w:val="3"/>
      <w:numFmt w:val="bullet"/>
      <w:lvlText w:val="-"/>
      <w:lvlJc w:val="left"/>
      <w:pPr>
        <w:ind w:left="1080" w:hanging="360"/>
      </w:pPr>
      <w:rPr>
        <w:rFonts w:ascii="Calibri Light" w:eastAsiaTheme="minorHAnsi" w:hAnsi="Calibri Light" w:cs="Calibri Light"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62E4D"/>
    <w:multiLevelType w:val="hybridMultilevel"/>
    <w:tmpl w:val="D7D6D47E"/>
    <w:lvl w:ilvl="0" w:tplc="3E3870A0">
      <w:start w:val="1"/>
      <w:numFmt w:val="bullet"/>
      <w:lvlText w:val="-"/>
      <w:lvlJc w:val="left"/>
      <w:pPr>
        <w:ind w:left="1080" w:hanging="360"/>
      </w:pPr>
      <w:rPr>
        <w:rFonts w:ascii="Courier New" w:hAnsi="Courier New"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B036AD"/>
    <w:multiLevelType w:val="hybridMultilevel"/>
    <w:tmpl w:val="A5DEE212"/>
    <w:lvl w:ilvl="0" w:tplc="3E3870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8E3506"/>
    <w:multiLevelType w:val="hybridMultilevel"/>
    <w:tmpl w:val="40DC8220"/>
    <w:lvl w:ilvl="0" w:tplc="EC4A6C9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EDC12F0"/>
    <w:multiLevelType w:val="hybridMultilevel"/>
    <w:tmpl w:val="48F0720A"/>
    <w:lvl w:ilvl="0" w:tplc="3E3870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A66B86"/>
    <w:multiLevelType w:val="hybridMultilevel"/>
    <w:tmpl w:val="8272AEA4"/>
    <w:lvl w:ilvl="0" w:tplc="3E3870A0">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11670E"/>
    <w:multiLevelType w:val="hybridMultilevel"/>
    <w:tmpl w:val="4D16AD86"/>
    <w:lvl w:ilvl="0" w:tplc="4C9EA24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5A7446"/>
    <w:multiLevelType w:val="hybridMultilevel"/>
    <w:tmpl w:val="F590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70BFA"/>
    <w:multiLevelType w:val="hybridMultilevel"/>
    <w:tmpl w:val="1F986664"/>
    <w:lvl w:ilvl="0" w:tplc="0C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977F33"/>
    <w:multiLevelType w:val="hybridMultilevel"/>
    <w:tmpl w:val="547454DA"/>
    <w:lvl w:ilvl="0" w:tplc="3E3870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D62D51"/>
    <w:multiLevelType w:val="hybridMultilevel"/>
    <w:tmpl w:val="90C8BCC2"/>
    <w:lvl w:ilvl="0" w:tplc="3E3870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7"/>
  </w:num>
  <w:num w:numId="5">
    <w:abstractNumId w:val="5"/>
  </w:num>
  <w:num w:numId="6">
    <w:abstractNumId w:val="6"/>
  </w:num>
  <w:num w:numId="7">
    <w:abstractNumId w:val="3"/>
  </w:num>
  <w:num w:numId="8">
    <w:abstractNumId w:val="2"/>
  </w:num>
  <w:num w:numId="9">
    <w:abstractNumId w:val="11"/>
  </w:num>
  <w:num w:numId="10">
    <w:abstractNumId w:val="10"/>
  </w:num>
  <w:num w:numId="11">
    <w:abstractNumId w:val="4"/>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3C"/>
    <w:rsid w:val="000005B4"/>
    <w:rsid w:val="00002250"/>
    <w:rsid w:val="00003411"/>
    <w:rsid w:val="00004BF3"/>
    <w:rsid w:val="000060F6"/>
    <w:rsid w:val="0000702E"/>
    <w:rsid w:val="00011E6B"/>
    <w:rsid w:val="00012AF9"/>
    <w:rsid w:val="000149FC"/>
    <w:rsid w:val="00015D0F"/>
    <w:rsid w:val="0001631F"/>
    <w:rsid w:val="00016980"/>
    <w:rsid w:val="000169D3"/>
    <w:rsid w:val="0001782E"/>
    <w:rsid w:val="00024ED4"/>
    <w:rsid w:val="0002611A"/>
    <w:rsid w:val="000301A2"/>
    <w:rsid w:val="00031910"/>
    <w:rsid w:val="00032B1A"/>
    <w:rsid w:val="00035441"/>
    <w:rsid w:val="0004013D"/>
    <w:rsid w:val="00040EAA"/>
    <w:rsid w:val="00042067"/>
    <w:rsid w:val="00042318"/>
    <w:rsid w:val="00046E40"/>
    <w:rsid w:val="000500DD"/>
    <w:rsid w:val="0005102A"/>
    <w:rsid w:val="0005211B"/>
    <w:rsid w:val="00052E1D"/>
    <w:rsid w:val="0005789B"/>
    <w:rsid w:val="000579F8"/>
    <w:rsid w:val="00064734"/>
    <w:rsid w:val="00065D53"/>
    <w:rsid w:val="000665C3"/>
    <w:rsid w:val="00066DCC"/>
    <w:rsid w:val="000672E4"/>
    <w:rsid w:val="000719FF"/>
    <w:rsid w:val="0007329E"/>
    <w:rsid w:val="00073E1D"/>
    <w:rsid w:val="00074127"/>
    <w:rsid w:val="00074F8A"/>
    <w:rsid w:val="0007556C"/>
    <w:rsid w:val="00075910"/>
    <w:rsid w:val="000773B8"/>
    <w:rsid w:val="00081835"/>
    <w:rsid w:val="00082482"/>
    <w:rsid w:val="00084077"/>
    <w:rsid w:val="0008442C"/>
    <w:rsid w:val="00084D28"/>
    <w:rsid w:val="000854D1"/>
    <w:rsid w:val="00087607"/>
    <w:rsid w:val="000901BB"/>
    <w:rsid w:val="0009030C"/>
    <w:rsid w:val="0009142C"/>
    <w:rsid w:val="00095C4A"/>
    <w:rsid w:val="00095DF4"/>
    <w:rsid w:val="0009714E"/>
    <w:rsid w:val="000A01A7"/>
    <w:rsid w:val="000A0B92"/>
    <w:rsid w:val="000A0F84"/>
    <w:rsid w:val="000A1484"/>
    <w:rsid w:val="000A2221"/>
    <w:rsid w:val="000A2CD6"/>
    <w:rsid w:val="000A313B"/>
    <w:rsid w:val="000A32D3"/>
    <w:rsid w:val="000A33B5"/>
    <w:rsid w:val="000A3430"/>
    <w:rsid w:val="000A6532"/>
    <w:rsid w:val="000B1BBB"/>
    <w:rsid w:val="000B26D8"/>
    <w:rsid w:val="000B2996"/>
    <w:rsid w:val="000B361A"/>
    <w:rsid w:val="000B4776"/>
    <w:rsid w:val="000B4ADF"/>
    <w:rsid w:val="000B5EAB"/>
    <w:rsid w:val="000B6650"/>
    <w:rsid w:val="000C13C4"/>
    <w:rsid w:val="000C1A40"/>
    <w:rsid w:val="000C39BA"/>
    <w:rsid w:val="000C3CA0"/>
    <w:rsid w:val="000C6135"/>
    <w:rsid w:val="000D1119"/>
    <w:rsid w:val="000D3A6F"/>
    <w:rsid w:val="000D3BD2"/>
    <w:rsid w:val="000D507B"/>
    <w:rsid w:val="000D64BA"/>
    <w:rsid w:val="000D7B7F"/>
    <w:rsid w:val="000E3932"/>
    <w:rsid w:val="000E411C"/>
    <w:rsid w:val="000E62E5"/>
    <w:rsid w:val="000F0AE3"/>
    <w:rsid w:val="000F0B30"/>
    <w:rsid w:val="000F3402"/>
    <w:rsid w:val="000F41D5"/>
    <w:rsid w:val="000F5B12"/>
    <w:rsid w:val="000F5C8E"/>
    <w:rsid w:val="000F6157"/>
    <w:rsid w:val="00103899"/>
    <w:rsid w:val="00104EE5"/>
    <w:rsid w:val="00105064"/>
    <w:rsid w:val="00105FEC"/>
    <w:rsid w:val="0011424D"/>
    <w:rsid w:val="00117192"/>
    <w:rsid w:val="00121314"/>
    <w:rsid w:val="00121574"/>
    <w:rsid w:val="00121767"/>
    <w:rsid w:val="0012343A"/>
    <w:rsid w:val="001246AD"/>
    <w:rsid w:val="00124F9B"/>
    <w:rsid w:val="00125FDD"/>
    <w:rsid w:val="00126252"/>
    <w:rsid w:val="00126354"/>
    <w:rsid w:val="0012659F"/>
    <w:rsid w:val="00126FBB"/>
    <w:rsid w:val="001306E0"/>
    <w:rsid w:val="00130DFC"/>
    <w:rsid w:val="00130FD7"/>
    <w:rsid w:val="00132FEE"/>
    <w:rsid w:val="00133F23"/>
    <w:rsid w:val="0013512C"/>
    <w:rsid w:val="00140DE1"/>
    <w:rsid w:val="001414CA"/>
    <w:rsid w:val="00142307"/>
    <w:rsid w:val="00142CA9"/>
    <w:rsid w:val="00143BE0"/>
    <w:rsid w:val="0014533A"/>
    <w:rsid w:val="00145FBC"/>
    <w:rsid w:val="001507C0"/>
    <w:rsid w:val="001518E3"/>
    <w:rsid w:val="00152CCE"/>
    <w:rsid w:val="001547D5"/>
    <w:rsid w:val="001554FE"/>
    <w:rsid w:val="001560B6"/>
    <w:rsid w:val="001573CF"/>
    <w:rsid w:val="00157935"/>
    <w:rsid w:val="001620B1"/>
    <w:rsid w:val="0016267E"/>
    <w:rsid w:val="0016567E"/>
    <w:rsid w:val="001658E1"/>
    <w:rsid w:val="001669A6"/>
    <w:rsid w:val="00170D6F"/>
    <w:rsid w:val="0017261B"/>
    <w:rsid w:val="001741BE"/>
    <w:rsid w:val="00180691"/>
    <w:rsid w:val="00180DEB"/>
    <w:rsid w:val="00181661"/>
    <w:rsid w:val="00181B37"/>
    <w:rsid w:val="00183BB7"/>
    <w:rsid w:val="0018426F"/>
    <w:rsid w:val="00184A67"/>
    <w:rsid w:val="0018528F"/>
    <w:rsid w:val="0018646B"/>
    <w:rsid w:val="0018748E"/>
    <w:rsid w:val="0019002E"/>
    <w:rsid w:val="00190274"/>
    <w:rsid w:val="00190BF0"/>
    <w:rsid w:val="00191302"/>
    <w:rsid w:val="00191306"/>
    <w:rsid w:val="00191389"/>
    <w:rsid w:val="00191AC6"/>
    <w:rsid w:val="00191E96"/>
    <w:rsid w:val="00192492"/>
    <w:rsid w:val="001958AA"/>
    <w:rsid w:val="001968C2"/>
    <w:rsid w:val="001A17C7"/>
    <w:rsid w:val="001A18B2"/>
    <w:rsid w:val="001A1F3D"/>
    <w:rsid w:val="001A5136"/>
    <w:rsid w:val="001A5DD2"/>
    <w:rsid w:val="001A7EB3"/>
    <w:rsid w:val="001B0DFF"/>
    <w:rsid w:val="001B1D60"/>
    <w:rsid w:val="001B4DD0"/>
    <w:rsid w:val="001B5C23"/>
    <w:rsid w:val="001B641C"/>
    <w:rsid w:val="001C01D1"/>
    <w:rsid w:val="001C0238"/>
    <w:rsid w:val="001C0D4E"/>
    <w:rsid w:val="001C2084"/>
    <w:rsid w:val="001C4A4E"/>
    <w:rsid w:val="001C6616"/>
    <w:rsid w:val="001C6877"/>
    <w:rsid w:val="001C7686"/>
    <w:rsid w:val="001D0373"/>
    <w:rsid w:val="001D2FC2"/>
    <w:rsid w:val="001D3C2E"/>
    <w:rsid w:val="001D4715"/>
    <w:rsid w:val="001D5037"/>
    <w:rsid w:val="001D6A28"/>
    <w:rsid w:val="001D71E6"/>
    <w:rsid w:val="001D76E8"/>
    <w:rsid w:val="001E0078"/>
    <w:rsid w:val="001E030E"/>
    <w:rsid w:val="001E0CFA"/>
    <w:rsid w:val="001E1234"/>
    <w:rsid w:val="001E13D4"/>
    <w:rsid w:val="001E7DB4"/>
    <w:rsid w:val="001E7DCA"/>
    <w:rsid w:val="001F12F5"/>
    <w:rsid w:val="001F4474"/>
    <w:rsid w:val="001F4DB0"/>
    <w:rsid w:val="001F5571"/>
    <w:rsid w:val="001F5DFC"/>
    <w:rsid w:val="001F7BD3"/>
    <w:rsid w:val="002003B3"/>
    <w:rsid w:val="00200A19"/>
    <w:rsid w:val="00200C2A"/>
    <w:rsid w:val="00203D1F"/>
    <w:rsid w:val="002050F6"/>
    <w:rsid w:val="0020533B"/>
    <w:rsid w:val="00205378"/>
    <w:rsid w:val="0020546A"/>
    <w:rsid w:val="00205AD7"/>
    <w:rsid w:val="002060BD"/>
    <w:rsid w:val="00206FF5"/>
    <w:rsid w:val="002072EA"/>
    <w:rsid w:val="00210389"/>
    <w:rsid w:val="00211373"/>
    <w:rsid w:val="00211FA8"/>
    <w:rsid w:val="002122B2"/>
    <w:rsid w:val="002124C0"/>
    <w:rsid w:val="002162D2"/>
    <w:rsid w:val="00222B87"/>
    <w:rsid w:val="00222FB4"/>
    <w:rsid w:val="00222FF2"/>
    <w:rsid w:val="002235B2"/>
    <w:rsid w:val="00223C71"/>
    <w:rsid w:val="002271D8"/>
    <w:rsid w:val="0022740E"/>
    <w:rsid w:val="0023718A"/>
    <w:rsid w:val="00237201"/>
    <w:rsid w:val="00242F76"/>
    <w:rsid w:val="002433E7"/>
    <w:rsid w:val="00244646"/>
    <w:rsid w:val="00247739"/>
    <w:rsid w:val="00247D9E"/>
    <w:rsid w:val="0025170D"/>
    <w:rsid w:val="00252293"/>
    <w:rsid w:val="00252975"/>
    <w:rsid w:val="00252E8E"/>
    <w:rsid w:val="002535A1"/>
    <w:rsid w:val="00260893"/>
    <w:rsid w:val="002619F1"/>
    <w:rsid w:val="00262918"/>
    <w:rsid w:val="00263991"/>
    <w:rsid w:val="00265ED6"/>
    <w:rsid w:val="00267550"/>
    <w:rsid w:val="002704F6"/>
    <w:rsid w:val="002716B5"/>
    <w:rsid w:val="00271947"/>
    <w:rsid w:val="00272D52"/>
    <w:rsid w:val="00272DD6"/>
    <w:rsid w:val="00273E60"/>
    <w:rsid w:val="00274516"/>
    <w:rsid w:val="00276AAE"/>
    <w:rsid w:val="00280CC0"/>
    <w:rsid w:val="00283EC1"/>
    <w:rsid w:val="00283FC4"/>
    <w:rsid w:val="00285516"/>
    <w:rsid w:val="0028764A"/>
    <w:rsid w:val="002908E1"/>
    <w:rsid w:val="00295242"/>
    <w:rsid w:val="00295B83"/>
    <w:rsid w:val="00296DD8"/>
    <w:rsid w:val="0029748D"/>
    <w:rsid w:val="00297A10"/>
    <w:rsid w:val="002A001B"/>
    <w:rsid w:val="002A3685"/>
    <w:rsid w:val="002A3AFF"/>
    <w:rsid w:val="002A4503"/>
    <w:rsid w:val="002A56A8"/>
    <w:rsid w:val="002B0D0C"/>
    <w:rsid w:val="002B1175"/>
    <w:rsid w:val="002B17CB"/>
    <w:rsid w:val="002B2548"/>
    <w:rsid w:val="002B5B30"/>
    <w:rsid w:val="002B62BD"/>
    <w:rsid w:val="002B656C"/>
    <w:rsid w:val="002B6818"/>
    <w:rsid w:val="002C225B"/>
    <w:rsid w:val="002C2B97"/>
    <w:rsid w:val="002C4C44"/>
    <w:rsid w:val="002C5C4B"/>
    <w:rsid w:val="002C71C4"/>
    <w:rsid w:val="002C7364"/>
    <w:rsid w:val="002C7AB8"/>
    <w:rsid w:val="002D05CF"/>
    <w:rsid w:val="002D198C"/>
    <w:rsid w:val="002D31EB"/>
    <w:rsid w:val="002D3477"/>
    <w:rsid w:val="002D4898"/>
    <w:rsid w:val="002D4A85"/>
    <w:rsid w:val="002D5A2A"/>
    <w:rsid w:val="002D5BCA"/>
    <w:rsid w:val="002D5D1B"/>
    <w:rsid w:val="002D5E66"/>
    <w:rsid w:val="002D620B"/>
    <w:rsid w:val="002D6416"/>
    <w:rsid w:val="002E01F0"/>
    <w:rsid w:val="002E027A"/>
    <w:rsid w:val="002E1ED1"/>
    <w:rsid w:val="002E60E0"/>
    <w:rsid w:val="002E72A6"/>
    <w:rsid w:val="002E77B6"/>
    <w:rsid w:val="002F02C1"/>
    <w:rsid w:val="002F0585"/>
    <w:rsid w:val="002F144B"/>
    <w:rsid w:val="002F1E9C"/>
    <w:rsid w:val="002F21BA"/>
    <w:rsid w:val="002F2779"/>
    <w:rsid w:val="002F2C58"/>
    <w:rsid w:val="002F49D6"/>
    <w:rsid w:val="00300DBE"/>
    <w:rsid w:val="003017BD"/>
    <w:rsid w:val="00301EA8"/>
    <w:rsid w:val="003020B6"/>
    <w:rsid w:val="00303367"/>
    <w:rsid w:val="003060C8"/>
    <w:rsid w:val="00306AB2"/>
    <w:rsid w:val="003071ED"/>
    <w:rsid w:val="00310668"/>
    <w:rsid w:val="003111E7"/>
    <w:rsid w:val="003116CA"/>
    <w:rsid w:val="003117F4"/>
    <w:rsid w:val="00311D66"/>
    <w:rsid w:val="00311EB2"/>
    <w:rsid w:val="00312486"/>
    <w:rsid w:val="00314D9B"/>
    <w:rsid w:val="00315905"/>
    <w:rsid w:val="00315A13"/>
    <w:rsid w:val="00317207"/>
    <w:rsid w:val="0032052D"/>
    <w:rsid w:val="00321136"/>
    <w:rsid w:val="00322B35"/>
    <w:rsid w:val="00322CC2"/>
    <w:rsid w:val="00324A97"/>
    <w:rsid w:val="00325154"/>
    <w:rsid w:val="003269EB"/>
    <w:rsid w:val="003317F9"/>
    <w:rsid w:val="00334F33"/>
    <w:rsid w:val="00337801"/>
    <w:rsid w:val="00341501"/>
    <w:rsid w:val="00341867"/>
    <w:rsid w:val="0034338A"/>
    <w:rsid w:val="00343CCD"/>
    <w:rsid w:val="00343D81"/>
    <w:rsid w:val="0034747B"/>
    <w:rsid w:val="00350CF9"/>
    <w:rsid w:val="00352635"/>
    <w:rsid w:val="00353D9C"/>
    <w:rsid w:val="00356307"/>
    <w:rsid w:val="0035754D"/>
    <w:rsid w:val="003610CF"/>
    <w:rsid w:val="00362FF1"/>
    <w:rsid w:val="0036447E"/>
    <w:rsid w:val="003649ED"/>
    <w:rsid w:val="00365699"/>
    <w:rsid w:val="003675AB"/>
    <w:rsid w:val="00371D7D"/>
    <w:rsid w:val="0037327A"/>
    <w:rsid w:val="0037358C"/>
    <w:rsid w:val="00373C5C"/>
    <w:rsid w:val="00375AF3"/>
    <w:rsid w:val="003769EF"/>
    <w:rsid w:val="00376FD7"/>
    <w:rsid w:val="00383F78"/>
    <w:rsid w:val="0038648D"/>
    <w:rsid w:val="00386990"/>
    <w:rsid w:val="003905CB"/>
    <w:rsid w:val="00390688"/>
    <w:rsid w:val="00391E05"/>
    <w:rsid w:val="0039342B"/>
    <w:rsid w:val="00393469"/>
    <w:rsid w:val="003935D1"/>
    <w:rsid w:val="003940EF"/>
    <w:rsid w:val="00396E55"/>
    <w:rsid w:val="003976D6"/>
    <w:rsid w:val="003A160B"/>
    <w:rsid w:val="003A19CE"/>
    <w:rsid w:val="003A230C"/>
    <w:rsid w:val="003A5683"/>
    <w:rsid w:val="003A5DE5"/>
    <w:rsid w:val="003A64D3"/>
    <w:rsid w:val="003A734B"/>
    <w:rsid w:val="003A7CD3"/>
    <w:rsid w:val="003A7CFC"/>
    <w:rsid w:val="003B10DF"/>
    <w:rsid w:val="003B72E1"/>
    <w:rsid w:val="003C0C75"/>
    <w:rsid w:val="003C1CB3"/>
    <w:rsid w:val="003C2A25"/>
    <w:rsid w:val="003C36FB"/>
    <w:rsid w:val="003C45CA"/>
    <w:rsid w:val="003C5378"/>
    <w:rsid w:val="003C58BC"/>
    <w:rsid w:val="003C5AB8"/>
    <w:rsid w:val="003C632A"/>
    <w:rsid w:val="003D035E"/>
    <w:rsid w:val="003D12CD"/>
    <w:rsid w:val="003D2035"/>
    <w:rsid w:val="003D383D"/>
    <w:rsid w:val="003D3B47"/>
    <w:rsid w:val="003D66C2"/>
    <w:rsid w:val="003E003B"/>
    <w:rsid w:val="003E0CEF"/>
    <w:rsid w:val="003E3D31"/>
    <w:rsid w:val="003E5587"/>
    <w:rsid w:val="003E5A68"/>
    <w:rsid w:val="003E7FB7"/>
    <w:rsid w:val="003F04C8"/>
    <w:rsid w:val="003F1C31"/>
    <w:rsid w:val="003F381D"/>
    <w:rsid w:val="003F3B4E"/>
    <w:rsid w:val="003F4904"/>
    <w:rsid w:val="003F4E61"/>
    <w:rsid w:val="003F56DA"/>
    <w:rsid w:val="003F78A4"/>
    <w:rsid w:val="004013DA"/>
    <w:rsid w:val="00405BD6"/>
    <w:rsid w:val="0040650C"/>
    <w:rsid w:val="00410CF0"/>
    <w:rsid w:val="0041310A"/>
    <w:rsid w:val="00413977"/>
    <w:rsid w:val="004153C6"/>
    <w:rsid w:val="00416C5D"/>
    <w:rsid w:val="00416E00"/>
    <w:rsid w:val="00420B87"/>
    <w:rsid w:val="004231F5"/>
    <w:rsid w:val="004232FF"/>
    <w:rsid w:val="00423699"/>
    <w:rsid w:val="004238F4"/>
    <w:rsid w:val="004243E2"/>
    <w:rsid w:val="00424706"/>
    <w:rsid w:val="0042515E"/>
    <w:rsid w:val="004259A6"/>
    <w:rsid w:val="00430446"/>
    <w:rsid w:val="00431725"/>
    <w:rsid w:val="00434564"/>
    <w:rsid w:val="00435365"/>
    <w:rsid w:val="00437095"/>
    <w:rsid w:val="004376B6"/>
    <w:rsid w:val="004412D1"/>
    <w:rsid w:val="00441A22"/>
    <w:rsid w:val="00441E10"/>
    <w:rsid w:val="00443D6D"/>
    <w:rsid w:val="00444C0F"/>
    <w:rsid w:val="0044505A"/>
    <w:rsid w:val="0044516F"/>
    <w:rsid w:val="00445B45"/>
    <w:rsid w:val="00446C60"/>
    <w:rsid w:val="00447831"/>
    <w:rsid w:val="00447CEC"/>
    <w:rsid w:val="00450295"/>
    <w:rsid w:val="00450359"/>
    <w:rsid w:val="004548E3"/>
    <w:rsid w:val="004555EC"/>
    <w:rsid w:val="004560A1"/>
    <w:rsid w:val="00457AE7"/>
    <w:rsid w:val="004614E5"/>
    <w:rsid w:val="0046295D"/>
    <w:rsid w:val="0046528F"/>
    <w:rsid w:val="004667EE"/>
    <w:rsid w:val="004672F7"/>
    <w:rsid w:val="00470245"/>
    <w:rsid w:val="004709A6"/>
    <w:rsid w:val="004712C9"/>
    <w:rsid w:val="0047192C"/>
    <w:rsid w:val="004727D9"/>
    <w:rsid w:val="00474421"/>
    <w:rsid w:val="00474449"/>
    <w:rsid w:val="00475913"/>
    <w:rsid w:val="00475CBF"/>
    <w:rsid w:val="00476989"/>
    <w:rsid w:val="00482F03"/>
    <w:rsid w:val="0048339F"/>
    <w:rsid w:val="00483B8B"/>
    <w:rsid w:val="00487069"/>
    <w:rsid w:val="00487179"/>
    <w:rsid w:val="00492312"/>
    <w:rsid w:val="004929EE"/>
    <w:rsid w:val="004A12B2"/>
    <w:rsid w:val="004A19B0"/>
    <w:rsid w:val="004A2618"/>
    <w:rsid w:val="004A3192"/>
    <w:rsid w:val="004A40A6"/>
    <w:rsid w:val="004A4818"/>
    <w:rsid w:val="004A6F74"/>
    <w:rsid w:val="004B09F8"/>
    <w:rsid w:val="004B0D14"/>
    <w:rsid w:val="004B1651"/>
    <w:rsid w:val="004B1F23"/>
    <w:rsid w:val="004B29C5"/>
    <w:rsid w:val="004B33D5"/>
    <w:rsid w:val="004B3E33"/>
    <w:rsid w:val="004B5D6B"/>
    <w:rsid w:val="004B6DF7"/>
    <w:rsid w:val="004B7B27"/>
    <w:rsid w:val="004C00F7"/>
    <w:rsid w:val="004C2C3F"/>
    <w:rsid w:val="004C5CDB"/>
    <w:rsid w:val="004C60C1"/>
    <w:rsid w:val="004C62DB"/>
    <w:rsid w:val="004C7540"/>
    <w:rsid w:val="004C7E49"/>
    <w:rsid w:val="004D112B"/>
    <w:rsid w:val="004D21F5"/>
    <w:rsid w:val="004D747D"/>
    <w:rsid w:val="004E1B84"/>
    <w:rsid w:val="004E1F01"/>
    <w:rsid w:val="004E2BD6"/>
    <w:rsid w:val="004E35EE"/>
    <w:rsid w:val="004E5355"/>
    <w:rsid w:val="004E57F1"/>
    <w:rsid w:val="004E6A8A"/>
    <w:rsid w:val="004E7280"/>
    <w:rsid w:val="004F25C9"/>
    <w:rsid w:val="004F4B09"/>
    <w:rsid w:val="004F56FF"/>
    <w:rsid w:val="004F5B1C"/>
    <w:rsid w:val="004F66E2"/>
    <w:rsid w:val="004F781B"/>
    <w:rsid w:val="004F7E6C"/>
    <w:rsid w:val="00502285"/>
    <w:rsid w:val="00503F18"/>
    <w:rsid w:val="00504181"/>
    <w:rsid w:val="005052B0"/>
    <w:rsid w:val="00507042"/>
    <w:rsid w:val="00507136"/>
    <w:rsid w:val="00507737"/>
    <w:rsid w:val="005109FD"/>
    <w:rsid w:val="005124FC"/>
    <w:rsid w:val="00512FE3"/>
    <w:rsid w:val="005134DC"/>
    <w:rsid w:val="005147CA"/>
    <w:rsid w:val="00514E19"/>
    <w:rsid w:val="00516DA3"/>
    <w:rsid w:val="00517C83"/>
    <w:rsid w:val="005200F4"/>
    <w:rsid w:val="0052050D"/>
    <w:rsid w:val="00521D93"/>
    <w:rsid w:val="00523F06"/>
    <w:rsid w:val="005242E5"/>
    <w:rsid w:val="00524309"/>
    <w:rsid w:val="00525E93"/>
    <w:rsid w:val="00527CE0"/>
    <w:rsid w:val="00527D65"/>
    <w:rsid w:val="00530F6A"/>
    <w:rsid w:val="00530FA8"/>
    <w:rsid w:val="005364FD"/>
    <w:rsid w:val="00536B82"/>
    <w:rsid w:val="00537340"/>
    <w:rsid w:val="00537770"/>
    <w:rsid w:val="0053785D"/>
    <w:rsid w:val="00540721"/>
    <w:rsid w:val="00541134"/>
    <w:rsid w:val="00542121"/>
    <w:rsid w:val="00545AA2"/>
    <w:rsid w:val="005462D1"/>
    <w:rsid w:val="0054634F"/>
    <w:rsid w:val="00551D8C"/>
    <w:rsid w:val="00554AE9"/>
    <w:rsid w:val="005553FD"/>
    <w:rsid w:val="00556778"/>
    <w:rsid w:val="00556B57"/>
    <w:rsid w:val="00557D23"/>
    <w:rsid w:val="00560D9D"/>
    <w:rsid w:val="00561666"/>
    <w:rsid w:val="00561E81"/>
    <w:rsid w:val="005632C2"/>
    <w:rsid w:val="00564A8E"/>
    <w:rsid w:val="00565FF9"/>
    <w:rsid w:val="005666DC"/>
    <w:rsid w:val="005671FF"/>
    <w:rsid w:val="00571251"/>
    <w:rsid w:val="0057216D"/>
    <w:rsid w:val="005735C5"/>
    <w:rsid w:val="005736B9"/>
    <w:rsid w:val="00573D39"/>
    <w:rsid w:val="005750A9"/>
    <w:rsid w:val="005752A3"/>
    <w:rsid w:val="005757D5"/>
    <w:rsid w:val="0057624D"/>
    <w:rsid w:val="00576CA2"/>
    <w:rsid w:val="0058099F"/>
    <w:rsid w:val="005832EB"/>
    <w:rsid w:val="005836F6"/>
    <w:rsid w:val="0058462C"/>
    <w:rsid w:val="00584CDF"/>
    <w:rsid w:val="005862B4"/>
    <w:rsid w:val="00587003"/>
    <w:rsid w:val="005909EA"/>
    <w:rsid w:val="00592D16"/>
    <w:rsid w:val="00593742"/>
    <w:rsid w:val="00595BBD"/>
    <w:rsid w:val="0059632F"/>
    <w:rsid w:val="005A0E5F"/>
    <w:rsid w:val="005A39F1"/>
    <w:rsid w:val="005A3A00"/>
    <w:rsid w:val="005A4265"/>
    <w:rsid w:val="005A4CAB"/>
    <w:rsid w:val="005A4E16"/>
    <w:rsid w:val="005A6BD9"/>
    <w:rsid w:val="005A6C3C"/>
    <w:rsid w:val="005A7802"/>
    <w:rsid w:val="005A7F97"/>
    <w:rsid w:val="005B13EF"/>
    <w:rsid w:val="005B1793"/>
    <w:rsid w:val="005B19C5"/>
    <w:rsid w:val="005B1DCC"/>
    <w:rsid w:val="005B29B2"/>
    <w:rsid w:val="005B2C2A"/>
    <w:rsid w:val="005B4024"/>
    <w:rsid w:val="005B42A0"/>
    <w:rsid w:val="005B44D1"/>
    <w:rsid w:val="005B48E4"/>
    <w:rsid w:val="005B5510"/>
    <w:rsid w:val="005B64B5"/>
    <w:rsid w:val="005B6B99"/>
    <w:rsid w:val="005C0724"/>
    <w:rsid w:val="005C1B35"/>
    <w:rsid w:val="005C2DD0"/>
    <w:rsid w:val="005C354D"/>
    <w:rsid w:val="005C42F6"/>
    <w:rsid w:val="005C5423"/>
    <w:rsid w:val="005C5E1D"/>
    <w:rsid w:val="005C6ADF"/>
    <w:rsid w:val="005C76E8"/>
    <w:rsid w:val="005C790C"/>
    <w:rsid w:val="005C7C19"/>
    <w:rsid w:val="005D1FFA"/>
    <w:rsid w:val="005D2DFE"/>
    <w:rsid w:val="005D5F7B"/>
    <w:rsid w:val="005D6082"/>
    <w:rsid w:val="005E13E1"/>
    <w:rsid w:val="005E1996"/>
    <w:rsid w:val="005E4371"/>
    <w:rsid w:val="005E44C9"/>
    <w:rsid w:val="005E60A8"/>
    <w:rsid w:val="005E6DBB"/>
    <w:rsid w:val="005E74B1"/>
    <w:rsid w:val="005E77DE"/>
    <w:rsid w:val="005F0145"/>
    <w:rsid w:val="005F2B47"/>
    <w:rsid w:val="005F2F2F"/>
    <w:rsid w:val="005F3A84"/>
    <w:rsid w:val="005F48E5"/>
    <w:rsid w:val="00600CF1"/>
    <w:rsid w:val="00603B83"/>
    <w:rsid w:val="00610E2B"/>
    <w:rsid w:val="00611197"/>
    <w:rsid w:val="006126DC"/>
    <w:rsid w:val="006137F2"/>
    <w:rsid w:val="00614F01"/>
    <w:rsid w:val="0061525A"/>
    <w:rsid w:val="00616DFC"/>
    <w:rsid w:val="006203F8"/>
    <w:rsid w:val="00620F84"/>
    <w:rsid w:val="00624CFC"/>
    <w:rsid w:val="00626B07"/>
    <w:rsid w:val="0063269A"/>
    <w:rsid w:val="00632767"/>
    <w:rsid w:val="00632B2B"/>
    <w:rsid w:val="00632E11"/>
    <w:rsid w:val="006337F2"/>
    <w:rsid w:val="006341BD"/>
    <w:rsid w:val="0063465C"/>
    <w:rsid w:val="00635AF8"/>
    <w:rsid w:val="00636399"/>
    <w:rsid w:val="00636A14"/>
    <w:rsid w:val="00641C92"/>
    <w:rsid w:val="00644356"/>
    <w:rsid w:val="0064537B"/>
    <w:rsid w:val="00651159"/>
    <w:rsid w:val="0065150C"/>
    <w:rsid w:val="00651567"/>
    <w:rsid w:val="00651698"/>
    <w:rsid w:val="00652CDF"/>
    <w:rsid w:val="00660709"/>
    <w:rsid w:val="00661AF9"/>
    <w:rsid w:val="006651AC"/>
    <w:rsid w:val="00665A6C"/>
    <w:rsid w:val="00665FF5"/>
    <w:rsid w:val="00666BBF"/>
    <w:rsid w:val="00671686"/>
    <w:rsid w:val="00672770"/>
    <w:rsid w:val="006733F7"/>
    <w:rsid w:val="006736D6"/>
    <w:rsid w:val="006747F2"/>
    <w:rsid w:val="00675B53"/>
    <w:rsid w:val="006760F1"/>
    <w:rsid w:val="00676376"/>
    <w:rsid w:val="00681C8A"/>
    <w:rsid w:val="00684E2B"/>
    <w:rsid w:val="0068508C"/>
    <w:rsid w:val="00686DE9"/>
    <w:rsid w:val="0069129D"/>
    <w:rsid w:val="006912CE"/>
    <w:rsid w:val="00692BC9"/>
    <w:rsid w:val="00695485"/>
    <w:rsid w:val="0069592A"/>
    <w:rsid w:val="0069684F"/>
    <w:rsid w:val="00697948"/>
    <w:rsid w:val="006A0D2E"/>
    <w:rsid w:val="006A2091"/>
    <w:rsid w:val="006A3CA0"/>
    <w:rsid w:val="006A4D7E"/>
    <w:rsid w:val="006A518B"/>
    <w:rsid w:val="006A5FF4"/>
    <w:rsid w:val="006A7A1F"/>
    <w:rsid w:val="006B22F4"/>
    <w:rsid w:val="006B407A"/>
    <w:rsid w:val="006B432A"/>
    <w:rsid w:val="006B4BAD"/>
    <w:rsid w:val="006B7350"/>
    <w:rsid w:val="006B7F5D"/>
    <w:rsid w:val="006C1332"/>
    <w:rsid w:val="006C465E"/>
    <w:rsid w:val="006C6A68"/>
    <w:rsid w:val="006C6E7B"/>
    <w:rsid w:val="006D11EB"/>
    <w:rsid w:val="006D4912"/>
    <w:rsid w:val="006D630F"/>
    <w:rsid w:val="006D6654"/>
    <w:rsid w:val="006D7E68"/>
    <w:rsid w:val="006E03A5"/>
    <w:rsid w:val="006E22FF"/>
    <w:rsid w:val="006E2611"/>
    <w:rsid w:val="006E327B"/>
    <w:rsid w:val="006E3576"/>
    <w:rsid w:val="006E4234"/>
    <w:rsid w:val="006F16FE"/>
    <w:rsid w:val="006F1A3F"/>
    <w:rsid w:val="006F289F"/>
    <w:rsid w:val="006F2AD6"/>
    <w:rsid w:val="006F5FF0"/>
    <w:rsid w:val="00700369"/>
    <w:rsid w:val="00700499"/>
    <w:rsid w:val="007021BD"/>
    <w:rsid w:val="00702854"/>
    <w:rsid w:val="00702D15"/>
    <w:rsid w:val="00703630"/>
    <w:rsid w:val="00703EC0"/>
    <w:rsid w:val="00704358"/>
    <w:rsid w:val="007058EE"/>
    <w:rsid w:val="00706268"/>
    <w:rsid w:val="007069E8"/>
    <w:rsid w:val="007108AA"/>
    <w:rsid w:val="00710FEB"/>
    <w:rsid w:val="00711684"/>
    <w:rsid w:val="0071201C"/>
    <w:rsid w:val="007138E8"/>
    <w:rsid w:val="00714671"/>
    <w:rsid w:val="00715527"/>
    <w:rsid w:val="00715E68"/>
    <w:rsid w:val="00716BC2"/>
    <w:rsid w:val="007177E3"/>
    <w:rsid w:val="00722681"/>
    <w:rsid w:val="007232ED"/>
    <w:rsid w:val="007244A6"/>
    <w:rsid w:val="0072613B"/>
    <w:rsid w:val="0072666E"/>
    <w:rsid w:val="00727EE6"/>
    <w:rsid w:val="00727F6B"/>
    <w:rsid w:val="00732B82"/>
    <w:rsid w:val="00733F02"/>
    <w:rsid w:val="00734F7E"/>
    <w:rsid w:val="00735754"/>
    <w:rsid w:val="007359F0"/>
    <w:rsid w:val="00736A50"/>
    <w:rsid w:val="00737A85"/>
    <w:rsid w:val="00740149"/>
    <w:rsid w:val="0074253D"/>
    <w:rsid w:val="007425AD"/>
    <w:rsid w:val="00742806"/>
    <w:rsid w:val="00742819"/>
    <w:rsid w:val="00745ABD"/>
    <w:rsid w:val="00746A85"/>
    <w:rsid w:val="00746BBD"/>
    <w:rsid w:val="00747B60"/>
    <w:rsid w:val="00751326"/>
    <w:rsid w:val="007514FE"/>
    <w:rsid w:val="007525F7"/>
    <w:rsid w:val="00753402"/>
    <w:rsid w:val="00753714"/>
    <w:rsid w:val="00753AFD"/>
    <w:rsid w:val="00756EB7"/>
    <w:rsid w:val="0076064F"/>
    <w:rsid w:val="0076192C"/>
    <w:rsid w:val="00762409"/>
    <w:rsid w:val="00765B49"/>
    <w:rsid w:val="00766182"/>
    <w:rsid w:val="007667C1"/>
    <w:rsid w:val="00766C35"/>
    <w:rsid w:val="00767A27"/>
    <w:rsid w:val="0077015C"/>
    <w:rsid w:val="00771E17"/>
    <w:rsid w:val="00772177"/>
    <w:rsid w:val="007729AB"/>
    <w:rsid w:val="007732B0"/>
    <w:rsid w:val="0077484E"/>
    <w:rsid w:val="00774A33"/>
    <w:rsid w:val="00775446"/>
    <w:rsid w:val="00776067"/>
    <w:rsid w:val="007768DC"/>
    <w:rsid w:val="00777439"/>
    <w:rsid w:val="0078189C"/>
    <w:rsid w:val="00783293"/>
    <w:rsid w:val="007836AD"/>
    <w:rsid w:val="0078524F"/>
    <w:rsid w:val="007853CB"/>
    <w:rsid w:val="00785914"/>
    <w:rsid w:val="00785DB1"/>
    <w:rsid w:val="00786CAD"/>
    <w:rsid w:val="00787AE9"/>
    <w:rsid w:val="0079087F"/>
    <w:rsid w:val="00790B66"/>
    <w:rsid w:val="00790E32"/>
    <w:rsid w:val="007916C0"/>
    <w:rsid w:val="007944E5"/>
    <w:rsid w:val="00796478"/>
    <w:rsid w:val="00796C51"/>
    <w:rsid w:val="007A016D"/>
    <w:rsid w:val="007A144E"/>
    <w:rsid w:val="007A14D1"/>
    <w:rsid w:val="007A4176"/>
    <w:rsid w:val="007A49DB"/>
    <w:rsid w:val="007A4A76"/>
    <w:rsid w:val="007A5C8C"/>
    <w:rsid w:val="007A6298"/>
    <w:rsid w:val="007A6CCB"/>
    <w:rsid w:val="007A761F"/>
    <w:rsid w:val="007A798C"/>
    <w:rsid w:val="007B0EDE"/>
    <w:rsid w:val="007B2EAD"/>
    <w:rsid w:val="007B6051"/>
    <w:rsid w:val="007B7DDB"/>
    <w:rsid w:val="007B7EBB"/>
    <w:rsid w:val="007C50FF"/>
    <w:rsid w:val="007D18D1"/>
    <w:rsid w:val="007D1A86"/>
    <w:rsid w:val="007D268C"/>
    <w:rsid w:val="007D2B91"/>
    <w:rsid w:val="007D2D7E"/>
    <w:rsid w:val="007D312C"/>
    <w:rsid w:val="007D3222"/>
    <w:rsid w:val="007D52E4"/>
    <w:rsid w:val="007D7CAA"/>
    <w:rsid w:val="007E0CD3"/>
    <w:rsid w:val="007E1F04"/>
    <w:rsid w:val="007E24E8"/>
    <w:rsid w:val="007E2873"/>
    <w:rsid w:val="007E3A7B"/>
    <w:rsid w:val="007E3AC8"/>
    <w:rsid w:val="007E405A"/>
    <w:rsid w:val="007E5048"/>
    <w:rsid w:val="007E678C"/>
    <w:rsid w:val="007E75A3"/>
    <w:rsid w:val="007E75BD"/>
    <w:rsid w:val="007F0466"/>
    <w:rsid w:val="007F0CC1"/>
    <w:rsid w:val="007F34CB"/>
    <w:rsid w:val="007F370B"/>
    <w:rsid w:val="007F4403"/>
    <w:rsid w:val="007F602A"/>
    <w:rsid w:val="007F6458"/>
    <w:rsid w:val="007F6574"/>
    <w:rsid w:val="00803600"/>
    <w:rsid w:val="008038A4"/>
    <w:rsid w:val="00806617"/>
    <w:rsid w:val="00806649"/>
    <w:rsid w:val="008075E7"/>
    <w:rsid w:val="0080771B"/>
    <w:rsid w:val="008077A3"/>
    <w:rsid w:val="00807AD2"/>
    <w:rsid w:val="00810B04"/>
    <w:rsid w:val="00810FA7"/>
    <w:rsid w:val="00814237"/>
    <w:rsid w:val="00815247"/>
    <w:rsid w:val="0081645F"/>
    <w:rsid w:val="008166B4"/>
    <w:rsid w:val="00816CE6"/>
    <w:rsid w:val="00821209"/>
    <w:rsid w:val="00821EC2"/>
    <w:rsid w:val="0082207E"/>
    <w:rsid w:val="00823F4A"/>
    <w:rsid w:val="00824880"/>
    <w:rsid w:val="0082593E"/>
    <w:rsid w:val="00825D3F"/>
    <w:rsid w:val="008275E8"/>
    <w:rsid w:val="00833ACC"/>
    <w:rsid w:val="00835561"/>
    <w:rsid w:val="00835F82"/>
    <w:rsid w:val="00836880"/>
    <w:rsid w:val="008416E9"/>
    <w:rsid w:val="0084256B"/>
    <w:rsid w:val="0084458A"/>
    <w:rsid w:val="0084510A"/>
    <w:rsid w:val="008456C3"/>
    <w:rsid w:val="008456F0"/>
    <w:rsid w:val="00846180"/>
    <w:rsid w:val="00850B0F"/>
    <w:rsid w:val="00850C57"/>
    <w:rsid w:val="00852138"/>
    <w:rsid w:val="008544F1"/>
    <w:rsid w:val="00860C4F"/>
    <w:rsid w:val="0086242C"/>
    <w:rsid w:val="0086745D"/>
    <w:rsid w:val="00870627"/>
    <w:rsid w:val="0087258F"/>
    <w:rsid w:val="008741B0"/>
    <w:rsid w:val="00874A12"/>
    <w:rsid w:val="0087502B"/>
    <w:rsid w:val="008768E4"/>
    <w:rsid w:val="00876E35"/>
    <w:rsid w:val="008801BD"/>
    <w:rsid w:val="00882681"/>
    <w:rsid w:val="00883D56"/>
    <w:rsid w:val="008874D7"/>
    <w:rsid w:val="0089097B"/>
    <w:rsid w:val="00890F11"/>
    <w:rsid w:val="00895D06"/>
    <w:rsid w:val="008977DF"/>
    <w:rsid w:val="008A0749"/>
    <w:rsid w:val="008A27E0"/>
    <w:rsid w:val="008A2D52"/>
    <w:rsid w:val="008A488B"/>
    <w:rsid w:val="008A639E"/>
    <w:rsid w:val="008A6FDE"/>
    <w:rsid w:val="008B037F"/>
    <w:rsid w:val="008B127C"/>
    <w:rsid w:val="008B4A28"/>
    <w:rsid w:val="008B5321"/>
    <w:rsid w:val="008B64F1"/>
    <w:rsid w:val="008B6B5C"/>
    <w:rsid w:val="008C01BA"/>
    <w:rsid w:val="008C3DD2"/>
    <w:rsid w:val="008C48BE"/>
    <w:rsid w:val="008C581F"/>
    <w:rsid w:val="008C5ECA"/>
    <w:rsid w:val="008C6E9B"/>
    <w:rsid w:val="008C77CC"/>
    <w:rsid w:val="008D060B"/>
    <w:rsid w:val="008D10B5"/>
    <w:rsid w:val="008D2002"/>
    <w:rsid w:val="008D26BB"/>
    <w:rsid w:val="008D4AC2"/>
    <w:rsid w:val="008D584C"/>
    <w:rsid w:val="008D771F"/>
    <w:rsid w:val="008E1920"/>
    <w:rsid w:val="008E2F5B"/>
    <w:rsid w:val="008E49AD"/>
    <w:rsid w:val="008E73FD"/>
    <w:rsid w:val="008E7A89"/>
    <w:rsid w:val="008E7C73"/>
    <w:rsid w:val="008F04A1"/>
    <w:rsid w:val="008F1449"/>
    <w:rsid w:val="008F1992"/>
    <w:rsid w:val="008F2D6E"/>
    <w:rsid w:val="008F3292"/>
    <w:rsid w:val="008F498B"/>
    <w:rsid w:val="008F6D1F"/>
    <w:rsid w:val="008F6E5F"/>
    <w:rsid w:val="008F736F"/>
    <w:rsid w:val="00900C8C"/>
    <w:rsid w:val="00902CCE"/>
    <w:rsid w:val="009032F3"/>
    <w:rsid w:val="00904E81"/>
    <w:rsid w:val="00904EA3"/>
    <w:rsid w:val="00906C65"/>
    <w:rsid w:val="00907215"/>
    <w:rsid w:val="00907F14"/>
    <w:rsid w:val="00910235"/>
    <w:rsid w:val="00910A41"/>
    <w:rsid w:val="0091632D"/>
    <w:rsid w:val="00916CD1"/>
    <w:rsid w:val="00916F07"/>
    <w:rsid w:val="0092000E"/>
    <w:rsid w:val="009211F6"/>
    <w:rsid w:val="00921597"/>
    <w:rsid w:val="00921F2E"/>
    <w:rsid w:val="009261EA"/>
    <w:rsid w:val="00926720"/>
    <w:rsid w:val="00926DEC"/>
    <w:rsid w:val="00927B0D"/>
    <w:rsid w:val="009332E1"/>
    <w:rsid w:val="0093375E"/>
    <w:rsid w:val="009346E2"/>
    <w:rsid w:val="0093497A"/>
    <w:rsid w:val="00934BFB"/>
    <w:rsid w:val="00935163"/>
    <w:rsid w:val="0093669E"/>
    <w:rsid w:val="00937959"/>
    <w:rsid w:val="0094147B"/>
    <w:rsid w:val="00943AC0"/>
    <w:rsid w:val="00945857"/>
    <w:rsid w:val="009538B4"/>
    <w:rsid w:val="009606AB"/>
    <w:rsid w:val="0096072D"/>
    <w:rsid w:val="009615F9"/>
    <w:rsid w:val="0096264B"/>
    <w:rsid w:val="009630E7"/>
    <w:rsid w:val="009636C4"/>
    <w:rsid w:val="009657C5"/>
    <w:rsid w:val="00966C60"/>
    <w:rsid w:val="00967CDA"/>
    <w:rsid w:val="00970367"/>
    <w:rsid w:val="00972CD5"/>
    <w:rsid w:val="0097445A"/>
    <w:rsid w:val="00975610"/>
    <w:rsid w:val="00975CC0"/>
    <w:rsid w:val="00976663"/>
    <w:rsid w:val="00981BAC"/>
    <w:rsid w:val="009826C0"/>
    <w:rsid w:val="0098383B"/>
    <w:rsid w:val="0098558D"/>
    <w:rsid w:val="00987429"/>
    <w:rsid w:val="00993450"/>
    <w:rsid w:val="00996A3B"/>
    <w:rsid w:val="00996CE1"/>
    <w:rsid w:val="009A0473"/>
    <w:rsid w:val="009A1F36"/>
    <w:rsid w:val="009A25B3"/>
    <w:rsid w:val="009A26BF"/>
    <w:rsid w:val="009A47CE"/>
    <w:rsid w:val="009A485D"/>
    <w:rsid w:val="009A51AA"/>
    <w:rsid w:val="009A6730"/>
    <w:rsid w:val="009B02DC"/>
    <w:rsid w:val="009B2980"/>
    <w:rsid w:val="009C1504"/>
    <w:rsid w:val="009C18C5"/>
    <w:rsid w:val="009C25C9"/>
    <w:rsid w:val="009C29BF"/>
    <w:rsid w:val="009C3689"/>
    <w:rsid w:val="009C4610"/>
    <w:rsid w:val="009C5E7F"/>
    <w:rsid w:val="009C746F"/>
    <w:rsid w:val="009C7E3C"/>
    <w:rsid w:val="009D0133"/>
    <w:rsid w:val="009D1402"/>
    <w:rsid w:val="009D29F3"/>
    <w:rsid w:val="009D3054"/>
    <w:rsid w:val="009E14F9"/>
    <w:rsid w:val="009E1638"/>
    <w:rsid w:val="009E1910"/>
    <w:rsid w:val="009E2B0B"/>
    <w:rsid w:val="009E4C7E"/>
    <w:rsid w:val="009F105C"/>
    <w:rsid w:val="009F26CD"/>
    <w:rsid w:val="009F68C6"/>
    <w:rsid w:val="009F7024"/>
    <w:rsid w:val="00A00532"/>
    <w:rsid w:val="00A00BE1"/>
    <w:rsid w:val="00A02A25"/>
    <w:rsid w:val="00A065B3"/>
    <w:rsid w:val="00A06952"/>
    <w:rsid w:val="00A06C53"/>
    <w:rsid w:val="00A11201"/>
    <w:rsid w:val="00A133E2"/>
    <w:rsid w:val="00A1369A"/>
    <w:rsid w:val="00A13A2E"/>
    <w:rsid w:val="00A1488D"/>
    <w:rsid w:val="00A14AAB"/>
    <w:rsid w:val="00A14D98"/>
    <w:rsid w:val="00A17836"/>
    <w:rsid w:val="00A17962"/>
    <w:rsid w:val="00A21DFC"/>
    <w:rsid w:val="00A21E72"/>
    <w:rsid w:val="00A221A8"/>
    <w:rsid w:val="00A2278D"/>
    <w:rsid w:val="00A22E8A"/>
    <w:rsid w:val="00A23544"/>
    <w:rsid w:val="00A237CF"/>
    <w:rsid w:val="00A246EE"/>
    <w:rsid w:val="00A316BE"/>
    <w:rsid w:val="00A31CD7"/>
    <w:rsid w:val="00A31EB9"/>
    <w:rsid w:val="00A32320"/>
    <w:rsid w:val="00A32957"/>
    <w:rsid w:val="00A4133F"/>
    <w:rsid w:val="00A41AA4"/>
    <w:rsid w:val="00A41AAB"/>
    <w:rsid w:val="00A42F11"/>
    <w:rsid w:val="00A431A8"/>
    <w:rsid w:val="00A449E7"/>
    <w:rsid w:val="00A4546A"/>
    <w:rsid w:val="00A4554F"/>
    <w:rsid w:val="00A46D20"/>
    <w:rsid w:val="00A47ED6"/>
    <w:rsid w:val="00A55EA3"/>
    <w:rsid w:val="00A57992"/>
    <w:rsid w:val="00A622FD"/>
    <w:rsid w:val="00A62CE2"/>
    <w:rsid w:val="00A62DAB"/>
    <w:rsid w:val="00A63882"/>
    <w:rsid w:val="00A63B72"/>
    <w:rsid w:val="00A6494E"/>
    <w:rsid w:val="00A65242"/>
    <w:rsid w:val="00A72559"/>
    <w:rsid w:val="00A731AD"/>
    <w:rsid w:val="00A73D77"/>
    <w:rsid w:val="00A746EE"/>
    <w:rsid w:val="00A762C7"/>
    <w:rsid w:val="00A8166E"/>
    <w:rsid w:val="00A82897"/>
    <w:rsid w:val="00A8628C"/>
    <w:rsid w:val="00A8768E"/>
    <w:rsid w:val="00A90CC9"/>
    <w:rsid w:val="00A91843"/>
    <w:rsid w:val="00A9413E"/>
    <w:rsid w:val="00A941CC"/>
    <w:rsid w:val="00A94A23"/>
    <w:rsid w:val="00A95090"/>
    <w:rsid w:val="00A957EA"/>
    <w:rsid w:val="00A9588F"/>
    <w:rsid w:val="00A95BC0"/>
    <w:rsid w:val="00A96859"/>
    <w:rsid w:val="00A9692F"/>
    <w:rsid w:val="00A969EC"/>
    <w:rsid w:val="00A971EE"/>
    <w:rsid w:val="00A97A70"/>
    <w:rsid w:val="00AA05AC"/>
    <w:rsid w:val="00AA0E35"/>
    <w:rsid w:val="00AA152D"/>
    <w:rsid w:val="00AA2C50"/>
    <w:rsid w:val="00AA670F"/>
    <w:rsid w:val="00AA7F46"/>
    <w:rsid w:val="00AB2877"/>
    <w:rsid w:val="00AB3B8E"/>
    <w:rsid w:val="00AB3ED7"/>
    <w:rsid w:val="00AB5A35"/>
    <w:rsid w:val="00AB6EE9"/>
    <w:rsid w:val="00AB78FF"/>
    <w:rsid w:val="00AB7AF0"/>
    <w:rsid w:val="00AC06BE"/>
    <w:rsid w:val="00AC0C57"/>
    <w:rsid w:val="00AC1303"/>
    <w:rsid w:val="00AC1BC6"/>
    <w:rsid w:val="00AC31B1"/>
    <w:rsid w:val="00AC3E0B"/>
    <w:rsid w:val="00AC60BD"/>
    <w:rsid w:val="00AC6134"/>
    <w:rsid w:val="00AC708F"/>
    <w:rsid w:val="00AD2252"/>
    <w:rsid w:val="00AD3492"/>
    <w:rsid w:val="00AD37B6"/>
    <w:rsid w:val="00AD3A9B"/>
    <w:rsid w:val="00AD3FFD"/>
    <w:rsid w:val="00AD5788"/>
    <w:rsid w:val="00AD7B41"/>
    <w:rsid w:val="00AE0301"/>
    <w:rsid w:val="00AE079F"/>
    <w:rsid w:val="00AE2A1E"/>
    <w:rsid w:val="00AE31A1"/>
    <w:rsid w:val="00AE3406"/>
    <w:rsid w:val="00AE64A5"/>
    <w:rsid w:val="00AE7116"/>
    <w:rsid w:val="00AF276A"/>
    <w:rsid w:val="00AF27E9"/>
    <w:rsid w:val="00AF2D4D"/>
    <w:rsid w:val="00AF425D"/>
    <w:rsid w:val="00AF6156"/>
    <w:rsid w:val="00AF6D55"/>
    <w:rsid w:val="00AF6F63"/>
    <w:rsid w:val="00AF7854"/>
    <w:rsid w:val="00B0136C"/>
    <w:rsid w:val="00B02626"/>
    <w:rsid w:val="00B03991"/>
    <w:rsid w:val="00B03F2E"/>
    <w:rsid w:val="00B061EC"/>
    <w:rsid w:val="00B07411"/>
    <w:rsid w:val="00B108AD"/>
    <w:rsid w:val="00B10F7B"/>
    <w:rsid w:val="00B123E7"/>
    <w:rsid w:val="00B12D74"/>
    <w:rsid w:val="00B13BE6"/>
    <w:rsid w:val="00B1455B"/>
    <w:rsid w:val="00B170F6"/>
    <w:rsid w:val="00B246DA"/>
    <w:rsid w:val="00B271CE"/>
    <w:rsid w:val="00B279E9"/>
    <w:rsid w:val="00B27BCE"/>
    <w:rsid w:val="00B30F09"/>
    <w:rsid w:val="00B32337"/>
    <w:rsid w:val="00B34C6D"/>
    <w:rsid w:val="00B34ED2"/>
    <w:rsid w:val="00B361A4"/>
    <w:rsid w:val="00B366B7"/>
    <w:rsid w:val="00B36824"/>
    <w:rsid w:val="00B37B18"/>
    <w:rsid w:val="00B40921"/>
    <w:rsid w:val="00B41F67"/>
    <w:rsid w:val="00B441A5"/>
    <w:rsid w:val="00B44BFC"/>
    <w:rsid w:val="00B457D9"/>
    <w:rsid w:val="00B45A67"/>
    <w:rsid w:val="00B47139"/>
    <w:rsid w:val="00B472C4"/>
    <w:rsid w:val="00B473D2"/>
    <w:rsid w:val="00B50576"/>
    <w:rsid w:val="00B531F0"/>
    <w:rsid w:val="00B53E43"/>
    <w:rsid w:val="00B55616"/>
    <w:rsid w:val="00B564F4"/>
    <w:rsid w:val="00B56745"/>
    <w:rsid w:val="00B610B1"/>
    <w:rsid w:val="00B62203"/>
    <w:rsid w:val="00B63288"/>
    <w:rsid w:val="00B6353F"/>
    <w:rsid w:val="00B6491F"/>
    <w:rsid w:val="00B70917"/>
    <w:rsid w:val="00B70C74"/>
    <w:rsid w:val="00B70DF6"/>
    <w:rsid w:val="00B76898"/>
    <w:rsid w:val="00B76B93"/>
    <w:rsid w:val="00B77EFD"/>
    <w:rsid w:val="00B807A2"/>
    <w:rsid w:val="00B80ACE"/>
    <w:rsid w:val="00B813E7"/>
    <w:rsid w:val="00B821E9"/>
    <w:rsid w:val="00B831FA"/>
    <w:rsid w:val="00B8703C"/>
    <w:rsid w:val="00B92306"/>
    <w:rsid w:val="00B95A59"/>
    <w:rsid w:val="00B95BC9"/>
    <w:rsid w:val="00B97148"/>
    <w:rsid w:val="00B97180"/>
    <w:rsid w:val="00B9718A"/>
    <w:rsid w:val="00B974CA"/>
    <w:rsid w:val="00B97665"/>
    <w:rsid w:val="00BA0C6A"/>
    <w:rsid w:val="00BA105C"/>
    <w:rsid w:val="00BA21DB"/>
    <w:rsid w:val="00BA3962"/>
    <w:rsid w:val="00BA78E9"/>
    <w:rsid w:val="00BA7D02"/>
    <w:rsid w:val="00BB0630"/>
    <w:rsid w:val="00BB1482"/>
    <w:rsid w:val="00BB2DAF"/>
    <w:rsid w:val="00BB2F1F"/>
    <w:rsid w:val="00BB7DAA"/>
    <w:rsid w:val="00BC0547"/>
    <w:rsid w:val="00BC243A"/>
    <w:rsid w:val="00BC3194"/>
    <w:rsid w:val="00BC3A88"/>
    <w:rsid w:val="00BC456C"/>
    <w:rsid w:val="00BC4A18"/>
    <w:rsid w:val="00BC5151"/>
    <w:rsid w:val="00BD1DE5"/>
    <w:rsid w:val="00BD42D1"/>
    <w:rsid w:val="00BD4C26"/>
    <w:rsid w:val="00BD5869"/>
    <w:rsid w:val="00BD5A8D"/>
    <w:rsid w:val="00BD6CC1"/>
    <w:rsid w:val="00BE1381"/>
    <w:rsid w:val="00BE3497"/>
    <w:rsid w:val="00BE3F38"/>
    <w:rsid w:val="00BE4AFF"/>
    <w:rsid w:val="00BE5ABF"/>
    <w:rsid w:val="00BE60CF"/>
    <w:rsid w:val="00BE64CF"/>
    <w:rsid w:val="00BE6800"/>
    <w:rsid w:val="00BE6BE0"/>
    <w:rsid w:val="00BE6F3C"/>
    <w:rsid w:val="00BE6FAF"/>
    <w:rsid w:val="00BF022D"/>
    <w:rsid w:val="00BF11A4"/>
    <w:rsid w:val="00BF1EDB"/>
    <w:rsid w:val="00BF3C34"/>
    <w:rsid w:val="00BF3F66"/>
    <w:rsid w:val="00BF5768"/>
    <w:rsid w:val="00BF7D36"/>
    <w:rsid w:val="00BF7DE7"/>
    <w:rsid w:val="00C019F3"/>
    <w:rsid w:val="00C02845"/>
    <w:rsid w:val="00C03453"/>
    <w:rsid w:val="00C044C3"/>
    <w:rsid w:val="00C1147F"/>
    <w:rsid w:val="00C117C5"/>
    <w:rsid w:val="00C12604"/>
    <w:rsid w:val="00C13BB9"/>
    <w:rsid w:val="00C13C7A"/>
    <w:rsid w:val="00C14177"/>
    <w:rsid w:val="00C17BCC"/>
    <w:rsid w:val="00C20B2E"/>
    <w:rsid w:val="00C21290"/>
    <w:rsid w:val="00C21436"/>
    <w:rsid w:val="00C239D1"/>
    <w:rsid w:val="00C23C41"/>
    <w:rsid w:val="00C23CAE"/>
    <w:rsid w:val="00C3009E"/>
    <w:rsid w:val="00C31ECE"/>
    <w:rsid w:val="00C363FA"/>
    <w:rsid w:val="00C37113"/>
    <w:rsid w:val="00C43CF1"/>
    <w:rsid w:val="00C440C3"/>
    <w:rsid w:val="00C443AD"/>
    <w:rsid w:val="00C4632D"/>
    <w:rsid w:val="00C46471"/>
    <w:rsid w:val="00C467C9"/>
    <w:rsid w:val="00C5442E"/>
    <w:rsid w:val="00C5743A"/>
    <w:rsid w:val="00C5789D"/>
    <w:rsid w:val="00C669D5"/>
    <w:rsid w:val="00C66F59"/>
    <w:rsid w:val="00C730DF"/>
    <w:rsid w:val="00C748CB"/>
    <w:rsid w:val="00C7769B"/>
    <w:rsid w:val="00C807C3"/>
    <w:rsid w:val="00C82AFF"/>
    <w:rsid w:val="00C8343B"/>
    <w:rsid w:val="00C853F8"/>
    <w:rsid w:val="00C859C0"/>
    <w:rsid w:val="00C861DB"/>
    <w:rsid w:val="00C86735"/>
    <w:rsid w:val="00C87218"/>
    <w:rsid w:val="00C875FA"/>
    <w:rsid w:val="00C91C02"/>
    <w:rsid w:val="00C92386"/>
    <w:rsid w:val="00C92934"/>
    <w:rsid w:val="00C93B61"/>
    <w:rsid w:val="00C93BE8"/>
    <w:rsid w:val="00C96675"/>
    <w:rsid w:val="00C978A7"/>
    <w:rsid w:val="00C978D1"/>
    <w:rsid w:val="00CA4855"/>
    <w:rsid w:val="00CA4973"/>
    <w:rsid w:val="00CA66AA"/>
    <w:rsid w:val="00CA6F2C"/>
    <w:rsid w:val="00CA7DD5"/>
    <w:rsid w:val="00CB3272"/>
    <w:rsid w:val="00CB426E"/>
    <w:rsid w:val="00CB46A9"/>
    <w:rsid w:val="00CB5E43"/>
    <w:rsid w:val="00CB6DD6"/>
    <w:rsid w:val="00CB7E6B"/>
    <w:rsid w:val="00CC36FB"/>
    <w:rsid w:val="00CC4662"/>
    <w:rsid w:val="00CC531D"/>
    <w:rsid w:val="00CC7F6C"/>
    <w:rsid w:val="00CD1EB0"/>
    <w:rsid w:val="00CD23C5"/>
    <w:rsid w:val="00CD3C0D"/>
    <w:rsid w:val="00CD42C1"/>
    <w:rsid w:val="00CD595D"/>
    <w:rsid w:val="00CD5ED3"/>
    <w:rsid w:val="00CD64EE"/>
    <w:rsid w:val="00CD73AC"/>
    <w:rsid w:val="00CD797F"/>
    <w:rsid w:val="00CE16DB"/>
    <w:rsid w:val="00CE20B1"/>
    <w:rsid w:val="00CE66B3"/>
    <w:rsid w:val="00CE6F68"/>
    <w:rsid w:val="00CE71B5"/>
    <w:rsid w:val="00CE7731"/>
    <w:rsid w:val="00CF12A8"/>
    <w:rsid w:val="00CF28AC"/>
    <w:rsid w:val="00CF367B"/>
    <w:rsid w:val="00CF3D93"/>
    <w:rsid w:val="00CF4FB8"/>
    <w:rsid w:val="00D002E8"/>
    <w:rsid w:val="00D002EC"/>
    <w:rsid w:val="00D007B6"/>
    <w:rsid w:val="00D0162F"/>
    <w:rsid w:val="00D01E22"/>
    <w:rsid w:val="00D063A3"/>
    <w:rsid w:val="00D07ADD"/>
    <w:rsid w:val="00D10955"/>
    <w:rsid w:val="00D128E6"/>
    <w:rsid w:val="00D1369C"/>
    <w:rsid w:val="00D13D1A"/>
    <w:rsid w:val="00D14959"/>
    <w:rsid w:val="00D14DC2"/>
    <w:rsid w:val="00D15AD9"/>
    <w:rsid w:val="00D170C0"/>
    <w:rsid w:val="00D21DC9"/>
    <w:rsid w:val="00D22FED"/>
    <w:rsid w:val="00D235D7"/>
    <w:rsid w:val="00D239E7"/>
    <w:rsid w:val="00D3517C"/>
    <w:rsid w:val="00D355C8"/>
    <w:rsid w:val="00D37283"/>
    <w:rsid w:val="00D377C9"/>
    <w:rsid w:val="00D41D82"/>
    <w:rsid w:val="00D44BC2"/>
    <w:rsid w:val="00D4638F"/>
    <w:rsid w:val="00D46AEB"/>
    <w:rsid w:val="00D47F51"/>
    <w:rsid w:val="00D518C2"/>
    <w:rsid w:val="00D53876"/>
    <w:rsid w:val="00D53C87"/>
    <w:rsid w:val="00D579DD"/>
    <w:rsid w:val="00D57DEB"/>
    <w:rsid w:val="00D60376"/>
    <w:rsid w:val="00D60D8D"/>
    <w:rsid w:val="00D61CE3"/>
    <w:rsid w:val="00D6517A"/>
    <w:rsid w:val="00D6558F"/>
    <w:rsid w:val="00D66887"/>
    <w:rsid w:val="00D66980"/>
    <w:rsid w:val="00D726FC"/>
    <w:rsid w:val="00D72B1B"/>
    <w:rsid w:val="00D72DCA"/>
    <w:rsid w:val="00D7329F"/>
    <w:rsid w:val="00D74292"/>
    <w:rsid w:val="00D74C69"/>
    <w:rsid w:val="00D76D71"/>
    <w:rsid w:val="00D82009"/>
    <w:rsid w:val="00D8410A"/>
    <w:rsid w:val="00D90135"/>
    <w:rsid w:val="00D911F7"/>
    <w:rsid w:val="00D91379"/>
    <w:rsid w:val="00D920C4"/>
    <w:rsid w:val="00D95002"/>
    <w:rsid w:val="00D954B6"/>
    <w:rsid w:val="00D96C89"/>
    <w:rsid w:val="00D973C9"/>
    <w:rsid w:val="00DA0912"/>
    <w:rsid w:val="00DA39F5"/>
    <w:rsid w:val="00DA3F2A"/>
    <w:rsid w:val="00DA416F"/>
    <w:rsid w:val="00DA42DE"/>
    <w:rsid w:val="00DB0238"/>
    <w:rsid w:val="00DB09E9"/>
    <w:rsid w:val="00DB1062"/>
    <w:rsid w:val="00DB28A7"/>
    <w:rsid w:val="00DB3838"/>
    <w:rsid w:val="00DB5972"/>
    <w:rsid w:val="00DB5E8F"/>
    <w:rsid w:val="00DB6C7E"/>
    <w:rsid w:val="00DB7319"/>
    <w:rsid w:val="00DB741C"/>
    <w:rsid w:val="00DB7957"/>
    <w:rsid w:val="00DC1213"/>
    <w:rsid w:val="00DC1BF3"/>
    <w:rsid w:val="00DC3B2A"/>
    <w:rsid w:val="00DC551D"/>
    <w:rsid w:val="00DC5C60"/>
    <w:rsid w:val="00DC61C4"/>
    <w:rsid w:val="00DC6B24"/>
    <w:rsid w:val="00DC715A"/>
    <w:rsid w:val="00DD0B67"/>
    <w:rsid w:val="00DD27C8"/>
    <w:rsid w:val="00DD336D"/>
    <w:rsid w:val="00DD41CA"/>
    <w:rsid w:val="00DD5386"/>
    <w:rsid w:val="00DD7F0D"/>
    <w:rsid w:val="00DE0A8A"/>
    <w:rsid w:val="00DE5413"/>
    <w:rsid w:val="00DE7051"/>
    <w:rsid w:val="00DE7184"/>
    <w:rsid w:val="00DF1D54"/>
    <w:rsid w:val="00DF5D94"/>
    <w:rsid w:val="00DF620A"/>
    <w:rsid w:val="00E035FF"/>
    <w:rsid w:val="00E06004"/>
    <w:rsid w:val="00E075F6"/>
    <w:rsid w:val="00E07761"/>
    <w:rsid w:val="00E079CE"/>
    <w:rsid w:val="00E15734"/>
    <w:rsid w:val="00E15B6E"/>
    <w:rsid w:val="00E15FF6"/>
    <w:rsid w:val="00E17C6E"/>
    <w:rsid w:val="00E17E5A"/>
    <w:rsid w:val="00E21D67"/>
    <w:rsid w:val="00E21E7F"/>
    <w:rsid w:val="00E2206E"/>
    <w:rsid w:val="00E247CE"/>
    <w:rsid w:val="00E24F02"/>
    <w:rsid w:val="00E274A8"/>
    <w:rsid w:val="00E27F76"/>
    <w:rsid w:val="00E3300C"/>
    <w:rsid w:val="00E3391D"/>
    <w:rsid w:val="00E339CC"/>
    <w:rsid w:val="00E33E99"/>
    <w:rsid w:val="00E34AD4"/>
    <w:rsid w:val="00E35623"/>
    <w:rsid w:val="00E35FF2"/>
    <w:rsid w:val="00E362DE"/>
    <w:rsid w:val="00E372E7"/>
    <w:rsid w:val="00E3793C"/>
    <w:rsid w:val="00E379D3"/>
    <w:rsid w:val="00E407D9"/>
    <w:rsid w:val="00E50579"/>
    <w:rsid w:val="00E51586"/>
    <w:rsid w:val="00E542C3"/>
    <w:rsid w:val="00E5471F"/>
    <w:rsid w:val="00E561A9"/>
    <w:rsid w:val="00E56A5F"/>
    <w:rsid w:val="00E6142A"/>
    <w:rsid w:val="00E6273E"/>
    <w:rsid w:val="00E6433B"/>
    <w:rsid w:val="00E66A5E"/>
    <w:rsid w:val="00E67857"/>
    <w:rsid w:val="00E67C75"/>
    <w:rsid w:val="00E71567"/>
    <w:rsid w:val="00E716DB"/>
    <w:rsid w:val="00E72C08"/>
    <w:rsid w:val="00E7435E"/>
    <w:rsid w:val="00E74AE3"/>
    <w:rsid w:val="00E76A55"/>
    <w:rsid w:val="00E773F3"/>
    <w:rsid w:val="00E77C8B"/>
    <w:rsid w:val="00E80CD1"/>
    <w:rsid w:val="00E8217C"/>
    <w:rsid w:val="00E83C10"/>
    <w:rsid w:val="00E857C5"/>
    <w:rsid w:val="00E86ADF"/>
    <w:rsid w:val="00E90030"/>
    <w:rsid w:val="00E9230E"/>
    <w:rsid w:val="00E93643"/>
    <w:rsid w:val="00E957A7"/>
    <w:rsid w:val="00E95CF2"/>
    <w:rsid w:val="00E96E40"/>
    <w:rsid w:val="00EA0225"/>
    <w:rsid w:val="00EA18C6"/>
    <w:rsid w:val="00EA307B"/>
    <w:rsid w:val="00EA426A"/>
    <w:rsid w:val="00EA49D4"/>
    <w:rsid w:val="00EA6679"/>
    <w:rsid w:val="00EA6C1C"/>
    <w:rsid w:val="00EB04AA"/>
    <w:rsid w:val="00EB05F1"/>
    <w:rsid w:val="00EB29E0"/>
    <w:rsid w:val="00EB3DA1"/>
    <w:rsid w:val="00EB40C6"/>
    <w:rsid w:val="00EB60DA"/>
    <w:rsid w:val="00EB73C1"/>
    <w:rsid w:val="00EC34DE"/>
    <w:rsid w:val="00ED1658"/>
    <w:rsid w:val="00ED1F49"/>
    <w:rsid w:val="00ED1F63"/>
    <w:rsid w:val="00ED2B0D"/>
    <w:rsid w:val="00ED31D9"/>
    <w:rsid w:val="00ED33BC"/>
    <w:rsid w:val="00ED48F2"/>
    <w:rsid w:val="00ED4C78"/>
    <w:rsid w:val="00ED7307"/>
    <w:rsid w:val="00EE0496"/>
    <w:rsid w:val="00EE0BB7"/>
    <w:rsid w:val="00EE0CE4"/>
    <w:rsid w:val="00EE369F"/>
    <w:rsid w:val="00EE5380"/>
    <w:rsid w:val="00EE656B"/>
    <w:rsid w:val="00EE69CD"/>
    <w:rsid w:val="00EE6A55"/>
    <w:rsid w:val="00EE7410"/>
    <w:rsid w:val="00EE7C0A"/>
    <w:rsid w:val="00EF0511"/>
    <w:rsid w:val="00EF18B5"/>
    <w:rsid w:val="00EF61DA"/>
    <w:rsid w:val="00EF71CD"/>
    <w:rsid w:val="00F0028B"/>
    <w:rsid w:val="00F00ED5"/>
    <w:rsid w:val="00F00FE7"/>
    <w:rsid w:val="00F03EC4"/>
    <w:rsid w:val="00F04894"/>
    <w:rsid w:val="00F05A95"/>
    <w:rsid w:val="00F06B5F"/>
    <w:rsid w:val="00F06ED5"/>
    <w:rsid w:val="00F06F8B"/>
    <w:rsid w:val="00F07400"/>
    <w:rsid w:val="00F10C37"/>
    <w:rsid w:val="00F13711"/>
    <w:rsid w:val="00F13B7F"/>
    <w:rsid w:val="00F13E71"/>
    <w:rsid w:val="00F13F7C"/>
    <w:rsid w:val="00F15CBF"/>
    <w:rsid w:val="00F15DA6"/>
    <w:rsid w:val="00F1792E"/>
    <w:rsid w:val="00F2070D"/>
    <w:rsid w:val="00F2298C"/>
    <w:rsid w:val="00F2318A"/>
    <w:rsid w:val="00F24C1D"/>
    <w:rsid w:val="00F25846"/>
    <w:rsid w:val="00F26579"/>
    <w:rsid w:val="00F307B9"/>
    <w:rsid w:val="00F30B07"/>
    <w:rsid w:val="00F31DC6"/>
    <w:rsid w:val="00F321E4"/>
    <w:rsid w:val="00F32553"/>
    <w:rsid w:val="00F32E78"/>
    <w:rsid w:val="00F357A8"/>
    <w:rsid w:val="00F360FE"/>
    <w:rsid w:val="00F40FA6"/>
    <w:rsid w:val="00F42718"/>
    <w:rsid w:val="00F45740"/>
    <w:rsid w:val="00F46DC9"/>
    <w:rsid w:val="00F47C20"/>
    <w:rsid w:val="00F5146F"/>
    <w:rsid w:val="00F5320E"/>
    <w:rsid w:val="00F5375F"/>
    <w:rsid w:val="00F54ABD"/>
    <w:rsid w:val="00F5719B"/>
    <w:rsid w:val="00F579D1"/>
    <w:rsid w:val="00F652BC"/>
    <w:rsid w:val="00F65FCB"/>
    <w:rsid w:val="00F67B62"/>
    <w:rsid w:val="00F70AD1"/>
    <w:rsid w:val="00F73FD2"/>
    <w:rsid w:val="00F74568"/>
    <w:rsid w:val="00F74635"/>
    <w:rsid w:val="00F75061"/>
    <w:rsid w:val="00F7661E"/>
    <w:rsid w:val="00F76D8F"/>
    <w:rsid w:val="00F77ABF"/>
    <w:rsid w:val="00F80328"/>
    <w:rsid w:val="00F84BF1"/>
    <w:rsid w:val="00F85AD7"/>
    <w:rsid w:val="00F9095C"/>
    <w:rsid w:val="00F90E09"/>
    <w:rsid w:val="00F9213A"/>
    <w:rsid w:val="00F92902"/>
    <w:rsid w:val="00F945EC"/>
    <w:rsid w:val="00F950DC"/>
    <w:rsid w:val="00F95B59"/>
    <w:rsid w:val="00F95FE4"/>
    <w:rsid w:val="00FA0C1C"/>
    <w:rsid w:val="00FA0E47"/>
    <w:rsid w:val="00FA1084"/>
    <w:rsid w:val="00FA186E"/>
    <w:rsid w:val="00FA38BB"/>
    <w:rsid w:val="00FA5F4C"/>
    <w:rsid w:val="00FA6214"/>
    <w:rsid w:val="00FB0E7F"/>
    <w:rsid w:val="00FB1381"/>
    <w:rsid w:val="00FB2C3C"/>
    <w:rsid w:val="00FB378A"/>
    <w:rsid w:val="00FB4A20"/>
    <w:rsid w:val="00FB4E13"/>
    <w:rsid w:val="00FB51B8"/>
    <w:rsid w:val="00FB5271"/>
    <w:rsid w:val="00FB6E89"/>
    <w:rsid w:val="00FB7F64"/>
    <w:rsid w:val="00FC034D"/>
    <w:rsid w:val="00FC03C7"/>
    <w:rsid w:val="00FC3E77"/>
    <w:rsid w:val="00FC44AA"/>
    <w:rsid w:val="00FC54DD"/>
    <w:rsid w:val="00FD0DDB"/>
    <w:rsid w:val="00FD1440"/>
    <w:rsid w:val="00FD3886"/>
    <w:rsid w:val="00FD3CCF"/>
    <w:rsid w:val="00FD3DC7"/>
    <w:rsid w:val="00FD3F67"/>
    <w:rsid w:val="00FD40BC"/>
    <w:rsid w:val="00FE03BE"/>
    <w:rsid w:val="00FE22C8"/>
    <w:rsid w:val="00FE2741"/>
    <w:rsid w:val="00FE312C"/>
    <w:rsid w:val="00FE473A"/>
    <w:rsid w:val="00FE4DD9"/>
    <w:rsid w:val="00FE5A96"/>
    <w:rsid w:val="00FE5C8A"/>
    <w:rsid w:val="00FE60A0"/>
    <w:rsid w:val="00FE6F08"/>
    <w:rsid w:val="00FE713B"/>
    <w:rsid w:val="020AB0CD"/>
    <w:rsid w:val="021DD5F5"/>
    <w:rsid w:val="03A6812E"/>
    <w:rsid w:val="0494D5BC"/>
    <w:rsid w:val="06EC86A8"/>
    <w:rsid w:val="074A54E5"/>
    <w:rsid w:val="0757BBB3"/>
    <w:rsid w:val="0C1DC608"/>
    <w:rsid w:val="0CF07318"/>
    <w:rsid w:val="10766945"/>
    <w:rsid w:val="107F4BB1"/>
    <w:rsid w:val="12FC1FA6"/>
    <w:rsid w:val="1450E7D9"/>
    <w:rsid w:val="175BDB1D"/>
    <w:rsid w:val="188A9FD3"/>
    <w:rsid w:val="18A91CE6"/>
    <w:rsid w:val="19D2F22F"/>
    <w:rsid w:val="1C5E8974"/>
    <w:rsid w:val="1CF55C0B"/>
    <w:rsid w:val="2070C4CC"/>
    <w:rsid w:val="25681094"/>
    <w:rsid w:val="2A212A43"/>
    <w:rsid w:val="322AA67D"/>
    <w:rsid w:val="38D2782B"/>
    <w:rsid w:val="3A986A24"/>
    <w:rsid w:val="3BD188C3"/>
    <w:rsid w:val="4029C2DF"/>
    <w:rsid w:val="423CD8D0"/>
    <w:rsid w:val="42E96F56"/>
    <w:rsid w:val="455F42AC"/>
    <w:rsid w:val="4A1F961C"/>
    <w:rsid w:val="4C750401"/>
    <w:rsid w:val="4E8FBAC7"/>
    <w:rsid w:val="4EA72F1E"/>
    <w:rsid w:val="4EB44F71"/>
    <w:rsid w:val="4F2430E2"/>
    <w:rsid w:val="4FFBCE47"/>
    <w:rsid w:val="552CD27E"/>
    <w:rsid w:val="5719245D"/>
    <w:rsid w:val="5987AA37"/>
    <w:rsid w:val="5A73005E"/>
    <w:rsid w:val="5CBA6D51"/>
    <w:rsid w:val="5E743B4E"/>
    <w:rsid w:val="5E995A2D"/>
    <w:rsid w:val="5F46C5E6"/>
    <w:rsid w:val="62DB226C"/>
    <w:rsid w:val="63743275"/>
    <w:rsid w:val="64D241FB"/>
    <w:rsid w:val="65885434"/>
    <w:rsid w:val="66DD9A01"/>
    <w:rsid w:val="689ED278"/>
    <w:rsid w:val="6A4DC08C"/>
    <w:rsid w:val="6AA6BF71"/>
    <w:rsid w:val="6CC57657"/>
    <w:rsid w:val="6F291F35"/>
    <w:rsid w:val="6FE0C10C"/>
    <w:rsid w:val="7118B413"/>
    <w:rsid w:val="717C916D"/>
    <w:rsid w:val="725580FC"/>
    <w:rsid w:val="74253665"/>
    <w:rsid w:val="751D46C2"/>
    <w:rsid w:val="757F385C"/>
    <w:rsid w:val="75E48C80"/>
    <w:rsid w:val="76843626"/>
    <w:rsid w:val="76A71D57"/>
    <w:rsid w:val="78EE8A4A"/>
    <w:rsid w:val="79BBD6E8"/>
    <w:rsid w:val="7B06FC10"/>
    <w:rsid w:val="7BEE79E0"/>
    <w:rsid w:val="7F261AA2"/>
    <w:rsid w:val="7F69E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10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2C3C"/>
    <w:rPr>
      <w:rFonts w:eastAsiaTheme="minorEastAsia"/>
      <w:sz w:val="22"/>
      <w:szCs w:val="22"/>
      <w:lang w:val="en-US" w:eastAsia="zh-CN"/>
    </w:rPr>
  </w:style>
  <w:style w:type="character" w:customStyle="1" w:styleId="NoSpacingChar">
    <w:name w:val="No Spacing Char"/>
    <w:basedOn w:val="DefaultParagraphFont"/>
    <w:link w:val="NoSpacing"/>
    <w:uiPriority w:val="1"/>
    <w:rsid w:val="00FB2C3C"/>
    <w:rPr>
      <w:rFonts w:eastAsiaTheme="minorEastAsia"/>
      <w:sz w:val="22"/>
      <w:szCs w:val="22"/>
      <w:lang w:val="en-US" w:eastAsia="zh-CN"/>
    </w:rPr>
  </w:style>
  <w:style w:type="paragraph" w:customStyle="1" w:styleId="Subheading">
    <w:name w:val="Subheading"/>
    <w:basedOn w:val="Normal"/>
    <w:link w:val="SubheadingChar"/>
    <w:qFormat/>
    <w:rsid w:val="00FB2C3C"/>
    <w:pPr>
      <w:tabs>
        <w:tab w:val="left" w:pos="7780"/>
      </w:tabs>
    </w:pPr>
    <w:rPr>
      <w:rFonts w:ascii="Oswald Light" w:hAnsi="Oswald Light" w:cs="Times New Roman (Body CS)"/>
      <w:color w:val="B7432A"/>
      <w:spacing w:val="30"/>
      <w:sz w:val="22"/>
      <w:szCs w:val="22"/>
    </w:rPr>
  </w:style>
  <w:style w:type="character" w:customStyle="1" w:styleId="MajorHeading">
    <w:name w:val="Major Heading"/>
    <w:basedOn w:val="DefaultParagraphFont"/>
    <w:uiPriority w:val="1"/>
    <w:qFormat/>
    <w:rsid w:val="00FB2C3C"/>
    <w:rPr>
      <w:rFonts w:ascii="Oswald" w:hAnsi="Oswald" w:cs="Times New Roman (Body CS)"/>
      <w:b/>
      <w:color w:val="0E1428"/>
      <w:spacing w:val="120"/>
      <w:sz w:val="52"/>
      <w:szCs w:val="52"/>
    </w:rPr>
  </w:style>
  <w:style w:type="character" w:customStyle="1" w:styleId="Heading">
    <w:name w:val="Heading"/>
    <w:basedOn w:val="DefaultParagraphFont"/>
    <w:uiPriority w:val="1"/>
    <w:qFormat/>
    <w:rsid w:val="00FB2C3C"/>
    <w:rPr>
      <w:rFonts w:ascii="Oswald Light" w:hAnsi="Oswald Light" w:cs="Times New Roman (Body CS)"/>
      <w:color w:val="0E1428"/>
      <w:sz w:val="36"/>
      <w:szCs w:val="36"/>
    </w:rPr>
  </w:style>
  <w:style w:type="paragraph" w:styleId="Header">
    <w:name w:val="header"/>
    <w:basedOn w:val="Normal"/>
    <w:link w:val="HeaderChar"/>
    <w:uiPriority w:val="99"/>
    <w:unhideWhenUsed/>
    <w:rsid w:val="00FB2C3C"/>
    <w:pPr>
      <w:tabs>
        <w:tab w:val="center" w:pos="4680"/>
        <w:tab w:val="right" w:pos="9360"/>
      </w:tabs>
    </w:pPr>
  </w:style>
  <w:style w:type="character" w:customStyle="1" w:styleId="HeaderChar">
    <w:name w:val="Header Char"/>
    <w:basedOn w:val="DefaultParagraphFont"/>
    <w:link w:val="Header"/>
    <w:uiPriority w:val="99"/>
    <w:rsid w:val="00FB2C3C"/>
  </w:style>
  <w:style w:type="paragraph" w:styleId="Footer">
    <w:name w:val="footer"/>
    <w:basedOn w:val="Normal"/>
    <w:link w:val="FooterChar"/>
    <w:uiPriority w:val="99"/>
    <w:unhideWhenUsed/>
    <w:rsid w:val="00FB2C3C"/>
    <w:pPr>
      <w:tabs>
        <w:tab w:val="center" w:pos="4680"/>
        <w:tab w:val="right" w:pos="9360"/>
      </w:tabs>
    </w:pPr>
  </w:style>
  <w:style w:type="character" w:customStyle="1" w:styleId="FooterChar">
    <w:name w:val="Footer Char"/>
    <w:basedOn w:val="DefaultParagraphFont"/>
    <w:link w:val="Footer"/>
    <w:uiPriority w:val="99"/>
    <w:rsid w:val="00FB2C3C"/>
  </w:style>
  <w:style w:type="character" w:styleId="PageNumber">
    <w:name w:val="page number"/>
    <w:basedOn w:val="DefaultParagraphFont"/>
    <w:uiPriority w:val="99"/>
    <w:semiHidden/>
    <w:unhideWhenUsed/>
    <w:rsid w:val="00FB2C3C"/>
  </w:style>
  <w:style w:type="paragraph" w:customStyle="1" w:styleId="BasicParagraph">
    <w:name w:val="[Basic Paragraph]"/>
    <w:basedOn w:val="Normal"/>
    <w:uiPriority w:val="99"/>
    <w:rsid w:val="00FB2C3C"/>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copy">
    <w:name w:val="Body copy"/>
    <w:basedOn w:val="BasicParagraph"/>
    <w:qFormat/>
    <w:rsid w:val="00FB2C3C"/>
    <w:pPr>
      <w:tabs>
        <w:tab w:val="left" w:pos="454"/>
      </w:tabs>
      <w:suppressAutoHyphens/>
    </w:pPr>
    <w:rPr>
      <w:rFonts w:ascii="Roboto Light" w:hAnsi="Roboto Light" w:cs="Roboto Light"/>
      <w:color w:val="0E1428"/>
      <w:sz w:val="18"/>
      <w:szCs w:val="18"/>
    </w:rPr>
  </w:style>
  <w:style w:type="character" w:styleId="Hyperlink">
    <w:name w:val="Hyperlink"/>
    <w:basedOn w:val="DefaultParagraphFont"/>
    <w:uiPriority w:val="99"/>
    <w:unhideWhenUsed/>
    <w:rsid w:val="00FB2C3C"/>
    <w:rPr>
      <w:color w:val="0563C1" w:themeColor="hyperlink"/>
      <w:u w:val="single"/>
    </w:rPr>
  </w:style>
  <w:style w:type="paragraph" w:customStyle="1" w:styleId="BodyCopy1">
    <w:name w:val="Body Copy 1"/>
    <w:basedOn w:val="Normal"/>
    <w:qFormat/>
    <w:rsid w:val="00FB2C3C"/>
    <w:pPr>
      <w:suppressAutoHyphens/>
      <w:autoSpaceDE w:val="0"/>
      <w:autoSpaceDN w:val="0"/>
      <w:adjustRightInd w:val="0"/>
      <w:spacing w:line="288" w:lineRule="auto"/>
      <w:textAlignment w:val="center"/>
    </w:pPr>
    <w:rPr>
      <w:rFonts w:ascii="Roboto Light" w:hAnsi="Roboto Light" w:cs="Roboto Light"/>
      <w:color w:val="00000F"/>
      <w:sz w:val="22"/>
      <w:szCs w:val="22"/>
      <w:lang w:val="en-US"/>
    </w:rPr>
  </w:style>
  <w:style w:type="table" w:customStyle="1" w:styleId="GridTable2-Accent21">
    <w:name w:val="Grid Table 2 - Accent 21"/>
    <w:basedOn w:val="TableNormal"/>
    <w:uiPriority w:val="47"/>
    <w:rsid w:val="005B64B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rsid w:val="005B64B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FE713B"/>
    <w:rPr>
      <w:sz w:val="20"/>
      <w:szCs w:val="20"/>
    </w:rPr>
  </w:style>
  <w:style w:type="character" w:customStyle="1" w:styleId="FootnoteTextChar">
    <w:name w:val="Footnote Text Char"/>
    <w:basedOn w:val="DefaultParagraphFont"/>
    <w:link w:val="FootnoteText"/>
    <w:uiPriority w:val="99"/>
    <w:rsid w:val="00FE713B"/>
    <w:rPr>
      <w:sz w:val="20"/>
      <w:szCs w:val="20"/>
    </w:rPr>
  </w:style>
  <w:style w:type="character" w:styleId="FootnoteReference">
    <w:name w:val="footnote reference"/>
    <w:aliases w:val="Footnote text,Footnotes refss,Ref,de nota al pie,ftref,16 Point,Superscript 6 Point,BVI fnr"/>
    <w:basedOn w:val="DefaultParagraphFont"/>
    <w:uiPriority w:val="99"/>
    <w:unhideWhenUsed/>
    <w:qFormat/>
    <w:rsid w:val="00FE713B"/>
    <w:rPr>
      <w:vertAlign w:val="superscript"/>
    </w:rPr>
  </w:style>
  <w:style w:type="character" w:customStyle="1" w:styleId="normaltextrun">
    <w:name w:val="normaltextrun"/>
    <w:basedOn w:val="DefaultParagraphFont"/>
    <w:rsid w:val="00FE713B"/>
  </w:style>
  <w:style w:type="character" w:customStyle="1" w:styleId="eop">
    <w:name w:val="eop"/>
    <w:basedOn w:val="DefaultParagraphFont"/>
    <w:rsid w:val="00FE713B"/>
  </w:style>
  <w:style w:type="paragraph" w:styleId="TOC1">
    <w:name w:val="toc 1"/>
    <w:basedOn w:val="Normal"/>
    <w:next w:val="Normal"/>
    <w:autoRedefine/>
    <w:uiPriority w:val="39"/>
    <w:unhideWhenUsed/>
    <w:rsid w:val="00B12D74"/>
    <w:pPr>
      <w:spacing w:after="100"/>
    </w:pPr>
  </w:style>
  <w:style w:type="paragraph" w:styleId="NormalWeb">
    <w:name w:val="Normal (Web)"/>
    <w:basedOn w:val="Normal"/>
    <w:uiPriority w:val="99"/>
    <w:semiHidden/>
    <w:unhideWhenUsed/>
    <w:rsid w:val="00610E2B"/>
    <w:pPr>
      <w:spacing w:before="100" w:beforeAutospacing="1" w:after="100" w:afterAutospacing="1"/>
    </w:pPr>
    <w:rPr>
      <w:rFonts w:ascii="Times New Roman" w:eastAsia="Times New Roman" w:hAnsi="Times New Roman" w:cs="Times New Roman"/>
      <w:lang w:eastAsia="en-AU"/>
    </w:rPr>
  </w:style>
  <w:style w:type="character" w:styleId="Emphasis">
    <w:name w:val="Emphasis"/>
    <w:basedOn w:val="DefaultParagraphFont"/>
    <w:uiPriority w:val="20"/>
    <w:qFormat/>
    <w:rsid w:val="00610E2B"/>
    <w:rPr>
      <w:i/>
      <w:iCs/>
    </w:rPr>
  </w:style>
  <w:style w:type="paragraph" w:styleId="ListParagraph">
    <w:name w:val="List Paragraph"/>
    <w:aliases w:val="Bullet1"/>
    <w:basedOn w:val="Normal"/>
    <w:link w:val="ListParagraphChar"/>
    <w:uiPriority w:val="34"/>
    <w:qFormat/>
    <w:rsid w:val="009A47CE"/>
    <w:pPr>
      <w:ind w:left="720"/>
      <w:contextualSpacing/>
    </w:pPr>
  </w:style>
  <w:style w:type="character" w:customStyle="1" w:styleId="ListParagraphChar">
    <w:name w:val="List Paragraph Char"/>
    <w:aliases w:val="Bullet1 Char"/>
    <w:basedOn w:val="DefaultParagraphFont"/>
    <w:link w:val="ListParagraph"/>
    <w:uiPriority w:val="34"/>
    <w:locked/>
    <w:rsid w:val="00AE31A1"/>
  </w:style>
  <w:style w:type="paragraph" w:customStyle="1" w:styleId="paragraph">
    <w:name w:val="paragraph"/>
    <w:basedOn w:val="Normal"/>
    <w:rsid w:val="007A6298"/>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F945EC"/>
    <w:rPr>
      <w:color w:val="605E5C"/>
      <w:shd w:val="clear" w:color="auto" w:fill="E1DFDD"/>
    </w:rPr>
  </w:style>
  <w:style w:type="character" w:styleId="CommentReference">
    <w:name w:val="annotation reference"/>
    <w:basedOn w:val="DefaultParagraphFont"/>
    <w:uiPriority w:val="99"/>
    <w:semiHidden/>
    <w:unhideWhenUsed/>
    <w:rsid w:val="005A6C3C"/>
    <w:rPr>
      <w:sz w:val="16"/>
      <w:szCs w:val="16"/>
    </w:rPr>
  </w:style>
  <w:style w:type="paragraph" w:styleId="CommentText">
    <w:name w:val="annotation text"/>
    <w:basedOn w:val="Normal"/>
    <w:link w:val="CommentTextChar"/>
    <w:uiPriority w:val="99"/>
    <w:unhideWhenUsed/>
    <w:rsid w:val="005A6C3C"/>
    <w:rPr>
      <w:sz w:val="20"/>
      <w:szCs w:val="20"/>
    </w:rPr>
  </w:style>
  <w:style w:type="character" w:customStyle="1" w:styleId="CommentTextChar">
    <w:name w:val="Comment Text Char"/>
    <w:basedOn w:val="DefaultParagraphFont"/>
    <w:link w:val="CommentText"/>
    <w:uiPriority w:val="99"/>
    <w:rsid w:val="005A6C3C"/>
    <w:rPr>
      <w:sz w:val="20"/>
      <w:szCs w:val="20"/>
    </w:rPr>
  </w:style>
  <w:style w:type="paragraph" w:styleId="CommentSubject">
    <w:name w:val="annotation subject"/>
    <w:basedOn w:val="CommentText"/>
    <w:next w:val="CommentText"/>
    <w:link w:val="CommentSubjectChar"/>
    <w:uiPriority w:val="99"/>
    <w:semiHidden/>
    <w:unhideWhenUsed/>
    <w:rsid w:val="005A6C3C"/>
    <w:rPr>
      <w:b/>
      <w:bCs/>
    </w:rPr>
  </w:style>
  <w:style w:type="character" w:customStyle="1" w:styleId="CommentSubjectChar">
    <w:name w:val="Comment Subject Char"/>
    <w:basedOn w:val="CommentTextChar"/>
    <w:link w:val="CommentSubject"/>
    <w:uiPriority w:val="99"/>
    <w:semiHidden/>
    <w:rsid w:val="005A6C3C"/>
    <w:rPr>
      <w:b/>
      <w:bCs/>
      <w:sz w:val="20"/>
      <w:szCs w:val="20"/>
    </w:rPr>
  </w:style>
  <w:style w:type="table" w:styleId="TableGrid">
    <w:name w:val="Table Grid"/>
    <w:basedOn w:val="TableNormal"/>
    <w:uiPriority w:val="39"/>
    <w:rsid w:val="0077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14CA"/>
    <w:rPr>
      <w:color w:val="954F72" w:themeColor="followedHyperlink"/>
      <w:u w:val="single"/>
    </w:rPr>
  </w:style>
  <w:style w:type="paragraph" w:styleId="BalloonText">
    <w:name w:val="Balloon Text"/>
    <w:basedOn w:val="Normal"/>
    <w:link w:val="BalloonTextChar"/>
    <w:uiPriority w:val="99"/>
    <w:semiHidden/>
    <w:unhideWhenUsed/>
    <w:rsid w:val="00420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B87"/>
    <w:rPr>
      <w:rFonts w:ascii="Segoe UI" w:hAnsi="Segoe UI" w:cs="Segoe UI"/>
      <w:sz w:val="18"/>
      <w:szCs w:val="18"/>
    </w:rPr>
  </w:style>
  <w:style w:type="character" w:customStyle="1" w:styleId="spellingerror">
    <w:name w:val="spellingerror"/>
    <w:basedOn w:val="DefaultParagraphFont"/>
    <w:rsid w:val="00A316BE"/>
  </w:style>
  <w:style w:type="paragraph" w:customStyle="1" w:styleId="Heading1A">
    <w:name w:val="Heading 1A"/>
    <w:basedOn w:val="Normal"/>
    <w:link w:val="Heading1AChar"/>
    <w:qFormat/>
    <w:rsid w:val="00C875FA"/>
    <w:pPr>
      <w:outlineLvl w:val="0"/>
    </w:pPr>
    <w:rPr>
      <w:rFonts w:ascii="Oswald" w:hAnsi="Oswald" w:cstheme="majorHAnsi"/>
      <w:sz w:val="52"/>
    </w:rPr>
  </w:style>
  <w:style w:type="paragraph" w:customStyle="1" w:styleId="Heading2A">
    <w:name w:val="Heading 2A"/>
    <w:basedOn w:val="Subheading"/>
    <w:link w:val="Heading2AChar"/>
    <w:qFormat/>
    <w:rsid w:val="00611197"/>
    <w:pPr>
      <w:outlineLvl w:val="0"/>
    </w:pPr>
    <w:rPr>
      <w:rFonts w:asciiTheme="majorHAnsi" w:hAnsiTheme="majorHAnsi" w:cstheme="majorHAnsi"/>
      <w:b/>
      <w:bCs/>
      <w:color w:val="222A35" w:themeColor="text2" w:themeShade="80"/>
      <w:sz w:val="24"/>
      <w:szCs w:val="24"/>
      <w:lang w:val="en-US"/>
    </w:rPr>
  </w:style>
  <w:style w:type="character" w:customStyle="1" w:styleId="Heading1AChar">
    <w:name w:val="Heading 1A Char"/>
    <w:basedOn w:val="DefaultParagraphFont"/>
    <w:link w:val="Heading1A"/>
    <w:rsid w:val="00C875FA"/>
    <w:rPr>
      <w:rFonts w:ascii="Oswald" w:hAnsi="Oswald" w:cstheme="majorHAnsi"/>
      <w:sz w:val="52"/>
    </w:rPr>
  </w:style>
  <w:style w:type="paragraph" w:customStyle="1" w:styleId="HEADING3A">
    <w:name w:val="HEADING 3A"/>
    <w:basedOn w:val="Subheading"/>
    <w:link w:val="HEADING3AChar"/>
    <w:qFormat/>
    <w:rsid w:val="00611197"/>
    <w:pPr>
      <w:outlineLvl w:val="0"/>
    </w:pPr>
    <w:rPr>
      <w:rFonts w:asciiTheme="majorHAnsi" w:hAnsiTheme="majorHAnsi" w:cstheme="majorHAnsi"/>
      <w:spacing w:val="0"/>
      <w:sz w:val="24"/>
      <w:szCs w:val="24"/>
      <w:lang w:val="en-US"/>
    </w:rPr>
  </w:style>
  <w:style w:type="character" w:customStyle="1" w:styleId="SubheadingChar">
    <w:name w:val="Subheading Char"/>
    <w:basedOn w:val="DefaultParagraphFont"/>
    <w:link w:val="Subheading"/>
    <w:rsid w:val="00611197"/>
    <w:rPr>
      <w:rFonts w:ascii="Oswald Light" w:hAnsi="Oswald Light" w:cs="Times New Roman (Body CS)"/>
      <w:color w:val="B7432A"/>
      <w:spacing w:val="30"/>
      <w:sz w:val="22"/>
      <w:szCs w:val="22"/>
    </w:rPr>
  </w:style>
  <w:style w:type="character" w:customStyle="1" w:styleId="Heading2AChar">
    <w:name w:val="Heading 2A Char"/>
    <w:basedOn w:val="SubheadingChar"/>
    <w:link w:val="Heading2A"/>
    <w:rsid w:val="00611197"/>
    <w:rPr>
      <w:rFonts w:asciiTheme="majorHAnsi" w:hAnsiTheme="majorHAnsi" w:cstheme="majorHAnsi"/>
      <w:b/>
      <w:bCs/>
      <w:color w:val="222A35" w:themeColor="text2" w:themeShade="80"/>
      <w:spacing w:val="30"/>
      <w:sz w:val="22"/>
      <w:szCs w:val="22"/>
      <w:lang w:val="en-US"/>
    </w:rPr>
  </w:style>
  <w:style w:type="paragraph" w:customStyle="1" w:styleId="HEADING4A">
    <w:name w:val="HEADING 4A"/>
    <w:basedOn w:val="Normal"/>
    <w:link w:val="HEADING4AChar"/>
    <w:qFormat/>
    <w:rsid w:val="00611197"/>
    <w:pPr>
      <w:suppressAutoHyphens/>
      <w:autoSpaceDE w:val="0"/>
      <w:autoSpaceDN w:val="0"/>
      <w:adjustRightInd w:val="0"/>
      <w:spacing w:line="288" w:lineRule="auto"/>
      <w:jc w:val="both"/>
      <w:textAlignment w:val="center"/>
    </w:pPr>
    <w:rPr>
      <w:rFonts w:asciiTheme="majorHAnsi" w:hAnsiTheme="majorHAnsi" w:cstheme="majorHAnsi"/>
      <w:color w:val="00000F"/>
      <w:sz w:val="22"/>
      <w:szCs w:val="22"/>
      <w:u w:val="single"/>
    </w:rPr>
  </w:style>
  <w:style w:type="character" w:customStyle="1" w:styleId="HEADING3AChar">
    <w:name w:val="HEADING 3A Char"/>
    <w:basedOn w:val="SubheadingChar"/>
    <w:link w:val="HEADING3A"/>
    <w:rsid w:val="00611197"/>
    <w:rPr>
      <w:rFonts w:asciiTheme="majorHAnsi" w:hAnsiTheme="majorHAnsi" w:cstheme="majorHAnsi"/>
      <w:color w:val="B7432A"/>
      <w:spacing w:val="30"/>
      <w:sz w:val="22"/>
      <w:szCs w:val="22"/>
      <w:lang w:val="en-US"/>
    </w:rPr>
  </w:style>
  <w:style w:type="character" w:customStyle="1" w:styleId="HEADING4AChar">
    <w:name w:val="HEADING 4A Char"/>
    <w:basedOn w:val="DefaultParagraphFont"/>
    <w:link w:val="HEADING4A"/>
    <w:rsid w:val="00611197"/>
    <w:rPr>
      <w:rFonts w:asciiTheme="majorHAnsi" w:hAnsiTheme="majorHAnsi" w:cstheme="majorHAnsi"/>
      <w:color w:val="00000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1364">
      <w:bodyDiv w:val="1"/>
      <w:marLeft w:val="0"/>
      <w:marRight w:val="0"/>
      <w:marTop w:val="0"/>
      <w:marBottom w:val="0"/>
      <w:divBdr>
        <w:top w:val="none" w:sz="0" w:space="0" w:color="auto"/>
        <w:left w:val="none" w:sz="0" w:space="0" w:color="auto"/>
        <w:bottom w:val="none" w:sz="0" w:space="0" w:color="auto"/>
        <w:right w:val="none" w:sz="0" w:space="0" w:color="auto"/>
      </w:divBdr>
      <w:divsChild>
        <w:div w:id="930359645">
          <w:marLeft w:val="360"/>
          <w:marRight w:val="0"/>
          <w:marTop w:val="200"/>
          <w:marBottom w:val="0"/>
          <w:divBdr>
            <w:top w:val="none" w:sz="0" w:space="0" w:color="auto"/>
            <w:left w:val="none" w:sz="0" w:space="0" w:color="auto"/>
            <w:bottom w:val="none" w:sz="0" w:space="0" w:color="auto"/>
            <w:right w:val="none" w:sz="0" w:space="0" w:color="auto"/>
          </w:divBdr>
        </w:div>
        <w:div w:id="1564635531">
          <w:marLeft w:val="1555"/>
          <w:marRight w:val="0"/>
          <w:marTop w:val="100"/>
          <w:marBottom w:val="0"/>
          <w:divBdr>
            <w:top w:val="none" w:sz="0" w:space="0" w:color="auto"/>
            <w:left w:val="none" w:sz="0" w:space="0" w:color="auto"/>
            <w:bottom w:val="none" w:sz="0" w:space="0" w:color="auto"/>
            <w:right w:val="none" w:sz="0" w:space="0" w:color="auto"/>
          </w:divBdr>
        </w:div>
        <w:div w:id="1293094355">
          <w:marLeft w:val="2261"/>
          <w:marRight w:val="0"/>
          <w:marTop w:val="100"/>
          <w:marBottom w:val="0"/>
          <w:divBdr>
            <w:top w:val="none" w:sz="0" w:space="0" w:color="auto"/>
            <w:left w:val="none" w:sz="0" w:space="0" w:color="auto"/>
            <w:bottom w:val="none" w:sz="0" w:space="0" w:color="auto"/>
            <w:right w:val="none" w:sz="0" w:space="0" w:color="auto"/>
          </w:divBdr>
        </w:div>
        <w:div w:id="1638492702">
          <w:marLeft w:val="1699"/>
          <w:marRight w:val="0"/>
          <w:marTop w:val="100"/>
          <w:marBottom w:val="0"/>
          <w:divBdr>
            <w:top w:val="none" w:sz="0" w:space="0" w:color="auto"/>
            <w:left w:val="none" w:sz="0" w:space="0" w:color="auto"/>
            <w:bottom w:val="none" w:sz="0" w:space="0" w:color="auto"/>
            <w:right w:val="none" w:sz="0" w:space="0" w:color="auto"/>
          </w:divBdr>
        </w:div>
        <w:div w:id="1782145577">
          <w:marLeft w:val="1699"/>
          <w:marRight w:val="0"/>
          <w:marTop w:val="100"/>
          <w:marBottom w:val="0"/>
          <w:divBdr>
            <w:top w:val="none" w:sz="0" w:space="0" w:color="auto"/>
            <w:left w:val="none" w:sz="0" w:space="0" w:color="auto"/>
            <w:bottom w:val="none" w:sz="0" w:space="0" w:color="auto"/>
            <w:right w:val="none" w:sz="0" w:space="0" w:color="auto"/>
          </w:divBdr>
        </w:div>
        <w:div w:id="1618369260">
          <w:marLeft w:val="1699"/>
          <w:marRight w:val="0"/>
          <w:marTop w:val="100"/>
          <w:marBottom w:val="0"/>
          <w:divBdr>
            <w:top w:val="none" w:sz="0" w:space="0" w:color="auto"/>
            <w:left w:val="none" w:sz="0" w:space="0" w:color="auto"/>
            <w:bottom w:val="none" w:sz="0" w:space="0" w:color="auto"/>
            <w:right w:val="none" w:sz="0" w:space="0" w:color="auto"/>
          </w:divBdr>
        </w:div>
        <w:div w:id="711006310">
          <w:marLeft w:val="1699"/>
          <w:marRight w:val="0"/>
          <w:marTop w:val="100"/>
          <w:marBottom w:val="0"/>
          <w:divBdr>
            <w:top w:val="none" w:sz="0" w:space="0" w:color="auto"/>
            <w:left w:val="none" w:sz="0" w:space="0" w:color="auto"/>
            <w:bottom w:val="none" w:sz="0" w:space="0" w:color="auto"/>
            <w:right w:val="none" w:sz="0" w:space="0" w:color="auto"/>
          </w:divBdr>
        </w:div>
      </w:divsChild>
    </w:div>
    <w:div w:id="324943435">
      <w:bodyDiv w:val="1"/>
      <w:marLeft w:val="0"/>
      <w:marRight w:val="0"/>
      <w:marTop w:val="0"/>
      <w:marBottom w:val="0"/>
      <w:divBdr>
        <w:top w:val="none" w:sz="0" w:space="0" w:color="auto"/>
        <w:left w:val="none" w:sz="0" w:space="0" w:color="auto"/>
        <w:bottom w:val="none" w:sz="0" w:space="0" w:color="auto"/>
        <w:right w:val="none" w:sz="0" w:space="0" w:color="auto"/>
      </w:divBdr>
      <w:divsChild>
        <w:div w:id="1404376149">
          <w:marLeft w:val="1426"/>
          <w:marRight w:val="0"/>
          <w:marTop w:val="100"/>
          <w:marBottom w:val="0"/>
          <w:divBdr>
            <w:top w:val="none" w:sz="0" w:space="0" w:color="auto"/>
            <w:left w:val="none" w:sz="0" w:space="0" w:color="auto"/>
            <w:bottom w:val="none" w:sz="0" w:space="0" w:color="auto"/>
            <w:right w:val="none" w:sz="0" w:space="0" w:color="auto"/>
          </w:divBdr>
        </w:div>
        <w:div w:id="250046028">
          <w:marLeft w:val="1426"/>
          <w:marRight w:val="0"/>
          <w:marTop w:val="100"/>
          <w:marBottom w:val="0"/>
          <w:divBdr>
            <w:top w:val="none" w:sz="0" w:space="0" w:color="auto"/>
            <w:left w:val="none" w:sz="0" w:space="0" w:color="auto"/>
            <w:bottom w:val="none" w:sz="0" w:space="0" w:color="auto"/>
            <w:right w:val="none" w:sz="0" w:space="0" w:color="auto"/>
          </w:divBdr>
        </w:div>
        <w:div w:id="968589163">
          <w:marLeft w:val="1426"/>
          <w:marRight w:val="0"/>
          <w:marTop w:val="100"/>
          <w:marBottom w:val="0"/>
          <w:divBdr>
            <w:top w:val="none" w:sz="0" w:space="0" w:color="auto"/>
            <w:left w:val="none" w:sz="0" w:space="0" w:color="auto"/>
            <w:bottom w:val="none" w:sz="0" w:space="0" w:color="auto"/>
            <w:right w:val="none" w:sz="0" w:space="0" w:color="auto"/>
          </w:divBdr>
        </w:div>
        <w:div w:id="1446196120">
          <w:marLeft w:val="1426"/>
          <w:marRight w:val="0"/>
          <w:marTop w:val="100"/>
          <w:marBottom w:val="0"/>
          <w:divBdr>
            <w:top w:val="none" w:sz="0" w:space="0" w:color="auto"/>
            <w:left w:val="none" w:sz="0" w:space="0" w:color="auto"/>
            <w:bottom w:val="none" w:sz="0" w:space="0" w:color="auto"/>
            <w:right w:val="none" w:sz="0" w:space="0" w:color="auto"/>
          </w:divBdr>
        </w:div>
        <w:div w:id="1361516396">
          <w:marLeft w:val="1426"/>
          <w:marRight w:val="0"/>
          <w:marTop w:val="100"/>
          <w:marBottom w:val="0"/>
          <w:divBdr>
            <w:top w:val="none" w:sz="0" w:space="0" w:color="auto"/>
            <w:left w:val="none" w:sz="0" w:space="0" w:color="auto"/>
            <w:bottom w:val="none" w:sz="0" w:space="0" w:color="auto"/>
            <w:right w:val="none" w:sz="0" w:space="0" w:color="auto"/>
          </w:divBdr>
        </w:div>
      </w:divsChild>
    </w:div>
    <w:div w:id="455176668">
      <w:bodyDiv w:val="1"/>
      <w:marLeft w:val="0"/>
      <w:marRight w:val="0"/>
      <w:marTop w:val="0"/>
      <w:marBottom w:val="0"/>
      <w:divBdr>
        <w:top w:val="none" w:sz="0" w:space="0" w:color="auto"/>
        <w:left w:val="none" w:sz="0" w:space="0" w:color="auto"/>
        <w:bottom w:val="none" w:sz="0" w:space="0" w:color="auto"/>
        <w:right w:val="none" w:sz="0" w:space="0" w:color="auto"/>
      </w:divBdr>
    </w:div>
    <w:div w:id="494496228">
      <w:bodyDiv w:val="1"/>
      <w:marLeft w:val="0"/>
      <w:marRight w:val="0"/>
      <w:marTop w:val="0"/>
      <w:marBottom w:val="0"/>
      <w:divBdr>
        <w:top w:val="none" w:sz="0" w:space="0" w:color="auto"/>
        <w:left w:val="none" w:sz="0" w:space="0" w:color="auto"/>
        <w:bottom w:val="none" w:sz="0" w:space="0" w:color="auto"/>
        <w:right w:val="none" w:sz="0" w:space="0" w:color="auto"/>
      </w:divBdr>
    </w:div>
    <w:div w:id="593782723">
      <w:bodyDiv w:val="1"/>
      <w:marLeft w:val="0"/>
      <w:marRight w:val="0"/>
      <w:marTop w:val="0"/>
      <w:marBottom w:val="0"/>
      <w:divBdr>
        <w:top w:val="none" w:sz="0" w:space="0" w:color="auto"/>
        <w:left w:val="none" w:sz="0" w:space="0" w:color="auto"/>
        <w:bottom w:val="none" w:sz="0" w:space="0" w:color="auto"/>
        <w:right w:val="none" w:sz="0" w:space="0" w:color="auto"/>
      </w:divBdr>
      <w:divsChild>
        <w:div w:id="990064082">
          <w:marLeft w:val="706"/>
          <w:marRight w:val="0"/>
          <w:marTop w:val="200"/>
          <w:marBottom w:val="0"/>
          <w:divBdr>
            <w:top w:val="none" w:sz="0" w:space="0" w:color="auto"/>
            <w:left w:val="none" w:sz="0" w:space="0" w:color="auto"/>
            <w:bottom w:val="none" w:sz="0" w:space="0" w:color="auto"/>
            <w:right w:val="none" w:sz="0" w:space="0" w:color="auto"/>
          </w:divBdr>
        </w:div>
        <w:div w:id="1275751077">
          <w:marLeft w:val="1411"/>
          <w:marRight w:val="0"/>
          <w:marTop w:val="100"/>
          <w:marBottom w:val="0"/>
          <w:divBdr>
            <w:top w:val="none" w:sz="0" w:space="0" w:color="auto"/>
            <w:left w:val="none" w:sz="0" w:space="0" w:color="auto"/>
            <w:bottom w:val="none" w:sz="0" w:space="0" w:color="auto"/>
            <w:right w:val="none" w:sz="0" w:space="0" w:color="auto"/>
          </w:divBdr>
        </w:div>
        <w:div w:id="1591501046">
          <w:marLeft w:val="1411"/>
          <w:marRight w:val="0"/>
          <w:marTop w:val="100"/>
          <w:marBottom w:val="0"/>
          <w:divBdr>
            <w:top w:val="none" w:sz="0" w:space="0" w:color="auto"/>
            <w:left w:val="none" w:sz="0" w:space="0" w:color="auto"/>
            <w:bottom w:val="none" w:sz="0" w:space="0" w:color="auto"/>
            <w:right w:val="none" w:sz="0" w:space="0" w:color="auto"/>
          </w:divBdr>
        </w:div>
        <w:div w:id="1202087771">
          <w:marLeft w:val="1411"/>
          <w:marRight w:val="0"/>
          <w:marTop w:val="100"/>
          <w:marBottom w:val="0"/>
          <w:divBdr>
            <w:top w:val="none" w:sz="0" w:space="0" w:color="auto"/>
            <w:left w:val="none" w:sz="0" w:space="0" w:color="auto"/>
            <w:bottom w:val="none" w:sz="0" w:space="0" w:color="auto"/>
            <w:right w:val="none" w:sz="0" w:space="0" w:color="auto"/>
          </w:divBdr>
        </w:div>
      </w:divsChild>
    </w:div>
    <w:div w:id="841628936">
      <w:bodyDiv w:val="1"/>
      <w:marLeft w:val="0"/>
      <w:marRight w:val="0"/>
      <w:marTop w:val="0"/>
      <w:marBottom w:val="0"/>
      <w:divBdr>
        <w:top w:val="none" w:sz="0" w:space="0" w:color="auto"/>
        <w:left w:val="none" w:sz="0" w:space="0" w:color="auto"/>
        <w:bottom w:val="none" w:sz="0" w:space="0" w:color="auto"/>
        <w:right w:val="none" w:sz="0" w:space="0" w:color="auto"/>
      </w:divBdr>
      <w:divsChild>
        <w:div w:id="1290362310">
          <w:marLeft w:val="979"/>
          <w:marRight w:val="0"/>
          <w:marTop w:val="200"/>
          <w:marBottom w:val="0"/>
          <w:divBdr>
            <w:top w:val="none" w:sz="0" w:space="0" w:color="auto"/>
            <w:left w:val="none" w:sz="0" w:space="0" w:color="auto"/>
            <w:bottom w:val="none" w:sz="0" w:space="0" w:color="auto"/>
            <w:right w:val="none" w:sz="0" w:space="0" w:color="auto"/>
          </w:divBdr>
        </w:div>
        <w:div w:id="889536102">
          <w:marLeft w:val="979"/>
          <w:marRight w:val="0"/>
          <w:marTop w:val="200"/>
          <w:marBottom w:val="0"/>
          <w:divBdr>
            <w:top w:val="none" w:sz="0" w:space="0" w:color="auto"/>
            <w:left w:val="none" w:sz="0" w:space="0" w:color="auto"/>
            <w:bottom w:val="none" w:sz="0" w:space="0" w:color="auto"/>
            <w:right w:val="none" w:sz="0" w:space="0" w:color="auto"/>
          </w:divBdr>
        </w:div>
        <w:div w:id="997734043">
          <w:marLeft w:val="979"/>
          <w:marRight w:val="0"/>
          <w:marTop w:val="200"/>
          <w:marBottom w:val="0"/>
          <w:divBdr>
            <w:top w:val="none" w:sz="0" w:space="0" w:color="auto"/>
            <w:left w:val="none" w:sz="0" w:space="0" w:color="auto"/>
            <w:bottom w:val="none" w:sz="0" w:space="0" w:color="auto"/>
            <w:right w:val="none" w:sz="0" w:space="0" w:color="auto"/>
          </w:divBdr>
        </w:div>
        <w:div w:id="1629773024">
          <w:marLeft w:val="979"/>
          <w:marRight w:val="0"/>
          <w:marTop w:val="200"/>
          <w:marBottom w:val="0"/>
          <w:divBdr>
            <w:top w:val="none" w:sz="0" w:space="0" w:color="auto"/>
            <w:left w:val="none" w:sz="0" w:space="0" w:color="auto"/>
            <w:bottom w:val="none" w:sz="0" w:space="0" w:color="auto"/>
            <w:right w:val="none" w:sz="0" w:space="0" w:color="auto"/>
          </w:divBdr>
        </w:div>
      </w:divsChild>
    </w:div>
    <w:div w:id="966661174">
      <w:bodyDiv w:val="1"/>
      <w:marLeft w:val="0"/>
      <w:marRight w:val="0"/>
      <w:marTop w:val="0"/>
      <w:marBottom w:val="0"/>
      <w:divBdr>
        <w:top w:val="none" w:sz="0" w:space="0" w:color="auto"/>
        <w:left w:val="none" w:sz="0" w:space="0" w:color="auto"/>
        <w:bottom w:val="none" w:sz="0" w:space="0" w:color="auto"/>
        <w:right w:val="none" w:sz="0" w:space="0" w:color="auto"/>
      </w:divBdr>
      <w:divsChild>
        <w:div w:id="1548294319">
          <w:marLeft w:val="360"/>
          <w:marRight w:val="0"/>
          <w:marTop w:val="200"/>
          <w:marBottom w:val="0"/>
          <w:divBdr>
            <w:top w:val="none" w:sz="0" w:space="0" w:color="auto"/>
            <w:left w:val="none" w:sz="0" w:space="0" w:color="auto"/>
            <w:bottom w:val="none" w:sz="0" w:space="0" w:color="auto"/>
            <w:right w:val="none" w:sz="0" w:space="0" w:color="auto"/>
          </w:divBdr>
        </w:div>
        <w:div w:id="312608920">
          <w:marLeft w:val="1555"/>
          <w:marRight w:val="0"/>
          <w:marTop w:val="100"/>
          <w:marBottom w:val="0"/>
          <w:divBdr>
            <w:top w:val="none" w:sz="0" w:space="0" w:color="auto"/>
            <w:left w:val="none" w:sz="0" w:space="0" w:color="auto"/>
            <w:bottom w:val="none" w:sz="0" w:space="0" w:color="auto"/>
            <w:right w:val="none" w:sz="0" w:space="0" w:color="auto"/>
          </w:divBdr>
        </w:div>
        <w:div w:id="96171874">
          <w:marLeft w:val="1555"/>
          <w:marRight w:val="0"/>
          <w:marTop w:val="100"/>
          <w:marBottom w:val="0"/>
          <w:divBdr>
            <w:top w:val="none" w:sz="0" w:space="0" w:color="auto"/>
            <w:left w:val="none" w:sz="0" w:space="0" w:color="auto"/>
            <w:bottom w:val="none" w:sz="0" w:space="0" w:color="auto"/>
            <w:right w:val="none" w:sz="0" w:space="0" w:color="auto"/>
          </w:divBdr>
        </w:div>
        <w:div w:id="503204018">
          <w:marLeft w:val="1555"/>
          <w:marRight w:val="0"/>
          <w:marTop w:val="100"/>
          <w:marBottom w:val="0"/>
          <w:divBdr>
            <w:top w:val="none" w:sz="0" w:space="0" w:color="auto"/>
            <w:left w:val="none" w:sz="0" w:space="0" w:color="auto"/>
            <w:bottom w:val="none" w:sz="0" w:space="0" w:color="auto"/>
            <w:right w:val="none" w:sz="0" w:space="0" w:color="auto"/>
          </w:divBdr>
        </w:div>
        <w:div w:id="1393234633">
          <w:marLeft w:val="1555"/>
          <w:marRight w:val="0"/>
          <w:marTop w:val="100"/>
          <w:marBottom w:val="0"/>
          <w:divBdr>
            <w:top w:val="none" w:sz="0" w:space="0" w:color="auto"/>
            <w:left w:val="none" w:sz="0" w:space="0" w:color="auto"/>
            <w:bottom w:val="none" w:sz="0" w:space="0" w:color="auto"/>
            <w:right w:val="none" w:sz="0" w:space="0" w:color="auto"/>
          </w:divBdr>
        </w:div>
      </w:divsChild>
    </w:div>
    <w:div w:id="1018045202">
      <w:bodyDiv w:val="1"/>
      <w:marLeft w:val="0"/>
      <w:marRight w:val="0"/>
      <w:marTop w:val="0"/>
      <w:marBottom w:val="0"/>
      <w:divBdr>
        <w:top w:val="none" w:sz="0" w:space="0" w:color="auto"/>
        <w:left w:val="none" w:sz="0" w:space="0" w:color="auto"/>
        <w:bottom w:val="none" w:sz="0" w:space="0" w:color="auto"/>
        <w:right w:val="none" w:sz="0" w:space="0" w:color="auto"/>
      </w:divBdr>
      <w:divsChild>
        <w:div w:id="170415632">
          <w:marLeft w:val="706"/>
          <w:marRight w:val="0"/>
          <w:marTop w:val="200"/>
          <w:marBottom w:val="0"/>
          <w:divBdr>
            <w:top w:val="none" w:sz="0" w:space="0" w:color="auto"/>
            <w:left w:val="none" w:sz="0" w:space="0" w:color="auto"/>
            <w:bottom w:val="none" w:sz="0" w:space="0" w:color="auto"/>
            <w:right w:val="none" w:sz="0" w:space="0" w:color="auto"/>
          </w:divBdr>
        </w:div>
      </w:divsChild>
    </w:div>
    <w:div w:id="1129974974">
      <w:bodyDiv w:val="1"/>
      <w:marLeft w:val="0"/>
      <w:marRight w:val="0"/>
      <w:marTop w:val="0"/>
      <w:marBottom w:val="0"/>
      <w:divBdr>
        <w:top w:val="none" w:sz="0" w:space="0" w:color="auto"/>
        <w:left w:val="none" w:sz="0" w:space="0" w:color="auto"/>
        <w:bottom w:val="none" w:sz="0" w:space="0" w:color="auto"/>
        <w:right w:val="none" w:sz="0" w:space="0" w:color="auto"/>
      </w:divBdr>
    </w:div>
    <w:div w:id="1141506324">
      <w:bodyDiv w:val="1"/>
      <w:marLeft w:val="0"/>
      <w:marRight w:val="0"/>
      <w:marTop w:val="0"/>
      <w:marBottom w:val="0"/>
      <w:divBdr>
        <w:top w:val="none" w:sz="0" w:space="0" w:color="auto"/>
        <w:left w:val="none" w:sz="0" w:space="0" w:color="auto"/>
        <w:bottom w:val="none" w:sz="0" w:space="0" w:color="auto"/>
        <w:right w:val="none" w:sz="0" w:space="0" w:color="auto"/>
      </w:divBdr>
      <w:divsChild>
        <w:div w:id="1886402559">
          <w:marLeft w:val="706"/>
          <w:marRight w:val="0"/>
          <w:marTop w:val="100"/>
          <w:marBottom w:val="0"/>
          <w:divBdr>
            <w:top w:val="none" w:sz="0" w:space="0" w:color="auto"/>
            <w:left w:val="none" w:sz="0" w:space="0" w:color="auto"/>
            <w:bottom w:val="none" w:sz="0" w:space="0" w:color="auto"/>
            <w:right w:val="none" w:sz="0" w:space="0" w:color="auto"/>
          </w:divBdr>
        </w:div>
      </w:divsChild>
    </w:div>
    <w:div w:id="1275284595">
      <w:bodyDiv w:val="1"/>
      <w:marLeft w:val="0"/>
      <w:marRight w:val="0"/>
      <w:marTop w:val="0"/>
      <w:marBottom w:val="0"/>
      <w:divBdr>
        <w:top w:val="none" w:sz="0" w:space="0" w:color="auto"/>
        <w:left w:val="none" w:sz="0" w:space="0" w:color="auto"/>
        <w:bottom w:val="none" w:sz="0" w:space="0" w:color="auto"/>
        <w:right w:val="none" w:sz="0" w:space="0" w:color="auto"/>
      </w:divBdr>
      <w:divsChild>
        <w:div w:id="745306246">
          <w:marLeft w:val="706"/>
          <w:marRight w:val="0"/>
          <w:marTop w:val="100"/>
          <w:marBottom w:val="0"/>
          <w:divBdr>
            <w:top w:val="none" w:sz="0" w:space="0" w:color="auto"/>
            <w:left w:val="none" w:sz="0" w:space="0" w:color="auto"/>
            <w:bottom w:val="none" w:sz="0" w:space="0" w:color="auto"/>
            <w:right w:val="none" w:sz="0" w:space="0" w:color="auto"/>
          </w:divBdr>
        </w:div>
      </w:divsChild>
    </w:div>
    <w:div w:id="1295478859">
      <w:bodyDiv w:val="1"/>
      <w:marLeft w:val="0"/>
      <w:marRight w:val="0"/>
      <w:marTop w:val="0"/>
      <w:marBottom w:val="0"/>
      <w:divBdr>
        <w:top w:val="none" w:sz="0" w:space="0" w:color="auto"/>
        <w:left w:val="none" w:sz="0" w:space="0" w:color="auto"/>
        <w:bottom w:val="none" w:sz="0" w:space="0" w:color="auto"/>
        <w:right w:val="none" w:sz="0" w:space="0" w:color="auto"/>
      </w:divBdr>
      <w:divsChild>
        <w:div w:id="887377797">
          <w:marLeft w:val="706"/>
          <w:marRight w:val="0"/>
          <w:marTop w:val="200"/>
          <w:marBottom w:val="0"/>
          <w:divBdr>
            <w:top w:val="none" w:sz="0" w:space="0" w:color="auto"/>
            <w:left w:val="none" w:sz="0" w:space="0" w:color="auto"/>
            <w:bottom w:val="none" w:sz="0" w:space="0" w:color="auto"/>
            <w:right w:val="none" w:sz="0" w:space="0" w:color="auto"/>
          </w:divBdr>
        </w:div>
      </w:divsChild>
    </w:div>
    <w:div w:id="1304774639">
      <w:bodyDiv w:val="1"/>
      <w:marLeft w:val="0"/>
      <w:marRight w:val="0"/>
      <w:marTop w:val="0"/>
      <w:marBottom w:val="0"/>
      <w:divBdr>
        <w:top w:val="none" w:sz="0" w:space="0" w:color="auto"/>
        <w:left w:val="none" w:sz="0" w:space="0" w:color="auto"/>
        <w:bottom w:val="none" w:sz="0" w:space="0" w:color="auto"/>
        <w:right w:val="none" w:sz="0" w:space="0" w:color="auto"/>
      </w:divBdr>
    </w:div>
    <w:div w:id="1331566708">
      <w:bodyDiv w:val="1"/>
      <w:marLeft w:val="0"/>
      <w:marRight w:val="0"/>
      <w:marTop w:val="0"/>
      <w:marBottom w:val="0"/>
      <w:divBdr>
        <w:top w:val="none" w:sz="0" w:space="0" w:color="auto"/>
        <w:left w:val="none" w:sz="0" w:space="0" w:color="auto"/>
        <w:bottom w:val="none" w:sz="0" w:space="0" w:color="auto"/>
        <w:right w:val="none" w:sz="0" w:space="0" w:color="auto"/>
      </w:divBdr>
    </w:div>
    <w:div w:id="1478721310">
      <w:bodyDiv w:val="1"/>
      <w:marLeft w:val="0"/>
      <w:marRight w:val="0"/>
      <w:marTop w:val="0"/>
      <w:marBottom w:val="0"/>
      <w:divBdr>
        <w:top w:val="none" w:sz="0" w:space="0" w:color="auto"/>
        <w:left w:val="none" w:sz="0" w:space="0" w:color="auto"/>
        <w:bottom w:val="none" w:sz="0" w:space="0" w:color="auto"/>
        <w:right w:val="none" w:sz="0" w:space="0" w:color="auto"/>
      </w:divBdr>
    </w:div>
    <w:div w:id="1525368067">
      <w:bodyDiv w:val="1"/>
      <w:marLeft w:val="0"/>
      <w:marRight w:val="0"/>
      <w:marTop w:val="0"/>
      <w:marBottom w:val="0"/>
      <w:divBdr>
        <w:top w:val="none" w:sz="0" w:space="0" w:color="auto"/>
        <w:left w:val="none" w:sz="0" w:space="0" w:color="auto"/>
        <w:bottom w:val="none" w:sz="0" w:space="0" w:color="auto"/>
        <w:right w:val="none" w:sz="0" w:space="0" w:color="auto"/>
      </w:divBdr>
    </w:div>
    <w:div w:id="1575583593">
      <w:bodyDiv w:val="1"/>
      <w:marLeft w:val="0"/>
      <w:marRight w:val="0"/>
      <w:marTop w:val="0"/>
      <w:marBottom w:val="0"/>
      <w:divBdr>
        <w:top w:val="none" w:sz="0" w:space="0" w:color="auto"/>
        <w:left w:val="none" w:sz="0" w:space="0" w:color="auto"/>
        <w:bottom w:val="none" w:sz="0" w:space="0" w:color="auto"/>
        <w:right w:val="none" w:sz="0" w:space="0" w:color="auto"/>
      </w:divBdr>
    </w:div>
    <w:div w:id="1599364301">
      <w:bodyDiv w:val="1"/>
      <w:marLeft w:val="0"/>
      <w:marRight w:val="0"/>
      <w:marTop w:val="0"/>
      <w:marBottom w:val="0"/>
      <w:divBdr>
        <w:top w:val="none" w:sz="0" w:space="0" w:color="auto"/>
        <w:left w:val="none" w:sz="0" w:space="0" w:color="auto"/>
        <w:bottom w:val="none" w:sz="0" w:space="0" w:color="auto"/>
        <w:right w:val="none" w:sz="0" w:space="0" w:color="auto"/>
      </w:divBdr>
      <w:divsChild>
        <w:div w:id="175461828">
          <w:marLeft w:val="706"/>
          <w:marRight w:val="0"/>
          <w:marTop w:val="200"/>
          <w:marBottom w:val="0"/>
          <w:divBdr>
            <w:top w:val="none" w:sz="0" w:space="0" w:color="auto"/>
            <w:left w:val="none" w:sz="0" w:space="0" w:color="auto"/>
            <w:bottom w:val="none" w:sz="0" w:space="0" w:color="auto"/>
            <w:right w:val="none" w:sz="0" w:space="0" w:color="auto"/>
          </w:divBdr>
        </w:div>
      </w:divsChild>
    </w:div>
    <w:div w:id="1883514360">
      <w:bodyDiv w:val="1"/>
      <w:marLeft w:val="0"/>
      <w:marRight w:val="0"/>
      <w:marTop w:val="0"/>
      <w:marBottom w:val="0"/>
      <w:divBdr>
        <w:top w:val="none" w:sz="0" w:space="0" w:color="auto"/>
        <w:left w:val="none" w:sz="0" w:space="0" w:color="auto"/>
        <w:bottom w:val="none" w:sz="0" w:space="0" w:color="auto"/>
        <w:right w:val="none" w:sz="0" w:space="0" w:color="auto"/>
      </w:divBdr>
      <w:divsChild>
        <w:div w:id="1626307019">
          <w:marLeft w:val="360"/>
          <w:marRight w:val="0"/>
          <w:marTop w:val="200"/>
          <w:marBottom w:val="0"/>
          <w:divBdr>
            <w:top w:val="none" w:sz="0" w:space="0" w:color="auto"/>
            <w:left w:val="none" w:sz="0" w:space="0" w:color="auto"/>
            <w:bottom w:val="none" w:sz="0" w:space="0" w:color="auto"/>
            <w:right w:val="none" w:sz="0" w:space="0" w:color="auto"/>
          </w:divBdr>
        </w:div>
        <w:div w:id="1216239435">
          <w:marLeft w:val="1555"/>
          <w:marRight w:val="0"/>
          <w:marTop w:val="100"/>
          <w:marBottom w:val="0"/>
          <w:divBdr>
            <w:top w:val="none" w:sz="0" w:space="0" w:color="auto"/>
            <w:left w:val="none" w:sz="0" w:space="0" w:color="auto"/>
            <w:bottom w:val="none" w:sz="0" w:space="0" w:color="auto"/>
            <w:right w:val="none" w:sz="0" w:space="0" w:color="auto"/>
          </w:divBdr>
        </w:div>
        <w:div w:id="1985424770">
          <w:marLeft w:val="1555"/>
          <w:marRight w:val="0"/>
          <w:marTop w:val="100"/>
          <w:marBottom w:val="0"/>
          <w:divBdr>
            <w:top w:val="none" w:sz="0" w:space="0" w:color="auto"/>
            <w:left w:val="none" w:sz="0" w:space="0" w:color="auto"/>
            <w:bottom w:val="none" w:sz="0" w:space="0" w:color="auto"/>
            <w:right w:val="none" w:sz="0" w:space="0" w:color="auto"/>
          </w:divBdr>
        </w:div>
        <w:div w:id="2075810891">
          <w:marLeft w:val="1555"/>
          <w:marRight w:val="0"/>
          <w:marTop w:val="100"/>
          <w:marBottom w:val="0"/>
          <w:divBdr>
            <w:top w:val="none" w:sz="0" w:space="0" w:color="auto"/>
            <w:left w:val="none" w:sz="0" w:space="0" w:color="auto"/>
            <w:bottom w:val="none" w:sz="0" w:space="0" w:color="auto"/>
            <w:right w:val="none" w:sz="0" w:space="0" w:color="auto"/>
          </w:divBdr>
        </w:div>
        <w:div w:id="1537690989">
          <w:marLeft w:val="1555"/>
          <w:marRight w:val="0"/>
          <w:marTop w:val="100"/>
          <w:marBottom w:val="0"/>
          <w:divBdr>
            <w:top w:val="none" w:sz="0" w:space="0" w:color="auto"/>
            <w:left w:val="none" w:sz="0" w:space="0" w:color="auto"/>
            <w:bottom w:val="none" w:sz="0" w:space="0" w:color="auto"/>
            <w:right w:val="none" w:sz="0" w:space="0" w:color="auto"/>
          </w:divBdr>
        </w:div>
      </w:divsChild>
    </w:div>
    <w:div w:id="1988508958">
      <w:bodyDiv w:val="1"/>
      <w:marLeft w:val="0"/>
      <w:marRight w:val="0"/>
      <w:marTop w:val="0"/>
      <w:marBottom w:val="0"/>
      <w:divBdr>
        <w:top w:val="none" w:sz="0" w:space="0" w:color="auto"/>
        <w:left w:val="none" w:sz="0" w:space="0" w:color="auto"/>
        <w:bottom w:val="none" w:sz="0" w:space="0" w:color="auto"/>
        <w:right w:val="none" w:sz="0" w:space="0" w:color="auto"/>
      </w:divBdr>
      <w:divsChild>
        <w:div w:id="2023434282">
          <w:marLeft w:val="706"/>
          <w:marRight w:val="0"/>
          <w:marTop w:val="200"/>
          <w:marBottom w:val="0"/>
          <w:divBdr>
            <w:top w:val="none" w:sz="0" w:space="0" w:color="auto"/>
            <w:left w:val="none" w:sz="0" w:space="0" w:color="auto"/>
            <w:bottom w:val="none" w:sz="0" w:space="0" w:color="auto"/>
            <w:right w:val="none" w:sz="0" w:space="0" w:color="auto"/>
          </w:divBdr>
        </w:div>
      </w:divsChild>
    </w:div>
    <w:div w:id="1999309988">
      <w:bodyDiv w:val="1"/>
      <w:marLeft w:val="0"/>
      <w:marRight w:val="0"/>
      <w:marTop w:val="0"/>
      <w:marBottom w:val="0"/>
      <w:divBdr>
        <w:top w:val="none" w:sz="0" w:space="0" w:color="auto"/>
        <w:left w:val="none" w:sz="0" w:space="0" w:color="auto"/>
        <w:bottom w:val="none" w:sz="0" w:space="0" w:color="auto"/>
        <w:right w:val="none" w:sz="0" w:space="0" w:color="auto"/>
      </w:divBdr>
    </w:div>
    <w:div w:id="2048798735">
      <w:bodyDiv w:val="1"/>
      <w:marLeft w:val="0"/>
      <w:marRight w:val="0"/>
      <w:marTop w:val="0"/>
      <w:marBottom w:val="0"/>
      <w:divBdr>
        <w:top w:val="none" w:sz="0" w:space="0" w:color="auto"/>
        <w:left w:val="none" w:sz="0" w:space="0" w:color="auto"/>
        <w:bottom w:val="none" w:sz="0" w:space="0" w:color="auto"/>
        <w:right w:val="none" w:sz="0" w:space="0" w:color="auto"/>
      </w:divBdr>
    </w:div>
    <w:div w:id="21224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region/eap/publication/uneven-recovery-east-asia-and-pacific-economic-update-april-2021" TargetMode="External"/><Relationship Id="rId2" Type="http://schemas.openxmlformats.org/officeDocument/2006/relationships/hyperlink" Target="https://www.forumsec.org/2020/11/11/kainaki/" TargetMode="External"/><Relationship Id="rId1" Type="http://schemas.openxmlformats.org/officeDocument/2006/relationships/hyperlink" Target="https://www.pm.gov.au/media/stepping-climate-resilience-pacific" TargetMode="External"/><Relationship Id="rId5" Type="http://schemas.openxmlformats.org/officeDocument/2006/relationships/hyperlink" Target="https://www.dfat.gov.au/sites/default/files/development-for-all-evaluation.pdf" TargetMode="External"/><Relationship Id="rId4" Type="http://schemas.openxmlformats.org/officeDocument/2006/relationships/hyperlink" Target="https://www.dfat.gov.au/sites/default/files/evaluation-of-australias-climate-change-assist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7E35-3E08-7C46-AE8D-DAF77127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10408</Words>
  <Characters>60697</Characters>
  <Application>Microsoft Office Word</Application>
  <DocSecurity>0</DocSecurity>
  <Lines>1139</Lines>
  <Paragraphs>408</Paragraphs>
  <ScaleCrop>false</ScaleCrop>
  <HeadingPairs>
    <vt:vector size="2" baseType="variant">
      <vt:variant>
        <vt:lpstr>Title</vt:lpstr>
      </vt:variant>
      <vt:variant>
        <vt:i4>1</vt:i4>
      </vt:variant>
    </vt:vector>
  </HeadingPairs>
  <TitlesOfParts>
    <vt:vector size="1" baseType="lpstr">
      <vt:lpstr>Australia Pacific Climate Partnership Mid-term review report</vt:lpstr>
    </vt:vector>
  </TitlesOfParts>
  <Company/>
  <LinksUpToDate>false</LinksUpToDate>
  <CharactersWithSpaces>70837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Pacific Climate Partnership Mid-term review report</dc:title>
  <dc:creator/>
  <cp:keywords/>
  <cp:lastModifiedBy/>
  <cp:revision>1</cp:revision>
  <dcterms:created xsi:type="dcterms:W3CDTF">2021-12-23T05:57:00Z</dcterms:created>
  <dcterms:modified xsi:type="dcterms:W3CDTF">2022-01-05T23:46:00Z</dcterms:modified>
  <cp:category/>
</cp:coreProperties>
</file>