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6" w:rsidRPr="0014453B" w:rsidRDefault="00894FF8" w:rsidP="00894FF8">
      <w:pPr>
        <w:pStyle w:val="Title"/>
        <w:ind w:left="2694" w:right="-624"/>
        <w:rPr>
          <w:b/>
          <w:sz w:val="48"/>
          <w:szCs w:val="48"/>
        </w:rPr>
      </w:pPr>
      <w:r w:rsidRPr="0014453B">
        <w:rPr>
          <w:b/>
          <w:sz w:val="48"/>
          <w:szCs w:val="48"/>
        </w:rPr>
        <w:t>Corporate Plan 2015-2019</w:t>
      </w:r>
      <w:r w:rsidR="00117270" w:rsidRPr="0014453B">
        <w:rPr>
          <w:b/>
          <w:sz w:val="48"/>
          <w:szCs w:val="48"/>
          <w:lang w:val="en-AU" w:eastAsia="en-AU"/>
        </w:rPr>
        <w:drawing>
          <wp:anchor distT="0" distB="0" distL="114300" distR="114300" simplePos="0" relativeHeight="251660288" behindDoc="1" locked="1" layoutInCell="1" allowOverlap="1" wp14:anchorId="0B3824EA" wp14:editId="03ECD2F1">
            <wp:simplePos x="0" y="0"/>
            <wp:positionH relativeFrom="page">
              <wp:align>left</wp:align>
            </wp:positionH>
            <wp:positionV relativeFrom="page">
              <wp:align>top</wp:align>
            </wp:positionV>
            <wp:extent cx="7558405" cy="10691495"/>
            <wp:effectExtent l="0" t="0" r="4445"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anchor>
        </w:drawing>
      </w:r>
    </w:p>
    <w:p w:rsidR="00B90206" w:rsidRPr="00031E7B" w:rsidRDefault="00894FF8" w:rsidP="004D2003">
      <w:pPr>
        <w:pStyle w:val="Subtitle"/>
        <w:ind w:left="2694" w:right="-624"/>
      </w:pPr>
      <w:r>
        <w:t>Depar</w:t>
      </w:r>
      <w:r w:rsidR="008728AD">
        <w:t>tm</w:t>
      </w:r>
      <w:r>
        <w:t>ent of Foreign Affairs and Trade</w:t>
      </w:r>
    </w:p>
    <w:p w:rsidR="001E7A82" w:rsidRPr="001E7A82" w:rsidRDefault="00854ED3" w:rsidP="004D2003">
      <w:pPr>
        <w:pStyle w:val="Date"/>
        <w:ind w:left="2694" w:right="-624"/>
        <w:sectPr w:rsidR="001E7A82" w:rsidRPr="001E7A82" w:rsidSect="00851F21">
          <w:headerReference w:type="even" r:id="rId13"/>
          <w:headerReference w:type="default" r:id="rId14"/>
          <w:footerReference w:type="even" r:id="rId15"/>
          <w:footerReference w:type="default" r:id="rId16"/>
          <w:headerReference w:type="first" r:id="rId17"/>
          <w:footerReference w:type="first" r:id="rId18"/>
          <w:pgSz w:w="11907" w:h="16840" w:code="9"/>
          <w:pgMar w:top="794" w:right="1701" w:bottom="794" w:left="1701" w:header="794" w:footer="340" w:gutter="0"/>
          <w:cols w:space="720"/>
          <w:titlePg/>
          <w:docGrid w:linePitch="326"/>
        </w:sectPr>
      </w:pPr>
      <w:r>
        <w:t>August</w:t>
      </w:r>
      <w:r w:rsidR="00894FF8">
        <w:t xml:space="preserve"> 2015</w:t>
      </w:r>
    </w:p>
    <w:p w:rsidR="00C54CCD" w:rsidRPr="00111771" w:rsidRDefault="00C54CCD" w:rsidP="00C54CCD">
      <w:pPr>
        <w:widowControl w:val="0"/>
        <w:spacing w:after="200" w:line="276" w:lineRule="auto"/>
        <w:rPr>
          <w:rFonts w:ascii="Franklin Gothic Book" w:hAnsi="Franklin Gothic Book" w:cs="MinionPro-Regular"/>
          <w:sz w:val="21"/>
          <w:szCs w:val="21"/>
          <w:lang w:val="en-US"/>
        </w:rPr>
      </w:pPr>
      <w:bookmarkStart w:id="0" w:name="_Toc373853205"/>
      <w:r w:rsidRPr="00111771">
        <w:rPr>
          <w:rFonts w:ascii="Franklin Gothic Book" w:hAnsi="Franklin Gothic Book"/>
          <w:b/>
          <w:sz w:val="21"/>
          <w:szCs w:val="21"/>
          <w:lang w:val="en-US"/>
        </w:rPr>
        <w:t>Creative Commons</w:t>
      </w:r>
    </w:p>
    <w:p w:rsidR="00C54CCD" w:rsidRPr="00111771" w:rsidRDefault="00C54CCD" w:rsidP="00C54CCD">
      <w:pPr>
        <w:widowControl w:val="0"/>
        <w:spacing w:after="120" w:line="276" w:lineRule="auto"/>
        <w:rPr>
          <w:rFonts w:ascii="Franklin Gothic Book" w:hAnsi="Franklin Gothic Book"/>
          <w:sz w:val="21"/>
          <w:szCs w:val="21"/>
          <w:lang w:val="en-US"/>
        </w:rPr>
      </w:pPr>
      <w:r w:rsidRPr="00111771">
        <w:rPr>
          <w:rFonts w:ascii="Franklin Gothic Book" w:hAnsi="Franklin Gothic Book"/>
          <w:sz w:val="21"/>
          <w:szCs w:val="21"/>
          <w:lang w:val="en-US"/>
        </w:rPr>
        <w:t>With the exception of the Commonwealth Coat of Arms and where otherwise noted all material presented in this document is provided under a Creative Commons Attribution 3.0 Australia</w:t>
      </w:r>
      <w:r w:rsidRPr="008728AD">
        <w:rPr>
          <w:rFonts w:ascii="Franklin Gothic Book" w:hAnsi="Franklin Gothic Book"/>
          <w:sz w:val="21"/>
          <w:szCs w:val="21"/>
          <w:lang w:val="en-GB"/>
        </w:rPr>
        <w:t xml:space="preserve"> licence</w:t>
      </w:r>
      <w:r w:rsidRPr="00111771">
        <w:rPr>
          <w:rFonts w:ascii="Franklin Gothic Book" w:hAnsi="Franklin Gothic Book"/>
          <w:sz w:val="21"/>
          <w:szCs w:val="21"/>
          <w:lang w:val="en-US"/>
        </w:rPr>
        <w:t xml:space="preserve"> </w:t>
      </w:r>
      <w:hyperlink r:id="rId19" w:history="1">
        <w:r w:rsidRPr="00111771">
          <w:rPr>
            <w:rStyle w:val="Hyperlink"/>
            <w:rFonts w:ascii="Franklin Gothic Book" w:hAnsi="Franklin Gothic Book"/>
            <w:color w:val="0070C0"/>
            <w:sz w:val="21"/>
            <w:szCs w:val="21"/>
            <w:u w:val="single"/>
            <w:lang w:val="en-US"/>
          </w:rPr>
          <w:t>http://creativecommons.org/licenses/by/3.0/au/</w:t>
        </w:r>
      </w:hyperlink>
      <w:r w:rsidR="00167F1D">
        <w:rPr>
          <w:rFonts w:ascii="Franklin Gothic Book" w:hAnsi="Franklin Gothic Book"/>
          <w:sz w:val="21"/>
          <w:szCs w:val="21"/>
          <w:lang w:val="en-US"/>
        </w:rPr>
        <w:t xml:space="preserve">.  </w:t>
      </w:r>
      <w:r w:rsidRPr="00111771">
        <w:rPr>
          <w:rFonts w:ascii="Franklin Gothic Book" w:hAnsi="Franklin Gothic Book"/>
          <w:sz w:val="21"/>
          <w:szCs w:val="21"/>
          <w:lang w:val="en-US"/>
        </w:rPr>
        <w:t>The details of the relevant</w:t>
      </w:r>
      <w:r w:rsidRPr="008728AD">
        <w:rPr>
          <w:rFonts w:ascii="Franklin Gothic Book" w:hAnsi="Franklin Gothic Book"/>
          <w:sz w:val="21"/>
          <w:szCs w:val="21"/>
          <w:lang w:val="en-GB"/>
        </w:rPr>
        <w:t xml:space="preserve"> licence</w:t>
      </w:r>
      <w:r w:rsidRPr="00111771">
        <w:rPr>
          <w:rFonts w:ascii="Franklin Gothic Book" w:hAnsi="Franklin Gothic Book"/>
          <w:sz w:val="21"/>
          <w:szCs w:val="21"/>
          <w:lang w:val="en-US"/>
        </w:rPr>
        <w:t xml:space="preserve"> conditions are available on the Creative Commons website (accessible using the links provided) as is the full legal code for the CC BY 3.0 AU</w:t>
      </w:r>
      <w:r w:rsidRPr="008728AD">
        <w:rPr>
          <w:rFonts w:ascii="Franklin Gothic Book" w:hAnsi="Franklin Gothic Book"/>
          <w:sz w:val="21"/>
          <w:szCs w:val="21"/>
          <w:lang w:val="en-GB"/>
        </w:rPr>
        <w:t xml:space="preserve"> licence</w:t>
      </w:r>
      <w:r w:rsidRPr="00111771">
        <w:rPr>
          <w:rFonts w:ascii="Franklin Gothic Book" w:hAnsi="Franklin Gothic Book"/>
          <w:sz w:val="21"/>
          <w:szCs w:val="21"/>
          <w:lang w:val="en-US"/>
        </w:rPr>
        <w:t xml:space="preserve"> </w:t>
      </w:r>
      <w:hyperlink r:id="rId20" w:history="1">
        <w:r w:rsidRPr="00111771">
          <w:rPr>
            <w:rStyle w:val="Hyperlink"/>
            <w:rFonts w:ascii="Franklin Gothic Book" w:hAnsi="Franklin Gothic Book"/>
            <w:color w:val="0070C0"/>
            <w:sz w:val="21"/>
            <w:szCs w:val="21"/>
            <w:u w:val="single"/>
            <w:lang w:val="en-US"/>
          </w:rPr>
          <w:t>http://creativecommons.org/licenses/by/3.0/au/legalcode</w:t>
        </w:r>
      </w:hyperlink>
    </w:p>
    <w:p w:rsidR="00C54CCD" w:rsidRPr="00111771" w:rsidRDefault="00C54CCD" w:rsidP="00C54CCD">
      <w:pPr>
        <w:widowControl w:val="0"/>
        <w:spacing w:after="200" w:line="276" w:lineRule="auto"/>
        <w:rPr>
          <w:rFonts w:ascii="Franklin Gothic Book" w:hAnsi="Franklin Gothic Book"/>
          <w:sz w:val="21"/>
          <w:szCs w:val="21"/>
          <w:lang w:val="en-US"/>
        </w:rPr>
      </w:pPr>
      <w:r w:rsidRPr="00111771">
        <w:rPr>
          <w:rFonts w:ascii="Franklin Gothic Book" w:hAnsi="Franklin Gothic Book"/>
          <w:sz w:val="21"/>
          <w:szCs w:val="21"/>
          <w:lang w:val="en-US"/>
        </w:rPr>
        <w:t xml:space="preserve">Commonwealth of Australia, </w:t>
      </w:r>
      <w:r w:rsidR="00444B95">
        <w:rPr>
          <w:rFonts w:ascii="Franklin Gothic Book" w:hAnsi="Franklin Gothic Book"/>
          <w:sz w:val="21"/>
          <w:szCs w:val="21"/>
          <w:lang w:val="en-US"/>
        </w:rPr>
        <w:t>Department of Foreign Affairs and Trade</w:t>
      </w:r>
      <w:r w:rsidRPr="00111771">
        <w:rPr>
          <w:rFonts w:ascii="Franklin Gothic Book" w:hAnsi="Franklin Gothic Book"/>
          <w:sz w:val="21"/>
          <w:szCs w:val="21"/>
          <w:lang w:val="en-US"/>
        </w:rPr>
        <w:t xml:space="preserve">, </w:t>
      </w:r>
      <w:r w:rsidR="008041E3">
        <w:rPr>
          <w:rFonts w:ascii="Franklin Gothic Book" w:hAnsi="Franklin Gothic Book"/>
          <w:i/>
          <w:sz w:val="21"/>
          <w:szCs w:val="21"/>
          <w:lang w:val="en-US"/>
        </w:rPr>
        <w:t>Department of Foreign Affairs and Trade Corporate Plan 2015-2019, August 2015</w:t>
      </w:r>
    </w:p>
    <w:p w:rsidR="00BA63FB" w:rsidRPr="00834DD7" w:rsidRDefault="00C54CCD" w:rsidP="00BA63FB">
      <w:pPr>
        <w:widowControl w:val="0"/>
        <w:spacing w:after="200" w:line="276" w:lineRule="auto"/>
        <w:rPr>
          <w:rFonts w:ascii="Franklin Gothic Book" w:hAnsi="Franklin Gothic Book"/>
          <w:sz w:val="21"/>
          <w:szCs w:val="21"/>
          <w:lang w:val="en-US"/>
        </w:rPr>
      </w:pPr>
      <w:r w:rsidRPr="00834DD7">
        <w:rPr>
          <w:rFonts w:ascii="Franklin Gothic Book" w:hAnsi="Franklin Gothic Book"/>
          <w:sz w:val="21"/>
          <w:szCs w:val="21"/>
          <w:lang w:val="en-US"/>
        </w:rPr>
        <w:t>ISBN</w:t>
      </w:r>
      <w:r w:rsidR="008041E3" w:rsidRPr="00834DD7">
        <w:rPr>
          <w:rFonts w:ascii="Franklin Gothic Book" w:hAnsi="Franklin Gothic Book"/>
          <w:sz w:val="21"/>
          <w:szCs w:val="21"/>
          <w:lang w:val="en-US"/>
        </w:rPr>
        <w:t>:</w:t>
      </w:r>
      <w:r w:rsidRPr="00834DD7">
        <w:rPr>
          <w:rFonts w:ascii="Franklin Gothic Book" w:hAnsi="Franklin Gothic Book"/>
          <w:sz w:val="21"/>
          <w:szCs w:val="21"/>
          <w:lang w:val="en-US"/>
        </w:rPr>
        <w:t xml:space="preserve"> </w:t>
      </w:r>
      <w:r w:rsidR="00834DD7" w:rsidRPr="00834DD7">
        <w:rPr>
          <w:rFonts w:ascii="Franklin Gothic Book" w:hAnsi="Franklin Gothic Book"/>
          <w:sz w:val="21"/>
          <w:szCs w:val="21"/>
          <w:lang w:val="en-US"/>
        </w:rPr>
        <w:t>978-1-74322-261-4</w:t>
      </w:r>
    </w:p>
    <w:p w:rsidR="00C54CCD" w:rsidRPr="00111771" w:rsidRDefault="00C54CCD" w:rsidP="00BA63FB">
      <w:pPr>
        <w:widowControl w:val="0"/>
        <w:spacing w:after="200" w:line="276" w:lineRule="auto"/>
        <w:rPr>
          <w:rFonts w:ascii="Franklin Gothic Book" w:hAnsi="Franklin Gothic Book"/>
          <w:b/>
          <w:sz w:val="21"/>
          <w:szCs w:val="21"/>
          <w:lang w:val="en-US"/>
        </w:rPr>
      </w:pPr>
      <w:r w:rsidRPr="00111771">
        <w:rPr>
          <w:rFonts w:ascii="Franklin Gothic Book" w:hAnsi="Franklin Gothic Book"/>
          <w:b/>
          <w:sz w:val="21"/>
          <w:szCs w:val="21"/>
          <w:lang w:val="en-US"/>
        </w:rPr>
        <w:t>Contact</w:t>
      </w:r>
    </w:p>
    <w:p w:rsidR="00C54CCD" w:rsidRPr="00111771" w:rsidRDefault="00C54CCD" w:rsidP="00C54CCD">
      <w:pPr>
        <w:widowControl w:val="0"/>
        <w:spacing w:line="276" w:lineRule="auto"/>
        <w:rPr>
          <w:rFonts w:ascii="Franklin Gothic Book" w:hAnsi="Franklin Gothic Book"/>
          <w:sz w:val="21"/>
          <w:szCs w:val="21"/>
          <w:lang w:val="en-US"/>
        </w:rPr>
      </w:pPr>
      <w:r w:rsidRPr="00111771">
        <w:rPr>
          <w:rFonts w:ascii="Franklin Gothic Book" w:hAnsi="Franklin Gothic Book"/>
          <w:sz w:val="21"/>
          <w:szCs w:val="21"/>
          <w:lang w:val="en-US"/>
        </w:rPr>
        <w:t>Inquiries about this document should be directed to:</w:t>
      </w:r>
    </w:p>
    <w:p w:rsidR="00C54CCD" w:rsidRPr="00111771" w:rsidRDefault="00C54CCD" w:rsidP="00C54CCD">
      <w:pPr>
        <w:widowControl w:val="0"/>
        <w:spacing w:after="200" w:line="276" w:lineRule="auto"/>
        <w:rPr>
          <w:rFonts w:ascii="Franklin Gothic Book" w:hAnsi="Franklin Gothic Book"/>
          <w:sz w:val="21"/>
          <w:szCs w:val="21"/>
          <w:lang w:val="en-US"/>
        </w:rPr>
      </w:pPr>
      <w:r w:rsidRPr="00111771">
        <w:rPr>
          <w:rFonts w:ascii="Franklin Gothic Book" w:hAnsi="Franklin Gothic Book"/>
          <w:sz w:val="21"/>
          <w:szCs w:val="21"/>
          <w:lang w:val="en-US"/>
        </w:rPr>
        <w:t>Department of Foreign Affairs and Trade</w:t>
      </w:r>
      <w:r w:rsidRPr="00111771">
        <w:rPr>
          <w:rFonts w:ascii="Franklin Gothic Book" w:hAnsi="Franklin Gothic Book"/>
          <w:sz w:val="21"/>
          <w:szCs w:val="21"/>
          <w:lang w:val="en-US"/>
        </w:rPr>
        <w:br/>
        <w:t>RG Casey Building</w:t>
      </w:r>
      <w:r w:rsidRPr="00111771">
        <w:rPr>
          <w:rFonts w:ascii="Franklin Gothic Book" w:hAnsi="Franklin Gothic Book"/>
          <w:sz w:val="21"/>
          <w:szCs w:val="21"/>
          <w:lang w:val="en-US"/>
        </w:rPr>
        <w:br/>
        <w:t>John McEwen Crescent</w:t>
      </w:r>
      <w:r w:rsidRPr="00111771">
        <w:rPr>
          <w:rFonts w:ascii="Franklin Gothic Book" w:hAnsi="Franklin Gothic Book"/>
          <w:sz w:val="21"/>
          <w:szCs w:val="21"/>
          <w:lang w:val="en-US"/>
        </w:rPr>
        <w:br/>
        <w:t>Barton ACT 0221</w:t>
      </w:r>
      <w:r w:rsidRPr="00111771">
        <w:rPr>
          <w:rFonts w:ascii="Franklin Gothic Book" w:hAnsi="Franklin Gothic Book"/>
          <w:sz w:val="21"/>
          <w:szCs w:val="21"/>
          <w:lang w:val="en-US"/>
        </w:rPr>
        <w:br/>
        <w:t>Australia</w:t>
      </w:r>
    </w:p>
    <w:p w:rsidR="00C54CCD" w:rsidRPr="00111771" w:rsidRDefault="00C54CCD" w:rsidP="00C54CCD">
      <w:pPr>
        <w:widowControl w:val="0"/>
        <w:spacing w:after="200" w:line="276" w:lineRule="auto"/>
        <w:rPr>
          <w:rFonts w:ascii="Franklin Gothic Book" w:hAnsi="Franklin Gothic Book"/>
          <w:sz w:val="21"/>
          <w:szCs w:val="21"/>
          <w:lang w:val="en-US"/>
        </w:rPr>
      </w:pPr>
      <w:r w:rsidRPr="00111771">
        <w:rPr>
          <w:rFonts w:ascii="Franklin Gothic Book" w:hAnsi="Franklin Gothic Book"/>
          <w:sz w:val="21"/>
          <w:szCs w:val="21"/>
          <w:lang w:val="en-US"/>
        </w:rPr>
        <w:t>Phone +61 2 6261 1111</w:t>
      </w:r>
      <w:r w:rsidRPr="00111771">
        <w:rPr>
          <w:rFonts w:ascii="Franklin Gothic Book" w:hAnsi="Franklin Gothic Book"/>
          <w:sz w:val="21"/>
          <w:szCs w:val="21"/>
          <w:lang w:val="en-US"/>
        </w:rPr>
        <w:br/>
        <w:t>Fax +61 2 6261 3111</w:t>
      </w:r>
    </w:p>
    <w:p w:rsidR="00C54CCD" w:rsidRDefault="00C54CCD">
      <w:pPr>
        <w:rPr>
          <w:rFonts w:ascii="Cambria" w:hAnsi="Cambria"/>
          <w:b/>
          <w:sz w:val="20"/>
          <w:szCs w:val="20"/>
          <w:lang w:val="en-US"/>
        </w:rPr>
      </w:pPr>
      <w:r>
        <w:rPr>
          <w:rFonts w:ascii="Cambria" w:hAnsi="Cambria"/>
          <w:b/>
          <w:sz w:val="20"/>
          <w:szCs w:val="20"/>
          <w:lang w:val="en-US"/>
        </w:rPr>
        <w:br w:type="page"/>
      </w:r>
    </w:p>
    <w:p w:rsidR="005A1D6E" w:rsidRPr="003B2AD1" w:rsidRDefault="00416C57" w:rsidP="001320C8">
      <w:pPr>
        <w:pStyle w:val="Heading1"/>
        <w:spacing w:before="0" w:after="120" w:line="240" w:lineRule="auto"/>
      </w:pPr>
      <w:r>
        <w:t>Secretary’s message</w:t>
      </w:r>
    </w:p>
    <w:p w:rsidR="00836B2F" w:rsidRDefault="00836B2F" w:rsidP="00836B2F">
      <w:pPr>
        <w:spacing w:after="120"/>
        <w:rPr>
          <w:rFonts w:ascii="Franklin Gothic Book" w:hAnsi="Franklin Gothic Book"/>
          <w:sz w:val="21"/>
        </w:rPr>
      </w:pPr>
    </w:p>
    <w:p w:rsidR="00836B2F" w:rsidRDefault="00836B2F" w:rsidP="00836B2F">
      <w:pPr>
        <w:spacing w:after="120"/>
        <w:rPr>
          <w:rFonts w:ascii="Franklin Gothic Book" w:hAnsi="Franklin Gothic Book"/>
          <w:sz w:val="21"/>
        </w:rPr>
      </w:pPr>
      <w:r>
        <w:rPr>
          <w:rFonts w:ascii="Franklin Gothic Book" w:hAnsi="Franklin Gothic Book"/>
          <w:noProof/>
          <w:sz w:val="21"/>
        </w:rPr>
        <w:drawing>
          <wp:inline distT="0" distB="0" distL="0" distR="0" wp14:anchorId="776CCB5E" wp14:editId="23C2D9A0">
            <wp:extent cx="123825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ghese_peter_sm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0150" cy="1717130"/>
                    </a:xfrm>
                    <a:prstGeom prst="rect">
                      <a:avLst/>
                    </a:prstGeom>
                  </pic:spPr>
                </pic:pic>
              </a:graphicData>
            </a:graphic>
          </wp:inline>
        </w:drawing>
      </w:r>
    </w:p>
    <w:p w:rsidR="00836B2F" w:rsidRDefault="00836B2F" w:rsidP="00836B2F">
      <w:pPr>
        <w:spacing w:after="120"/>
        <w:rPr>
          <w:rFonts w:ascii="Franklin Gothic Book" w:hAnsi="Franklin Gothic Book"/>
          <w:i/>
          <w:sz w:val="17"/>
          <w:szCs w:val="17"/>
        </w:rPr>
      </w:pPr>
      <w:r>
        <w:rPr>
          <w:rFonts w:ascii="Franklin Gothic Book" w:hAnsi="Franklin Gothic Book"/>
          <w:i/>
          <w:sz w:val="17"/>
          <w:szCs w:val="17"/>
        </w:rPr>
        <w:t>Secretary, Peter Varghese AO</w:t>
      </w:r>
    </w:p>
    <w:p w:rsidR="00836B2F" w:rsidRPr="00836B2F" w:rsidRDefault="00836B2F" w:rsidP="00836B2F">
      <w:pPr>
        <w:spacing w:after="120"/>
        <w:rPr>
          <w:rFonts w:ascii="Franklin Gothic Book" w:hAnsi="Franklin Gothic Book"/>
          <w:i/>
          <w:sz w:val="17"/>
          <w:szCs w:val="17"/>
        </w:rPr>
      </w:pPr>
    </w:p>
    <w:p w:rsidR="00EA02A0" w:rsidRDefault="00836B2F" w:rsidP="00836B2F">
      <w:pPr>
        <w:spacing w:after="120"/>
        <w:rPr>
          <w:rFonts w:ascii="Franklin Gothic Book" w:hAnsi="Franklin Gothic Book"/>
          <w:sz w:val="21"/>
        </w:rPr>
      </w:pPr>
      <w:r w:rsidRPr="00894FF8">
        <w:rPr>
          <w:rFonts w:ascii="Franklin Gothic Book" w:hAnsi="Franklin Gothic Book"/>
          <w:sz w:val="21"/>
        </w:rPr>
        <w:t xml:space="preserve">The </w:t>
      </w:r>
      <w:r w:rsidR="00E42B85">
        <w:rPr>
          <w:rFonts w:ascii="Franklin Gothic Book" w:hAnsi="Franklin Gothic Book"/>
          <w:sz w:val="21"/>
        </w:rPr>
        <w:t xml:space="preserve">corporate plan of the </w:t>
      </w:r>
      <w:r w:rsidRPr="00894FF8">
        <w:rPr>
          <w:rFonts w:ascii="Franklin Gothic Book" w:hAnsi="Franklin Gothic Book"/>
          <w:sz w:val="21"/>
        </w:rPr>
        <w:t xml:space="preserve">Department of Foreign Affairs and Trade </w:t>
      </w:r>
      <w:r w:rsidR="00E42B85">
        <w:rPr>
          <w:rFonts w:ascii="Franklin Gothic Book" w:hAnsi="Franklin Gothic Book"/>
          <w:sz w:val="21"/>
        </w:rPr>
        <w:t>articulates how the department will deliver on and measure its performance</w:t>
      </w:r>
      <w:r w:rsidR="00EA02A0">
        <w:rPr>
          <w:rFonts w:ascii="Franklin Gothic Book" w:hAnsi="Franklin Gothic Book"/>
          <w:sz w:val="21"/>
        </w:rPr>
        <w:t xml:space="preserve"> in </w:t>
      </w:r>
      <w:r>
        <w:rPr>
          <w:rFonts w:ascii="Franklin Gothic Book" w:hAnsi="Franklin Gothic Book"/>
          <w:sz w:val="21"/>
        </w:rPr>
        <w:t>delivering</w:t>
      </w:r>
      <w:r w:rsidRPr="00894FF8">
        <w:rPr>
          <w:rFonts w:ascii="Franklin Gothic Book" w:hAnsi="Franklin Gothic Book"/>
          <w:sz w:val="21"/>
        </w:rPr>
        <w:t xml:space="preserve"> </w:t>
      </w:r>
      <w:r w:rsidR="00AE25B6">
        <w:rPr>
          <w:rFonts w:ascii="Franklin Gothic Book" w:hAnsi="Franklin Gothic Book"/>
          <w:sz w:val="21"/>
        </w:rPr>
        <w:t>the Government’s</w:t>
      </w:r>
      <w:r w:rsidRPr="00894FF8">
        <w:rPr>
          <w:rFonts w:ascii="Franklin Gothic Book" w:hAnsi="Franklin Gothic Book"/>
          <w:sz w:val="21"/>
        </w:rPr>
        <w:t xml:space="preserve"> foreign, trade and investment, </w:t>
      </w:r>
      <w:r w:rsidR="00EA02A0">
        <w:rPr>
          <w:rFonts w:ascii="Franklin Gothic Book" w:hAnsi="Franklin Gothic Book"/>
          <w:sz w:val="21"/>
        </w:rPr>
        <w:t xml:space="preserve">and </w:t>
      </w:r>
      <w:r w:rsidRPr="00894FF8">
        <w:rPr>
          <w:rFonts w:ascii="Franklin Gothic Book" w:hAnsi="Franklin Gothic Book"/>
          <w:sz w:val="21"/>
        </w:rPr>
        <w:t xml:space="preserve">development </w:t>
      </w:r>
      <w:r w:rsidR="00EA02A0">
        <w:rPr>
          <w:rFonts w:ascii="Franklin Gothic Book" w:hAnsi="Franklin Gothic Book"/>
          <w:sz w:val="21"/>
        </w:rPr>
        <w:t>priorities.</w:t>
      </w:r>
    </w:p>
    <w:p w:rsidR="00763E7D" w:rsidRDefault="00836B2F" w:rsidP="00836B2F">
      <w:pPr>
        <w:spacing w:after="120"/>
        <w:rPr>
          <w:rFonts w:ascii="Franklin Gothic Book" w:hAnsi="Franklin Gothic Book"/>
          <w:sz w:val="21"/>
        </w:rPr>
      </w:pPr>
      <w:r w:rsidRPr="00894FF8">
        <w:rPr>
          <w:rFonts w:ascii="Franklin Gothic Book" w:hAnsi="Franklin Gothic Book"/>
          <w:sz w:val="21"/>
        </w:rPr>
        <w:t xml:space="preserve">The environment in which the department operates is undergoing </w:t>
      </w:r>
      <w:r>
        <w:rPr>
          <w:rFonts w:ascii="Franklin Gothic Book" w:hAnsi="Franklin Gothic Book"/>
          <w:sz w:val="21"/>
        </w:rPr>
        <w:t xml:space="preserve">significant </w:t>
      </w:r>
      <w:r w:rsidRPr="00894FF8">
        <w:rPr>
          <w:rFonts w:ascii="Franklin Gothic Book" w:hAnsi="Franklin Gothic Book"/>
          <w:sz w:val="21"/>
        </w:rPr>
        <w:t>change</w:t>
      </w:r>
      <w:r w:rsidR="00167F1D">
        <w:rPr>
          <w:rFonts w:ascii="Franklin Gothic Book" w:hAnsi="Franklin Gothic Book"/>
          <w:sz w:val="21"/>
        </w:rPr>
        <w:t>.</w:t>
      </w:r>
      <w:r w:rsidR="00477008">
        <w:rPr>
          <w:rFonts w:ascii="Franklin Gothic Book" w:hAnsi="Franklin Gothic Book"/>
          <w:sz w:val="21"/>
        </w:rPr>
        <w:t xml:space="preserve">  </w:t>
      </w:r>
      <w:r w:rsidRPr="00894FF8">
        <w:rPr>
          <w:rFonts w:ascii="Franklin Gothic Book" w:hAnsi="Franklin Gothic Book"/>
          <w:sz w:val="21"/>
        </w:rPr>
        <w:t>Global uncertainty</w:t>
      </w:r>
      <w:r w:rsidR="00EA02A0">
        <w:rPr>
          <w:rFonts w:ascii="Franklin Gothic Book" w:hAnsi="Franklin Gothic Book"/>
          <w:sz w:val="21"/>
        </w:rPr>
        <w:t xml:space="preserve"> </w:t>
      </w:r>
      <w:r w:rsidR="00B42D7F" w:rsidRPr="00894FF8">
        <w:rPr>
          <w:rFonts w:ascii="Franklin Gothic Book" w:hAnsi="Franklin Gothic Book"/>
          <w:sz w:val="21"/>
        </w:rPr>
        <w:t>—</w:t>
      </w:r>
      <w:r w:rsidR="00B42D7F">
        <w:rPr>
          <w:rFonts w:ascii="Franklin Gothic Book" w:hAnsi="Franklin Gothic Book"/>
          <w:sz w:val="21"/>
        </w:rPr>
        <w:t xml:space="preserve"> driven</w:t>
      </w:r>
      <w:r w:rsidRPr="00894FF8">
        <w:rPr>
          <w:rFonts w:ascii="Franklin Gothic Book" w:hAnsi="Franklin Gothic Book"/>
          <w:sz w:val="21"/>
        </w:rPr>
        <w:t xml:space="preserve"> by </w:t>
      </w:r>
      <w:r w:rsidR="00AE25B6">
        <w:rPr>
          <w:rFonts w:ascii="Franklin Gothic Book" w:hAnsi="Franklin Gothic Book"/>
          <w:sz w:val="21"/>
        </w:rPr>
        <w:t>weak global demand and shifting strategic currents</w:t>
      </w:r>
      <w:r w:rsidR="00EA02A0">
        <w:rPr>
          <w:rFonts w:ascii="Franklin Gothic Book" w:hAnsi="Franklin Gothic Book"/>
          <w:sz w:val="21"/>
        </w:rPr>
        <w:t xml:space="preserve"> </w:t>
      </w:r>
      <w:r w:rsidR="00AE25B6" w:rsidRPr="00894FF8">
        <w:rPr>
          <w:rFonts w:ascii="Franklin Gothic Book" w:hAnsi="Franklin Gothic Book"/>
          <w:sz w:val="21"/>
        </w:rPr>
        <w:t>—</w:t>
      </w:r>
      <w:r w:rsidR="00AE25B6">
        <w:rPr>
          <w:rFonts w:ascii="Franklin Gothic Book" w:hAnsi="Franklin Gothic Book"/>
          <w:sz w:val="21"/>
        </w:rPr>
        <w:t xml:space="preserve"> continues</w:t>
      </w:r>
      <w:r w:rsidRPr="00894FF8">
        <w:rPr>
          <w:rFonts w:ascii="Franklin Gothic Book" w:hAnsi="Franklin Gothic Book"/>
          <w:sz w:val="21"/>
        </w:rPr>
        <w:t xml:space="preserve"> to present significant challenges</w:t>
      </w:r>
      <w:r w:rsidR="00167F1D">
        <w:rPr>
          <w:rFonts w:ascii="Franklin Gothic Book" w:hAnsi="Franklin Gothic Book"/>
          <w:sz w:val="21"/>
        </w:rPr>
        <w:t>.</w:t>
      </w:r>
      <w:r w:rsidR="00477008">
        <w:rPr>
          <w:rFonts w:ascii="Franklin Gothic Book" w:hAnsi="Franklin Gothic Book"/>
          <w:sz w:val="21"/>
        </w:rPr>
        <w:t xml:space="preserve">  </w:t>
      </w:r>
      <w:r w:rsidRPr="00894FF8">
        <w:rPr>
          <w:rFonts w:ascii="Franklin Gothic Book" w:hAnsi="Franklin Gothic Book"/>
          <w:sz w:val="21"/>
        </w:rPr>
        <w:t>As the Indo–Pacific’s economic and strategic weight increases, regional cooperation and a commitment to open economies will be crucial to expanding prosperity and narrowing strategic risk</w:t>
      </w:r>
      <w:r w:rsidR="00167F1D">
        <w:rPr>
          <w:rFonts w:ascii="Franklin Gothic Book" w:hAnsi="Franklin Gothic Book"/>
          <w:sz w:val="21"/>
        </w:rPr>
        <w:t>.</w:t>
      </w:r>
      <w:r w:rsidR="00477008">
        <w:rPr>
          <w:rFonts w:ascii="Franklin Gothic Book" w:hAnsi="Franklin Gothic Book"/>
          <w:sz w:val="21"/>
        </w:rPr>
        <w:t xml:space="preserve">  </w:t>
      </w:r>
    </w:p>
    <w:p w:rsidR="00485D34" w:rsidRDefault="00836B2F" w:rsidP="00836B2F">
      <w:pPr>
        <w:spacing w:after="120"/>
        <w:rPr>
          <w:rFonts w:ascii="Franklin Gothic Book" w:hAnsi="Franklin Gothic Book"/>
          <w:sz w:val="21"/>
        </w:rPr>
      </w:pPr>
      <w:r>
        <w:rPr>
          <w:rFonts w:ascii="Franklin Gothic Book" w:hAnsi="Franklin Gothic Book"/>
          <w:sz w:val="21"/>
        </w:rPr>
        <w:t xml:space="preserve">The department is </w:t>
      </w:r>
      <w:r w:rsidR="00EA02A0">
        <w:rPr>
          <w:rFonts w:ascii="Franklin Gothic Book" w:hAnsi="Franklin Gothic Book"/>
          <w:sz w:val="21"/>
        </w:rPr>
        <w:t xml:space="preserve">committed to using its core assets - </w:t>
      </w:r>
      <w:r>
        <w:rPr>
          <w:rFonts w:ascii="Franklin Gothic Book" w:hAnsi="Franklin Gothic Book"/>
          <w:sz w:val="21"/>
        </w:rPr>
        <w:t xml:space="preserve">its </w:t>
      </w:r>
      <w:r w:rsidR="00EA02A0">
        <w:rPr>
          <w:rFonts w:ascii="Franklin Gothic Book" w:hAnsi="Franklin Gothic Book"/>
          <w:sz w:val="21"/>
        </w:rPr>
        <w:t>staff and its</w:t>
      </w:r>
      <w:r>
        <w:rPr>
          <w:rFonts w:ascii="Franklin Gothic Book" w:hAnsi="Franklin Gothic Book"/>
          <w:sz w:val="21"/>
        </w:rPr>
        <w:t xml:space="preserve"> overseas network</w:t>
      </w:r>
      <w:r w:rsidR="00AE25B6">
        <w:rPr>
          <w:rFonts w:ascii="Franklin Gothic Book" w:hAnsi="Franklin Gothic Book"/>
          <w:sz w:val="21"/>
        </w:rPr>
        <w:t xml:space="preserve"> of posts – to advance Australia’s core interests in this more complex global environment</w:t>
      </w:r>
      <w:r w:rsidR="00167F1D">
        <w:rPr>
          <w:rFonts w:ascii="Franklin Gothic Book" w:hAnsi="Franklin Gothic Book"/>
          <w:sz w:val="21"/>
        </w:rPr>
        <w:t>.</w:t>
      </w:r>
      <w:r w:rsidR="00477008">
        <w:rPr>
          <w:rFonts w:ascii="Franklin Gothic Book" w:hAnsi="Franklin Gothic Book"/>
          <w:sz w:val="21"/>
        </w:rPr>
        <w:t xml:space="preserve">  </w:t>
      </w:r>
      <w:r w:rsidR="00474118">
        <w:rPr>
          <w:rFonts w:ascii="Franklin Gothic Book" w:hAnsi="Franklin Gothic Book"/>
          <w:sz w:val="21"/>
        </w:rPr>
        <w:t>Now more than ever, Australia’s economic prosperity is influenced by regional and international conditions and developments</w:t>
      </w:r>
      <w:r w:rsidR="00796831">
        <w:rPr>
          <w:rFonts w:ascii="Franklin Gothic Book" w:hAnsi="Franklin Gothic Book"/>
          <w:sz w:val="21"/>
        </w:rPr>
        <w:t>,</w:t>
      </w:r>
      <w:r w:rsidR="00474118">
        <w:rPr>
          <w:rFonts w:ascii="Franklin Gothic Book" w:hAnsi="Franklin Gothic Book"/>
          <w:sz w:val="21"/>
        </w:rPr>
        <w:t xml:space="preserve"> and </w:t>
      </w:r>
      <w:r w:rsidR="005D4AA8">
        <w:rPr>
          <w:rFonts w:ascii="Franklin Gothic Book" w:hAnsi="Franklin Gothic Book"/>
          <w:sz w:val="21"/>
        </w:rPr>
        <w:t>defined</w:t>
      </w:r>
      <w:r w:rsidR="00474118">
        <w:rPr>
          <w:rFonts w:ascii="Franklin Gothic Book" w:hAnsi="Franklin Gothic Book"/>
          <w:sz w:val="21"/>
        </w:rPr>
        <w:t xml:space="preserve"> by our ability to shape and respond to them.  </w:t>
      </w:r>
      <w:r w:rsidR="00AE25B6">
        <w:rPr>
          <w:rFonts w:ascii="Franklin Gothic Book" w:hAnsi="Franklin Gothic Book"/>
          <w:sz w:val="21"/>
        </w:rPr>
        <w:t>This also</w:t>
      </w:r>
      <w:r w:rsidR="005D4AA8">
        <w:rPr>
          <w:rFonts w:ascii="Franklin Gothic Book" w:hAnsi="Franklin Gothic Book"/>
          <w:sz w:val="21"/>
        </w:rPr>
        <w:t xml:space="preserve"> demands the department</w:t>
      </w:r>
      <w:r w:rsidR="00796831">
        <w:rPr>
          <w:rFonts w:ascii="Franklin Gothic Book" w:hAnsi="Franklin Gothic Book"/>
          <w:sz w:val="21"/>
        </w:rPr>
        <w:t>’s close</w:t>
      </w:r>
      <w:r w:rsidR="005D4AA8">
        <w:rPr>
          <w:rFonts w:ascii="Franklin Gothic Book" w:hAnsi="Franklin Gothic Book"/>
          <w:sz w:val="21"/>
        </w:rPr>
        <w:t xml:space="preserve"> engage</w:t>
      </w:r>
      <w:r w:rsidR="00796831">
        <w:rPr>
          <w:rFonts w:ascii="Franklin Gothic Book" w:hAnsi="Franklin Gothic Book"/>
          <w:sz w:val="21"/>
        </w:rPr>
        <w:t>ment</w:t>
      </w:r>
      <w:r w:rsidR="005D4AA8">
        <w:rPr>
          <w:rFonts w:ascii="Franklin Gothic Book" w:hAnsi="Franklin Gothic Book"/>
          <w:sz w:val="21"/>
        </w:rPr>
        <w:t xml:space="preserve"> on key economic and productivity debates in Australia. </w:t>
      </w:r>
    </w:p>
    <w:p w:rsidR="00763E7D" w:rsidRDefault="00EA02A0" w:rsidP="00836B2F">
      <w:pPr>
        <w:spacing w:after="120"/>
        <w:rPr>
          <w:rFonts w:ascii="Franklin Gothic Book" w:hAnsi="Franklin Gothic Book"/>
          <w:sz w:val="21"/>
        </w:rPr>
      </w:pPr>
      <w:r>
        <w:rPr>
          <w:rFonts w:ascii="Franklin Gothic Book" w:hAnsi="Franklin Gothic Book"/>
          <w:sz w:val="21"/>
        </w:rPr>
        <w:t xml:space="preserve">The department has </w:t>
      </w:r>
      <w:r w:rsidR="00836B2F">
        <w:rPr>
          <w:rFonts w:ascii="Franklin Gothic Book" w:hAnsi="Franklin Gothic Book"/>
          <w:sz w:val="21"/>
        </w:rPr>
        <w:t>an ambitious agenda to deliver over the next four years</w:t>
      </w:r>
      <w:r w:rsidR="00167F1D">
        <w:rPr>
          <w:rFonts w:ascii="Franklin Gothic Book" w:hAnsi="Franklin Gothic Book"/>
          <w:sz w:val="21"/>
        </w:rPr>
        <w:t>.</w:t>
      </w:r>
      <w:r w:rsidR="00477008">
        <w:rPr>
          <w:rFonts w:ascii="Franklin Gothic Book" w:hAnsi="Franklin Gothic Book"/>
          <w:sz w:val="21"/>
        </w:rPr>
        <w:t xml:space="preserve">  </w:t>
      </w:r>
      <w:r>
        <w:rPr>
          <w:rFonts w:ascii="Franklin Gothic Book" w:hAnsi="Franklin Gothic Book"/>
          <w:sz w:val="21"/>
        </w:rPr>
        <w:t>This corporate p</w:t>
      </w:r>
      <w:r w:rsidR="00763E7D">
        <w:rPr>
          <w:rFonts w:ascii="Franklin Gothic Book" w:hAnsi="Franklin Gothic Book"/>
          <w:sz w:val="21"/>
        </w:rPr>
        <w:t>lan</w:t>
      </w:r>
      <w:r w:rsidR="009D15A1">
        <w:rPr>
          <w:rFonts w:ascii="Franklin Gothic Book" w:hAnsi="Franklin Gothic Book"/>
          <w:sz w:val="21"/>
        </w:rPr>
        <w:t xml:space="preserve">, prepared in the 2015-16 reporting period, </w:t>
      </w:r>
      <w:r w:rsidR="00763E7D">
        <w:rPr>
          <w:rFonts w:ascii="Franklin Gothic Book" w:hAnsi="Franklin Gothic Book"/>
          <w:sz w:val="21"/>
        </w:rPr>
        <w:t xml:space="preserve">outlines how </w:t>
      </w:r>
      <w:r w:rsidR="00444B95">
        <w:rPr>
          <w:rFonts w:ascii="Franklin Gothic Book" w:hAnsi="Franklin Gothic Book"/>
          <w:sz w:val="21"/>
        </w:rPr>
        <w:t>the department</w:t>
      </w:r>
      <w:r w:rsidR="00763E7D">
        <w:rPr>
          <w:rFonts w:ascii="Franklin Gothic Book" w:hAnsi="Franklin Gothic Book"/>
          <w:sz w:val="21"/>
        </w:rPr>
        <w:t xml:space="preserve"> </w:t>
      </w:r>
      <w:r>
        <w:rPr>
          <w:rFonts w:ascii="Franklin Gothic Book" w:hAnsi="Franklin Gothic Book"/>
          <w:sz w:val="21"/>
        </w:rPr>
        <w:t xml:space="preserve">will perform its functions for the period </w:t>
      </w:r>
      <w:r w:rsidR="009D15A1">
        <w:rPr>
          <w:rFonts w:ascii="Franklin Gothic Book" w:hAnsi="Franklin Gothic Book"/>
          <w:sz w:val="21"/>
        </w:rPr>
        <w:t>2015-16</w:t>
      </w:r>
      <w:r>
        <w:rPr>
          <w:rFonts w:ascii="Franklin Gothic Book" w:hAnsi="Franklin Gothic Book"/>
          <w:sz w:val="21"/>
        </w:rPr>
        <w:t xml:space="preserve"> </w:t>
      </w:r>
      <w:r w:rsidR="00C1434E">
        <w:rPr>
          <w:rFonts w:ascii="Franklin Gothic Book" w:hAnsi="Franklin Gothic Book"/>
          <w:sz w:val="21"/>
        </w:rPr>
        <w:t xml:space="preserve">to </w:t>
      </w:r>
      <w:r w:rsidR="008054B7">
        <w:rPr>
          <w:rFonts w:ascii="Franklin Gothic Book" w:hAnsi="Franklin Gothic Book"/>
          <w:sz w:val="21"/>
        </w:rPr>
        <w:t>2019-20</w:t>
      </w:r>
      <w:r w:rsidR="009D15A1">
        <w:rPr>
          <w:rFonts w:ascii="Franklin Gothic Book" w:hAnsi="Franklin Gothic Book"/>
          <w:sz w:val="21"/>
        </w:rPr>
        <w:t>,</w:t>
      </w:r>
      <w:r>
        <w:rPr>
          <w:rFonts w:ascii="Franklin Gothic Book" w:hAnsi="Franklin Gothic Book"/>
          <w:sz w:val="21"/>
        </w:rPr>
        <w:t xml:space="preserve"> as </w:t>
      </w:r>
      <w:r w:rsidRPr="00894FF8">
        <w:rPr>
          <w:rFonts w:ascii="Franklin Gothic Book" w:hAnsi="Franklin Gothic Book"/>
          <w:sz w:val="21"/>
        </w:rPr>
        <w:t>required</w:t>
      </w:r>
      <w:r w:rsidR="00796831" w:rsidRPr="00796831">
        <w:rPr>
          <w:rFonts w:ascii="Franklin Gothic Book" w:hAnsi="Franklin Gothic Book"/>
          <w:sz w:val="21"/>
        </w:rPr>
        <w:t xml:space="preserve"> </w:t>
      </w:r>
      <w:r w:rsidR="00796831" w:rsidRPr="00894FF8">
        <w:rPr>
          <w:rFonts w:ascii="Franklin Gothic Book" w:hAnsi="Franklin Gothic Book"/>
          <w:sz w:val="21"/>
        </w:rPr>
        <w:t>under paragraph 35(1</w:t>
      </w:r>
      <w:r w:rsidR="00796831">
        <w:rPr>
          <w:rFonts w:ascii="Franklin Gothic Book" w:hAnsi="Franklin Gothic Book"/>
          <w:sz w:val="21"/>
        </w:rPr>
        <w:t>)</w:t>
      </w:r>
      <w:r w:rsidR="00796831" w:rsidRPr="00894FF8">
        <w:rPr>
          <w:rFonts w:ascii="Franklin Gothic Book" w:hAnsi="Franklin Gothic Book"/>
          <w:sz w:val="21"/>
        </w:rPr>
        <w:t>(b)</w:t>
      </w:r>
      <w:r w:rsidR="00796831">
        <w:rPr>
          <w:rFonts w:ascii="Franklin Gothic Book" w:hAnsi="Franklin Gothic Book"/>
          <w:sz w:val="21"/>
        </w:rPr>
        <w:t>/95(1)(b)</w:t>
      </w:r>
      <w:r w:rsidR="00796831" w:rsidRPr="00894FF8">
        <w:rPr>
          <w:rFonts w:ascii="Franklin Gothic Book" w:hAnsi="Franklin Gothic Book"/>
          <w:sz w:val="21"/>
        </w:rPr>
        <w:t xml:space="preserve"> of the </w:t>
      </w:r>
      <w:r w:rsidR="00796831" w:rsidRPr="00D05E07">
        <w:rPr>
          <w:rFonts w:ascii="Franklin Gothic Book" w:hAnsi="Franklin Gothic Book"/>
          <w:i/>
          <w:sz w:val="21"/>
        </w:rPr>
        <w:t>Public Governance, Performance and Accountability Act 2013</w:t>
      </w:r>
      <w:r w:rsidR="00167F1D">
        <w:rPr>
          <w:rFonts w:ascii="Franklin Gothic Book" w:hAnsi="Franklin Gothic Book"/>
          <w:sz w:val="21"/>
        </w:rPr>
        <w:t>.</w:t>
      </w:r>
      <w:r w:rsidR="00477008">
        <w:rPr>
          <w:rFonts w:ascii="Franklin Gothic Book" w:hAnsi="Franklin Gothic Book"/>
          <w:sz w:val="21"/>
        </w:rPr>
        <w:t xml:space="preserve">  </w:t>
      </w:r>
      <w:r w:rsidR="002E3F33">
        <w:rPr>
          <w:rFonts w:ascii="Franklin Gothic Book" w:hAnsi="Franklin Gothic Book"/>
          <w:sz w:val="21"/>
        </w:rPr>
        <w:t xml:space="preserve">The </w:t>
      </w:r>
      <w:r w:rsidR="00AE25B6">
        <w:rPr>
          <w:rFonts w:ascii="Franklin Gothic Book" w:hAnsi="Franklin Gothic Book"/>
          <w:sz w:val="21"/>
        </w:rPr>
        <w:t>larger result</w:t>
      </w:r>
      <w:r w:rsidR="002E3F33">
        <w:rPr>
          <w:rFonts w:ascii="Franklin Gothic Book" w:hAnsi="Franklin Gothic Book"/>
          <w:sz w:val="21"/>
        </w:rPr>
        <w:t xml:space="preserve"> of the Corporate Plan, as outlined in the department’s </w:t>
      </w:r>
      <w:r w:rsidR="002E3F33" w:rsidRPr="00C1434E">
        <w:rPr>
          <w:rFonts w:ascii="Franklin Gothic Book" w:hAnsi="Franklin Gothic Book"/>
          <w:i/>
          <w:sz w:val="21"/>
        </w:rPr>
        <w:t>2015-2019</w:t>
      </w:r>
      <w:r w:rsidR="002E3F33">
        <w:rPr>
          <w:rFonts w:ascii="Franklin Gothic Book" w:hAnsi="Franklin Gothic Book"/>
          <w:sz w:val="21"/>
        </w:rPr>
        <w:t xml:space="preserve"> </w:t>
      </w:r>
      <w:r w:rsidR="002E3F33" w:rsidRPr="00C1434E">
        <w:rPr>
          <w:rFonts w:ascii="Franklin Gothic Book" w:hAnsi="Franklin Gothic Book"/>
          <w:i/>
          <w:sz w:val="21"/>
        </w:rPr>
        <w:t>Strategic Framework</w:t>
      </w:r>
      <w:r w:rsidR="002E3F33">
        <w:rPr>
          <w:rFonts w:ascii="Franklin Gothic Book" w:hAnsi="Franklin Gothic Book"/>
          <w:sz w:val="21"/>
        </w:rPr>
        <w:t>, is to help make Australia stronger, safer and more prosperous</w:t>
      </w:r>
      <w:r w:rsidR="00167F1D">
        <w:rPr>
          <w:rFonts w:ascii="Franklin Gothic Book" w:hAnsi="Franklin Gothic Book"/>
          <w:sz w:val="21"/>
        </w:rPr>
        <w:t xml:space="preserve">.  </w:t>
      </w:r>
    </w:p>
    <w:p w:rsidR="00EA02A0" w:rsidRDefault="00EA02A0" w:rsidP="00836B2F">
      <w:pPr>
        <w:spacing w:after="120"/>
        <w:rPr>
          <w:rFonts w:ascii="Franklin Gothic Book" w:hAnsi="Franklin Gothic Book"/>
          <w:sz w:val="21"/>
        </w:rPr>
      </w:pPr>
    </w:p>
    <w:p w:rsidR="00EA02A0" w:rsidRDefault="00EA02A0" w:rsidP="00836B2F">
      <w:pPr>
        <w:spacing w:after="120"/>
        <w:rPr>
          <w:rFonts w:ascii="Franklin Gothic Book" w:hAnsi="Franklin Gothic Book"/>
          <w:sz w:val="21"/>
        </w:rPr>
      </w:pPr>
    </w:p>
    <w:p w:rsidR="00854ED3" w:rsidRDefault="00854ED3" w:rsidP="00836B2F">
      <w:pPr>
        <w:spacing w:after="120"/>
        <w:rPr>
          <w:rFonts w:ascii="Franklin Gothic Book" w:hAnsi="Franklin Gothic Book"/>
          <w:sz w:val="21"/>
        </w:rPr>
      </w:pPr>
    </w:p>
    <w:p w:rsidR="00836B2F" w:rsidRDefault="00836B2F" w:rsidP="00836B2F">
      <w:pPr>
        <w:spacing w:after="120"/>
        <w:rPr>
          <w:rFonts w:ascii="Franklin Gothic Book" w:hAnsi="Franklin Gothic Book"/>
          <w:sz w:val="21"/>
        </w:rPr>
      </w:pPr>
      <w:r>
        <w:rPr>
          <w:rFonts w:ascii="Franklin Gothic Book" w:hAnsi="Franklin Gothic Book"/>
          <w:sz w:val="21"/>
        </w:rPr>
        <w:t>Peter Varghese AO</w:t>
      </w:r>
    </w:p>
    <w:p w:rsidR="009A3D4A" w:rsidRDefault="009A3D4A" w:rsidP="00836B2F">
      <w:pPr>
        <w:spacing w:after="120"/>
        <w:rPr>
          <w:rFonts w:ascii="Franklin Gothic Book" w:hAnsi="Franklin Gothic Book"/>
          <w:sz w:val="21"/>
        </w:rPr>
        <w:sectPr w:rsidR="009A3D4A" w:rsidSect="00851F21">
          <w:headerReference w:type="even" r:id="rId22"/>
          <w:pgSz w:w="11907" w:h="16840" w:code="9"/>
          <w:pgMar w:top="794" w:right="1701" w:bottom="794" w:left="1701" w:header="794" w:footer="567" w:gutter="0"/>
          <w:cols w:space="720"/>
          <w:docGrid w:linePitch="326"/>
        </w:sectPr>
      </w:pPr>
      <w:r>
        <w:rPr>
          <w:rFonts w:ascii="Franklin Gothic Book" w:hAnsi="Franklin Gothic Book"/>
          <w:sz w:val="21"/>
        </w:rPr>
        <w:t>Secretary</w:t>
      </w:r>
    </w:p>
    <w:bookmarkEnd w:id="0"/>
    <w:p w:rsidR="005753BF" w:rsidRDefault="005753BF" w:rsidP="00290E4F">
      <w:pPr>
        <w:pStyle w:val="Heading1"/>
        <w:spacing w:before="0" w:after="360" w:line="240" w:lineRule="auto"/>
      </w:pPr>
      <w:r>
        <w:t>Purpose</w:t>
      </w:r>
    </w:p>
    <w:p w:rsidR="00C44098" w:rsidRPr="005753BF" w:rsidRDefault="00C44098" w:rsidP="00C44098">
      <w:pPr>
        <w:pStyle w:val="BodyText"/>
      </w:pPr>
      <w:r>
        <w:t xml:space="preserve">The Department of Foreign Affairs and Trade </w:t>
      </w:r>
      <w:r w:rsidR="00763E7D">
        <w:t>(</w:t>
      </w:r>
      <w:r w:rsidR="00444B95">
        <w:t>the department</w:t>
      </w:r>
      <w:r w:rsidR="00763E7D">
        <w:t xml:space="preserve">) </w:t>
      </w:r>
      <w:r>
        <w:t xml:space="preserve">works to make </w:t>
      </w:r>
      <w:r w:rsidRPr="005753BF">
        <w:t xml:space="preserve">Australia stronger, safer and more prosperous by promoting and protecting </w:t>
      </w:r>
      <w:r>
        <w:t xml:space="preserve">our </w:t>
      </w:r>
      <w:r w:rsidRPr="005753BF">
        <w:t>interests internationally and contributing to global stability and economic growth</w:t>
      </w:r>
      <w:r>
        <w:t>, specifically</w:t>
      </w:r>
      <w:r w:rsidRPr="005753BF">
        <w:t xml:space="preserve"> in the Indo-Pacific region</w:t>
      </w:r>
      <w:r w:rsidR="00167F1D">
        <w:t>.</w:t>
      </w:r>
      <w:r w:rsidR="00477008">
        <w:t xml:space="preserve">  </w:t>
      </w:r>
    </w:p>
    <w:p w:rsidR="00070911" w:rsidRDefault="00C44098" w:rsidP="00C44098">
      <w:pPr>
        <w:pStyle w:val="BodyText"/>
      </w:pPr>
      <w:r>
        <w:t xml:space="preserve">In partnership with government and non-government organisations, business and community groups in Australia and overseas, the department </w:t>
      </w:r>
      <w:r w:rsidRPr="005753BF">
        <w:t>leads the Government’s efforts to shape the regional and international environment</w:t>
      </w:r>
      <w:r>
        <w:t>, progress Australia’s international security priorities</w:t>
      </w:r>
      <w:r w:rsidRPr="005753BF">
        <w:t xml:space="preserve"> and strengthen global cooperation in ways that advance Australia’s interests</w:t>
      </w:r>
      <w:r w:rsidR="00167F1D">
        <w:t xml:space="preserve">.  </w:t>
      </w:r>
    </w:p>
    <w:p w:rsidR="00C44098" w:rsidRPr="005753BF" w:rsidRDefault="00C44098" w:rsidP="00C44098">
      <w:pPr>
        <w:pStyle w:val="BodyText"/>
      </w:pPr>
      <w:r>
        <w:t>The department</w:t>
      </w:r>
      <w:r w:rsidRPr="005753BF">
        <w:t xml:space="preserve"> works to open up new markets and</w:t>
      </w:r>
      <w:r>
        <w:t xml:space="preserve"> generate</w:t>
      </w:r>
      <w:r w:rsidRPr="005753BF">
        <w:t xml:space="preserve"> conditions for increased trade and investment to strengthen Australia’s economy and create jobs</w:t>
      </w:r>
      <w:r w:rsidR="00167F1D">
        <w:t xml:space="preserve">.  </w:t>
      </w:r>
      <w:r>
        <w:t xml:space="preserve">It helps </w:t>
      </w:r>
      <w:r w:rsidRPr="005753BF">
        <w:t>lift living standards and reduce poverty in the Indo-Pacific region and beyond</w:t>
      </w:r>
      <w:r w:rsidR="00167F1D">
        <w:t xml:space="preserve">.  </w:t>
      </w:r>
      <w:r>
        <w:t xml:space="preserve">The department </w:t>
      </w:r>
      <w:r w:rsidRPr="005753BF">
        <w:t>project</w:t>
      </w:r>
      <w:r>
        <w:t>s</w:t>
      </w:r>
      <w:r w:rsidRPr="005753BF">
        <w:t xml:space="preserve"> a positive and contemporary image of Australia as a destination for business, investment, tourism and study</w:t>
      </w:r>
      <w:r>
        <w:t xml:space="preserve"> and </w:t>
      </w:r>
      <w:r w:rsidRPr="005753BF">
        <w:t>provide</w:t>
      </w:r>
      <w:r>
        <w:t>s</w:t>
      </w:r>
      <w:r w:rsidRPr="005753BF">
        <w:t xml:space="preserve"> high-quality passport and consular advice to Australian citizens.</w:t>
      </w:r>
    </w:p>
    <w:p w:rsidR="00C44098" w:rsidRPr="005753BF" w:rsidRDefault="00C44098" w:rsidP="00C44098">
      <w:pPr>
        <w:pStyle w:val="BodyText"/>
      </w:pPr>
      <w:r w:rsidRPr="005753BF">
        <w:t xml:space="preserve">Over the next four </w:t>
      </w:r>
      <w:r w:rsidR="00E40E86">
        <w:t>years (2015-2016 to 2019-2020</w:t>
      </w:r>
      <w:r>
        <w:t xml:space="preserve">), </w:t>
      </w:r>
      <w:r w:rsidRPr="005753BF">
        <w:t>the department will</w:t>
      </w:r>
      <w:r>
        <w:t xml:space="preserve"> achieve its purpose through: </w:t>
      </w:r>
    </w:p>
    <w:p w:rsidR="00C44098" w:rsidRPr="005753BF" w:rsidRDefault="00C44098" w:rsidP="00C44098">
      <w:pPr>
        <w:pStyle w:val="ListBullet"/>
        <w:ind w:left="284" w:hanging="284"/>
      </w:pPr>
      <w:r w:rsidRPr="005753BF">
        <w:t>promoting a stable and prosperous regional and global environment by cultivating and deepening our engagement with bilateral and regional partners and multilateral institutions</w:t>
      </w:r>
      <w:r w:rsidR="005D4AA8">
        <w:t>;</w:t>
      </w:r>
    </w:p>
    <w:p w:rsidR="00C44098" w:rsidRPr="005753BF" w:rsidRDefault="00C44098" w:rsidP="00C44098">
      <w:pPr>
        <w:pStyle w:val="ListBullet"/>
        <w:ind w:left="284" w:hanging="284"/>
      </w:pPr>
      <w:r w:rsidRPr="005753BF">
        <w:t>improving market access for Australian goods and services, attracting foreign investment to Australia and supporting Australian business abroad</w:t>
      </w:r>
      <w:r w:rsidR="005D4AA8">
        <w:t>;</w:t>
      </w:r>
      <w:r w:rsidRPr="005753BF">
        <w:t xml:space="preserve"> </w:t>
      </w:r>
    </w:p>
    <w:p w:rsidR="00C44098" w:rsidRPr="005753BF" w:rsidRDefault="00C44098" w:rsidP="00C44098">
      <w:pPr>
        <w:pStyle w:val="ListBullet"/>
        <w:ind w:left="284" w:hanging="284"/>
      </w:pPr>
      <w:r w:rsidRPr="005753BF">
        <w:t>delivering an innovative aid program, centred on the Indo-Pacific region, which contributes to sustainable economic growth, poverty reduction and regional stability</w:t>
      </w:r>
      <w:r w:rsidR="005D4AA8">
        <w:t>;</w:t>
      </w:r>
    </w:p>
    <w:p w:rsidR="00C44098" w:rsidRPr="005753BF" w:rsidRDefault="00C44098" w:rsidP="00C44098">
      <w:pPr>
        <w:pStyle w:val="ListBullet"/>
        <w:ind w:left="284" w:hanging="284"/>
      </w:pPr>
      <w:r w:rsidRPr="005753BF">
        <w:t>providing a secure, efficient and responsive passport service, and prompt, effective and courteous consular services to Australian citizens travelling or living abroad</w:t>
      </w:r>
      <w:r w:rsidR="005D4AA8">
        <w:t>;</w:t>
      </w:r>
    </w:p>
    <w:p w:rsidR="00C44098" w:rsidRPr="005753BF" w:rsidRDefault="00C44098" w:rsidP="00C44098">
      <w:pPr>
        <w:pStyle w:val="ListBullet"/>
        <w:ind w:left="284" w:hanging="284"/>
      </w:pPr>
      <w:r w:rsidRPr="005753BF">
        <w:t>building personal networks and institutional links to enhance Australia’s influence, reputation and relationships internationally and promote Australia’s economic cultural, educational, scientific and other national assets</w:t>
      </w:r>
      <w:r w:rsidR="005D4AA8">
        <w:t>;</w:t>
      </w:r>
    </w:p>
    <w:p w:rsidR="00C44098" w:rsidRPr="009A3D4A" w:rsidRDefault="00C44098" w:rsidP="00C44098">
      <w:pPr>
        <w:pStyle w:val="ListBullet"/>
        <w:ind w:left="284" w:hanging="284"/>
      </w:pPr>
      <w:r w:rsidRPr="009A3D4A">
        <w:t>leading the Government’s response to</w:t>
      </w:r>
      <w:r w:rsidR="00E52830">
        <w:t xml:space="preserve"> international crises</w:t>
      </w:r>
      <w:r w:rsidRPr="009A3D4A">
        <w:t xml:space="preserve"> </w:t>
      </w:r>
      <w:r w:rsidR="00E52830">
        <w:t>including humanitarian emergencies</w:t>
      </w:r>
      <w:r w:rsidR="00BF77B2">
        <w:t xml:space="preserve"> in the Indo-Pacific region</w:t>
      </w:r>
      <w:r w:rsidR="005D4AA8">
        <w:t>;</w:t>
      </w:r>
    </w:p>
    <w:p w:rsidR="00C44098" w:rsidRPr="005753BF" w:rsidRDefault="00C44098" w:rsidP="00C44098">
      <w:pPr>
        <w:pStyle w:val="ListBullet"/>
        <w:ind w:left="284" w:hanging="284"/>
      </w:pPr>
      <w:r w:rsidRPr="005753BF">
        <w:t>strengthening international frameworks and norms that promote human rights, gender equality, democratic principles and the rule of law, international security, and open and transparent global markets</w:t>
      </w:r>
      <w:r w:rsidR="005D4AA8">
        <w:t>;</w:t>
      </w:r>
      <w:r w:rsidRPr="005753BF">
        <w:t xml:space="preserve"> </w:t>
      </w:r>
    </w:p>
    <w:p w:rsidR="00C44098" w:rsidRPr="005753BF" w:rsidRDefault="00C44098" w:rsidP="00C44098">
      <w:pPr>
        <w:pStyle w:val="ListBullet"/>
        <w:ind w:left="284" w:hanging="284"/>
      </w:pPr>
      <w:r w:rsidRPr="005753BF">
        <w:t>broadening knowledge and understanding within the Australian community and globally of the Government’s international policies and programs and the department’s role</w:t>
      </w:r>
      <w:r w:rsidR="005D4AA8">
        <w:t>; and</w:t>
      </w:r>
    </w:p>
    <w:p w:rsidR="00C44098" w:rsidRPr="005753BF" w:rsidRDefault="00C44098" w:rsidP="00C44098">
      <w:pPr>
        <w:pStyle w:val="ListBullet"/>
        <w:ind w:left="284" w:hanging="284"/>
      </w:pPr>
      <w:r w:rsidRPr="005753BF">
        <w:t>keeping government communications secure, Australia’s global property assets in good order, and ensuring the security and health of our staff</w:t>
      </w:r>
      <w:r w:rsidR="005D4AA8">
        <w:t>.</w:t>
      </w:r>
    </w:p>
    <w:p w:rsidR="00C44098" w:rsidRDefault="00C44098" w:rsidP="00C44098">
      <w:pPr>
        <w:pStyle w:val="BodyText"/>
        <w:sectPr w:rsidR="00C44098" w:rsidSect="00851F21">
          <w:pgSz w:w="11907" w:h="16840" w:code="9"/>
          <w:pgMar w:top="794" w:right="1701" w:bottom="794" w:left="1701" w:header="567" w:footer="567" w:gutter="0"/>
          <w:cols w:space="720"/>
          <w:titlePg/>
          <w:docGrid w:linePitch="326"/>
        </w:sectPr>
      </w:pPr>
      <w:r w:rsidRPr="005753BF">
        <w:t xml:space="preserve">The department’s highly skilled and </w:t>
      </w:r>
      <w:r w:rsidR="00217CF4">
        <w:t xml:space="preserve">motivated </w:t>
      </w:r>
      <w:r w:rsidR="00763E7D">
        <w:t>staff, its network</w:t>
      </w:r>
      <w:r w:rsidRPr="005753BF">
        <w:t xml:space="preserve"> of overseas posts and its efficient and accessible systems will ensure that </w:t>
      </w:r>
      <w:r w:rsidR="00444B95">
        <w:t>the department</w:t>
      </w:r>
      <w:r w:rsidRPr="005753BF">
        <w:t xml:space="preserve"> continues delivering on making Australia stronger, safer and more prosperous into the future</w:t>
      </w:r>
      <w:r w:rsidR="00167F1D">
        <w:t>.</w:t>
      </w:r>
      <w:r w:rsidR="00477008">
        <w:t xml:space="preserve">  </w:t>
      </w:r>
    </w:p>
    <w:p w:rsidR="0004417B" w:rsidRPr="00E318D8" w:rsidRDefault="00416C57" w:rsidP="00290E4F">
      <w:pPr>
        <w:pStyle w:val="Heading1"/>
        <w:spacing w:before="0" w:after="360" w:line="240" w:lineRule="auto"/>
      </w:pPr>
      <w:r>
        <w:t>Operating environment</w:t>
      </w:r>
    </w:p>
    <w:p w:rsidR="008A54E0" w:rsidRDefault="008A54E0" w:rsidP="008A54E0">
      <w:pPr>
        <w:pStyle w:val="BodyText"/>
      </w:pPr>
      <w:r>
        <w:t>The international environment for advancing Australia’s interests will become more complex and contested</w:t>
      </w:r>
      <w:r w:rsidR="00895CE3">
        <w:t xml:space="preserve"> over the life of this corporate plan</w:t>
      </w:r>
      <w:r w:rsidR="00167F1D">
        <w:t>.</w:t>
      </w:r>
      <w:r w:rsidR="00477008">
        <w:t xml:space="preserve">  </w:t>
      </w:r>
      <w:r w:rsidR="00854ED3">
        <w:t>The department</w:t>
      </w:r>
      <w:r>
        <w:t xml:space="preserve"> will play a lead role in protecting and pursuing Australia’s interests in a world in which: </w:t>
      </w:r>
    </w:p>
    <w:p w:rsidR="008A54E0" w:rsidRDefault="00763E7D" w:rsidP="008A54E0">
      <w:pPr>
        <w:pStyle w:val="ListBullet"/>
        <w:ind w:left="284" w:hanging="284"/>
      </w:pPr>
      <w:r>
        <w:t>the boundaries between domestic and international agendas are</w:t>
      </w:r>
      <w:r w:rsidR="00AE25B6">
        <w:t xml:space="preserve"> further</w:t>
      </w:r>
      <w:r>
        <w:t xml:space="preserve"> disappearing</w:t>
      </w:r>
      <w:r w:rsidR="005D4AA8">
        <w:t>;</w:t>
      </w:r>
    </w:p>
    <w:p w:rsidR="005D4AA8" w:rsidRDefault="008A54E0" w:rsidP="008A54E0">
      <w:pPr>
        <w:pStyle w:val="ListBullet"/>
        <w:ind w:left="284" w:hanging="284"/>
      </w:pPr>
      <w:r>
        <w:t>greater economic integration and strategic competition</w:t>
      </w:r>
      <w:r w:rsidR="00763E7D">
        <w:t xml:space="preserve"> will characterise the Indo-Pacific region</w:t>
      </w:r>
      <w:r w:rsidR="005D4AA8">
        <w:t>;</w:t>
      </w:r>
      <w:r w:rsidR="00167F1D">
        <w:t xml:space="preserve"> </w:t>
      </w:r>
    </w:p>
    <w:p w:rsidR="008A54E0" w:rsidRDefault="005D4AA8" w:rsidP="008A54E0">
      <w:pPr>
        <w:pStyle w:val="ListBullet"/>
        <w:ind w:left="284" w:hanging="284"/>
      </w:pPr>
      <w:r>
        <w:t xml:space="preserve">this region will become the fulcrum of geo-strategic and economic shifts of lasting importance; </w:t>
      </w:r>
      <w:r w:rsidR="00167F1D">
        <w:t>and</w:t>
      </w:r>
    </w:p>
    <w:p w:rsidR="008A54E0" w:rsidRDefault="00A2412D" w:rsidP="00A2412D">
      <w:pPr>
        <w:pStyle w:val="ListBullet"/>
        <w:ind w:left="284" w:hanging="284"/>
      </w:pPr>
      <w:r>
        <w:t xml:space="preserve">a broader range of domestic and international non-state actors will be engaged in </w:t>
      </w:r>
      <w:r w:rsidR="00763E7D">
        <w:t>foreign, trade and development policy development and outcomes</w:t>
      </w:r>
      <w:r>
        <w:t>.</w:t>
      </w:r>
      <w:r w:rsidR="008A54E0">
        <w:t xml:space="preserve"> </w:t>
      </w:r>
    </w:p>
    <w:p w:rsidR="005D4AA8" w:rsidRDefault="00A26235" w:rsidP="008A54E0">
      <w:pPr>
        <w:pStyle w:val="BodyText"/>
      </w:pPr>
      <w:r>
        <w:t xml:space="preserve">Within a constrained budgetary environment, the department will continue to advance Australia’s national interests abroad while engaging and shaping key policy debates at home. </w:t>
      </w:r>
    </w:p>
    <w:p w:rsidR="008A54E0" w:rsidRDefault="008A54E0" w:rsidP="008A54E0">
      <w:pPr>
        <w:pStyle w:val="BodyText"/>
      </w:pPr>
      <w:r>
        <w:t xml:space="preserve">In the Indo-Pacific, emerging powers’ growing economic weight will be accompanied by </w:t>
      </w:r>
      <w:r w:rsidR="00A26235">
        <w:t xml:space="preserve">their </w:t>
      </w:r>
      <w:r>
        <w:t xml:space="preserve">growing </w:t>
      </w:r>
      <w:r w:rsidR="00A26235">
        <w:t xml:space="preserve">capacity to project their strategic interests in ways that </w:t>
      </w:r>
      <w:r w:rsidR="00AE25B6">
        <w:t>interact with ours</w:t>
      </w:r>
      <w:r w:rsidR="00167F1D">
        <w:t>.</w:t>
      </w:r>
      <w:r w:rsidR="00477008">
        <w:t xml:space="preserve">  </w:t>
      </w:r>
      <w:r w:rsidR="00A26235">
        <w:t>In a</w:t>
      </w:r>
      <w:r w:rsidRPr="003B0641">
        <w:t xml:space="preserve"> </w:t>
      </w:r>
      <w:r>
        <w:t>more multipolar region</w:t>
      </w:r>
      <w:r w:rsidR="00A26235">
        <w:t>,</w:t>
      </w:r>
      <w:r>
        <w:t xml:space="preserve"> </w:t>
      </w:r>
      <w:r w:rsidRPr="003B0641">
        <w:t>Austra</w:t>
      </w:r>
      <w:r>
        <w:t xml:space="preserve">lia’s security will depend </w:t>
      </w:r>
      <w:r w:rsidRPr="003B0641">
        <w:t xml:space="preserve">more on how </w:t>
      </w:r>
      <w:r w:rsidR="00A26235">
        <w:t xml:space="preserve">the region’s </w:t>
      </w:r>
      <w:r w:rsidR="00763E7D">
        <w:t>major powers</w:t>
      </w:r>
      <w:r w:rsidRPr="003B0641">
        <w:t xml:space="preserve"> </w:t>
      </w:r>
      <w:r>
        <w:t xml:space="preserve">manage </w:t>
      </w:r>
      <w:r w:rsidRPr="003B0641">
        <w:t>their relationships</w:t>
      </w:r>
      <w:r>
        <w:t xml:space="preserve"> and how effectively Australia reacts to,</w:t>
      </w:r>
      <w:r w:rsidR="00763E7D">
        <w:t xml:space="preserve"> and influences, </w:t>
      </w:r>
      <w:r w:rsidR="00A26235">
        <w:t xml:space="preserve">key political, economic, and social </w:t>
      </w:r>
      <w:r w:rsidR="00763E7D">
        <w:t>developments</w:t>
      </w:r>
      <w:r>
        <w:t>.</w:t>
      </w:r>
    </w:p>
    <w:p w:rsidR="008A54E0" w:rsidRDefault="008A54E0" w:rsidP="008A54E0">
      <w:pPr>
        <w:pStyle w:val="BodyText"/>
      </w:pPr>
      <w:r>
        <w:t xml:space="preserve">Globally, we are likely to see further challenges to the </w:t>
      </w:r>
      <w:r w:rsidR="0063540C">
        <w:t xml:space="preserve">post-war institutions, laws, principles and norms of international behaviour that comprise the </w:t>
      </w:r>
      <w:r>
        <w:t xml:space="preserve">existing </w:t>
      </w:r>
      <w:r w:rsidR="00AE25B6">
        <w:t>international</w:t>
      </w:r>
      <w:r>
        <w:t xml:space="preserve"> order</w:t>
      </w:r>
      <w:r w:rsidR="00A26235">
        <w:t>.</w:t>
      </w:r>
      <w:r w:rsidR="0063540C">
        <w:t xml:space="preserve"> </w:t>
      </w:r>
      <w:r w:rsidR="00477008">
        <w:t xml:space="preserve"> </w:t>
      </w:r>
      <w:r>
        <w:t>International cooperation will be more contested and our ability to secure multilateral outcomes will be stretched</w:t>
      </w:r>
      <w:r w:rsidR="00167F1D">
        <w:t>.</w:t>
      </w:r>
      <w:r w:rsidR="00477008">
        <w:t xml:space="preserve">  </w:t>
      </w:r>
      <w:r>
        <w:t>Some regional and global institutions</w:t>
      </w:r>
      <w:r w:rsidR="00763E7D">
        <w:t>, such as the G20 and East Asia</w:t>
      </w:r>
      <w:r>
        <w:t xml:space="preserve"> Summit, may have bigger roles in securing </w:t>
      </w:r>
      <w:r w:rsidR="00A2412D">
        <w:t xml:space="preserve">Australia’s </w:t>
      </w:r>
      <w:r>
        <w:t>stability and prosperity and require commensurate diplomatic effort.</w:t>
      </w:r>
    </w:p>
    <w:p w:rsidR="008A54E0" w:rsidRDefault="008A54E0" w:rsidP="008A54E0">
      <w:pPr>
        <w:pStyle w:val="BodyText"/>
      </w:pPr>
      <w:r>
        <w:t xml:space="preserve">Emerging economies, </w:t>
      </w:r>
      <w:r w:rsidR="0063540C">
        <w:t xml:space="preserve">especially </w:t>
      </w:r>
      <w:r>
        <w:t xml:space="preserve">those in </w:t>
      </w:r>
      <w:r w:rsidR="0063540C">
        <w:t>the Indo-Pacific</w:t>
      </w:r>
      <w:r>
        <w:t>, are expected to underpin global economic growth</w:t>
      </w:r>
      <w:r w:rsidR="00167F1D">
        <w:t>.</w:t>
      </w:r>
      <w:r w:rsidR="00477008">
        <w:t xml:space="preserve">  </w:t>
      </w:r>
      <w:r>
        <w:t xml:space="preserve">Our exports and economy should benefit as we bed down existing </w:t>
      </w:r>
      <w:r w:rsidR="0063540C">
        <w:t xml:space="preserve">free trade agreements (FTAs) </w:t>
      </w:r>
      <w:r>
        <w:t>s and capitalise on new opportunities to improve market access for our goods and services, attract foreign investment</w:t>
      </w:r>
      <w:r w:rsidR="0063540C">
        <w:t>,</w:t>
      </w:r>
      <w:r>
        <w:t xml:space="preserve"> and support business</w:t>
      </w:r>
      <w:r w:rsidR="00167F1D">
        <w:t>.</w:t>
      </w:r>
      <w:r w:rsidR="00477008">
        <w:t xml:space="preserve">  </w:t>
      </w:r>
      <w:r>
        <w:t>This should support the Australian economy’s transition away from mining</w:t>
      </w:r>
      <w:r w:rsidR="0063540C">
        <w:t xml:space="preserve"> </w:t>
      </w:r>
      <w:r>
        <w:t>investment</w:t>
      </w:r>
      <w:r w:rsidR="0063540C">
        <w:t>-</w:t>
      </w:r>
      <w:r>
        <w:t>led economic growth to a broader growth base</w:t>
      </w:r>
      <w:r w:rsidR="00477008">
        <w:t xml:space="preserve">. </w:t>
      </w:r>
      <w:r w:rsidR="00F3471F">
        <w:t xml:space="preserve"> </w:t>
      </w:r>
      <w:r>
        <w:t xml:space="preserve">While the overall global environment for trade and capital flows will have its challenges, including slowing economic growth in China, Australia should be well placed to capitalise on </w:t>
      </w:r>
      <w:r w:rsidR="00217CF4">
        <w:t xml:space="preserve">the emergence of </w:t>
      </w:r>
      <w:r w:rsidR="004A4545">
        <w:t>b</w:t>
      </w:r>
      <w:r w:rsidR="00C1434E">
        <w:t xml:space="preserve">illions of new </w:t>
      </w:r>
      <w:r w:rsidR="00217CF4">
        <w:t>Asian consumers</w:t>
      </w:r>
      <w:r>
        <w:t>.</w:t>
      </w:r>
    </w:p>
    <w:p w:rsidR="008A54E0" w:rsidRDefault="00A26D3B" w:rsidP="008A54E0">
      <w:pPr>
        <w:pStyle w:val="BodyText"/>
      </w:pPr>
      <w:r>
        <w:t>Governance in the Indo-Pacific will continue to be challenged by the region’s various development challenges</w:t>
      </w:r>
      <w:r w:rsidR="0063540C">
        <w:t xml:space="preserve">.  </w:t>
      </w:r>
      <w:r w:rsidR="008A54E0">
        <w:t>Poverty will remain a part of our international environment, and a challenge for our aid program, particularly in the South Pacific and parts of Southeast Asia</w:t>
      </w:r>
      <w:r w:rsidR="00167F1D">
        <w:t>.</w:t>
      </w:r>
      <w:r w:rsidR="00477008">
        <w:t xml:space="preserve">  </w:t>
      </w:r>
      <w:r w:rsidR="008A54E0">
        <w:t>Our aid investments will need to respond to crises as well as contribute to longer-term goals of sustainable economic growth, poverty reduction and regional stability.</w:t>
      </w:r>
    </w:p>
    <w:p w:rsidR="00A2412D" w:rsidRDefault="008A54E0" w:rsidP="008A54E0">
      <w:pPr>
        <w:pStyle w:val="BodyText"/>
      </w:pPr>
      <w:r>
        <w:t xml:space="preserve">The </w:t>
      </w:r>
      <w:r w:rsidR="00763E7D">
        <w:t xml:space="preserve">international community </w:t>
      </w:r>
      <w:r>
        <w:t xml:space="preserve">will continue to be vulnerable </w:t>
      </w:r>
      <w:r w:rsidR="00763E7D">
        <w:t xml:space="preserve">to terrorist attacks </w:t>
      </w:r>
      <w:r>
        <w:t xml:space="preserve">from </w:t>
      </w:r>
      <w:r w:rsidR="00763E7D">
        <w:t>radical groups such as Da'esh and those they inspire</w:t>
      </w:r>
      <w:r>
        <w:t xml:space="preserve"> in our neighbourhood and domestically</w:t>
      </w:r>
      <w:r w:rsidR="00167F1D">
        <w:t>.</w:t>
      </w:r>
      <w:r w:rsidR="00477008">
        <w:t xml:space="preserve">  </w:t>
      </w:r>
    </w:p>
    <w:p w:rsidR="008A54E0" w:rsidRDefault="00763E7D" w:rsidP="008A54E0">
      <w:pPr>
        <w:pStyle w:val="BodyText"/>
        <w:sectPr w:rsidR="008A54E0" w:rsidSect="00851F21">
          <w:pgSz w:w="11907" w:h="16840" w:code="9"/>
          <w:pgMar w:top="794" w:right="1701" w:bottom="794" w:left="1701" w:header="567" w:footer="567" w:gutter="0"/>
          <w:cols w:space="720"/>
          <w:docGrid w:linePitch="326"/>
        </w:sectPr>
      </w:pPr>
      <w:r>
        <w:t xml:space="preserve">As more Australians </w:t>
      </w:r>
      <w:r w:rsidR="008A54E0">
        <w:t>travel overseas</w:t>
      </w:r>
      <w:r>
        <w:t>,</w:t>
      </w:r>
      <w:r w:rsidR="008A54E0">
        <w:t xml:space="preserve"> </w:t>
      </w:r>
      <w:r w:rsidR="002B122B">
        <w:t>the department</w:t>
      </w:r>
      <w:r w:rsidR="008A54E0">
        <w:t xml:space="preserve"> will play a key role in supporting their </w:t>
      </w:r>
      <w:r w:rsidR="00217CF4">
        <w:t xml:space="preserve">security </w:t>
      </w:r>
      <w:r w:rsidR="008A54E0">
        <w:t>and welfare through its passport and consular services.</w:t>
      </w:r>
    </w:p>
    <w:p w:rsidR="0004417B" w:rsidRDefault="0004417B" w:rsidP="00290E4F">
      <w:pPr>
        <w:pStyle w:val="Heading1"/>
        <w:spacing w:before="0" w:after="360" w:line="240" w:lineRule="auto"/>
      </w:pPr>
      <w:r w:rsidRPr="00A610A6">
        <w:t>Performance</w:t>
      </w:r>
    </w:p>
    <w:p w:rsidR="00C1434E" w:rsidRDefault="008F7607" w:rsidP="001320C8">
      <w:pPr>
        <w:pStyle w:val="BodyText"/>
        <w:spacing w:after="120" w:line="276" w:lineRule="auto"/>
      </w:pPr>
      <w:r>
        <w:t>This section sets out the department’s core activities in achieving its purpose and sets out benchmarks and indicators of progress</w:t>
      </w:r>
      <w:r w:rsidR="00796831">
        <w:t xml:space="preserve"> over the next four years</w:t>
      </w:r>
      <w:r w:rsidR="00477008">
        <w:t xml:space="preserve">. </w:t>
      </w:r>
      <w:r w:rsidR="009E293A">
        <w:t xml:space="preserve"> </w:t>
      </w:r>
      <w:r w:rsidR="00BF77B2">
        <w:t>This should be read in conjunction with the</w:t>
      </w:r>
      <w:r w:rsidR="00071986">
        <w:t xml:space="preserve"> 2015-16</w:t>
      </w:r>
      <w:r w:rsidR="004A4545">
        <w:t xml:space="preserve"> Portfolio Budget Statement, </w:t>
      </w:r>
      <w:r w:rsidR="00BF77B2">
        <w:t>the</w:t>
      </w:r>
      <w:r w:rsidR="00071986">
        <w:t xml:space="preserve"> 2015-16</w:t>
      </w:r>
      <w:r w:rsidR="00BF77B2">
        <w:t xml:space="preserve"> Portfolio Additional Estimates Statement</w:t>
      </w:r>
      <w:r w:rsidR="004A4545">
        <w:t xml:space="preserve"> and the 2014-15 Annual Report</w:t>
      </w:r>
      <w:r w:rsidR="00167F1D">
        <w:t>.</w:t>
      </w:r>
      <w:r w:rsidR="00477008">
        <w:t xml:space="preserve">  </w:t>
      </w:r>
    </w:p>
    <w:p w:rsidR="008F7607" w:rsidRPr="008F7607" w:rsidRDefault="00B9373D" w:rsidP="001320C8">
      <w:pPr>
        <w:pStyle w:val="BodyText"/>
        <w:spacing w:after="120" w:line="276" w:lineRule="auto"/>
      </w:pPr>
      <w:r>
        <w:t>Success will be measured against the extent to which the department</w:t>
      </w:r>
      <w:r w:rsidR="00A26D3B">
        <w:t xml:space="preserve">’s advice on and implementation of </w:t>
      </w:r>
      <w:r>
        <w:t>its foreign, trade and investment, and development policy</w:t>
      </w:r>
      <w:r w:rsidR="00A26D3B">
        <w:t xml:space="preserve"> makes Australia stronger, safer and more prosperous. </w:t>
      </w:r>
      <w:r w:rsidR="00C1434E">
        <w:t xml:space="preserve">With each priority, the department’s performance will be judged by the extent to which our advice and implementation is </w:t>
      </w:r>
      <w:r w:rsidR="0060572F">
        <w:t>regard</w:t>
      </w:r>
      <w:r w:rsidR="00C1434E">
        <w:t xml:space="preserve">ed by </w:t>
      </w:r>
      <w:r w:rsidR="00A26D3B">
        <w:t>m</w:t>
      </w:r>
      <w:r w:rsidR="00C1434E">
        <w:t xml:space="preserve">inisters </w:t>
      </w:r>
      <w:r w:rsidR="0060572F">
        <w:t xml:space="preserve">and </w:t>
      </w:r>
      <w:r w:rsidR="00A26D3B">
        <w:t>p</w:t>
      </w:r>
      <w:r w:rsidR="0060572F">
        <w:t xml:space="preserve">arliamentary </w:t>
      </w:r>
      <w:r w:rsidR="00A26D3B">
        <w:t>s</w:t>
      </w:r>
      <w:r w:rsidR="0060572F">
        <w:t xml:space="preserve">ecretaries </w:t>
      </w:r>
      <w:r w:rsidR="00C1434E">
        <w:t>as timely and of high quality.</w:t>
      </w:r>
    </w:p>
    <w:p w:rsidR="0004417B" w:rsidRPr="00A610A6" w:rsidRDefault="0004417B" w:rsidP="001320C8">
      <w:pPr>
        <w:pStyle w:val="Heading2"/>
        <w:spacing w:before="120"/>
        <w:rPr>
          <w:sz w:val="32"/>
          <w:szCs w:val="32"/>
        </w:rPr>
      </w:pPr>
      <w:r w:rsidRPr="00A610A6">
        <w:rPr>
          <w:sz w:val="32"/>
          <w:szCs w:val="32"/>
        </w:rPr>
        <w:t>Promoting a stable and prosperous r</w:t>
      </w:r>
      <w:r w:rsidR="00416C57">
        <w:rPr>
          <w:sz w:val="32"/>
          <w:szCs w:val="32"/>
        </w:rPr>
        <w:t>egional and global environment</w:t>
      </w:r>
    </w:p>
    <w:p w:rsidR="005A2751" w:rsidRPr="00642568" w:rsidRDefault="005A2751" w:rsidP="00BF77B2">
      <w:pPr>
        <w:pStyle w:val="BodyText"/>
        <w:spacing w:line="276" w:lineRule="auto"/>
      </w:pPr>
      <w:r w:rsidRPr="00642568">
        <w:t>The department cultivat</w:t>
      </w:r>
      <w:r w:rsidR="00296065">
        <w:t>es</w:t>
      </w:r>
      <w:r w:rsidRPr="00642568">
        <w:t xml:space="preserve"> and dee</w:t>
      </w:r>
      <w:r w:rsidR="009E293A">
        <w:t>pen</w:t>
      </w:r>
      <w:r w:rsidR="00296065">
        <w:t>s</w:t>
      </w:r>
      <w:r w:rsidR="009E293A">
        <w:t xml:space="preserve"> Australia's</w:t>
      </w:r>
      <w:r w:rsidRPr="00642568">
        <w:t xml:space="preserve"> engagement with bilateral and regional partners and </w:t>
      </w:r>
      <w:r w:rsidR="00296065">
        <w:t xml:space="preserve">with </w:t>
      </w:r>
      <w:r w:rsidRPr="00642568">
        <w:t>multilateral institutions, with a particular focus on the Indo-Pacific region</w:t>
      </w:r>
      <w:r w:rsidR="00167F1D">
        <w:t xml:space="preserve">.  </w:t>
      </w:r>
      <w:r w:rsidR="00BF77B2">
        <w:t>The department</w:t>
      </w:r>
      <w:r w:rsidR="009E293A">
        <w:t xml:space="preserve"> </w:t>
      </w:r>
      <w:r w:rsidR="00296065">
        <w:t>thus  helps</w:t>
      </w:r>
      <w:r w:rsidR="009E293A">
        <w:t xml:space="preserve"> </w:t>
      </w:r>
      <w:r w:rsidR="00296065">
        <w:t>g</w:t>
      </w:r>
      <w:r w:rsidR="009E293A">
        <w:t>overnment actively shape the</w:t>
      </w:r>
      <w:r w:rsidRPr="00642568">
        <w:t xml:space="preserve"> interna</w:t>
      </w:r>
      <w:r w:rsidR="009E293A">
        <w:t>tional environment t</w:t>
      </w:r>
      <w:r w:rsidRPr="00642568">
        <w:t>hrough strategic development of strong b</w:t>
      </w:r>
      <w:r w:rsidR="009E293A">
        <w:t xml:space="preserve">ilateral relationships; </w:t>
      </w:r>
      <w:r w:rsidRPr="00642568">
        <w:t>coalition-building with other nations wit</w:t>
      </w:r>
      <w:r w:rsidR="009E293A">
        <w:t xml:space="preserve">h common interests; and </w:t>
      </w:r>
      <w:r w:rsidRPr="00642568">
        <w:t>an activist approach to using regional and global institutions and forums to create rules and norms that promote stability, peace and prosperity</w:t>
      </w:r>
      <w:r w:rsidR="00167F1D">
        <w:t xml:space="preserve">.  </w:t>
      </w:r>
    </w:p>
    <w:p w:rsidR="005A2751" w:rsidRPr="00642568" w:rsidRDefault="00167F1D" w:rsidP="00071986">
      <w:pPr>
        <w:pStyle w:val="BodyText"/>
        <w:spacing w:after="0" w:line="276" w:lineRule="auto"/>
      </w:pPr>
      <w:r>
        <w:t>T</w:t>
      </w:r>
      <w:r w:rsidR="00217CF4">
        <w:t xml:space="preserve">he </w:t>
      </w:r>
      <w:r w:rsidR="005A2751" w:rsidRPr="00642568">
        <w:t>Indo-Pacific is rapidly entrenching its position as the centre of gravity of the global economy and the crucible of emerging geo-strategic competition</w:t>
      </w:r>
      <w:r w:rsidR="00477008">
        <w:t xml:space="preserve">. </w:t>
      </w:r>
      <w:r w:rsidR="005A2751" w:rsidRPr="00642568">
        <w:t xml:space="preserve"> Developments here will have the greatest direct impact on Australia and provide the </w:t>
      </w:r>
      <w:r w:rsidR="00296065">
        <w:t>co</w:t>
      </w:r>
      <w:r w:rsidR="007872CB">
        <w:t>ntext in</w:t>
      </w:r>
      <w:r w:rsidR="005A2751" w:rsidRPr="00642568">
        <w:t xml:space="preserve"> which we </w:t>
      </w:r>
      <w:r w:rsidR="00296065">
        <w:t>pursue</w:t>
      </w:r>
      <w:r w:rsidR="005A2751" w:rsidRPr="00642568">
        <w:t xml:space="preserve"> both our global and bilateral interests</w:t>
      </w:r>
      <w:r>
        <w:t xml:space="preserve">.  </w:t>
      </w:r>
    </w:p>
    <w:p w:rsidR="004521F6" w:rsidRDefault="004521F6" w:rsidP="00137BDC">
      <w:pPr>
        <w:pStyle w:val="Heading3"/>
        <w:spacing w:before="240"/>
      </w:pPr>
      <w:r>
        <w:t>Major o</w:t>
      </w:r>
      <w:r w:rsidRPr="00A00AE5">
        <w:t>perational activities</w:t>
      </w:r>
    </w:p>
    <w:p w:rsidR="005A2751" w:rsidRDefault="005A2751" w:rsidP="005A2751">
      <w:pPr>
        <w:pStyle w:val="ListBullet"/>
      </w:pPr>
      <w:r>
        <w:t>Leading whole-of-government development and implementation of strategies to promote Australia’s interests internationally</w:t>
      </w:r>
      <w:r w:rsidR="007872CB">
        <w:t>.</w:t>
      </w:r>
    </w:p>
    <w:p w:rsidR="005A2751" w:rsidRDefault="007872CB" w:rsidP="005A2751">
      <w:pPr>
        <w:pStyle w:val="ListBullet"/>
      </w:pPr>
      <w:r>
        <w:t>Using</w:t>
      </w:r>
      <w:r w:rsidR="005A2751">
        <w:t xml:space="preserve"> overseas missions to build strong bilateral relationships and for high-quality information-gathering, analysis and advocacy in support of government policies</w:t>
      </w:r>
      <w:r>
        <w:t>.</w:t>
      </w:r>
      <w:r w:rsidR="005A2751" w:rsidRPr="00637185">
        <w:t xml:space="preserve"> </w:t>
      </w:r>
    </w:p>
    <w:p w:rsidR="005A2751" w:rsidRDefault="005A2751" w:rsidP="005A2751">
      <w:pPr>
        <w:pStyle w:val="ListBullet"/>
      </w:pPr>
      <w:r>
        <w:t>Developing networks and coalitions of like-minded international partners in pursuit of shared objectives to</w:t>
      </w:r>
      <w:r w:rsidR="00A16470">
        <w:t xml:space="preserve"> max</w:t>
      </w:r>
      <w:r w:rsidR="00C1434E">
        <w:t>imise Australia’s influence</w:t>
      </w:r>
      <w:r w:rsidR="007872CB">
        <w:t>.</w:t>
      </w:r>
    </w:p>
    <w:p w:rsidR="00C1434E" w:rsidRDefault="00C1434E" w:rsidP="00C1434E">
      <w:pPr>
        <w:pStyle w:val="ListBullet"/>
      </w:pPr>
      <w:r>
        <w:t xml:space="preserve">Providing timely, high-quality advice to </w:t>
      </w:r>
      <w:r w:rsidR="007872CB">
        <w:t>m</w:t>
      </w:r>
      <w:r>
        <w:t xml:space="preserve">inisters and </w:t>
      </w:r>
      <w:r w:rsidR="007872CB">
        <w:t>p</w:t>
      </w:r>
      <w:r>
        <w:t xml:space="preserve">arliamentary </w:t>
      </w:r>
      <w:r w:rsidR="007872CB">
        <w:t>s</w:t>
      </w:r>
      <w:r>
        <w:t>ecretaries on international developments and appropriate policy responses</w:t>
      </w:r>
      <w:r w:rsidR="007872CB">
        <w:t>.</w:t>
      </w:r>
      <w:r>
        <w:t xml:space="preserve"> </w:t>
      </w:r>
    </w:p>
    <w:p w:rsidR="005A2751" w:rsidRDefault="005A2751" w:rsidP="005A2751">
      <w:pPr>
        <w:pStyle w:val="ListBullet"/>
      </w:pPr>
      <w:r>
        <w:t>Creating and exploit</w:t>
      </w:r>
      <w:r w:rsidR="009E293A">
        <w:t xml:space="preserve">ing opportunities </w:t>
      </w:r>
      <w:r>
        <w:t xml:space="preserve">to advocate Australian </w:t>
      </w:r>
      <w:r w:rsidR="00C1434E">
        <w:t>interests</w:t>
      </w:r>
      <w:r>
        <w:t xml:space="preserve"> internationally through high-quality support for </w:t>
      </w:r>
      <w:r w:rsidR="007872CB">
        <w:t>m</w:t>
      </w:r>
      <w:r w:rsidR="009E293A">
        <w:t xml:space="preserve">inisterial </w:t>
      </w:r>
      <w:r>
        <w:t>visits to key pa</w:t>
      </w:r>
      <w:r w:rsidR="00A16470">
        <w:t>rtners and international forums.</w:t>
      </w:r>
    </w:p>
    <w:p w:rsidR="00E318D8" w:rsidRDefault="007A420D" w:rsidP="00137BDC">
      <w:pPr>
        <w:pStyle w:val="Heading3"/>
        <w:spacing w:before="240"/>
      </w:pPr>
      <w:r>
        <w:t>Key performance measures and assessment</w:t>
      </w:r>
    </w:p>
    <w:tbl>
      <w:tblPr>
        <w:tblStyle w:val="MediumGrid3-Accent1"/>
        <w:tblW w:w="8613" w:type="dxa"/>
        <w:tblLayout w:type="fixed"/>
        <w:tblLook w:val="04A0" w:firstRow="1" w:lastRow="0" w:firstColumn="1" w:lastColumn="0" w:noHBand="0" w:noVBand="1"/>
      </w:tblPr>
      <w:tblGrid>
        <w:gridCol w:w="1526"/>
        <w:gridCol w:w="5953"/>
        <w:gridCol w:w="1134"/>
      </w:tblGrid>
      <w:tr w:rsidR="004969B3" w:rsidRPr="002C113F" w:rsidTr="009D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4969B3" w:rsidRPr="0050743C" w:rsidRDefault="004969B3" w:rsidP="0050743C">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4969B3" w:rsidRPr="0050743C" w:rsidRDefault="004969B3" w:rsidP="0050743C">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4969B3" w:rsidRPr="0050743C" w:rsidRDefault="004969B3" w:rsidP="0050743C">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4969B3" w:rsidRPr="002C113F" w:rsidTr="009D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4969B3" w:rsidRPr="00B3196A" w:rsidRDefault="004969B3" w:rsidP="00617B0A">
            <w:pPr>
              <w:rPr>
                <w:rFonts w:ascii="Franklin Gothic Book" w:hAnsi="Franklin Gothic Book"/>
                <w:i/>
                <w:sz w:val="21"/>
              </w:rPr>
            </w:pPr>
            <w:r>
              <w:rPr>
                <w:rFonts w:ascii="Franklin Gothic Book" w:hAnsi="Franklin Gothic Book"/>
                <w:i/>
                <w:sz w:val="21"/>
              </w:rPr>
              <w:t>Case studies</w:t>
            </w:r>
          </w:p>
        </w:tc>
        <w:tc>
          <w:tcPr>
            <w:tcW w:w="5953" w:type="dxa"/>
          </w:tcPr>
          <w:p w:rsidR="004969B3" w:rsidRDefault="004969B3" w:rsidP="00BF77B2">
            <w:pPr>
              <w:pStyle w:val="List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The department will use case studies to highlight and assess:</w:t>
            </w:r>
          </w:p>
          <w:p w:rsidR="0063297A" w:rsidRDefault="0063297A" w:rsidP="0063297A">
            <w:pPr>
              <w:pStyle w:val="ListBullet"/>
              <w:cnfStyle w:val="000000100000" w:firstRow="0" w:lastRow="0" w:firstColumn="0" w:lastColumn="0" w:oddVBand="0" w:evenVBand="0" w:oddHBand="1" w:evenHBand="0" w:firstRowFirstColumn="0" w:firstRowLastColumn="0" w:lastRowFirstColumn="0" w:lastRowLastColumn="0"/>
            </w:pPr>
            <w:r>
              <w:t>other departments</w:t>
            </w:r>
            <w:r w:rsidR="00D04659">
              <w:t>’ views</w:t>
            </w:r>
            <w:r>
              <w:t xml:space="preserve"> on coordination and promotion of Australia’s interests internationally</w:t>
            </w:r>
          </w:p>
          <w:p w:rsidR="004969B3" w:rsidRDefault="0063297A" w:rsidP="00F74E22">
            <w:pPr>
              <w:pStyle w:val="ListBullet"/>
              <w:cnfStyle w:val="000000100000" w:firstRow="0" w:lastRow="0" w:firstColumn="0" w:lastColumn="0" w:oddVBand="0" w:evenVBand="0" w:oddHBand="1" w:evenHBand="0" w:firstRowFirstColumn="0" w:firstRowLastColumn="0" w:lastRowFirstColumn="0" w:lastRowLastColumn="0"/>
            </w:pPr>
            <w:r>
              <w:t xml:space="preserve">examples of </w:t>
            </w:r>
            <w:r w:rsidR="004969B3">
              <w:t xml:space="preserve">coordination </w:t>
            </w:r>
            <w:r w:rsidR="00C1434E">
              <w:t>and leadership to advance</w:t>
            </w:r>
            <w:r w:rsidR="004969B3">
              <w:t xml:space="preserve"> Australia’s interests internationally</w:t>
            </w:r>
          </w:p>
          <w:p w:rsidR="004969B3" w:rsidRPr="00435125" w:rsidRDefault="004969B3" w:rsidP="0063297A">
            <w:pPr>
              <w:pStyle w:val="ListBullet"/>
              <w:cnfStyle w:val="000000100000" w:firstRow="0" w:lastRow="0" w:firstColumn="0" w:lastColumn="0" w:oddVBand="0" w:evenVBand="0" w:oddHBand="1" w:evenHBand="0" w:firstRowFirstColumn="0" w:firstRowLastColumn="0" w:lastRowFirstColumn="0" w:lastRowLastColumn="0"/>
            </w:pPr>
            <w:r>
              <w:t>ability to shape outcomes which reflect Australian interests</w:t>
            </w:r>
            <w:r w:rsidR="00C1434E">
              <w:t>, including through coalition-building with international partners.</w:t>
            </w:r>
          </w:p>
        </w:tc>
        <w:tc>
          <w:tcPr>
            <w:tcW w:w="1134" w:type="dxa"/>
          </w:tcPr>
          <w:p w:rsidR="004969B3" w:rsidRPr="00AD27D1" w:rsidRDefault="004969B3" w:rsidP="00BF77B2">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bl>
    <w:p w:rsidR="008469A5" w:rsidRDefault="008469A5" w:rsidP="008469A5">
      <w:pPr>
        <w:pStyle w:val="BodyText"/>
        <w:sectPr w:rsidR="008469A5" w:rsidSect="00851F21">
          <w:pgSz w:w="11907" w:h="16840" w:code="9"/>
          <w:pgMar w:top="794" w:right="1701" w:bottom="794" w:left="1701" w:header="567" w:footer="567" w:gutter="0"/>
          <w:cols w:space="720"/>
          <w:titlePg/>
          <w:docGrid w:linePitch="326"/>
        </w:sectPr>
      </w:pPr>
    </w:p>
    <w:p w:rsidR="009B3F6C" w:rsidRPr="00A610A6" w:rsidRDefault="0004417B" w:rsidP="00290E4F">
      <w:pPr>
        <w:pStyle w:val="Heading2"/>
        <w:spacing w:before="0" w:after="240"/>
        <w:rPr>
          <w:sz w:val="32"/>
          <w:szCs w:val="32"/>
        </w:rPr>
      </w:pPr>
      <w:r w:rsidRPr="00A610A6">
        <w:rPr>
          <w:sz w:val="32"/>
          <w:szCs w:val="32"/>
        </w:rPr>
        <w:t>Improving market access for Australian goods and services</w:t>
      </w:r>
      <w:r w:rsidR="00E52830">
        <w:rPr>
          <w:sz w:val="32"/>
          <w:szCs w:val="32"/>
        </w:rPr>
        <w:t>, attracting foreign investment and supporting business</w:t>
      </w:r>
      <w:r w:rsidRPr="00A610A6">
        <w:rPr>
          <w:sz w:val="32"/>
          <w:szCs w:val="32"/>
        </w:rPr>
        <w:t xml:space="preserve"> </w:t>
      </w:r>
    </w:p>
    <w:p w:rsidR="00173F5A" w:rsidRDefault="001202CB" w:rsidP="009B3F6C">
      <w:pPr>
        <w:spacing w:after="160"/>
        <w:rPr>
          <w:rFonts w:ascii="Franklin Gothic Book" w:hAnsi="Franklin Gothic Book"/>
          <w:sz w:val="21"/>
        </w:rPr>
      </w:pPr>
      <w:r>
        <w:rPr>
          <w:rFonts w:ascii="Franklin Gothic Book" w:hAnsi="Franklin Gothic Book"/>
          <w:sz w:val="21"/>
        </w:rPr>
        <w:t>Through its</w:t>
      </w:r>
      <w:r w:rsidR="006A770A">
        <w:rPr>
          <w:rFonts w:ascii="Franklin Gothic Book" w:hAnsi="Franklin Gothic Book"/>
          <w:sz w:val="21"/>
        </w:rPr>
        <w:t xml:space="preserve"> economic diplomacy </w:t>
      </w:r>
      <w:r>
        <w:rPr>
          <w:rFonts w:ascii="Franklin Gothic Book" w:hAnsi="Franklin Gothic Book"/>
          <w:sz w:val="21"/>
        </w:rPr>
        <w:t xml:space="preserve">strategy, the department will work to open </w:t>
      </w:r>
      <w:r w:rsidR="009B3F6C" w:rsidRPr="009B3F6C">
        <w:rPr>
          <w:rFonts w:ascii="Franklin Gothic Book" w:hAnsi="Franklin Gothic Book"/>
          <w:sz w:val="21"/>
        </w:rPr>
        <w:t>new market access opportunities for Australian exports of goods and services</w:t>
      </w:r>
      <w:r>
        <w:rPr>
          <w:rFonts w:ascii="Franklin Gothic Book" w:hAnsi="Franklin Gothic Book"/>
          <w:sz w:val="21"/>
        </w:rPr>
        <w:t xml:space="preserve"> and investment</w:t>
      </w:r>
      <w:r w:rsidR="00E52830">
        <w:rPr>
          <w:rFonts w:ascii="Franklin Gothic Book" w:hAnsi="Franklin Gothic Book"/>
          <w:sz w:val="21"/>
        </w:rPr>
        <w:t>,</w:t>
      </w:r>
      <w:r w:rsidR="009B3F6C" w:rsidRPr="009B3F6C">
        <w:rPr>
          <w:rFonts w:ascii="Franklin Gothic Book" w:hAnsi="Franklin Gothic Book"/>
          <w:sz w:val="21"/>
        </w:rPr>
        <w:t xml:space="preserve"> </w:t>
      </w:r>
      <w:r>
        <w:rPr>
          <w:rFonts w:ascii="Franklin Gothic Book" w:hAnsi="Franklin Gothic Book"/>
          <w:sz w:val="21"/>
        </w:rPr>
        <w:t>resolve</w:t>
      </w:r>
      <w:r w:rsidR="00925B91">
        <w:rPr>
          <w:rFonts w:ascii="Franklin Gothic Book" w:hAnsi="Franklin Gothic Book"/>
          <w:sz w:val="21"/>
        </w:rPr>
        <w:t xml:space="preserve"> trade and investment barriers, </w:t>
      </w:r>
      <w:r>
        <w:rPr>
          <w:rFonts w:ascii="Franklin Gothic Book" w:hAnsi="Franklin Gothic Book"/>
          <w:sz w:val="21"/>
        </w:rPr>
        <w:t>foster</w:t>
      </w:r>
      <w:r w:rsidR="009B3F6C" w:rsidRPr="009B3F6C">
        <w:rPr>
          <w:rFonts w:ascii="Franklin Gothic Book" w:hAnsi="Franklin Gothic Book"/>
          <w:sz w:val="21"/>
        </w:rPr>
        <w:t xml:space="preserve"> conditions and networks that will attract productive foreign investment to Australia</w:t>
      </w:r>
      <w:r w:rsidR="00E52830">
        <w:rPr>
          <w:rFonts w:ascii="Franklin Gothic Book" w:hAnsi="Franklin Gothic Book"/>
          <w:sz w:val="21"/>
        </w:rPr>
        <w:t xml:space="preserve"> and </w:t>
      </w:r>
      <w:r>
        <w:rPr>
          <w:rFonts w:ascii="Franklin Gothic Book" w:hAnsi="Franklin Gothic Book"/>
          <w:sz w:val="21"/>
        </w:rPr>
        <w:t>support</w:t>
      </w:r>
      <w:r w:rsidR="00E52830">
        <w:rPr>
          <w:rFonts w:ascii="Franklin Gothic Book" w:hAnsi="Franklin Gothic Book"/>
          <w:sz w:val="21"/>
        </w:rPr>
        <w:t xml:space="preserve"> Australian business in their overseas </w:t>
      </w:r>
      <w:r>
        <w:rPr>
          <w:rFonts w:ascii="Franklin Gothic Book" w:hAnsi="Franklin Gothic Book"/>
          <w:sz w:val="21"/>
        </w:rPr>
        <w:t xml:space="preserve">commercial </w:t>
      </w:r>
      <w:r w:rsidR="00E52830">
        <w:rPr>
          <w:rFonts w:ascii="Franklin Gothic Book" w:hAnsi="Franklin Gothic Book"/>
          <w:sz w:val="21"/>
        </w:rPr>
        <w:t>endeavours</w:t>
      </w:r>
      <w:r w:rsidR="00167F1D">
        <w:rPr>
          <w:rFonts w:ascii="Franklin Gothic Book" w:hAnsi="Franklin Gothic Book"/>
          <w:sz w:val="21"/>
        </w:rPr>
        <w:t xml:space="preserve">.  </w:t>
      </w:r>
    </w:p>
    <w:p w:rsidR="001202CB" w:rsidRDefault="001202CB" w:rsidP="001202CB">
      <w:pPr>
        <w:spacing w:after="160"/>
        <w:rPr>
          <w:rFonts w:ascii="Franklin Gothic Book" w:hAnsi="Franklin Gothic Book"/>
          <w:sz w:val="21"/>
        </w:rPr>
      </w:pPr>
      <w:r w:rsidRPr="001202CB">
        <w:rPr>
          <w:rFonts w:ascii="Franklin Gothic Book" w:hAnsi="Franklin Gothic Book"/>
          <w:sz w:val="21"/>
        </w:rPr>
        <w:t>We will advance these objectives through the negotiation and implementation of trade agreements at bilateral, plurilateral, regional and multilateral levels, sustained efforts bilaterally to address regulatory obstacles to trade and investment, continuing support for a strong multilateral trade rules system and advocating for global and domestic reforms that deliver trade liberalising, pro-growth and market-based policy outcomes</w:t>
      </w:r>
      <w:r>
        <w:rPr>
          <w:rFonts w:ascii="Franklin Gothic Book" w:hAnsi="Franklin Gothic Book"/>
          <w:sz w:val="21"/>
        </w:rPr>
        <w:t xml:space="preserve">.  </w:t>
      </w:r>
    </w:p>
    <w:p w:rsidR="00173F5A" w:rsidRPr="00173F5A" w:rsidRDefault="00173F5A" w:rsidP="00137BDC">
      <w:pPr>
        <w:pStyle w:val="Heading3"/>
        <w:spacing w:before="240"/>
      </w:pPr>
      <w:r>
        <w:t>Major o</w:t>
      </w:r>
      <w:r w:rsidRPr="00A00AE5">
        <w:t>perational activities</w:t>
      </w:r>
    </w:p>
    <w:p w:rsidR="009B3F6C" w:rsidRPr="009B3F6C" w:rsidRDefault="00BA46A4" w:rsidP="00C1434E">
      <w:pPr>
        <w:pStyle w:val="ListBullet"/>
      </w:pPr>
      <w:r>
        <w:t>W</w:t>
      </w:r>
      <w:r w:rsidR="00715F56">
        <w:t xml:space="preserve">e will implement the </w:t>
      </w:r>
      <w:r w:rsidR="0063540C">
        <w:t>FTAs</w:t>
      </w:r>
      <w:r w:rsidR="009B3F6C" w:rsidRPr="009B3F6C">
        <w:t xml:space="preserve"> with </w:t>
      </w:r>
      <w:r w:rsidR="00715F56">
        <w:t xml:space="preserve">China, </w:t>
      </w:r>
      <w:r w:rsidR="009B3F6C" w:rsidRPr="009B3F6C">
        <w:t>Korea and Japan</w:t>
      </w:r>
      <w:r>
        <w:t>,</w:t>
      </w:r>
      <w:r w:rsidR="00715F56">
        <w:t xml:space="preserve"> </w:t>
      </w:r>
      <w:r w:rsidR="009B3F6C" w:rsidRPr="009B3F6C">
        <w:t>encourag</w:t>
      </w:r>
      <w:r>
        <w:t>ing</w:t>
      </w:r>
      <w:r w:rsidR="009B3F6C" w:rsidRPr="009B3F6C">
        <w:t xml:space="preserve"> </w:t>
      </w:r>
      <w:r w:rsidR="005C191A">
        <w:t xml:space="preserve">Australian </w:t>
      </w:r>
      <w:r w:rsidR="009B3F6C" w:rsidRPr="009B3F6C">
        <w:t xml:space="preserve">business to fully utilise the opportunities arising from the </w:t>
      </w:r>
      <w:r w:rsidR="00715F56">
        <w:t>agreements</w:t>
      </w:r>
      <w:r w:rsidR="00167F1D">
        <w:t>.</w:t>
      </w:r>
      <w:r w:rsidR="00477008">
        <w:t xml:space="preserve">  </w:t>
      </w:r>
      <w:r w:rsidR="00715F56">
        <w:t>Concluding</w:t>
      </w:r>
      <w:r w:rsidR="009B3F6C" w:rsidRPr="009B3F6C">
        <w:t xml:space="preserve"> the regional Trans-Pacific</w:t>
      </w:r>
      <w:r w:rsidR="008D33C5">
        <w:t xml:space="preserve"> Partnership Agre</w:t>
      </w:r>
      <w:r w:rsidR="00167F1D">
        <w:t>ement</w:t>
      </w:r>
      <w:r w:rsidR="008D33C5">
        <w:t>,</w:t>
      </w:r>
      <w:r w:rsidR="009B3F6C" w:rsidRPr="009B3F6C">
        <w:t xml:space="preserve"> </w:t>
      </w:r>
      <w:r w:rsidR="008D33C5">
        <w:t>the</w:t>
      </w:r>
      <w:r w:rsidR="009B3F6C" w:rsidRPr="009B3F6C">
        <w:t xml:space="preserve"> Comprehensive Econo</w:t>
      </w:r>
      <w:r w:rsidR="00167F1D">
        <w:t xml:space="preserve">mic Cooperation Agreement </w:t>
      </w:r>
      <w:r w:rsidR="008D33C5">
        <w:t>with India and</w:t>
      </w:r>
      <w:r w:rsidR="009B3F6C" w:rsidRPr="009B3F6C">
        <w:t xml:space="preserve"> the Regional Comprehensive Econo</w:t>
      </w:r>
      <w:r w:rsidR="00167F1D">
        <w:t xml:space="preserve">mic Partnership Agreement </w:t>
      </w:r>
      <w:r w:rsidR="008D33C5">
        <w:t>are key priorities</w:t>
      </w:r>
      <w:r w:rsidR="00167F1D">
        <w:t>.</w:t>
      </w:r>
      <w:r w:rsidR="00477008">
        <w:t xml:space="preserve">  </w:t>
      </w:r>
      <w:r w:rsidR="009B3F6C" w:rsidRPr="009B3F6C">
        <w:t xml:space="preserve"> </w:t>
      </w:r>
    </w:p>
    <w:p w:rsidR="009B3F6C" w:rsidRDefault="00BA46A4" w:rsidP="00BA46A4">
      <w:pPr>
        <w:pStyle w:val="ListBullet"/>
      </w:pPr>
      <w:r>
        <w:t>M</w:t>
      </w:r>
      <w:r w:rsidR="009B3F6C" w:rsidRPr="009B3F6C">
        <w:t>ultilaterall</w:t>
      </w:r>
      <w:r>
        <w:t xml:space="preserve">y, </w:t>
      </w:r>
      <w:r w:rsidR="006421AC">
        <w:t xml:space="preserve">the department </w:t>
      </w:r>
      <w:r>
        <w:t xml:space="preserve">will </w:t>
      </w:r>
      <w:r w:rsidR="009B3F6C" w:rsidRPr="009B3F6C">
        <w:t xml:space="preserve">support efforts to conclude the Doha Round of </w:t>
      </w:r>
      <w:r w:rsidR="00167F1D">
        <w:t xml:space="preserve">the </w:t>
      </w:r>
      <w:r w:rsidR="009B3F6C" w:rsidRPr="009B3F6C">
        <w:t>W</w:t>
      </w:r>
      <w:r w:rsidR="00167F1D">
        <w:t xml:space="preserve">orld </w:t>
      </w:r>
      <w:r w:rsidR="009B3F6C" w:rsidRPr="009B3F6C">
        <w:t>T</w:t>
      </w:r>
      <w:r w:rsidR="00167F1D">
        <w:t xml:space="preserve">rade </w:t>
      </w:r>
      <w:r w:rsidR="009B3F6C" w:rsidRPr="009B3F6C">
        <w:t>O</w:t>
      </w:r>
      <w:r w:rsidR="00167F1D">
        <w:t>rganisation (WTO)</w:t>
      </w:r>
      <w:r w:rsidR="009B3F6C" w:rsidRPr="009B3F6C">
        <w:t xml:space="preserve"> negotiations</w:t>
      </w:r>
      <w:r w:rsidR="008D33C5">
        <w:t xml:space="preserve"> and </w:t>
      </w:r>
      <w:r w:rsidR="009B3F6C" w:rsidRPr="009B3F6C">
        <w:t>t</w:t>
      </w:r>
      <w:r w:rsidR="00167F1D">
        <w:t>he Trade in Services Agreement.</w:t>
      </w:r>
      <w:r w:rsidR="00477008">
        <w:t xml:space="preserve">  </w:t>
      </w:r>
      <w:r w:rsidR="006421AC">
        <w:t>We</w:t>
      </w:r>
      <w:r w:rsidR="008D33C5">
        <w:t xml:space="preserve"> will seek to</w:t>
      </w:r>
      <w:r w:rsidR="009B3F6C" w:rsidRPr="009B3F6C">
        <w:t xml:space="preserve"> advance negotiations to accede to the WTO Government Procurement Agreement and support efforts to bring into force the WTO Agre</w:t>
      </w:r>
      <w:r w:rsidR="008D33C5">
        <w:t>ement on Trade Facilitation</w:t>
      </w:r>
      <w:r w:rsidR="00167F1D">
        <w:t>.</w:t>
      </w:r>
      <w:r w:rsidR="00477008">
        <w:t xml:space="preserve">  </w:t>
      </w:r>
      <w:r w:rsidR="00925B91">
        <w:t>We</w:t>
      </w:r>
      <w:r w:rsidR="008D33C5">
        <w:t xml:space="preserve"> will advance Australia's trade</w:t>
      </w:r>
      <w:r w:rsidR="009B3F6C" w:rsidRPr="009B3F6C">
        <w:t xml:space="preserve"> interests through active participation in the WTO’s dispute settlement system</w:t>
      </w:r>
      <w:r w:rsidR="00167F1D">
        <w:t xml:space="preserve">.  </w:t>
      </w:r>
    </w:p>
    <w:p w:rsidR="004E3D17" w:rsidRPr="009B3F6C" w:rsidRDefault="004E3D17" w:rsidP="004E3D17">
      <w:pPr>
        <w:pStyle w:val="ListBullet"/>
      </w:pPr>
      <w:r>
        <w:t xml:space="preserve">Bilaterally, the department will advocate and negotiate for the interests of Australian business and </w:t>
      </w:r>
      <w:r w:rsidRPr="009B3F6C">
        <w:t>address ‘behind the border’ barriers to Australian exports and investment</w:t>
      </w:r>
      <w:r>
        <w:t>.</w:t>
      </w:r>
    </w:p>
    <w:p w:rsidR="009B3F6C" w:rsidRPr="009B3F6C" w:rsidRDefault="00167F1D" w:rsidP="00BA46A4">
      <w:pPr>
        <w:pStyle w:val="ListBullet"/>
      </w:pPr>
      <w:r>
        <w:t>The department</w:t>
      </w:r>
      <w:r w:rsidR="009B3F6C" w:rsidRPr="009B3F6C">
        <w:t xml:space="preserve"> will continue to provide high-quality economic analysis and contribute to the Government’s major domestic economic reforms</w:t>
      </w:r>
      <w:r>
        <w:t>.</w:t>
      </w:r>
      <w:r w:rsidR="00477008">
        <w:t xml:space="preserve">  </w:t>
      </w:r>
      <w:r w:rsidR="009B3F6C" w:rsidRPr="009B3F6C">
        <w:t>We will work to attract foreign investment to Australia, and secure and protect investment access for Australia abroad</w:t>
      </w:r>
      <w:r>
        <w:t>.</w:t>
      </w:r>
      <w:r w:rsidR="00925B91">
        <w:t xml:space="preserve">  </w:t>
      </w:r>
      <w:r w:rsidR="009B3F6C" w:rsidRPr="009B3F6C">
        <w:t>We will contribute to increasing tourism to Australia through work with partner governments and international organisations.</w:t>
      </w:r>
    </w:p>
    <w:p w:rsidR="009B3F6C" w:rsidRPr="009B3F6C" w:rsidRDefault="006421AC" w:rsidP="00AD288C">
      <w:pPr>
        <w:pStyle w:val="ListBullet"/>
      </w:pPr>
      <w:r>
        <w:t>The department</w:t>
      </w:r>
      <w:r w:rsidRPr="009B3F6C">
        <w:t xml:space="preserve"> </w:t>
      </w:r>
      <w:r w:rsidR="009B3F6C" w:rsidRPr="009B3F6C">
        <w:t>will provide support to Australian business engaged in global trade and investment</w:t>
      </w:r>
      <w:r w:rsidR="00D04659">
        <w:t xml:space="preserve"> through implementation of the d</w:t>
      </w:r>
      <w:r w:rsidR="009B3F6C" w:rsidRPr="009B3F6C">
        <w:t>epartment’s Charter for Business, practical support on the ground overseas, well targeted trade finance policies and sharing analytical insights through our Business Envoy publication</w:t>
      </w:r>
      <w:r w:rsidR="00167F1D">
        <w:t>.</w:t>
      </w:r>
      <w:r w:rsidR="00477008">
        <w:t xml:space="preserve">  </w:t>
      </w:r>
    </w:p>
    <w:p w:rsidR="009B3F6C" w:rsidRDefault="00167F1D" w:rsidP="00BA46A4">
      <w:pPr>
        <w:pStyle w:val="ListBullet"/>
      </w:pPr>
      <w:r>
        <w:t>The department</w:t>
      </w:r>
      <w:r w:rsidR="009B3F6C" w:rsidRPr="009B3F6C">
        <w:t xml:space="preserve"> will </w:t>
      </w:r>
      <w:r w:rsidR="008D33C5">
        <w:t xml:space="preserve">contribute </w:t>
      </w:r>
      <w:r w:rsidR="005C191A">
        <w:t>to whole-of-government outcomes sought in the G20, focused</w:t>
      </w:r>
      <w:r w:rsidR="009B3F6C" w:rsidRPr="009B3F6C">
        <w:t xml:space="preserve"> on pro-growth economic policies, and trade and investment </w:t>
      </w:r>
      <w:r w:rsidR="00925B91">
        <w:t>liberalisation.</w:t>
      </w:r>
    </w:p>
    <w:p w:rsidR="009B3F6C" w:rsidRDefault="007A420D" w:rsidP="00137BDC">
      <w:pPr>
        <w:pStyle w:val="Heading3"/>
        <w:spacing w:before="240"/>
      </w:pPr>
      <w:r>
        <w:t>Key performance measures and assessment</w:t>
      </w:r>
    </w:p>
    <w:tbl>
      <w:tblPr>
        <w:tblStyle w:val="MediumGrid3-Accent1"/>
        <w:tblW w:w="8613" w:type="dxa"/>
        <w:tblLayout w:type="fixed"/>
        <w:tblLook w:val="04A0" w:firstRow="1" w:lastRow="0" w:firstColumn="1" w:lastColumn="0" w:noHBand="0" w:noVBand="1"/>
      </w:tblPr>
      <w:tblGrid>
        <w:gridCol w:w="1526"/>
        <w:gridCol w:w="5953"/>
        <w:gridCol w:w="1134"/>
      </w:tblGrid>
      <w:tr w:rsidR="004969B3" w:rsidRPr="002C113F" w:rsidTr="009D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4969B3" w:rsidRPr="0050743C" w:rsidRDefault="004969B3" w:rsidP="00167F1D">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4969B3" w:rsidRPr="0050743C" w:rsidRDefault="004969B3"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4969B3" w:rsidRPr="0050743C" w:rsidRDefault="004969B3"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4969B3" w:rsidRPr="002C113F" w:rsidTr="009D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4969B3" w:rsidRPr="00B3196A" w:rsidRDefault="004969B3" w:rsidP="00167F1D">
            <w:pPr>
              <w:rPr>
                <w:rFonts w:ascii="Franklin Gothic Book" w:hAnsi="Franklin Gothic Book"/>
                <w:i/>
                <w:sz w:val="21"/>
              </w:rPr>
            </w:pPr>
            <w:r>
              <w:rPr>
                <w:rFonts w:ascii="Franklin Gothic Book" w:hAnsi="Franklin Gothic Book"/>
                <w:i/>
                <w:sz w:val="21"/>
              </w:rPr>
              <w:t>Case studies</w:t>
            </w:r>
          </w:p>
        </w:tc>
        <w:tc>
          <w:tcPr>
            <w:tcW w:w="5953" w:type="dxa"/>
          </w:tcPr>
          <w:p w:rsidR="004969B3" w:rsidRDefault="004969B3" w:rsidP="00167F1D">
            <w:pPr>
              <w:pStyle w:val="List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The department will use case studies to highlight and assess:</w:t>
            </w:r>
          </w:p>
          <w:p w:rsidR="004969B3" w:rsidRDefault="004969B3" w:rsidP="00167F1D">
            <w:pPr>
              <w:pStyle w:val="ListBullet"/>
              <w:cnfStyle w:val="000000100000" w:firstRow="0" w:lastRow="0" w:firstColumn="0" w:lastColumn="0" w:oddVBand="0" w:evenVBand="0" w:oddHBand="1" w:evenHBand="0" w:firstRowFirstColumn="0" w:firstRowLastColumn="0" w:lastRowFirstColumn="0" w:lastRowLastColumn="0"/>
            </w:pPr>
            <w:r>
              <w:t xml:space="preserve">the impact of </w:t>
            </w:r>
            <w:r w:rsidR="00C1434E">
              <w:t xml:space="preserve">the department’s advice and advocacy to deliver </w:t>
            </w:r>
            <w:r>
              <w:t xml:space="preserve">trade and investment </w:t>
            </w:r>
            <w:r w:rsidR="00C1434E">
              <w:t>outcomes for Australian business</w:t>
            </w:r>
            <w:r>
              <w:t xml:space="preserve"> </w:t>
            </w:r>
          </w:p>
          <w:p w:rsidR="004969B3" w:rsidRPr="00435125" w:rsidRDefault="004969B3" w:rsidP="00BA46A4">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BA46A4">
              <w:t>achievement</w:t>
            </w:r>
            <w:r>
              <w:t xml:space="preserve"> of Australian economic interests in bilateral, regional, plurilateral and international </w:t>
            </w:r>
            <w:r w:rsidR="00BA46A4">
              <w:t>outcomes</w:t>
            </w:r>
          </w:p>
        </w:tc>
        <w:tc>
          <w:tcPr>
            <w:tcW w:w="1134" w:type="dxa"/>
          </w:tcPr>
          <w:p w:rsidR="004969B3" w:rsidRPr="00AD27D1" w:rsidRDefault="004969B3" w:rsidP="00167F1D">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r w:rsidR="00EA5B03" w:rsidRPr="002C113F" w:rsidTr="009D4C1C">
        <w:tc>
          <w:tcPr>
            <w:cnfStyle w:val="001000000000" w:firstRow="0" w:lastRow="0" w:firstColumn="1" w:lastColumn="0" w:oddVBand="0" w:evenVBand="0" w:oddHBand="0" w:evenHBand="0" w:firstRowFirstColumn="0" w:firstRowLastColumn="0" w:lastRowFirstColumn="0" w:lastRowLastColumn="0"/>
            <w:tcW w:w="1526" w:type="dxa"/>
          </w:tcPr>
          <w:p w:rsidR="00EA5B03" w:rsidRDefault="00EA5B03" w:rsidP="00167F1D">
            <w:pPr>
              <w:rPr>
                <w:rFonts w:ascii="Franklin Gothic Book" w:hAnsi="Franklin Gothic Book"/>
                <w:i/>
                <w:sz w:val="21"/>
              </w:rPr>
            </w:pPr>
            <w:r>
              <w:rPr>
                <w:rFonts w:ascii="Franklin Gothic Book" w:hAnsi="Franklin Gothic Book"/>
                <w:i/>
                <w:sz w:val="21"/>
              </w:rPr>
              <w:t>Surveys</w:t>
            </w:r>
          </w:p>
        </w:tc>
        <w:tc>
          <w:tcPr>
            <w:tcW w:w="5953" w:type="dxa"/>
          </w:tcPr>
          <w:p w:rsidR="00EA5B03" w:rsidRDefault="00EA5B03" w:rsidP="00BA46A4">
            <w:pPr>
              <w:pStyle w:val="List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t>Qualitative and quantitative business surveys on business</w:t>
            </w:r>
            <w:r w:rsidR="00532F93">
              <w:t>es’</w:t>
            </w:r>
            <w:r>
              <w:t xml:space="preserve"> satisfaction with</w:t>
            </w:r>
            <w:r w:rsidR="00BA46A4">
              <w:t xml:space="preserve"> the department’s support</w:t>
            </w:r>
          </w:p>
        </w:tc>
        <w:tc>
          <w:tcPr>
            <w:tcW w:w="1134" w:type="dxa"/>
          </w:tcPr>
          <w:p w:rsidR="00EA5B03" w:rsidRDefault="00EA5B03" w:rsidP="00167F1D">
            <w:pPr>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bl>
    <w:p w:rsidR="002F0AF9" w:rsidRPr="00173F5A" w:rsidRDefault="002F0AF9" w:rsidP="00173F5A">
      <w:pPr>
        <w:spacing w:after="160"/>
        <w:rPr>
          <w:rFonts w:ascii="Franklin Gothic Book" w:hAnsi="Franklin Gothic Book"/>
          <w:sz w:val="21"/>
        </w:rPr>
        <w:sectPr w:rsidR="002F0AF9" w:rsidRPr="00173F5A" w:rsidSect="00851F21">
          <w:pgSz w:w="11907" w:h="16840" w:code="9"/>
          <w:pgMar w:top="794" w:right="1701" w:bottom="794" w:left="1701" w:header="567" w:footer="567" w:gutter="0"/>
          <w:cols w:space="720"/>
          <w:docGrid w:linePitch="326"/>
        </w:sectPr>
      </w:pPr>
    </w:p>
    <w:p w:rsidR="0026232A" w:rsidRPr="00A610A6" w:rsidRDefault="0026232A" w:rsidP="00290E4F">
      <w:pPr>
        <w:pStyle w:val="Heading2"/>
        <w:spacing w:before="0" w:after="240"/>
        <w:rPr>
          <w:sz w:val="32"/>
          <w:szCs w:val="32"/>
        </w:rPr>
      </w:pPr>
      <w:r w:rsidRPr="00A610A6">
        <w:rPr>
          <w:sz w:val="32"/>
          <w:szCs w:val="32"/>
        </w:rPr>
        <w:t>Delivering an innovative aid program</w:t>
      </w:r>
    </w:p>
    <w:p w:rsidR="0026232A" w:rsidRPr="00A85648" w:rsidRDefault="0026232A" w:rsidP="00A85648">
      <w:pPr>
        <w:spacing w:after="160"/>
        <w:rPr>
          <w:rFonts w:ascii="Franklin Gothic Book" w:hAnsi="Franklin Gothic Book"/>
          <w:sz w:val="21"/>
        </w:rPr>
      </w:pPr>
      <w:r w:rsidRPr="00A85648">
        <w:rPr>
          <w:rFonts w:ascii="Franklin Gothic Book" w:hAnsi="Franklin Gothic Book"/>
          <w:sz w:val="21"/>
        </w:rPr>
        <w:t xml:space="preserve">The Government’s aid policy, </w:t>
      </w:r>
      <w:r w:rsidRPr="00A85648">
        <w:rPr>
          <w:rFonts w:ascii="Franklin Gothic Book" w:hAnsi="Franklin Gothic Book"/>
          <w:i/>
          <w:sz w:val="21"/>
        </w:rPr>
        <w:t>Australian aid: promoting prosperity, reducing poverty, enhancing stability</w:t>
      </w:r>
      <w:r w:rsidRPr="00A85648">
        <w:rPr>
          <w:rFonts w:ascii="Franklin Gothic Book" w:hAnsi="Franklin Gothic Book"/>
          <w:sz w:val="21"/>
        </w:rPr>
        <w:t xml:space="preserve">, and the performance framework, </w:t>
      </w:r>
      <w:r w:rsidRPr="00A85648">
        <w:rPr>
          <w:rFonts w:ascii="Franklin Gothic Book" w:hAnsi="Franklin Gothic Book"/>
          <w:i/>
          <w:sz w:val="21"/>
        </w:rPr>
        <w:t>Making Performance Count: enhancing the accountability and effectiveness of Australian aid</w:t>
      </w:r>
      <w:r w:rsidRPr="00A85648">
        <w:rPr>
          <w:rFonts w:ascii="Franklin Gothic Book" w:hAnsi="Franklin Gothic Book"/>
          <w:sz w:val="21"/>
        </w:rPr>
        <w:t xml:space="preserve"> were released </w:t>
      </w:r>
      <w:r w:rsidR="00E52830">
        <w:rPr>
          <w:rFonts w:ascii="Franklin Gothic Book" w:hAnsi="Franklin Gothic Book"/>
          <w:sz w:val="21"/>
        </w:rPr>
        <w:t>in</w:t>
      </w:r>
      <w:r w:rsidR="006A770A">
        <w:rPr>
          <w:rFonts w:ascii="Franklin Gothic Book" w:hAnsi="Franklin Gothic Book"/>
          <w:sz w:val="21"/>
        </w:rPr>
        <w:t xml:space="preserve"> </w:t>
      </w:r>
      <w:r w:rsidRPr="00A85648">
        <w:rPr>
          <w:rFonts w:ascii="Franklin Gothic Book" w:hAnsi="Franklin Gothic Book"/>
          <w:sz w:val="21"/>
        </w:rPr>
        <w:t>June 2014</w:t>
      </w:r>
      <w:r w:rsidR="00167F1D">
        <w:rPr>
          <w:rFonts w:ascii="Franklin Gothic Book" w:hAnsi="Franklin Gothic Book"/>
          <w:sz w:val="21"/>
        </w:rPr>
        <w:t xml:space="preserve">.  </w:t>
      </w:r>
      <w:r w:rsidR="00E52830">
        <w:rPr>
          <w:rFonts w:ascii="Franklin Gothic Book" w:hAnsi="Franklin Gothic Book"/>
          <w:sz w:val="21"/>
        </w:rPr>
        <w:t>They</w:t>
      </w:r>
      <w:r w:rsidRPr="00A85648">
        <w:rPr>
          <w:rFonts w:ascii="Franklin Gothic Book" w:hAnsi="Franklin Gothic Book"/>
          <w:sz w:val="21"/>
        </w:rPr>
        <w:t xml:space="preserve"> establish the rationale, direction and performance framework for an effective aid program.</w:t>
      </w:r>
    </w:p>
    <w:p w:rsidR="0026232A" w:rsidRDefault="0026232A" w:rsidP="00A85648">
      <w:pPr>
        <w:spacing w:after="160"/>
        <w:rPr>
          <w:rFonts w:ascii="Franklin Gothic Book" w:hAnsi="Franklin Gothic Book"/>
          <w:sz w:val="21"/>
        </w:rPr>
      </w:pPr>
      <w:r w:rsidRPr="00A85648">
        <w:rPr>
          <w:rFonts w:ascii="Franklin Gothic Book" w:hAnsi="Franklin Gothic Book"/>
          <w:sz w:val="21"/>
        </w:rPr>
        <w:t>The aid program’s purpose – to promote Australia’s national interests by contributing to sustainable economic growth and poverty reduction – acknowledges that economic growth is the most sustainable way to reduce poverty and lift living standards.</w:t>
      </w:r>
    </w:p>
    <w:p w:rsidR="00EC2BB1" w:rsidRPr="00A85648" w:rsidRDefault="00444B95" w:rsidP="00A85648">
      <w:pPr>
        <w:spacing w:after="160"/>
        <w:rPr>
          <w:rFonts w:ascii="Franklin Gothic Book" w:hAnsi="Franklin Gothic Book"/>
          <w:sz w:val="21"/>
        </w:rPr>
      </w:pPr>
      <w:r>
        <w:rPr>
          <w:rFonts w:ascii="Franklin Gothic Book" w:hAnsi="Franklin Gothic Book"/>
          <w:sz w:val="21"/>
        </w:rPr>
        <w:t>The department</w:t>
      </w:r>
      <w:r w:rsidR="00EC2BB1" w:rsidRPr="00A85648">
        <w:rPr>
          <w:rFonts w:ascii="Franklin Gothic Book" w:hAnsi="Franklin Gothic Book"/>
          <w:sz w:val="21"/>
        </w:rPr>
        <w:t xml:space="preserve"> is pursuing new approaches to aid delivery to improve impact and value for money</w:t>
      </w:r>
      <w:r w:rsidR="00167F1D">
        <w:rPr>
          <w:rFonts w:ascii="Franklin Gothic Book" w:hAnsi="Franklin Gothic Book"/>
          <w:sz w:val="21"/>
        </w:rPr>
        <w:t xml:space="preserve">.  </w:t>
      </w:r>
      <w:r>
        <w:rPr>
          <w:rFonts w:ascii="Franklin Gothic Book" w:hAnsi="Franklin Gothic Book"/>
          <w:sz w:val="21"/>
        </w:rPr>
        <w:t>Our</w:t>
      </w:r>
      <w:r w:rsidR="00EC2BB1" w:rsidRPr="00A85648">
        <w:rPr>
          <w:rFonts w:ascii="Franklin Gothic Book" w:hAnsi="Franklin Gothic Book"/>
          <w:sz w:val="21"/>
        </w:rPr>
        <w:t xml:space="preserve"> innovationXchange has a key role in this, engaging creative thinkers </w:t>
      </w:r>
      <w:r w:rsidR="00E52830">
        <w:rPr>
          <w:rFonts w:ascii="Franklin Gothic Book" w:hAnsi="Franklin Gothic Book"/>
          <w:sz w:val="21"/>
        </w:rPr>
        <w:t>across the</w:t>
      </w:r>
      <w:r w:rsidR="00EC2BB1" w:rsidRPr="00A85648">
        <w:rPr>
          <w:rFonts w:ascii="Franklin Gothic Book" w:hAnsi="Franklin Gothic Book"/>
          <w:sz w:val="21"/>
        </w:rPr>
        <w:t xml:space="preserve"> public</w:t>
      </w:r>
      <w:r w:rsidR="00E52830">
        <w:rPr>
          <w:rFonts w:ascii="Franklin Gothic Book" w:hAnsi="Franklin Gothic Book"/>
          <w:sz w:val="21"/>
        </w:rPr>
        <w:t xml:space="preserve"> and private</w:t>
      </w:r>
      <w:r w:rsidR="00EC2BB1" w:rsidRPr="00A85648">
        <w:rPr>
          <w:rFonts w:ascii="Franklin Gothic Book" w:hAnsi="Franklin Gothic Book"/>
          <w:sz w:val="21"/>
        </w:rPr>
        <w:t xml:space="preserve"> sector</w:t>
      </w:r>
      <w:r w:rsidR="00E52830">
        <w:rPr>
          <w:rFonts w:ascii="Franklin Gothic Book" w:hAnsi="Franklin Gothic Book"/>
          <w:sz w:val="21"/>
        </w:rPr>
        <w:t>s</w:t>
      </w:r>
      <w:r w:rsidR="00EC2BB1" w:rsidRPr="00A85648">
        <w:rPr>
          <w:rFonts w:ascii="Franklin Gothic Book" w:hAnsi="Franklin Gothic Book"/>
          <w:sz w:val="21"/>
        </w:rPr>
        <w:t xml:space="preserve"> to promote and encourage the use of innovation </w:t>
      </w:r>
      <w:r w:rsidR="00E52830">
        <w:rPr>
          <w:rFonts w:ascii="Franklin Gothic Book" w:hAnsi="Franklin Gothic Book"/>
          <w:sz w:val="21"/>
        </w:rPr>
        <w:t>in the</w:t>
      </w:r>
      <w:r w:rsidR="00EC2BB1" w:rsidRPr="00A85648">
        <w:rPr>
          <w:rFonts w:ascii="Franklin Gothic Book" w:hAnsi="Franklin Gothic Book"/>
          <w:sz w:val="21"/>
        </w:rPr>
        <w:t xml:space="preserve"> aid program.</w:t>
      </w:r>
    </w:p>
    <w:p w:rsidR="00173F5A" w:rsidRPr="00173F5A" w:rsidRDefault="00173F5A" w:rsidP="00137BDC">
      <w:pPr>
        <w:pStyle w:val="Heading3"/>
        <w:spacing w:before="240"/>
      </w:pPr>
      <w:r>
        <w:t>Major o</w:t>
      </w:r>
      <w:r w:rsidRPr="00A00AE5">
        <w:t>perational activities</w:t>
      </w:r>
    </w:p>
    <w:p w:rsidR="00BA46A4" w:rsidRDefault="0026232A" w:rsidP="00AD288C">
      <w:pPr>
        <w:pStyle w:val="ListBullet"/>
        <w:numPr>
          <w:ilvl w:val="0"/>
          <w:numId w:val="0"/>
        </w:numPr>
      </w:pPr>
      <w:r w:rsidRPr="00A85648">
        <w:t xml:space="preserve">We are pursuing this purpose by focusing on two development outcomes: </w:t>
      </w:r>
    </w:p>
    <w:p w:rsidR="00BA46A4" w:rsidRDefault="0026232A" w:rsidP="00AD288C">
      <w:pPr>
        <w:pStyle w:val="ListBullet"/>
      </w:pPr>
      <w:r w:rsidRPr="00A85648">
        <w:t>strengthening private sector development</w:t>
      </w:r>
      <w:r w:rsidR="006421AC">
        <w:t>;</w:t>
      </w:r>
      <w:r w:rsidRPr="00A85648">
        <w:t xml:space="preserve"> and </w:t>
      </w:r>
    </w:p>
    <w:p w:rsidR="00BA46A4" w:rsidRDefault="0026232A" w:rsidP="00AD288C">
      <w:pPr>
        <w:pStyle w:val="ListBullet"/>
      </w:pPr>
      <w:r w:rsidRPr="00A85648">
        <w:t>enabling human development</w:t>
      </w:r>
      <w:r w:rsidR="00167F1D">
        <w:t xml:space="preserve">.  </w:t>
      </w:r>
    </w:p>
    <w:p w:rsidR="0026232A" w:rsidRPr="00A85648" w:rsidRDefault="0026232A" w:rsidP="00AD288C">
      <w:pPr>
        <w:pStyle w:val="ListBullet"/>
        <w:numPr>
          <w:ilvl w:val="0"/>
          <w:numId w:val="0"/>
        </w:numPr>
      </w:pPr>
      <w:r w:rsidRPr="00A85648">
        <w:t>The program focuses on the Indo-Pacific</w:t>
      </w:r>
      <w:r w:rsidR="006421AC">
        <w:t>,</w:t>
      </w:r>
      <w:r w:rsidRPr="00A85648">
        <w:t xml:space="preserve"> and investments are directed to six priority areas addressing regional barriers to growth and key poverty challenges.</w:t>
      </w:r>
    </w:p>
    <w:p w:rsidR="0026232A" w:rsidRDefault="0026232A" w:rsidP="0026232A">
      <w:pPr>
        <w:rPr>
          <w:b/>
          <w:sz w:val="18"/>
          <w:szCs w:val="18"/>
        </w:rPr>
      </w:pPr>
    </w:p>
    <w:p w:rsidR="0026232A" w:rsidRDefault="0026232A" w:rsidP="0026232A">
      <w:pPr>
        <w:rPr>
          <w:b/>
          <w:color w:val="1F497D" w:themeColor="text2"/>
          <w:sz w:val="18"/>
          <w:szCs w:val="18"/>
        </w:rPr>
      </w:pPr>
      <w:r w:rsidRPr="00A85648">
        <w:rPr>
          <w:rFonts w:ascii="Franklin Gothic Book" w:hAnsi="Franklin Gothic Book"/>
          <w:b/>
          <w:sz w:val="18"/>
          <w:szCs w:val="18"/>
        </w:rPr>
        <w:t xml:space="preserve">Figure </w:t>
      </w:r>
      <w:r w:rsidR="009A3D4A">
        <w:rPr>
          <w:rFonts w:ascii="Franklin Gothic Book" w:hAnsi="Franklin Gothic Book"/>
          <w:b/>
          <w:sz w:val="18"/>
          <w:szCs w:val="18"/>
        </w:rPr>
        <w:t>1</w:t>
      </w:r>
      <w:r w:rsidRPr="00A85648">
        <w:rPr>
          <w:rFonts w:ascii="Franklin Gothic Book" w:hAnsi="Franklin Gothic Book"/>
          <w:b/>
          <w:color w:val="1F497D" w:themeColor="text2"/>
          <w:sz w:val="18"/>
          <w:szCs w:val="18"/>
        </w:rPr>
        <w:t>: Aid program strategic framework</w:t>
      </w:r>
    </w:p>
    <w:p w:rsidR="0026232A" w:rsidRPr="00C074EA" w:rsidRDefault="0026232A" w:rsidP="0026232A">
      <w:pPr>
        <w:rPr>
          <w:b/>
          <w:color w:val="1F497D" w:themeColor="text2"/>
          <w:sz w:val="18"/>
          <w:szCs w:val="18"/>
        </w:rPr>
      </w:pPr>
    </w:p>
    <w:p w:rsidR="009D15A1" w:rsidRPr="00EC2BB1" w:rsidRDefault="0026232A" w:rsidP="00EC2BB1">
      <w:r>
        <w:rPr>
          <w:rFonts w:ascii="Times-Roman" w:hAnsi="Times-Roman" w:cs="Times-Roman"/>
          <w:bCs/>
          <w:iCs/>
          <w:noProof/>
          <w:color w:val="000000"/>
          <w:sz w:val="19"/>
          <w:szCs w:val="19"/>
        </w:rPr>
        <w:drawing>
          <wp:inline distT="0" distB="0" distL="0" distR="0" wp14:anchorId="1C723F4F" wp14:editId="65F36EAC">
            <wp:extent cx="5398312" cy="3838353"/>
            <wp:effectExtent l="0" t="0" r="0" b="0"/>
            <wp:docPr id="1" name="Picture 1" descr="For each country, the balance of investments will be tailored to country context and reflect Australia's national interest. We will invest in infrastructure, trade facilitation and international competitiveness; agriculture, fisheries and water; Effective governance - policies, institutions and functioning economies; education and health; building resilience - humanitarian assistance, disaster risk reduction and social protection; and gender equality and empowering women and girls. We maximise impact by being innovative and leveraging knowledge and finance, supporting both private sector development and human development (which relate to each other). All this will promote Australia's national interests by contributing to sustainable economic growth and poverty r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9 at 6.16.01 pm.png"/>
                    <pic:cNvPicPr/>
                  </pic:nvPicPr>
                  <pic:blipFill>
                    <a:blip r:embed="rId23">
                      <a:extLst>
                        <a:ext uri="{28A0092B-C50C-407E-A947-70E740481C1C}">
                          <a14:useLocalDpi xmlns:a14="http://schemas.microsoft.com/office/drawing/2010/main" val="0"/>
                        </a:ext>
                      </a:extLst>
                    </a:blip>
                    <a:stretch>
                      <a:fillRect/>
                    </a:stretch>
                  </pic:blipFill>
                  <pic:spPr>
                    <a:xfrm>
                      <a:off x="0" y="0"/>
                      <a:ext cx="5403387" cy="3841961"/>
                    </a:xfrm>
                    <a:prstGeom prst="rect">
                      <a:avLst/>
                    </a:prstGeom>
                  </pic:spPr>
                </pic:pic>
              </a:graphicData>
            </a:graphic>
          </wp:inline>
        </w:drawing>
      </w:r>
    </w:p>
    <w:p w:rsidR="00A85648" w:rsidRDefault="007A420D" w:rsidP="00137BDC">
      <w:pPr>
        <w:pStyle w:val="Heading3"/>
        <w:spacing w:before="240"/>
      </w:pPr>
      <w:r>
        <w:t>Key performance measures and assessment</w:t>
      </w:r>
    </w:p>
    <w:tbl>
      <w:tblPr>
        <w:tblStyle w:val="MediumGrid3-Accent1"/>
        <w:tblW w:w="8613" w:type="dxa"/>
        <w:tblLayout w:type="fixed"/>
        <w:tblLook w:val="04A0" w:firstRow="1" w:lastRow="0" w:firstColumn="1" w:lastColumn="0" w:noHBand="0" w:noVBand="1"/>
      </w:tblPr>
      <w:tblGrid>
        <w:gridCol w:w="1526"/>
        <w:gridCol w:w="5953"/>
        <w:gridCol w:w="1134"/>
      </w:tblGrid>
      <w:tr w:rsidR="00D70620" w:rsidRPr="002C113F" w:rsidTr="00FD5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70620" w:rsidRPr="0050743C" w:rsidRDefault="00D70620" w:rsidP="00FD52CE">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D70620" w:rsidRPr="0050743C" w:rsidRDefault="00D70620" w:rsidP="00FD52CE">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D70620" w:rsidRPr="0050743C" w:rsidRDefault="00D70620" w:rsidP="00FD52CE">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D70620" w:rsidRPr="002C113F" w:rsidTr="00FD5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70620" w:rsidRPr="00B3196A" w:rsidRDefault="00D70620" w:rsidP="00FD52CE">
            <w:pPr>
              <w:rPr>
                <w:rFonts w:ascii="Franklin Gothic Book" w:hAnsi="Franklin Gothic Book"/>
                <w:i/>
                <w:sz w:val="21"/>
              </w:rPr>
            </w:pPr>
            <w:r>
              <w:rPr>
                <w:rFonts w:ascii="Franklin Gothic Book" w:hAnsi="Franklin Gothic Book"/>
                <w:i/>
                <w:sz w:val="21"/>
              </w:rPr>
              <w:t>Performance of Australia Aid Report</w:t>
            </w:r>
          </w:p>
        </w:tc>
        <w:tc>
          <w:tcPr>
            <w:tcW w:w="5953" w:type="dxa"/>
          </w:tcPr>
          <w:p w:rsidR="00D70620" w:rsidRPr="00435125" w:rsidRDefault="00D70620" w:rsidP="00AD0D0D">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Assesses the performance of the aid progra</w:t>
            </w:r>
            <w:r w:rsidR="00AD0D0D">
              <w:t xml:space="preserve">m against the ten strategic targets as outlined in the Government’s development </w:t>
            </w:r>
            <w:r w:rsidR="00903251">
              <w:t>policy</w:t>
            </w:r>
          </w:p>
        </w:tc>
        <w:tc>
          <w:tcPr>
            <w:tcW w:w="1134" w:type="dxa"/>
          </w:tcPr>
          <w:p w:rsidR="00D70620" w:rsidRPr="00AD27D1" w:rsidRDefault="008054B7" w:rsidP="008054B7">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r w:rsidR="00D70620">
              <w:rPr>
                <w:rFonts w:ascii="Franklin Gothic Book" w:hAnsi="Franklin Gothic Book"/>
                <w:sz w:val="21"/>
              </w:rPr>
              <w:t xml:space="preserve"> </w:t>
            </w:r>
          </w:p>
        </w:tc>
      </w:tr>
    </w:tbl>
    <w:p w:rsidR="0026232A" w:rsidRPr="005A4BF9" w:rsidRDefault="0026232A" w:rsidP="0026232A">
      <w:pPr>
        <w:rPr>
          <w:rFonts w:ascii="Franklin Gothic Book" w:hAnsi="Franklin Gothic Book"/>
          <w:sz w:val="20"/>
          <w:szCs w:val="20"/>
        </w:rPr>
        <w:sectPr w:rsidR="0026232A" w:rsidRPr="005A4BF9" w:rsidSect="00851F21">
          <w:pgSz w:w="11907" w:h="16840" w:code="9"/>
          <w:pgMar w:top="794" w:right="1701" w:bottom="794" w:left="1701" w:header="567" w:footer="567" w:gutter="0"/>
          <w:cols w:space="720"/>
          <w:docGrid w:linePitch="326"/>
        </w:sectPr>
      </w:pPr>
    </w:p>
    <w:p w:rsidR="005541FF" w:rsidRPr="005C191A" w:rsidRDefault="0004417B" w:rsidP="00290E4F">
      <w:pPr>
        <w:pStyle w:val="Heading2"/>
        <w:spacing w:before="0" w:after="240"/>
        <w:rPr>
          <w:sz w:val="32"/>
          <w:szCs w:val="32"/>
        </w:rPr>
      </w:pPr>
      <w:r w:rsidRPr="00A610A6">
        <w:rPr>
          <w:sz w:val="32"/>
          <w:szCs w:val="32"/>
        </w:rPr>
        <w:t>Providing passport and</w:t>
      </w:r>
      <w:r w:rsidR="00416C57">
        <w:rPr>
          <w:sz w:val="32"/>
          <w:szCs w:val="32"/>
        </w:rPr>
        <w:t xml:space="preserve"> consular services</w:t>
      </w:r>
    </w:p>
    <w:p w:rsidR="00217CF4" w:rsidRDefault="00217CF4" w:rsidP="00C1434E">
      <w:pPr>
        <w:pStyle w:val="Heading3"/>
        <w:spacing w:before="240"/>
      </w:pPr>
      <w:r>
        <w:t>Passport services</w:t>
      </w:r>
    </w:p>
    <w:p w:rsidR="005541FF" w:rsidRPr="00FA170A" w:rsidRDefault="006421AC" w:rsidP="005541FF">
      <w:pPr>
        <w:pStyle w:val="BodyText"/>
      </w:pPr>
      <w:r>
        <w:t>W</w:t>
      </w:r>
      <w:r w:rsidRPr="00FA170A">
        <w:t>ith demand forecast to remain strong in the next four years</w:t>
      </w:r>
      <w:r>
        <w:t>, the department</w:t>
      </w:r>
      <w:r w:rsidR="005541FF" w:rsidRPr="00FA170A">
        <w:t xml:space="preserve"> will </w:t>
      </w:r>
      <w:r>
        <w:t xml:space="preserve">continue </w:t>
      </w:r>
      <w:r w:rsidR="005541FF" w:rsidRPr="00FA170A">
        <w:t>provid</w:t>
      </w:r>
      <w:r>
        <w:t>ing</w:t>
      </w:r>
      <w:r w:rsidR="005541FF" w:rsidRPr="00FA170A">
        <w:t xml:space="preserve"> a secure, efficient and responsive passport service to Australian citizens</w:t>
      </w:r>
      <w:r>
        <w:t>.</w:t>
      </w:r>
      <w:r w:rsidR="00477008">
        <w:t xml:space="preserve">  </w:t>
      </w:r>
    </w:p>
    <w:p w:rsidR="00173F5A" w:rsidRDefault="00173F5A" w:rsidP="00137BDC">
      <w:pPr>
        <w:pStyle w:val="Heading3"/>
        <w:spacing w:before="240"/>
      </w:pPr>
      <w:r>
        <w:t>Major o</w:t>
      </w:r>
      <w:r w:rsidRPr="00A00AE5">
        <w:t>perational activities</w:t>
      </w:r>
    </w:p>
    <w:p w:rsidR="005541FF" w:rsidRPr="00FA170A" w:rsidRDefault="005541FF" w:rsidP="00BA46A4">
      <w:pPr>
        <w:pStyle w:val="ListBullet"/>
      </w:pPr>
      <w:r w:rsidRPr="00FA170A">
        <w:t xml:space="preserve">We will </w:t>
      </w:r>
      <w:r w:rsidR="006421AC">
        <w:t>further</w:t>
      </w:r>
      <w:r w:rsidRPr="00FA170A">
        <w:t xml:space="preserve"> develop the technology and business processes that underpin the Australian passport system, making best use of innovations in biometrics, electronic transactions, document security, data validation and fraud detection and prevention</w:t>
      </w:r>
      <w:r w:rsidR="006421AC">
        <w:t xml:space="preserve"> to remain </w:t>
      </w:r>
      <w:r w:rsidR="0012681F">
        <w:t>a world leader</w:t>
      </w:r>
      <w:r w:rsidR="006421AC">
        <w:t xml:space="preserve"> in passport technology</w:t>
      </w:r>
      <w:r w:rsidR="00167F1D">
        <w:t>.</w:t>
      </w:r>
      <w:r w:rsidR="00477008">
        <w:t xml:space="preserve">  </w:t>
      </w:r>
      <w:r w:rsidRPr="00FA170A">
        <w:t>Enhanced data capture and high speed production initiatives will facilitate accurate and streamlined processing with better surge capacity</w:t>
      </w:r>
      <w:r w:rsidR="00167F1D">
        <w:t>.</w:t>
      </w:r>
      <w:r w:rsidR="00477008">
        <w:t xml:space="preserve">  </w:t>
      </w:r>
      <w:r w:rsidRPr="00FA170A">
        <w:t>Increased use of the concept of the ‘known client’ will complement other smart work practices.</w:t>
      </w:r>
    </w:p>
    <w:p w:rsidR="005541FF" w:rsidRPr="00FA170A" w:rsidRDefault="005541FF" w:rsidP="00BA46A4">
      <w:pPr>
        <w:pStyle w:val="ListBullet"/>
      </w:pPr>
      <w:r w:rsidRPr="00FA170A">
        <w:t>We will continue to pursue our national and international security goals, and will work closely with relevant Australian agencies, foreign governments and the International Civil Aviation Organization to curb misuse of passports by criminals and terrorists.</w:t>
      </w:r>
    </w:p>
    <w:p w:rsidR="005541FF" w:rsidRPr="00FA170A" w:rsidRDefault="005541FF" w:rsidP="00BA46A4">
      <w:pPr>
        <w:pStyle w:val="ListBullet"/>
      </w:pPr>
      <w:r w:rsidRPr="00FA170A">
        <w:t>Our experience in producing Australia’s premier identity document will enable us to contribute to the national digital transformation agenda particularly through the establishment of a trusted digital identity derived from our strong enrolment process</w:t>
      </w:r>
      <w:r w:rsidR="00167F1D">
        <w:t>.</w:t>
      </w:r>
      <w:r w:rsidR="00477008">
        <w:t xml:space="preserve">  </w:t>
      </w:r>
      <w:r w:rsidRPr="00FA170A">
        <w:t>Within the next four years, we will develop the world’s first ‘Cloud Passport’ - a virtual travel identity – for travel between Australia and New Zealand and potentially wider use in the longer term.</w:t>
      </w:r>
    </w:p>
    <w:p w:rsidR="00173F5A" w:rsidRDefault="007A420D" w:rsidP="00137BDC">
      <w:pPr>
        <w:pStyle w:val="Heading3"/>
        <w:spacing w:before="240"/>
      </w:pPr>
      <w:r>
        <w:t>Key performance measures and assessment</w:t>
      </w:r>
    </w:p>
    <w:p w:rsidR="003610D9" w:rsidRPr="003610D9" w:rsidRDefault="003610D9" w:rsidP="003610D9">
      <w:pPr>
        <w:pStyle w:val="BodyText"/>
        <w:rPr>
          <w:lang w:eastAsia="zh-CN"/>
        </w:rPr>
      </w:pPr>
      <w:r>
        <w:rPr>
          <w:lang w:eastAsia="zh-CN"/>
        </w:rPr>
        <w:t>The department’s performance measurement and assessment of its passport service will take into account the extent to which client service level standards, as set out in the</w:t>
      </w:r>
      <w:r w:rsidR="0086261A">
        <w:rPr>
          <w:lang w:eastAsia="zh-CN"/>
        </w:rPr>
        <w:t xml:space="preserve"> Passport Office</w:t>
      </w:r>
      <w:r>
        <w:rPr>
          <w:lang w:eastAsia="zh-CN"/>
        </w:rPr>
        <w:t xml:space="preserve"> </w:t>
      </w:r>
      <w:r w:rsidRPr="0086261A">
        <w:rPr>
          <w:lang w:eastAsia="zh-CN"/>
        </w:rPr>
        <w:t>Client Service Charter</w:t>
      </w:r>
      <w:r>
        <w:rPr>
          <w:lang w:eastAsia="zh-CN"/>
        </w:rPr>
        <w:t>, are met</w:t>
      </w:r>
      <w:r w:rsidR="00167F1D">
        <w:rPr>
          <w:lang w:eastAsia="zh-CN"/>
        </w:rPr>
        <w:t xml:space="preserve">.  </w:t>
      </w:r>
    </w:p>
    <w:tbl>
      <w:tblPr>
        <w:tblStyle w:val="MediumGrid3-Accent1"/>
        <w:tblW w:w="8613" w:type="dxa"/>
        <w:tblLayout w:type="fixed"/>
        <w:tblLook w:val="04A0" w:firstRow="1" w:lastRow="0" w:firstColumn="1" w:lastColumn="0" w:noHBand="0" w:noVBand="1"/>
      </w:tblPr>
      <w:tblGrid>
        <w:gridCol w:w="1526"/>
        <w:gridCol w:w="5953"/>
        <w:gridCol w:w="1134"/>
      </w:tblGrid>
      <w:tr w:rsidR="00D27AF2" w:rsidRPr="002C113F" w:rsidTr="009D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27AF2" w:rsidRPr="0050743C" w:rsidRDefault="00D27AF2" w:rsidP="00167F1D">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D27AF2" w:rsidRPr="0050743C" w:rsidRDefault="00D27AF2"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D27AF2" w:rsidRPr="0050743C" w:rsidRDefault="00D27AF2"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D27AF2" w:rsidRPr="002C113F" w:rsidTr="009D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27AF2" w:rsidRPr="00B3196A" w:rsidRDefault="00D27AF2" w:rsidP="00167F1D">
            <w:pPr>
              <w:rPr>
                <w:rFonts w:ascii="Franklin Gothic Book" w:hAnsi="Franklin Gothic Book"/>
                <w:i/>
                <w:sz w:val="21"/>
              </w:rPr>
            </w:pPr>
            <w:r>
              <w:rPr>
                <w:rFonts w:ascii="Franklin Gothic Book" w:hAnsi="Franklin Gothic Book"/>
                <w:i/>
                <w:sz w:val="21"/>
              </w:rPr>
              <w:t>Case studies</w:t>
            </w:r>
          </w:p>
        </w:tc>
        <w:tc>
          <w:tcPr>
            <w:tcW w:w="5953" w:type="dxa"/>
          </w:tcPr>
          <w:p w:rsidR="00D27AF2" w:rsidRDefault="00D27AF2" w:rsidP="00167F1D">
            <w:pPr>
              <w:pStyle w:val="List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The department will use case studies to highlight and assess:</w:t>
            </w:r>
          </w:p>
          <w:p w:rsidR="00D27AF2" w:rsidRDefault="007B2A68" w:rsidP="00167F1D">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D27AF2">
              <w:t>accessibility of passport services to clients and service delivery</w:t>
            </w:r>
          </w:p>
          <w:p w:rsidR="00D27AF2" w:rsidRPr="00435125" w:rsidRDefault="007B2A68" w:rsidP="00167F1D">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D27AF2">
              <w:t>feedback from key partner governments and organisations on the standard and interoperability of Australian passports and services</w:t>
            </w:r>
          </w:p>
        </w:tc>
        <w:tc>
          <w:tcPr>
            <w:tcW w:w="1134" w:type="dxa"/>
          </w:tcPr>
          <w:p w:rsidR="00D27AF2" w:rsidRPr="00AD27D1" w:rsidRDefault="00D27AF2" w:rsidP="00167F1D">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r w:rsidR="00D27AF2" w:rsidRPr="002C113F" w:rsidTr="009D4C1C">
        <w:tc>
          <w:tcPr>
            <w:cnfStyle w:val="001000000000" w:firstRow="0" w:lastRow="0" w:firstColumn="1" w:lastColumn="0" w:oddVBand="0" w:evenVBand="0" w:oddHBand="0" w:evenHBand="0" w:firstRowFirstColumn="0" w:firstRowLastColumn="0" w:lastRowFirstColumn="0" w:lastRowLastColumn="0"/>
            <w:tcW w:w="1526" w:type="dxa"/>
          </w:tcPr>
          <w:p w:rsidR="00D27AF2" w:rsidRPr="00B3196A" w:rsidRDefault="00D27AF2" w:rsidP="00167F1D">
            <w:pPr>
              <w:rPr>
                <w:rFonts w:ascii="Franklin Gothic Book" w:hAnsi="Franklin Gothic Book"/>
                <w:i/>
                <w:sz w:val="21"/>
              </w:rPr>
            </w:pPr>
            <w:r>
              <w:rPr>
                <w:rFonts w:ascii="Franklin Gothic Book" w:hAnsi="Franklin Gothic Book"/>
                <w:i/>
                <w:sz w:val="21"/>
              </w:rPr>
              <w:t>Review</w:t>
            </w:r>
          </w:p>
        </w:tc>
        <w:tc>
          <w:tcPr>
            <w:tcW w:w="5953" w:type="dxa"/>
          </w:tcPr>
          <w:p w:rsidR="00D27AF2" w:rsidRDefault="00D27AF2" w:rsidP="00D27AF2">
            <w:pPr>
              <w:pStyle w:val="List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t>The department will review:</w:t>
            </w:r>
          </w:p>
          <w:p w:rsidR="00D27AF2" w:rsidRDefault="00D27AF2" w:rsidP="00D27AF2">
            <w:pPr>
              <w:pStyle w:val="ListBullet"/>
              <w:cnfStyle w:val="000000000000" w:firstRow="0" w:lastRow="0" w:firstColumn="0" w:lastColumn="0" w:oddVBand="0" w:evenVBand="0" w:oddHBand="0" w:evenHBand="0" w:firstRowFirstColumn="0" w:firstRowLastColumn="0" w:lastRowFirstColumn="0" w:lastRowLastColumn="0"/>
            </w:pPr>
            <w:r>
              <w:t>the absolute number and the accuracy of passport</w:t>
            </w:r>
            <w:r w:rsidR="00BA46A4">
              <w:t>s</w:t>
            </w:r>
            <w:r>
              <w:t xml:space="preserve"> issued</w:t>
            </w:r>
          </w:p>
          <w:p w:rsidR="00D27AF2" w:rsidRPr="00B3196A" w:rsidRDefault="00D27AF2" w:rsidP="00D27AF2">
            <w:pPr>
              <w:pStyle w:val="ListBullet"/>
              <w:cnfStyle w:val="000000000000" w:firstRow="0" w:lastRow="0" w:firstColumn="0" w:lastColumn="0" w:oddVBand="0" w:evenVBand="0" w:oddHBand="0" w:evenHBand="0" w:firstRowFirstColumn="0" w:firstRowLastColumn="0" w:lastRowFirstColumn="0" w:lastRowLastColumn="0"/>
            </w:pPr>
            <w:r>
              <w:t xml:space="preserve">the time taken to process regular and urgent applications </w:t>
            </w:r>
          </w:p>
        </w:tc>
        <w:tc>
          <w:tcPr>
            <w:tcW w:w="1134" w:type="dxa"/>
          </w:tcPr>
          <w:p w:rsidR="00D27AF2" w:rsidRPr="00AD27D1" w:rsidRDefault="00D27AF2" w:rsidP="00167F1D">
            <w:pPr>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1"/>
              </w:rPr>
            </w:pPr>
            <w:r>
              <w:rPr>
                <w:rFonts w:ascii="Franklin Gothic Book" w:hAnsi="Franklin Gothic Book"/>
                <w:sz w:val="21"/>
              </w:rPr>
              <w:t>Ongoing</w:t>
            </w:r>
          </w:p>
        </w:tc>
      </w:tr>
    </w:tbl>
    <w:p w:rsidR="00170781" w:rsidRDefault="00170781" w:rsidP="00170781">
      <w:pPr>
        <w:pStyle w:val="Subtitle"/>
        <w:rPr>
          <w:rFonts w:cs="Arial"/>
          <w:color w:val="0C7DAF"/>
          <w:szCs w:val="28"/>
        </w:rPr>
      </w:pPr>
      <w:r>
        <w:br w:type="page"/>
      </w:r>
    </w:p>
    <w:p w:rsidR="005541FF" w:rsidRDefault="005541FF" w:rsidP="00137BDC">
      <w:pPr>
        <w:pStyle w:val="Heading3"/>
        <w:spacing w:before="240"/>
      </w:pPr>
      <w:r>
        <w:t>Consular services</w:t>
      </w:r>
    </w:p>
    <w:p w:rsidR="00070063" w:rsidRDefault="006421AC" w:rsidP="005A4BF9">
      <w:pPr>
        <w:pStyle w:val="BodyText"/>
      </w:pPr>
      <w:r>
        <w:t xml:space="preserve">With a high demand for consular assistance, the department </w:t>
      </w:r>
      <w:r w:rsidR="005A4BF9" w:rsidRPr="005A4BF9">
        <w:t xml:space="preserve">will </w:t>
      </w:r>
      <w:r>
        <w:t xml:space="preserve">continue </w:t>
      </w:r>
      <w:r w:rsidR="005A4BF9" w:rsidRPr="005A4BF9">
        <w:t>provid</w:t>
      </w:r>
      <w:r>
        <w:t>ing</w:t>
      </w:r>
      <w:r w:rsidR="005A4BF9" w:rsidRPr="005A4BF9">
        <w:t xml:space="preserve"> access to appropriate consular advice and/or assistance for Australians who experience significant difficulties overseas</w:t>
      </w:r>
      <w:r w:rsidR="00167F1D">
        <w:t>.</w:t>
      </w:r>
      <w:r w:rsidR="00477008">
        <w:t xml:space="preserve">  </w:t>
      </w:r>
    </w:p>
    <w:p w:rsidR="00070063" w:rsidRDefault="00070063" w:rsidP="00137BDC">
      <w:pPr>
        <w:pStyle w:val="Heading3"/>
        <w:spacing w:before="240"/>
      </w:pPr>
      <w:r>
        <w:t>Major operational activities</w:t>
      </w:r>
    </w:p>
    <w:p w:rsidR="005A4BF9" w:rsidRPr="005A4BF9" w:rsidRDefault="005A4BF9" w:rsidP="00ED0735">
      <w:pPr>
        <w:pStyle w:val="ListBullet"/>
      </w:pPr>
      <w:r w:rsidRPr="005A4BF9">
        <w:t xml:space="preserve">We will make </w:t>
      </w:r>
      <w:r w:rsidR="00070063">
        <w:t>the department’s consular services</w:t>
      </w:r>
      <w:r w:rsidRPr="005A4BF9">
        <w:t xml:space="preserve"> available 24/7, through the Government’s network of overseas posts and our staff in Australia</w:t>
      </w:r>
      <w:r w:rsidR="00167F1D">
        <w:t>.</w:t>
      </w:r>
      <w:r w:rsidR="00477008">
        <w:t xml:space="preserve">  </w:t>
      </w:r>
      <w:r w:rsidRPr="005A4BF9">
        <w:t>We will provide clear, timely and accurate information to all Australians, to assist them to make decisions about their travel overseas and to minimise risks</w:t>
      </w:r>
      <w:r w:rsidR="00167F1D">
        <w:t>.</w:t>
      </w:r>
      <w:r w:rsidR="00477008">
        <w:t xml:space="preserve">  </w:t>
      </w:r>
    </w:p>
    <w:p w:rsidR="00217CF4" w:rsidRDefault="00217CF4" w:rsidP="00ED0735">
      <w:pPr>
        <w:pStyle w:val="ListBullet"/>
      </w:pPr>
      <w:r w:rsidRPr="005A4BF9">
        <w:t xml:space="preserve">We will implement the </w:t>
      </w:r>
      <w:r w:rsidRPr="007D4F4E">
        <w:rPr>
          <w:i/>
        </w:rPr>
        <w:t>Consular Strategy 2014-16</w:t>
      </w:r>
      <w:r w:rsidRPr="005A4BF9">
        <w:t xml:space="preserve"> as a framework for providing modern, efficient and cost-effective support to Australians who experience significant difficulties overseas</w:t>
      </w:r>
      <w:r w:rsidR="00167F1D">
        <w:t>.</w:t>
      </w:r>
      <w:r w:rsidR="00477008">
        <w:t xml:space="preserve">  </w:t>
      </w:r>
      <w:r w:rsidRPr="005A4BF9">
        <w:t xml:space="preserve">We will help Australians better understand the consular role </w:t>
      </w:r>
      <w:r w:rsidR="006421AC">
        <w:t>so that they are more able to</w:t>
      </w:r>
      <w:r w:rsidRPr="005A4BF9">
        <w:t xml:space="preserve"> look after themselves overseas</w:t>
      </w:r>
      <w:r w:rsidR="00167F1D">
        <w:t>.</w:t>
      </w:r>
      <w:r w:rsidR="00477008">
        <w:t xml:space="preserve">  </w:t>
      </w:r>
      <w:r w:rsidRPr="005A4BF9">
        <w:t>We will capitalise on new technologies to enhance service delivery</w:t>
      </w:r>
      <w:r w:rsidR="00167F1D">
        <w:t>.</w:t>
      </w:r>
      <w:r w:rsidR="00477008">
        <w:t xml:space="preserve">  </w:t>
      </w:r>
    </w:p>
    <w:p w:rsidR="00217CF4" w:rsidRPr="00B7391B" w:rsidRDefault="00217CF4" w:rsidP="00ED0735">
      <w:pPr>
        <w:pStyle w:val="ListBullet"/>
      </w:pPr>
      <w:r w:rsidRPr="00B7391B">
        <w:t xml:space="preserve">We will further develop our processes for obtaining regular direct feedback and </w:t>
      </w:r>
      <w:r w:rsidR="006421AC">
        <w:t xml:space="preserve">will </w:t>
      </w:r>
      <w:r w:rsidRPr="00B7391B">
        <w:t>use the information gathered to drive continuous improvement</w:t>
      </w:r>
      <w:r w:rsidR="00167F1D">
        <w:t>.</w:t>
      </w:r>
      <w:r w:rsidR="00477008">
        <w:t xml:space="preserve">  </w:t>
      </w:r>
      <w:r w:rsidRPr="00B7391B">
        <w:t>To broaden public understanding of the consular role, we will publish an annual ‘State of Play on Consular Services' report that will include data on recent trends and selected case studies.</w:t>
      </w:r>
    </w:p>
    <w:p w:rsidR="00217CF4" w:rsidRPr="00B7391B" w:rsidRDefault="00217CF4" w:rsidP="00ED0735">
      <w:pPr>
        <w:pStyle w:val="ListBullet"/>
      </w:pPr>
      <w:r w:rsidRPr="00B7391B">
        <w:t>We will improve our cooperation and dialogue with private sector groups to expand our messaging and to build better partnerships</w:t>
      </w:r>
      <w:r w:rsidR="00167F1D">
        <w:t>.</w:t>
      </w:r>
      <w:r w:rsidR="00477008">
        <w:t xml:space="preserve">  </w:t>
      </w:r>
      <w:r w:rsidRPr="00B7391B">
        <w:t xml:space="preserve">We will </w:t>
      </w:r>
      <w:r>
        <w:t xml:space="preserve">work with the newly formed Consular </w:t>
      </w:r>
      <w:r w:rsidRPr="00B7391B">
        <w:t xml:space="preserve">Consultative Group to </w:t>
      </w:r>
      <w:r>
        <w:t xml:space="preserve">support effective </w:t>
      </w:r>
      <w:r w:rsidRPr="00B7391B">
        <w:t>stakeholder outreach on consular matters.</w:t>
      </w:r>
    </w:p>
    <w:p w:rsidR="00A423A8" w:rsidRPr="003610D9" w:rsidRDefault="007A420D" w:rsidP="003546F9">
      <w:pPr>
        <w:pStyle w:val="Heading3"/>
        <w:spacing w:before="240"/>
      </w:pPr>
      <w:r>
        <w:t>Key performance measures and assessment</w:t>
      </w:r>
    </w:p>
    <w:tbl>
      <w:tblPr>
        <w:tblStyle w:val="MediumGrid3-Accent1"/>
        <w:tblW w:w="8613" w:type="dxa"/>
        <w:tblLayout w:type="fixed"/>
        <w:tblLook w:val="04A0" w:firstRow="1" w:lastRow="0" w:firstColumn="1" w:lastColumn="0" w:noHBand="0" w:noVBand="1"/>
      </w:tblPr>
      <w:tblGrid>
        <w:gridCol w:w="1526"/>
        <w:gridCol w:w="5953"/>
        <w:gridCol w:w="1134"/>
      </w:tblGrid>
      <w:tr w:rsidR="00D27AF2" w:rsidRPr="002C113F" w:rsidTr="009D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27AF2" w:rsidRPr="0050743C" w:rsidRDefault="00D27AF2" w:rsidP="00167F1D">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D27AF2" w:rsidRPr="0050743C" w:rsidRDefault="00D27AF2"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D27AF2" w:rsidRPr="0050743C" w:rsidRDefault="00D27AF2"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D27AF2" w:rsidRPr="002C113F" w:rsidTr="009D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D27AF2" w:rsidRPr="00B3196A" w:rsidRDefault="00D27AF2" w:rsidP="00167F1D">
            <w:pPr>
              <w:rPr>
                <w:rFonts w:ascii="Franklin Gothic Book" w:hAnsi="Franklin Gothic Book"/>
                <w:i/>
                <w:sz w:val="21"/>
              </w:rPr>
            </w:pPr>
            <w:r>
              <w:rPr>
                <w:rFonts w:ascii="Franklin Gothic Book" w:hAnsi="Franklin Gothic Book"/>
                <w:i/>
                <w:sz w:val="21"/>
              </w:rPr>
              <w:t>Case studies</w:t>
            </w:r>
          </w:p>
        </w:tc>
        <w:tc>
          <w:tcPr>
            <w:tcW w:w="5953" w:type="dxa"/>
          </w:tcPr>
          <w:p w:rsidR="00D27AF2" w:rsidRDefault="00D27AF2" w:rsidP="00167F1D">
            <w:pPr>
              <w:pStyle w:val="List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The department will use case studies to highlight and assess:</w:t>
            </w:r>
          </w:p>
          <w:p w:rsidR="00D27AF2" w:rsidRPr="00435125" w:rsidRDefault="00470ABF" w:rsidP="00470ABF">
            <w:pPr>
              <w:pStyle w:val="ListBullet"/>
              <w:cnfStyle w:val="000000100000" w:firstRow="0" w:lastRow="0" w:firstColumn="0" w:lastColumn="0" w:oddVBand="0" w:evenVBand="0" w:oddHBand="1" w:evenHBand="0" w:firstRowFirstColumn="0" w:firstRowLastColumn="0" w:lastRowFirstColumn="0" w:lastRowLastColumn="0"/>
            </w:pPr>
            <w:r>
              <w:t>the delivery of high-quality, timely and effective consular services to clients</w:t>
            </w:r>
          </w:p>
        </w:tc>
        <w:tc>
          <w:tcPr>
            <w:tcW w:w="1134" w:type="dxa"/>
          </w:tcPr>
          <w:p w:rsidR="00D27AF2" w:rsidRPr="00AD27D1" w:rsidRDefault="00D27AF2" w:rsidP="00167F1D">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r w:rsidR="00D27AF2" w:rsidRPr="002C113F" w:rsidTr="009D4C1C">
        <w:tc>
          <w:tcPr>
            <w:cnfStyle w:val="001000000000" w:firstRow="0" w:lastRow="0" w:firstColumn="1" w:lastColumn="0" w:oddVBand="0" w:evenVBand="0" w:oddHBand="0" w:evenHBand="0" w:firstRowFirstColumn="0" w:firstRowLastColumn="0" w:lastRowFirstColumn="0" w:lastRowLastColumn="0"/>
            <w:tcW w:w="1526" w:type="dxa"/>
          </w:tcPr>
          <w:p w:rsidR="00D27AF2" w:rsidRPr="00B3196A" w:rsidRDefault="00D27AF2" w:rsidP="00167F1D">
            <w:pPr>
              <w:rPr>
                <w:rFonts w:ascii="Franklin Gothic Book" w:hAnsi="Franklin Gothic Book"/>
                <w:i/>
                <w:sz w:val="21"/>
              </w:rPr>
            </w:pPr>
            <w:r>
              <w:rPr>
                <w:rFonts w:ascii="Franklin Gothic Book" w:hAnsi="Franklin Gothic Book"/>
                <w:i/>
                <w:sz w:val="21"/>
              </w:rPr>
              <w:t>Review</w:t>
            </w:r>
          </w:p>
        </w:tc>
        <w:tc>
          <w:tcPr>
            <w:tcW w:w="5953" w:type="dxa"/>
          </w:tcPr>
          <w:p w:rsidR="00D27AF2" w:rsidRDefault="00D27AF2" w:rsidP="00167F1D">
            <w:pPr>
              <w:pStyle w:val="List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t>The department will review:</w:t>
            </w:r>
          </w:p>
          <w:p w:rsidR="00532F93" w:rsidRDefault="007B2A68" w:rsidP="00167F1D">
            <w:pPr>
              <w:pStyle w:val="ListBullet"/>
              <w:cnfStyle w:val="000000000000" w:firstRow="0" w:lastRow="0" w:firstColumn="0" w:lastColumn="0" w:oddVBand="0" w:evenVBand="0" w:oddHBand="0" w:evenHBand="0" w:firstRowFirstColumn="0" w:firstRowLastColumn="0" w:lastRowFirstColumn="0" w:lastRowLastColumn="0"/>
            </w:pPr>
            <w:r>
              <w:t xml:space="preserve">the </w:t>
            </w:r>
            <w:r w:rsidR="00470ABF">
              <w:t xml:space="preserve">timeliness and accuracy of providing information, response to incidents and updates to travel advice </w:t>
            </w:r>
          </w:p>
          <w:p w:rsidR="00D27AF2" w:rsidRPr="00B3196A" w:rsidRDefault="007B2A68" w:rsidP="00167F1D">
            <w:pPr>
              <w:pStyle w:val="ListBullet"/>
              <w:cnfStyle w:val="000000000000" w:firstRow="0" w:lastRow="0" w:firstColumn="0" w:lastColumn="0" w:oddVBand="0" w:evenVBand="0" w:oddHBand="0" w:evenHBand="0" w:firstRowFirstColumn="0" w:firstRowLastColumn="0" w:lastRowFirstColumn="0" w:lastRowLastColumn="0"/>
            </w:pPr>
            <w:r>
              <w:t>the q</w:t>
            </w:r>
            <w:r w:rsidR="00470ABF">
              <w:t>uantitative measures of website visits, social media users and subscribers to travel advice</w:t>
            </w:r>
          </w:p>
        </w:tc>
        <w:tc>
          <w:tcPr>
            <w:tcW w:w="1134" w:type="dxa"/>
          </w:tcPr>
          <w:p w:rsidR="00D27AF2" w:rsidRPr="00AD27D1" w:rsidRDefault="00470ABF" w:rsidP="00167F1D">
            <w:pPr>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bl>
    <w:p w:rsidR="000D57DD" w:rsidRDefault="000D57DD" w:rsidP="005A4BF9">
      <w:pPr>
        <w:pStyle w:val="BodyText"/>
        <w:sectPr w:rsidR="000D57DD" w:rsidSect="00851F21">
          <w:pgSz w:w="11907" w:h="16840" w:code="9"/>
          <w:pgMar w:top="794" w:right="1701" w:bottom="794" w:left="1701" w:header="568" w:footer="567" w:gutter="0"/>
          <w:cols w:space="720"/>
          <w:docGrid w:linePitch="326"/>
        </w:sectPr>
      </w:pPr>
    </w:p>
    <w:p w:rsidR="0004417B" w:rsidRPr="00A610A6" w:rsidRDefault="0004417B" w:rsidP="00290E4F">
      <w:pPr>
        <w:pStyle w:val="Heading2"/>
        <w:spacing w:before="0" w:after="240"/>
        <w:rPr>
          <w:sz w:val="32"/>
          <w:szCs w:val="32"/>
        </w:rPr>
      </w:pPr>
      <w:r w:rsidRPr="00A610A6">
        <w:rPr>
          <w:sz w:val="32"/>
          <w:szCs w:val="32"/>
        </w:rPr>
        <w:t>Enhan</w:t>
      </w:r>
      <w:r w:rsidR="00416C57">
        <w:rPr>
          <w:sz w:val="32"/>
          <w:szCs w:val="32"/>
        </w:rPr>
        <w:t>cing Australia’s influence</w:t>
      </w:r>
    </w:p>
    <w:p w:rsidR="00ED0735" w:rsidRDefault="00C24582" w:rsidP="00ED0735">
      <w:pPr>
        <w:pStyle w:val="BodyText"/>
        <w:rPr>
          <w:lang w:val="en-US"/>
        </w:rPr>
      </w:pPr>
      <w:r>
        <w:rPr>
          <w:lang w:val="en-US"/>
        </w:rPr>
        <w:t>In order to s</w:t>
      </w:r>
      <w:r w:rsidRPr="007E490F">
        <w:rPr>
          <w:lang w:val="en-US"/>
        </w:rPr>
        <w:t>trengthen Australia’s influence, reputation and relationships internationally</w:t>
      </w:r>
      <w:r>
        <w:rPr>
          <w:lang w:val="en-US"/>
        </w:rPr>
        <w:t>,</w:t>
      </w:r>
      <w:r w:rsidRPr="007E490F">
        <w:rPr>
          <w:lang w:val="en-US"/>
        </w:rPr>
        <w:t xml:space="preserve"> </w:t>
      </w:r>
      <w:r w:rsidR="00800381">
        <w:rPr>
          <w:lang w:val="en-US"/>
        </w:rPr>
        <w:t>the department</w:t>
      </w:r>
      <w:r w:rsidRPr="007E490F">
        <w:rPr>
          <w:lang w:val="en-US"/>
        </w:rPr>
        <w:t xml:space="preserve"> will advance targeted public diplomacy initiatives which promote our economic, artistic and cultural, sporting, scientific and education assets</w:t>
      </w:r>
      <w:r w:rsidR="00167F1D">
        <w:rPr>
          <w:lang w:val="en-US"/>
        </w:rPr>
        <w:t>.</w:t>
      </w:r>
      <w:r w:rsidR="00477008">
        <w:rPr>
          <w:lang w:val="en-US"/>
        </w:rPr>
        <w:t xml:space="preserve">  </w:t>
      </w:r>
      <w:r>
        <w:rPr>
          <w:lang w:val="en-US"/>
        </w:rPr>
        <w:t xml:space="preserve">The objectives of </w:t>
      </w:r>
      <w:r w:rsidR="00444B95">
        <w:rPr>
          <w:lang w:val="en-US"/>
        </w:rPr>
        <w:t>the department’s</w:t>
      </w:r>
      <w:r>
        <w:rPr>
          <w:lang w:val="en-US"/>
        </w:rPr>
        <w:t xml:space="preserve"> Public Diplomacy S</w:t>
      </w:r>
      <w:r w:rsidRPr="007E490F">
        <w:rPr>
          <w:lang w:val="en-US"/>
        </w:rPr>
        <w:t>trategy</w:t>
      </w:r>
      <w:r>
        <w:rPr>
          <w:lang w:val="en-US"/>
        </w:rPr>
        <w:t xml:space="preserve"> 2014-16</w:t>
      </w:r>
      <w:r w:rsidRPr="007E490F">
        <w:rPr>
          <w:lang w:val="en-US"/>
        </w:rPr>
        <w:t xml:space="preserve"> are to: </w:t>
      </w:r>
    </w:p>
    <w:p w:rsidR="00C24582" w:rsidRDefault="00C24582" w:rsidP="00ED0735">
      <w:pPr>
        <w:pStyle w:val="ListBullet"/>
        <w:numPr>
          <w:ilvl w:val="0"/>
          <w:numId w:val="35"/>
        </w:numPr>
      </w:pPr>
      <w:r w:rsidRPr="007E490F">
        <w:t>promote Australia’s competitive investment environment, open and resilient economy, predictable regulatory framework and commitment to trade liberalisation, tourism investment opportunities, strong education and training credentials, and excellence in science, technology and innovation</w:t>
      </w:r>
      <w:r w:rsidR="006421AC">
        <w:t>;</w:t>
      </w:r>
    </w:p>
    <w:p w:rsidR="00C24582" w:rsidRPr="007E490F" w:rsidRDefault="00C24582" w:rsidP="00ED0735">
      <w:pPr>
        <w:pStyle w:val="ListBullet"/>
        <w:numPr>
          <w:ilvl w:val="0"/>
          <w:numId w:val="35"/>
        </w:numPr>
      </w:pPr>
      <w:r w:rsidRPr="007E490F">
        <w:t>build understanding of Australia’s role in and commitment to the Indo-Pacific region, including deeper integration, sustainable development and gender equality</w:t>
      </w:r>
      <w:r w:rsidR="006421AC">
        <w:t>;</w:t>
      </w:r>
    </w:p>
    <w:p w:rsidR="00C24582" w:rsidRPr="007E490F" w:rsidRDefault="00C24582" w:rsidP="00ED0735">
      <w:pPr>
        <w:pStyle w:val="ListBullet"/>
        <w:numPr>
          <w:ilvl w:val="0"/>
          <w:numId w:val="35"/>
        </w:numPr>
      </w:pPr>
      <w:r w:rsidRPr="007E490F">
        <w:t>strengthen Australia’s influence in shaping the inter</w:t>
      </w:r>
      <w:r w:rsidR="006C7704">
        <w:t xml:space="preserve">national </w:t>
      </w:r>
      <w:r w:rsidRPr="007E490F">
        <w:t>architecture in ways which advance our core national interests and underpin prosperity in our region</w:t>
      </w:r>
      <w:r w:rsidR="006421AC">
        <w:t>;</w:t>
      </w:r>
      <w:r w:rsidR="00800381">
        <w:t xml:space="preserve"> and</w:t>
      </w:r>
    </w:p>
    <w:p w:rsidR="00C24582" w:rsidRPr="007E490F" w:rsidRDefault="00C24582" w:rsidP="00ED0735">
      <w:pPr>
        <w:pStyle w:val="ListBullet"/>
        <w:numPr>
          <w:ilvl w:val="0"/>
          <w:numId w:val="35"/>
        </w:numPr>
      </w:pPr>
      <w:r w:rsidRPr="007E490F">
        <w:t>promote Australia as a contemporary, creative, successful, diverse and tolerant nation; and an attractive place to study, work, visit, live and invest.</w:t>
      </w:r>
    </w:p>
    <w:p w:rsidR="00C24582" w:rsidRPr="007E490F" w:rsidRDefault="00C24582" w:rsidP="00137BDC">
      <w:pPr>
        <w:pStyle w:val="Heading3"/>
        <w:spacing w:before="240"/>
      </w:pPr>
      <w:r>
        <w:t>Major operational activities</w:t>
      </w:r>
    </w:p>
    <w:p w:rsidR="00C24582" w:rsidRPr="0004079A" w:rsidRDefault="006C7704" w:rsidP="00C24582">
      <w:pPr>
        <w:pStyle w:val="ListBullet"/>
        <w:rPr>
          <w:lang w:val="en-US"/>
        </w:rPr>
      </w:pPr>
      <w:r>
        <w:t>P</w:t>
      </w:r>
      <w:r w:rsidR="00C24582">
        <w:t>rograms to</w:t>
      </w:r>
      <w:r w:rsidR="00C24582" w:rsidRPr="00026D7E">
        <w:t xml:space="preserve"> promote Australia’s cultura</w:t>
      </w:r>
      <w:r w:rsidR="00C24582">
        <w:t xml:space="preserve">l exports and creative exchange including: </w:t>
      </w:r>
      <w:r w:rsidR="00C24582" w:rsidRPr="00026D7E">
        <w:t xml:space="preserve">the </w:t>
      </w:r>
      <w:r w:rsidR="00C24582" w:rsidRPr="00026D7E">
        <w:rPr>
          <w:bCs/>
        </w:rPr>
        <w:t>International Cultural Visits program</w:t>
      </w:r>
      <w:r w:rsidR="00C24582" w:rsidRPr="00026D7E">
        <w:t xml:space="preserve">, the </w:t>
      </w:r>
      <w:r w:rsidR="00C24582" w:rsidRPr="00026D7E">
        <w:rPr>
          <w:bCs/>
        </w:rPr>
        <w:t>Focus Country Program</w:t>
      </w:r>
      <w:r>
        <w:rPr>
          <w:bCs/>
        </w:rPr>
        <w:t>s</w:t>
      </w:r>
      <w:r w:rsidR="00C24582">
        <w:t>, t</w:t>
      </w:r>
      <w:r w:rsidR="00C24582" w:rsidRPr="00026D7E">
        <w:t xml:space="preserve">he </w:t>
      </w:r>
      <w:r w:rsidR="00C24582" w:rsidRPr="00026D7E">
        <w:rPr>
          <w:bCs/>
        </w:rPr>
        <w:t>Aboriginal and Torres Strait Islander</w:t>
      </w:r>
      <w:r w:rsidR="00C24582" w:rsidRPr="00026D7E">
        <w:rPr>
          <w:b/>
          <w:bCs/>
        </w:rPr>
        <w:t xml:space="preserve"> </w:t>
      </w:r>
      <w:r w:rsidR="00C24582" w:rsidRPr="00026D7E">
        <w:rPr>
          <w:bCs/>
        </w:rPr>
        <w:t>Program,</w:t>
      </w:r>
      <w:r w:rsidR="00C24582" w:rsidRPr="00026D7E">
        <w:t xml:space="preserve"> </w:t>
      </w:r>
      <w:r w:rsidR="00C24582" w:rsidRPr="00026D7E">
        <w:rPr>
          <w:lang w:val="en-US"/>
        </w:rPr>
        <w:t xml:space="preserve">the </w:t>
      </w:r>
      <w:r w:rsidR="00C24582" w:rsidRPr="0004079A">
        <w:rPr>
          <w:rStyle w:val="Strong"/>
          <w:b w:val="0"/>
          <w:lang w:val="en-US"/>
        </w:rPr>
        <w:t>Visual Arts Program</w:t>
      </w:r>
      <w:r w:rsidR="00C24582" w:rsidRPr="0004079A">
        <w:rPr>
          <w:lang w:val="en-US"/>
        </w:rPr>
        <w:t xml:space="preserve">, and the new </w:t>
      </w:r>
      <w:r w:rsidR="00C24582" w:rsidRPr="0004079A">
        <w:rPr>
          <w:rStyle w:val="Strong"/>
          <w:b w:val="0"/>
          <w:lang w:val="en-US"/>
        </w:rPr>
        <w:t>Fashion and Design Program</w:t>
      </w:r>
      <w:r w:rsidR="006421AC">
        <w:rPr>
          <w:rStyle w:val="Strong"/>
          <w:b w:val="0"/>
          <w:lang w:val="en-US"/>
        </w:rPr>
        <w:t>.</w:t>
      </w:r>
    </w:p>
    <w:p w:rsidR="00C24582" w:rsidRPr="00026D7E" w:rsidRDefault="00C24582" w:rsidP="00C24582">
      <w:pPr>
        <w:pStyle w:val="ListBullet"/>
        <w:rPr>
          <w:lang w:val="en-US"/>
        </w:rPr>
      </w:pPr>
      <w:r w:rsidRPr="00026D7E">
        <w:rPr>
          <w:lang w:val="en-US"/>
        </w:rPr>
        <w:t xml:space="preserve">The International Media Visits (IMV) program will </w:t>
      </w:r>
      <w:r>
        <w:rPr>
          <w:lang w:val="en-US"/>
        </w:rPr>
        <w:t>provide</w:t>
      </w:r>
      <w:r w:rsidRPr="00026D7E">
        <w:rPr>
          <w:lang w:val="en-US"/>
        </w:rPr>
        <w:t xml:space="preserve"> participant journalists and their readers with an increased understan</w:t>
      </w:r>
      <w:r w:rsidR="00800381">
        <w:rPr>
          <w:lang w:val="en-US"/>
        </w:rPr>
        <w:t>ding of contemporary Australia</w:t>
      </w:r>
      <w:r w:rsidR="006421AC">
        <w:rPr>
          <w:lang w:val="en-US"/>
        </w:rPr>
        <w:t>.</w:t>
      </w:r>
    </w:p>
    <w:p w:rsidR="00631DC4" w:rsidRDefault="00631DC4" w:rsidP="00631DC4">
      <w:pPr>
        <w:pStyle w:val="ListBullet"/>
      </w:pPr>
      <w:r>
        <w:t xml:space="preserve">Promote the </w:t>
      </w:r>
      <w:r w:rsidRPr="00BE74B9">
        <w:t xml:space="preserve">new sports diplomacy strategy </w:t>
      </w:r>
      <w:r>
        <w:t>to</w:t>
      </w:r>
      <w:r w:rsidRPr="00BE74B9">
        <w:t xml:space="preserve"> capitalise on Australia’s sporting assets and expertise to promote Australia’s diplomatic, dev</w:t>
      </w:r>
      <w:r>
        <w:t>elopment and economic interests</w:t>
      </w:r>
      <w:r w:rsidR="006421AC">
        <w:t>.</w:t>
      </w:r>
    </w:p>
    <w:p w:rsidR="00C24582" w:rsidRDefault="00C24582" w:rsidP="00C24582">
      <w:pPr>
        <w:pStyle w:val="ListBullet"/>
      </w:pPr>
      <w:r>
        <w:t>T</w:t>
      </w:r>
      <w:r w:rsidRPr="00ED4B29">
        <w:t>he development of a science diplomacy strategy in 2015 to promote Australia’s science, research and innovation capabilities and assets</w:t>
      </w:r>
      <w:r w:rsidR="006421AC">
        <w:t>.</w:t>
      </w:r>
    </w:p>
    <w:p w:rsidR="00631DC4" w:rsidRDefault="00631DC4" w:rsidP="00631DC4">
      <w:pPr>
        <w:pStyle w:val="ListBullet"/>
      </w:pPr>
      <w:r>
        <w:t>Promote the</w:t>
      </w:r>
      <w:r w:rsidRPr="00ED4B29">
        <w:t xml:space="preserve"> N</w:t>
      </w:r>
      <w:r>
        <w:t xml:space="preserve">ew </w:t>
      </w:r>
      <w:r w:rsidRPr="00ED4B29">
        <w:t>C</w:t>
      </w:r>
      <w:r>
        <w:t xml:space="preserve">olombo </w:t>
      </w:r>
      <w:r w:rsidRPr="00ED4B29">
        <w:t>P</w:t>
      </w:r>
      <w:r>
        <w:t xml:space="preserve">lan, which </w:t>
      </w:r>
      <w:r w:rsidR="006421AC">
        <w:t>expands</w:t>
      </w:r>
      <w:r w:rsidR="006421AC" w:rsidRPr="00ED4B29">
        <w:t xml:space="preserve"> </w:t>
      </w:r>
      <w:r w:rsidRPr="00ED4B29">
        <w:t>knowledge o</w:t>
      </w:r>
      <w:r>
        <w:t xml:space="preserve">f the Indo-Pacific </w:t>
      </w:r>
      <w:r w:rsidRPr="00ED4B29">
        <w:t>by supporting Australian undergraduates to study and unde</w:t>
      </w:r>
      <w:r>
        <w:t>rtake internships in the region</w:t>
      </w:r>
      <w:r w:rsidR="006421AC">
        <w:t>.</w:t>
      </w:r>
    </w:p>
    <w:p w:rsidR="00631DC4" w:rsidRDefault="00631DC4" w:rsidP="00631DC4">
      <w:pPr>
        <w:pStyle w:val="ListBullet"/>
      </w:pPr>
      <w:r w:rsidRPr="00ED4B29">
        <w:t xml:space="preserve">Build deeper and broader </w:t>
      </w:r>
      <w:r>
        <w:t xml:space="preserve">people to people and institutional </w:t>
      </w:r>
      <w:r w:rsidRPr="00ED4B29">
        <w:t xml:space="preserve">links through the </w:t>
      </w:r>
      <w:r>
        <w:t xml:space="preserve">Foundations, Councils and Institutes, </w:t>
      </w:r>
      <w:r w:rsidRPr="00ED4B29">
        <w:t>Australia Awards, Australian Volunteer</w:t>
      </w:r>
      <w:r>
        <w:t xml:space="preserve">s for International Development and the </w:t>
      </w:r>
      <w:r w:rsidRPr="00ED4B29">
        <w:t>Aus</w:t>
      </w:r>
      <w:r>
        <w:t>tralian NGO Cooperation Program</w:t>
      </w:r>
      <w:r w:rsidR="006421AC">
        <w:t>.</w:t>
      </w:r>
    </w:p>
    <w:p w:rsidR="00C24582" w:rsidRPr="00BE74B9" w:rsidRDefault="00C24582" w:rsidP="00C24582">
      <w:pPr>
        <w:pStyle w:val="ListBullet"/>
      </w:pPr>
      <w:r w:rsidRPr="002A6194">
        <w:t xml:space="preserve">The development of a whole-of-government </w:t>
      </w:r>
      <w:r>
        <w:t xml:space="preserve">international </w:t>
      </w:r>
      <w:r w:rsidRPr="002A6194">
        <w:t>alumni engagement strategy in collaboration with government and tertiary institution partners.</w:t>
      </w:r>
    </w:p>
    <w:p w:rsidR="00C24582" w:rsidRDefault="00C24582" w:rsidP="00137BDC">
      <w:pPr>
        <w:pStyle w:val="Heading3"/>
        <w:spacing w:before="240"/>
      </w:pPr>
      <w:r>
        <w:t>Key performance measures and assessment</w:t>
      </w:r>
    </w:p>
    <w:tbl>
      <w:tblPr>
        <w:tblStyle w:val="MediumGrid3-Accent1"/>
        <w:tblW w:w="8613" w:type="dxa"/>
        <w:tblLayout w:type="fixed"/>
        <w:tblLook w:val="04A0" w:firstRow="1" w:lastRow="0" w:firstColumn="1" w:lastColumn="0" w:noHBand="0" w:noVBand="1"/>
      </w:tblPr>
      <w:tblGrid>
        <w:gridCol w:w="1526"/>
        <w:gridCol w:w="5953"/>
        <w:gridCol w:w="1134"/>
      </w:tblGrid>
      <w:tr w:rsidR="00470ABF" w:rsidRPr="002C113F" w:rsidTr="009D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470ABF" w:rsidRPr="0050743C" w:rsidRDefault="00470ABF" w:rsidP="00167F1D">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470ABF" w:rsidRPr="0050743C" w:rsidRDefault="00470ABF"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470ABF" w:rsidRPr="0050743C" w:rsidRDefault="00470ABF"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470ABF" w:rsidRPr="002C113F" w:rsidTr="009D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470ABF" w:rsidRPr="00B3196A" w:rsidRDefault="00470ABF" w:rsidP="00167F1D">
            <w:pPr>
              <w:rPr>
                <w:rFonts w:ascii="Franklin Gothic Book" w:hAnsi="Franklin Gothic Book"/>
                <w:i/>
                <w:sz w:val="21"/>
              </w:rPr>
            </w:pPr>
            <w:r>
              <w:rPr>
                <w:rFonts w:ascii="Franklin Gothic Book" w:hAnsi="Franklin Gothic Book"/>
                <w:i/>
                <w:sz w:val="21"/>
              </w:rPr>
              <w:t>Case studies</w:t>
            </w:r>
          </w:p>
        </w:tc>
        <w:tc>
          <w:tcPr>
            <w:tcW w:w="5953" w:type="dxa"/>
          </w:tcPr>
          <w:p w:rsidR="00470ABF" w:rsidRDefault="00470ABF" w:rsidP="00167F1D">
            <w:pPr>
              <w:pStyle w:val="List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The department will use case studies to highlight and assess:</w:t>
            </w:r>
          </w:p>
          <w:p w:rsidR="00470ABF" w:rsidRPr="00435125" w:rsidRDefault="00532F93" w:rsidP="00ED0735">
            <w:pPr>
              <w:pStyle w:val="ListBullet"/>
              <w:cnfStyle w:val="000000100000" w:firstRow="0" w:lastRow="0" w:firstColumn="0" w:lastColumn="0" w:oddVBand="0" w:evenVBand="0" w:oddHBand="1" w:evenHBand="0" w:firstRowFirstColumn="0" w:firstRowLastColumn="0" w:lastRowFirstColumn="0" w:lastRowLastColumn="0"/>
            </w:pPr>
            <w:r>
              <w:t xml:space="preserve">the extent to which public diplomacy initiatives achieve public diplomacy objectives </w:t>
            </w:r>
          </w:p>
        </w:tc>
        <w:tc>
          <w:tcPr>
            <w:tcW w:w="1134" w:type="dxa"/>
          </w:tcPr>
          <w:p w:rsidR="00470ABF" w:rsidRPr="00AD27D1" w:rsidRDefault="00470ABF" w:rsidP="00167F1D">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r w:rsidR="00470ABF" w:rsidRPr="002C113F" w:rsidTr="009D4C1C">
        <w:tc>
          <w:tcPr>
            <w:cnfStyle w:val="001000000000" w:firstRow="0" w:lastRow="0" w:firstColumn="1" w:lastColumn="0" w:oddVBand="0" w:evenVBand="0" w:oddHBand="0" w:evenHBand="0" w:firstRowFirstColumn="0" w:firstRowLastColumn="0" w:lastRowFirstColumn="0" w:lastRowLastColumn="0"/>
            <w:tcW w:w="1526" w:type="dxa"/>
          </w:tcPr>
          <w:p w:rsidR="00470ABF" w:rsidRPr="00B3196A" w:rsidRDefault="00470ABF" w:rsidP="00167F1D">
            <w:pPr>
              <w:rPr>
                <w:rFonts w:ascii="Franklin Gothic Book" w:hAnsi="Franklin Gothic Book"/>
                <w:i/>
                <w:sz w:val="21"/>
              </w:rPr>
            </w:pPr>
            <w:r>
              <w:rPr>
                <w:rFonts w:ascii="Franklin Gothic Book" w:hAnsi="Franklin Gothic Book"/>
                <w:i/>
                <w:sz w:val="21"/>
              </w:rPr>
              <w:t>Review</w:t>
            </w:r>
          </w:p>
        </w:tc>
        <w:tc>
          <w:tcPr>
            <w:tcW w:w="5953" w:type="dxa"/>
          </w:tcPr>
          <w:p w:rsidR="00470ABF" w:rsidRDefault="00470ABF" w:rsidP="00167F1D">
            <w:pPr>
              <w:pStyle w:val="List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t>The department will review:</w:t>
            </w:r>
          </w:p>
          <w:p w:rsidR="00470ABF" w:rsidRDefault="00D2789A" w:rsidP="00167F1D">
            <w:pPr>
              <w:pStyle w:val="ListBullet"/>
              <w:cnfStyle w:val="000000000000" w:firstRow="0" w:lastRow="0" w:firstColumn="0" w:lastColumn="0" w:oddVBand="0" w:evenVBand="0" w:oddHBand="0" w:evenHBand="0" w:firstRowFirstColumn="0" w:firstRowLastColumn="0" w:lastRowFirstColumn="0" w:lastRowLastColumn="0"/>
            </w:pPr>
            <w:r>
              <w:t xml:space="preserve">the </w:t>
            </w:r>
            <w:r w:rsidR="00532F93">
              <w:t>ability</w:t>
            </w:r>
            <w:r>
              <w:t xml:space="preserve"> of programs to build links overseas</w:t>
            </w:r>
            <w:r w:rsidR="00532F93">
              <w:t xml:space="preserve"> and increase Australia’s influence</w:t>
            </w:r>
          </w:p>
          <w:p w:rsidR="00470ABF" w:rsidRPr="00B3196A" w:rsidRDefault="00D2789A" w:rsidP="00167F1D">
            <w:pPr>
              <w:pStyle w:val="ListBullet"/>
              <w:cnfStyle w:val="000000000000" w:firstRow="0" w:lastRow="0" w:firstColumn="0" w:lastColumn="0" w:oddVBand="0" w:evenVBand="0" w:oddHBand="0" w:evenHBand="0" w:firstRowFirstColumn="0" w:firstRowLastColumn="0" w:lastRowFirstColumn="0" w:lastRowLastColumn="0"/>
            </w:pPr>
            <w:r>
              <w:t>qualitative and quantitative metrics for determining the success of public diplomacy activities</w:t>
            </w:r>
          </w:p>
        </w:tc>
        <w:tc>
          <w:tcPr>
            <w:tcW w:w="1134" w:type="dxa"/>
          </w:tcPr>
          <w:p w:rsidR="00470ABF" w:rsidRPr="00AD27D1" w:rsidRDefault="00470ABF" w:rsidP="00167F1D">
            <w:pPr>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bl>
    <w:p w:rsidR="008878C2" w:rsidRDefault="008878C2" w:rsidP="008878C2">
      <w:pPr>
        <w:pStyle w:val="BodyText"/>
        <w:sectPr w:rsidR="008878C2" w:rsidSect="00851F21">
          <w:pgSz w:w="11907" w:h="16840" w:code="9"/>
          <w:pgMar w:top="794" w:right="1701" w:bottom="794" w:left="1701" w:header="568" w:footer="567" w:gutter="0"/>
          <w:cols w:space="720"/>
          <w:docGrid w:linePitch="326"/>
        </w:sectPr>
      </w:pPr>
    </w:p>
    <w:p w:rsidR="00FA12F5" w:rsidRDefault="00FA12F5" w:rsidP="00FA12F5">
      <w:pPr>
        <w:pStyle w:val="Heading2"/>
        <w:spacing w:before="0" w:after="240"/>
        <w:rPr>
          <w:sz w:val="32"/>
          <w:szCs w:val="32"/>
        </w:rPr>
      </w:pPr>
      <w:r>
        <w:rPr>
          <w:sz w:val="32"/>
          <w:szCs w:val="32"/>
        </w:rPr>
        <w:t xml:space="preserve">Leading </w:t>
      </w:r>
      <w:r w:rsidR="009141D4">
        <w:rPr>
          <w:sz w:val="32"/>
          <w:szCs w:val="32"/>
        </w:rPr>
        <w:t>the G</w:t>
      </w:r>
      <w:r>
        <w:rPr>
          <w:sz w:val="32"/>
          <w:szCs w:val="32"/>
        </w:rPr>
        <w:t>overnment’s response to international crises &amp; humanitarian emergencies</w:t>
      </w:r>
    </w:p>
    <w:p w:rsidR="00FA12F5" w:rsidRDefault="00FA12F5" w:rsidP="00FA12F5">
      <w:pPr>
        <w:pStyle w:val="BodyText"/>
        <w:spacing w:line="276" w:lineRule="auto"/>
      </w:pPr>
      <w:r>
        <w:t>Australia is committed to responding to international crises that affect our interests, whether consular, humanitarian or political in nature.  The department will lead government’s response to ensure a coordinated whole-of-government approach which helps affected Australians and supports countries, especially in the Indo-Pacific region, impacted by humanitarian emergencies.</w:t>
      </w:r>
      <w:r w:rsidRPr="000C0B13">
        <w:t xml:space="preserve"> </w:t>
      </w:r>
      <w:r>
        <w:t xml:space="preserve">Our response will deliver comprehensive and clear advice to government, as well as immediate consular assistance to affected Australians and their families.  Our humanitarian response will address the differentiated needs of affected people and build communities’ resilience to recover from future disasters.  </w:t>
      </w:r>
    </w:p>
    <w:p w:rsidR="00FA12F5" w:rsidRDefault="00FA12F5" w:rsidP="00FA12F5">
      <w:pPr>
        <w:pStyle w:val="BodyText"/>
        <w:spacing w:line="276" w:lineRule="auto"/>
      </w:pPr>
      <w:r>
        <w:t xml:space="preserve">The department will ensure effective contingency planning is in place to prepare for, respond to, and recover from international crises and humanitarian emergencies.  This will be done in close cooperation with our consular, bilateral and development partners.  </w:t>
      </w:r>
    </w:p>
    <w:p w:rsidR="00FA12F5" w:rsidRDefault="00FA12F5" w:rsidP="00FA12F5">
      <w:pPr>
        <w:pStyle w:val="Heading3"/>
        <w:spacing w:before="240"/>
      </w:pPr>
      <w:r>
        <w:t>Major operational activities</w:t>
      </w:r>
    </w:p>
    <w:p w:rsidR="00FA12F5" w:rsidRDefault="00FA12F5" w:rsidP="00FA12F5">
      <w:pPr>
        <w:pStyle w:val="ListBullet"/>
      </w:pPr>
      <w:r>
        <w:t xml:space="preserve">We will provide whole-of-government leadership on international crises, including through coordination with partner agencies </w:t>
      </w:r>
    </w:p>
    <w:p w:rsidR="00FA12F5" w:rsidRDefault="00FA12F5" w:rsidP="00FA12F5">
      <w:pPr>
        <w:pStyle w:val="ListBullet"/>
      </w:pPr>
      <w:r>
        <w:t>We will respond to crises by triggering the department’s crisis response mechanisms through the activation of the Crisis Centre; deployment of government officials, experts and technical capabilities; funding through key Australian and international humanitarian partners; and</w:t>
      </w:r>
      <w:r w:rsidRPr="00007491">
        <w:t xml:space="preserve"> </w:t>
      </w:r>
      <w:r>
        <w:t>providing emergency relief supplies and logistics support.</w:t>
      </w:r>
    </w:p>
    <w:p w:rsidR="00FA12F5" w:rsidRDefault="00FA12F5" w:rsidP="00FA12F5">
      <w:pPr>
        <w:pStyle w:val="ListBullet"/>
      </w:pPr>
      <w:r>
        <w:t xml:space="preserve">We learn from each response and facilitate information sharing and innovation to improve our operational responses.  We will provide coherent engagement on and support during crises through our diplomatic, consular and humanitarian efforts.  We will work with trusted partners, including the UN, private sector, NGOs, other governments and the Red Cross and Red Crescent, who can assist the delivery of consular services for Australians, access affected communities and provide effective assistance.  </w:t>
      </w:r>
    </w:p>
    <w:p w:rsidR="00FA12F5" w:rsidRDefault="00FA12F5" w:rsidP="00FA12F5">
      <w:pPr>
        <w:pStyle w:val="ListBullet"/>
      </w:pPr>
      <w:r>
        <w:t xml:space="preserve">We will develop effective contingency plans to help Australian missions overseas respond to crises.  With a focus on the Indo-Pacific region, we will build the capacity of national </w:t>
      </w:r>
      <w:r>
        <w:rPr>
          <w:bCs/>
        </w:rPr>
        <w:t>governments</w:t>
      </w:r>
      <w:r>
        <w:t>, regional organisations, and civil society</w:t>
      </w:r>
      <w:r w:rsidR="00DF76F3">
        <w:t xml:space="preserve"> to manage crises themselves</w:t>
      </w:r>
      <w:r>
        <w:t xml:space="preserve">.    </w:t>
      </w:r>
    </w:p>
    <w:p w:rsidR="00FA12F5" w:rsidRDefault="00FA12F5" w:rsidP="00FA12F5">
      <w:pPr>
        <w:pStyle w:val="Heading3"/>
        <w:spacing w:before="240"/>
      </w:pPr>
      <w:r>
        <w:t>Key performance measures and assessment</w:t>
      </w:r>
    </w:p>
    <w:tbl>
      <w:tblPr>
        <w:tblStyle w:val="MediumGrid3-Accent1"/>
        <w:tblW w:w="8610" w:type="dxa"/>
        <w:tblLayout w:type="fixed"/>
        <w:tblLook w:val="04A0" w:firstRow="1" w:lastRow="0" w:firstColumn="1" w:lastColumn="0" w:noHBand="0" w:noVBand="1"/>
      </w:tblPr>
      <w:tblGrid>
        <w:gridCol w:w="1525"/>
        <w:gridCol w:w="5951"/>
        <w:gridCol w:w="1134"/>
      </w:tblGrid>
      <w:tr w:rsidR="00FA12F5" w:rsidTr="004B4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FA12F5" w:rsidRDefault="00FA12F5" w:rsidP="004B42DE">
            <w:pPr>
              <w:spacing w:before="120" w:after="120"/>
              <w:rPr>
                <w:rFonts w:ascii="Franklin Gothic Book" w:hAnsi="Franklin Gothic Book"/>
                <w:sz w:val="21"/>
              </w:rPr>
            </w:pPr>
            <w:r>
              <w:rPr>
                <w:rFonts w:ascii="Franklin Gothic Book" w:hAnsi="Franklin Gothic Book"/>
                <w:sz w:val="21"/>
                <w:szCs w:val="20"/>
              </w:rPr>
              <w:t>Measurement</w:t>
            </w:r>
          </w:p>
        </w:tc>
        <w:tc>
          <w:tcPr>
            <w:tcW w:w="5953" w:type="dxa"/>
            <w:hideMark/>
          </w:tcPr>
          <w:p w:rsidR="00FA12F5" w:rsidRDefault="00FA12F5" w:rsidP="004B42DE">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Pr>
                <w:rFonts w:ascii="Franklin Gothic Book" w:hAnsi="Franklin Gothic Book"/>
                <w:sz w:val="21"/>
                <w:szCs w:val="20"/>
              </w:rPr>
              <w:t>Assessment</w:t>
            </w:r>
          </w:p>
        </w:tc>
        <w:tc>
          <w:tcPr>
            <w:tcW w:w="1134" w:type="dxa"/>
            <w:hideMark/>
          </w:tcPr>
          <w:p w:rsidR="00FA12F5" w:rsidRDefault="00FA12F5" w:rsidP="004B42DE">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Pr>
                <w:rFonts w:ascii="Franklin Gothic Book" w:hAnsi="Franklin Gothic Book"/>
                <w:sz w:val="21"/>
                <w:szCs w:val="20"/>
              </w:rPr>
              <w:t>Period</w:t>
            </w:r>
          </w:p>
        </w:tc>
      </w:tr>
      <w:tr w:rsidR="00FA12F5" w:rsidTr="004B4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00FA12F5" w:rsidRDefault="00FA12F5" w:rsidP="004B42DE">
            <w:pPr>
              <w:rPr>
                <w:rFonts w:ascii="Franklin Gothic Book" w:hAnsi="Franklin Gothic Book"/>
                <w:i/>
                <w:sz w:val="21"/>
              </w:rPr>
            </w:pPr>
            <w:r>
              <w:rPr>
                <w:rFonts w:ascii="Franklin Gothic Book" w:hAnsi="Franklin Gothic Book"/>
                <w:i/>
                <w:sz w:val="21"/>
                <w:szCs w:val="20"/>
              </w:rPr>
              <w:t>Case studies</w:t>
            </w:r>
          </w:p>
        </w:tc>
        <w:tc>
          <w:tcPr>
            <w:tcW w:w="5953" w:type="dxa"/>
            <w:hideMark/>
          </w:tcPr>
          <w:p w:rsidR="00FA12F5" w:rsidRDefault="00FA12F5" w:rsidP="004B42DE">
            <w:pPr>
              <w:pStyle w:val="List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The department will use case studies to highlight and assess:</w:t>
            </w:r>
          </w:p>
          <w:p w:rsidR="00FA12F5" w:rsidRDefault="00FA12F5" w:rsidP="004B42DE">
            <w:pPr>
              <w:pStyle w:val="ListBullet"/>
              <w:cnfStyle w:val="000000100000" w:firstRow="0" w:lastRow="0" w:firstColumn="0" w:lastColumn="0" w:oddVBand="0" w:evenVBand="0" w:oddHBand="1" w:evenHBand="0" w:firstRowFirstColumn="0" w:firstRowLastColumn="0" w:lastRowFirstColumn="0" w:lastRowLastColumn="0"/>
            </w:pPr>
            <w:r>
              <w:t>effective leadership and coordination of government’s response to international crises</w:t>
            </w:r>
          </w:p>
          <w:p w:rsidR="00FA12F5" w:rsidRDefault="00FA12F5" w:rsidP="004B42DE">
            <w:pPr>
              <w:pStyle w:val="ListBullet"/>
              <w:cnfStyle w:val="000000100000" w:firstRow="0" w:lastRow="0" w:firstColumn="0" w:lastColumn="0" w:oddVBand="0" w:evenVBand="0" w:oddHBand="1" w:evenHBand="0" w:firstRowFirstColumn="0" w:firstRowLastColumn="0" w:lastRowFirstColumn="0" w:lastRowLastColumn="0"/>
            </w:pPr>
            <w:r>
              <w:t xml:space="preserve">humanitarian leadership within the Indo Pacific region and international humanitarian system </w:t>
            </w:r>
          </w:p>
        </w:tc>
        <w:tc>
          <w:tcPr>
            <w:tcW w:w="1134" w:type="dxa"/>
            <w:hideMark/>
          </w:tcPr>
          <w:p w:rsidR="00FA12F5" w:rsidRDefault="00FA12F5" w:rsidP="004B42DE">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szCs w:val="20"/>
              </w:rPr>
              <w:t>Annually</w:t>
            </w:r>
          </w:p>
        </w:tc>
      </w:tr>
      <w:tr w:rsidR="00FA12F5" w:rsidTr="004B42DE">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bottom w:val="single" w:sz="8" w:space="0" w:color="FFFFFF"/>
            </w:tcBorders>
            <w:hideMark/>
          </w:tcPr>
          <w:p w:rsidR="00FA12F5" w:rsidRDefault="00FA12F5" w:rsidP="004B42DE">
            <w:pPr>
              <w:rPr>
                <w:rFonts w:ascii="Franklin Gothic Book" w:hAnsi="Franklin Gothic Book"/>
                <w:i/>
                <w:sz w:val="21"/>
              </w:rPr>
            </w:pPr>
            <w:r>
              <w:rPr>
                <w:rFonts w:ascii="Franklin Gothic Book" w:hAnsi="Franklin Gothic Book"/>
                <w:i/>
                <w:sz w:val="21"/>
                <w:szCs w:val="20"/>
              </w:rPr>
              <w:t>Review</w:t>
            </w:r>
          </w:p>
        </w:tc>
        <w:tc>
          <w:tcPr>
            <w:tcW w:w="5953" w:type="dxa"/>
            <w:tcBorders>
              <w:top w:val="single" w:sz="6" w:space="0" w:color="FFFFFF"/>
              <w:left w:val="single" w:sz="6" w:space="0" w:color="FFFFFF"/>
              <w:bottom w:val="single" w:sz="8" w:space="0" w:color="FFFFFF"/>
              <w:right w:val="single" w:sz="6" w:space="0" w:color="FFFFFF"/>
            </w:tcBorders>
            <w:hideMark/>
          </w:tcPr>
          <w:p w:rsidR="00FA12F5" w:rsidRDefault="00FA12F5" w:rsidP="004B42DE">
            <w:pPr>
              <w:pStyle w:val="ListBullet"/>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t>The department will review:</w:t>
            </w:r>
          </w:p>
          <w:p w:rsidR="00FA12F5" w:rsidRDefault="00FA12F5" w:rsidP="004B42DE">
            <w:pPr>
              <w:pStyle w:val="ListBullet"/>
              <w:cnfStyle w:val="000000000000" w:firstRow="0" w:lastRow="0" w:firstColumn="0" w:lastColumn="0" w:oddVBand="0" w:evenVBand="0" w:oddHBand="0" w:evenHBand="0" w:firstRowFirstColumn="0" w:firstRowLastColumn="0" w:lastRowFirstColumn="0" w:lastRowLastColumn="0"/>
            </w:pPr>
            <w:r>
              <w:t>the effectiveness of our crisis management mechanisms in delivering a coordinated crises response</w:t>
            </w:r>
          </w:p>
          <w:p w:rsidR="00FA12F5" w:rsidRDefault="00FA12F5" w:rsidP="004B42DE">
            <w:pPr>
              <w:pStyle w:val="ListBullet"/>
              <w:cnfStyle w:val="000000000000" w:firstRow="0" w:lastRow="0" w:firstColumn="0" w:lastColumn="0" w:oddVBand="0" w:evenVBand="0" w:oddHBand="0" w:evenHBand="0" w:firstRowFirstColumn="0" w:firstRowLastColumn="0" w:lastRowFirstColumn="0" w:lastRowLastColumn="0"/>
            </w:pPr>
            <w:r>
              <w:t xml:space="preserve">the provision of consular support to affected Australians </w:t>
            </w:r>
          </w:p>
          <w:p w:rsidR="00FA12F5" w:rsidRDefault="00FA12F5" w:rsidP="004B42DE">
            <w:pPr>
              <w:pStyle w:val="ListBullet"/>
              <w:cnfStyle w:val="000000000000" w:firstRow="0" w:lastRow="0" w:firstColumn="0" w:lastColumn="0" w:oddVBand="0" w:evenVBand="0" w:oddHBand="0" w:evenHBand="0" w:firstRowFirstColumn="0" w:firstRowLastColumn="0" w:lastRowFirstColumn="0" w:lastRowLastColumn="0"/>
            </w:pPr>
            <w:r>
              <w:t>the provision of life-saving assistance to vulnerable women, girls, men, and boys in crisis situations</w:t>
            </w:r>
          </w:p>
          <w:p w:rsidR="00FA12F5" w:rsidRDefault="00FA12F5" w:rsidP="00DF76F3">
            <w:pPr>
              <w:pStyle w:val="ListBullet"/>
              <w:cnfStyle w:val="000000000000" w:firstRow="0" w:lastRow="0" w:firstColumn="0" w:lastColumn="0" w:oddVBand="0" w:evenVBand="0" w:oddHBand="0" w:evenHBand="0" w:firstRowFirstColumn="0" w:firstRowLastColumn="0" w:lastRowFirstColumn="0" w:lastRowLastColumn="0"/>
            </w:pPr>
            <w:r>
              <w:t xml:space="preserve">the level and scope of disaster risk-reduction and recovery </w:t>
            </w:r>
            <w:r w:rsidR="00DF76F3">
              <w:t>programs</w:t>
            </w:r>
          </w:p>
        </w:tc>
        <w:tc>
          <w:tcPr>
            <w:tcW w:w="1134" w:type="dxa"/>
            <w:tcBorders>
              <w:top w:val="single" w:sz="6" w:space="0" w:color="FFFFFF"/>
              <w:left w:val="single" w:sz="6" w:space="0" w:color="FFFFFF"/>
              <w:bottom w:val="single" w:sz="8" w:space="0" w:color="FFFFFF"/>
              <w:right w:val="single" w:sz="8" w:space="0" w:color="FFFFFF"/>
            </w:tcBorders>
            <w:hideMark/>
          </w:tcPr>
          <w:p w:rsidR="00FA12F5" w:rsidRDefault="00FA12F5" w:rsidP="004B42DE">
            <w:pPr>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1"/>
              </w:rPr>
            </w:pPr>
            <w:r>
              <w:rPr>
                <w:rFonts w:ascii="Franklin Gothic Book" w:hAnsi="Franklin Gothic Book"/>
                <w:sz w:val="21"/>
                <w:szCs w:val="20"/>
              </w:rPr>
              <w:t xml:space="preserve">Annually or after each crisis </w:t>
            </w:r>
          </w:p>
        </w:tc>
      </w:tr>
    </w:tbl>
    <w:p w:rsidR="0004417B" w:rsidRPr="00A610A6" w:rsidRDefault="0004417B" w:rsidP="00290E4F">
      <w:pPr>
        <w:pStyle w:val="Heading2"/>
        <w:spacing w:before="0" w:after="240"/>
        <w:rPr>
          <w:sz w:val="32"/>
          <w:szCs w:val="32"/>
        </w:rPr>
      </w:pPr>
      <w:r w:rsidRPr="00A610A6">
        <w:rPr>
          <w:sz w:val="32"/>
          <w:szCs w:val="32"/>
        </w:rPr>
        <w:t>Strengthening internat</w:t>
      </w:r>
      <w:r w:rsidR="00416C57">
        <w:rPr>
          <w:sz w:val="32"/>
          <w:szCs w:val="32"/>
        </w:rPr>
        <w:t>ional frameworks and norms</w:t>
      </w:r>
    </w:p>
    <w:p w:rsidR="00631DC4" w:rsidRPr="00526116" w:rsidRDefault="00631DC4" w:rsidP="00631DC4">
      <w:pPr>
        <w:pStyle w:val="BodyText"/>
        <w:spacing w:line="276" w:lineRule="auto"/>
      </w:pPr>
      <w:r w:rsidRPr="00526116">
        <w:t>A key objective of the department’s work is to strengthen international frameworks, norms and the rule of law in areas as diverse as human rights, peace and security, the environment, banking and criminal justice</w:t>
      </w:r>
      <w:r w:rsidR="00167F1D">
        <w:t xml:space="preserve">.  </w:t>
      </w:r>
      <w:r w:rsidR="00163DFD">
        <w:t>Although</w:t>
      </w:r>
      <w:r w:rsidR="00163DFD" w:rsidRPr="00526116">
        <w:t xml:space="preserve"> </w:t>
      </w:r>
      <w:r w:rsidRPr="00526116">
        <w:t>the multilateral system has limitations, it serves our national interest in important ways</w:t>
      </w:r>
      <w:r w:rsidR="00163DFD">
        <w:t>,</w:t>
      </w:r>
      <w:r w:rsidRPr="00526116">
        <w:t xml:space="preserve"> and we strive to ensure it works as effectively as possible</w:t>
      </w:r>
      <w:r w:rsidR="00167F1D">
        <w:t xml:space="preserve">.  </w:t>
      </w:r>
      <w:r w:rsidRPr="00526116">
        <w:t>This objective is prosecuted in a variety of multilateral and regional forums, including through the United Nations (UN) and international financial and legal institutions</w:t>
      </w:r>
      <w:r w:rsidR="00167F1D">
        <w:t xml:space="preserve">.  </w:t>
      </w:r>
      <w:r w:rsidRPr="00526116">
        <w:t>Our multilateral work also reinforces regional and bilateral relationships</w:t>
      </w:r>
      <w:r w:rsidR="00167F1D">
        <w:t xml:space="preserve">.  </w:t>
      </w:r>
    </w:p>
    <w:p w:rsidR="00070063" w:rsidRDefault="00070063" w:rsidP="00137BDC">
      <w:pPr>
        <w:pStyle w:val="Heading3"/>
        <w:spacing w:before="240"/>
      </w:pPr>
      <w:r>
        <w:t>Major operational activities</w:t>
      </w:r>
    </w:p>
    <w:p w:rsidR="00163DFD" w:rsidRDefault="00163DFD" w:rsidP="00ED0735">
      <w:pPr>
        <w:pStyle w:val="ListBullet"/>
      </w:pPr>
      <w:r>
        <w:t>The department</w:t>
      </w:r>
      <w:r w:rsidRPr="00526116">
        <w:t xml:space="preserve"> </w:t>
      </w:r>
      <w:r w:rsidR="00EE6A04" w:rsidRPr="00526116">
        <w:t>will work towards the negotiation and implementation of a global climate change agreement that creates a common playing field for all countries and co</w:t>
      </w:r>
      <w:r w:rsidR="00ED56D9">
        <w:t>ntributes to the 2</w:t>
      </w:r>
      <w:r>
        <w:t>-</w:t>
      </w:r>
      <w:r w:rsidR="00ED56D9">
        <w:t>degree goal</w:t>
      </w:r>
      <w:r w:rsidR="00167F1D">
        <w:t>.</w:t>
      </w:r>
      <w:r w:rsidR="00477008">
        <w:t xml:space="preserve">  </w:t>
      </w:r>
      <w:r>
        <w:t>We</w:t>
      </w:r>
      <w:r w:rsidR="00EE6A04" w:rsidRPr="00526116">
        <w:t xml:space="preserve"> will </w:t>
      </w:r>
      <w:r w:rsidRPr="00526116">
        <w:t>cooperat</w:t>
      </w:r>
      <w:r>
        <w:t xml:space="preserve">e </w:t>
      </w:r>
      <w:r w:rsidR="00477008">
        <w:t>with international and regional partners</w:t>
      </w:r>
      <w:r w:rsidR="00EE6A04" w:rsidRPr="00526116">
        <w:t xml:space="preserve"> to prevent maritime people smuggling and</w:t>
      </w:r>
      <w:r>
        <w:t xml:space="preserve"> to</w:t>
      </w:r>
      <w:r w:rsidR="00EE6A04" w:rsidRPr="00526116">
        <w:t xml:space="preserve"> support refugee resettlement</w:t>
      </w:r>
      <w:r w:rsidR="00167F1D">
        <w:t>.</w:t>
      </w:r>
      <w:r w:rsidR="00477008">
        <w:t xml:space="preserve">  </w:t>
      </w:r>
      <w:r>
        <w:t>We are integrating g</w:t>
      </w:r>
      <w:r w:rsidR="00EE6A04" w:rsidRPr="00526116">
        <w:t>ender equality across our work through a gender equality strategy, as well as tak</w:t>
      </w:r>
      <w:r>
        <w:t>ing</w:t>
      </w:r>
      <w:r w:rsidR="00EE6A04" w:rsidRPr="00526116">
        <w:t xml:space="preserve"> </w:t>
      </w:r>
      <w:r>
        <w:t xml:space="preserve">gender equality </w:t>
      </w:r>
      <w:r w:rsidR="00EE6A04" w:rsidRPr="00526116">
        <w:t>forward through forums such as the High Level Review of UNSCR 1325 on women, peace and security</w:t>
      </w:r>
      <w:r w:rsidR="00167F1D">
        <w:t>.</w:t>
      </w:r>
      <w:r w:rsidR="00477008">
        <w:t xml:space="preserve">  </w:t>
      </w:r>
    </w:p>
    <w:p w:rsidR="00EE6A04" w:rsidRPr="00526116" w:rsidRDefault="00EE6A04" w:rsidP="00ED0735">
      <w:pPr>
        <w:pStyle w:val="ListBullet"/>
      </w:pPr>
      <w:r w:rsidRPr="00526116">
        <w:t>The department advances Australia’s commitment to human rights through the Human Rights Council, the UN Security Council and the UN General Assembly</w:t>
      </w:r>
      <w:r w:rsidR="00167F1D">
        <w:t>.</w:t>
      </w:r>
      <w:r w:rsidR="00477008">
        <w:t xml:space="preserve">  </w:t>
      </w:r>
      <w:r w:rsidRPr="00526116">
        <w:t>Australia’s Universal Periodic Review in late 2015 provides a further opportunity to demonstrate this commitment.</w:t>
      </w:r>
    </w:p>
    <w:p w:rsidR="00ED56D9" w:rsidRDefault="00EE6A04" w:rsidP="00ED0735">
      <w:pPr>
        <w:pStyle w:val="ListBullet"/>
      </w:pPr>
      <w:r w:rsidRPr="00526116">
        <w:t>The department will leverage our successful term on the Security Council to progress our interests in strengthening counter-terrorism, transnational crime, peacekeeping, non-proliferation and disarmament regimes</w:t>
      </w:r>
      <w:r w:rsidR="00167F1D">
        <w:t>.</w:t>
      </w:r>
      <w:r w:rsidR="00477008">
        <w:t xml:space="preserve">  </w:t>
      </w:r>
      <w:r w:rsidRPr="00526116">
        <w:t>We will promote norms of responsible behaviour in space and cy</w:t>
      </w:r>
      <w:r w:rsidR="00ED56D9">
        <w:t>berspace through international, regional and bilateral meetings and dialogues.</w:t>
      </w:r>
    </w:p>
    <w:p w:rsidR="00EE6A04" w:rsidRPr="00526116" w:rsidRDefault="00EE6A04" w:rsidP="00ED0735">
      <w:pPr>
        <w:pStyle w:val="ListBullet"/>
      </w:pPr>
      <w:r w:rsidRPr="00526116">
        <w:t>We will continue to promote Australia’s interests in the Post-2015 Development Agenda and to strengthen global development effectiveness norms</w:t>
      </w:r>
      <w:r w:rsidR="00167F1D">
        <w:t>.</w:t>
      </w:r>
      <w:r w:rsidR="00477008">
        <w:t xml:space="preserve">  </w:t>
      </w:r>
      <w:r w:rsidRPr="00526116">
        <w:t>We will support the reduction of poverty through the World Bank and Asian Development Bank, and engage with key emerging institutions, including the Asian Infrastructure Development Bank and the Green Climate Fund</w:t>
      </w:r>
      <w:r w:rsidR="00167F1D">
        <w:t>.</w:t>
      </w:r>
      <w:r w:rsidR="00477008">
        <w:t xml:space="preserve">  </w:t>
      </w:r>
    </w:p>
    <w:p w:rsidR="00EE6A04" w:rsidRDefault="00EE6A04" w:rsidP="00ED0735">
      <w:pPr>
        <w:pStyle w:val="ListBullet"/>
      </w:pPr>
      <w:r w:rsidRPr="00526116">
        <w:t>We will promote adherence to international law and the peaceful resolution of territorial disputes</w:t>
      </w:r>
      <w:r w:rsidR="00167F1D">
        <w:t>.</w:t>
      </w:r>
      <w:r w:rsidR="00477008">
        <w:t xml:space="preserve">  </w:t>
      </w:r>
      <w:r w:rsidRPr="00526116">
        <w:t>Together with the Department of Environment, we will co-lead the development of the Government’s 20 Year Plan for Antarctica</w:t>
      </w:r>
      <w:r w:rsidR="00167F1D">
        <w:t>.</w:t>
      </w:r>
      <w:r w:rsidR="00477008">
        <w:t xml:space="preserve">  </w:t>
      </w:r>
      <w:r w:rsidRPr="00526116">
        <w:t xml:space="preserve">We will continue to support the Timor Sea treaty framework and defend the arbitration brought by Timor-Leste regarding the Treaty on Certain Maritime Arrangements in </w:t>
      </w:r>
      <w:r w:rsidR="00ED56D9">
        <w:t>the Timor Sea.</w:t>
      </w:r>
    </w:p>
    <w:p w:rsidR="009A3D4A" w:rsidRDefault="009A3D4A" w:rsidP="00137BDC">
      <w:pPr>
        <w:pStyle w:val="Heading3"/>
        <w:spacing w:before="240"/>
      </w:pPr>
      <w:r w:rsidRPr="00416C57">
        <w:t>Key performance measures and assessment</w:t>
      </w:r>
    </w:p>
    <w:tbl>
      <w:tblPr>
        <w:tblStyle w:val="MediumGrid3-Accent1"/>
        <w:tblW w:w="8613" w:type="dxa"/>
        <w:tblLayout w:type="fixed"/>
        <w:tblLook w:val="04A0" w:firstRow="1" w:lastRow="0" w:firstColumn="1" w:lastColumn="0" w:noHBand="0" w:noVBand="1"/>
      </w:tblPr>
      <w:tblGrid>
        <w:gridCol w:w="1526"/>
        <w:gridCol w:w="5953"/>
        <w:gridCol w:w="1134"/>
      </w:tblGrid>
      <w:tr w:rsidR="00BA2E35" w:rsidRPr="002C113F" w:rsidTr="009D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A2E35" w:rsidRPr="0050743C" w:rsidRDefault="00BA2E35" w:rsidP="00167F1D">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BA2E35" w:rsidRPr="0050743C" w:rsidRDefault="00BA2E35"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BA2E35" w:rsidRPr="0050743C" w:rsidRDefault="00BA2E35"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BA2E35" w:rsidRPr="002C113F" w:rsidTr="009D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A2E35" w:rsidRPr="00B3196A" w:rsidRDefault="00BA2E35" w:rsidP="00167F1D">
            <w:pPr>
              <w:rPr>
                <w:rFonts w:ascii="Franklin Gothic Book" w:hAnsi="Franklin Gothic Book"/>
                <w:i/>
                <w:sz w:val="21"/>
              </w:rPr>
            </w:pPr>
            <w:r>
              <w:rPr>
                <w:rFonts w:ascii="Franklin Gothic Book" w:hAnsi="Franklin Gothic Book"/>
                <w:i/>
                <w:sz w:val="21"/>
              </w:rPr>
              <w:t>Case studies</w:t>
            </w:r>
          </w:p>
        </w:tc>
        <w:tc>
          <w:tcPr>
            <w:tcW w:w="5953" w:type="dxa"/>
          </w:tcPr>
          <w:p w:rsidR="00BA2E35" w:rsidRDefault="00BA2E35" w:rsidP="00167F1D">
            <w:pPr>
              <w:pStyle w:val="List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The department will use case studies to highlight and assess:</w:t>
            </w:r>
          </w:p>
          <w:p w:rsidR="00BA2E35" w:rsidRDefault="007B2A68" w:rsidP="00167F1D">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BA2E35">
              <w:t>views of other departments on the coordination and promotion of Australia’s interests</w:t>
            </w:r>
            <w:r w:rsidR="0063297A">
              <w:t xml:space="preserve"> in multilateral fora</w:t>
            </w:r>
          </w:p>
          <w:p w:rsidR="00BA2E35" w:rsidRDefault="00BA2E35" w:rsidP="00167F1D">
            <w:pPr>
              <w:pStyle w:val="ListBullet"/>
              <w:cnfStyle w:val="000000100000" w:firstRow="0" w:lastRow="0" w:firstColumn="0" w:lastColumn="0" w:oddVBand="0" w:evenVBand="0" w:oddHBand="1" w:evenHBand="0" w:firstRowFirstColumn="0" w:firstRowLastColumn="0" w:lastRowFirstColumn="0" w:lastRowLastColumn="0"/>
            </w:pPr>
            <w:r>
              <w:t xml:space="preserve">the department's ability to shape </w:t>
            </w:r>
            <w:r w:rsidR="0063297A">
              <w:t xml:space="preserve">multilateral </w:t>
            </w:r>
            <w:r>
              <w:t>outcomes which reflect Australian interests</w:t>
            </w:r>
          </w:p>
          <w:p w:rsidR="00BA2E35" w:rsidRPr="00435125" w:rsidRDefault="00BA2E35" w:rsidP="00167F1D">
            <w:pPr>
              <w:pStyle w:val="ListBullet"/>
              <w:cnfStyle w:val="000000100000" w:firstRow="0" w:lastRow="0" w:firstColumn="0" w:lastColumn="0" w:oddVBand="0" w:evenVBand="0" w:oddHBand="1" w:evenHBand="0" w:firstRowFirstColumn="0" w:firstRowLastColumn="0" w:lastRowFirstColumn="0" w:lastRowLastColumn="0"/>
            </w:pPr>
            <w:r>
              <w:t>the department’s leadership of whole of government strategies</w:t>
            </w:r>
            <w:r w:rsidR="0063297A">
              <w:t xml:space="preserve"> on multilateral issues</w:t>
            </w:r>
          </w:p>
        </w:tc>
        <w:tc>
          <w:tcPr>
            <w:tcW w:w="1134" w:type="dxa"/>
          </w:tcPr>
          <w:p w:rsidR="00BA2E35" w:rsidRPr="00AD27D1" w:rsidRDefault="00BA2E35" w:rsidP="00167F1D">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bl>
    <w:p w:rsidR="000D57DD" w:rsidRDefault="000D57DD" w:rsidP="000D57DD">
      <w:pPr>
        <w:pStyle w:val="BodyText"/>
        <w:sectPr w:rsidR="000D57DD" w:rsidSect="00851F21">
          <w:pgSz w:w="11907" w:h="16840" w:code="9"/>
          <w:pgMar w:top="794" w:right="1701" w:bottom="794" w:left="1701" w:header="567" w:footer="567" w:gutter="0"/>
          <w:cols w:space="720"/>
          <w:docGrid w:linePitch="326"/>
        </w:sectPr>
      </w:pPr>
    </w:p>
    <w:p w:rsidR="0004417B" w:rsidRPr="00A610A6" w:rsidRDefault="0004417B" w:rsidP="00290E4F">
      <w:pPr>
        <w:pStyle w:val="Heading2"/>
        <w:spacing w:before="0" w:after="240"/>
        <w:rPr>
          <w:sz w:val="32"/>
          <w:szCs w:val="32"/>
        </w:rPr>
      </w:pPr>
      <w:r w:rsidRPr="00A610A6">
        <w:rPr>
          <w:sz w:val="32"/>
          <w:szCs w:val="32"/>
        </w:rPr>
        <w:t xml:space="preserve">Broadening knowledge of </w:t>
      </w:r>
      <w:r w:rsidR="00ED56D9">
        <w:rPr>
          <w:sz w:val="32"/>
          <w:szCs w:val="32"/>
        </w:rPr>
        <w:t xml:space="preserve">the </w:t>
      </w:r>
      <w:r w:rsidRPr="00A610A6">
        <w:rPr>
          <w:sz w:val="32"/>
          <w:szCs w:val="32"/>
        </w:rPr>
        <w:t>Government’</w:t>
      </w:r>
      <w:r w:rsidR="00416C57">
        <w:rPr>
          <w:sz w:val="32"/>
          <w:szCs w:val="32"/>
        </w:rPr>
        <w:t xml:space="preserve">s </w:t>
      </w:r>
      <w:r w:rsidR="00370113">
        <w:rPr>
          <w:sz w:val="32"/>
          <w:szCs w:val="32"/>
        </w:rPr>
        <w:t>international</w:t>
      </w:r>
      <w:r w:rsidR="00ED56D9">
        <w:rPr>
          <w:sz w:val="32"/>
          <w:szCs w:val="32"/>
        </w:rPr>
        <w:t xml:space="preserve"> policies</w:t>
      </w:r>
    </w:p>
    <w:p w:rsidR="00291F17" w:rsidRPr="006D0393" w:rsidRDefault="00291F17" w:rsidP="00137BDC">
      <w:pPr>
        <w:pStyle w:val="BodyText"/>
        <w:spacing w:after="120" w:line="276" w:lineRule="auto"/>
        <w:rPr>
          <w:szCs w:val="21"/>
          <w:lang w:val="en-US"/>
        </w:rPr>
      </w:pPr>
      <w:r>
        <w:rPr>
          <w:szCs w:val="21"/>
          <w:lang w:val="en-US"/>
        </w:rPr>
        <w:t>A</w:t>
      </w:r>
      <w:r w:rsidRPr="006D0393">
        <w:rPr>
          <w:szCs w:val="21"/>
          <w:lang w:val="en-US"/>
        </w:rPr>
        <w:t>ctive engagement with media, domest</w:t>
      </w:r>
      <w:r>
        <w:rPr>
          <w:szCs w:val="21"/>
          <w:lang w:val="en-US"/>
        </w:rPr>
        <w:t>ically and overseas, contributes</w:t>
      </w:r>
      <w:r w:rsidRPr="006D0393">
        <w:rPr>
          <w:szCs w:val="21"/>
          <w:lang w:val="en-US"/>
        </w:rPr>
        <w:t xml:space="preserve"> to informed coverage of Australia’s policies and programs as well as effective crisis management during humanitarian and consular </w:t>
      </w:r>
      <w:r w:rsidR="00163DFD">
        <w:rPr>
          <w:szCs w:val="21"/>
          <w:lang w:val="en-US"/>
        </w:rPr>
        <w:t>crises</w:t>
      </w:r>
      <w:r w:rsidR="00167F1D">
        <w:rPr>
          <w:szCs w:val="21"/>
          <w:lang w:val="en-US"/>
        </w:rPr>
        <w:t>.</w:t>
      </w:r>
      <w:r w:rsidR="00477008">
        <w:rPr>
          <w:szCs w:val="21"/>
          <w:lang w:val="en-US"/>
        </w:rPr>
        <w:t xml:space="preserve">  </w:t>
      </w:r>
      <w:r w:rsidRPr="00695339">
        <w:rPr>
          <w:szCs w:val="21"/>
          <w:lang w:val="en-US"/>
        </w:rPr>
        <w:t>The department’s strategic</w:t>
      </w:r>
      <w:r>
        <w:rPr>
          <w:szCs w:val="21"/>
          <w:lang w:val="en-US"/>
        </w:rPr>
        <w:t xml:space="preserve"> communications effort supports</w:t>
      </w:r>
      <w:r w:rsidRPr="00695339">
        <w:rPr>
          <w:szCs w:val="21"/>
          <w:lang w:val="en-US"/>
        </w:rPr>
        <w:t xml:space="preserve"> key foreign, trade and aid policy initiat</w:t>
      </w:r>
      <w:r>
        <w:rPr>
          <w:szCs w:val="21"/>
          <w:lang w:val="en-US"/>
        </w:rPr>
        <w:t>ives</w:t>
      </w:r>
      <w:r w:rsidR="00163DFD">
        <w:rPr>
          <w:szCs w:val="21"/>
          <w:lang w:val="en-US"/>
        </w:rPr>
        <w:t>,</w:t>
      </w:r>
      <w:r>
        <w:rPr>
          <w:szCs w:val="21"/>
          <w:lang w:val="en-US"/>
        </w:rPr>
        <w:t xml:space="preserve"> with our use of social media continuing to expand through more accounts, in more countries on more platforms in order to engage directly with stakeholders</w:t>
      </w:r>
      <w:r w:rsidR="00167F1D">
        <w:rPr>
          <w:szCs w:val="21"/>
          <w:lang w:val="en-US"/>
        </w:rPr>
        <w:t>.</w:t>
      </w:r>
      <w:r w:rsidR="00477008">
        <w:rPr>
          <w:szCs w:val="21"/>
          <w:lang w:val="en-US"/>
        </w:rPr>
        <w:t xml:space="preserve">  </w:t>
      </w:r>
      <w:r w:rsidR="00163DFD">
        <w:rPr>
          <w:szCs w:val="21"/>
          <w:lang w:val="en-US"/>
        </w:rPr>
        <w:t>W</w:t>
      </w:r>
      <w:r>
        <w:rPr>
          <w:szCs w:val="21"/>
          <w:lang w:val="en-US"/>
        </w:rPr>
        <w:t xml:space="preserve">e are enhancing our online and </w:t>
      </w:r>
      <w:r w:rsidRPr="0007664D">
        <w:rPr>
          <w:szCs w:val="21"/>
          <w:lang w:val="en-US"/>
        </w:rPr>
        <w:t>multimedia presence</w:t>
      </w:r>
      <w:r w:rsidRPr="00AE503A">
        <w:rPr>
          <w:szCs w:val="21"/>
          <w:lang w:val="en-US"/>
        </w:rPr>
        <w:t xml:space="preserve"> to deliver high quality infor</w:t>
      </w:r>
      <w:r>
        <w:rPr>
          <w:szCs w:val="21"/>
          <w:lang w:val="en-US"/>
        </w:rPr>
        <w:t>mation to the public through our</w:t>
      </w:r>
      <w:r w:rsidRPr="00AE503A">
        <w:rPr>
          <w:szCs w:val="21"/>
          <w:lang w:val="en-US"/>
        </w:rPr>
        <w:t xml:space="preserve"> Australian and overseas mission websites.</w:t>
      </w:r>
    </w:p>
    <w:p w:rsidR="00291F17" w:rsidRDefault="00291F17" w:rsidP="00137BDC">
      <w:pPr>
        <w:pStyle w:val="Heading3"/>
        <w:spacing w:before="240"/>
      </w:pPr>
      <w:r>
        <w:t>Major operational activities</w:t>
      </w:r>
    </w:p>
    <w:p w:rsidR="00291F17" w:rsidRPr="00ED56D9" w:rsidRDefault="00291F17" w:rsidP="00BF77B2">
      <w:pPr>
        <w:pStyle w:val="BodyText"/>
        <w:spacing w:line="276" w:lineRule="auto"/>
        <w:rPr>
          <w:szCs w:val="21"/>
        </w:rPr>
      </w:pPr>
      <w:r w:rsidRPr="00F722CF">
        <w:rPr>
          <w:szCs w:val="21"/>
        </w:rPr>
        <w:t>The department will assist the Government to meet its foreign, trade and investment, development and international security policy priorities over 20</w:t>
      </w:r>
      <w:r>
        <w:rPr>
          <w:szCs w:val="21"/>
        </w:rPr>
        <w:t xml:space="preserve">15-16 and forward years by </w:t>
      </w:r>
      <w:r w:rsidRPr="00F722CF">
        <w:rPr>
          <w:szCs w:val="21"/>
        </w:rPr>
        <w:t>developing and implementing programs and projects to enhance international awareness and understanding of Australia and Australian policies to advance our national interests</w:t>
      </w:r>
      <w:r w:rsidR="00167F1D">
        <w:rPr>
          <w:szCs w:val="21"/>
        </w:rPr>
        <w:t>.</w:t>
      </w:r>
      <w:r w:rsidR="00477008">
        <w:rPr>
          <w:szCs w:val="21"/>
        </w:rPr>
        <w:t xml:space="preserve">  </w:t>
      </w:r>
      <w:r w:rsidRPr="00926AF4">
        <w:t>Major activities include:</w:t>
      </w:r>
    </w:p>
    <w:p w:rsidR="00291F17" w:rsidRPr="000A7F98" w:rsidRDefault="00EB1A89" w:rsidP="00BF77B2">
      <w:pPr>
        <w:pStyle w:val="ListBullet"/>
        <w:spacing w:line="276" w:lineRule="auto"/>
      </w:pPr>
      <w:r>
        <w:rPr>
          <w:szCs w:val="21"/>
        </w:rPr>
        <w:t>m</w:t>
      </w:r>
      <w:r>
        <w:rPr>
          <w:szCs w:val="21"/>
          <w:lang w:val="en-US"/>
        </w:rPr>
        <w:t>anaging</w:t>
      </w:r>
      <w:r w:rsidR="00291F17" w:rsidRPr="000A7F98">
        <w:rPr>
          <w:szCs w:val="21"/>
          <w:lang w:val="en-US"/>
        </w:rPr>
        <w:t xml:space="preserve"> queries from d</w:t>
      </w:r>
      <w:r w:rsidR="00291F17">
        <w:rPr>
          <w:szCs w:val="21"/>
          <w:lang w:val="en-US"/>
        </w:rPr>
        <w:t>omestic and international media</w:t>
      </w:r>
      <w:r w:rsidR="00291F17" w:rsidRPr="008728AD">
        <w:rPr>
          <w:szCs w:val="21"/>
          <w:lang w:val="en-GB"/>
        </w:rPr>
        <w:t xml:space="preserve"> organisations</w:t>
      </w:r>
      <w:r w:rsidR="00291F17">
        <w:rPr>
          <w:szCs w:val="21"/>
          <w:lang w:val="en-US"/>
        </w:rPr>
        <w:t xml:space="preserve"> </w:t>
      </w:r>
      <w:r w:rsidR="00291F17" w:rsidRPr="000A7F98">
        <w:rPr>
          <w:szCs w:val="21"/>
          <w:lang w:val="en-US"/>
        </w:rPr>
        <w:t>in addition to foreign media queries responded to b</w:t>
      </w:r>
      <w:r>
        <w:rPr>
          <w:szCs w:val="21"/>
          <w:lang w:val="en-US"/>
        </w:rPr>
        <w:t>y Australian missions overseas</w:t>
      </w:r>
      <w:r w:rsidR="00163DFD">
        <w:rPr>
          <w:szCs w:val="21"/>
          <w:lang w:val="en-US"/>
        </w:rPr>
        <w:t>;</w:t>
      </w:r>
    </w:p>
    <w:p w:rsidR="00291F17" w:rsidRPr="000A7F98" w:rsidRDefault="00EB1A89" w:rsidP="00BF77B2">
      <w:pPr>
        <w:pStyle w:val="ListBullet"/>
        <w:spacing w:line="276" w:lineRule="auto"/>
      </w:pPr>
      <w:r>
        <w:rPr>
          <w:szCs w:val="21"/>
        </w:rPr>
        <w:t>p</w:t>
      </w:r>
      <w:r>
        <w:rPr>
          <w:szCs w:val="21"/>
          <w:lang w:val="en-US"/>
        </w:rPr>
        <w:t>roviding</w:t>
      </w:r>
      <w:r w:rsidR="00291F17" w:rsidRPr="000A7F98">
        <w:rPr>
          <w:szCs w:val="21"/>
          <w:lang w:val="en-US"/>
        </w:rPr>
        <w:t xml:space="preserve"> on-the-ground assistance to Australian media covering the Gove</w:t>
      </w:r>
      <w:r w:rsidR="007C319D">
        <w:rPr>
          <w:szCs w:val="21"/>
          <w:lang w:val="en-US"/>
        </w:rPr>
        <w:t xml:space="preserve">rnment’s </w:t>
      </w:r>
      <w:r w:rsidR="00291F17" w:rsidRPr="000A7F98">
        <w:rPr>
          <w:szCs w:val="21"/>
          <w:lang w:val="en-US"/>
        </w:rPr>
        <w:t>respons</w:t>
      </w:r>
      <w:r w:rsidR="007C319D">
        <w:rPr>
          <w:szCs w:val="21"/>
          <w:lang w:val="en-US"/>
        </w:rPr>
        <w:t xml:space="preserve">e to </w:t>
      </w:r>
      <w:r w:rsidR="00291F17">
        <w:rPr>
          <w:szCs w:val="21"/>
          <w:lang w:val="en-US"/>
        </w:rPr>
        <w:t>disasters overseas</w:t>
      </w:r>
      <w:r w:rsidR="00163DFD">
        <w:rPr>
          <w:szCs w:val="21"/>
          <w:lang w:val="en-US"/>
        </w:rPr>
        <w:t>;</w:t>
      </w:r>
    </w:p>
    <w:p w:rsidR="00291F17" w:rsidRPr="000A7F98" w:rsidRDefault="00EB1A89" w:rsidP="00BF77B2">
      <w:pPr>
        <w:pStyle w:val="ListBullet"/>
        <w:spacing w:line="276" w:lineRule="auto"/>
      </w:pPr>
      <w:r>
        <w:rPr>
          <w:szCs w:val="21"/>
        </w:rPr>
        <w:t>m</w:t>
      </w:r>
      <w:r>
        <w:rPr>
          <w:szCs w:val="21"/>
          <w:lang w:val="en-US"/>
        </w:rPr>
        <w:t>anaging</w:t>
      </w:r>
      <w:r w:rsidR="00291F17" w:rsidRPr="000A7F98">
        <w:rPr>
          <w:szCs w:val="21"/>
          <w:lang w:val="en-US"/>
        </w:rPr>
        <w:t xml:space="preserve"> media arrangements for </w:t>
      </w:r>
      <w:r w:rsidR="00163DFD">
        <w:rPr>
          <w:szCs w:val="21"/>
          <w:lang w:val="en-US"/>
        </w:rPr>
        <w:t>m</w:t>
      </w:r>
      <w:r w:rsidR="00291F17">
        <w:rPr>
          <w:szCs w:val="21"/>
          <w:lang w:val="en-US"/>
        </w:rPr>
        <w:t xml:space="preserve">inisterial </w:t>
      </w:r>
      <w:r w:rsidR="00291F17" w:rsidRPr="000A7F98">
        <w:rPr>
          <w:szCs w:val="21"/>
          <w:lang w:val="en-US"/>
        </w:rPr>
        <w:t>visits</w:t>
      </w:r>
      <w:r w:rsidR="00291F17">
        <w:rPr>
          <w:szCs w:val="21"/>
          <w:lang w:val="en-US"/>
        </w:rPr>
        <w:t xml:space="preserve"> overseas, and </w:t>
      </w:r>
      <w:r>
        <w:rPr>
          <w:szCs w:val="21"/>
          <w:lang w:val="en-US"/>
        </w:rPr>
        <w:t>preparing</w:t>
      </w:r>
      <w:r w:rsidR="00291F17" w:rsidRPr="000A7F98">
        <w:rPr>
          <w:szCs w:val="21"/>
          <w:lang w:val="en-US"/>
        </w:rPr>
        <w:t xml:space="preserve"> media releases and public statements for the </w:t>
      </w:r>
      <w:r w:rsidR="0086298F">
        <w:rPr>
          <w:szCs w:val="21"/>
          <w:lang w:val="en-US"/>
        </w:rPr>
        <w:t>d</w:t>
      </w:r>
      <w:r w:rsidR="00291F17" w:rsidRPr="000A7F98">
        <w:rPr>
          <w:szCs w:val="21"/>
          <w:lang w:val="en-US"/>
        </w:rPr>
        <w:t xml:space="preserve">epartment, </w:t>
      </w:r>
      <w:r w:rsidR="0086298F">
        <w:rPr>
          <w:szCs w:val="21"/>
          <w:lang w:val="en-US"/>
        </w:rPr>
        <w:t>p</w:t>
      </w:r>
      <w:r w:rsidR="00291F17" w:rsidRPr="000A7F98">
        <w:rPr>
          <w:szCs w:val="21"/>
          <w:lang w:val="en-US"/>
        </w:rPr>
        <w:t xml:space="preserve">ortfolio </w:t>
      </w:r>
      <w:r w:rsidR="0086298F">
        <w:rPr>
          <w:szCs w:val="21"/>
          <w:lang w:val="en-US"/>
        </w:rPr>
        <w:t>m</w:t>
      </w:r>
      <w:r w:rsidR="00291F17" w:rsidRPr="000A7F98">
        <w:rPr>
          <w:szCs w:val="21"/>
          <w:lang w:val="en-US"/>
        </w:rPr>
        <w:t>inisters</w:t>
      </w:r>
      <w:r>
        <w:rPr>
          <w:szCs w:val="21"/>
          <w:lang w:val="en-US"/>
        </w:rPr>
        <w:t xml:space="preserve"> and </w:t>
      </w:r>
      <w:r w:rsidR="0086298F">
        <w:rPr>
          <w:szCs w:val="21"/>
          <w:lang w:val="en-US"/>
        </w:rPr>
        <w:t>p</w:t>
      </w:r>
      <w:r>
        <w:rPr>
          <w:szCs w:val="21"/>
          <w:lang w:val="en-US"/>
        </w:rPr>
        <w:t xml:space="preserve">arliamentary </w:t>
      </w:r>
      <w:r w:rsidR="0086298F">
        <w:rPr>
          <w:szCs w:val="21"/>
          <w:lang w:val="en-US"/>
        </w:rPr>
        <w:t>s</w:t>
      </w:r>
      <w:r>
        <w:rPr>
          <w:szCs w:val="21"/>
          <w:lang w:val="en-US"/>
        </w:rPr>
        <w:t>ecretaries</w:t>
      </w:r>
      <w:r w:rsidR="00163DFD">
        <w:rPr>
          <w:szCs w:val="21"/>
          <w:lang w:val="en-US"/>
        </w:rPr>
        <w:t>;</w:t>
      </w:r>
    </w:p>
    <w:p w:rsidR="00291F17" w:rsidRPr="000A7F98" w:rsidRDefault="00EB1A89" w:rsidP="00BF77B2">
      <w:pPr>
        <w:pStyle w:val="ListBullet"/>
        <w:spacing w:line="276" w:lineRule="auto"/>
      </w:pPr>
      <w:r>
        <w:rPr>
          <w:szCs w:val="21"/>
        </w:rPr>
        <w:t>d</w:t>
      </w:r>
      <w:r w:rsidR="00291F17">
        <w:rPr>
          <w:szCs w:val="21"/>
          <w:lang w:val="en-US"/>
        </w:rPr>
        <w:t>eepen</w:t>
      </w:r>
      <w:r>
        <w:rPr>
          <w:szCs w:val="21"/>
          <w:lang w:val="en-US"/>
        </w:rPr>
        <w:t>ing</w:t>
      </w:r>
      <w:r w:rsidR="00291F17" w:rsidRPr="000A7F98">
        <w:rPr>
          <w:szCs w:val="21"/>
          <w:lang w:val="en-US"/>
        </w:rPr>
        <w:t xml:space="preserve"> the department’s</w:t>
      </w:r>
      <w:r w:rsidR="00291F17">
        <w:rPr>
          <w:szCs w:val="21"/>
          <w:lang w:val="en-US"/>
        </w:rPr>
        <w:t xml:space="preserve"> digital presence by launching</w:t>
      </w:r>
      <w:r w:rsidR="00291F17" w:rsidRPr="000A7F98">
        <w:rPr>
          <w:szCs w:val="21"/>
          <w:lang w:val="en-US"/>
        </w:rPr>
        <w:t xml:space="preserve"> revamped website</w:t>
      </w:r>
      <w:r w:rsidR="00291F17">
        <w:rPr>
          <w:szCs w:val="21"/>
          <w:lang w:val="en-US"/>
        </w:rPr>
        <w:t>s for overseas missions</w:t>
      </w:r>
      <w:r w:rsidR="00291F17" w:rsidRPr="000A7F98">
        <w:rPr>
          <w:szCs w:val="21"/>
          <w:lang w:val="en-US"/>
        </w:rPr>
        <w:t xml:space="preserve"> and </w:t>
      </w:r>
      <w:r w:rsidR="00291F17">
        <w:rPr>
          <w:szCs w:val="21"/>
          <w:lang w:val="en-US"/>
        </w:rPr>
        <w:t xml:space="preserve">continuing to increase our social media presence </w:t>
      </w:r>
      <w:r w:rsidR="00291F17" w:rsidRPr="000A7F98">
        <w:rPr>
          <w:szCs w:val="21"/>
          <w:lang w:val="en-US"/>
        </w:rPr>
        <w:t xml:space="preserve">to reach and </w:t>
      </w:r>
      <w:r>
        <w:rPr>
          <w:szCs w:val="21"/>
          <w:lang w:val="en-US"/>
        </w:rPr>
        <w:t>engage with different audiences</w:t>
      </w:r>
      <w:r w:rsidR="00163DFD">
        <w:rPr>
          <w:szCs w:val="21"/>
          <w:lang w:val="en-US"/>
        </w:rPr>
        <w:t>; and</w:t>
      </w:r>
    </w:p>
    <w:p w:rsidR="00291F17" w:rsidRPr="000165D6" w:rsidRDefault="00EB1A89" w:rsidP="00BF77B2">
      <w:pPr>
        <w:pStyle w:val="ListBullet"/>
        <w:spacing w:line="276" w:lineRule="auto"/>
      </w:pPr>
      <w:r>
        <w:t>developing a</w:t>
      </w:r>
      <w:r w:rsidRPr="00AF7AEF">
        <w:t xml:space="preserve"> digital media strategy </w:t>
      </w:r>
      <w:r w:rsidR="00291F17" w:rsidRPr="00AF7AEF">
        <w:t>to support the department’s expanding social media presence and build</w:t>
      </w:r>
      <w:r>
        <w:t>ing</w:t>
      </w:r>
      <w:r w:rsidR="00291F17" w:rsidRPr="00AF7AEF">
        <w:t xml:space="preserve"> our digital capabilities.</w:t>
      </w:r>
    </w:p>
    <w:p w:rsidR="00291F17" w:rsidRDefault="00291F17" w:rsidP="00137BDC">
      <w:pPr>
        <w:pStyle w:val="Heading3"/>
        <w:spacing w:before="240"/>
      </w:pPr>
      <w:r>
        <w:t>Key performance measures and assessment</w:t>
      </w:r>
    </w:p>
    <w:tbl>
      <w:tblPr>
        <w:tblStyle w:val="MediumGrid3-Accent1"/>
        <w:tblW w:w="8613" w:type="dxa"/>
        <w:tblLayout w:type="fixed"/>
        <w:tblLook w:val="04A0" w:firstRow="1" w:lastRow="0" w:firstColumn="1" w:lastColumn="0" w:noHBand="0" w:noVBand="1"/>
      </w:tblPr>
      <w:tblGrid>
        <w:gridCol w:w="1526"/>
        <w:gridCol w:w="5953"/>
        <w:gridCol w:w="1134"/>
      </w:tblGrid>
      <w:tr w:rsidR="00BA2E35" w:rsidRPr="002C113F" w:rsidTr="009D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A2E35" w:rsidRPr="0050743C" w:rsidRDefault="00BA2E35" w:rsidP="00167F1D">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BA2E35" w:rsidRPr="0050743C" w:rsidRDefault="00BA2E35"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BA2E35" w:rsidRPr="0050743C" w:rsidRDefault="00BA2E35"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BA2E35" w:rsidRPr="002C113F" w:rsidTr="009D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BA2E35" w:rsidRPr="00B3196A" w:rsidRDefault="00BA2E35" w:rsidP="00167F1D">
            <w:pPr>
              <w:rPr>
                <w:rFonts w:ascii="Franklin Gothic Book" w:hAnsi="Franklin Gothic Book"/>
                <w:i/>
                <w:sz w:val="21"/>
              </w:rPr>
            </w:pPr>
            <w:r>
              <w:rPr>
                <w:rFonts w:ascii="Franklin Gothic Book" w:hAnsi="Franklin Gothic Book"/>
                <w:i/>
                <w:sz w:val="21"/>
              </w:rPr>
              <w:t>Case studies</w:t>
            </w:r>
          </w:p>
        </w:tc>
        <w:tc>
          <w:tcPr>
            <w:tcW w:w="5953" w:type="dxa"/>
          </w:tcPr>
          <w:p w:rsidR="00BA2E35" w:rsidRDefault="00BA2E35" w:rsidP="00167F1D">
            <w:pPr>
              <w:pStyle w:val="ListBullet"/>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t>The department will use case studies to highlight and assess:</w:t>
            </w:r>
          </w:p>
          <w:p w:rsidR="00557D7C" w:rsidRDefault="00557D7C" w:rsidP="00167F1D">
            <w:pPr>
              <w:pStyle w:val="ListBullet"/>
              <w:cnfStyle w:val="000000100000" w:firstRow="0" w:lastRow="0" w:firstColumn="0" w:lastColumn="0" w:oddVBand="0" w:evenVBand="0" w:oddHBand="1" w:evenHBand="0" w:firstRowFirstColumn="0" w:firstRowLastColumn="0" w:lastRowFirstColumn="0" w:lastRowLastColumn="0"/>
            </w:pPr>
            <w:r>
              <w:t xml:space="preserve">the department’s ability to engage media in communicating key messages </w:t>
            </w:r>
          </w:p>
          <w:p w:rsidR="00BA2E35" w:rsidRDefault="00557D7C" w:rsidP="00167F1D">
            <w:pPr>
              <w:pStyle w:val="ListBullet"/>
              <w:cnfStyle w:val="000000100000" w:firstRow="0" w:lastRow="0" w:firstColumn="0" w:lastColumn="0" w:oddVBand="0" w:evenVBand="0" w:oddHBand="1" w:evenHBand="0" w:firstRowFirstColumn="0" w:firstRowLastColumn="0" w:lastRowFirstColumn="0" w:lastRowLastColumn="0"/>
            </w:pPr>
            <w:r>
              <w:t>the department’s ability to inform and influence media reporting on Australia</w:t>
            </w:r>
          </w:p>
          <w:p w:rsidR="00BA2E35" w:rsidRPr="00435125" w:rsidRDefault="007B2A68" w:rsidP="007B2A68">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557D7C">
              <w:t>timel</w:t>
            </w:r>
            <w:r>
              <w:t>iness</w:t>
            </w:r>
            <w:r w:rsidR="00557D7C">
              <w:t xml:space="preserve">, </w:t>
            </w:r>
            <w:r>
              <w:t>quality</w:t>
            </w:r>
            <w:r w:rsidR="00557D7C">
              <w:t xml:space="preserve"> and professional</w:t>
            </w:r>
            <w:r>
              <w:t>ism</w:t>
            </w:r>
            <w:r w:rsidR="00557D7C">
              <w:t xml:space="preserve"> of media enquiries</w:t>
            </w:r>
            <w:r>
              <w:t xml:space="preserve"> management</w:t>
            </w:r>
            <w:r w:rsidR="00557D7C">
              <w:t xml:space="preserve"> from domestic and international media</w:t>
            </w:r>
          </w:p>
        </w:tc>
        <w:tc>
          <w:tcPr>
            <w:tcW w:w="1134" w:type="dxa"/>
          </w:tcPr>
          <w:p w:rsidR="00BA2E35" w:rsidRPr="00AD27D1" w:rsidRDefault="00BA2E35" w:rsidP="00167F1D">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r w:rsidR="00BA2E35" w:rsidRPr="002C113F" w:rsidTr="009D4C1C">
        <w:tc>
          <w:tcPr>
            <w:cnfStyle w:val="001000000000" w:firstRow="0" w:lastRow="0" w:firstColumn="1" w:lastColumn="0" w:oddVBand="0" w:evenVBand="0" w:oddHBand="0" w:evenHBand="0" w:firstRowFirstColumn="0" w:firstRowLastColumn="0" w:lastRowFirstColumn="0" w:lastRowLastColumn="0"/>
            <w:tcW w:w="1526" w:type="dxa"/>
          </w:tcPr>
          <w:p w:rsidR="00BA2E35" w:rsidRPr="00B3196A" w:rsidRDefault="00557D7C" w:rsidP="00167F1D">
            <w:pPr>
              <w:rPr>
                <w:rFonts w:ascii="Franklin Gothic Book" w:hAnsi="Franklin Gothic Book"/>
                <w:i/>
                <w:sz w:val="21"/>
              </w:rPr>
            </w:pPr>
            <w:r>
              <w:rPr>
                <w:rFonts w:ascii="Franklin Gothic Book" w:hAnsi="Franklin Gothic Book"/>
                <w:i/>
                <w:sz w:val="21"/>
              </w:rPr>
              <w:t>Review</w:t>
            </w:r>
          </w:p>
        </w:tc>
        <w:tc>
          <w:tcPr>
            <w:tcW w:w="5953" w:type="dxa"/>
          </w:tcPr>
          <w:p w:rsidR="00BA2E35" w:rsidRDefault="00557D7C" w:rsidP="00167F1D">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The department will review:</w:t>
            </w:r>
          </w:p>
          <w:p w:rsidR="00557D7C" w:rsidRDefault="007B2A68" w:rsidP="00557D7C">
            <w:pPr>
              <w:pStyle w:val="ListBullet"/>
              <w:cnfStyle w:val="000000000000" w:firstRow="0" w:lastRow="0" w:firstColumn="0" w:lastColumn="0" w:oddVBand="0" w:evenVBand="0" w:oddHBand="0" w:evenHBand="0" w:firstRowFirstColumn="0" w:firstRowLastColumn="0" w:lastRowFirstColumn="0" w:lastRowLastColumn="0"/>
            </w:pPr>
            <w:r>
              <w:t xml:space="preserve">the </w:t>
            </w:r>
            <w:r w:rsidR="00557D7C">
              <w:t>quantity and quality of</w:t>
            </w:r>
            <w:r w:rsidR="00477008">
              <w:t xml:space="preserve"> responses to</w:t>
            </w:r>
            <w:r w:rsidR="00557D7C">
              <w:t xml:space="preserve"> media enquiries handled by the department</w:t>
            </w:r>
          </w:p>
          <w:p w:rsidR="00557D7C" w:rsidRPr="00B3196A" w:rsidRDefault="007B2A68" w:rsidP="00557D7C">
            <w:pPr>
              <w:pStyle w:val="ListBullet"/>
              <w:cnfStyle w:val="000000000000" w:firstRow="0" w:lastRow="0" w:firstColumn="0" w:lastColumn="0" w:oddVBand="0" w:evenVBand="0" w:oddHBand="0" w:evenHBand="0" w:firstRowFirstColumn="0" w:firstRowLastColumn="0" w:lastRowFirstColumn="0" w:lastRowLastColumn="0"/>
            </w:pPr>
            <w:r>
              <w:t xml:space="preserve">the </w:t>
            </w:r>
            <w:r w:rsidR="00557D7C">
              <w:t>quantity of visits to the departmental website and embassy websites, and of departmental social media accounts and ‘followers’</w:t>
            </w:r>
          </w:p>
        </w:tc>
        <w:tc>
          <w:tcPr>
            <w:tcW w:w="1134" w:type="dxa"/>
          </w:tcPr>
          <w:p w:rsidR="00BA2E35" w:rsidRPr="00AD27D1" w:rsidRDefault="00BA2E35" w:rsidP="00167F1D">
            <w:pPr>
              <w:spacing w:line="276" w:lineRule="auto"/>
              <w:cnfStyle w:val="000000000000" w:firstRow="0" w:lastRow="0" w:firstColumn="0" w:lastColumn="0" w:oddVBand="0" w:evenVBand="0" w:oddHBand="0"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bl>
    <w:p w:rsidR="00557D7C" w:rsidRDefault="00557D7C" w:rsidP="005541FF">
      <w:pPr>
        <w:pStyle w:val="BodyText"/>
        <w:sectPr w:rsidR="00557D7C" w:rsidSect="00851F21">
          <w:pgSz w:w="11907" w:h="16840" w:code="9"/>
          <w:pgMar w:top="794" w:right="1701" w:bottom="794" w:left="1701" w:header="426" w:footer="567" w:gutter="0"/>
          <w:cols w:space="720"/>
          <w:docGrid w:linePitch="326"/>
        </w:sectPr>
      </w:pPr>
    </w:p>
    <w:p w:rsidR="0004417B" w:rsidRPr="00A610A6" w:rsidRDefault="0004417B" w:rsidP="00290E4F">
      <w:pPr>
        <w:pStyle w:val="Heading2"/>
        <w:spacing w:before="0" w:after="240"/>
        <w:rPr>
          <w:sz w:val="32"/>
          <w:szCs w:val="32"/>
        </w:rPr>
      </w:pPr>
      <w:r w:rsidRPr="00A610A6">
        <w:rPr>
          <w:sz w:val="32"/>
          <w:szCs w:val="32"/>
        </w:rPr>
        <w:t>Securing communicati</w:t>
      </w:r>
      <w:r w:rsidR="00416C57">
        <w:rPr>
          <w:sz w:val="32"/>
          <w:szCs w:val="32"/>
        </w:rPr>
        <w:t>ons and global property assets</w:t>
      </w:r>
    </w:p>
    <w:p w:rsidR="00926AF4" w:rsidRPr="00926AF4" w:rsidRDefault="0086298F" w:rsidP="00BF77B2">
      <w:pPr>
        <w:pStyle w:val="BodyText"/>
        <w:spacing w:line="276" w:lineRule="auto"/>
      </w:pPr>
      <w:r>
        <w:t>Underpinning our work is a commitment</w:t>
      </w:r>
      <w:r w:rsidR="00926AF4" w:rsidRPr="000D57DD">
        <w:t xml:space="preserve"> to keep government communications secure, Australia’s global property assets in good order, and ensuring the security and health of our staff</w:t>
      </w:r>
      <w:r w:rsidR="00167F1D">
        <w:t>.</w:t>
      </w:r>
      <w:r w:rsidR="00477008">
        <w:t xml:space="preserve">   </w:t>
      </w:r>
    </w:p>
    <w:p w:rsidR="00926AF4" w:rsidRPr="00926AF4" w:rsidRDefault="00926AF4" w:rsidP="00BF77B2">
      <w:pPr>
        <w:pStyle w:val="BodyText"/>
        <w:spacing w:line="276" w:lineRule="auto"/>
      </w:pPr>
      <w:r w:rsidRPr="00926AF4">
        <w:t xml:space="preserve">This commitment </w:t>
      </w:r>
      <w:r w:rsidR="0086298F">
        <w:t>involves</w:t>
      </w:r>
      <w:r w:rsidRPr="00926AF4">
        <w:t xml:space="preserve"> up-to-date threat, risk management capability and mitigation measures that are commensurate with the fluid domestic and international security environments</w:t>
      </w:r>
      <w:r w:rsidR="00167F1D">
        <w:t>.</w:t>
      </w:r>
      <w:r w:rsidR="00477008">
        <w:t xml:space="preserve">  </w:t>
      </w:r>
    </w:p>
    <w:p w:rsidR="00070063" w:rsidRDefault="00070063" w:rsidP="00137BDC">
      <w:pPr>
        <w:pStyle w:val="Heading3"/>
        <w:spacing w:before="240"/>
      </w:pPr>
      <w:r>
        <w:t>Major operational activities</w:t>
      </w:r>
    </w:p>
    <w:p w:rsidR="00926AF4" w:rsidRPr="00926AF4" w:rsidRDefault="00926AF4" w:rsidP="00BF77B2">
      <w:pPr>
        <w:pStyle w:val="ListBullet"/>
        <w:spacing w:line="276" w:lineRule="auto"/>
      </w:pPr>
      <w:r w:rsidRPr="00926AF4">
        <w:t>maintaining and strengthening physical security for chanceries, residences and other premises in accordance with the department’s physical and infrastructure secu</w:t>
      </w:r>
      <w:r>
        <w:t>rity standards and guidelines</w:t>
      </w:r>
      <w:r w:rsidR="0086298F">
        <w:t>;</w:t>
      </w:r>
    </w:p>
    <w:p w:rsidR="00926AF4" w:rsidRPr="00926AF4" w:rsidRDefault="0086298F" w:rsidP="00BF77B2">
      <w:pPr>
        <w:pStyle w:val="ListBullet"/>
        <w:spacing w:line="276" w:lineRule="auto"/>
      </w:pPr>
      <w:r>
        <w:t>implementing</w:t>
      </w:r>
      <w:r w:rsidRPr="00926AF4">
        <w:t xml:space="preserve"> </w:t>
      </w:r>
      <w:r w:rsidR="00926AF4" w:rsidRPr="00926AF4">
        <w:t>an International Communications Network (ICN) program to better protect information</w:t>
      </w:r>
      <w:r>
        <w:t>;</w:t>
      </w:r>
    </w:p>
    <w:p w:rsidR="00926AF4" w:rsidRPr="00926AF4" w:rsidRDefault="00926AF4" w:rsidP="00BF77B2">
      <w:pPr>
        <w:pStyle w:val="ListBullet"/>
        <w:spacing w:line="276" w:lineRule="auto"/>
      </w:pPr>
      <w:r w:rsidRPr="00926AF4">
        <w:t>applying robust day-to-day operational security measures and procedures, together with techni</w:t>
      </w:r>
      <w:r>
        <w:t>cal countermeasures</w:t>
      </w:r>
      <w:r w:rsidR="0086298F">
        <w:t>;</w:t>
      </w:r>
    </w:p>
    <w:p w:rsidR="00926AF4" w:rsidRPr="00926AF4" w:rsidRDefault="00926AF4" w:rsidP="00BF77B2">
      <w:pPr>
        <w:pStyle w:val="ListBullet"/>
        <w:spacing w:line="276" w:lineRule="auto"/>
      </w:pPr>
      <w:r w:rsidRPr="00926AF4">
        <w:t>managing personnel security, including through rigoro</w:t>
      </w:r>
      <w:r>
        <w:t>us security clearance vetting</w:t>
      </w:r>
      <w:r w:rsidR="0086298F">
        <w:t>;</w:t>
      </w:r>
    </w:p>
    <w:p w:rsidR="00926AF4" w:rsidRPr="00926AF4" w:rsidRDefault="00926AF4" w:rsidP="00BF77B2">
      <w:pPr>
        <w:pStyle w:val="ListBullet"/>
        <w:spacing w:line="276" w:lineRule="auto"/>
      </w:pPr>
      <w:r w:rsidRPr="00926AF4">
        <w:t>delivering</w:t>
      </w:r>
      <w:r>
        <w:t xml:space="preserve"> targeted security training</w:t>
      </w:r>
      <w:r w:rsidR="0086298F">
        <w:t>; and</w:t>
      </w:r>
    </w:p>
    <w:p w:rsidR="00926AF4" w:rsidRPr="00926AF4" w:rsidRDefault="00926AF4" w:rsidP="00BF77B2">
      <w:pPr>
        <w:pStyle w:val="ListBullet"/>
        <w:spacing w:line="276" w:lineRule="auto"/>
      </w:pPr>
      <w:r w:rsidRPr="00926AF4">
        <w:t>engendering a strong culture of security awareness and vigilance.</w:t>
      </w:r>
    </w:p>
    <w:p w:rsidR="00070063" w:rsidRDefault="007A420D" w:rsidP="00137BDC">
      <w:pPr>
        <w:pStyle w:val="Heading3"/>
        <w:spacing w:before="240"/>
      </w:pPr>
      <w:r>
        <w:t>Key performance measures and assessment</w:t>
      </w:r>
    </w:p>
    <w:tbl>
      <w:tblPr>
        <w:tblStyle w:val="MediumGrid3-Accent1"/>
        <w:tblW w:w="8613" w:type="dxa"/>
        <w:tblLayout w:type="fixed"/>
        <w:tblLook w:val="04A0" w:firstRow="1" w:lastRow="0" w:firstColumn="1" w:lastColumn="0" w:noHBand="0" w:noVBand="1"/>
      </w:tblPr>
      <w:tblGrid>
        <w:gridCol w:w="1526"/>
        <w:gridCol w:w="5953"/>
        <w:gridCol w:w="1134"/>
      </w:tblGrid>
      <w:tr w:rsidR="00557D7C" w:rsidRPr="002C113F" w:rsidTr="009D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57D7C" w:rsidRPr="0050743C" w:rsidRDefault="00557D7C" w:rsidP="00167F1D">
            <w:pPr>
              <w:spacing w:before="120" w:after="120"/>
              <w:rPr>
                <w:rFonts w:ascii="Franklin Gothic Book" w:hAnsi="Franklin Gothic Book"/>
                <w:sz w:val="21"/>
              </w:rPr>
            </w:pPr>
            <w:r>
              <w:rPr>
                <w:rFonts w:ascii="Franklin Gothic Book" w:hAnsi="Franklin Gothic Book"/>
                <w:sz w:val="21"/>
              </w:rPr>
              <w:t>Measurement</w:t>
            </w:r>
          </w:p>
        </w:tc>
        <w:tc>
          <w:tcPr>
            <w:tcW w:w="5953" w:type="dxa"/>
          </w:tcPr>
          <w:p w:rsidR="00557D7C" w:rsidRPr="0050743C" w:rsidRDefault="00557D7C"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Assessment</w:t>
            </w:r>
          </w:p>
        </w:tc>
        <w:tc>
          <w:tcPr>
            <w:tcW w:w="1134" w:type="dxa"/>
          </w:tcPr>
          <w:p w:rsidR="00557D7C" w:rsidRPr="0050743C" w:rsidRDefault="00557D7C" w:rsidP="00167F1D">
            <w:pPr>
              <w:spacing w:before="120" w:after="120"/>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1"/>
              </w:rPr>
            </w:pPr>
            <w:r w:rsidRPr="0050743C">
              <w:rPr>
                <w:rFonts w:ascii="Franklin Gothic Book" w:hAnsi="Franklin Gothic Book"/>
                <w:sz w:val="21"/>
              </w:rPr>
              <w:t>Period</w:t>
            </w:r>
          </w:p>
        </w:tc>
      </w:tr>
      <w:tr w:rsidR="00557D7C" w:rsidRPr="002C113F" w:rsidTr="009D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557D7C" w:rsidRPr="00B3196A" w:rsidRDefault="00557D7C" w:rsidP="00167F1D">
            <w:pPr>
              <w:rPr>
                <w:rFonts w:ascii="Franklin Gothic Book" w:hAnsi="Franklin Gothic Book"/>
                <w:i/>
                <w:sz w:val="21"/>
              </w:rPr>
            </w:pPr>
            <w:r>
              <w:rPr>
                <w:rFonts w:ascii="Franklin Gothic Book" w:hAnsi="Franklin Gothic Book"/>
                <w:i/>
                <w:sz w:val="21"/>
              </w:rPr>
              <w:t>Review</w:t>
            </w:r>
          </w:p>
        </w:tc>
        <w:tc>
          <w:tcPr>
            <w:tcW w:w="5953" w:type="dxa"/>
          </w:tcPr>
          <w:p w:rsidR="00557D7C" w:rsidRDefault="00557D7C" w:rsidP="00167F1D">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t>The department will review:</w:t>
            </w:r>
          </w:p>
          <w:p w:rsidR="00557D7C" w:rsidRDefault="009D15A1" w:rsidP="00167F1D">
            <w:pPr>
              <w:pStyle w:val="ListBullet"/>
              <w:cnfStyle w:val="000000100000" w:firstRow="0" w:lastRow="0" w:firstColumn="0" w:lastColumn="0" w:oddVBand="0" w:evenVBand="0" w:oddHBand="1" w:evenHBand="0" w:firstRowFirstColumn="0" w:firstRowLastColumn="0" w:lastRowFirstColumn="0" w:lastRowLastColumn="0"/>
            </w:pPr>
            <w:r>
              <w:t xml:space="preserve">the </w:t>
            </w:r>
            <w:r w:rsidR="00557D7C">
              <w:t xml:space="preserve">quantity of </w:t>
            </w:r>
            <w:r w:rsidR="00557D7C" w:rsidRPr="00926AF4">
              <w:t>security breaches and other evidence of a strong security awareness culture</w:t>
            </w:r>
          </w:p>
          <w:p w:rsidR="00557D7C" w:rsidRDefault="009D15A1" w:rsidP="00167F1D">
            <w:pPr>
              <w:pStyle w:val="ListBullet"/>
              <w:cnfStyle w:val="000000100000" w:firstRow="0" w:lastRow="0" w:firstColumn="0" w:lastColumn="0" w:oddVBand="0" w:evenVBand="0" w:oddHBand="1" w:evenHBand="0" w:firstRowFirstColumn="0" w:firstRowLastColumn="0" w:lastRowFirstColumn="0" w:lastRowLastColumn="0"/>
            </w:pPr>
            <w:r>
              <w:t>the quantity of requests for internal departmental advice on security threats and risks, travel approvals, clearances and security practices</w:t>
            </w:r>
          </w:p>
          <w:p w:rsidR="004D09E8" w:rsidRDefault="004D09E8" w:rsidP="004D09E8">
            <w:pPr>
              <w:pStyle w:val="ListBullet"/>
              <w:tabs>
                <w:tab w:val="left" w:pos="720"/>
              </w:tabs>
              <w:cnfStyle w:val="000000100000" w:firstRow="0" w:lastRow="0" w:firstColumn="0" w:lastColumn="0" w:oddVBand="0" w:evenVBand="0" w:oddHBand="1" w:evenHBand="0" w:firstRowFirstColumn="0" w:firstRowLastColumn="0" w:lastRowFirstColumn="0" w:lastRowLastColumn="0"/>
            </w:pPr>
            <w:r>
              <w:t>the accessibility and reliability of the secure cable network</w:t>
            </w:r>
          </w:p>
          <w:p w:rsidR="009D15A1" w:rsidRDefault="009D15A1" w:rsidP="00167F1D">
            <w:pPr>
              <w:pStyle w:val="ListBullet"/>
              <w:cnfStyle w:val="000000100000" w:firstRow="0" w:lastRow="0" w:firstColumn="0" w:lastColumn="0" w:oddVBand="0" w:evenVBand="0" w:oddHBand="1" w:evenHBand="0" w:firstRowFirstColumn="0" w:firstRowLastColumn="0" w:lastRowFirstColumn="0" w:lastRowLastColumn="0"/>
            </w:pPr>
            <w:r>
              <w:t>the construction and refurbishment of departmental overseas property, completed within agreed timeframes and budgets</w:t>
            </w:r>
          </w:p>
          <w:p w:rsidR="009D15A1" w:rsidRDefault="009D15A1" w:rsidP="00167F1D">
            <w:pPr>
              <w:pStyle w:val="ListBullet"/>
              <w:cnfStyle w:val="000000100000" w:firstRow="0" w:lastRow="0" w:firstColumn="0" w:lastColumn="0" w:oddVBand="0" w:evenVBand="0" w:oddHBand="1" w:evenHBand="0" w:firstRowFirstColumn="0" w:firstRowLastColumn="0" w:lastRowFirstColumn="0" w:lastRowLastColumn="0"/>
            </w:pPr>
            <w:r>
              <w:t>the annual assessment of asset management plans</w:t>
            </w:r>
          </w:p>
          <w:p w:rsidR="009D15A1" w:rsidRPr="00B3196A" w:rsidRDefault="009D15A1" w:rsidP="00167F1D">
            <w:pPr>
              <w:pStyle w:val="ListBullet"/>
              <w:cnfStyle w:val="000000100000" w:firstRow="0" w:lastRow="0" w:firstColumn="0" w:lastColumn="0" w:oddVBand="0" w:evenVBand="0" w:oddHBand="1" w:evenHBand="0" w:firstRowFirstColumn="0" w:firstRowLastColumn="0" w:lastRowFirstColumn="0" w:lastRowLastColumn="0"/>
            </w:pPr>
            <w:r>
              <w:t xml:space="preserve">the satisfaction of the department’s tenants </w:t>
            </w:r>
          </w:p>
        </w:tc>
        <w:tc>
          <w:tcPr>
            <w:tcW w:w="1134" w:type="dxa"/>
          </w:tcPr>
          <w:p w:rsidR="00557D7C" w:rsidRPr="00AD27D1" w:rsidRDefault="00557D7C" w:rsidP="00167F1D">
            <w:pPr>
              <w:spacing w:line="276" w:lineRule="auto"/>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1"/>
              </w:rPr>
            </w:pPr>
            <w:r>
              <w:rPr>
                <w:rFonts w:ascii="Franklin Gothic Book" w:hAnsi="Franklin Gothic Book"/>
                <w:sz w:val="21"/>
              </w:rPr>
              <w:t>Annually</w:t>
            </w:r>
          </w:p>
        </w:tc>
      </w:tr>
    </w:tbl>
    <w:p w:rsidR="0004417B" w:rsidRPr="00F3471F" w:rsidRDefault="00416C57" w:rsidP="00290E4F">
      <w:pPr>
        <w:pStyle w:val="Heading1"/>
        <w:spacing w:before="0" w:after="360" w:line="240" w:lineRule="auto"/>
      </w:pPr>
      <w:r>
        <w:t>Capability</w:t>
      </w:r>
    </w:p>
    <w:p w:rsidR="00926AF4" w:rsidRPr="001562C8" w:rsidRDefault="00926AF4" w:rsidP="00BF77B2">
      <w:pPr>
        <w:pStyle w:val="BodyText"/>
        <w:spacing w:line="276" w:lineRule="auto"/>
      </w:pPr>
      <w:r w:rsidRPr="001562C8">
        <w:t>The department has developed a capability improvement program</w:t>
      </w:r>
      <w:r w:rsidR="00796831">
        <w:t xml:space="preserve"> for the next four years,</w:t>
      </w:r>
      <w:r w:rsidRPr="001562C8">
        <w:t xml:space="preserve"> which aims to make </w:t>
      </w:r>
      <w:r w:rsidR="003D4FDE">
        <w:t>the department</w:t>
      </w:r>
      <w:r w:rsidRPr="001562C8">
        <w:t xml:space="preserve"> a more resilient, flexible, innovative and efficient organisation, responsive to new challenges and to the requirements of the Government and the community</w:t>
      </w:r>
      <w:r w:rsidR="00167F1D">
        <w:t>.</w:t>
      </w:r>
      <w:r w:rsidR="00477008">
        <w:t xml:space="preserve">  </w:t>
      </w:r>
    </w:p>
    <w:p w:rsidR="00926AF4" w:rsidRPr="001562C8" w:rsidRDefault="00926AF4" w:rsidP="00BF77B2">
      <w:pPr>
        <w:pStyle w:val="BodyText"/>
        <w:spacing w:line="276" w:lineRule="auto"/>
      </w:pPr>
      <w:r w:rsidRPr="001562C8">
        <w:t>The program aligns with the objectives of the Strategic Framework 2015-19, notably “enhancing our organisational capability to improve how we work and contribute to government policy-making and the delivery of whole-of-government outcomes”</w:t>
      </w:r>
      <w:r w:rsidR="00167F1D">
        <w:t>.</w:t>
      </w:r>
      <w:r w:rsidR="00477008">
        <w:t xml:space="preserve">  </w:t>
      </w:r>
      <w:r w:rsidRPr="001562C8">
        <w:t xml:space="preserve">The program also supports the </w:t>
      </w:r>
      <w:r w:rsidR="00444B95">
        <w:t>department’s</w:t>
      </w:r>
      <w:r w:rsidRPr="001562C8">
        <w:t xml:space="preserve"> Values Statement</w:t>
      </w:r>
      <w:r w:rsidR="00167F1D">
        <w:t>.</w:t>
      </w:r>
      <w:r w:rsidR="00477008">
        <w:t xml:space="preserve">  </w:t>
      </w:r>
      <w:r w:rsidRPr="001562C8">
        <w:t>The program covers seven work streams:</w:t>
      </w:r>
    </w:p>
    <w:p w:rsidR="00926AF4" w:rsidRPr="001562C8" w:rsidRDefault="00926AF4" w:rsidP="00BF77B2">
      <w:pPr>
        <w:pStyle w:val="ListBullet"/>
        <w:spacing w:line="276" w:lineRule="auto"/>
      </w:pPr>
      <w:r w:rsidRPr="001562C8">
        <w:t>organisational strategy, planning and performance</w:t>
      </w:r>
    </w:p>
    <w:p w:rsidR="00926AF4" w:rsidRPr="001562C8" w:rsidRDefault="00926AF4" w:rsidP="00BF77B2">
      <w:pPr>
        <w:pStyle w:val="ListBullet"/>
        <w:spacing w:line="276" w:lineRule="auto"/>
      </w:pPr>
      <w:r w:rsidRPr="001562C8">
        <w:t>leadership and organisational culture</w:t>
      </w:r>
    </w:p>
    <w:p w:rsidR="00926AF4" w:rsidRPr="001562C8" w:rsidRDefault="00926AF4" w:rsidP="00BF77B2">
      <w:pPr>
        <w:pStyle w:val="ListBullet"/>
        <w:spacing w:line="276" w:lineRule="auto"/>
      </w:pPr>
      <w:r w:rsidRPr="001562C8">
        <w:t>risk and innovation</w:t>
      </w:r>
    </w:p>
    <w:p w:rsidR="00926AF4" w:rsidRPr="001562C8" w:rsidRDefault="00926AF4" w:rsidP="00BF77B2">
      <w:pPr>
        <w:pStyle w:val="ListBullet"/>
        <w:spacing w:line="276" w:lineRule="auto"/>
      </w:pPr>
      <w:r w:rsidRPr="001562C8">
        <w:t>workforce development</w:t>
      </w:r>
    </w:p>
    <w:p w:rsidR="00926AF4" w:rsidRPr="001562C8" w:rsidRDefault="00926AF4" w:rsidP="00BF77B2">
      <w:pPr>
        <w:pStyle w:val="ListBullet"/>
        <w:spacing w:line="276" w:lineRule="auto"/>
      </w:pPr>
      <w:r w:rsidRPr="001562C8">
        <w:t>collaboration and engagement</w:t>
      </w:r>
    </w:p>
    <w:p w:rsidR="00926AF4" w:rsidRPr="001562C8" w:rsidRDefault="00926AF4" w:rsidP="00BF77B2">
      <w:pPr>
        <w:pStyle w:val="ListBullet"/>
        <w:spacing w:line="276" w:lineRule="auto"/>
      </w:pPr>
      <w:r w:rsidRPr="001562C8">
        <w:t>knowledge and information management</w:t>
      </w:r>
    </w:p>
    <w:p w:rsidR="00287623" w:rsidRPr="00EB1A89" w:rsidRDefault="00926AF4" w:rsidP="00BF77B2">
      <w:pPr>
        <w:pStyle w:val="ListBullet"/>
        <w:spacing w:line="276" w:lineRule="auto"/>
      </w:pPr>
      <w:r w:rsidRPr="001562C8">
        <w:t>communi</w:t>
      </w:r>
      <w:r w:rsidR="001562C8">
        <w:t>cations (internal and external).</w:t>
      </w:r>
    </w:p>
    <w:p w:rsidR="00926AF4" w:rsidRPr="00BE0BF6" w:rsidRDefault="00926AF4" w:rsidP="00290E4F">
      <w:pPr>
        <w:pStyle w:val="Heading2"/>
        <w:spacing w:before="0" w:after="240" w:line="276" w:lineRule="auto"/>
        <w:rPr>
          <w:sz w:val="32"/>
          <w:szCs w:val="32"/>
        </w:rPr>
      </w:pPr>
      <w:r w:rsidRPr="00BE0BF6">
        <w:rPr>
          <w:sz w:val="32"/>
          <w:szCs w:val="32"/>
        </w:rPr>
        <w:t>Workforce Planning</w:t>
      </w:r>
      <w:r w:rsidR="00C57E00">
        <w:rPr>
          <w:rStyle w:val="FootnoteReference"/>
        </w:rPr>
        <w:footnoteReference w:id="2"/>
      </w:r>
    </w:p>
    <w:p w:rsidR="00926AF4" w:rsidRPr="001562C8" w:rsidRDefault="00444B95" w:rsidP="00BF77B2">
      <w:pPr>
        <w:pStyle w:val="BodyText"/>
        <w:spacing w:line="276" w:lineRule="auto"/>
      </w:pPr>
      <w:r>
        <w:t>The department</w:t>
      </w:r>
      <w:r w:rsidR="00926AF4" w:rsidRPr="001562C8">
        <w:t xml:space="preserve"> is a large and geographically dispersed organisation</w:t>
      </w:r>
      <w:r w:rsidR="00167F1D">
        <w:t>.</w:t>
      </w:r>
      <w:r w:rsidR="00477008">
        <w:t xml:space="preserve">  </w:t>
      </w:r>
      <w:r w:rsidR="00926AF4" w:rsidRPr="001562C8">
        <w:t xml:space="preserve">With around 6,200 staff working in over 100 locations, </w:t>
      </w:r>
      <w:r>
        <w:t>our</w:t>
      </w:r>
      <w:r w:rsidR="00926AF4" w:rsidRPr="001562C8">
        <w:t xml:space="preserve"> workforce is diverse and delivers across a broad and highly-integrated foreign affairs, trade, and aid agenda.</w:t>
      </w:r>
    </w:p>
    <w:p w:rsidR="00926AF4" w:rsidRPr="00293223" w:rsidRDefault="00926AF4" w:rsidP="001562C8">
      <w:pPr>
        <w:pStyle w:val="Heading4"/>
        <w:rPr>
          <w:rStyle w:val="IntenseEmphasis"/>
          <w:rFonts w:ascii="Franklin Gothic Book" w:hAnsi="Franklin Gothic Book" w:cs="Times New Roman"/>
          <w:b/>
          <w:kern w:val="0"/>
          <w:sz w:val="21"/>
          <w:szCs w:val="24"/>
          <w:lang w:eastAsia="en-AU"/>
        </w:rPr>
      </w:pPr>
      <w:r w:rsidRPr="0012330B">
        <w:rPr>
          <w:rStyle w:val="IntenseEmphasis"/>
          <w:rFonts w:ascii="Bookman Old Style" w:hAnsi="Bookman Old Style"/>
          <w:b/>
        </w:rPr>
        <w:t>Workforce Snapshot</w:t>
      </w:r>
      <w:r w:rsidRPr="00293223">
        <w:rPr>
          <w:rStyle w:val="FootnoteReference"/>
          <w:rFonts w:ascii="Bookman Old Style" w:hAnsi="Bookman Old Style"/>
          <w:bCs/>
          <w:i/>
          <w:iCs/>
          <w:color w:val="4F81BD" w:themeColor="accent1"/>
        </w:rPr>
        <w:footnoteReference w:id="3"/>
      </w:r>
    </w:p>
    <w:tbl>
      <w:tblPr>
        <w:tblStyle w:val="TableGrid"/>
        <w:tblW w:w="8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3816"/>
      </w:tblGrid>
      <w:tr w:rsidR="00926AF4" w:rsidRPr="00293223">
        <w:trPr>
          <w:trHeight w:val="2184"/>
        </w:trPr>
        <w:tc>
          <w:tcPr>
            <w:tcW w:w="4466" w:type="dxa"/>
          </w:tcPr>
          <w:p w:rsidR="00926AF4" w:rsidRPr="00293223" w:rsidRDefault="00926AF4" w:rsidP="00070063">
            <w:pPr>
              <w:ind w:left="-284"/>
              <w:rPr>
                <w:rFonts w:ascii="Bookman Old Style" w:hAnsi="Bookman Old Style"/>
              </w:rPr>
            </w:pPr>
            <w:r w:rsidRPr="00293223">
              <w:rPr>
                <w:rFonts w:ascii="Bookman Old Style" w:hAnsi="Bookman Old Style"/>
                <w:noProof/>
              </w:rPr>
              <w:drawing>
                <wp:inline distT="0" distB="0" distL="0" distR="0" wp14:anchorId="2857CB19" wp14:editId="4B17378D">
                  <wp:extent cx="3307743" cy="1844703"/>
                  <wp:effectExtent l="0" t="0" r="6985"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466" w:type="dxa"/>
          </w:tcPr>
          <w:p w:rsidR="00926AF4" w:rsidRPr="00293223" w:rsidRDefault="00926AF4" w:rsidP="00070063">
            <w:pPr>
              <w:rPr>
                <w:rFonts w:ascii="Bookman Old Style" w:hAnsi="Bookman Old Style"/>
              </w:rPr>
            </w:pPr>
            <w:r w:rsidRPr="00293223">
              <w:rPr>
                <w:rFonts w:ascii="Bookman Old Style" w:hAnsi="Bookman Old Style"/>
                <w:noProof/>
              </w:rPr>
              <w:drawing>
                <wp:inline distT="0" distB="0" distL="0" distR="0" wp14:anchorId="54BB0246" wp14:editId="25532068">
                  <wp:extent cx="2282024" cy="1622066"/>
                  <wp:effectExtent l="0" t="0" r="44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926AF4" w:rsidRPr="001562C8" w:rsidRDefault="00926AF4" w:rsidP="001562C8">
      <w:pPr>
        <w:pStyle w:val="BodyText"/>
      </w:pPr>
      <w:r w:rsidRPr="001562C8">
        <w:t xml:space="preserve">Over the next two years, </w:t>
      </w:r>
      <w:r w:rsidR="00444B95">
        <w:t>the department’s</w:t>
      </w:r>
      <w:r w:rsidRPr="001562C8">
        <w:t xml:space="preserve"> workforce size will stabilise and the department will continue to focus on building expertise</w:t>
      </w:r>
      <w:r w:rsidR="00167F1D">
        <w:t xml:space="preserve">.  </w:t>
      </w:r>
      <w:r w:rsidRPr="001562C8">
        <w:t>Key areas of activity include:</w:t>
      </w:r>
    </w:p>
    <w:p w:rsidR="00926AF4" w:rsidRPr="001562C8" w:rsidRDefault="00926AF4" w:rsidP="001562C8">
      <w:pPr>
        <w:pStyle w:val="ListBullet"/>
      </w:pPr>
      <w:r w:rsidRPr="001562C8">
        <w:t>deepening the department’s expertise in key areas of policy development, program</w:t>
      </w:r>
      <w:r w:rsidR="00134E8B">
        <w:t xml:space="preserve"> delivery and enabling services</w:t>
      </w:r>
      <w:r w:rsidR="0086298F">
        <w:t>;</w:t>
      </w:r>
    </w:p>
    <w:p w:rsidR="00926AF4" w:rsidRPr="001562C8" w:rsidRDefault="00926AF4" w:rsidP="00BF77B2">
      <w:pPr>
        <w:pStyle w:val="ListBullet"/>
        <w:spacing w:line="276" w:lineRule="auto"/>
      </w:pPr>
      <w:r w:rsidRPr="001562C8">
        <w:t>promoting female representation, particularly at the SES level, through a Women in Leadership pr</w:t>
      </w:r>
      <w:r w:rsidR="00134E8B">
        <w:t>oject</w:t>
      </w:r>
      <w:r w:rsidR="0086298F">
        <w:t>; and</w:t>
      </w:r>
    </w:p>
    <w:p w:rsidR="00926AF4" w:rsidRPr="001562C8" w:rsidRDefault="00926AF4" w:rsidP="00BF77B2">
      <w:pPr>
        <w:pStyle w:val="ListBullet"/>
        <w:spacing w:line="276" w:lineRule="auto"/>
      </w:pPr>
      <w:r w:rsidRPr="001562C8">
        <w:t>broadening exchange arrangements with other APS agencies, industry, and international organisations.</w:t>
      </w:r>
    </w:p>
    <w:p w:rsidR="00926AF4" w:rsidRPr="001562C8" w:rsidRDefault="00926AF4" w:rsidP="00BF77B2">
      <w:pPr>
        <w:pStyle w:val="BodyText"/>
        <w:spacing w:line="276" w:lineRule="auto"/>
      </w:pPr>
      <w:r w:rsidRPr="001562C8">
        <w:t>Improved workforce planning is a key pillar in the department’s strategy to modernise its human resources enabling services</w:t>
      </w:r>
      <w:r w:rsidR="00167F1D">
        <w:t>.</w:t>
      </w:r>
      <w:r w:rsidR="00477008">
        <w:t xml:space="preserve">  </w:t>
      </w:r>
      <w:r w:rsidR="007D4F4E">
        <w:t>We</w:t>
      </w:r>
      <w:r w:rsidRPr="001562C8">
        <w:t xml:space="preserve"> will</w:t>
      </w:r>
      <w:r w:rsidR="007D4F4E">
        <w:t xml:space="preserve"> work to</w:t>
      </w:r>
      <w:r w:rsidRPr="001562C8">
        <w:t xml:space="preserve"> ensure challenges to future workforce capacity or capability can be identified, assessed, and addressed by the department’s leadership.</w:t>
      </w:r>
    </w:p>
    <w:p w:rsidR="00926AF4" w:rsidRPr="00BE0BF6" w:rsidRDefault="00926AF4" w:rsidP="00290E4F">
      <w:pPr>
        <w:pStyle w:val="Heading2"/>
        <w:spacing w:before="0" w:after="240"/>
        <w:rPr>
          <w:sz w:val="32"/>
          <w:szCs w:val="32"/>
        </w:rPr>
      </w:pPr>
      <w:r w:rsidRPr="00BE0BF6">
        <w:rPr>
          <w:sz w:val="32"/>
          <w:szCs w:val="32"/>
        </w:rPr>
        <w:t>Capital Investment Strategy</w:t>
      </w:r>
    </w:p>
    <w:p w:rsidR="00926AF4" w:rsidRPr="001562C8" w:rsidRDefault="00444B95" w:rsidP="00BF77B2">
      <w:pPr>
        <w:pStyle w:val="BodyText"/>
        <w:spacing w:line="276" w:lineRule="auto"/>
      </w:pPr>
      <w:r>
        <w:t>The department</w:t>
      </w:r>
      <w:r w:rsidR="00926AF4" w:rsidRPr="001562C8">
        <w:t xml:space="preserve"> has a significant capital budget of $535 million, which reflects its diverse functions</w:t>
      </w:r>
      <w:r w:rsidR="00167F1D">
        <w:t>.</w:t>
      </w:r>
      <w:r w:rsidR="00477008">
        <w:t xml:space="preserve">  </w:t>
      </w:r>
      <w:r w:rsidR="00926AF4" w:rsidRPr="001562C8">
        <w:t>In 2015/16, the department will develop a five-year Capital Strategic Plan to identify what current investment (worth $2.6 billion in 2013-2014) will need to be replaced, when, as well as the enhancements required to meet evolving strategic priorities</w:t>
      </w:r>
      <w:r w:rsidR="00167F1D">
        <w:t>.</w:t>
      </w:r>
      <w:r w:rsidR="00477008">
        <w:t xml:space="preserve">  </w:t>
      </w:r>
    </w:p>
    <w:p w:rsidR="00926AF4" w:rsidRPr="001562C8" w:rsidRDefault="00926AF4" w:rsidP="00BF77B2">
      <w:pPr>
        <w:pStyle w:val="BodyText"/>
        <w:spacing w:line="276" w:lineRule="auto"/>
      </w:pPr>
      <w:r w:rsidRPr="001562C8">
        <w:t>The department’s regular monitoring of capital expenditure will enhance oversight, manage risks and help maintain momentum of investment in three primary areas of ICT equipment, physical security and property</w:t>
      </w:r>
      <w:r w:rsidR="00167F1D">
        <w:t>.</w:t>
      </w:r>
      <w:r w:rsidR="00477008">
        <w:t xml:space="preserve">  </w:t>
      </w:r>
      <w:r w:rsidRPr="001562C8">
        <w:t>Significant areas of investment over the period include:</w:t>
      </w:r>
    </w:p>
    <w:p w:rsidR="00926AF4" w:rsidRPr="001562C8" w:rsidRDefault="00926AF4" w:rsidP="00BF77B2">
      <w:pPr>
        <w:pStyle w:val="ListBullet"/>
        <w:spacing w:line="276" w:lineRule="auto"/>
      </w:pPr>
      <w:r w:rsidRPr="001562C8">
        <w:t>the International Communications Network</w:t>
      </w:r>
    </w:p>
    <w:p w:rsidR="00926AF4" w:rsidRPr="001562C8" w:rsidRDefault="00926AF4" w:rsidP="00BF77B2">
      <w:pPr>
        <w:pStyle w:val="ListBullet"/>
        <w:spacing w:line="276" w:lineRule="auto"/>
      </w:pPr>
      <w:r w:rsidRPr="001562C8">
        <w:t>Jakarta Embassy</w:t>
      </w:r>
    </w:p>
    <w:p w:rsidR="00926AF4" w:rsidRPr="001562C8" w:rsidRDefault="00926AF4" w:rsidP="00BF77B2">
      <w:pPr>
        <w:pStyle w:val="ListBullet"/>
        <w:spacing w:line="276" w:lineRule="auto"/>
      </w:pPr>
      <w:r w:rsidRPr="001562C8">
        <w:t>Washington Embassy</w:t>
      </w:r>
    </w:p>
    <w:p w:rsidR="00926AF4" w:rsidRPr="001562C8" w:rsidRDefault="00926AF4" w:rsidP="00BF77B2">
      <w:pPr>
        <w:pStyle w:val="ListBullet"/>
        <w:spacing w:line="276" w:lineRule="auto"/>
      </w:pPr>
      <w:r w:rsidRPr="001562C8">
        <w:t>establishing new posts in Phuket, Ulaanbaatar, Doha, Houston, Makassar and Buka</w:t>
      </w:r>
    </w:p>
    <w:p w:rsidR="00926AF4" w:rsidRPr="001562C8" w:rsidRDefault="00926AF4" w:rsidP="00BF77B2">
      <w:pPr>
        <w:pStyle w:val="ListBullet"/>
        <w:spacing w:line="276" w:lineRule="auto"/>
      </w:pPr>
      <w:r w:rsidRPr="001562C8">
        <w:t>the Passport Redevelopment Project</w:t>
      </w:r>
    </w:p>
    <w:p w:rsidR="00926AF4" w:rsidRPr="001562C8" w:rsidRDefault="00926AF4" w:rsidP="00BF77B2">
      <w:pPr>
        <w:pStyle w:val="ListBullet"/>
        <w:spacing w:line="276" w:lineRule="auto"/>
      </w:pPr>
      <w:r w:rsidRPr="001562C8">
        <w:t>protective security.</w:t>
      </w:r>
    </w:p>
    <w:p w:rsidR="00926AF4" w:rsidRPr="00BE0BF6" w:rsidRDefault="00926AF4" w:rsidP="00290E4F">
      <w:pPr>
        <w:pStyle w:val="Heading2"/>
        <w:spacing w:before="0" w:after="240"/>
        <w:rPr>
          <w:sz w:val="32"/>
          <w:szCs w:val="32"/>
        </w:rPr>
      </w:pPr>
      <w:r w:rsidRPr="00BE0BF6">
        <w:rPr>
          <w:sz w:val="32"/>
          <w:szCs w:val="32"/>
        </w:rPr>
        <w:t>Information and Communication Technology (ICT)</w:t>
      </w:r>
    </w:p>
    <w:p w:rsidR="00926AF4" w:rsidRPr="001562C8" w:rsidRDefault="00926AF4" w:rsidP="00BF77B2">
      <w:pPr>
        <w:pStyle w:val="BodyText"/>
        <w:spacing w:line="276" w:lineRule="auto"/>
      </w:pPr>
      <w:r w:rsidRPr="001562C8">
        <w:t xml:space="preserve">The department will implement a new ICT Strategy in 2015 - 2016 to </w:t>
      </w:r>
      <w:r w:rsidR="0086298F">
        <w:t>support</w:t>
      </w:r>
      <w:r w:rsidR="0086298F" w:rsidRPr="001562C8">
        <w:t xml:space="preserve"> </w:t>
      </w:r>
      <w:r w:rsidRPr="001562C8">
        <w:t>current and future business requirements</w:t>
      </w:r>
      <w:r w:rsidR="00167F1D">
        <w:t>.</w:t>
      </w:r>
      <w:r w:rsidR="00477008">
        <w:t xml:space="preserve">  </w:t>
      </w:r>
      <w:r w:rsidRPr="001562C8">
        <w:t xml:space="preserve">Aligned with the </w:t>
      </w:r>
      <w:r w:rsidR="00444B95">
        <w:t>department’s</w:t>
      </w:r>
      <w:r w:rsidRPr="001562C8">
        <w:t xml:space="preserve"> Strategic Framework, the ICT Strategy is comprised of six key themes:</w:t>
      </w:r>
    </w:p>
    <w:p w:rsidR="00926AF4" w:rsidRPr="001562C8" w:rsidRDefault="00C57E00" w:rsidP="00BF77B2">
      <w:pPr>
        <w:pStyle w:val="ListBullet"/>
        <w:spacing w:line="276" w:lineRule="auto"/>
      </w:pPr>
      <w:r>
        <w:t>I</w:t>
      </w:r>
      <w:r w:rsidR="00926AF4" w:rsidRPr="00195678">
        <w:t>nnovation –</w:t>
      </w:r>
      <w:r w:rsidR="00926AF4" w:rsidRPr="001562C8">
        <w:t xml:space="preserve"> explore and deliver technology solutions that support and encourage the depart</w:t>
      </w:r>
      <w:r>
        <w:t>ment’s commitment to innovation</w:t>
      </w:r>
      <w:r w:rsidR="0086298F">
        <w:t>;</w:t>
      </w:r>
    </w:p>
    <w:p w:rsidR="00926AF4" w:rsidRPr="001562C8" w:rsidRDefault="00926AF4" w:rsidP="00BF77B2">
      <w:pPr>
        <w:pStyle w:val="ListBullet"/>
        <w:spacing w:line="276" w:lineRule="auto"/>
      </w:pPr>
      <w:r w:rsidRPr="00195678">
        <w:t>Information Security –</w:t>
      </w:r>
      <w:r w:rsidRPr="001562C8">
        <w:t xml:space="preserve"> ensure the security and protection </w:t>
      </w:r>
      <w:r w:rsidR="00C57E00">
        <w:t>of information and ICT services</w:t>
      </w:r>
      <w:r w:rsidR="0086298F">
        <w:t>;</w:t>
      </w:r>
    </w:p>
    <w:p w:rsidR="00926AF4" w:rsidRPr="001562C8" w:rsidRDefault="00926AF4" w:rsidP="00BF77B2">
      <w:pPr>
        <w:pStyle w:val="ListBullet"/>
        <w:spacing w:line="276" w:lineRule="auto"/>
      </w:pPr>
      <w:r w:rsidRPr="00195678">
        <w:t>Business Continuity –</w:t>
      </w:r>
      <w:r w:rsidRPr="001562C8">
        <w:t xml:space="preserve"> ensure the continuation of the department’s global ICT systems and services, and prevent disruption t</w:t>
      </w:r>
      <w:r w:rsidR="00C57E00">
        <w:t>o normal operational capability</w:t>
      </w:r>
      <w:r w:rsidR="0086298F">
        <w:t>;</w:t>
      </w:r>
    </w:p>
    <w:p w:rsidR="00926AF4" w:rsidRPr="001562C8" w:rsidRDefault="00926AF4" w:rsidP="00BF77B2">
      <w:pPr>
        <w:pStyle w:val="ListBullet"/>
        <w:spacing w:line="276" w:lineRule="auto"/>
      </w:pPr>
      <w:r w:rsidRPr="00195678">
        <w:t>Service Quality –</w:t>
      </w:r>
      <w:r w:rsidRPr="001562C8">
        <w:t xml:space="preserve"> deliver quality systems and services that contribute to the depa</w:t>
      </w:r>
      <w:r w:rsidR="00C57E00">
        <w:t>rtment and its partner agencies</w:t>
      </w:r>
      <w:r w:rsidR="0086298F">
        <w:t>;</w:t>
      </w:r>
    </w:p>
    <w:p w:rsidR="00926AF4" w:rsidRPr="001562C8" w:rsidRDefault="00926AF4" w:rsidP="00BF77B2">
      <w:pPr>
        <w:pStyle w:val="ListBullet"/>
        <w:spacing w:line="276" w:lineRule="auto"/>
      </w:pPr>
      <w:r w:rsidRPr="00195678">
        <w:t>ICT Investment –</w:t>
      </w:r>
      <w:r w:rsidRPr="001562C8">
        <w:t xml:space="preserve"> ensure the return on investment in ICT enhances strategic planning and capability that will meet agency objectives and who</w:t>
      </w:r>
      <w:r w:rsidR="00C57E00">
        <w:t>le-of-government strategies</w:t>
      </w:r>
      <w:r w:rsidR="0086298F">
        <w:t>;</w:t>
      </w:r>
      <w:r w:rsidR="00C57E00">
        <w:t xml:space="preserve"> and</w:t>
      </w:r>
    </w:p>
    <w:p w:rsidR="00926AF4" w:rsidRPr="001562C8" w:rsidRDefault="00926AF4" w:rsidP="00BF77B2">
      <w:pPr>
        <w:pStyle w:val="ListBullet"/>
        <w:spacing w:line="276" w:lineRule="auto"/>
      </w:pPr>
      <w:r w:rsidRPr="00195678">
        <w:t>ICT Workforce Capability –</w:t>
      </w:r>
      <w:r w:rsidRPr="001562C8">
        <w:t xml:space="preserve"> build a sustainable and capable workforce to enable successful delivery of government services</w:t>
      </w:r>
      <w:r w:rsidR="00167F1D">
        <w:t>.</w:t>
      </w:r>
      <w:r w:rsidR="00477008">
        <w:t xml:space="preserve">  </w:t>
      </w:r>
    </w:p>
    <w:p w:rsidR="003D4FDE" w:rsidRDefault="00926AF4" w:rsidP="00BF77B2">
      <w:pPr>
        <w:pStyle w:val="BodyText"/>
        <w:spacing w:line="276" w:lineRule="auto"/>
      </w:pPr>
      <w:r w:rsidRPr="001562C8">
        <w:t>The department supplies essential ICT services to 49 partner agencies</w:t>
      </w:r>
      <w:r w:rsidR="00167F1D">
        <w:t>.</w:t>
      </w:r>
      <w:r w:rsidR="00477008">
        <w:t xml:space="preserve">  </w:t>
      </w:r>
      <w:r w:rsidRPr="001562C8">
        <w:t xml:space="preserve">It will look to improve and expand the services it offers, as well as increase the number of agencies </w:t>
      </w:r>
      <w:r w:rsidR="0086298F">
        <w:t>that</w:t>
      </w:r>
      <w:r w:rsidR="0086298F" w:rsidRPr="001562C8">
        <w:t xml:space="preserve"> </w:t>
      </w:r>
      <w:r w:rsidRPr="001562C8">
        <w:t>receive the service</w:t>
      </w:r>
      <w:r w:rsidR="00167F1D">
        <w:t>.</w:t>
      </w:r>
      <w:r w:rsidR="00477008">
        <w:t xml:space="preserve">  </w:t>
      </w:r>
      <w:r w:rsidR="003D4FDE">
        <w:t xml:space="preserve"> </w:t>
      </w:r>
    </w:p>
    <w:p w:rsidR="00926AF4" w:rsidRPr="00926AF4" w:rsidRDefault="00926AF4" w:rsidP="00BF77B2">
      <w:pPr>
        <w:pStyle w:val="BodyText"/>
        <w:spacing w:line="276" w:lineRule="auto"/>
      </w:pPr>
      <w:r w:rsidRPr="001562C8">
        <w:t>With a focus on building more responsive, agile and flexible ICT solutions, the department will work collaboratively with industry and our whole-of-government partners to ensure the delivery of high quality ICT and information services domestically and overseas</w:t>
      </w:r>
      <w:r w:rsidR="00167F1D">
        <w:t xml:space="preserve">.  </w:t>
      </w:r>
    </w:p>
    <w:p w:rsidR="0004417B" w:rsidRDefault="0004417B" w:rsidP="00894FF8">
      <w:pPr>
        <w:spacing w:after="120"/>
        <w:rPr>
          <w:rFonts w:ascii="Franklin Gothic Book" w:hAnsi="Franklin Gothic Book"/>
          <w:sz w:val="21"/>
        </w:rPr>
        <w:sectPr w:rsidR="0004417B" w:rsidSect="00851F21">
          <w:pgSz w:w="11907" w:h="16840" w:code="9"/>
          <w:pgMar w:top="794" w:right="1701" w:bottom="794" w:left="1701" w:header="284" w:footer="567" w:gutter="0"/>
          <w:cols w:space="720"/>
          <w:docGrid w:linePitch="326"/>
        </w:sectPr>
      </w:pPr>
    </w:p>
    <w:p w:rsidR="00894FF8" w:rsidRPr="0004417B" w:rsidRDefault="0004417B" w:rsidP="00290E4F">
      <w:pPr>
        <w:pStyle w:val="Heading1"/>
        <w:spacing w:before="0" w:after="360" w:line="240" w:lineRule="auto"/>
      </w:pPr>
      <w:r w:rsidRPr="0004417B">
        <w:t>Risk Oversight and Management</w:t>
      </w:r>
    </w:p>
    <w:p w:rsidR="0004417B" w:rsidRPr="00F90D8A" w:rsidRDefault="0004417B" w:rsidP="00BF77B2">
      <w:pPr>
        <w:pStyle w:val="BodyText"/>
        <w:spacing w:line="276" w:lineRule="auto"/>
      </w:pPr>
      <w:r w:rsidRPr="00F90D8A">
        <w:t xml:space="preserve">The department attaches a high priority to promoting a </w:t>
      </w:r>
      <w:r w:rsidR="0086298F">
        <w:t>culture of positively engaging with risk</w:t>
      </w:r>
      <w:r w:rsidRPr="00F90D8A">
        <w:t xml:space="preserve"> within its work and functions</w:t>
      </w:r>
      <w:r w:rsidR="00167F1D">
        <w:t>.</w:t>
      </w:r>
      <w:r w:rsidR="00477008">
        <w:t xml:space="preserve">  </w:t>
      </w:r>
      <w:r w:rsidR="007B2A68">
        <w:t>Operating in a complex and dynamic international environment, t</w:t>
      </w:r>
      <w:r w:rsidR="005831FA">
        <w:t>he department’s</w:t>
      </w:r>
      <w:r w:rsidRPr="00F90D8A">
        <w:t xml:space="preserve"> ability to </w:t>
      </w:r>
      <w:r w:rsidR="007B2A68">
        <w:t xml:space="preserve">actively manage and engage with risk largely </w:t>
      </w:r>
      <w:r w:rsidRPr="00F90D8A">
        <w:t>determine</w:t>
      </w:r>
      <w:r w:rsidR="005831FA">
        <w:t>s</w:t>
      </w:r>
      <w:r w:rsidRPr="00F90D8A">
        <w:t xml:space="preserve"> the extent to</w:t>
      </w:r>
      <w:r w:rsidR="007B2A68">
        <w:t xml:space="preserve"> which</w:t>
      </w:r>
      <w:r w:rsidRPr="00F90D8A">
        <w:t xml:space="preserve"> </w:t>
      </w:r>
      <w:r w:rsidR="005831FA">
        <w:t>it can achieve its objectives</w:t>
      </w:r>
      <w:r w:rsidR="00167F1D">
        <w:t xml:space="preserve">.  </w:t>
      </w:r>
    </w:p>
    <w:p w:rsidR="0004417B" w:rsidRPr="00796831" w:rsidRDefault="0004417B" w:rsidP="00BF77B2">
      <w:pPr>
        <w:pStyle w:val="BodyText"/>
        <w:spacing w:line="276" w:lineRule="auto"/>
      </w:pPr>
      <w:r w:rsidRPr="00F90D8A">
        <w:t xml:space="preserve">The </w:t>
      </w:r>
      <w:r w:rsidR="005831FA">
        <w:t>department’s</w:t>
      </w:r>
      <w:r w:rsidRPr="00F90D8A">
        <w:t xml:space="preserve"> </w:t>
      </w:r>
      <w:r w:rsidRPr="005831FA">
        <w:rPr>
          <w:i/>
        </w:rPr>
        <w:t>Guide to Better Risk Management</w:t>
      </w:r>
      <w:r w:rsidRPr="00F90D8A">
        <w:t xml:space="preserve"> draws on a range of legislation, policies and international guidance on risk management</w:t>
      </w:r>
      <w:r w:rsidR="005831FA">
        <w:t>, including</w:t>
      </w:r>
      <w:r w:rsidR="007C319D">
        <w:t xml:space="preserve"> </w:t>
      </w:r>
      <w:r w:rsidR="007C319D" w:rsidRPr="007D4F4E">
        <w:t>t</w:t>
      </w:r>
      <w:r w:rsidR="005831FA" w:rsidRPr="007D4F4E">
        <w:t>he</w:t>
      </w:r>
      <w:r w:rsidRPr="00673E9D">
        <w:rPr>
          <w:i/>
        </w:rPr>
        <w:t xml:space="preserve"> </w:t>
      </w:r>
      <w:hyperlink r:id="rId26" w:history="1">
        <w:r w:rsidRPr="00673E9D">
          <w:rPr>
            <w:i/>
          </w:rPr>
          <w:t>Public Governance Performance and Accountability Act 2013</w:t>
        </w:r>
      </w:hyperlink>
      <w:r w:rsidR="007C319D">
        <w:t xml:space="preserve"> (PGPA Act), t</w:t>
      </w:r>
      <w:r w:rsidRPr="005831FA">
        <w:t xml:space="preserve">he Commonwealth Risk Management </w:t>
      </w:r>
      <w:r w:rsidR="005831FA">
        <w:t>Policy</w:t>
      </w:r>
      <w:r w:rsidR="00800381">
        <w:t>, I</w:t>
      </w:r>
      <w:r w:rsidRPr="005831FA">
        <w:t>nternational Risk Ma</w:t>
      </w:r>
      <w:r w:rsidR="005831FA">
        <w:t>nagement Standard</w:t>
      </w:r>
      <w:r w:rsidR="00800381">
        <w:t xml:space="preserve"> ISO1000:2009 “Risk Management – Principles and Guidelines”</w:t>
      </w:r>
      <w:r w:rsidR="007C319D">
        <w:t>, and t</w:t>
      </w:r>
      <w:r w:rsidRPr="005831FA">
        <w:t xml:space="preserve">he </w:t>
      </w:r>
      <w:r w:rsidR="005831FA">
        <w:t xml:space="preserve">department’s </w:t>
      </w:r>
      <w:r w:rsidRPr="005831FA">
        <w:t>Audit and Risk Committee.</w:t>
      </w:r>
      <w:r w:rsidR="00796831">
        <w:t xml:space="preserve">  The </w:t>
      </w:r>
      <w:r w:rsidR="00796831" w:rsidRPr="005831FA">
        <w:rPr>
          <w:i/>
        </w:rPr>
        <w:t>Guide to Better Risk Management</w:t>
      </w:r>
      <w:r w:rsidR="00796831">
        <w:rPr>
          <w:i/>
        </w:rPr>
        <w:t xml:space="preserve"> </w:t>
      </w:r>
      <w:r w:rsidR="00796831">
        <w:t xml:space="preserve">will act as a guide to the department’s risk oversight and management over the next four years. </w:t>
      </w:r>
    </w:p>
    <w:p w:rsidR="0004417B" w:rsidRPr="00BE0BF6" w:rsidRDefault="00DB1B0C" w:rsidP="00290E4F">
      <w:pPr>
        <w:pStyle w:val="Heading2"/>
        <w:spacing w:before="0" w:after="240"/>
        <w:rPr>
          <w:sz w:val="32"/>
          <w:szCs w:val="32"/>
        </w:rPr>
      </w:pPr>
      <w:r>
        <w:rPr>
          <w:sz w:val="32"/>
          <w:szCs w:val="32"/>
        </w:rPr>
        <w:t>R</w:t>
      </w:r>
      <w:r w:rsidR="0004417B" w:rsidRPr="00BE0BF6">
        <w:rPr>
          <w:sz w:val="32"/>
          <w:szCs w:val="32"/>
        </w:rPr>
        <w:t>isk management</w:t>
      </w:r>
    </w:p>
    <w:p w:rsidR="00477008" w:rsidRDefault="00477008" w:rsidP="00BF77B2">
      <w:pPr>
        <w:pStyle w:val="BodyText"/>
        <w:spacing w:line="276" w:lineRule="auto"/>
      </w:pPr>
      <w:r>
        <w:t>The department</w:t>
      </w:r>
      <w:r w:rsidRPr="00F90D8A">
        <w:t xml:space="preserve"> </w:t>
      </w:r>
      <w:r>
        <w:t>operates</w:t>
      </w:r>
      <w:r w:rsidRPr="00F90D8A">
        <w:t xml:space="preserve"> in high risk environments, particularly overseas, where security may be an issue, governance is often poor, health and staff safety issues are of constant concern and there may be a strong risk of </w:t>
      </w:r>
      <w:r w:rsidR="00B15929">
        <w:t xml:space="preserve">local </w:t>
      </w:r>
      <w:r w:rsidRPr="00F90D8A">
        <w:t>corruption</w:t>
      </w:r>
      <w:r>
        <w:t xml:space="preserve">.  </w:t>
      </w:r>
      <w:r w:rsidR="0004417B" w:rsidRPr="00F90D8A">
        <w:t xml:space="preserve">Risk management at </w:t>
      </w:r>
      <w:r w:rsidR="00444B95">
        <w:t>the department</w:t>
      </w:r>
      <w:r w:rsidR="0004417B" w:rsidRPr="00F90D8A">
        <w:t xml:space="preserve"> is about being open to an appropriate level of risk through balancing the level of risk against potential benefits and opportunities</w:t>
      </w:r>
      <w:r w:rsidR="00167F1D">
        <w:t>.</w:t>
      </w:r>
      <w:r>
        <w:t xml:space="preserve">  </w:t>
      </w:r>
    </w:p>
    <w:p w:rsidR="0004417B" w:rsidRPr="00F90D8A" w:rsidRDefault="0004417B" w:rsidP="00BF77B2">
      <w:pPr>
        <w:pStyle w:val="BodyText"/>
        <w:spacing w:line="276" w:lineRule="auto"/>
      </w:pPr>
      <w:r w:rsidRPr="00F90D8A">
        <w:t>Divisions, posts and State and Territory Offices (STOs) all maintain and update a risk register</w:t>
      </w:r>
      <w:r w:rsidR="00167F1D">
        <w:t xml:space="preserve">.  </w:t>
      </w:r>
      <w:r w:rsidRPr="00F90D8A">
        <w:t>Risk registers assist the work unit in managing risks and are reviewed periodically by</w:t>
      </w:r>
      <w:r w:rsidR="00477008">
        <w:t xml:space="preserve"> the Departmental Executive</w:t>
      </w:r>
      <w:r w:rsidRPr="00F90D8A">
        <w:t>, as part of the Division/Post/STO Business Planning Review.</w:t>
      </w:r>
    </w:p>
    <w:p w:rsidR="00295300" w:rsidRDefault="0004417B" w:rsidP="00BF77B2">
      <w:pPr>
        <w:pStyle w:val="BodyText"/>
        <w:spacing w:line="276" w:lineRule="auto"/>
      </w:pPr>
      <w:r w:rsidRPr="00F90D8A">
        <w:t>Divisions, posts and STOs record their decisions on risk in business plans and risk registers</w:t>
      </w:r>
      <w:r w:rsidR="00167F1D">
        <w:t>.</w:t>
      </w:r>
      <w:r w:rsidR="00477008">
        <w:t xml:space="preserve">  </w:t>
      </w:r>
      <w:r w:rsidRPr="00F90D8A">
        <w:t>These risk registers and business plans are reviewe</w:t>
      </w:r>
      <w:r w:rsidR="00295300">
        <w:t xml:space="preserve">d </w:t>
      </w:r>
      <w:r w:rsidRPr="00F90D8A">
        <w:t>every six months</w:t>
      </w:r>
      <w:r w:rsidR="00295300">
        <w:t xml:space="preserve"> in which a </w:t>
      </w:r>
      <w:r w:rsidRPr="00F90D8A">
        <w:t xml:space="preserve">Critical Risk List </w:t>
      </w:r>
      <w:r w:rsidR="00295300">
        <w:t xml:space="preserve">is generated </w:t>
      </w:r>
      <w:r w:rsidRPr="00F90D8A">
        <w:t xml:space="preserve">identifying the higher risks for consideration by the </w:t>
      </w:r>
      <w:r w:rsidR="00295300">
        <w:t>Audit and Risk Committee and the Departmental</w:t>
      </w:r>
      <w:r w:rsidRPr="00F90D8A">
        <w:t xml:space="preserve"> Exe</w:t>
      </w:r>
      <w:r w:rsidR="00295300">
        <w:t>cutive</w:t>
      </w:r>
      <w:r w:rsidR="00167F1D">
        <w:t>.</w:t>
      </w:r>
      <w:r w:rsidR="00477008">
        <w:t xml:space="preserve">  </w:t>
      </w:r>
      <w:r w:rsidR="00295300">
        <w:t>An</w:t>
      </w:r>
      <w:r w:rsidRPr="00F90D8A">
        <w:t xml:space="preserve"> Enterprise Risk Group </w:t>
      </w:r>
      <w:r w:rsidR="00295300">
        <w:t xml:space="preserve">also convenes every six months to prepare </w:t>
      </w:r>
      <w:r w:rsidRPr="00F90D8A">
        <w:t>a report on enterprise</w:t>
      </w:r>
      <w:r w:rsidR="00295300">
        <w:t xml:space="preserve"> risks for consideration by both bodies.</w:t>
      </w:r>
    </w:p>
    <w:p w:rsidR="0063297A" w:rsidRDefault="00295300" w:rsidP="00BF77B2">
      <w:pPr>
        <w:pStyle w:val="BodyText"/>
        <w:spacing w:line="276" w:lineRule="auto"/>
      </w:pPr>
      <w:r>
        <w:t xml:space="preserve">The department's Senior Executive </w:t>
      </w:r>
      <w:r w:rsidR="0004417B" w:rsidRPr="00F90D8A">
        <w:t>reviews business plans and risk registers for divisions, posts and STOs as part of business planning reviews</w:t>
      </w:r>
      <w:r w:rsidR="0063297A">
        <w:t>.</w:t>
      </w:r>
    </w:p>
    <w:p w:rsidR="0063297A" w:rsidRDefault="0063297A" w:rsidP="00BF77B2">
      <w:pPr>
        <w:pStyle w:val="BodyText"/>
        <w:spacing w:line="276" w:lineRule="auto"/>
      </w:pPr>
      <w:r>
        <w:t>The department’s broader governance structure</w:t>
      </w:r>
      <w:r w:rsidR="001C1B05">
        <w:t>,</w:t>
      </w:r>
      <w:r>
        <w:t xml:space="preserve"> </w:t>
      </w:r>
      <w:r w:rsidR="001C1B05">
        <w:t>including</w:t>
      </w:r>
      <w:r>
        <w:t xml:space="preserve"> its Ethics Committee</w:t>
      </w:r>
      <w:r w:rsidR="001C1B05">
        <w:t xml:space="preserve"> and</w:t>
      </w:r>
      <w:r>
        <w:t xml:space="preserve"> Workplace Relations Committee</w:t>
      </w:r>
      <w:r w:rsidR="001C1B05">
        <w:t>, also plays an important role in the governance of the organisation</w:t>
      </w:r>
      <w:r w:rsidR="00167F1D">
        <w:t>.</w:t>
      </w:r>
      <w:r w:rsidR="00477008">
        <w:t xml:space="preserve">  </w:t>
      </w:r>
    </w:p>
    <w:p w:rsidR="00C70DD3" w:rsidRDefault="007C0C9E">
      <w:r>
        <w:br w:type="page"/>
      </w:r>
      <w:r w:rsidR="00C70DD3">
        <w:br w:type="page"/>
      </w:r>
    </w:p>
    <w:p w:rsidR="007C0C9E" w:rsidRDefault="007C0C9E">
      <w:pPr>
        <w:rPr>
          <w:rFonts w:ascii="Franklin Gothic Book" w:hAnsi="Franklin Gothic Book"/>
          <w:sz w:val="21"/>
        </w:rPr>
      </w:pPr>
    </w:p>
    <w:p w:rsidR="0063297A" w:rsidRDefault="0063297A" w:rsidP="00BF77B2">
      <w:pPr>
        <w:pStyle w:val="BodyText"/>
        <w:spacing w:line="276" w:lineRule="auto"/>
      </w:pPr>
    </w:p>
    <w:p w:rsidR="003F1C66" w:rsidRDefault="003F1C66">
      <w:pPr>
        <w:rPr>
          <w:rFonts w:ascii="Franklin Gothic Book" w:hAnsi="Franklin Gothic Book"/>
          <w:sz w:val="21"/>
        </w:rPr>
      </w:pPr>
    </w:p>
    <w:p w:rsidR="003A374D" w:rsidRPr="00514717" w:rsidRDefault="00555659" w:rsidP="00555659">
      <w:pPr>
        <w:pStyle w:val="ListBullet"/>
        <w:numPr>
          <w:ilvl w:val="0"/>
          <w:numId w:val="0"/>
        </w:numPr>
        <w:ind w:left="360"/>
      </w:pPr>
      <w:r>
        <w:rPr>
          <w:noProof/>
        </w:rPr>
        <w:drawing>
          <wp:anchor distT="0" distB="0" distL="114300" distR="114300" simplePos="0" relativeHeight="251661312" behindDoc="1" locked="0" layoutInCell="1" allowOverlap="1" wp14:anchorId="22188E0B" wp14:editId="230E0F3E">
            <wp:simplePos x="0" y="0"/>
            <wp:positionH relativeFrom="page">
              <wp:posOffset>0</wp:posOffset>
            </wp:positionH>
            <wp:positionV relativeFrom="page">
              <wp:posOffset>152400</wp:posOffset>
            </wp:positionV>
            <wp:extent cx="7560387" cy="1041082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rear cover - no crest.png"/>
                    <pic:cNvPicPr/>
                  </pic:nvPicPr>
                  <pic:blipFill>
                    <a:blip r:embed="rId27">
                      <a:extLst>
                        <a:ext uri="{28A0092B-C50C-407E-A947-70E740481C1C}">
                          <a14:useLocalDpi xmlns:a14="http://schemas.microsoft.com/office/drawing/2010/main" val="0"/>
                        </a:ext>
                      </a:extLst>
                    </a:blip>
                    <a:stretch>
                      <a:fillRect/>
                    </a:stretch>
                  </pic:blipFill>
                  <pic:spPr>
                    <a:xfrm>
                      <a:off x="0" y="0"/>
                      <a:ext cx="7560387" cy="10410825"/>
                    </a:xfrm>
                    <a:prstGeom prst="rect">
                      <a:avLst/>
                    </a:prstGeom>
                  </pic:spPr>
                </pic:pic>
              </a:graphicData>
            </a:graphic>
          </wp:anchor>
        </w:drawing>
      </w:r>
    </w:p>
    <w:sectPr w:rsidR="003A374D" w:rsidRPr="00514717" w:rsidSect="00851F21">
      <w:pgSz w:w="11907" w:h="16840" w:code="9"/>
      <w:pgMar w:top="794" w:right="1701" w:bottom="794" w:left="1701" w:header="85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37" w:rsidRDefault="00A96A37">
      <w:r>
        <w:separator/>
      </w:r>
    </w:p>
    <w:p w:rsidR="00A96A37" w:rsidRDefault="00A96A37"/>
  </w:endnote>
  <w:endnote w:type="continuationSeparator" w:id="0">
    <w:p w:rsidR="00A96A37" w:rsidRDefault="00A96A37">
      <w:r>
        <w:continuationSeparator/>
      </w:r>
    </w:p>
    <w:p w:rsidR="00A96A37" w:rsidRDefault="00A96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B" w:rsidRDefault="00C65C78" w:rsidP="00C419B5">
    <w:pPr>
      <w:pStyle w:val="Footer"/>
      <w:rPr>
        <w:noProof/>
      </w:rPr>
    </w:pPr>
    <w:fldSimple w:instr=" STYLEREF Title \* MERGEFORMAT ">
      <w:r>
        <w:rPr>
          <w:noProof/>
        </w:rPr>
        <w:t>Corporate Plan 2015-2019</w:t>
      </w:r>
    </w:fldSimple>
    <w:r w:rsidR="007872CB">
      <w:rPr>
        <w:noProof/>
      </w:rPr>
      <w:t xml:space="preserve"> </w:t>
    </w:r>
    <w:r w:rsidR="007872CB" w:rsidRPr="00C419B5">
      <w:rPr>
        <w:noProof/>
      </w:rPr>
      <w:fldChar w:fldCharType="begin"/>
    </w:r>
    <w:r w:rsidR="007872CB" w:rsidRPr="00C419B5">
      <w:rPr>
        <w:noProof/>
      </w:rPr>
      <w:instrText xml:space="preserve"> PAGE </w:instrText>
    </w:r>
    <w:r w:rsidR="007872CB" w:rsidRPr="00C419B5">
      <w:rPr>
        <w:noProof/>
      </w:rPr>
      <w:fldChar w:fldCharType="separate"/>
    </w:r>
    <w:r w:rsidR="007872CB">
      <w:rPr>
        <w:noProof/>
      </w:rPr>
      <w:t>24</w:t>
    </w:r>
    <w:r w:rsidR="007872CB" w:rsidRPr="00C419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B" w:rsidRPr="009D46F0" w:rsidRDefault="007872CB" w:rsidP="0091071F">
    <w:pPr>
      <w:pStyle w:val="Footer"/>
    </w:pPr>
    <w:r>
      <w:tab/>
    </w:r>
    <w:r>
      <w:tab/>
    </w:r>
    <w:fldSimple w:instr=" STYLEREF Title \* MERGEFORMAT ">
      <w:r w:rsidR="00FC200F">
        <w:rPr>
          <w:noProof/>
        </w:rPr>
        <w:t>Corporate Plan 2015-2019</w:t>
      </w:r>
    </w:fldSimple>
    <w:r w:rsidRPr="009D46F0">
      <w:tab/>
    </w:r>
    <w:r w:rsidRPr="009D46F0">
      <w:rPr>
        <w:rStyle w:val="PageNumber"/>
        <w:rFonts w:ascii="Franklin Gothic Book" w:hAnsi="Franklin Gothic Book"/>
        <w:color w:val="3E3935"/>
      </w:rPr>
      <w:tab/>
    </w:r>
    <w:r w:rsidRPr="009D46F0">
      <w:rPr>
        <w:rStyle w:val="PageNumber"/>
        <w:rFonts w:ascii="Franklin Gothic Book" w:hAnsi="Franklin Gothic Book"/>
        <w:color w:val="3E3935"/>
      </w:rPr>
      <w:fldChar w:fldCharType="begin"/>
    </w:r>
    <w:r w:rsidRPr="009D46F0">
      <w:rPr>
        <w:rStyle w:val="PageNumber"/>
        <w:rFonts w:ascii="Franklin Gothic Book" w:hAnsi="Franklin Gothic Book"/>
        <w:color w:val="3E3935"/>
      </w:rPr>
      <w:instrText xml:space="preserve"> PAGE </w:instrText>
    </w:r>
    <w:r w:rsidRPr="009D46F0">
      <w:rPr>
        <w:rStyle w:val="PageNumber"/>
        <w:rFonts w:ascii="Franklin Gothic Book" w:hAnsi="Franklin Gothic Book"/>
        <w:color w:val="3E3935"/>
      </w:rPr>
      <w:fldChar w:fldCharType="separate"/>
    </w:r>
    <w:r w:rsidR="00FC200F">
      <w:rPr>
        <w:rStyle w:val="PageNumber"/>
        <w:rFonts w:ascii="Franklin Gothic Book" w:hAnsi="Franklin Gothic Book"/>
        <w:noProof/>
        <w:color w:val="3E3935"/>
      </w:rPr>
      <w:t>2</w:t>
    </w:r>
    <w:r w:rsidRPr="009D46F0">
      <w:rPr>
        <w:rStyle w:val="PageNumber"/>
        <w:rFonts w:ascii="Franklin Gothic Book" w:hAnsi="Franklin Gothic Book"/>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86" w:rsidRPr="009D46F0" w:rsidRDefault="00E40E86" w:rsidP="00E40E86">
    <w:pPr>
      <w:pStyle w:val="Footer"/>
      <w:jc w:val="right"/>
    </w:pPr>
    <w:r>
      <w:tab/>
    </w:r>
    <w:r>
      <w:tab/>
    </w:r>
    <w:r w:rsidR="00A96A37">
      <w:fldChar w:fldCharType="begin"/>
    </w:r>
    <w:r w:rsidR="00A96A37">
      <w:instrText xml:space="preserve"> STYLEREF Title \* MERGEFORMAT </w:instrText>
    </w:r>
    <w:r w:rsidR="00A96A37">
      <w:fldChar w:fldCharType="separate"/>
    </w:r>
    <w:r w:rsidR="00FC200F">
      <w:rPr>
        <w:noProof/>
      </w:rPr>
      <w:t>Corporate Plan 2015-2019</w:t>
    </w:r>
    <w:r w:rsidR="00A96A37">
      <w:rPr>
        <w:noProof/>
      </w:rPr>
      <w:fldChar w:fldCharType="end"/>
    </w:r>
    <w:r w:rsidRPr="009D46F0">
      <w:tab/>
    </w:r>
    <w:r w:rsidRPr="009D46F0">
      <w:rPr>
        <w:rStyle w:val="PageNumber"/>
        <w:rFonts w:ascii="Franklin Gothic Book" w:hAnsi="Franklin Gothic Book"/>
        <w:color w:val="3E3935"/>
      </w:rPr>
      <w:tab/>
    </w:r>
    <w:r w:rsidRPr="009D46F0">
      <w:rPr>
        <w:rStyle w:val="PageNumber"/>
        <w:rFonts w:ascii="Franklin Gothic Book" w:hAnsi="Franklin Gothic Book"/>
        <w:color w:val="3E3935"/>
      </w:rPr>
      <w:fldChar w:fldCharType="begin"/>
    </w:r>
    <w:r w:rsidRPr="009D46F0">
      <w:rPr>
        <w:rStyle w:val="PageNumber"/>
        <w:rFonts w:ascii="Franklin Gothic Book" w:hAnsi="Franklin Gothic Book"/>
        <w:color w:val="3E3935"/>
      </w:rPr>
      <w:instrText xml:space="preserve"> PAGE </w:instrText>
    </w:r>
    <w:r w:rsidRPr="009D46F0">
      <w:rPr>
        <w:rStyle w:val="PageNumber"/>
        <w:rFonts w:ascii="Franklin Gothic Book" w:hAnsi="Franklin Gothic Book"/>
        <w:color w:val="3E3935"/>
      </w:rPr>
      <w:fldChar w:fldCharType="separate"/>
    </w:r>
    <w:r w:rsidR="00FC200F">
      <w:rPr>
        <w:rStyle w:val="PageNumber"/>
        <w:rFonts w:ascii="Franklin Gothic Book" w:hAnsi="Franklin Gothic Book"/>
        <w:noProof/>
        <w:color w:val="3E3935"/>
      </w:rPr>
      <w:t>1</w:t>
    </w:r>
    <w:r w:rsidRPr="009D46F0">
      <w:rPr>
        <w:rStyle w:val="PageNumber"/>
        <w:rFonts w:ascii="Franklin Gothic Book" w:hAnsi="Franklin Gothic Book"/>
        <w:color w:val="3E393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37" w:rsidRDefault="00A96A37" w:rsidP="00B90206">
      <w:pPr>
        <w:spacing w:before="60" w:after="40" w:line="180" w:lineRule="exact"/>
      </w:pPr>
      <w:r>
        <w:continuationSeparator/>
      </w:r>
    </w:p>
    <w:p w:rsidR="00A96A37" w:rsidRDefault="00A96A37"/>
  </w:footnote>
  <w:footnote w:type="continuationSeparator" w:id="0">
    <w:p w:rsidR="00A96A37" w:rsidRDefault="00A96A37">
      <w:r>
        <w:continuationSeparator/>
      </w:r>
    </w:p>
    <w:p w:rsidR="00A96A37" w:rsidRDefault="00A96A37"/>
  </w:footnote>
  <w:footnote w:type="continuationNotice" w:id="1">
    <w:p w:rsidR="00A96A37" w:rsidRDefault="00A96A37"/>
    <w:p w:rsidR="00A96A37" w:rsidRDefault="00A96A37"/>
  </w:footnote>
  <w:footnote w:id="2">
    <w:p w:rsidR="007872CB" w:rsidRDefault="007872CB">
      <w:pPr>
        <w:pStyle w:val="FootnoteText"/>
      </w:pPr>
      <w:r>
        <w:rPr>
          <w:rStyle w:val="FootnoteReference"/>
        </w:rPr>
        <w:footnoteRef/>
      </w:r>
      <w:r>
        <w:t xml:space="preserve"> Locally engaged staff (LES) are locally engaged staff directly employed by overseas missions and are not considered members of the Australian Public Service.  Australia-based (A based) staff are directly employed by the department, and are considered members of the Australian Public Service.</w:t>
      </w:r>
    </w:p>
  </w:footnote>
  <w:footnote w:id="3">
    <w:p w:rsidR="007872CB" w:rsidRDefault="007872CB" w:rsidP="00926AF4">
      <w:pPr>
        <w:pStyle w:val="FootnoteText"/>
      </w:pPr>
      <w:r>
        <w:rPr>
          <w:rStyle w:val="FootnoteReference"/>
        </w:rPr>
        <w:footnoteRef/>
      </w:r>
      <w:r>
        <w:t xml:space="preserve"> Headcount data as at 30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B" w:rsidRDefault="007872CB" w:rsidP="00B9020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B" w:rsidRPr="00ED74E4" w:rsidRDefault="007872CB" w:rsidP="001320C8">
    <w:pPr>
      <w:pStyle w:val="Header"/>
      <w:jc w:val="left"/>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B" w:rsidRDefault="007872CB" w:rsidP="00851F21">
    <w:pPr>
      <w:pStyle w:val="Header"/>
      <w:ind w:right="1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2CB" w:rsidRPr="00ED74E4" w:rsidRDefault="007872CB" w:rsidP="00ED74E4">
    <w:pPr>
      <w:pStyle w:val="Header"/>
      <w:jc w:val="center"/>
      <w:rPr>
        <w:b/>
        <w:sz w:val="20"/>
        <w:szCs w:val="20"/>
      </w:rPr>
    </w:pPr>
    <w:r w:rsidRPr="00ED74E4">
      <w:rPr>
        <w:b/>
        <w:sz w:val="20"/>
        <w:szCs w:val="20"/>
      </w:rPr>
      <w:t xml:space="preserve"> For Official Use Only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6">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7">
    <w:nsid w:val="1C233380"/>
    <w:multiLevelType w:val="multilevel"/>
    <w:tmpl w:val="E208E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9">
    <w:nsid w:val="33BC61C9"/>
    <w:multiLevelType w:val="hybridMultilevel"/>
    <w:tmpl w:val="59D239BA"/>
    <w:lvl w:ilvl="0" w:tplc="89ACF37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82D65A6"/>
    <w:multiLevelType w:val="hybridMultilevel"/>
    <w:tmpl w:val="BBA2DA8A"/>
    <w:lvl w:ilvl="0" w:tplc="681A17E8">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2">
    <w:nsid w:val="3B3C3EB6"/>
    <w:multiLevelType w:val="multilevel"/>
    <w:tmpl w:val="E208E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6CD579B"/>
    <w:multiLevelType w:val="hybridMultilevel"/>
    <w:tmpl w:val="6046BF8A"/>
    <w:lvl w:ilvl="0" w:tplc="9B00EB32">
      <w:start w:val="1"/>
      <w:numFmt w:val="bullet"/>
      <w:pStyle w:val="BoxListBullet"/>
      <w:lvlText w:val="›"/>
      <w:lvlJc w:val="left"/>
      <w:pPr>
        <w:ind w:left="1636" w:hanging="360"/>
      </w:pPr>
      <w:rPr>
        <w:rFonts w:ascii="Times New Roman" w:hAnsi="Times New Roman" w:cs="Times New Roman" w:hint="default"/>
        <w:color w:val="auto"/>
        <w:position w:val="3"/>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B656932"/>
    <w:multiLevelType w:val="hybridMultilevel"/>
    <w:tmpl w:val="E208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17">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5"/>
  </w:num>
  <w:num w:numId="4">
    <w:abstractNumId w:val="8"/>
  </w:num>
  <w:num w:numId="5">
    <w:abstractNumId w:val="11"/>
  </w:num>
  <w:num w:numId="6">
    <w:abstractNumId w:val="13"/>
  </w:num>
  <w:num w:numId="7">
    <w:abstractNumId w:val="4"/>
  </w:num>
  <w:num w:numId="8">
    <w:abstractNumId w:val="10"/>
  </w:num>
  <w:num w:numId="9">
    <w:abstractNumId w:val="6"/>
  </w:num>
  <w:num w:numId="10">
    <w:abstractNumId w:val="17"/>
  </w:num>
  <w:num w:numId="11">
    <w:abstractNumId w:val="1"/>
  </w:num>
  <w:num w:numId="12">
    <w:abstractNumId w:val="0"/>
  </w:num>
  <w:num w:numId="13">
    <w:abstractNumId w:val="2"/>
  </w:num>
  <w:num w:numId="14">
    <w:abstractNumId w:val="3"/>
  </w:num>
  <w:num w:numId="15">
    <w:abstractNumId w:val="15"/>
  </w:num>
  <w:num w:numId="16">
    <w:abstractNumId w:val="12"/>
  </w:num>
  <w:num w:numId="17">
    <w:abstractNumId w:val="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9"/>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1F"/>
    <w:rsid w:val="00005A8F"/>
    <w:rsid w:val="0001670C"/>
    <w:rsid w:val="0002368D"/>
    <w:rsid w:val="00025944"/>
    <w:rsid w:val="00031E7B"/>
    <w:rsid w:val="000347F4"/>
    <w:rsid w:val="0004079A"/>
    <w:rsid w:val="0004417B"/>
    <w:rsid w:val="00070063"/>
    <w:rsid w:val="00070911"/>
    <w:rsid w:val="00071986"/>
    <w:rsid w:val="00086F5F"/>
    <w:rsid w:val="000A1633"/>
    <w:rsid w:val="000A4F2C"/>
    <w:rsid w:val="000B09E5"/>
    <w:rsid w:val="000C0826"/>
    <w:rsid w:val="000C0A83"/>
    <w:rsid w:val="000D57DD"/>
    <w:rsid w:val="000F236E"/>
    <w:rsid w:val="00111771"/>
    <w:rsid w:val="00117270"/>
    <w:rsid w:val="001202CB"/>
    <w:rsid w:val="0012681F"/>
    <w:rsid w:val="00131B78"/>
    <w:rsid w:val="001320C8"/>
    <w:rsid w:val="00133249"/>
    <w:rsid w:val="00134C95"/>
    <w:rsid w:val="00134E8B"/>
    <w:rsid w:val="00137BDC"/>
    <w:rsid w:val="0014453B"/>
    <w:rsid w:val="00144AF7"/>
    <w:rsid w:val="001562C8"/>
    <w:rsid w:val="00160350"/>
    <w:rsid w:val="0016250F"/>
    <w:rsid w:val="00163DFD"/>
    <w:rsid w:val="00166B39"/>
    <w:rsid w:val="00167F1D"/>
    <w:rsid w:val="00170781"/>
    <w:rsid w:val="00173F5A"/>
    <w:rsid w:val="00181FE9"/>
    <w:rsid w:val="00181FEF"/>
    <w:rsid w:val="0018375E"/>
    <w:rsid w:val="00190EC2"/>
    <w:rsid w:val="00195678"/>
    <w:rsid w:val="001B2E4B"/>
    <w:rsid w:val="001C1140"/>
    <w:rsid w:val="001C1B05"/>
    <w:rsid w:val="001C653D"/>
    <w:rsid w:val="001E2DF8"/>
    <w:rsid w:val="001E57F6"/>
    <w:rsid w:val="001E7A82"/>
    <w:rsid w:val="001F3C0E"/>
    <w:rsid w:val="001F5D82"/>
    <w:rsid w:val="001F6D6C"/>
    <w:rsid w:val="00206162"/>
    <w:rsid w:val="00212CE9"/>
    <w:rsid w:val="002178E0"/>
    <w:rsid w:val="00217CF4"/>
    <w:rsid w:val="002221EF"/>
    <w:rsid w:val="002355CF"/>
    <w:rsid w:val="002454DF"/>
    <w:rsid w:val="002474E8"/>
    <w:rsid w:val="00256B8B"/>
    <w:rsid w:val="0026232A"/>
    <w:rsid w:val="002663FE"/>
    <w:rsid w:val="00287623"/>
    <w:rsid w:val="00290E4F"/>
    <w:rsid w:val="00291F17"/>
    <w:rsid w:val="00295300"/>
    <w:rsid w:val="00295CF7"/>
    <w:rsid w:val="00296065"/>
    <w:rsid w:val="002964FD"/>
    <w:rsid w:val="002A1C19"/>
    <w:rsid w:val="002B122B"/>
    <w:rsid w:val="002B698E"/>
    <w:rsid w:val="002C113F"/>
    <w:rsid w:val="002E2AE4"/>
    <w:rsid w:val="002E3F33"/>
    <w:rsid w:val="002F0AF9"/>
    <w:rsid w:val="003157BA"/>
    <w:rsid w:val="003159AF"/>
    <w:rsid w:val="00315C8D"/>
    <w:rsid w:val="0032259E"/>
    <w:rsid w:val="00324A32"/>
    <w:rsid w:val="00335EF2"/>
    <w:rsid w:val="00353595"/>
    <w:rsid w:val="003546F9"/>
    <w:rsid w:val="003610D9"/>
    <w:rsid w:val="00361838"/>
    <w:rsid w:val="00370113"/>
    <w:rsid w:val="00391240"/>
    <w:rsid w:val="003A1480"/>
    <w:rsid w:val="003A1A9E"/>
    <w:rsid w:val="003A374D"/>
    <w:rsid w:val="003B2AD1"/>
    <w:rsid w:val="003C458D"/>
    <w:rsid w:val="003C5754"/>
    <w:rsid w:val="003D4FDE"/>
    <w:rsid w:val="003F1C66"/>
    <w:rsid w:val="00416C57"/>
    <w:rsid w:val="00435125"/>
    <w:rsid w:val="00444B95"/>
    <w:rsid w:val="004521F6"/>
    <w:rsid w:val="004536CC"/>
    <w:rsid w:val="00456F77"/>
    <w:rsid w:val="00470ABF"/>
    <w:rsid w:val="00474118"/>
    <w:rsid w:val="00477008"/>
    <w:rsid w:val="00485AB6"/>
    <w:rsid w:val="00485D34"/>
    <w:rsid w:val="004969B3"/>
    <w:rsid w:val="004A0354"/>
    <w:rsid w:val="004A4545"/>
    <w:rsid w:val="004A77E7"/>
    <w:rsid w:val="004B53E0"/>
    <w:rsid w:val="004D09E8"/>
    <w:rsid w:val="004D2003"/>
    <w:rsid w:val="004E3D17"/>
    <w:rsid w:val="004F00E5"/>
    <w:rsid w:val="0050743C"/>
    <w:rsid w:val="00514717"/>
    <w:rsid w:val="00517F1A"/>
    <w:rsid w:val="005203BC"/>
    <w:rsid w:val="00532F93"/>
    <w:rsid w:val="005367CF"/>
    <w:rsid w:val="00537EBC"/>
    <w:rsid w:val="00544846"/>
    <w:rsid w:val="005541FF"/>
    <w:rsid w:val="00554B73"/>
    <w:rsid w:val="00555659"/>
    <w:rsid w:val="00557D7C"/>
    <w:rsid w:val="005655E5"/>
    <w:rsid w:val="00566955"/>
    <w:rsid w:val="005753BF"/>
    <w:rsid w:val="005765BF"/>
    <w:rsid w:val="005831FA"/>
    <w:rsid w:val="0059467A"/>
    <w:rsid w:val="00595795"/>
    <w:rsid w:val="00597931"/>
    <w:rsid w:val="005A1D6E"/>
    <w:rsid w:val="005A2751"/>
    <w:rsid w:val="005A4BF9"/>
    <w:rsid w:val="005C191A"/>
    <w:rsid w:val="005D4AA8"/>
    <w:rsid w:val="005D7C61"/>
    <w:rsid w:val="0060572F"/>
    <w:rsid w:val="00617B0A"/>
    <w:rsid w:val="0062543E"/>
    <w:rsid w:val="00631DC4"/>
    <w:rsid w:val="0063297A"/>
    <w:rsid w:val="0063540C"/>
    <w:rsid w:val="0063712C"/>
    <w:rsid w:val="006421AC"/>
    <w:rsid w:val="00642568"/>
    <w:rsid w:val="006573B0"/>
    <w:rsid w:val="00673E9D"/>
    <w:rsid w:val="006815BC"/>
    <w:rsid w:val="0068754A"/>
    <w:rsid w:val="00690560"/>
    <w:rsid w:val="006A1C33"/>
    <w:rsid w:val="006A770A"/>
    <w:rsid w:val="006B72B7"/>
    <w:rsid w:val="006C5187"/>
    <w:rsid w:val="006C7704"/>
    <w:rsid w:val="006D0B4C"/>
    <w:rsid w:val="006D4505"/>
    <w:rsid w:val="006F4DEE"/>
    <w:rsid w:val="007101BB"/>
    <w:rsid w:val="00715F56"/>
    <w:rsid w:val="00721254"/>
    <w:rsid w:val="00730E4B"/>
    <w:rsid w:val="0076055E"/>
    <w:rsid w:val="00760FF4"/>
    <w:rsid w:val="00763E7D"/>
    <w:rsid w:val="00772E82"/>
    <w:rsid w:val="0077314C"/>
    <w:rsid w:val="00782E70"/>
    <w:rsid w:val="007872CB"/>
    <w:rsid w:val="007877C3"/>
    <w:rsid w:val="00796831"/>
    <w:rsid w:val="007A1A49"/>
    <w:rsid w:val="007A420D"/>
    <w:rsid w:val="007A7C10"/>
    <w:rsid w:val="007B2A68"/>
    <w:rsid w:val="007B4341"/>
    <w:rsid w:val="007B69CF"/>
    <w:rsid w:val="007B73ED"/>
    <w:rsid w:val="007C0C9E"/>
    <w:rsid w:val="007C1388"/>
    <w:rsid w:val="007C319D"/>
    <w:rsid w:val="007D1319"/>
    <w:rsid w:val="007D27D9"/>
    <w:rsid w:val="007D4F4E"/>
    <w:rsid w:val="007E00AB"/>
    <w:rsid w:val="007E1095"/>
    <w:rsid w:val="007E4326"/>
    <w:rsid w:val="007E7BC9"/>
    <w:rsid w:val="007F7B9B"/>
    <w:rsid w:val="00800381"/>
    <w:rsid w:val="008014B0"/>
    <w:rsid w:val="008041E3"/>
    <w:rsid w:val="008054B7"/>
    <w:rsid w:val="00834DD7"/>
    <w:rsid w:val="00836B2F"/>
    <w:rsid w:val="008469A5"/>
    <w:rsid w:val="00847C31"/>
    <w:rsid w:val="00851F21"/>
    <w:rsid w:val="00853917"/>
    <w:rsid w:val="00854ED3"/>
    <w:rsid w:val="00856907"/>
    <w:rsid w:val="0086261A"/>
    <w:rsid w:val="0086298F"/>
    <w:rsid w:val="008728AD"/>
    <w:rsid w:val="00877889"/>
    <w:rsid w:val="008878C2"/>
    <w:rsid w:val="00890CBB"/>
    <w:rsid w:val="00892771"/>
    <w:rsid w:val="00894FF8"/>
    <w:rsid w:val="00895CE3"/>
    <w:rsid w:val="00896260"/>
    <w:rsid w:val="008A42A7"/>
    <w:rsid w:val="008A54E0"/>
    <w:rsid w:val="008B141F"/>
    <w:rsid w:val="008B203B"/>
    <w:rsid w:val="008D1737"/>
    <w:rsid w:val="008D33C5"/>
    <w:rsid w:val="008F7607"/>
    <w:rsid w:val="00903251"/>
    <w:rsid w:val="009054B8"/>
    <w:rsid w:val="00910552"/>
    <w:rsid w:val="0091071F"/>
    <w:rsid w:val="00910AB9"/>
    <w:rsid w:val="009141D4"/>
    <w:rsid w:val="00925B91"/>
    <w:rsid w:val="00926AF4"/>
    <w:rsid w:val="0094735D"/>
    <w:rsid w:val="00954351"/>
    <w:rsid w:val="0095794A"/>
    <w:rsid w:val="00957EBB"/>
    <w:rsid w:val="009A1754"/>
    <w:rsid w:val="009A3D4A"/>
    <w:rsid w:val="009B3F6C"/>
    <w:rsid w:val="009C06A2"/>
    <w:rsid w:val="009C416D"/>
    <w:rsid w:val="009C5BD8"/>
    <w:rsid w:val="009D15A1"/>
    <w:rsid w:val="009D46F0"/>
    <w:rsid w:val="009D4C1C"/>
    <w:rsid w:val="009E293A"/>
    <w:rsid w:val="009F638B"/>
    <w:rsid w:val="00A04765"/>
    <w:rsid w:val="00A16470"/>
    <w:rsid w:val="00A2412D"/>
    <w:rsid w:val="00A26235"/>
    <w:rsid w:val="00A26D3B"/>
    <w:rsid w:val="00A423A8"/>
    <w:rsid w:val="00A56207"/>
    <w:rsid w:val="00A610A6"/>
    <w:rsid w:val="00A62658"/>
    <w:rsid w:val="00A832BA"/>
    <w:rsid w:val="00A85648"/>
    <w:rsid w:val="00A96A37"/>
    <w:rsid w:val="00AB5BB9"/>
    <w:rsid w:val="00AC4FAD"/>
    <w:rsid w:val="00AD0C6B"/>
    <w:rsid w:val="00AD0D0D"/>
    <w:rsid w:val="00AD27D1"/>
    <w:rsid w:val="00AD288C"/>
    <w:rsid w:val="00AE25B6"/>
    <w:rsid w:val="00B0252E"/>
    <w:rsid w:val="00B14E48"/>
    <w:rsid w:val="00B15929"/>
    <w:rsid w:val="00B17632"/>
    <w:rsid w:val="00B42D7F"/>
    <w:rsid w:val="00B7391B"/>
    <w:rsid w:val="00B90206"/>
    <w:rsid w:val="00B9373D"/>
    <w:rsid w:val="00BA1E44"/>
    <w:rsid w:val="00BA2E35"/>
    <w:rsid w:val="00BA46A4"/>
    <w:rsid w:val="00BA63FB"/>
    <w:rsid w:val="00BB146D"/>
    <w:rsid w:val="00BB17C6"/>
    <w:rsid w:val="00BC5AF4"/>
    <w:rsid w:val="00BE0BF6"/>
    <w:rsid w:val="00BF77B2"/>
    <w:rsid w:val="00C1434E"/>
    <w:rsid w:val="00C21CEA"/>
    <w:rsid w:val="00C24582"/>
    <w:rsid w:val="00C25A13"/>
    <w:rsid w:val="00C36563"/>
    <w:rsid w:val="00C419B5"/>
    <w:rsid w:val="00C44098"/>
    <w:rsid w:val="00C504CA"/>
    <w:rsid w:val="00C54CCD"/>
    <w:rsid w:val="00C57E00"/>
    <w:rsid w:val="00C65C78"/>
    <w:rsid w:val="00C70DD3"/>
    <w:rsid w:val="00C76C8F"/>
    <w:rsid w:val="00CB7C5F"/>
    <w:rsid w:val="00CC6B6E"/>
    <w:rsid w:val="00CF1ECF"/>
    <w:rsid w:val="00CF6037"/>
    <w:rsid w:val="00D04659"/>
    <w:rsid w:val="00D05E07"/>
    <w:rsid w:val="00D2789A"/>
    <w:rsid w:val="00D27AF2"/>
    <w:rsid w:val="00D5391F"/>
    <w:rsid w:val="00D578B8"/>
    <w:rsid w:val="00D70620"/>
    <w:rsid w:val="00D8553C"/>
    <w:rsid w:val="00D94479"/>
    <w:rsid w:val="00D945C6"/>
    <w:rsid w:val="00DB17C7"/>
    <w:rsid w:val="00DB1B0C"/>
    <w:rsid w:val="00DD231B"/>
    <w:rsid w:val="00DF76F3"/>
    <w:rsid w:val="00DF772B"/>
    <w:rsid w:val="00E25B8E"/>
    <w:rsid w:val="00E318D8"/>
    <w:rsid w:val="00E40E86"/>
    <w:rsid w:val="00E42B85"/>
    <w:rsid w:val="00E52830"/>
    <w:rsid w:val="00E64E3D"/>
    <w:rsid w:val="00E95941"/>
    <w:rsid w:val="00EA02A0"/>
    <w:rsid w:val="00EA5B03"/>
    <w:rsid w:val="00EB1A89"/>
    <w:rsid w:val="00EB398C"/>
    <w:rsid w:val="00EB5497"/>
    <w:rsid w:val="00EC2BB1"/>
    <w:rsid w:val="00EC38E2"/>
    <w:rsid w:val="00ED0735"/>
    <w:rsid w:val="00ED56D9"/>
    <w:rsid w:val="00ED5805"/>
    <w:rsid w:val="00ED74E4"/>
    <w:rsid w:val="00EE41D5"/>
    <w:rsid w:val="00EE6A04"/>
    <w:rsid w:val="00EF136F"/>
    <w:rsid w:val="00EF2734"/>
    <w:rsid w:val="00EF421E"/>
    <w:rsid w:val="00F01449"/>
    <w:rsid w:val="00F04F5D"/>
    <w:rsid w:val="00F14797"/>
    <w:rsid w:val="00F20240"/>
    <w:rsid w:val="00F204F1"/>
    <w:rsid w:val="00F23D98"/>
    <w:rsid w:val="00F3471F"/>
    <w:rsid w:val="00F46211"/>
    <w:rsid w:val="00F50883"/>
    <w:rsid w:val="00F5774F"/>
    <w:rsid w:val="00F738B8"/>
    <w:rsid w:val="00F74E22"/>
    <w:rsid w:val="00F90D8A"/>
    <w:rsid w:val="00F91998"/>
    <w:rsid w:val="00FA12F5"/>
    <w:rsid w:val="00FA7248"/>
    <w:rsid w:val="00FB3CE2"/>
    <w:rsid w:val="00FC200F"/>
    <w:rsid w:val="00FE16B0"/>
    <w:rsid w:val="00FE2116"/>
  </w:rsids>
  <m:mathPr>
    <m:mathFont m:val="Cambria Math"/>
    <m:brkBin m:val="before"/>
    <m:brkBinSub m:val="--"/>
    <m:smallFrac/>
    <m:dispDef/>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Normal (Web)" w:uiPriority="99"/>
    <w:lsdException w:name="List Paragraph" w:uiPriority="34" w:qFormat="1"/>
    <w:lsdException w:name="Medium Grid 3 Accent 1" w:uiPriority="6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link w:val="Heading4Char"/>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link w:val="Heading5Char"/>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link w:val="FootnoteTextChar"/>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styleId="ListParagraph">
    <w:name w:val="List Paragraph"/>
    <w:basedOn w:val="Normal"/>
    <w:uiPriority w:val="34"/>
    <w:qFormat/>
    <w:rsid w:val="005753BF"/>
    <w:pPr>
      <w:ind w:left="720"/>
      <w:contextualSpacing/>
    </w:pPr>
    <w:rPr>
      <w:lang w:eastAsia="en-US"/>
    </w:rPr>
  </w:style>
  <w:style w:type="character" w:styleId="CommentReference">
    <w:name w:val="annotation reference"/>
    <w:basedOn w:val="DefaultParagraphFont"/>
    <w:rsid w:val="00134C95"/>
    <w:rPr>
      <w:sz w:val="16"/>
      <w:szCs w:val="16"/>
    </w:rPr>
  </w:style>
  <w:style w:type="paragraph" w:styleId="CommentText">
    <w:name w:val="annotation text"/>
    <w:basedOn w:val="Normal"/>
    <w:link w:val="CommentTextChar"/>
    <w:rsid w:val="00134C95"/>
    <w:rPr>
      <w:sz w:val="20"/>
      <w:szCs w:val="20"/>
    </w:rPr>
  </w:style>
  <w:style w:type="character" w:customStyle="1" w:styleId="CommentTextChar">
    <w:name w:val="Comment Text Char"/>
    <w:basedOn w:val="DefaultParagraphFont"/>
    <w:link w:val="CommentText"/>
    <w:rsid w:val="00134C95"/>
  </w:style>
  <w:style w:type="character" w:styleId="IntenseEmphasis">
    <w:name w:val="Intense Emphasis"/>
    <w:basedOn w:val="DefaultParagraphFont"/>
    <w:uiPriority w:val="21"/>
    <w:qFormat/>
    <w:rsid w:val="00926AF4"/>
    <w:rPr>
      <w:b/>
      <w:bCs/>
      <w:i/>
      <w:iCs/>
      <w:color w:val="4F81BD" w:themeColor="accent1"/>
    </w:rPr>
  </w:style>
  <w:style w:type="character" w:customStyle="1" w:styleId="FootnoteTextChar">
    <w:name w:val="Footnote Text Char"/>
    <w:basedOn w:val="DefaultParagraphFont"/>
    <w:link w:val="FootnoteText"/>
    <w:rsid w:val="00926AF4"/>
    <w:rPr>
      <w:rFonts w:ascii="Franklin Gothic Book" w:hAnsi="Franklin Gothic Book"/>
      <w:sz w:val="16"/>
      <w:szCs w:val="14"/>
    </w:rPr>
  </w:style>
  <w:style w:type="character" w:customStyle="1" w:styleId="Heading5Char">
    <w:name w:val="Heading 5 Char"/>
    <w:basedOn w:val="DefaultParagraphFont"/>
    <w:link w:val="Heading5"/>
    <w:rsid w:val="00070063"/>
    <w:rPr>
      <w:rFonts w:ascii="Arial" w:hAnsi="Arial" w:cs="Arial"/>
      <w:color w:val="124486"/>
      <w:kern w:val="28"/>
      <w:sz w:val="22"/>
      <w:szCs w:val="22"/>
      <w:lang w:eastAsia="zh-CN"/>
    </w:rPr>
  </w:style>
  <w:style w:type="character" w:customStyle="1" w:styleId="Heading4Char">
    <w:name w:val="Heading 4 Char"/>
    <w:basedOn w:val="DefaultParagraphFont"/>
    <w:link w:val="Heading4"/>
    <w:rsid w:val="00C24582"/>
    <w:rPr>
      <w:rFonts w:ascii="Helvetica" w:hAnsi="Helvetica" w:cs="Arial"/>
      <w:b/>
      <w:color w:val="124486"/>
      <w:kern w:val="28"/>
      <w:sz w:val="22"/>
      <w:szCs w:val="22"/>
      <w:lang w:eastAsia="zh-CN"/>
    </w:rPr>
  </w:style>
  <w:style w:type="character" w:styleId="Strong">
    <w:name w:val="Strong"/>
    <w:basedOn w:val="DefaultParagraphFont"/>
    <w:uiPriority w:val="22"/>
    <w:qFormat/>
    <w:rsid w:val="00C24582"/>
    <w:rPr>
      <w:b/>
      <w:bCs/>
    </w:rPr>
  </w:style>
  <w:style w:type="paragraph" w:styleId="NormalWeb">
    <w:name w:val="Normal (Web)"/>
    <w:basedOn w:val="Normal"/>
    <w:uiPriority w:val="99"/>
    <w:unhideWhenUsed/>
    <w:rsid w:val="00B7391B"/>
    <w:pPr>
      <w:spacing w:before="100" w:beforeAutospacing="1" w:after="100" w:afterAutospacing="1"/>
    </w:pPr>
  </w:style>
  <w:style w:type="table" w:styleId="MediumShading1-Accent1">
    <w:name w:val="Medium Shading 1 Accent 1"/>
    <w:basedOn w:val="TableNormal"/>
    <w:rsid w:val="005074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5074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rsid w:val="0050743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EndnoteText">
    <w:name w:val="endnote text"/>
    <w:basedOn w:val="Normal"/>
    <w:link w:val="EndnoteTextChar"/>
    <w:rsid w:val="00C57E00"/>
    <w:rPr>
      <w:sz w:val="20"/>
      <w:szCs w:val="20"/>
    </w:rPr>
  </w:style>
  <w:style w:type="character" w:customStyle="1" w:styleId="EndnoteTextChar">
    <w:name w:val="Endnote Text Char"/>
    <w:basedOn w:val="DefaultParagraphFont"/>
    <w:link w:val="EndnoteText"/>
    <w:rsid w:val="00C57E00"/>
  </w:style>
  <w:style w:type="character" w:styleId="EndnoteReference">
    <w:name w:val="endnote reference"/>
    <w:basedOn w:val="DefaultParagraphFont"/>
    <w:rsid w:val="00C57E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Normal (Web)" w:uiPriority="99"/>
    <w:lsdException w:name="List Paragraph" w:uiPriority="34" w:qFormat="1"/>
    <w:lsdException w:name="Medium Grid 3 Accent 1" w:uiPriority="6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link w:val="Heading4Char"/>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link w:val="Heading5Char"/>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link w:val="FootnoteTextChar"/>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ind w:left="851" w:hanging="284"/>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Borders>
        <w:top w:val="single" w:sz="12" w:space="0" w:color="auto"/>
        <w:bottom w:val="single" w:sz="12" w:space="0" w:color="auto"/>
      </w:tblBorders>
    </w:tblPr>
  </w:style>
  <w:style w:type="table" w:customStyle="1" w:styleId="DFATBox">
    <w:name w:val="DFAT Box"/>
    <w:basedOn w:val="TableNormal"/>
    <w:uiPriority w:val="99"/>
    <w:rsid w:val="00F23D98"/>
    <w:rPr>
      <w:rFonts w:ascii="Helvetica" w:eastAsia="Calibri" w:hAnsi="Helvetica"/>
      <w:sz w:val="22"/>
      <w:szCs w:val="22"/>
    </w:rPr>
    <w:tblPr>
      <w:tblBorders>
        <w:top w:val="single" w:sz="4" w:space="0" w:color="auto"/>
        <w:left w:val="single" w:sz="4" w:space="0" w:color="auto"/>
        <w:bottom w:val="single" w:sz="4" w:space="0" w:color="auto"/>
        <w:right w:val="single" w:sz="4" w:space="0" w:color="auto"/>
      </w:tblBorders>
    </w:tblPr>
    <w:tcPr>
      <w:shd w:val="clear" w:color="auto" w:fill="C7D5E6"/>
    </w:tcPr>
  </w:style>
  <w:style w:type="character" w:customStyle="1" w:styleId="FooterChar">
    <w:name w:val="Footer Char"/>
    <w:basedOn w:val="DefaultParagraphFont"/>
    <w:link w:val="Footer"/>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styleId="ListParagraph">
    <w:name w:val="List Paragraph"/>
    <w:basedOn w:val="Normal"/>
    <w:uiPriority w:val="34"/>
    <w:qFormat/>
    <w:rsid w:val="005753BF"/>
    <w:pPr>
      <w:ind w:left="720"/>
      <w:contextualSpacing/>
    </w:pPr>
    <w:rPr>
      <w:lang w:eastAsia="en-US"/>
    </w:rPr>
  </w:style>
  <w:style w:type="character" w:styleId="CommentReference">
    <w:name w:val="annotation reference"/>
    <w:basedOn w:val="DefaultParagraphFont"/>
    <w:rsid w:val="00134C95"/>
    <w:rPr>
      <w:sz w:val="16"/>
      <w:szCs w:val="16"/>
    </w:rPr>
  </w:style>
  <w:style w:type="paragraph" w:styleId="CommentText">
    <w:name w:val="annotation text"/>
    <w:basedOn w:val="Normal"/>
    <w:link w:val="CommentTextChar"/>
    <w:rsid w:val="00134C95"/>
    <w:rPr>
      <w:sz w:val="20"/>
      <w:szCs w:val="20"/>
    </w:rPr>
  </w:style>
  <w:style w:type="character" w:customStyle="1" w:styleId="CommentTextChar">
    <w:name w:val="Comment Text Char"/>
    <w:basedOn w:val="DefaultParagraphFont"/>
    <w:link w:val="CommentText"/>
    <w:rsid w:val="00134C95"/>
  </w:style>
  <w:style w:type="character" w:styleId="IntenseEmphasis">
    <w:name w:val="Intense Emphasis"/>
    <w:basedOn w:val="DefaultParagraphFont"/>
    <w:uiPriority w:val="21"/>
    <w:qFormat/>
    <w:rsid w:val="00926AF4"/>
    <w:rPr>
      <w:b/>
      <w:bCs/>
      <w:i/>
      <w:iCs/>
      <w:color w:val="4F81BD" w:themeColor="accent1"/>
    </w:rPr>
  </w:style>
  <w:style w:type="character" w:customStyle="1" w:styleId="FootnoteTextChar">
    <w:name w:val="Footnote Text Char"/>
    <w:basedOn w:val="DefaultParagraphFont"/>
    <w:link w:val="FootnoteText"/>
    <w:rsid w:val="00926AF4"/>
    <w:rPr>
      <w:rFonts w:ascii="Franklin Gothic Book" w:hAnsi="Franklin Gothic Book"/>
      <w:sz w:val="16"/>
      <w:szCs w:val="14"/>
    </w:rPr>
  </w:style>
  <w:style w:type="character" w:customStyle="1" w:styleId="Heading5Char">
    <w:name w:val="Heading 5 Char"/>
    <w:basedOn w:val="DefaultParagraphFont"/>
    <w:link w:val="Heading5"/>
    <w:rsid w:val="00070063"/>
    <w:rPr>
      <w:rFonts w:ascii="Arial" w:hAnsi="Arial" w:cs="Arial"/>
      <w:color w:val="124486"/>
      <w:kern w:val="28"/>
      <w:sz w:val="22"/>
      <w:szCs w:val="22"/>
      <w:lang w:eastAsia="zh-CN"/>
    </w:rPr>
  </w:style>
  <w:style w:type="character" w:customStyle="1" w:styleId="Heading4Char">
    <w:name w:val="Heading 4 Char"/>
    <w:basedOn w:val="DefaultParagraphFont"/>
    <w:link w:val="Heading4"/>
    <w:rsid w:val="00C24582"/>
    <w:rPr>
      <w:rFonts w:ascii="Helvetica" w:hAnsi="Helvetica" w:cs="Arial"/>
      <w:b/>
      <w:color w:val="124486"/>
      <w:kern w:val="28"/>
      <w:sz w:val="22"/>
      <w:szCs w:val="22"/>
      <w:lang w:eastAsia="zh-CN"/>
    </w:rPr>
  </w:style>
  <w:style w:type="character" w:styleId="Strong">
    <w:name w:val="Strong"/>
    <w:basedOn w:val="DefaultParagraphFont"/>
    <w:uiPriority w:val="22"/>
    <w:qFormat/>
    <w:rsid w:val="00C24582"/>
    <w:rPr>
      <w:b/>
      <w:bCs/>
    </w:rPr>
  </w:style>
  <w:style w:type="paragraph" w:styleId="NormalWeb">
    <w:name w:val="Normal (Web)"/>
    <w:basedOn w:val="Normal"/>
    <w:uiPriority w:val="99"/>
    <w:unhideWhenUsed/>
    <w:rsid w:val="00B7391B"/>
    <w:pPr>
      <w:spacing w:before="100" w:beforeAutospacing="1" w:after="100" w:afterAutospacing="1"/>
    </w:pPr>
  </w:style>
  <w:style w:type="table" w:styleId="MediumShading1-Accent1">
    <w:name w:val="Medium Shading 1 Accent 1"/>
    <w:basedOn w:val="TableNormal"/>
    <w:rsid w:val="005074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5074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rsid w:val="0050743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EndnoteText">
    <w:name w:val="endnote text"/>
    <w:basedOn w:val="Normal"/>
    <w:link w:val="EndnoteTextChar"/>
    <w:rsid w:val="00C57E00"/>
    <w:rPr>
      <w:sz w:val="20"/>
      <w:szCs w:val="20"/>
    </w:rPr>
  </w:style>
  <w:style w:type="character" w:customStyle="1" w:styleId="EndnoteTextChar">
    <w:name w:val="Endnote Text Char"/>
    <w:basedOn w:val="DefaultParagraphFont"/>
    <w:link w:val="EndnoteText"/>
    <w:rsid w:val="00C57E00"/>
  </w:style>
  <w:style w:type="character" w:styleId="EndnoteReference">
    <w:name w:val="endnote reference"/>
    <w:basedOn w:val="DefaultParagraphFont"/>
    <w:rsid w:val="00C57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92829">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39645456">
      <w:bodyDiv w:val="1"/>
      <w:marLeft w:val="0"/>
      <w:marRight w:val="0"/>
      <w:marTop w:val="0"/>
      <w:marBottom w:val="0"/>
      <w:divBdr>
        <w:top w:val="none" w:sz="0" w:space="0" w:color="auto"/>
        <w:left w:val="none" w:sz="0" w:space="0" w:color="auto"/>
        <w:bottom w:val="none" w:sz="0" w:space="0" w:color="auto"/>
        <w:right w:val="none" w:sz="0" w:space="0" w:color="auto"/>
      </w:divBdr>
    </w:div>
    <w:div w:id="1760979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omlaw.gov.au/Details/C2015C00187"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legalco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creativecommons.org/licenses/by/3.0/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kblades\AppData\Local\Microsoft\Windows\Temporary%20Internet%20Files\Content.Outlook\EAI76HXV\1%20%20Annual%20Report%20Data%20-%20June%2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blades\AppData\Local\Hewlett-Packard\HP%20TRIM\TEMP\HPTRIM.3440\t0NUDQB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05097778980299"/>
          <c:y val="7.5731497418244406E-2"/>
          <c:w val="0.82572890336401605"/>
          <c:h val="0.477426104869422"/>
        </c:manualLayout>
      </c:layout>
      <c:barChart>
        <c:barDir val="col"/>
        <c:grouping val="clustered"/>
        <c:varyColors val="0"/>
        <c:ser>
          <c:idx val="0"/>
          <c:order val="0"/>
          <c:invertIfNegative val="0"/>
          <c:cat>
            <c:strRef>
              <c:f>'Table 24 Emp by loc by gender'!$J$9:$J$15</c:f>
              <c:strCache>
                <c:ptCount val="7"/>
                <c:pt idx="0">
                  <c:v>Australia</c:v>
                </c:pt>
                <c:pt idx="1">
                  <c:v>Asia</c:v>
                </c:pt>
                <c:pt idx="2">
                  <c:v>Europe</c:v>
                </c:pt>
                <c:pt idx="3">
                  <c:v>Americas</c:v>
                </c:pt>
                <c:pt idx="4">
                  <c:v>Middle East and Africa</c:v>
                </c:pt>
                <c:pt idx="5">
                  <c:v>New Zealand and Pacific</c:v>
                </c:pt>
                <c:pt idx="6">
                  <c:v>Multilateral</c:v>
                </c:pt>
              </c:strCache>
            </c:strRef>
          </c:cat>
          <c:val>
            <c:numRef>
              <c:f>'Table 24 Emp by loc by gender'!$L$9:$L$15</c:f>
              <c:numCache>
                <c:formatCode>0.0%</c:formatCode>
                <c:ptCount val="7"/>
                <c:pt idx="0">
                  <c:v>0.47833223900197003</c:v>
                </c:pt>
                <c:pt idx="1">
                  <c:v>0.247866053841103</c:v>
                </c:pt>
                <c:pt idx="2">
                  <c:v>8.9133289560078793E-2</c:v>
                </c:pt>
                <c:pt idx="3">
                  <c:v>6.7957977675640199E-2</c:v>
                </c:pt>
                <c:pt idx="4">
                  <c:v>5.9422193040052501E-2</c:v>
                </c:pt>
                <c:pt idx="5">
                  <c:v>4.2022324359816197E-2</c:v>
                </c:pt>
                <c:pt idx="6">
                  <c:v>1.5265922521339501E-2</c:v>
                </c:pt>
              </c:numCache>
            </c:numRef>
          </c:val>
        </c:ser>
        <c:dLbls>
          <c:showLegendKey val="0"/>
          <c:showVal val="0"/>
          <c:showCatName val="0"/>
          <c:showSerName val="0"/>
          <c:showPercent val="0"/>
          <c:showBubbleSize val="0"/>
        </c:dLbls>
        <c:gapWidth val="150"/>
        <c:axId val="55400704"/>
        <c:axId val="98430976"/>
      </c:barChart>
      <c:catAx>
        <c:axId val="55400704"/>
        <c:scaling>
          <c:orientation val="minMax"/>
        </c:scaling>
        <c:delete val="0"/>
        <c:axPos val="b"/>
        <c:majorTickMark val="out"/>
        <c:minorTickMark val="none"/>
        <c:tickLblPos val="nextTo"/>
        <c:txPr>
          <a:bodyPr rot="-1680000"/>
          <a:lstStyle/>
          <a:p>
            <a:pPr>
              <a:defRPr lang="en-AU" sz="900">
                <a:latin typeface="Franklin Gothic Book" panose="020B0503020102020204" pitchFamily="34" charset="0"/>
              </a:defRPr>
            </a:pPr>
            <a:endParaRPr lang="en-US"/>
          </a:p>
        </c:txPr>
        <c:crossAx val="98430976"/>
        <c:crosses val="autoZero"/>
        <c:auto val="1"/>
        <c:lblAlgn val="ctr"/>
        <c:lblOffset val="100"/>
        <c:noMultiLvlLbl val="0"/>
      </c:catAx>
      <c:valAx>
        <c:axId val="98430976"/>
        <c:scaling>
          <c:orientation val="minMax"/>
          <c:max val="0.6"/>
        </c:scaling>
        <c:delete val="0"/>
        <c:axPos val="l"/>
        <c:majorGridlines/>
        <c:numFmt formatCode="0%" sourceLinked="0"/>
        <c:majorTickMark val="out"/>
        <c:minorTickMark val="none"/>
        <c:tickLblPos val="nextTo"/>
        <c:txPr>
          <a:bodyPr/>
          <a:lstStyle/>
          <a:p>
            <a:pPr>
              <a:defRPr lang="en-AU" sz="900">
                <a:latin typeface="Franklin Gothic Book" panose="020B0503020102020204" pitchFamily="34" charset="0"/>
              </a:defRPr>
            </a:pPr>
            <a:endParaRPr lang="en-US"/>
          </a:p>
        </c:txPr>
        <c:crossAx val="5540070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44444444444401"/>
          <c:y val="7.8703703703703706E-2"/>
          <c:w val="0.72311176727908999"/>
          <c:h val="0.91203703703703698"/>
        </c:manualLayout>
      </c:layout>
      <c:pieChart>
        <c:varyColors val="1"/>
        <c:ser>
          <c:idx val="0"/>
          <c:order val="0"/>
          <c:dLbls>
            <c:dLbl>
              <c:idx val="0"/>
              <c:layout>
                <c:manualLayout>
                  <c:x val="2.3627077865266799E-2"/>
                  <c:y val="-0.142112860892388"/>
                </c:manualLayout>
              </c:layout>
              <c:showLegendKey val="0"/>
              <c:showVal val="0"/>
              <c:showCatName val="0"/>
              <c:showSerName val="0"/>
              <c:showPercent val="1"/>
              <c:showBubbleSize val="0"/>
            </c:dLbl>
            <c:dLbl>
              <c:idx val="1"/>
              <c:layout>
                <c:manualLayout>
                  <c:x val="-3.5825021872265897E-2"/>
                  <c:y val="0.15155584718576801"/>
                </c:manualLayout>
              </c:layout>
              <c:showLegendKey val="0"/>
              <c:showVal val="0"/>
              <c:showCatName val="0"/>
              <c:showSerName val="0"/>
              <c:showPercent val="1"/>
              <c:showBubbleSize val="0"/>
            </c:dLbl>
            <c:txPr>
              <a:bodyPr/>
              <a:lstStyle/>
              <a:p>
                <a:pPr>
                  <a:defRPr lang="en-AU"/>
                </a:pPr>
                <a:endParaRPr lang="en-US"/>
              </a:p>
            </c:txPr>
            <c:showLegendKey val="0"/>
            <c:showVal val="1"/>
            <c:showCatName val="0"/>
            <c:showSerName val="0"/>
            <c:showPercent val="0"/>
            <c:showBubbleSize val="0"/>
            <c:showLeaderLines val="1"/>
          </c:dLbls>
          <c:cat>
            <c:strRef>
              <c:f>Sheet6!$A$65:$A$66</c:f>
              <c:strCache>
                <c:ptCount val="2"/>
                <c:pt idx="0">
                  <c:v>  A-based</c:v>
                </c:pt>
                <c:pt idx="1">
                  <c:v>  LES</c:v>
                </c:pt>
              </c:strCache>
            </c:strRef>
          </c:cat>
          <c:val>
            <c:numRef>
              <c:f>Sheet6!$E$65:$E$66</c:f>
              <c:numCache>
                <c:formatCode>General</c:formatCode>
                <c:ptCount val="2"/>
                <c:pt idx="0">
                  <c:v>3758</c:v>
                </c:pt>
                <c:pt idx="1">
                  <c:v>2334</c:v>
                </c:pt>
              </c:numCache>
            </c:numRef>
          </c:val>
        </c:ser>
        <c:dLbls>
          <c:showLegendKey val="0"/>
          <c:showVal val="0"/>
          <c:showCatName val="0"/>
          <c:showSerName val="0"/>
          <c:showPercent val="0"/>
          <c:showBubbleSize val="0"/>
          <c:showLeaderLines val="1"/>
        </c:dLbls>
        <c:firstSliceAng val="170"/>
      </c:pieChart>
    </c:plotArea>
    <c:legend>
      <c:legendPos val="r"/>
      <c:layout>
        <c:manualLayout>
          <c:xMode val="edge"/>
          <c:yMode val="edge"/>
          <c:x val="0.11200043744531933"/>
          <c:y val="3.2883418938333413E-3"/>
          <c:w val="0.33055918780871701"/>
          <c:h val="0.30215170036237698"/>
        </c:manualLayout>
      </c:layout>
      <c:overlay val="0"/>
      <c:txPr>
        <a:bodyPr/>
        <a:lstStyle/>
        <a:p>
          <a:pPr>
            <a:defRPr lang="en-AU" sz="1100"/>
          </a:pPr>
          <a:endParaRPr lang="en-US"/>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835C9-669F-495B-8557-E44A78960DFB}"/>
</file>

<file path=customXml/itemProps2.xml><?xml version="1.0" encoding="utf-8"?>
<ds:datastoreItem xmlns:ds="http://schemas.openxmlformats.org/officeDocument/2006/customXml" ds:itemID="{BB11B338-2A15-4D52-9FEF-AE3625DCC3E9}"/>
</file>

<file path=customXml/itemProps3.xml><?xml version="1.0" encoding="utf-8"?>
<ds:datastoreItem xmlns:ds="http://schemas.openxmlformats.org/officeDocument/2006/customXml" ds:itemID="{E079DBE7-DBEB-4FCA-904C-5E75EB9C4B7C}"/>
</file>

<file path=customXml/itemProps4.xml><?xml version="1.0" encoding="utf-8"?>
<ds:datastoreItem xmlns:ds="http://schemas.openxmlformats.org/officeDocument/2006/customXml" ds:itemID="{692ED6D0-DBEB-47AB-9848-A038439FC29E}"/>
</file>

<file path=docProps/app.xml><?xml version="1.0" encoding="utf-8"?>
<Properties xmlns="http://schemas.openxmlformats.org/officeDocument/2006/extended-properties" xmlns:vt="http://schemas.openxmlformats.org/officeDocument/2006/docPropsVTypes">
  <Template>5D3D622E</Template>
  <TotalTime>679</TotalTime>
  <Pages>1</Pages>
  <Words>6138</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DFAT Formal Report</vt:lpstr>
    </vt:vector>
  </TitlesOfParts>
  <Company>ByWord Services</Company>
  <LinksUpToDate>false</LinksUpToDate>
  <CharactersWithSpaces>41049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Corporate Plan 2015-19</dc:title>
  <dc:creator>Tom Ffrench</dc:creator>
  <cp:lastModifiedBy>JACK, Christian</cp:lastModifiedBy>
  <cp:revision>63</cp:revision>
  <cp:lastPrinted>2015-08-25T03:33:00Z</cp:lastPrinted>
  <dcterms:created xsi:type="dcterms:W3CDTF">2015-08-10T03:34:00Z</dcterms:created>
  <dcterms:modified xsi:type="dcterms:W3CDTF">2015-08-25T03:33:00Z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Subject0">
    <vt:lpwstr/>
  </property>
  <property fmtid="{D5CDD505-2E9C-101B-9397-08002B2CF9AE}" pid="4" name="Order">
    <vt:r8>2300</vt:r8>
  </property>
  <property fmtid="{D5CDD505-2E9C-101B-9397-08002B2CF9AE}" pid="5" name="TitusGUID">
    <vt:lpwstr>f706ae0b-0266-4e3a-8054-6a843ddf03a8</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