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16C9" w14:textId="630ADFE8" w:rsidR="001425A9" w:rsidRDefault="00295A28" w:rsidP="00CD0E2A">
      <w:pPr>
        <w:pStyle w:val="PageHeading"/>
      </w:pPr>
      <w:bookmarkStart w:id="0" w:name="bookmark=id.gjdgxs" w:colFirst="0" w:colLast="0"/>
      <w:bookmarkEnd w:id="0"/>
      <w:r>
        <w:t xml:space="preserve">Evaluation of the Australian Humanitarian Partnership’s </w:t>
      </w:r>
      <w:r w:rsidR="001809F3">
        <w:t xml:space="preserve">Activations on </w:t>
      </w:r>
      <w:r w:rsidR="009E71E8">
        <w:t>Food Security and Livelihoods in Ethiopia and Kenya</w:t>
      </w:r>
      <w:r>
        <w:t xml:space="preserve">: </w:t>
      </w:r>
      <w:r w:rsidR="00942A2F">
        <w:t>Joint</w:t>
      </w:r>
      <w:r>
        <w:t xml:space="preserve"> Management Response </w:t>
      </w:r>
    </w:p>
    <w:p w14:paraId="15E89221" w14:textId="2336ECE5" w:rsidR="00F651F7" w:rsidRDefault="00295A28" w:rsidP="48410D65">
      <w:pPr>
        <w:spacing w:line="259" w:lineRule="auto"/>
      </w:pPr>
      <w:r>
        <w:t xml:space="preserve">An independent evaluation assessed </w:t>
      </w:r>
      <w:r w:rsidR="00113EC8" w:rsidRPr="48410D65">
        <w:t xml:space="preserve">the </w:t>
      </w:r>
      <w:r w:rsidR="006E1F48" w:rsidRPr="48410D65">
        <w:t xml:space="preserve">effectiveness of </w:t>
      </w:r>
      <w:r w:rsidR="00113EC8" w:rsidRPr="48410D65">
        <w:t xml:space="preserve">Australian Humanitarian Partnership’s </w:t>
      </w:r>
      <w:r w:rsidR="00877DC5" w:rsidRPr="48410D65">
        <w:t>Food Security and Livelihoods (F</w:t>
      </w:r>
      <w:r w:rsidR="006E1F48" w:rsidRPr="48410D65">
        <w:t>SL) ac</w:t>
      </w:r>
      <w:r w:rsidR="00856301" w:rsidRPr="48410D65">
        <w:t>tivations in the Horn of Africa</w:t>
      </w:r>
      <w:r w:rsidR="6395117D" w:rsidRPr="48410D65">
        <w:t xml:space="preserve"> in 2023-2024. </w:t>
      </w:r>
    </w:p>
    <w:p w14:paraId="29A15A4D" w14:textId="1F982ADF" w:rsidR="00F651F7" w:rsidRDefault="00F651F7" w:rsidP="48410D65">
      <w:pPr>
        <w:spacing w:line="259" w:lineRule="auto"/>
      </w:pPr>
      <w:r w:rsidRPr="48410D65">
        <w:t>The evalua</w:t>
      </w:r>
      <w:r w:rsidRPr="48410D65">
        <w:rPr>
          <w:rFonts w:eastAsia="SimSun"/>
          <w:shd w:val="clear" w:color="auto" w:fill="FFFFFF"/>
        </w:rPr>
        <w:t xml:space="preserve">tion </w:t>
      </w:r>
      <w:r w:rsidR="00877DC5" w:rsidRPr="48410D65">
        <w:rPr>
          <w:rFonts w:eastAsia="SimSun"/>
          <w:shd w:val="clear" w:color="auto" w:fill="FFFFFF"/>
        </w:rPr>
        <w:t>covered t</w:t>
      </w:r>
      <w:r w:rsidR="00877DC5" w:rsidRPr="48410D65">
        <w:t>hree FSL projects implemented in Ethiopia and Kenya.</w:t>
      </w:r>
    </w:p>
    <w:p w14:paraId="06854E4C" w14:textId="2C295CE3" w:rsidR="00F651F7" w:rsidRDefault="00F651F7" w:rsidP="006F7987">
      <w:pPr>
        <w:pStyle w:val="ListParagraph"/>
        <w:numPr>
          <w:ilvl w:val="0"/>
          <w:numId w:val="21"/>
        </w:numPr>
        <w:snapToGrid w:val="0"/>
        <w:spacing w:after="0"/>
        <w:rPr>
          <w:rStyle w:val="CommentReference"/>
          <w:sz w:val="22"/>
          <w:szCs w:val="22"/>
        </w:rPr>
      </w:pPr>
      <w:r w:rsidRPr="48410D65">
        <w:t>In Ethiopia, Plan Int</w:t>
      </w:r>
      <w:r w:rsidRPr="48410D65">
        <w:rPr>
          <w:rFonts w:eastAsia="SimSun"/>
          <w:shd w:val="clear" w:color="auto" w:fill="FFFFFF"/>
        </w:rPr>
        <w:t>ernational Australia (PIA) le</w:t>
      </w:r>
      <w:r w:rsidR="00877DC5" w:rsidRPr="48410D65">
        <w:rPr>
          <w:rFonts w:eastAsia="SimSun"/>
          <w:shd w:val="clear" w:color="auto" w:fill="FFFFFF"/>
        </w:rPr>
        <w:t>d</w:t>
      </w:r>
      <w:r w:rsidRPr="48410D65">
        <w:rPr>
          <w:rFonts w:eastAsia="SimSun"/>
          <w:shd w:val="clear" w:color="auto" w:fill="FFFFFF"/>
        </w:rPr>
        <w:t xml:space="preserve"> one consortium including</w:t>
      </w:r>
      <w:r w:rsidRPr="48410D65">
        <w:t xml:space="preserve"> Plan International Ethiopia (PIE), Action for Needy Ethiopia (ANE), Save the Children International Ethiopia (SCIE) (supported by Save the Children Australia), and Pastoralist in Action Development Organisation (PIADO).</w:t>
      </w:r>
    </w:p>
    <w:p w14:paraId="30DC0208" w14:textId="321EFA25" w:rsidR="00F651F7" w:rsidRDefault="00F651F7" w:rsidP="006F7987">
      <w:pPr>
        <w:pStyle w:val="ListParagraph"/>
        <w:numPr>
          <w:ilvl w:val="0"/>
          <w:numId w:val="21"/>
        </w:numPr>
        <w:snapToGrid w:val="0"/>
        <w:spacing w:after="0"/>
        <w:rPr>
          <w:rStyle w:val="CommentReference"/>
          <w:sz w:val="22"/>
          <w:szCs w:val="22"/>
        </w:rPr>
      </w:pPr>
      <w:r w:rsidRPr="48410D65">
        <w:rPr>
          <w:rFonts w:eastAsia="SimSun"/>
          <w:shd w:val="clear" w:color="auto" w:fill="FFFFFF"/>
        </w:rPr>
        <w:t>Oxfam Australia le</w:t>
      </w:r>
      <w:r w:rsidR="00877DC5" w:rsidRPr="48410D65">
        <w:rPr>
          <w:rFonts w:eastAsia="SimSun"/>
          <w:shd w:val="clear" w:color="auto" w:fill="FFFFFF"/>
        </w:rPr>
        <w:t>d</w:t>
      </w:r>
      <w:r w:rsidRPr="48410D65">
        <w:rPr>
          <w:rFonts w:eastAsia="SimSun"/>
          <w:shd w:val="clear" w:color="auto" w:fill="FFFFFF"/>
        </w:rPr>
        <w:t xml:space="preserve"> the other consortium in Ethiopia </w:t>
      </w:r>
      <w:r w:rsidR="004C61D5" w:rsidRPr="48410D65">
        <w:rPr>
          <w:rFonts w:eastAsia="SimSun"/>
          <w:shd w:val="clear" w:color="auto" w:fill="FFFFFF"/>
        </w:rPr>
        <w:t>in collaboration with the</w:t>
      </w:r>
      <w:r w:rsidRPr="48410D65">
        <w:rPr>
          <w:rFonts w:eastAsia="SimSun"/>
          <w:shd w:val="clear" w:color="auto" w:fill="FFFFFF"/>
        </w:rPr>
        <w:t xml:space="preserve"> </w:t>
      </w:r>
      <w:r w:rsidRPr="48410D65">
        <w:t>Relief Society of Tigray (REST), Afar Pastoralist Development Association (APDA) and Women Empowerment – Action (WE-Action)</w:t>
      </w:r>
      <w:r w:rsidRPr="48410D65">
        <w:rPr>
          <w:rFonts w:eastAsia="SimSun"/>
          <w:shd w:val="clear" w:color="auto" w:fill="FFFFFF"/>
        </w:rPr>
        <w:t>. </w:t>
      </w:r>
    </w:p>
    <w:p w14:paraId="6300EAE0" w14:textId="1FEA677F" w:rsidR="00F651F7" w:rsidRDefault="00F651F7" w:rsidP="006F7987">
      <w:pPr>
        <w:pStyle w:val="ListParagraph"/>
        <w:numPr>
          <w:ilvl w:val="0"/>
          <w:numId w:val="21"/>
        </w:numPr>
        <w:snapToGrid w:val="0"/>
        <w:spacing w:after="0"/>
        <w:rPr>
          <w:rStyle w:val="CommentReference"/>
          <w:sz w:val="22"/>
          <w:szCs w:val="22"/>
        </w:rPr>
      </w:pPr>
      <w:r w:rsidRPr="48410D65">
        <w:rPr>
          <w:rFonts w:eastAsia="SimSun"/>
          <w:shd w:val="clear" w:color="auto" w:fill="FFFFFF"/>
        </w:rPr>
        <w:t>Oxfam Australia through</w:t>
      </w:r>
      <w:r w:rsidRPr="48410D65">
        <w:t xml:space="preserve"> its national affiliate (Oxfam in Kenya)</w:t>
      </w:r>
      <w:r w:rsidR="001D1CB8">
        <w:t xml:space="preserve"> also</w:t>
      </w:r>
      <w:r w:rsidRPr="48410D65">
        <w:t xml:space="preserve"> </w:t>
      </w:r>
      <w:r w:rsidR="006E1F48" w:rsidRPr="48410D65">
        <w:t xml:space="preserve">implemented </w:t>
      </w:r>
      <w:r w:rsidR="001D1CB8">
        <w:t>a</w:t>
      </w:r>
      <w:r w:rsidR="006E1F48" w:rsidRPr="48410D65">
        <w:t xml:space="preserve"> project </w:t>
      </w:r>
      <w:r w:rsidR="001D1CB8">
        <w:t>in Kenya</w:t>
      </w:r>
      <w:r w:rsidR="0076453E">
        <w:t xml:space="preserve"> </w:t>
      </w:r>
      <w:r w:rsidR="006E1F48" w:rsidRPr="48410D65">
        <w:t>with</w:t>
      </w:r>
      <w:r w:rsidRPr="48410D65">
        <w:t xml:space="preserve"> three independent national organisations including Strategies for Northern Development (SND), Pastoralist Community Initiative and Development Assistance (PACIDA), and Turkana Pastoralist Development Organisation (TUPADO) working under the umbrella of the Arid and Semi-arid Lands Humanitarian Network (AHN).</w:t>
      </w:r>
      <w:r w:rsidRPr="48410D65">
        <w:rPr>
          <w:rFonts w:eastAsia="SimSun"/>
          <w:shd w:val="clear" w:color="auto" w:fill="FFFFFF"/>
        </w:rPr>
        <w:t xml:space="preserve"> </w:t>
      </w:r>
      <w:r w:rsidRPr="48410D65">
        <w:rPr>
          <w:rStyle w:val="CommentReference"/>
          <w:sz w:val="22"/>
          <w:szCs w:val="22"/>
        </w:rPr>
        <w:t xml:space="preserve"> </w:t>
      </w:r>
    </w:p>
    <w:p w14:paraId="2838F211" w14:textId="21BAE251" w:rsidR="001425A9" w:rsidRDefault="006E1F48" w:rsidP="00C0434D">
      <w:pPr>
        <w:spacing w:before="240"/>
      </w:pPr>
      <w:r>
        <w:t>Policy Research Institute</w:t>
      </w:r>
      <w:r w:rsidR="00295A28">
        <w:t xml:space="preserve"> was contracted by the AHP Support Unit (AHPSU) to conduct the evaluation. An evaluation review committee </w:t>
      </w:r>
      <w:r w:rsidR="003D52E8">
        <w:t>facilitated</w:t>
      </w:r>
      <w:r w:rsidR="00792FA5">
        <w:t xml:space="preserve"> by</w:t>
      </w:r>
      <w:r w:rsidR="00295A28">
        <w:t xml:space="preserve"> the AHP</w:t>
      </w:r>
      <w:r w:rsidR="007553EF">
        <w:t xml:space="preserve"> Support Unit </w:t>
      </w:r>
      <w:r w:rsidR="00295A28">
        <w:t>provided oversight of all key stages and products of the evaluation.</w:t>
      </w:r>
    </w:p>
    <w:p w14:paraId="2BAB2FDF" w14:textId="0C76025A" w:rsidR="001425A9" w:rsidRDefault="00AB70B2">
      <w:r>
        <w:t>DFAT</w:t>
      </w:r>
      <w:r w:rsidR="45026521">
        <w:t>, Plan International Australia and Oxfam Australia</w:t>
      </w:r>
      <w:r w:rsidR="006849C8">
        <w:t xml:space="preserve"> </w:t>
      </w:r>
      <w:r w:rsidR="001A0496">
        <w:t xml:space="preserve">have </w:t>
      </w:r>
      <w:r w:rsidR="000D59E3">
        <w:t xml:space="preserve">responded </w:t>
      </w:r>
      <w:r w:rsidR="00295A28">
        <w:t xml:space="preserve">to the </w:t>
      </w:r>
      <w:r w:rsidR="007553EF">
        <w:t xml:space="preserve">evaluation’s </w:t>
      </w:r>
      <w:r w:rsidR="00295A28">
        <w:t xml:space="preserve">recommendations </w:t>
      </w:r>
      <w:r w:rsidR="00B469D7">
        <w:t>in</w:t>
      </w:r>
      <w:r w:rsidR="000D544D">
        <w:t xml:space="preserve"> the </w:t>
      </w:r>
      <w:r w:rsidR="00BD3AA5">
        <w:t>management actions table below</w:t>
      </w:r>
      <w:r w:rsidR="00295A28">
        <w:t>.</w:t>
      </w:r>
      <w:r w:rsidR="00EE3A82">
        <w:t xml:space="preserve"> </w:t>
      </w:r>
      <w:r w:rsidR="005A3357">
        <w:t xml:space="preserve">Of the </w:t>
      </w:r>
      <w:r w:rsidR="00FB3CCB">
        <w:t xml:space="preserve">seven </w:t>
      </w:r>
      <w:r w:rsidR="005A3357">
        <w:t xml:space="preserve">recommendations, </w:t>
      </w:r>
      <w:r w:rsidR="007B317F">
        <w:t>six</w:t>
      </w:r>
      <w:r w:rsidR="005A3357">
        <w:t xml:space="preserve"> have been agreed or partially agreed and </w:t>
      </w:r>
      <w:r w:rsidR="007B317F">
        <w:t>one</w:t>
      </w:r>
      <w:r w:rsidR="005A3357">
        <w:t xml:space="preserve"> has been noted. </w:t>
      </w:r>
      <w:r w:rsidR="00295A28">
        <w:t>Th</w:t>
      </w:r>
      <w:r w:rsidR="00BD3AA5">
        <w:t>is</w:t>
      </w:r>
      <w:r w:rsidR="00295A28">
        <w:t xml:space="preserve"> </w:t>
      </w:r>
      <w:r w:rsidR="00BD1419">
        <w:t xml:space="preserve">joint </w:t>
      </w:r>
      <w:r w:rsidR="00295A28">
        <w:t>management response outline</w:t>
      </w:r>
      <w:r w:rsidR="0035551D">
        <w:t>s</w:t>
      </w:r>
      <w:r w:rsidR="00295A28">
        <w:t xml:space="preserve"> the </w:t>
      </w:r>
      <w:r w:rsidR="00A413A9">
        <w:t xml:space="preserve">agreed </w:t>
      </w:r>
      <w:r w:rsidR="00BD1419">
        <w:t xml:space="preserve">actions </w:t>
      </w:r>
      <w:r w:rsidR="000A0CE8">
        <w:t>that will be</w:t>
      </w:r>
      <w:r w:rsidR="00BD1419">
        <w:t xml:space="preserve"> </w:t>
      </w:r>
      <w:r w:rsidR="00295A28">
        <w:t>take</w:t>
      </w:r>
      <w:r w:rsidR="00BD1419">
        <w:t>n</w:t>
      </w:r>
      <w:r w:rsidR="00295A28">
        <w:t xml:space="preserve"> </w:t>
      </w:r>
      <w:r w:rsidR="00A413A9">
        <w:t>forward</w:t>
      </w:r>
      <w:r w:rsidR="00295A28">
        <w:t xml:space="preserve">. </w:t>
      </w:r>
      <w:r w:rsidR="002B17B2">
        <w:t xml:space="preserve"> </w:t>
      </w:r>
    </w:p>
    <w:p w14:paraId="5B5AF53A" w14:textId="48A535BA" w:rsidR="009120BC" w:rsidRPr="00154BAB" w:rsidRDefault="00295A28" w:rsidP="00154BAB">
      <w:pPr>
        <w:pStyle w:val="Heading1"/>
        <w:numPr>
          <w:ilvl w:val="0"/>
          <w:numId w:val="0"/>
        </w:numPr>
      </w:pPr>
      <w:r w:rsidRPr="00CD0E2A">
        <w:lastRenderedPageBreak/>
        <w:t>Management Action</w:t>
      </w:r>
      <w:r w:rsidR="0056536C" w:rsidRPr="00CD0E2A">
        <w:t>s</w:t>
      </w:r>
      <w:r w:rsidRPr="00CD0E2A">
        <w:t xml:space="preserve"> </w:t>
      </w:r>
    </w:p>
    <w:tbl>
      <w:tblPr>
        <w:tblStyle w:val="PlainTable"/>
        <w:tblW w:w="14438" w:type="dxa"/>
        <w:tblLayout w:type="fixed"/>
        <w:tblLook w:val="0420" w:firstRow="1" w:lastRow="0" w:firstColumn="0" w:lastColumn="0" w:noHBand="0" w:noVBand="1"/>
      </w:tblPr>
      <w:tblGrid>
        <w:gridCol w:w="4536"/>
        <w:gridCol w:w="1538"/>
        <w:gridCol w:w="1297"/>
        <w:gridCol w:w="5483"/>
        <w:gridCol w:w="1584"/>
      </w:tblGrid>
      <w:tr w:rsidR="001425A9" w14:paraId="5848C990" w14:textId="77777777" w:rsidTr="00C0434D">
        <w:trPr>
          <w:cnfStyle w:val="100000000000" w:firstRow="1" w:lastRow="0" w:firstColumn="0" w:lastColumn="0" w:oddVBand="0" w:evenVBand="0" w:oddHBand="0" w:evenHBand="0" w:firstRowFirstColumn="0" w:firstRowLastColumn="0" w:lastRowFirstColumn="0" w:lastRowLastColumn="0"/>
          <w:trHeight w:val="300"/>
          <w:tblHeader/>
        </w:trPr>
        <w:tc>
          <w:tcPr>
            <w:tcW w:w="4536" w:type="dxa"/>
          </w:tcPr>
          <w:p w14:paraId="237284B2" w14:textId="77777777" w:rsidR="001425A9" w:rsidRDefault="00295A28">
            <w:pPr>
              <w:rPr>
                <w:b/>
                <w:color w:val="000000"/>
              </w:rPr>
            </w:pPr>
            <w:r>
              <w:rPr>
                <w:b/>
                <w:color w:val="000000"/>
              </w:rPr>
              <w:t>Recommendation</w:t>
            </w:r>
          </w:p>
        </w:tc>
        <w:tc>
          <w:tcPr>
            <w:tcW w:w="1538" w:type="dxa"/>
          </w:tcPr>
          <w:p w14:paraId="7B5954A9" w14:textId="73D887DF" w:rsidR="001425A9" w:rsidRDefault="00295A28">
            <w:pPr>
              <w:rPr>
                <w:b/>
                <w:color w:val="000000"/>
              </w:rPr>
            </w:pPr>
            <w:r w:rsidRPr="48410D65">
              <w:rPr>
                <w:b/>
                <w:bCs/>
                <w:color w:val="000000"/>
              </w:rPr>
              <w:t xml:space="preserve">Responsibility </w:t>
            </w:r>
            <w:r w:rsidR="00195FEB" w:rsidRPr="48410D65">
              <w:rPr>
                <w:b/>
                <w:bCs/>
                <w:color w:val="000000"/>
                <w:vertAlign w:val="superscript"/>
              </w:rPr>
              <w:footnoteReference w:id="2"/>
            </w:r>
          </w:p>
        </w:tc>
        <w:tc>
          <w:tcPr>
            <w:tcW w:w="1297" w:type="dxa"/>
          </w:tcPr>
          <w:p w14:paraId="2D11D9D9" w14:textId="77777777" w:rsidR="001425A9" w:rsidRDefault="00295A28" w:rsidP="48410D65">
            <w:pPr>
              <w:rPr>
                <w:b/>
                <w:bCs/>
                <w:color w:val="000000"/>
              </w:rPr>
            </w:pPr>
            <w:r w:rsidRPr="48410D65">
              <w:rPr>
                <w:b/>
                <w:bCs/>
                <w:color w:val="000000"/>
              </w:rPr>
              <w:t>Level of Agreement</w:t>
            </w:r>
            <w:r w:rsidRPr="48410D65">
              <w:rPr>
                <w:b/>
                <w:bCs/>
                <w:color w:val="000000"/>
                <w:vertAlign w:val="superscript"/>
              </w:rPr>
              <w:footnoteReference w:id="3"/>
            </w:r>
          </w:p>
        </w:tc>
        <w:tc>
          <w:tcPr>
            <w:tcW w:w="5483" w:type="dxa"/>
          </w:tcPr>
          <w:p w14:paraId="20DF1674" w14:textId="77777777" w:rsidR="001425A9" w:rsidRDefault="00295A28">
            <w:pPr>
              <w:rPr>
                <w:b/>
                <w:color w:val="000000"/>
              </w:rPr>
            </w:pPr>
            <w:r>
              <w:rPr>
                <w:b/>
                <w:color w:val="000000"/>
              </w:rPr>
              <w:t xml:space="preserve">Action </w:t>
            </w:r>
          </w:p>
        </w:tc>
        <w:tc>
          <w:tcPr>
            <w:tcW w:w="1584" w:type="dxa"/>
          </w:tcPr>
          <w:p w14:paraId="296D1198" w14:textId="77777777" w:rsidR="001425A9" w:rsidRDefault="00295A28">
            <w:pPr>
              <w:rPr>
                <w:b/>
                <w:color w:val="000000"/>
              </w:rPr>
            </w:pPr>
            <w:r>
              <w:rPr>
                <w:b/>
                <w:color w:val="000000"/>
              </w:rPr>
              <w:t xml:space="preserve">Timeframe </w:t>
            </w:r>
          </w:p>
        </w:tc>
      </w:tr>
      <w:tr w:rsidR="003F3F22" w:rsidRPr="003F3F22" w14:paraId="3989282F" w14:textId="77777777" w:rsidTr="00C0434D">
        <w:trPr>
          <w:trHeight w:val="300"/>
        </w:trPr>
        <w:tc>
          <w:tcPr>
            <w:tcW w:w="4536" w:type="dxa"/>
          </w:tcPr>
          <w:p w14:paraId="7B696EE1" w14:textId="5A89E0A8" w:rsidR="001425A9" w:rsidRPr="007C406C" w:rsidRDefault="00072C7E" w:rsidP="00072C7E">
            <w:pPr>
              <w:numPr>
                <w:ilvl w:val="0"/>
                <w:numId w:val="7"/>
              </w:numPr>
              <w:snapToGrid w:val="0"/>
              <w:spacing w:after="120" w:line="276" w:lineRule="auto"/>
              <w:rPr>
                <w:rFonts w:asciiTheme="minorHAnsi" w:eastAsia="Calibri" w:hAnsiTheme="minorHAnsi" w:cstheme="minorHAnsi"/>
              </w:rPr>
            </w:pPr>
            <w:r w:rsidRPr="007C406C">
              <w:rPr>
                <w:rFonts w:asciiTheme="minorHAnsi" w:eastAsia="Calibri" w:hAnsiTheme="minorHAnsi" w:cstheme="minorHAnsi"/>
              </w:rPr>
              <w:t>For AHP partners and country-level consortium leads, explore how to connect local and regional-level coordination mechanisms with national-level humanitarian coordination efforts so that they can learn from the field and influence national-level humanitarian policy.</w:t>
            </w:r>
          </w:p>
        </w:tc>
        <w:tc>
          <w:tcPr>
            <w:tcW w:w="1538" w:type="dxa"/>
          </w:tcPr>
          <w:p w14:paraId="16CF9837" w14:textId="1E27A409" w:rsidR="001425A9" w:rsidRPr="007C406C" w:rsidRDefault="001513C0">
            <w:pPr>
              <w:rPr>
                <w:rFonts w:asciiTheme="minorHAnsi" w:hAnsiTheme="minorHAnsi" w:cstheme="minorHAnsi"/>
              </w:rPr>
            </w:pPr>
            <w:r w:rsidRPr="007C406C">
              <w:rPr>
                <w:rFonts w:asciiTheme="minorHAnsi" w:hAnsiTheme="minorHAnsi" w:cstheme="minorHAnsi"/>
              </w:rPr>
              <w:t>ANGOs and implementing partners</w:t>
            </w:r>
          </w:p>
        </w:tc>
        <w:tc>
          <w:tcPr>
            <w:tcW w:w="1297" w:type="dxa"/>
          </w:tcPr>
          <w:p w14:paraId="3E877259" w14:textId="2D9CDB30" w:rsidR="009E374C" w:rsidRPr="007C406C" w:rsidRDefault="003E716D" w:rsidP="4BC57607">
            <w:pPr>
              <w:rPr>
                <w:rFonts w:asciiTheme="minorHAnsi" w:hAnsiTheme="minorHAnsi" w:cstheme="minorHAnsi"/>
              </w:rPr>
            </w:pPr>
            <w:r>
              <w:rPr>
                <w:rFonts w:asciiTheme="minorHAnsi" w:hAnsiTheme="minorHAnsi" w:cstheme="minorHAnsi"/>
              </w:rPr>
              <w:t>A</w:t>
            </w:r>
            <w:r w:rsidR="00E84C14">
              <w:rPr>
                <w:rFonts w:asciiTheme="minorHAnsi" w:hAnsiTheme="minorHAnsi" w:cstheme="minorHAnsi"/>
              </w:rPr>
              <w:t>gree</w:t>
            </w:r>
          </w:p>
        </w:tc>
        <w:tc>
          <w:tcPr>
            <w:tcW w:w="5483" w:type="dxa"/>
          </w:tcPr>
          <w:p w14:paraId="7F35DABF" w14:textId="66FC2876" w:rsidR="003E716D" w:rsidRPr="003F54DA" w:rsidRDefault="00840850" w:rsidP="003E716D">
            <w:pPr>
              <w:jc w:val="both"/>
              <w:rPr>
                <w:rFonts w:asciiTheme="minorHAnsi" w:hAnsiTheme="minorHAnsi" w:cstheme="minorHAnsi"/>
              </w:rPr>
            </w:pPr>
            <w:r>
              <w:rPr>
                <w:rFonts w:asciiTheme="minorHAnsi" w:hAnsiTheme="minorHAnsi" w:cstheme="minorHAnsi"/>
              </w:rPr>
              <w:t xml:space="preserve">Oxfam is implementing a follow-on </w:t>
            </w:r>
            <w:r w:rsidR="00AC70A2">
              <w:rPr>
                <w:rFonts w:asciiTheme="minorHAnsi" w:hAnsiTheme="minorHAnsi" w:cstheme="minorHAnsi"/>
              </w:rPr>
              <w:t xml:space="preserve">AHP response in Kenya from July 2024 to September 2025. </w:t>
            </w:r>
            <w:r w:rsidR="00763753">
              <w:rPr>
                <w:rFonts w:asciiTheme="minorHAnsi" w:hAnsiTheme="minorHAnsi" w:cstheme="minorHAnsi"/>
              </w:rPr>
              <w:t>Oxfam has</w:t>
            </w:r>
            <w:r w:rsidR="003E716D" w:rsidRPr="003F3F22">
              <w:rPr>
                <w:rFonts w:asciiTheme="minorHAnsi" w:hAnsiTheme="minorHAnsi" w:cstheme="minorHAnsi"/>
              </w:rPr>
              <w:t xml:space="preserve"> </w:t>
            </w:r>
            <w:r w:rsidR="00763753">
              <w:rPr>
                <w:rFonts w:asciiTheme="minorHAnsi" w:hAnsiTheme="minorHAnsi" w:cstheme="minorHAnsi"/>
              </w:rPr>
              <w:t>addressed this</w:t>
            </w:r>
            <w:r w:rsidR="00AC70A2">
              <w:rPr>
                <w:rFonts w:asciiTheme="minorHAnsi" w:hAnsiTheme="minorHAnsi" w:cstheme="minorHAnsi"/>
              </w:rPr>
              <w:t xml:space="preserve"> recommendation</w:t>
            </w:r>
            <w:r w:rsidR="00763753">
              <w:rPr>
                <w:rFonts w:asciiTheme="minorHAnsi" w:hAnsiTheme="minorHAnsi" w:cstheme="minorHAnsi"/>
              </w:rPr>
              <w:t xml:space="preserve"> under</w:t>
            </w:r>
            <w:r w:rsidR="003E716D" w:rsidRPr="003F3F22">
              <w:rPr>
                <w:rFonts w:asciiTheme="minorHAnsi" w:hAnsiTheme="minorHAnsi" w:cstheme="minorHAnsi"/>
              </w:rPr>
              <w:t xml:space="preserve"> Output 4.2 in the Kenya Phase 2 proposal:</w:t>
            </w:r>
            <w:r w:rsidR="003F54DA" w:rsidRPr="00143DEA">
              <w:rPr>
                <w:rFonts w:asciiTheme="minorHAnsi" w:hAnsiTheme="minorHAnsi" w:cstheme="minorHAnsi"/>
                <w:i/>
                <w:iCs/>
              </w:rPr>
              <w:t xml:space="preserve"> </w:t>
            </w:r>
            <w:r w:rsidR="003E716D" w:rsidRPr="00143DEA">
              <w:rPr>
                <w:rFonts w:asciiTheme="minorHAnsi" w:eastAsia="Segoe UI Light" w:hAnsiTheme="minorHAnsi" w:cstheme="minorHAnsi"/>
                <w:i/>
                <w:iCs/>
              </w:rPr>
              <w:t xml:space="preserve">Output 4.2. Increased Participation in National, Regional, and Global Influencing Opportunities. </w:t>
            </w:r>
            <w:r w:rsidR="003E716D" w:rsidRPr="00143DEA">
              <w:rPr>
                <w:rFonts w:asciiTheme="minorHAnsi" w:eastAsiaTheme="minorEastAsia" w:hAnsiTheme="minorHAnsi"/>
              </w:rPr>
              <w:t>Activities</w:t>
            </w:r>
            <w:r w:rsidR="003E716D" w:rsidRPr="00143DEA">
              <w:rPr>
                <w:rFonts w:asciiTheme="minorHAnsi" w:eastAsiaTheme="minorEastAsia" w:hAnsiTheme="minorHAnsi"/>
                <w:i/>
                <w:iCs/>
              </w:rPr>
              <w:t xml:space="preserve"> </w:t>
            </w:r>
            <w:r w:rsidR="003E716D" w:rsidRPr="003F3F22">
              <w:rPr>
                <w:rFonts w:asciiTheme="minorHAnsi" w:eastAsiaTheme="minorEastAsia" w:hAnsiTheme="minorHAnsi"/>
              </w:rPr>
              <w:t>include:</w:t>
            </w:r>
          </w:p>
          <w:p w14:paraId="5015C60D" w14:textId="77777777" w:rsidR="003E716D" w:rsidRPr="0053127F" w:rsidRDefault="003E716D" w:rsidP="0053127F">
            <w:pPr>
              <w:pStyle w:val="ListParagraph"/>
              <w:numPr>
                <w:ilvl w:val="0"/>
                <w:numId w:val="15"/>
              </w:numPr>
              <w:jc w:val="both"/>
              <w:rPr>
                <w:rFonts w:asciiTheme="minorHAnsi" w:eastAsia="Segoe UI Light" w:hAnsiTheme="minorHAnsi" w:cstheme="minorHAnsi"/>
              </w:rPr>
            </w:pPr>
            <w:r w:rsidRPr="0053127F">
              <w:rPr>
                <w:rFonts w:asciiTheme="minorHAnsi" w:eastAsia="Segoe UI Light" w:hAnsiTheme="minorHAnsi" w:cstheme="minorHAnsi"/>
              </w:rPr>
              <w:t>4.2.1. Support AHN members in participating in national, regional, and global policy forums and advocacy events.</w:t>
            </w:r>
          </w:p>
          <w:p w14:paraId="6E5BB384" w14:textId="77777777" w:rsidR="003E716D" w:rsidRPr="0053127F" w:rsidRDefault="003E716D" w:rsidP="0053127F">
            <w:pPr>
              <w:pStyle w:val="ListParagraph"/>
              <w:numPr>
                <w:ilvl w:val="0"/>
                <w:numId w:val="15"/>
              </w:numPr>
              <w:jc w:val="both"/>
              <w:rPr>
                <w:rFonts w:asciiTheme="minorHAnsi" w:eastAsia="Segoe UI Light" w:hAnsiTheme="minorHAnsi" w:cstheme="minorHAnsi"/>
              </w:rPr>
            </w:pPr>
            <w:r w:rsidRPr="0053127F">
              <w:rPr>
                <w:rFonts w:asciiTheme="minorHAnsi" w:eastAsia="Segoe UI Light" w:hAnsiTheme="minorHAnsi" w:cstheme="minorHAnsi"/>
              </w:rPr>
              <w:t>4.2.2. Develop and disseminate briefing materials and policy positions to equip AHN members for effective engagement in influencing opportunities.</w:t>
            </w:r>
          </w:p>
          <w:p w14:paraId="5CADEAC0" w14:textId="40EE9231" w:rsidR="009E374C" w:rsidRPr="0053127F" w:rsidRDefault="003E716D" w:rsidP="0053127F">
            <w:pPr>
              <w:pStyle w:val="ListParagraph"/>
              <w:numPr>
                <w:ilvl w:val="0"/>
                <w:numId w:val="15"/>
              </w:numPr>
              <w:jc w:val="both"/>
              <w:rPr>
                <w:rFonts w:asciiTheme="minorHAnsi" w:hAnsiTheme="minorHAnsi" w:cstheme="minorHAnsi"/>
              </w:rPr>
            </w:pPr>
            <w:r w:rsidRPr="0053127F">
              <w:rPr>
                <w:rFonts w:asciiTheme="minorHAnsi" w:eastAsia="Segoe UI Light" w:hAnsiTheme="minorHAnsi" w:cstheme="minorHAnsi"/>
              </w:rPr>
              <w:t>4.2.3. Coordinate with stakeholders to ensure representation and active involvement of AHN members in key policy discussions</w:t>
            </w:r>
            <w:r w:rsidR="00DB2EA9">
              <w:rPr>
                <w:rFonts w:asciiTheme="minorHAnsi" w:eastAsia="Segoe UI Light" w:hAnsiTheme="minorHAnsi" w:cstheme="minorHAnsi"/>
              </w:rPr>
              <w:t>.</w:t>
            </w:r>
            <w:r w:rsidR="00B105E8" w:rsidRPr="0053127F">
              <w:rPr>
                <w:rFonts w:asciiTheme="minorHAnsi" w:hAnsiTheme="minorHAnsi" w:cstheme="minorHAnsi"/>
              </w:rPr>
              <w:t xml:space="preserve"> </w:t>
            </w:r>
          </w:p>
          <w:p w14:paraId="5CF5805D" w14:textId="3C33FCC1" w:rsidR="00B61D3E" w:rsidRDefault="00B61D3E" w:rsidP="00C0434D">
            <w:pPr>
              <w:spacing w:before="240"/>
              <w:rPr>
                <w:rFonts w:asciiTheme="minorHAnsi" w:hAnsiTheme="minorHAnsi" w:cstheme="minorHAnsi"/>
              </w:rPr>
            </w:pPr>
            <w:r>
              <w:rPr>
                <w:rFonts w:asciiTheme="minorHAnsi" w:hAnsiTheme="minorHAnsi" w:cstheme="minorHAnsi"/>
              </w:rPr>
              <w:t>Oxfam is already engaging with both local and national coordination mechanisms</w:t>
            </w:r>
            <w:r w:rsidR="00F30EE3">
              <w:rPr>
                <w:rFonts w:asciiTheme="minorHAnsi" w:hAnsiTheme="minorHAnsi" w:cstheme="minorHAnsi"/>
              </w:rPr>
              <w:t xml:space="preserve"> in Ethiopia and</w:t>
            </w:r>
            <w:r w:rsidR="007429A9">
              <w:rPr>
                <w:rFonts w:asciiTheme="minorHAnsi" w:hAnsiTheme="minorHAnsi" w:cstheme="minorHAnsi"/>
              </w:rPr>
              <w:t xml:space="preserve"> </w:t>
            </w:r>
            <w:r w:rsidR="00763753">
              <w:rPr>
                <w:rFonts w:asciiTheme="minorHAnsi" w:hAnsiTheme="minorHAnsi" w:cstheme="minorHAnsi"/>
              </w:rPr>
              <w:t>plans</w:t>
            </w:r>
            <w:r w:rsidR="007429A9">
              <w:rPr>
                <w:rFonts w:asciiTheme="minorHAnsi" w:hAnsiTheme="minorHAnsi" w:cstheme="minorHAnsi"/>
              </w:rPr>
              <w:t xml:space="preserve"> to</w:t>
            </w:r>
            <w:r>
              <w:rPr>
                <w:rFonts w:asciiTheme="minorHAnsi" w:hAnsiTheme="minorHAnsi" w:cstheme="minorHAnsi"/>
              </w:rPr>
              <w:t xml:space="preserve"> continue this </w:t>
            </w:r>
            <w:r w:rsidR="007429A9">
              <w:rPr>
                <w:rFonts w:asciiTheme="minorHAnsi" w:hAnsiTheme="minorHAnsi" w:cstheme="minorHAnsi"/>
              </w:rPr>
              <w:t xml:space="preserve">through: </w:t>
            </w:r>
          </w:p>
          <w:p w14:paraId="514A4594" w14:textId="1D3438C1" w:rsidR="00B61D3E" w:rsidRDefault="00B61D3E" w:rsidP="00B61D3E">
            <w:pPr>
              <w:pStyle w:val="ListParagraph"/>
              <w:numPr>
                <w:ilvl w:val="0"/>
                <w:numId w:val="10"/>
              </w:numPr>
              <w:tabs>
                <w:tab w:val="left" w:pos="720"/>
              </w:tabs>
              <w:rPr>
                <w:rFonts w:asciiTheme="minorHAnsi" w:hAnsiTheme="minorHAnsi" w:cstheme="minorHAnsi"/>
              </w:rPr>
            </w:pPr>
            <w:r>
              <w:rPr>
                <w:rFonts w:asciiTheme="minorHAnsi" w:hAnsiTheme="minorHAnsi" w:cstheme="minorHAnsi"/>
              </w:rPr>
              <w:t xml:space="preserve">leveraging the existing Humanitarian </w:t>
            </w:r>
            <w:r w:rsidR="004C44D9">
              <w:rPr>
                <w:rFonts w:asciiTheme="minorHAnsi" w:hAnsiTheme="minorHAnsi" w:cstheme="minorHAnsi"/>
              </w:rPr>
              <w:t>C</w:t>
            </w:r>
            <w:r>
              <w:rPr>
                <w:rFonts w:asciiTheme="minorHAnsi" w:hAnsiTheme="minorHAnsi" w:cstheme="minorHAnsi"/>
              </w:rPr>
              <w:t xml:space="preserve">oordination Structures to advance collaboration between field level and national level actors. </w:t>
            </w:r>
          </w:p>
          <w:p w14:paraId="295C17C8" w14:textId="777203A6" w:rsidR="00B61D3E" w:rsidRPr="00D21A8C" w:rsidRDefault="00B61D3E" w:rsidP="00B61D3E">
            <w:pPr>
              <w:pStyle w:val="ListParagraph"/>
              <w:numPr>
                <w:ilvl w:val="0"/>
                <w:numId w:val="10"/>
              </w:numPr>
              <w:tabs>
                <w:tab w:val="left" w:pos="720"/>
              </w:tabs>
              <w:rPr>
                <w:rStyle w:val="Strong"/>
                <w:rFonts w:asciiTheme="minorHAnsi" w:hAnsiTheme="minorHAnsi" w:cstheme="minorHAnsi"/>
              </w:rPr>
            </w:pPr>
            <w:r w:rsidRPr="00B61D3E">
              <w:rPr>
                <w:rStyle w:val="Strong"/>
                <w:rFonts w:asciiTheme="minorHAnsi" w:hAnsiTheme="minorHAnsi" w:cstheme="minorHAnsi"/>
                <w:b w:val="0"/>
                <w:bCs w:val="0"/>
              </w:rPr>
              <w:lastRenderedPageBreak/>
              <w:t xml:space="preserve">adopting partnerships through joint working groups and task forces already in place both at the country level as well as the Woreda level. </w:t>
            </w:r>
          </w:p>
          <w:p w14:paraId="539ED8D6" w14:textId="78FB03D9" w:rsidR="00C77998" w:rsidRPr="009120BC" w:rsidRDefault="00AC485B" w:rsidP="00C0434D">
            <w:pPr>
              <w:tabs>
                <w:tab w:val="left" w:pos="720"/>
              </w:tabs>
              <w:spacing w:before="240"/>
              <w:rPr>
                <w:rFonts w:asciiTheme="minorHAnsi" w:hAnsiTheme="minorHAnsi" w:cstheme="minorHAnsi"/>
              </w:rPr>
            </w:pPr>
            <w:r w:rsidRPr="00F62AFB">
              <w:rPr>
                <w:rFonts w:asciiTheme="minorHAnsi" w:hAnsiTheme="minorHAnsi" w:cstheme="minorHAnsi"/>
              </w:rPr>
              <w:t xml:space="preserve">Plan International </w:t>
            </w:r>
            <w:r w:rsidR="00E202DC">
              <w:rPr>
                <w:rFonts w:asciiTheme="minorHAnsi" w:hAnsiTheme="minorHAnsi" w:cstheme="minorHAnsi"/>
              </w:rPr>
              <w:t>will</w:t>
            </w:r>
            <w:r w:rsidRPr="00F62AFB">
              <w:rPr>
                <w:rFonts w:asciiTheme="minorHAnsi" w:hAnsiTheme="minorHAnsi" w:cstheme="minorHAnsi"/>
              </w:rPr>
              <w:t xml:space="preserve"> </w:t>
            </w:r>
            <w:r w:rsidR="00542192" w:rsidRPr="00F62AFB">
              <w:rPr>
                <w:rFonts w:asciiTheme="minorHAnsi" w:hAnsiTheme="minorHAnsi" w:cstheme="minorHAnsi"/>
              </w:rPr>
              <w:t>action this recommendation through</w:t>
            </w:r>
            <w:r w:rsidR="00A00A22">
              <w:rPr>
                <w:rFonts w:asciiTheme="minorHAnsi" w:hAnsiTheme="minorHAnsi" w:cstheme="minorHAnsi"/>
              </w:rPr>
              <w:t xml:space="preserve"> quarterly</w:t>
            </w:r>
            <w:r w:rsidR="00542192" w:rsidRPr="00F62AFB">
              <w:rPr>
                <w:rFonts w:asciiTheme="minorHAnsi" w:hAnsiTheme="minorHAnsi" w:cstheme="minorHAnsi"/>
              </w:rPr>
              <w:t xml:space="preserve"> joint coordination meetings between local-regional and national coordination platforms</w:t>
            </w:r>
            <w:r w:rsidR="00A00A22">
              <w:rPr>
                <w:rFonts w:asciiTheme="minorHAnsi" w:hAnsiTheme="minorHAnsi" w:cstheme="minorHAnsi"/>
              </w:rPr>
              <w:t xml:space="preserve">. Plan </w:t>
            </w:r>
            <w:r w:rsidR="00287082">
              <w:rPr>
                <w:rFonts w:asciiTheme="minorHAnsi" w:hAnsiTheme="minorHAnsi" w:cstheme="minorHAnsi"/>
              </w:rPr>
              <w:t xml:space="preserve">will </w:t>
            </w:r>
            <w:r w:rsidR="00A00A22">
              <w:rPr>
                <w:rFonts w:asciiTheme="minorHAnsi" w:hAnsiTheme="minorHAnsi" w:cstheme="minorHAnsi"/>
              </w:rPr>
              <w:t>also hold biannual</w:t>
            </w:r>
            <w:r w:rsidR="00542192" w:rsidRPr="00F62AFB">
              <w:rPr>
                <w:rFonts w:asciiTheme="minorHAnsi" w:hAnsiTheme="minorHAnsi" w:cstheme="minorHAnsi"/>
              </w:rPr>
              <w:t xml:space="preserve"> field visits</w:t>
            </w:r>
            <w:r w:rsidR="00A00A22">
              <w:rPr>
                <w:rFonts w:asciiTheme="minorHAnsi" w:hAnsiTheme="minorHAnsi" w:cstheme="minorHAnsi"/>
              </w:rPr>
              <w:t xml:space="preserve"> that enable </w:t>
            </w:r>
            <w:r w:rsidR="00542192" w:rsidRPr="00F62AFB">
              <w:rPr>
                <w:rFonts w:asciiTheme="minorHAnsi" w:hAnsiTheme="minorHAnsi" w:cstheme="minorHAnsi"/>
              </w:rPr>
              <w:t>sharing of experiences</w:t>
            </w:r>
            <w:r w:rsidR="00A00A22">
              <w:rPr>
                <w:rFonts w:asciiTheme="minorHAnsi" w:hAnsiTheme="minorHAnsi" w:cstheme="minorHAnsi"/>
              </w:rPr>
              <w:t xml:space="preserve"> and engag</w:t>
            </w:r>
            <w:r w:rsidR="00E202DC">
              <w:rPr>
                <w:rFonts w:asciiTheme="minorHAnsi" w:hAnsiTheme="minorHAnsi" w:cstheme="minorHAnsi"/>
              </w:rPr>
              <w:t xml:space="preserve">ement </w:t>
            </w:r>
            <w:r w:rsidR="00A00A22">
              <w:rPr>
                <w:rFonts w:asciiTheme="minorHAnsi" w:hAnsiTheme="minorHAnsi" w:cstheme="minorHAnsi"/>
              </w:rPr>
              <w:t xml:space="preserve">with affected populations. </w:t>
            </w:r>
            <w:r w:rsidR="00F62AFB">
              <w:rPr>
                <w:rFonts w:asciiTheme="minorHAnsi" w:hAnsiTheme="minorHAnsi" w:cstheme="minorHAnsi"/>
              </w:rPr>
              <w:t xml:space="preserve"> </w:t>
            </w:r>
          </w:p>
        </w:tc>
        <w:tc>
          <w:tcPr>
            <w:tcW w:w="1584" w:type="dxa"/>
          </w:tcPr>
          <w:p w14:paraId="0FF15CFE" w14:textId="6AC3966B" w:rsidR="00A00A22" w:rsidRPr="003F3F22" w:rsidRDefault="00C30D27">
            <w:pPr>
              <w:rPr>
                <w:rFonts w:asciiTheme="minorHAnsi" w:hAnsiTheme="minorHAnsi" w:cstheme="minorHAnsi"/>
              </w:rPr>
            </w:pPr>
            <w:r w:rsidRPr="003F3F22">
              <w:rPr>
                <w:rFonts w:asciiTheme="minorHAnsi" w:hAnsiTheme="minorHAnsi" w:cstheme="minorHAnsi"/>
              </w:rPr>
              <w:lastRenderedPageBreak/>
              <w:t>Within the project period</w:t>
            </w:r>
            <w:r w:rsidR="00AC70A2">
              <w:rPr>
                <w:rFonts w:asciiTheme="minorHAnsi" w:hAnsiTheme="minorHAnsi" w:cstheme="minorHAnsi"/>
              </w:rPr>
              <w:t xml:space="preserve"> (Oxfam)</w:t>
            </w:r>
            <w:r w:rsidR="00D32AF5">
              <w:rPr>
                <w:rFonts w:asciiTheme="minorHAnsi" w:hAnsiTheme="minorHAnsi" w:cstheme="minorHAnsi"/>
              </w:rPr>
              <w:t>, Quarterly / Biannually (Plan</w:t>
            </w:r>
            <w:r w:rsidR="004840EF">
              <w:rPr>
                <w:rFonts w:asciiTheme="minorHAnsi" w:hAnsiTheme="minorHAnsi" w:cstheme="minorHAnsi"/>
              </w:rPr>
              <w:t xml:space="preserve"> International</w:t>
            </w:r>
            <w:r w:rsidR="00D32AF5">
              <w:rPr>
                <w:rFonts w:asciiTheme="minorHAnsi" w:hAnsiTheme="minorHAnsi" w:cstheme="minorHAnsi"/>
              </w:rPr>
              <w:t>)</w:t>
            </w:r>
          </w:p>
        </w:tc>
      </w:tr>
      <w:tr w:rsidR="00A02172" w14:paraId="76B5661B" w14:textId="77777777" w:rsidTr="00C0434D">
        <w:trPr>
          <w:trHeight w:val="300"/>
        </w:trPr>
        <w:tc>
          <w:tcPr>
            <w:tcW w:w="4536" w:type="dxa"/>
          </w:tcPr>
          <w:p w14:paraId="3670E718" w14:textId="77777777" w:rsidR="00A02172" w:rsidRPr="007C406C" w:rsidRDefault="00A02172" w:rsidP="00072C7E">
            <w:pPr>
              <w:numPr>
                <w:ilvl w:val="0"/>
                <w:numId w:val="7"/>
              </w:numPr>
              <w:snapToGrid w:val="0"/>
              <w:spacing w:after="120" w:line="276" w:lineRule="auto"/>
              <w:rPr>
                <w:rFonts w:asciiTheme="minorHAnsi" w:eastAsia="Calibri" w:hAnsiTheme="minorHAnsi" w:cstheme="minorHAnsi"/>
              </w:rPr>
            </w:pPr>
            <w:r w:rsidRPr="007C406C">
              <w:rPr>
                <w:rFonts w:asciiTheme="minorHAnsi" w:eastAsia="Calibri" w:hAnsiTheme="minorHAnsi" w:cstheme="minorHAnsi"/>
              </w:rPr>
              <w:t>For implementing partners, whenever possible, identify local solutions and suppliers to ensure improved efficiency and to mitigate logistical challenges.</w:t>
            </w:r>
          </w:p>
          <w:p w14:paraId="2A786CEB" w14:textId="77777777" w:rsidR="00A02172" w:rsidRPr="007C406C" w:rsidRDefault="00A02172" w:rsidP="0061235B">
            <w:pPr>
              <w:snapToGrid w:val="0"/>
              <w:spacing w:after="120" w:line="276" w:lineRule="auto"/>
              <w:rPr>
                <w:rFonts w:asciiTheme="minorHAnsi" w:eastAsia="Calibri" w:hAnsiTheme="minorHAnsi" w:cstheme="minorHAnsi"/>
              </w:rPr>
            </w:pPr>
          </w:p>
        </w:tc>
        <w:tc>
          <w:tcPr>
            <w:tcW w:w="1538" w:type="dxa"/>
          </w:tcPr>
          <w:p w14:paraId="68F72B6A" w14:textId="71CC9F05" w:rsidR="00A02172" w:rsidRPr="007C406C" w:rsidRDefault="00A02172">
            <w:pPr>
              <w:rPr>
                <w:rFonts w:asciiTheme="minorHAnsi" w:hAnsiTheme="minorHAnsi" w:cstheme="minorHAnsi"/>
              </w:rPr>
            </w:pPr>
            <w:r w:rsidRPr="007C406C">
              <w:rPr>
                <w:rFonts w:asciiTheme="minorHAnsi" w:hAnsiTheme="minorHAnsi" w:cstheme="minorHAnsi"/>
              </w:rPr>
              <w:t>ANGOs and implementing partners</w:t>
            </w:r>
          </w:p>
        </w:tc>
        <w:tc>
          <w:tcPr>
            <w:tcW w:w="1297" w:type="dxa"/>
          </w:tcPr>
          <w:p w14:paraId="6D497C9D" w14:textId="5271B18B" w:rsidR="00A02172" w:rsidRDefault="00A02172" w:rsidP="4BC57607">
            <w:pPr>
              <w:rPr>
                <w:rFonts w:asciiTheme="minorHAnsi" w:hAnsiTheme="minorHAnsi" w:cstheme="minorHAnsi"/>
              </w:rPr>
            </w:pPr>
            <w:r>
              <w:rPr>
                <w:rFonts w:asciiTheme="minorHAnsi" w:hAnsiTheme="minorHAnsi" w:cstheme="minorHAnsi"/>
              </w:rPr>
              <w:t>Agree</w:t>
            </w:r>
          </w:p>
        </w:tc>
        <w:tc>
          <w:tcPr>
            <w:tcW w:w="5483" w:type="dxa"/>
          </w:tcPr>
          <w:p w14:paraId="6EB50AB1" w14:textId="31745D91" w:rsidR="00A02172" w:rsidRPr="00056781" w:rsidRDefault="00A02172" w:rsidP="00B64963">
            <w:pPr>
              <w:jc w:val="both"/>
              <w:rPr>
                <w:rFonts w:asciiTheme="minorHAnsi" w:hAnsiTheme="minorHAnsi" w:cstheme="minorHAnsi"/>
                <w:b/>
                <w:bCs/>
                <w:u w:val="single"/>
              </w:rPr>
            </w:pPr>
            <w:r w:rsidRPr="000F3D51">
              <w:rPr>
                <w:rFonts w:asciiTheme="minorHAnsi" w:hAnsiTheme="minorHAnsi" w:cstheme="minorHAnsi"/>
              </w:rPr>
              <w:t xml:space="preserve">Oxfam’s approach in the previous phase </w:t>
            </w:r>
            <w:r w:rsidR="004045E6">
              <w:rPr>
                <w:rFonts w:asciiTheme="minorHAnsi" w:hAnsiTheme="minorHAnsi" w:cstheme="minorHAnsi"/>
              </w:rPr>
              <w:t xml:space="preserve">in Kenya </w:t>
            </w:r>
            <w:r w:rsidRPr="000F3D51">
              <w:rPr>
                <w:rFonts w:asciiTheme="minorHAnsi" w:hAnsiTheme="minorHAnsi" w:cstheme="minorHAnsi"/>
              </w:rPr>
              <w:t xml:space="preserve">was to prioritise local suppliers and vendors as this is our standard procurement procedure. Oxfam will continue this in Phase 2. </w:t>
            </w:r>
            <w:r w:rsidR="00BB1379">
              <w:rPr>
                <w:rFonts w:asciiTheme="minorHAnsi" w:hAnsiTheme="minorHAnsi" w:cstheme="minorHAnsi"/>
              </w:rPr>
              <w:t>I</w:t>
            </w:r>
            <w:r w:rsidRPr="000F3D51">
              <w:rPr>
                <w:rFonts w:asciiTheme="minorHAnsi" w:hAnsiTheme="minorHAnsi" w:cstheme="minorHAnsi"/>
              </w:rPr>
              <w:t>mplementing partners will prioritize identifying and partnering with local suppliers and solutions to enhance operational efficiency and reduce logistical hurdles. Implementing partners will collaborate with local vendors to provide Non-Food Items (NFIs), dignity kits and use M-</w:t>
            </w:r>
            <w:proofErr w:type="spellStart"/>
            <w:r w:rsidRPr="000F3D51">
              <w:rPr>
                <w:rFonts w:asciiTheme="minorHAnsi" w:hAnsiTheme="minorHAnsi" w:cstheme="minorHAnsi"/>
              </w:rPr>
              <w:t>Pesa</w:t>
            </w:r>
            <w:proofErr w:type="spellEnd"/>
            <w:r w:rsidRPr="000F3D51">
              <w:rPr>
                <w:rFonts w:asciiTheme="minorHAnsi" w:hAnsiTheme="minorHAnsi" w:cstheme="minorHAnsi"/>
              </w:rPr>
              <w:t xml:space="preserve"> for Multipurpose Cash Assistance disbursement (MPCA)</w:t>
            </w:r>
            <w:r w:rsidR="00AF0233">
              <w:rPr>
                <w:rFonts w:asciiTheme="minorHAnsi" w:hAnsiTheme="minorHAnsi" w:cstheme="minorHAnsi"/>
              </w:rPr>
              <w:t>. A</w:t>
            </w:r>
            <w:r w:rsidRPr="000F3D51">
              <w:rPr>
                <w:rFonts w:asciiTheme="minorHAnsi" w:hAnsiTheme="minorHAnsi" w:cstheme="minorHAnsi"/>
              </w:rPr>
              <w:t xml:space="preserve">ll start up kits on </w:t>
            </w:r>
            <w:r w:rsidR="00FF5488">
              <w:rPr>
                <w:rFonts w:asciiTheme="minorHAnsi" w:hAnsiTheme="minorHAnsi" w:cstheme="minorHAnsi"/>
              </w:rPr>
              <w:t>a</w:t>
            </w:r>
            <w:r w:rsidRPr="000F3D51">
              <w:rPr>
                <w:rFonts w:asciiTheme="minorHAnsi" w:hAnsiTheme="minorHAnsi" w:cstheme="minorHAnsi"/>
              </w:rPr>
              <w:t>gricultural initiatives will be sourced locally based on the climatic condition. This aims to build relationships with local vendors and leverage community knowledge for contextually appropriate solutions.</w:t>
            </w:r>
          </w:p>
          <w:p w14:paraId="12C60CA7" w14:textId="77777777" w:rsidR="00A02172" w:rsidRDefault="00A02172" w:rsidP="00C0434D">
            <w:pPr>
              <w:spacing w:before="240"/>
              <w:jc w:val="both"/>
            </w:pPr>
            <w:r>
              <w:rPr>
                <w:rFonts w:asciiTheme="minorHAnsi" w:hAnsiTheme="minorHAnsi" w:cstheme="minorHAnsi"/>
              </w:rPr>
              <w:t xml:space="preserve">Likewise, Oxfam in Ethiopia’s current programming prioritises local sourcing. </w:t>
            </w:r>
            <w:r w:rsidR="000E42FF">
              <w:rPr>
                <w:rFonts w:asciiTheme="minorHAnsi" w:hAnsiTheme="minorHAnsi" w:cstheme="minorHAnsi"/>
              </w:rPr>
              <w:t>The Oxfam strategy is to continue this through</w:t>
            </w:r>
            <w:r>
              <w:t xml:space="preserve"> </w:t>
            </w:r>
            <w:r w:rsidRPr="00226942">
              <w:rPr>
                <w:rStyle w:val="Strong"/>
                <w:b w:val="0"/>
                <w:bCs w:val="0"/>
              </w:rPr>
              <w:t>thorough market assessments</w:t>
            </w:r>
            <w:r>
              <w:t xml:space="preserve"> t</w:t>
            </w:r>
            <w:r w:rsidR="000E42FF">
              <w:t>hat</w:t>
            </w:r>
            <w:r>
              <w:t xml:space="preserve"> establish relationships with local businesses.</w:t>
            </w:r>
            <w:r w:rsidR="00513540">
              <w:rPr>
                <w:rFonts w:asciiTheme="minorHAnsi" w:hAnsiTheme="minorHAnsi" w:cstheme="minorHAnsi"/>
              </w:rPr>
              <w:t xml:space="preserve"> Oxfam </w:t>
            </w:r>
            <w:r>
              <w:t xml:space="preserve">will also keep supporting </w:t>
            </w:r>
            <w:r w:rsidRPr="00B61D3E">
              <w:rPr>
                <w:rStyle w:val="Strong"/>
                <w:b w:val="0"/>
                <w:bCs w:val="0"/>
              </w:rPr>
              <w:t>local capacity building</w:t>
            </w:r>
            <w:r>
              <w:t xml:space="preserve"> through training and mentorship, which is embedded in</w:t>
            </w:r>
            <w:r w:rsidR="00513540">
              <w:t xml:space="preserve"> </w:t>
            </w:r>
            <w:r>
              <w:t>ongoing projects.</w:t>
            </w:r>
          </w:p>
          <w:p w14:paraId="373E7D96" w14:textId="2834449F" w:rsidR="00513540" w:rsidRPr="001615EC" w:rsidRDefault="00056781" w:rsidP="00C0434D">
            <w:pPr>
              <w:spacing w:before="240"/>
              <w:jc w:val="both"/>
              <w:rPr>
                <w:rFonts w:asciiTheme="minorHAnsi" w:hAnsiTheme="minorHAnsi" w:cstheme="minorHAnsi"/>
              </w:rPr>
            </w:pPr>
            <w:r>
              <w:rPr>
                <w:rFonts w:asciiTheme="minorHAnsi" w:hAnsiTheme="minorHAnsi" w:cstheme="minorHAnsi"/>
              </w:rPr>
              <w:lastRenderedPageBreak/>
              <w:t xml:space="preserve">Plan </w:t>
            </w:r>
            <w:r w:rsidR="004840EF">
              <w:rPr>
                <w:rFonts w:asciiTheme="minorHAnsi" w:hAnsiTheme="minorHAnsi" w:cstheme="minorHAnsi"/>
              </w:rPr>
              <w:t xml:space="preserve">International </w:t>
            </w:r>
            <w:r>
              <w:rPr>
                <w:rFonts w:asciiTheme="minorHAnsi" w:hAnsiTheme="minorHAnsi" w:cstheme="minorHAnsi"/>
              </w:rPr>
              <w:t>will engage in i</w:t>
            </w:r>
            <w:r w:rsidR="001615EC" w:rsidRPr="001615EC">
              <w:rPr>
                <w:rFonts w:asciiTheme="minorHAnsi" w:hAnsiTheme="minorHAnsi" w:cstheme="minorHAnsi"/>
              </w:rPr>
              <w:t xml:space="preserve">nstitutional capacity building of implementing partners </w:t>
            </w:r>
            <w:r w:rsidR="0057404A">
              <w:rPr>
                <w:rFonts w:asciiTheme="minorHAnsi" w:hAnsiTheme="minorHAnsi" w:cstheme="minorHAnsi"/>
              </w:rPr>
              <w:t>in</w:t>
            </w:r>
            <w:r w:rsidR="001615EC" w:rsidRPr="001615EC">
              <w:rPr>
                <w:rFonts w:asciiTheme="minorHAnsi" w:hAnsiTheme="minorHAnsi" w:cstheme="minorHAnsi"/>
              </w:rPr>
              <w:t xml:space="preserve"> various ways</w:t>
            </w:r>
            <w:r w:rsidR="0057404A">
              <w:rPr>
                <w:rFonts w:asciiTheme="minorHAnsi" w:hAnsiTheme="minorHAnsi" w:cstheme="minorHAnsi"/>
              </w:rPr>
              <w:t xml:space="preserve">, </w:t>
            </w:r>
            <w:r w:rsidR="001615EC" w:rsidRPr="001615EC">
              <w:rPr>
                <w:rFonts w:asciiTheme="minorHAnsi" w:hAnsiTheme="minorHAnsi" w:cstheme="minorHAnsi"/>
              </w:rPr>
              <w:t>such as local resources mobilizations</w:t>
            </w:r>
            <w:r w:rsidR="0057404A">
              <w:rPr>
                <w:rFonts w:asciiTheme="minorHAnsi" w:hAnsiTheme="minorHAnsi" w:cstheme="minorHAnsi"/>
              </w:rPr>
              <w:t>,</w:t>
            </w:r>
            <w:r w:rsidR="001615EC" w:rsidRPr="001615EC">
              <w:rPr>
                <w:rFonts w:asciiTheme="minorHAnsi" w:hAnsiTheme="minorHAnsi" w:cstheme="minorHAnsi"/>
              </w:rPr>
              <w:t xml:space="preserve"> to enhance efficiency and capacity to address food crisis and malnutrition.</w:t>
            </w:r>
          </w:p>
        </w:tc>
        <w:tc>
          <w:tcPr>
            <w:tcW w:w="1584" w:type="dxa"/>
          </w:tcPr>
          <w:p w14:paraId="0C4EB7C7" w14:textId="23ECDD86" w:rsidR="00A02172" w:rsidRDefault="00A02172">
            <w:pPr>
              <w:rPr>
                <w:rFonts w:asciiTheme="minorHAnsi" w:hAnsiTheme="minorHAnsi" w:cstheme="minorHAnsi"/>
              </w:rPr>
            </w:pPr>
            <w:r w:rsidRPr="000F3D51">
              <w:rPr>
                <w:rFonts w:asciiTheme="minorHAnsi" w:hAnsiTheme="minorHAnsi" w:cstheme="minorHAnsi"/>
              </w:rPr>
              <w:lastRenderedPageBreak/>
              <w:t>Within the project period</w:t>
            </w:r>
            <w:r w:rsidR="00742C2F">
              <w:rPr>
                <w:rFonts w:asciiTheme="minorHAnsi" w:hAnsiTheme="minorHAnsi" w:cstheme="minorHAnsi"/>
              </w:rPr>
              <w:t xml:space="preserve"> (Oxfam)</w:t>
            </w:r>
            <w:r w:rsidR="00D32AF5">
              <w:rPr>
                <w:rFonts w:asciiTheme="minorHAnsi" w:hAnsiTheme="minorHAnsi" w:cstheme="minorHAnsi"/>
              </w:rPr>
              <w:t>,</w:t>
            </w:r>
          </w:p>
          <w:p w14:paraId="7364A25B" w14:textId="2A32B109" w:rsidR="00116361" w:rsidRPr="00C0434D" w:rsidRDefault="00D32AF5">
            <w:pPr>
              <w:rPr>
                <w:rFonts w:asciiTheme="minorHAnsi" w:hAnsiTheme="minorHAnsi" w:cstheme="minorHAnsi"/>
              </w:rPr>
            </w:pPr>
            <w:r>
              <w:rPr>
                <w:rFonts w:asciiTheme="minorHAnsi" w:hAnsiTheme="minorHAnsi" w:cstheme="minorHAnsi"/>
              </w:rPr>
              <w:t>Ongoing (Plan</w:t>
            </w:r>
            <w:r w:rsidR="004840EF">
              <w:rPr>
                <w:rFonts w:asciiTheme="minorHAnsi" w:hAnsiTheme="minorHAnsi" w:cstheme="minorHAnsi"/>
              </w:rPr>
              <w:t xml:space="preserve"> International</w:t>
            </w:r>
            <w:r>
              <w:rPr>
                <w:rFonts w:asciiTheme="minorHAnsi" w:hAnsiTheme="minorHAnsi" w:cstheme="minorHAnsi"/>
              </w:rPr>
              <w:t>)</w:t>
            </w:r>
          </w:p>
        </w:tc>
      </w:tr>
      <w:tr w:rsidR="00A02172" w14:paraId="2B8A39EF" w14:textId="77777777" w:rsidTr="00C0434D">
        <w:trPr>
          <w:trHeight w:val="300"/>
        </w:trPr>
        <w:tc>
          <w:tcPr>
            <w:tcW w:w="4536" w:type="dxa"/>
          </w:tcPr>
          <w:p w14:paraId="39A22AAD" w14:textId="77777777" w:rsidR="00A02172" w:rsidRPr="007C406C" w:rsidRDefault="00A02172" w:rsidP="48410D65">
            <w:pPr>
              <w:numPr>
                <w:ilvl w:val="0"/>
                <w:numId w:val="7"/>
              </w:numPr>
              <w:snapToGrid w:val="0"/>
              <w:spacing w:after="120" w:line="276" w:lineRule="auto"/>
              <w:rPr>
                <w:rFonts w:asciiTheme="minorHAnsi" w:eastAsia="Calibri" w:hAnsiTheme="minorHAnsi" w:cstheme="minorBidi"/>
                <w:shd w:val="clear" w:color="auto" w:fill="FFFFFF"/>
              </w:rPr>
            </w:pPr>
            <w:r w:rsidRPr="48410D65">
              <w:rPr>
                <w:rFonts w:asciiTheme="minorHAnsi" w:eastAsia="Calibri" w:hAnsiTheme="minorHAnsi" w:cstheme="minorBidi"/>
                <w:shd w:val="clear" w:color="auto" w:fill="FFFFFF"/>
              </w:rPr>
              <w:t>For implementation partners and consortium leads, strengthen collaboration with organisations of people</w:t>
            </w:r>
            <w:r w:rsidRPr="48410D65" w:rsidDel="002836D9">
              <w:rPr>
                <w:rFonts w:asciiTheme="minorHAnsi" w:eastAsia="Calibri" w:hAnsiTheme="minorHAnsi" w:cstheme="minorBidi"/>
                <w:shd w:val="clear" w:color="auto" w:fill="FFFFFF"/>
              </w:rPr>
              <w:t xml:space="preserve"> </w:t>
            </w:r>
            <w:r w:rsidRPr="48410D65">
              <w:rPr>
                <w:rFonts w:asciiTheme="minorHAnsi" w:eastAsia="Calibri" w:hAnsiTheme="minorHAnsi" w:cstheme="minorBidi"/>
                <w:shd w:val="clear" w:color="auto" w:fill="FFFFFF"/>
              </w:rPr>
              <w:t>with disabilities while at the same time strengthening capacity of implementing organisations staff to plan and implement strategies that can ensure meaningful inclusion of people</w:t>
            </w:r>
            <w:r w:rsidRPr="48410D65" w:rsidDel="002836D9">
              <w:rPr>
                <w:rFonts w:asciiTheme="minorHAnsi" w:eastAsia="Calibri" w:hAnsiTheme="minorHAnsi" w:cstheme="minorBidi"/>
                <w:shd w:val="clear" w:color="auto" w:fill="FFFFFF"/>
              </w:rPr>
              <w:t xml:space="preserve"> </w:t>
            </w:r>
            <w:r w:rsidRPr="48410D65">
              <w:rPr>
                <w:rFonts w:asciiTheme="minorHAnsi" w:eastAsia="Calibri" w:hAnsiTheme="minorHAnsi" w:cstheme="minorBidi"/>
                <w:shd w:val="clear" w:color="auto" w:fill="FFFFFF"/>
              </w:rPr>
              <w:t>with disabilities.</w:t>
            </w:r>
          </w:p>
          <w:p w14:paraId="5DD7577B" w14:textId="2333BD4D" w:rsidR="00A02172" w:rsidRPr="007C406C" w:rsidRDefault="00A02172">
            <w:pPr>
              <w:rPr>
                <w:rFonts w:asciiTheme="minorHAnsi" w:eastAsia="Calibri" w:hAnsiTheme="minorHAnsi" w:cstheme="minorHAnsi"/>
              </w:rPr>
            </w:pPr>
          </w:p>
        </w:tc>
        <w:tc>
          <w:tcPr>
            <w:tcW w:w="1538" w:type="dxa"/>
          </w:tcPr>
          <w:p w14:paraId="294403AB" w14:textId="3C1D7972" w:rsidR="00A02172" w:rsidRPr="007C406C" w:rsidRDefault="00A02172">
            <w:pPr>
              <w:rPr>
                <w:rFonts w:asciiTheme="minorHAnsi" w:hAnsiTheme="minorHAnsi" w:cstheme="minorHAnsi"/>
              </w:rPr>
            </w:pPr>
            <w:r w:rsidRPr="007C406C">
              <w:rPr>
                <w:rFonts w:asciiTheme="minorHAnsi" w:hAnsiTheme="minorHAnsi" w:cstheme="minorHAnsi"/>
              </w:rPr>
              <w:t>ANGOs and implementing partners</w:t>
            </w:r>
          </w:p>
        </w:tc>
        <w:tc>
          <w:tcPr>
            <w:tcW w:w="1297" w:type="dxa"/>
          </w:tcPr>
          <w:p w14:paraId="3AD59BBF" w14:textId="44487F5F" w:rsidR="00A02172" w:rsidRPr="007C406C" w:rsidRDefault="00A02172">
            <w:pPr>
              <w:rPr>
                <w:rFonts w:asciiTheme="minorHAnsi" w:hAnsiTheme="minorHAnsi" w:cstheme="minorHAnsi"/>
              </w:rPr>
            </w:pPr>
            <w:r>
              <w:rPr>
                <w:rFonts w:asciiTheme="minorHAnsi" w:hAnsiTheme="minorHAnsi" w:cstheme="minorHAnsi"/>
              </w:rPr>
              <w:t>Agree</w:t>
            </w:r>
          </w:p>
        </w:tc>
        <w:tc>
          <w:tcPr>
            <w:tcW w:w="5483" w:type="dxa"/>
          </w:tcPr>
          <w:p w14:paraId="2429ABD1" w14:textId="77777777" w:rsidR="00E31B4E" w:rsidRDefault="00A02172" w:rsidP="00E31B4E">
            <w:pPr>
              <w:rPr>
                <w:rFonts w:asciiTheme="minorHAnsi" w:eastAsiaTheme="minorEastAsia" w:hAnsiTheme="minorHAnsi"/>
                <w:b/>
                <w:bCs/>
              </w:rPr>
            </w:pPr>
            <w:r w:rsidRPr="00E31B4E">
              <w:rPr>
                <w:rFonts w:asciiTheme="minorHAnsi" w:hAnsiTheme="minorHAnsi" w:cstheme="minorHAnsi"/>
              </w:rPr>
              <w:t>This has been addressed under Output 3.4 in the Kenya Phase 2 proposal:</w:t>
            </w:r>
            <w:r w:rsidRPr="00E31B4E">
              <w:rPr>
                <w:rFonts w:asciiTheme="minorHAnsi" w:eastAsiaTheme="minorEastAsia" w:hAnsiTheme="minorHAnsi"/>
                <w:i/>
                <w:iCs/>
              </w:rPr>
              <w:t xml:space="preserve"> Enhanced participation of vulnerable groups (PLWD, elderly, youths, female headed households) in various community activities</w:t>
            </w:r>
            <w:r w:rsidRPr="00E31B4E">
              <w:rPr>
                <w:rFonts w:asciiTheme="minorHAnsi" w:eastAsiaTheme="minorEastAsia" w:hAnsiTheme="minorHAnsi"/>
              </w:rPr>
              <w:t>.</w:t>
            </w:r>
            <w:r w:rsidRPr="00E31B4E">
              <w:rPr>
                <w:rFonts w:asciiTheme="minorHAnsi" w:eastAsiaTheme="minorEastAsia" w:hAnsiTheme="minorHAnsi"/>
                <w:b/>
                <w:bCs/>
              </w:rPr>
              <w:t xml:space="preserve"> </w:t>
            </w:r>
            <w:r w:rsidRPr="00E31B4E">
              <w:rPr>
                <w:rFonts w:asciiTheme="minorHAnsi" w:eastAsiaTheme="minorEastAsia" w:hAnsiTheme="minorHAnsi"/>
              </w:rPr>
              <w:t>Activities include:</w:t>
            </w:r>
          </w:p>
          <w:p w14:paraId="1FCF8E08" w14:textId="77777777" w:rsidR="00E31B4E" w:rsidRPr="00E31B4E" w:rsidRDefault="00D111D8" w:rsidP="00E31B4E">
            <w:pPr>
              <w:pStyle w:val="ListParagraph"/>
              <w:numPr>
                <w:ilvl w:val="0"/>
                <w:numId w:val="17"/>
              </w:numPr>
              <w:rPr>
                <w:rStyle w:val="ui-provider"/>
                <w:rFonts w:asciiTheme="minorHAnsi" w:eastAsiaTheme="minorEastAsia" w:hAnsiTheme="minorHAnsi"/>
                <w:b/>
                <w:bCs/>
              </w:rPr>
            </w:pPr>
            <w:r w:rsidRPr="00E31B4E">
              <w:rPr>
                <w:rStyle w:val="ui-provider"/>
              </w:rPr>
              <w:t>3.4.1. Capacity building of stakeholders in the target counties on inclusion especially disability.</w:t>
            </w:r>
          </w:p>
          <w:p w14:paraId="73EF76E9" w14:textId="00DE5679" w:rsidR="007F1FA2" w:rsidRPr="007F1FA2" w:rsidRDefault="00D111D8" w:rsidP="00C0434D">
            <w:pPr>
              <w:pStyle w:val="ListParagraph"/>
              <w:numPr>
                <w:ilvl w:val="0"/>
                <w:numId w:val="17"/>
              </w:numPr>
              <w:rPr>
                <w:rStyle w:val="ui-provider"/>
                <w:rFonts w:asciiTheme="minorHAnsi" w:eastAsiaTheme="minorEastAsia" w:hAnsiTheme="minorHAnsi"/>
                <w:b/>
                <w:bCs/>
              </w:rPr>
            </w:pPr>
            <w:r w:rsidRPr="00E31B4E">
              <w:rPr>
                <w:rStyle w:val="ui-provider"/>
              </w:rPr>
              <w:t>3.4.2. Organise regular workshops and forums where vulnerable groups can share their needs and concerns through a facilitated dialogue between community members and local authorities ensuring that the voices of the vulnerable groups are heard, and their suggestions</w:t>
            </w:r>
            <w:r w:rsidR="00502A36">
              <w:rPr>
                <w:rStyle w:val="ui-provider"/>
              </w:rPr>
              <w:t xml:space="preserve"> are</w:t>
            </w:r>
            <w:r w:rsidRPr="00E31B4E">
              <w:rPr>
                <w:rStyle w:val="ui-provider"/>
              </w:rPr>
              <w:t xml:space="preserve"> incorporated into community planning and activities.</w:t>
            </w:r>
          </w:p>
          <w:p w14:paraId="4014ACC0" w14:textId="44B1B2F8" w:rsidR="00A02172" w:rsidRPr="007F1FA2" w:rsidRDefault="007B6D42" w:rsidP="00C0434D">
            <w:pPr>
              <w:pStyle w:val="ListParagraph"/>
              <w:numPr>
                <w:ilvl w:val="0"/>
                <w:numId w:val="0"/>
              </w:numPr>
              <w:spacing w:before="240"/>
              <w:rPr>
                <w:rStyle w:val="ui-provider"/>
                <w:rFonts w:asciiTheme="minorHAnsi" w:eastAsiaTheme="minorEastAsia" w:hAnsiTheme="minorHAnsi"/>
                <w:b/>
                <w:bCs/>
              </w:rPr>
            </w:pPr>
            <w:r>
              <w:rPr>
                <w:rStyle w:val="ui-provider"/>
              </w:rPr>
              <w:t>In Kenya, Oxfam</w:t>
            </w:r>
            <w:r w:rsidR="00A02172" w:rsidRPr="00E31B4E">
              <w:rPr>
                <w:rStyle w:val="ui-provider"/>
              </w:rPr>
              <w:t xml:space="preserve"> will engage with O</w:t>
            </w:r>
            <w:r w:rsidR="002E71E5">
              <w:rPr>
                <w:rStyle w:val="ui-provider"/>
              </w:rPr>
              <w:t>rganisations for People with Disabilitie</w:t>
            </w:r>
            <w:r w:rsidR="00A02172" w:rsidRPr="00E31B4E">
              <w:rPr>
                <w:rStyle w:val="ui-provider"/>
              </w:rPr>
              <w:t>s</w:t>
            </w:r>
            <w:r w:rsidR="002E71E5">
              <w:rPr>
                <w:rStyle w:val="ui-provider"/>
              </w:rPr>
              <w:t xml:space="preserve"> (OPDs)</w:t>
            </w:r>
            <w:r w:rsidR="00A02172" w:rsidRPr="00E31B4E">
              <w:rPr>
                <w:rStyle w:val="ui-provider"/>
              </w:rPr>
              <w:t xml:space="preserve"> through consultations and partnership-building efforts to better understand the specific needs of people with disabilities in the target areas.</w:t>
            </w:r>
            <w:r>
              <w:t xml:space="preserve"> F</w:t>
            </w:r>
            <w:r w:rsidR="00A02172" w:rsidRPr="00E31B4E">
              <w:rPr>
                <w:rStyle w:val="ui-provider"/>
              </w:rPr>
              <w:t xml:space="preserve">or the identification and targeting of people with disabilities, </w:t>
            </w:r>
            <w:r>
              <w:rPr>
                <w:rStyle w:val="ui-provider"/>
              </w:rPr>
              <w:t>Oxfam</w:t>
            </w:r>
            <w:r w:rsidR="00A02172" w:rsidRPr="00E31B4E">
              <w:rPr>
                <w:rStyle w:val="ui-provider"/>
              </w:rPr>
              <w:t xml:space="preserve"> will explore the use of the Washington Group Questions as a standard tool. This will enhance our ability to collect accurate data, ensuring that our interventions are inclusive and responsive to their needs.</w:t>
            </w:r>
          </w:p>
          <w:p w14:paraId="0F9D0FD0" w14:textId="77777777" w:rsidR="00A02172" w:rsidRPr="00E31B4E" w:rsidRDefault="00A02172" w:rsidP="00C0434D">
            <w:pPr>
              <w:spacing w:before="240"/>
              <w:jc w:val="both"/>
              <w:rPr>
                <w:rFonts w:asciiTheme="minorHAnsi" w:hAnsiTheme="minorHAnsi" w:cstheme="minorHAnsi"/>
              </w:rPr>
            </w:pPr>
            <w:r w:rsidRPr="00E31B4E">
              <w:rPr>
                <w:rFonts w:asciiTheme="minorHAnsi" w:hAnsiTheme="minorHAnsi" w:cstheme="minorHAnsi"/>
              </w:rPr>
              <w:lastRenderedPageBreak/>
              <w:t>Oxfam in Ethiopia is committed to disability inclusion through the following actions:</w:t>
            </w:r>
          </w:p>
          <w:p w14:paraId="17745C88" w14:textId="7DE7709B" w:rsidR="00A02172" w:rsidRPr="00E31B4E" w:rsidRDefault="00A02172" w:rsidP="00B61D3E">
            <w:pPr>
              <w:pStyle w:val="ListParagraph"/>
              <w:numPr>
                <w:ilvl w:val="0"/>
                <w:numId w:val="12"/>
              </w:numPr>
              <w:tabs>
                <w:tab w:val="left" w:pos="720"/>
              </w:tabs>
              <w:jc w:val="both"/>
              <w:rPr>
                <w:rStyle w:val="Strong"/>
                <w:b w:val="0"/>
                <w:bCs w:val="0"/>
              </w:rPr>
            </w:pPr>
            <w:r w:rsidRPr="00E31B4E">
              <w:rPr>
                <w:rFonts w:asciiTheme="minorHAnsi" w:eastAsia="Times New Roman" w:hAnsiTheme="minorHAnsi" w:cstheme="minorHAnsi"/>
              </w:rPr>
              <w:t xml:space="preserve">Oxfam will conduct Disability Inclusion Assessments including to assess existing programs, identify barriers, develop action </w:t>
            </w:r>
            <w:proofErr w:type="gramStart"/>
            <w:r w:rsidRPr="00E31B4E">
              <w:rPr>
                <w:rFonts w:asciiTheme="minorHAnsi" w:eastAsia="Times New Roman" w:hAnsiTheme="minorHAnsi" w:cstheme="minorHAnsi"/>
              </w:rPr>
              <w:t>plans</w:t>
            </w:r>
            <w:proofErr w:type="gramEnd"/>
            <w:r w:rsidRPr="00E31B4E">
              <w:rPr>
                <w:rFonts w:asciiTheme="minorHAnsi" w:eastAsia="Times New Roman" w:hAnsiTheme="minorHAnsi" w:cstheme="minorHAnsi"/>
              </w:rPr>
              <w:t xml:space="preserve"> and creat</w:t>
            </w:r>
            <w:r w:rsidR="00D42599">
              <w:rPr>
                <w:rFonts w:asciiTheme="minorHAnsi" w:eastAsia="Times New Roman" w:hAnsiTheme="minorHAnsi" w:cstheme="minorHAnsi"/>
              </w:rPr>
              <w:t>e</w:t>
            </w:r>
            <w:r w:rsidRPr="00E31B4E">
              <w:rPr>
                <w:rFonts w:asciiTheme="minorHAnsi" w:eastAsia="Times New Roman" w:hAnsiTheme="minorHAnsi" w:cstheme="minorHAnsi"/>
              </w:rPr>
              <w:t xml:space="preserve"> strategies to address identified barriers and promote inclusion.</w:t>
            </w:r>
          </w:p>
          <w:p w14:paraId="660E8932" w14:textId="77777777" w:rsidR="00A02172" w:rsidRPr="00E31B4E" w:rsidRDefault="00A02172" w:rsidP="00B61D3E">
            <w:pPr>
              <w:pStyle w:val="ListParagraph"/>
              <w:numPr>
                <w:ilvl w:val="0"/>
                <w:numId w:val="12"/>
              </w:numPr>
              <w:tabs>
                <w:tab w:val="left" w:pos="720"/>
              </w:tabs>
              <w:jc w:val="both"/>
            </w:pPr>
            <w:r w:rsidRPr="00E31B4E">
              <w:rPr>
                <w:rStyle w:val="Strong"/>
                <w:b w:val="0"/>
                <w:bCs w:val="0"/>
              </w:rPr>
              <w:t>Through the ongoing advocacy efforts, Oxfam will continue to</w:t>
            </w:r>
            <w:r w:rsidRPr="00E31B4E">
              <w:rPr>
                <w:rStyle w:val="Strong"/>
              </w:rPr>
              <w:t xml:space="preserve"> </w:t>
            </w:r>
            <w:r w:rsidRPr="00E31B4E">
              <w:t xml:space="preserve">advocate for </w:t>
            </w:r>
            <w:r w:rsidRPr="00E31B4E">
              <w:rPr>
                <w:rStyle w:val="Strong"/>
                <w:b w:val="0"/>
                <w:bCs w:val="0"/>
              </w:rPr>
              <w:t>inclusive policies</w:t>
            </w:r>
            <w:r w:rsidRPr="00E31B4E">
              <w:t xml:space="preserve"> with government agencies and other stakeholders. </w:t>
            </w:r>
          </w:p>
          <w:p w14:paraId="1E77EA58" w14:textId="77777777" w:rsidR="00A02172" w:rsidRDefault="00A02172" w:rsidP="00B61D3E">
            <w:pPr>
              <w:jc w:val="both"/>
              <w:rPr>
                <w:rFonts w:asciiTheme="minorHAnsi" w:eastAsia="Times New Roman" w:hAnsiTheme="minorHAnsi" w:cstheme="minorHAnsi"/>
              </w:rPr>
            </w:pPr>
            <w:r w:rsidRPr="00E31B4E">
              <w:t>Oxfam will also continue to</w:t>
            </w:r>
            <w:r w:rsidRPr="00E31B4E">
              <w:rPr>
                <w:rFonts w:asciiTheme="minorHAnsi" w:eastAsia="Times New Roman" w:hAnsiTheme="minorHAnsi" w:cstheme="minorHAnsi"/>
              </w:rPr>
              <w:t xml:space="preserve"> regularly monitor the effectiveness of inclusion efforts, collect feedback, and adjust as appropriate.</w:t>
            </w:r>
          </w:p>
          <w:p w14:paraId="6B0B5037" w14:textId="269ED225" w:rsidR="00D42599" w:rsidRPr="00E31B4E" w:rsidRDefault="00BA2086" w:rsidP="00C0434D">
            <w:pPr>
              <w:spacing w:before="240"/>
              <w:jc w:val="both"/>
              <w:rPr>
                <w:rFonts w:asciiTheme="minorHAnsi" w:hAnsiTheme="minorHAnsi" w:cstheme="minorHAnsi"/>
              </w:rPr>
            </w:pPr>
            <w:r>
              <w:rPr>
                <w:rFonts w:asciiTheme="minorHAnsi" w:hAnsiTheme="minorHAnsi" w:cstheme="minorHAnsi"/>
              </w:rPr>
              <w:t>Plan International will d</w:t>
            </w:r>
            <w:r w:rsidR="0051478E" w:rsidRPr="0051478E">
              <w:rPr>
                <w:rFonts w:asciiTheme="minorHAnsi" w:hAnsiTheme="minorHAnsi" w:cstheme="minorHAnsi"/>
              </w:rPr>
              <w:t xml:space="preserve">efine a clear action plan to build </w:t>
            </w:r>
            <w:r>
              <w:rPr>
                <w:rFonts w:asciiTheme="minorHAnsi" w:hAnsiTheme="minorHAnsi" w:cstheme="minorHAnsi"/>
              </w:rPr>
              <w:t xml:space="preserve">the </w:t>
            </w:r>
            <w:r w:rsidR="0051478E" w:rsidRPr="0051478E">
              <w:rPr>
                <w:rFonts w:asciiTheme="minorHAnsi" w:hAnsiTheme="minorHAnsi" w:cstheme="minorHAnsi"/>
              </w:rPr>
              <w:t xml:space="preserve">capacities </w:t>
            </w:r>
            <w:r>
              <w:rPr>
                <w:rFonts w:asciiTheme="minorHAnsi" w:hAnsiTheme="minorHAnsi" w:cstheme="minorHAnsi"/>
              </w:rPr>
              <w:t xml:space="preserve">of </w:t>
            </w:r>
            <w:r w:rsidR="0051478E" w:rsidRPr="0051478E">
              <w:rPr>
                <w:rFonts w:asciiTheme="minorHAnsi" w:hAnsiTheme="minorHAnsi" w:cstheme="minorHAnsi"/>
              </w:rPr>
              <w:t xml:space="preserve">organizations working on disabilities and ensure participation to address </w:t>
            </w:r>
            <w:r>
              <w:rPr>
                <w:rFonts w:asciiTheme="minorHAnsi" w:hAnsiTheme="minorHAnsi" w:cstheme="minorHAnsi"/>
              </w:rPr>
              <w:t>the h</w:t>
            </w:r>
            <w:r w:rsidR="0051478E" w:rsidRPr="0051478E">
              <w:rPr>
                <w:rFonts w:asciiTheme="minorHAnsi" w:hAnsiTheme="minorHAnsi" w:cstheme="minorHAnsi"/>
              </w:rPr>
              <w:t>unger crisis</w:t>
            </w:r>
            <w:r>
              <w:rPr>
                <w:rFonts w:asciiTheme="minorHAnsi" w:hAnsiTheme="minorHAnsi" w:cstheme="minorHAnsi"/>
              </w:rPr>
              <w:t>, w</w:t>
            </w:r>
            <w:r w:rsidR="0051478E" w:rsidRPr="0051478E">
              <w:rPr>
                <w:rFonts w:asciiTheme="minorHAnsi" w:hAnsiTheme="minorHAnsi" w:cstheme="minorHAnsi"/>
              </w:rPr>
              <w:t xml:space="preserve">orking closely with </w:t>
            </w:r>
            <w:r w:rsidR="00B02B0B">
              <w:rPr>
                <w:rFonts w:asciiTheme="minorHAnsi" w:hAnsiTheme="minorHAnsi" w:cstheme="minorHAnsi"/>
              </w:rPr>
              <w:t xml:space="preserve">the </w:t>
            </w:r>
            <w:r w:rsidR="0051478E" w:rsidRPr="0051478E">
              <w:rPr>
                <w:rFonts w:asciiTheme="minorHAnsi" w:hAnsiTheme="minorHAnsi" w:cstheme="minorHAnsi"/>
              </w:rPr>
              <w:t>Women and Social Affairs bureau (Rehabilitation Unit) and other organizations</w:t>
            </w:r>
            <w:r w:rsidR="00B02B0B">
              <w:rPr>
                <w:rFonts w:asciiTheme="minorHAnsi" w:hAnsiTheme="minorHAnsi" w:cstheme="minorHAnsi"/>
              </w:rPr>
              <w:t xml:space="preserve"> for people with disabilities.</w:t>
            </w:r>
            <w:r w:rsidR="00AF6F5C">
              <w:rPr>
                <w:rFonts w:asciiTheme="minorHAnsi" w:hAnsiTheme="minorHAnsi" w:cstheme="minorHAnsi"/>
              </w:rPr>
              <w:t xml:space="preserve"> Disability and </w:t>
            </w:r>
            <w:r w:rsidR="00872032">
              <w:rPr>
                <w:rFonts w:asciiTheme="minorHAnsi" w:hAnsiTheme="minorHAnsi" w:cstheme="minorHAnsi"/>
              </w:rPr>
              <w:t>s</w:t>
            </w:r>
            <w:r w:rsidR="00AF6F5C">
              <w:rPr>
                <w:rFonts w:asciiTheme="minorHAnsi" w:hAnsiTheme="minorHAnsi" w:cstheme="minorHAnsi"/>
              </w:rPr>
              <w:t xml:space="preserve">ocial </w:t>
            </w:r>
            <w:r w:rsidR="00872032">
              <w:rPr>
                <w:rFonts w:asciiTheme="minorHAnsi" w:hAnsiTheme="minorHAnsi" w:cstheme="minorHAnsi"/>
              </w:rPr>
              <w:t>i</w:t>
            </w:r>
            <w:r w:rsidR="00AF6F5C">
              <w:rPr>
                <w:rFonts w:asciiTheme="minorHAnsi" w:hAnsiTheme="minorHAnsi" w:cstheme="minorHAnsi"/>
              </w:rPr>
              <w:t xml:space="preserve">nclusion will also be treated </w:t>
            </w:r>
            <w:r w:rsidR="00872032">
              <w:rPr>
                <w:rFonts w:asciiTheme="minorHAnsi" w:hAnsiTheme="minorHAnsi" w:cstheme="minorHAnsi"/>
              </w:rPr>
              <w:t xml:space="preserve">by Plan International </w:t>
            </w:r>
            <w:r w:rsidR="00AF6F5C">
              <w:rPr>
                <w:rFonts w:asciiTheme="minorHAnsi" w:hAnsiTheme="minorHAnsi" w:cstheme="minorHAnsi"/>
              </w:rPr>
              <w:t xml:space="preserve">as a stand-alone approach, </w:t>
            </w:r>
            <w:r w:rsidR="00126248">
              <w:rPr>
                <w:rFonts w:asciiTheme="minorHAnsi" w:hAnsiTheme="minorHAnsi" w:cstheme="minorHAnsi"/>
              </w:rPr>
              <w:t>separate to</w:t>
            </w:r>
            <w:r w:rsidR="00AF6F5C">
              <w:rPr>
                <w:rFonts w:asciiTheme="minorHAnsi" w:hAnsiTheme="minorHAnsi" w:cstheme="minorHAnsi"/>
              </w:rPr>
              <w:t xml:space="preserve"> gender equality, </w:t>
            </w:r>
            <w:r w:rsidR="00126248">
              <w:rPr>
                <w:rFonts w:asciiTheme="minorHAnsi" w:hAnsiTheme="minorHAnsi" w:cstheme="minorHAnsi"/>
              </w:rPr>
              <w:t xml:space="preserve">to ensure adequate focus on this issue. </w:t>
            </w:r>
          </w:p>
        </w:tc>
        <w:tc>
          <w:tcPr>
            <w:tcW w:w="1584" w:type="dxa"/>
          </w:tcPr>
          <w:p w14:paraId="2C11377B" w14:textId="4A45BAEE" w:rsidR="007F1FA2" w:rsidRPr="007C406C" w:rsidRDefault="00A02172" w:rsidP="00D32AF5">
            <w:pPr>
              <w:rPr>
                <w:rFonts w:asciiTheme="minorHAnsi" w:hAnsiTheme="minorHAnsi" w:cstheme="minorHAnsi"/>
              </w:rPr>
            </w:pPr>
            <w:r w:rsidRPr="001F1E3D">
              <w:rPr>
                <w:rFonts w:asciiTheme="minorHAnsi" w:hAnsiTheme="minorHAnsi" w:cstheme="minorHAnsi"/>
              </w:rPr>
              <w:lastRenderedPageBreak/>
              <w:t>Within the project period</w:t>
            </w:r>
            <w:r w:rsidR="00742C2F">
              <w:rPr>
                <w:rFonts w:asciiTheme="minorHAnsi" w:hAnsiTheme="minorHAnsi" w:cstheme="minorHAnsi"/>
              </w:rPr>
              <w:t xml:space="preserve"> (Oxfam)</w:t>
            </w:r>
            <w:r w:rsidR="00D32AF5">
              <w:rPr>
                <w:rFonts w:asciiTheme="minorHAnsi" w:hAnsiTheme="minorHAnsi" w:cstheme="minorHAnsi"/>
              </w:rPr>
              <w:t>, Ongoing (Plan</w:t>
            </w:r>
            <w:r w:rsidR="004840EF">
              <w:rPr>
                <w:rFonts w:asciiTheme="minorHAnsi" w:hAnsiTheme="minorHAnsi" w:cstheme="minorHAnsi"/>
              </w:rPr>
              <w:t xml:space="preserve"> International</w:t>
            </w:r>
            <w:r w:rsidR="00D32AF5">
              <w:rPr>
                <w:rFonts w:asciiTheme="minorHAnsi" w:hAnsiTheme="minorHAnsi" w:cstheme="minorHAnsi"/>
              </w:rPr>
              <w:t>)</w:t>
            </w:r>
          </w:p>
        </w:tc>
      </w:tr>
      <w:tr w:rsidR="00DF6F63" w:rsidRPr="002B7942" w14:paraId="7A50614F" w14:textId="77777777" w:rsidTr="00C0434D">
        <w:trPr>
          <w:trHeight w:val="300"/>
        </w:trPr>
        <w:tc>
          <w:tcPr>
            <w:tcW w:w="4536" w:type="dxa"/>
          </w:tcPr>
          <w:p w14:paraId="70DD4DE7" w14:textId="0BFC71BB" w:rsidR="00DF6F63" w:rsidRPr="007C406C" w:rsidRDefault="00DF6F63" w:rsidP="00C0434D">
            <w:pPr>
              <w:numPr>
                <w:ilvl w:val="0"/>
                <w:numId w:val="7"/>
              </w:numPr>
              <w:spacing w:after="120" w:line="276" w:lineRule="auto"/>
              <w:rPr>
                <w:rFonts w:asciiTheme="minorHAnsi" w:eastAsia="Calibri" w:hAnsiTheme="minorHAnsi" w:cstheme="minorHAnsi"/>
              </w:rPr>
            </w:pPr>
            <w:r w:rsidRPr="007C406C">
              <w:rPr>
                <w:rFonts w:asciiTheme="minorHAnsi" w:eastAsia="Calibri" w:hAnsiTheme="minorHAnsi" w:cstheme="minorHAnsi"/>
              </w:rPr>
              <w:t xml:space="preserve">For AHP partners, to improve consistency in data collection, monitoring and evaluation, reporting, and learning for the response, establish a centralised digital platform that integrates data from all implementing </w:t>
            </w:r>
            <w:r w:rsidRPr="007C406C">
              <w:rPr>
                <w:rFonts w:asciiTheme="minorHAnsi" w:eastAsia="Calibri" w:hAnsiTheme="minorHAnsi" w:cstheme="minorHAnsi"/>
              </w:rPr>
              <w:lastRenderedPageBreak/>
              <w:t>partners and stakeholders. This platform should include standardised data collection tools, real-time monitoring dashboards, and automated reporting functionalities.</w:t>
            </w:r>
          </w:p>
        </w:tc>
        <w:tc>
          <w:tcPr>
            <w:tcW w:w="1538" w:type="dxa"/>
          </w:tcPr>
          <w:p w14:paraId="75028D14" w14:textId="17CF6FB0" w:rsidR="00DF6F63" w:rsidRPr="007C406C" w:rsidRDefault="00DF6F63" w:rsidP="00C0434D">
            <w:pPr>
              <w:rPr>
                <w:rFonts w:asciiTheme="minorHAnsi" w:hAnsiTheme="minorHAnsi" w:cstheme="minorHAnsi"/>
              </w:rPr>
            </w:pPr>
            <w:r w:rsidRPr="48410D65">
              <w:rPr>
                <w:rFonts w:asciiTheme="minorHAnsi" w:hAnsiTheme="minorHAnsi" w:cstheme="minorBidi"/>
              </w:rPr>
              <w:lastRenderedPageBreak/>
              <w:t>ANGOs and implementing partners</w:t>
            </w:r>
          </w:p>
        </w:tc>
        <w:tc>
          <w:tcPr>
            <w:tcW w:w="1297" w:type="dxa"/>
          </w:tcPr>
          <w:p w14:paraId="2AD69EC7" w14:textId="10604538" w:rsidR="00DF6F63" w:rsidRPr="007C406C" w:rsidRDefault="00DF6F63">
            <w:pPr>
              <w:rPr>
                <w:rFonts w:asciiTheme="minorHAnsi" w:hAnsiTheme="minorHAnsi" w:cstheme="minorHAnsi"/>
              </w:rPr>
            </w:pPr>
            <w:r>
              <w:rPr>
                <w:rFonts w:asciiTheme="minorHAnsi" w:hAnsiTheme="minorHAnsi" w:cstheme="minorHAnsi"/>
              </w:rPr>
              <w:t>Agree</w:t>
            </w:r>
          </w:p>
        </w:tc>
        <w:tc>
          <w:tcPr>
            <w:tcW w:w="5483" w:type="dxa"/>
          </w:tcPr>
          <w:p w14:paraId="628F75B6" w14:textId="290C6E36" w:rsidR="00DF6F63" w:rsidRPr="004F6FB8" w:rsidRDefault="00DF6F63">
            <w:pPr>
              <w:rPr>
                <w:rFonts w:asciiTheme="minorHAnsi" w:hAnsiTheme="minorHAnsi" w:cstheme="minorHAnsi"/>
              </w:rPr>
            </w:pPr>
            <w:r w:rsidRPr="004F6FB8">
              <w:rPr>
                <w:rFonts w:asciiTheme="minorHAnsi" w:hAnsiTheme="minorHAnsi" w:cstheme="minorHAnsi"/>
              </w:rPr>
              <w:t xml:space="preserve">Oxfam </w:t>
            </w:r>
            <w:r>
              <w:rPr>
                <w:rFonts w:asciiTheme="minorHAnsi" w:hAnsiTheme="minorHAnsi" w:cstheme="minorHAnsi"/>
              </w:rPr>
              <w:t xml:space="preserve">in Kenya </w:t>
            </w:r>
            <w:r w:rsidRPr="004F6FB8">
              <w:rPr>
                <w:rFonts w:asciiTheme="minorHAnsi" w:hAnsiTheme="minorHAnsi" w:cstheme="minorHAnsi"/>
              </w:rPr>
              <w:t xml:space="preserve">will continue to invest in and build upon centralized digital platforms such as KOBO and Survey CTO to integrate data from all implementing partners using standardized tools. This will support real-time monitoring and improve the accuracy of the data collected. Tools will be scripted to these online mobile digital collection </w:t>
            </w:r>
            <w:r w:rsidRPr="004F6FB8">
              <w:rPr>
                <w:rFonts w:asciiTheme="minorHAnsi" w:hAnsiTheme="minorHAnsi" w:cstheme="minorHAnsi"/>
              </w:rPr>
              <w:lastRenderedPageBreak/>
              <w:t xml:space="preserve">platforms </w:t>
            </w:r>
            <w:r>
              <w:rPr>
                <w:rFonts w:asciiTheme="minorHAnsi" w:hAnsiTheme="minorHAnsi" w:cstheme="minorHAnsi"/>
              </w:rPr>
              <w:t>to</w:t>
            </w:r>
            <w:r w:rsidRPr="004F6FB8">
              <w:rPr>
                <w:rFonts w:asciiTheme="minorHAnsi" w:hAnsiTheme="minorHAnsi" w:cstheme="minorHAnsi"/>
              </w:rPr>
              <w:t xml:space="preserve"> ensure real time data collection with appropriate </w:t>
            </w:r>
            <w:r>
              <w:rPr>
                <w:rFonts w:asciiTheme="minorHAnsi" w:hAnsiTheme="minorHAnsi" w:cstheme="minorHAnsi"/>
              </w:rPr>
              <w:t>d</w:t>
            </w:r>
            <w:r w:rsidRPr="004F6FB8">
              <w:rPr>
                <w:rFonts w:asciiTheme="minorHAnsi" w:hAnsiTheme="minorHAnsi" w:cstheme="minorHAnsi"/>
              </w:rPr>
              <w:t xml:space="preserve">ata </w:t>
            </w:r>
            <w:r>
              <w:rPr>
                <w:rFonts w:asciiTheme="minorHAnsi" w:hAnsiTheme="minorHAnsi" w:cstheme="minorHAnsi"/>
              </w:rPr>
              <w:t>q</w:t>
            </w:r>
            <w:r w:rsidRPr="004F6FB8">
              <w:rPr>
                <w:rFonts w:asciiTheme="minorHAnsi" w:hAnsiTheme="minorHAnsi" w:cstheme="minorHAnsi"/>
              </w:rPr>
              <w:t xml:space="preserve">uality </w:t>
            </w:r>
            <w:r>
              <w:rPr>
                <w:rFonts w:asciiTheme="minorHAnsi" w:hAnsiTheme="minorHAnsi" w:cstheme="minorHAnsi"/>
              </w:rPr>
              <w:t>a</w:t>
            </w:r>
            <w:r w:rsidRPr="004F6FB8">
              <w:rPr>
                <w:rFonts w:asciiTheme="minorHAnsi" w:hAnsiTheme="minorHAnsi" w:cstheme="minorHAnsi"/>
              </w:rPr>
              <w:t>ssurance checks.</w:t>
            </w:r>
            <w:r>
              <w:rPr>
                <w:rFonts w:asciiTheme="minorHAnsi" w:hAnsiTheme="minorHAnsi" w:cstheme="minorHAnsi"/>
              </w:rPr>
              <w:t xml:space="preserve"> </w:t>
            </w:r>
            <w:r w:rsidRPr="004F6FB8">
              <w:rPr>
                <w:rFonts w:asciiTheme="minorHAnsi" w:hAnsiTheme="minorHAnsi" w:cstheme="minorHAnsi"/>
              </w:rPr>
              <w:t xml:space="preserve">This </w:t>
            </w:r>
            <w:r>
              <w:rPr>
                <w:rFonts w:asciiTheme="minorHAnsi" w:hAnsiTheme="minorHAnsi" w:cstheme="minorHAnsi"/>
              </w:rPr>
              <w:t xml:space="preserve">recommendation </w:t>
            </w:r>
            <w:r w:rsidRPr="004F6FB8">
              <w:rPr>
                <w:rFonts w:asciiTheme="minorHAnsi" w:hAnsiTheme="minorHAnsi" w:cstheme="minorHAnsi"/>
              </w:rPr>
              <w:t xml:space="preserve">has also been addressed under </w:t>
            </w:r>
            <w:r>
              <w:rPr>
                <w:rFonts w:asciiTheme="minorHAnsi" w:hAnsiTheme="minorHAnsi" w:cstheme="minorHAnsi"/>
              </w:rPr>
              <w:t>the</w:t>
            </w:r>
            <w:r w:rsidRPr="004F6FB8">
              <w:rPr>
                <w:rFonts w:asciiTheme="minorHAnsi" w:hAnsiTheme="minorHAnsi" w:cstheme="minorHAnsi"/>
              </w:rPr>
              <w:t xml:space="preserve"> MEL </w:t>
            </w:r>
            <w:r>
              <w:rPr>
                <w:rFonts w:asciiTheme="minorHAnsi" w:hAnsiTheme="minorHAnsi" w:cstheme="minorHAnsi"/>
              </w:rPr>
              <w:t>s</w:t>
            </w:r>
            <w:r w:rsidRPr="004F6FB8">
              <w:rPr>
                <w:rFonts w:asciiTheme="minorHAnsi" w:hAnsiTheme="minorHAnsi" w:cstheme="minorHAnsi"/>
              </w:rPr>
              <w:t>ection in the Kenya Phase 2 proposal.</w:t>
            </w:r>
          </w:p>
          <w:p w14:paraId="05BE7908" w14:textId="3981D522" w:rsidR="00DF6F63" w:rsidRDefault="00DF6F63" w:rsidP="00C0434D">
            <w:pPr>
              <w:spacing w:before="240"/>
            </w:pPr>
            <w:r>
              <w:rPr>
                <w:rFonts w:asciiTheme="minorHAnsi" w:hAnsiTheme="minorHAnsi" w:cstheme="minorHAnsi"/>
              </w:rPr>
              <w:t xml:space="preserve">Oxfam in Ethiopia currently uses a </w:t>
            </w:r>
            <w:r w:rsidRPr="00B61D3E">
              <w:rPr>
                <w:rStyle w:val="Strong"/>
                <w:b w:val="0"/>
                <w:bCs w:val="0"/>
              </w:rPr>
              <w:t>centralized digital platform</w:t>
            </w:r>
            <w:r>
              <w:t xml:space="preserve"> for data collection and reporting that </w:t>
            </w:r>
            <w:r>
              <w:rPr>
                <w:rStyle w:val="ui-provider"/>
              </w:rPr>
              <w:t>all implementing partners contribute to. This also helps the team to improve</w:t>
            </w:r>
            <w:r>
              <w:rPr>
                <w:rFonts w:asciiTheme="minorHAnsi" w:eastAsia="Calibri" w:hAnsiTheme="minorHAnsi" w:cstheme="minorHAnsi"/>
              </w:rPr>
              <w:t xml:space="preserve"> consistency in data collection, monitoring and evaluation, reporting, and learning. Oxfam also conducts joint monthly MEL sessions with implementing partners to discuss challenges and share learning, as well as </w:t>
            </w:r>
            <w:r>
              <w:t xml:space="preserve">capacity building actions and follow-ups. </w:t>
            </w:r>
          </w:p>
          <w:p w14:paraId="20CD60CF" w14:textId="25714680" w:rsidR="00DF6F63" w:rsidRPr="000A19D1" w:rsidRDefault="00DF6F63" w:rsidP="00C0434D">
            <w:pPr>
              <w:spacing w:before="240"/>
              <w:rPr>
                <w:rFonts w:asciiTheme="minorHAnsi" w:eastAsia="Calibri" w:hAnsiTheme="minorHAnsi" w:cstheme="minorHAnsi"/>
              </w:rPr>
            </w:pPr>
            <w:r w:rsidRPr="00FA127B">
              <w:rPr>
                <w:rFonts w:asciiTheme="minorHAnsi" w:eastAsia="Calibri" w:hAnsiTheme="minorHAnsi" w:cstheme="minorHAnsi"/>
              </w:rPr>
              <w:t xml:space="preserve">Plan International </w:t>
            </w:r>
            <w:r>
              <w:rPr>
                <w:rFonts w:asciiTheme="minorHAnsi" w:eastAsia="Calibri" w:hAnsiTheme="minorHAnsi" w:cstheme="minorHAnsi"/>
              </w:rPr>
              <w:t xml:space="preserve">will assign </w:t>
            </w:r>
            <w:r w:rsidRPr="00FA127B">
              <w:rPr>
                <w:rFonts w:asciiTheme="minorHAnsi" w:eastAsia="Calibri" w:hAnsiTheme="minorHAnsi" w:cstheme="minorHAnsi"/>
              </w:rPr>
              <w:t>full time dedicated M&amp;E professionals to support project teams</w:t>
            </w:r>
            <w:r>
              <w:rPr>
                <w:rFonts w:asciiTheme="minorHAnsi" w:eastAsia="Calibri" w:hAnsiTheme="minorHAnsi" w:cstheme="minorHAnsi"/>
              </w:rPr>
              <w:t xml:space="preserve"> and</w:t>
            </w:r>
            <w:r>
              <w:t xml:space="preserve"> provide M&amp;E trainings to project teams</w:t>
            </w:r>
            <w:r w:rsidR="00E95AFE">
              <w:t xml:space="preserve"> to better </w:t>
            </w:r>
            <w:r w:rsidR="00836D6E">
              <w:t>enable</w:t>
            </w:r>
            <w:r w:rsidRPr="00FA127B">
              <w:rPr>
                <w:rFonts w:asciiTheme="minorHAnsi" w:eastAsia="Calibri" w:hAnsiTheme="minorHAnsi" w:cstheme="minorHAnsi"/>
              </w:rPr>
              <w:t xml:space="preserve"> clear</w:t>
            </w:r>
            <w:r>
              <w:rPr>
                <w:rFonts w:asciiTheme="minorHAnsi" w:eastAsia="Calibri" w:hAnsiTheme="minorHAnsi" w:cstheme="minorHAnsi"/>
              </w:rPr>
              <w:t>er and more consistent</w:t>
            </w:r>
            <w:r w:rsidRPr="00FA127B">
              <w:rPr>
                <w:rFonts w:asciiTheme="minorHAnsi" w:eastAsia="Calibri" w:hAnsiTheme="minorHAnsi" w:cstheme="minorHAnsi"/>
              </w:rPr>
              <w:t xml:space="preserve"> data collection and reporting templates, </w:t>
            </w:r>
            <w:proofErr w:type="gramStart"/>
            <w:r w:rsidRPr="00FA127B">
              <w:rPr>
                <w:rFonts w:asciiTheme="minorHAnsi" w:eastAsia="Calibri" w:hAnsiTheme="minorHAnsi" w:cstheme="minorHAnsi"/>
              </w:rPr>
              <w:t>guidelines</w:t>
            </w:r>
            <w:proofErr w:type="gramEnd"/>
            <w:r w:rsidRPr="00FA127B">
              <w:rPr>
                <w:rFonts w:asciiTheme="minorHAnsi" w:eastAsia="Calibri" w:hAnsiTheme="minorHAnsi" w:cstheme="minorHAnsi"/>
              </w:rPr>
              <w:t xml:space="preserve"> and frames</w:t>
            </w:r>
            <w:r>
              <w:rPr>
                <w:rFonts w:asciiTheme="minorHAnsi" w:eastAsia="Calibri" w:hAnsiTheme="minorHAnsi" w:cstheme="minorHAnsi"/>
              </w:rPr>
              <w:t xml:space="preserve"> across </w:t>
            </w:r>
            <w:r w:rsidR="00B2135D">
              <w:rPr>
                <w:rFonts w:asciiTheme="minorHAnsi" w:eastAsia="Calibri" w:hAnsiTheme="minorHAnsi" w:cstheme="minorHAnsi"/>
              </w:rPr>
              <w:t xml:space="preserve">AHP </w:t>
            </w:r>
            <w:r>
              <w:rPr>
                <w:rFonts w:asciiTheme="minorHAnsi" w:eastAsia="Calibri" w:hAnsiTheme="minorHAnsi" w:cstheme="minorHAnsi"/>
              </w:rPr>
              <w:t xml:space="preserve">responses. </w:t>
            </w:r>
          </w:p>
        </w:tc>
        <w:tc>
          <w:tcPr>
            <w:tcW w:w="1584" w:type="dxa"/>
          </w:tcPr>
          <w:p w14:paraId="0207A4F8" w14:textId="41754D3B" w:rsidR="00DF6F63" w:rsidRPr="002B7942" w:rsidRDefault="00DF6F63" w:rsidP="00C0434D">
            <w:pPr>
              <w:rPr>
                <w:rFonts w:asciiTheme="minorHAnsi" w:eastAsia="Times New Roman" w:hAnsiTheme="minorHAnsi" w:cstheme="minorHAnsi"/>
              </w:rPr>
            </w:pPr>
            <w:r w:rsidRPr="002B7942">
              <w:rPr>
                <w:rFonts w:asciiTheme="minorHAnsi" w:hAnsiTheme="minorHAnsi" w:cstheme="minorHAnsi"/>
              </w:rPr>
              <w:lastRenderedPageBreak/>
              <w:t>Within the project period</w:t>
            </w:r>
            <w:r>
              <w:rPr>
                <w:rFonts w:asciiTheme="minorHAnsi" w:hAnsiTheme="minorHAnsi" w:cstheme="minorHAnsi"/>
              </w:rPr>
              <w:t xml:space="preserve"> (Oxfam)</w:t>
            </w:r>
            <w:r w:rsidR="00D32AF5">
              <w:rPr>
                <w:rFonts w:asciiTheme="minorHAnsi" w:hAnsiTheme="minorHAnsi" w:cstheme="minorHAnsi"/>
              </w:rPr>
              <w:t>, Ongoing (Plan</w:t>
            </w:r>
            <w:r w:rsidR="004840EF">
              <w:rPr>
                <w:rFonts w:asciiTheme="minorHAnsi" w:hAnsiTheme="minorHAnsi" w:cstheme="minorHAnsi"/>
              </w:rPr>
              <w:t xml:space="preserve"> International</w:t>
            </w:r>
            <w:r w:rsidR="00D32AF5">
              <w:rPr>
                <w:rFonts w:asciiTheme="minorHAnsi" w:hAnsiTheme="minorHAnsi" w:cstheme="minorHAnsi"/>
              </w:rPr>
              <w:t>)</w:t>
            </w:r>
          </w:p>
        </w:tc>
      </w:tr>
      <w:tr w:rsidR="004E38CE" w:rsidRPr="004E38CE" w14:paraId="5550CB45" w14:textId="77777777" w:rsidTr="00C0434D">
        <w:trPr>
          <w:trHeight w:val="1036"/>
        </w:trPr>
        <w:tc>
          <w:tcPr>
            <w:tcW w:w="4536" w:type="dxa"/>
          </w:tcPr>
          <w:p w14:paraId="22D31571" w14:textId="2A5F5112" w:rsidR="00A02172" w:rsidRPr="007C406C" w:rsidRDefault="00A02172" w:rsidP="00072C7E">
            <w:pPr>
              <w:numPr>
                <w:ilvl w:val="0"/>
                <w:numId w:val="7"/>
              </w:numPr>
              <w:snapToGrid w:val="0"/>
              <w:spacing w:after="120" w:line="276" w:lineRule="auto"/>
              <w:contextualSpacing/>
              <w:rPr>
                <w:rFonts w:asciiTheme="minorHAnsi" w:eastAsia="Calibri" w:hAnsiTheme="minorHAnsi" w:cstheme="minorHAnsi"/>
              </w:rPr>
            </w:pPr>
            <w:r w:rsidRPr="007C406C">
              <w:rPr>
                <w:rFonts w:asciiTheme="minorHAnsi" w:eastAsia="Calibri" w:hAnsiTheme="minorHAnsi" w:cstheme="minorHAnsi"/>
              </w:rPr>
              <w:t xml:space="preserve">Implementing partners should consider utilising short term funding opportunities like the one evaluated to promote government integration of FSL interventions into existing government programmes. This approach will help to link short-term humanitarian aid and longer-term development efforts where possible, ensuring that immediate lifesaving </w:t>
            </w:r>
            <w:r w:rsidRPr="007C406C">
              <w:rPr>
                <w:rFonts w:asciiTheme="minorHAnsi" w:eastAsia="Calibri" w:hAnsiTheme="minorHAnsi" w:cstheme="minorHAnsi"/>
              </w:rPr>
              <w:lastRenderedPageBreak/>
              <w:t>interventions are followed with, or contribute to, more sustainable development and enhanced resilience.</w:t>
            </w:r>
          </w:p>
          <w:p w14:paraId="78B1FBC6" w14:textId="36876FB5" w:rsidR="00A02172" w:rsidRPr="007C406C" w:rsidRDefault="00A02172">
            <w:pPr>
              <w:rPr>
                <w:rFonts w:asciiTheme="minorHAnsi" w:eastAsia="Calibri" w:hAnsiTheme="minorHAnsi" w:cstheme="minorHAnsi"/>
              </w:rPr>
            </w:pPr>
          </w:p>
        </w:tc>
        <w:tc>
          <w:tcPr>
            <w:tcW w:w="1538" w:type="dxa"/>
          </w:tcPr>
          <w:p w14:paraId="5F14D73C" w14:textId="2262495E" w:rsidR="00A02172" w:rsidRPr="007C406C" w:rsidRDefault="00A02172" w:rsidP="48410D65">
            <w:pPr>
              <w:rPr>
                <w:rFonts w:asciiTheme="minorHAnsi" w:hAnsiTheme="minorHAnsi" w:cstheme="minorBidi"/>
              </w:rPr>
            </w:pPr>
            <w:r w:rsidRPr="007C406C">
              <w:rPr>
                <w:rFonts w:asciiTheme="minorHAnsi" w:hAnsiTheme="minorHAnsi" w:cstheme="minorHAnsi"/>
              </w:rPr>
              <w:lastRenderedPageBreak/>
              <w:t>ANGOs and implementing partners</w:t>
            </w:r>
          </w:p>
        </w:tc>
        <w:tc>
          <w:tcPr>
            <w:tcW w:w="1297" w:type="dxa"/>
          </w:tcPr>
          <w:p w14:paraId="5732776B" w14:textId="6EA3CEA6" w:rsidR="00F5543C" w:rsidRPr="007C406C" w:rsidRDefault="00F13A81" w:rsidP="4BC57607">
            <w:pPr>
              <w:rPr>
                <w:rFonts w:asciiTheme="minorHAnsi" w:hAnsiTheme="minorHAnsi" w:cstheme="minorHAnsi"/>
              </w:rPr>
            </w:pPr>
            <w:r>
              <w:rPr>
                <w:rFonts w:asciiTheme="minorHAnsi" w:hAnsiTheme="minorHAnsi" w:cstheme="minorHAnsi"/>
              </w:rPr>
              <w:t xml:space="preserve">Noted </w:t>
            </w:r>
          </w:p>
        </w:tc>
        <w:tc>
          <w:tcPr>
            <w:tcW w:w="5483" w:type="dxa"/>
          </w:tcPr>
          <w:p w14:paraId="7C5AB038" w14:textId="2B955224" w:rsidR="00A02172" w:rsidRPr="00C722B7" w:rsidRDefault="00A02172" w:rsidP="4BC57607">
            <w:pPr>
              <w:spacing w:after="160"/>
              <w:rPr>
                <w:rStyle w:val="ui-provider"/>
              </w:rPr>
            </w:pPr>
            <w:r w:rsidRPr="00C722B7">
              <w:rPr>
                <w:rFonts w:asciiTheme="minorHAnsi" w:hAnsiTheme="minorHAnsi" w:cstheme="minorHAnsi"/>
              </w:rPr>
              <w:t xml:space="preserve">All activities </w:t>
            </w:r>
            <w:r w:rsidR="00C722B7" w:rsidRPr="00C722B7">
              <w:rPr>
                <w:rFonts w:asciiTheme="minorHAnsi" w:hAnsiTheme="minorHAnsi" w:cstheme="minorHAnsi"/>
              </w:rPr>
              <w:t xml:space="preserve">implemented by Oxfam in Kenya </w:t>
            </w:r>
            <w:r w:rsidRPr="00C722B7">
              <w:rPr>
                <w:rFonts w:asciiTheme="minorHAnsi" w:hAnsiTheme="minorHAnsi" w:cstheme="minorHAnsi"/>
              </w:rPr>
              <w:t>are aligned to the county specific needs assessment and evaluations</w:t>
            </w:r>
            <w:r w:rsidR="004E38CE">
              <w:rPr>
                <w:rFonts w:asciiTheme="minorHAnsi" w:hAnsiTheme="minorHAnsi" w:cstheme="minorHAnsi"/>
              </w:rPr>
              <w:t xml:space="preserve"> (</w:t>
            </w:r>
            <w:r w:rsidRPr="00C722B7">
              <w:rPr>
                <w:rFonts w:asciiTheme="minorHAnsi" w:hAnsiTheme="minorHAnsi" w:cstheme="minorHAnsi"/>
              </w:rPr>
              <w:t>e.g. Long Rain and Short Rain Assessments</w:t>
            </w:r>
            <w:r w:rsidR="004E38CE">
              <w:rPr>
                <w:rFonts w:asciiTheme="minorHAnsi" w:hAnsiTheme="minorHAnsi" w:cstheme="minorHAnsi"/>
              </w:rPr>
              <w:t>)</w:t>
            </w:r>
            <w:r w:rsidRPr="00C722B7">
              <w:rPr>
                <w:rFonts w:asciiTheme="minorHAnsi" w:hAnsiTheme="minorHAnsi" w:cstheme="minorHAnsi"/>
              </w:rPr>
              <w:t xml:space="preserve">. </w:t>
            </w:r>
            <w:r w:rsidRPr="00C722B7">
              <w:t>By working closely with governments, partners will create pathways for continuity between emergency responses and lasting development.</w:t>
            </w:r>
          </w:p>
          <w:p w14:paraId="342DB616" w14:textId="58365B44" w:rsidR="00A02172" w:rsidRDefault="00A02172">
            <w:pPr>
              <w:rPr>
                <w:rStyle w:val="ui-provider"/>
              </w:rPr>
            </w:pPr>
            <w:r w:rsidRPr="00C722B7">
              <w:t xml:space="preserve">Oxfam in Ethiopia’s current programming emphasizes the </w:t>
            </w:r>
            <w:r w:rsidRPr="00C722B7">
              <w:rPr>
                <w:rStyle w:val="Strong"/>
                <w:b w:val="0"/>
                <w:bCs w:val="0"/>
              </w:rPr>
              <w:t>integration of humanitarian and development efforts</w:t>
            </w:r>
            <w:r w:rsidRPr="007B717F">
              <w:rPr>
                <w:b/>
                <w:bCs/>
              </w:rPr>
              <w:t xml:space="preserve">. </w:t>
            </w:r>
            <w:r w:rsidRPr="00C722B7">
              <w:t xml:space="preserve">Oxfam in Ethiopia will </w:t>
            </w:r>
            <w:r w:rsidR="00230681">
              <w:t xml:space="preserve">continue to </w:t>
            </w:r>
            <w:r w:rsidRPr="00C722B7">
              <w:t>design project</w:t>
            </w:r>
            <w:r w:rsidR="00230681">
              <w:t>s</w:t>
            </w:r>
            <w:r w:rsidRPr="00C722B7">
              <w:t xml:space="preserve"> with </w:t>
            </w:r>
            <w:r w:rsidR="00230681">
              <w:t>a n</w:t>
            </w:r>
            <w:r w:rsidRPr="00C722B7">
              <w:t xml:space="preserve">exus approach for short-term humanitarian interventions </w:t>
            </w:r>
            <w:r w:rsidRPr="00C722B7">
              <w:lastRenderedPageBreak/>
              <w:t>and longer-term development efforts.</w:t>
            </w:r>
            <w:r w:rsidR="006C225E">
              <w:t xml:space="preserve"> </w:t>
            </w:r>
            <w:r w:rsidRPr="00C722B7">
              <w:t xml:space="preserve">Oxfam will </w:t>
            </w:r>
            <w:r w:rsidR="006C225E">
              <w:t xml:space="preserve">also </w:t>
            </w:r>
            <w:r w:rsidRPr="00C722B7">
              <w:t>work on strengthening local capacities through training and mentorship</w:t>
            </w:r>
            <w:r w:rsidR="006C225E">
              <w:t>,</w:t>
            </w:r>
            <w:r w:rsidRPr="00C722B7">
              <w:t xml:space="preserve"> which is </w:t>
            </w:r>
            <w:r w:rsidR="006D1B83">
              <w:t xml:space="preserve">a </w:t>
            </w:r>
            <w:r w:rsidRPr="00C722B7">
              <w:t xml:space="preserve">core part of our programming on the </w:t>
            </w:r>
            <w:r w:rsidR="006C225E">
              <w:t>n</w:t>
            </w:r>
            <w:r w:rsidRPr="00C722B7">
              <w:t>exus approach.</w:t>
            </w:r>
            <w:r w:rsidR="006C225E">
              <w:t xml:space="preserve"> Additionally, </w:t>
            </w:r>
            <w:r w:rsidRPr="00C722B7">
              <w:rPr>
                <w:rStyle w:val="ui-provider"/>
              </w:rPr>
              <w:t>Oxfam will continue to promote alignment of programs with existing government programmes (where they exist and as appropriate).</w:t>
            </w:r>
          </w:p>
          <w:p w14:paraId="69F17B38" w14:textId="3B0B5CB4" w:rsidR="006C225E" w:rsidRPr="0072711F" w:rsidRDefault="00C61A82" w:rsidP="00C0434D">
            <w:pPr>
              <w:spacing w:before="240" w:after="160"/>
              <w:rPr>
                <w:rFonts w:asciiTheme="minorHAnsi" w:hAnsiTheme="minorHAnsi" w:cstheme="minorHAnsi"/>
              </w:rPr>
            </w:pPr>
            <w:r>
              <w:rPr>
                <w:rFonts w:asciiTheme="minorHAnsi" w:hAnsiTheme="minorHAnsi" w:cstheme="minorHAnsi"/>
              </w:rPr>
              <w:t>Plan International will st</w:t>
            </w:r>
            <w:r w:rsidR="00D67066">
              <w:rPr>
                <w:rFonts w:asciiTheme="minorHAnsi" w:hAnsiTheme="minorHAnsi" w:cstheme="minorHAnsi"/>
              </w:rPr>
              <w:t xml:space="preserve">rengthen </w:t>
            </w:r>
            <w:r>
              <w:rPr>
                <w:rFonts w:asciiTheme="minorHAnsi" w:hAnsiTheme="minorHAnsi" w:cstheme="minorHAnsi"/>
              </w:rPr>
              <w:t>the</w:t>
            </w:r>
            <w:r w:rsidR="00D67066">
              <w:rPr>
                <w:rFonts w:asciiTheme="minorHAnsi" w:hAnsiTheme="minorHAnsi" w:cstheme="minorHAnsi"/>
              </w:rPr>
              <w:t xml:space="preserve"> focus on long-term development and addressing the root causes of poverty</w:t>
            </w:r>
            <w:r w:rsidR="007D0FFE">
              <w:rPr>
                <w:rFonts w:asciiTheme="minorHAnsi" w:hAnsiTheme="minorHAnsi" w:cstheme="minorHAnsi"/>
              </w:rPr>
              <w:t xml:space="preserve">. </w:t>
            </w:r>
            <w:r w:rsidR="00C04DAB">
              <w:rPr>
                <w:rFonts w:asciiTheme="minorHAnsi" w:hAnsiTheme="minorHAnsi" w:cstheme="minorHAnsi"/>
              </w:rPr>
              <w:t>For s</w:t>
            </w:r>
            <w:r w:rsidR="00D67066">
              <w:rPr>
                <w:rFonts w:asciiTheme="minorHAnsi" w:hAnsiTheme="minorHAnsi" w:cstheme="minorHAnsi"/>
              </w:rPr>
              <w:t>hort-term interventions (less than one year)</w:t>
            </w:r>
            <w:r w:rsidR="00C04DAB">
              <w:rPr>
                <w:rFonts w:asciiTheme="minorHAnsi" w:hAnsiTheme="minorHAnsi" w:cstheme="minorHAnsi"/>
              </w:rPr>
              <w:t>, the focus</w:t>
            </w:r>
            <w:r w:rsidR="00A55095">
              <w:rPr>
                <w:rFonts w:asciiTheme="minorHAnsi" w:hAnsiTheme="minorHAnsi" w:cstheme="minorHAnsi"/>
              </w:rPr>
              <w:t xml:space="preserve"> should</w:t>
            </w:r>
            <w:r w:rsidR="00C04DAB">
              <w:rPr>
                <w:rFonts w:asciiTheme="minorHAnsi" w:hAnsiTheme="minorHAnsi" w:cstheme="minorHAnsi"/>
              </w:rPr>
              <w:t xml:space="preserve"> be on</w:t>
            </w:r>
            <w:r w:rsidR="00D67066">
              <w:rPr>
                <w:rFonts w:asciiTheme="minorHAnsi" w:hAnsiTheme="minorHAnsi" w:cstheme="minorHAnsi"/>
              </w:rPr>
              <w:t xml:space="preserve"> life-saving </w:t>
            </w:r>
            <w:r w:rsidR="00C04DAB">
              <w:rPr>
                <w:rFonts w:asciiTheme="minorHAnsi" w:hAnsiTheme="minorHAnsi" w:cstheme="minorHAnsi"/>
              </w:rPr>
              <w:t xml:space="preserve">assistance </w:t>
            </w:r>
            <w:r w:rsidR="00D67066">
              <w:rPr>
                <w:rFonts w:asciiTheme="minorHAnsi" w:hAnsiTheme="minorHAnsi" w:cstheme="minorHAnsi"/>
              </w:rPr>
              <w:t>such as direct food and health assistance</w:t>
            </w:r>
            <w:r w:rsidR="00A55095">
              <w:rPr>
                <w:rFonts w:asciiTheme="minorHAnsi" w:hAnsiTheme="minorHAnsi" w:cstheme="minorHAnsi"/>
              </w:rPr>
              <w:t xml:space="preserve">. </w:t>
            </w:r>
            <w:r w:rsidR="00BE2262">
              <w:rPr>
                <w:rFonts w:asciiTheme="minorHAnsi" w:hAnsiTheme="minorHAnsi" w:cstheme="minorHAnsi"/>
              </w:rPr>
              <w:t>Two</w:t>
            </w:r>
            <w:r w:rsidR="00D67066">
              <w:rPr>
                <w:rFonts w:asciiTheme="minorHAnsi" w:hAnsiTheme="minorHAnsi" w:cstheme="minorHAnsi"/>
              </w:rPr>
              <w:t xml:space="preserve"> to three years of FSL interventions </w:t>
            </w:r>
            <w:r w:rsidR="00BE2262">
              <w:rPr>
                <w:rFonts w:asciiTheme="minorHAnsi" w:hAnsiTheme="minorHAnsi" w:cstheme="minorHAnsi"/>
              </w:rPr>
              <w:t xml:space="preserve">are </w:t>
            </w:r>
            <w:r w:rsidR="00D67066">
              <w:rPr>
                <w:rFonts w:asciiTheme="minorHAnsi" w:hAnsiTheme="minorHAnsi" w:cstheme="minorHAnsi"/>
              </w:rPr>
              <w:t>required to achieve greater outcomes and impact</w:t>
            </w:r>
            <w:r w:rsidR="00FF7558">
              <w:rPr>
                <w:rFonts w:asciiTheme="minorHAnsi" w:hAnsiTheme="minorHAnsi" w:cstheme="minorHAnsi"/>
              </w:rPr>
              <w:t xml:space="preserve"> a</w:t>
            </w:r>
            <w:r w:rsidR="00D55070">
              <w:rPr>
                <w:rFonts w:asciiTheme="minorHAnsi" w:hAnsiTheme="minorHAnsi" w:cstheme="minorHAnsi"/>
              </w:rPr>
              <w:t>nd to</w:t>
            </w:r>
            <w:r w:rsidR="00FF7558">
              <w:rPr>
                <w:rFonts w:asciiTheme="minorHAnsi" w:hAnsiTheme="minorHAnsi" w:cstheme="minorHAnsi"/>
              </w:rPr>
              <w:t xml:space="preserve"> reduce disruption of c</w:t>
            </w:r>
            <w:r w:rsidR="0072711F">
              <w:rPr>
                <w:rFonts w:asciiTheme="minorHAnsi" w:hAnsiTheme="minorHAnsi" w:cstheme="minorHAnsi"/>
              </w:rPr>
              <w:t xml:space="preserve">ollecting outcomes and conducting evaluations before this point. </w:t>
            </w:r>
          </w:p>
        </w:tc>
        <w:tc>
          <w:tcPr>
            <w:tcW w:w="1584" w:type="dxa"/>
          </w:tcPr>
          <w:p w14:paraId="7010F340" w14:textId="1A59A650" w:rsidR="00E74EAD" w:rsidRPr="004E38CE" w:rsidRDefault="00A02172" w:rsidP="00C0434D">
            <w:pPr>
              <w:rPr>
                <w:rFonts w:asciiTheme="minorHAnsi" w:hAnsiTheme="minorHAnsi" w:cstheme="minorHAnsi"/>
              </w:rPr>
            </w:pPr>
            <w:r w:rsidRPr="004E38CE">
              <w:rPr>
                <w:rFonts w:asciiTheme="minorHAnsi" w:hAnsiTheme="minorHAnsi" w:cstheme="minorHAnsi"/>
              </w:rPr>
              <w:lastRenderedPageBreak/>
              <w:t>Within the project perio</w:t>
            </w:r>
            <w:r w:rsidR="00742C2F">
              <w:rPr>
                <w:rFonts w:asciiTheme="minorHAnsi" w:hAnsiTheme="minorHAnsi" w:cstheme="minorHAnsi"/>
              </w:rPr>
              <w:t>d (Oxfam)</w:t>
            </w:r>
            <w:r w:rsidR="00D32AF5">
              <w:rPr>
                <w:rFonts w:asciiTheme="minorHAnsi" w:hAnsiTheme="minorHAnsi" w:cstheme="minorHAnsi"/>
              </w:rPr>
              <w:t>, Ongoing (Plan</w:t>
            </w:r>
            <w:r w:rsidR="004840EF">
              <w:rPr>
                <w:rFonts w:asciiTheme="minorHAnsi" w:hAnsiTheme="minorHAnsi" w:cstheme="minorHAnsi"/>
              </w:rPr>
              <w:t xml:space="preserve"> International</w:t>
            </w:r>
            <w:r w:rsidR="00D32AF5">
              <w:rPr>
                <w:rFonts w:asciiTheme="minorHAnsi" w:hAnsiTheme="minorHAnsi" w:cstheme="minorHAnsi"/>
              </w:rPr>
              <w:t>)</w:t>
            </w:r>
          </w:p>
        </w:tc>
      </w:tr>
      <w:tr w:rsidR="006F605B" w14:paraId="59A786D4" w14:textId="77777777" w:rsidTr="00C0434D">
        <w:trPr>
          <w:trHeight w:val="300"/>
        </w:trPr>
        <w:tc>
          <w:tcPr>
            <w:tcW w:w="4536" w:type="dxa"/>
          </w:tcPr>
          <w:p w14:paraId="14E647E2" w14:textId="77777777" w:rsidR="006F605B" w:rsidRPr="007C406C" w:rsidRDefault="006F605B" w:rsidP="006F605B">
            <w:pPr>
              <w:pStyle w:val="ListParagraph"/>
              <w:numPr>
                <w:ilvl w:val="0"/>
                <w:numId w:val="7"/>
              </w:numPr>
              <w:spacing w:after="120" w:line="276" w:lineRule="auto"/>
              <w:rPr>
                <w:rFonts w:asciiTheme="minorHAnsi" w:hAnsiTheme="minorHAnsi" w:cstheme="minorHAnsi"/>
              </w:rPr>
            </w:pPr>
            <w:r w:rsidRPr="007C406C">
              <w:rPr>
                <w:rFonts w:asciiTheme="minorHAnsi" w:hAnsiTheme="minorHAnsi" w:cstheme="minorHAnsi"/>
              </w:rPr>
              <w:t>Where possible identify opportunities where humanitarian funding, as a short-term lifesaving effort, can be integrated or added to efforts that are more development oriented. This could serve to capitalize on and consolidate gains made through humanitarian funding. Specifically, this could include:</w:t>
            </w:r>
          </w:p>
          <w:p w14:paraId="61607381" w14:textId="77777777" w:rsidR="006F605B" w:rsidRPr="007C406C" w:rsidRDefault="006F605B" w:rsidP="006F605B">
            <w:pPr>
              <w:pStyle w:val="ListParagraph"/>
              <w:numPr>
                <w:ilvl w:val="1"/>
                <w:numId w:val="7"/>
              </w:numPr>
              <w:spacing w:after="120" w:line="276" w:lineRule="auto"/>
              <w:rPr>
                <w:rFonts w:asciiTheme="minorHAnsi" w:hAnsiTheme="minorHAnsi" w:cstheme="minorHAnsi"/>
              </w:rPr>
            </w:pPr>
            <w:r w:rsidRPr="007C406C">
              <w:rPr>
                <w:rFonts w:asciiTheme="minorHAnsi" w:hAnsiTheme="minorHAnsi" w:cstheme="minorHAnsi"/>
              </w:rPr>
              <w:t xml:space="preserve">Encouraging partners to critically assess their interventions and seek funding, including informing partners of opportunities outside </w:t>
            </w:r>
            <w:r w:rsidRPr="007C406C">
              <w:rPr>
                <w:rFonts w:asciiTheme="minorHAnsi" w:hAnsiTheme="minorHAnsi" w:cstheme="minorHAnsi"/>
              </w:rPr>
              <w:lastRenderedPageBreak/>
              <w:t>the humanitarian budget lines where available and within DFAT’s control, to continue elements which can benefit from longer term implementation.</w:t>
            </w:r>
          </w:p>
          <w:p w14:paraId="4C3C03DD" w14:textId="77777777" w:rsidR="006F605B" w:rsidRPr="007C406C" w:rsidRDefault="006F605B" w:rsidP="006F605B">
            <w:pPr>
              <w:pStyle w:val="ListParagraph"/>
              <w:numPr>
                <w:ilvl w:val="1"/>
                <w:numId w:val="7"/>
              </w:numPr>
              <w:spacing w:after="120" w:line="276" w:lineRule="auto"/>
              <w:rPr>
                <w:rFonts w:asciiTheme="minorHAnsi" w:hAnsiTheme="minorHAnsi" w:cstheme="minorHAnsi"/>
              </w:rPr>
            </w:pPr>
            <w:r w:rsidRPr="007C406C">
              <w:rPr>
                <w:rFonts w:asciiTheme="minorHAnsi" w:hAnsiTheme="minorHAnsi" w:cstheme="minorHAnsi"/>
              </w:rPr>
              <w:t xml:space="preserve">Encouraging partners to engage with government on options to absorb intervention elements into longer term development, or resilience building efforts. </w:t>
            </w:r>
          </w:p>
          <w:p w14:paraId="1792FAFF" w14:textId="0A0FC9C6" w:rsidR="006F605B" w:rsidRPr="007C406C" w:rsidRDefault="006F605B" w:rsidP="006F605B">
            <w:pPr>
              <w:rPr>
                <w:rFonts w:asciiTheme="minorHAnsi" w:eastAsia="Calibri" w:hAnsiTheme="minorHAnsi" w:cstheme="minorHAnsi"/>
              </w:rPr>
            </w:pPr>
          </w:p>
        </w:tc>
        <w:tc>
          <w:tcPr>
            <w:tcW w:w="1538" w:type="dxa"/>
          </w:tcPr>
          <w:p w14:paraId="7CB3D5CF" w14:textId="3496888A" w:rsidR="006F605B" w:rsidRPr="007C406C" w:rsidRDefault="006F605B" w:rsidP="006F605B">
            <w:pPr>
              <w:rPr>
                <w:rFonts w:asciiTheme="minorHAnsi" w:hAnsiTheme="minorHAnsi" w:cstheme="minorHAnsi"/>
              </w:rPr>
            </w:pPr>
            <w:r w:rsidRPr="007C406C">
              <w:rPr>
                <w:rFonts w:asciiTheme="minorHAnsi" w:hAnsiTheme="minorHAnsi" w:cstheme="minorHAnsi"/>
              </w:rPr>
              <w:lastRenderedPageBreak/>
              <w:t>DFAT</w:t>
            </w:r>
          </w:p>
        </w:tc>
        <w:tc>
          <w:tcPr>
            <w:tcW w:w="1297" w:type="dxa"/>
          </w:tcPr>
          <w:p w14:paraId="1A1E69DA" w14:textId="4496BA1C" w:rsidR="006F605B" w:rsidRPr="007C406C" w:rsidRDefault="006F605B" w:rsidP="006F605B">
            <w:pPr>
              <w:rPr>
                <w:rFonts w:asciiTheme="minorHAnsi" w:hAnsiTheme="minorHAnsi" w:cstheme="minorHAnsi"/>
              </w:rPr>
            </w:pPr>
            <w:r>
              <w:rPr>
                <w:rFonts w:asciiTheme="minorHAnsi" w:hAnsiTheme="minorHAnsi" w:cstheme="minorHAnsi"/>
              </w:rPr>
              <w:t>Agree</w:t>
            </w:r>
          </w:p>
        </w:tc>
        <w:tc>
          <w:tcPr>
            <w:tcW w:w="5483" w:type="dxa"/>
          </w:tcPr>
          <w:p w14:paraId="04A18A67" w14:textId="40099116" w:rsidR="006F605B" w:rsidRDefault="006F605B" w:rsidP="006F605B">
            <w:pPr>
              <w:rPr>
                <w:rFonts w:asciiTheme="minorHAnsi" w:hAnsiTheme="minorHAnsi" w:cstheme="minorHAnsi"/>
              </w:rPr>
            </w:pPr>
            <w:r>
              <w:rPr>
                <w:rFonts w:asciiTheme="minorHAnsi" w:hAnsiTheme="minorHAnsi" w:cstheme="minorHAnsi"/>
              </w:rPr>
              <w:t xml:space="preserve">DFAT is consolidating gains made in the </w:t>
            </w:r>
            <w:r w:rsidRPr="00A212A8">
              <w:rPr>
                <w:rFonts w:asciiTheme="minorHAnsi" w:hAnsiTheme="minorHAnsi" w:cstheme="minorHAnsi"/>
              </w:rPr>
              <w:t xml:space="preserve">AHP Food Security and Livelihood </w:t>
            </w:r>
            <w:r>
              <w:rPr>
                <w:rFonts w:asciiTheme="minorHAnsi" w:hAnsiTheme="minorHAnsi" w:cstheme="minorHAnsi"/>
              </w:rPr>
              <w:t>Interventions in Kenya through</w:t>
            </w:r>
            <w:r w:rsidR="009E483F">
              <w:rPr>
                <w:rFonts w:asciiTheme="minorHAnsi" w:hAnsiTheme="minorHAnsi" w:cstheme="minorHAnsi"/>
              </w:rPr>
              <w:t xml:space="preserve"> </w:t>
            </w:r>
            <w:r w:rsidR="001A59F1">
              <w:rPr>
                <w:rFonts w:asciiTheme="minorHAnsi" w:hAnsiTheme="minorHAnsi" w:cstheme="minorHAnsi"/>
              </w:rPr>
              <w:t xml:space="preserve">a </w:t>
            </w:r>
            <w:r w:rsidR="00C81BD2">
              <w:rPr>
                <w:rFonts w:asciiTheme="minorHAnsi" w:hAnsiTheme="minorHAnsi" w:cstheme="minorHAnsi"/>
              </w:rPr>
              <w:t xml:space="preserve">further </w:t>
            </w:r>
            <w:r w:rsidRPr="00A212A8">
              <w:rPr>
                <w:rFonts w:asciiTheme="minorHAnsi" w:hAnsiTheme="minorHAnsi" w:cstheme="minorHAnsi"/>
              </w:rPr>
              <w:t>AHP response</w:t>
            </w:r>
            <w:r w:rsidR="001A59F1">
              <w:rPr>
                <w:rFonts w:asciiTheme="minorHAnsi" w:hAnsiTheme="minorHAnsi" w:cstheme="minorHAnsi"/>
              </w:rPr>
              <w:t xml:space="preserve"> </w:t>
            </w:r>
            <w:r w:rsidRPr="00A212A8">
              <w:rPr>
                <w:rFonts w:asciiTheme="minorHAnsi" w:hAnsiTheme="minorHAnsi" w:cstheme="minorHAnsi"/>
              </w:rPr>
              <w:t xml:space="preserve">that commenced in </w:t>
            </w:r>
            <w:r w:rsidR="009955AA">
              <w:rPr>
                <w:rFonts w:asciiTheme="minorHAnsi" w:hAnsiTheme="minorHAnsi" w:cstheme="minorHAnsi"/>
              </w:rPr>
              <w:t>mid-</w:t>
            </w:r>
            <w:r w:rsidRPr="00A212A8">
              <w:rPr>
                <w:rFonts w:asciiTheme="minorHAnsi" w:hAnsiTheme="minorHAnsi" w:cstheme="minorHAnsi"/>
              </w:rPr>
              <w:t>2024</w:t>
            </w:r>
            <w:r>
              <w:rPr>
                <w:rFonts w:asciiTheme="minorHAnsi" w:hAnsiTheme="minorHAnsi" w:cstheme="minorHAnsi"/>
              </w:rPr>
              <w:t xml:space="preserve">. </w:t>
            </w:r>
            <w:r w:rsidRPr="00A212A8">
              <w:rPr>
                <w:rFonts w:asciiTheme="minorHAnsi" w:hAnsiTheme="minorHAnsi" w:cstheme="minorHAnsi"/>
              </w:rPr>
              <w:t>The</w:t>
            </w:r>
            <w:r w:rsidR="001C4CDE">
              <w:rPr>
                <w:rFonts w:asciiTheme="minorHAnsi" w:hAnsiTheme="minorHAnsi" w:cstheme="minorHAnsi"/>
              </w:rPr>
              <w:t xml:space="preserve"> </w:t>
            </w:r>
            <w:r w:rsidRPr="00A212A8">
              <w:rPr>
                <w:rFonts w:asciiTheme="minorHAnsi" w:hAnsiTheme="minorHAnsi" w:cstheme="minorHAnsi"/>
              </w:rPr>
              <w:t xml:space="preserve">response will build on the work of the </w:t>
            </w:r>
            <w:r w:rsidR="009955AA">
              <w:rPr>
                <w:rFonts w:asciiTheme="minorHAnsi" w:hAnsiTheme="minorHAnsi" w:cstheme="minorHAnsi"/>
              </w:rPr>
              <w:t xml:space="preserve">earlier </w:t>
            </w:r>
            <w:r w:rsidRPr="00A212A8">
              <w:rPr>
                <w:rFonts w:asciiTheme="minorHAnsi" w:hAnsiTheme="minorHAnsi" w:cstheme="minorHAnsi"/>
              </w:rPr>
              <w:t xml:space="preserve">food security and livelihood </w:t>
            </w:r>
            <w:r w:rsidR="009B103C">
              <w:rPr>
                <w:rFonts w:asciiTheme="minorHAnsi" w:hAnsiTheme="minorHAnsi" w:cstheme="minorHAnsi"/>
              </w:rPr>
              <w:t>interventions</w:t>
            </w:r>
            <w:r w:rsidR="00625538">
              <w:rPr>
                <w:rFonts w:asciiTheme="minorHAnsi" w:hAnsiTheme="minorHAnsi" w:cstheme="minorHAnsi"/>
              </w:rPr>
              <w:t xml:space="preserve">.  </w:t>
            </w:r>
            <w:r w:rsidR="00AE2A77">
              <w:rPr>
                <w:rFonts w:asciiTheme="minorHAnsi" w:hAnsiTheme="minorHAnsi" w:cstheme="minorHAnsi"/>
              </w:rPr>
              <w:t>Together with</w:t>
            </w:r>
            <w:r w:rsidR="00AE701A">
              <w:rPr>
                <w:rFonts w:asciiTheme="minorHAnsi" w:hAnsiTheme="minorHAnsi" w:cstheme="minorHAnsi"/>
              </w:rPr>
              <w:t xml:space="preserve"> the </w:t>
            </w:r>
            <w:r w:rsidR="00AE701A">
              <w:t xml:space="preserve">AHP protection-focussed response in Ethiopia that </w:t>
            </w:r>
            <w:r w:rsidR="008678D3">
              <w:t xml:space="preserve">also </w:t>
            </w:r>
            <w:r w:rsidR="00AE701A">
              <w:t xml:space="preserve">commenced mid-2024, </w:t>
            </w:r>
            <w:r w:rsidR="00625538">
              <w:t xml:space="preserve">these responses </w:t>
            </w:r>
            <w:r w:rsidR="00F038AE">
              <w:t xml:space="preserve">will </w:t>
            </w:r>
            <w:r w:rsidRPr="00A212A8">
              <w:rPr>
                <w:rFonts w:asciiTheme="minorHAnsi" w:hAnsiTheme="minorHAnsi" w:cstheme="minorHAnsi"/>
              </w:rPr>
              <w:t>enhance the resilience of communities and strengthen access to protection services for vulnerable groups.</w:t>
            </w:r>
          </w:p>
          <w:p w14:paraId="160996DC" w14:textId="6737AD4E" w:rsidR="006F605B" w:rsidRDefault="006F605B" w:rsidP="006F605B">
            <w:r>
              <w:t>DFAT will</w:t>
            </w:r>
            <w:r w:rsidR="00913305">
              <w:t xml:space="preserve"> continue to</w:t>
            </w:r>
            <w:r>
              <w:t>:</w:t>
            </w:r>
          </w:p>
          <w:p w14:paraId="08ED3384" w14:textId="5DC664E5" w:rsidR="006F605B" w:rsidRDefault="006F605B" w:rsidP="006F605B">
            <w:pPr>
              <w:pStyle w:val="ListParagraph"/>
              <w:numPr>
                <w:ilvl w:val="0"/>
                <w:numId w:val="18"/>
              </w:numPr>
            </w:pPr>
            <w:r w:rsidRPr="003718EE">
              <w:t xml:space="preserve">support response proposals that work closely with government, local </w:t>
            </w:r>
            <w:proofErr w:type="gramStart"/>
            <w:r w:rsidRPr="003718EE">
              <w:t>organisations</w:t>
            </w:r>
            <w:proofErr w:type="gramEnd"/>
            <w:r w:rsidRPr="003718EE">
              <w:t xml:space="preserve"> and communities to promote sustainability. </w:t>
            </w:r>
            <w:r>
              <w:t xml:space="preserve">The DFAT Guidance </w:t>
            </w:r>
            <w:r>
              <w:lastRenderedPageBreak/>
              <w:t xml:space="preserve">Note on </w:t>
            </w:r>
            <w:proofErr w:type="gramStart"/>
            <w:r>
              <w:t>Locally-Led</w:t>
            </w:r>
            <w:proofErr w:type="gramEnd"/>
            <w:r>
              <w:t xml:space="preserve"> Development and the AHP Localisation Roadmap both support this approach. </w:t>
            </w:r>
          </w:p>
          <w:p w14:paraId="1BCF8938" w14:textId="6D1B9BA4" w:rsidR="006F605B" w:rsidRPr="008A2CFE" w:rsidRDefault="00403CE6" w:rsidP="006B57E8">
            <w:pPr>
              <w:pStyle w:val="ListParagraph"/>
              <w:numPr>
                <w:ilvl w:val="0"/>
                <w:numId w:val="18"/>
              </w:numPr>
            </w:pPr>
            <w:r>
              <w:t>e</w:t>
            </w:r>
            <w:r w:rsidR="006F605B">
              <w:t>ncourage AHP partners to continue</w:t>
            </w:r>
            <w:r w:rsidR="006F605B" w:rsidRPr="003718EE">
              <w:t xml:space="preserve"> </w:t>
            </w:r>
            <w:r w:rsidR="005051A4">
              <w:t>consideration of</w:t>
            </w:r>
            <w:r w:rsidR="00BE44B6">
              <w:t xml:space="preserve"> in</w:t>
            </w:r>
            <w:r w:rsidR="006F605B" w:rsidRPr="003718EE">
              <w:t xml:space="preserve">ternal and external options for longer-term </w:t>
            </w:r>
            <w:r w:rsidR="006F605B">
              <w:t xml:space="preserve">funding </w:t>
            </w:r>
            <w:r w:rsidR="00BE44B6">
              <w:t>where appropriate for the context</w:t>
            </w:r>
            <w:r w:rsidR="006F605B" w:rsidRPr="003718EE">
              <w:t>.</w:t>
            </w:r>
            <w:r w:rsidR="006F605B">
              <w:rPr>
                <w:rFonts w:asciiTheme="minorHAnsi" w:hAnsiTheme="minorHAnsi" w:cstheme="minorHAnsi"/>
              </w:rPr>
              <w:t xml:space="preserve"> </w:t>
            </w:r>
          </w:p>
        </w:tc>
        <w:tc>
          <w:tcPr>
            <w:tcW w:w="1584" w:type="dxa"/>
          </w:tcPr>
          <w:p w14:paraId="03CFE597" w14:textId="5ABFA482" w:rsidR="006F605B" w:rsidRPr="009120BC" w:rsidRDefault="00D32AF5" w:rsidP="006F605B">
            <w:pPr>
              <w:rPr>
                <w:rFonts w:asciiTheme="minorHAnsi" w:hAnsiTheme="minorHAnsi" w:cstheme="minorHAnsi"/>
                <w:color w:val="0070C0"/>
              </w:rPr>
            </w:pPr>
            <w:r w:rsidRPr="00D32AF5">
              <w:rPr>
                <w:rFonts w:asciiTheme="minorHAnsi" w:hAnsiTheme="minorHAnsi" w:cstheme="minorHAnsi"/>
              </w:rPr>
              <w:lastRenderedPageBreak/>
              <w:t>Ongoing</w:t>
            </w:r>
          </w:p>
        </w:tc>
      </w:tr>
      <w:tr w:rsidR="00077F61" w14:paraId="60A7E0B0" w14:textId="77777777" w:rsidTr="00C0434D">
        <w:trPr>
          <w:trHeight w:val="300"/>
        </w:trPr>
        <w:tc>
          <w:tcPr>
            <w:tcW w:w="4536" w:type="dxa"/>
          </w:tcPr>
          <w:p w14:paraId="0AEC5CF8" w14:textId="7E1BC0DB" w:rsidR="00077F61" w:rsidRPr="009E4528" w:rsidRDefault="00077F61" w:rsidP="00077F61">
            <w:pPr>
              <w:pStyle w:val="ListParagraph"/>
              <w:numPr>
                <w:ilvl w:val="0"/>
                <w:numId w:val="7"/>
              </w:numPr>
              <w:spacing w:after="120" w:line="276" w:lineRule="auto"/>
              <w:rPr>
                <w:rFonts w:asciiTheme="minorHAnsi" w:hAnsiTheme="minorHAnsi" w:cstheme="minorHAnsi"/>
              </w:rPr>
            </w:pPr>
            <w:r w:rsidRPr="007C406C">
              <w:rPr>
                <w:rFonts w:asciiTheme="minorHAnsi" w:hAnsiTheme="minorHAnsi" w:cstheme="minorHAnsi"/>
              </w:rPr>
              <w:t>Contribute to and support local and regional coordination where possible to help promote the inclusion of field experiences into national-level humanitarian policy discussions.</w:t>
            </w:r>
          </w:p>
        </w:tc>
        <w:tc>
          <w:tcPr>
            <w:tcW w:w="1538" w:type="dxa"/>
          </w:tcPr>
          <w:p w14:paraId="28B7436D" w14:textId="2B39D26B" w:rsidR="00077F61" w:rsidRPr="007C406C" w:rsidRDefault="00077F61" w:rsidP="00077F61">
            <w:pPr>
              <w:rPr>
                <w:rFonts w:asciiTheme="minorHAnsi" w:hAnsiTheme="minorHAnsi" w:cstheme="minorHAnsi"/>
              </w:rPr>
            </w:pPr>
            <w:r w:rsidRPr="007C406C">
              <w:rPr>
                <w:rFonts w:asciiTheme="minorHAnsi" w:hAnsiTheme="minorHAnsi" w:cstheme="minorHAnsi"/>
              </w:rPr>
              <w:t>DFAT</w:t>
            </w:r>
          </w:p>
        </w:tc>
        <w:tc>
          <w:tcPr>
            <w:tcW w:w="1297" w:type="dxa"/>
          </w:tcPr>
          <w:p w14:paraId="19A28251" w14:textId="44A9838A" w:rsidR="00077F61" w:rsidRPr="007C406C" w:rsidRDefault="00077F61" w:rsidP="00077F61">
            <w:pPr>
              <w:rPr>
                <w:rFonts w:asciiTheme="minorHAnsi" w:hAnsiTheme="minorHAnsi" w:cstheme="minorHAnsi"/>
              </w:rPr>
            </w:pPr>
            <w:r>
              <w:rPr>
                <w:rFonts w:asciiTheme="minorHAnsi" w:hAnsiTheme="minorHAnsi" w:cstheme="minorHAnsi"/>
              </w:rPr>
              <w:t>Partially Agree</w:t>
            </w:r>
          </w:p>
        </w:tc>
        <w:tc>
          <w:tcPr>
            <w:tcW w:w="5483" w:type="dxa"/>
          </w:tcPr>
          <w:p w14:paraId="07D7B73E" w14:textId="5428DC13" w:rsidR="00077F61" w:rsidRDefault="00077F61" w:rsidP="00077F61">
            <w:pPr>
              <w:widowControl w:val="0"/>
              <w:spacing w:before="240"/>
              <w:rPr>
                <w:rFonts w:asciiTheme="minorHAnsi" w:hAnsiTheme="minorHAnsi" w:cstheme="minorHAnsi"/>
              </w:rPr>
            </w:pPr>
            <w:r>
              <w:rPr>
                <w:rFonts w:asciiTheme="minorHAnsi" w:hAnsiTheme="minorHAnsi" w:cstheme="minorHAnsi"/>
              </w:rPr>
              <w:t>AHP require</w:t>
            </w:r>
            <w:r w:rsidR="00A26B57">
              <w:rPr>
                <w:rFonts w:asciiTheme="minorHAnsi" w:hAnsiTheme="minorHAnsi" w:cstheme="minorHAnsi"/>
              </w:rPr>
              <w:t>s</w:t>
            </w:r>
            <w:r w:rsidR="003B0835">
              <w:rPr>
                <w:rFonts w:asciiTheme="minorHAnsi" w:hAnsiTheme="minorHAnsi" w:cstheme="minorHAnsi"/>
              </w:rPr>
              <w:t xml:space="preserve"> </w:t>
            </w:r>
            <w:r>
              <w:rPr>
                <w:rFonts w:asciiTheme="minorHAnsi" w:hAnsiTheme="minorHAnsi" w:cstheme="minorHAnsi"/>
              </w:rPr>
              <w:t xml:space="preserve">partners to </w:t>
            </w:r>
            <w:r w:rsidR="00273BA3">
              <w:rPr>
                <w:rFonts w:asciiTheme="minorHAnsi" w:hAnsiTheme="minorHAnsi" w:cstheme="minorHAnsi"/>
              </w:rPr>
              <w:t xml:space="preserve">outline coordination </w:t>
            </w:r>
            <w:r w:rsidRPr="00A37309">
              <w:rPr>
                <w:rFonts w:asciiTheme="minorHAnsi" w:hAnsiTheme="minorHAnsi" w:cstheme="minorHAnsi"/>
              </w:rPr>
              <w:t xml:space="preserve">approaches and mechanisms </w:t>
            </w:r>
            <w:r w:rsidR="00EE4B5E">
              <w:rPr>
                <w:rFonts w:asciiTheme="minorHAnsi" w:hAnsiTheme="minorHAnsi" w:cstheme="minorHAnsi"/>
              </w:rPr>
              <w:t xml:space="preserve">in proposals </w:t>
            </w:r>
            <w:r w:rsidR="00124068">
              <w:rPr>
                <w:rFonts w:asciiTheme="minorHAnsi" w:hAnsiTheme="minorHAnsi" w:cstheme="minorHAnsi"/>
              </w:rPr>
              <w:t>that will</w:t>
            </w:r>
            <w:r w:rsidRPr="00A37309">
              <w:rPr>
                <w:rFonts w:asciiTheme="minorHAnsi" w:hAnsiTheme="minorHAnsi" w:cstheme="minorHAnsi"/>
              </w:rPr>
              <w:t xml:space="preserve"> ensure</w:t>
            </w:r>
            <w:r w:rsidR="00FB5A39">
              <w:rPr>
                <w:rFonts w:asciiTheme="minorHAnsi" w:hAnsiTheme="minorHAnsi" w:cstheme="minorHAnsi"/>
              </w:rPr>
              <w:t xml:space="preserve"> </w:t>
            </w:r>
            <w:r w:rsidRPr="00A37309">
              <w:rPr>
                <w:rFonts w:asciiTheme="minorHAnsi" w:hAnsiTheme="minorHAnsi" w:cstheme="minorHAnsi"/>
              </w:rPr>
              <w:t xml:space="preserve">the program is aligned with national </w:t>
            </w:r>
            <w:r w:rsidR="00FB5A39">
              <w:rPr>
                <w:rFonts w:asciiTheme="minorHAnsi" w:hAnsiTheme="minorHAnsi" w:cstheme="minorHAnsi"/>
              </w:rPr>
              <w:t>and</w:t>
            </w:r>
            <w:r w:rsidRPr="00A37309">
              <w:rPr>
                <w:rFonts w:asciiTheme="minorHAnsi" w:hAnsiTheme="minorHAnsi" w:cstheme="minorHAnsi"/>
              </w:rPr>
              <w:t xml:space="preserve"> regional priorities and with other development partners operating in the sector</w:t>
            </w:r>
            <w:r>
              <w:rPr>
                <w:rFonts w:asciiTheme="minorHAnsi" w:hAnsiTheme="minorHAnsi" w:cstheme="minorHAnsi"/>
              </w:rPr>
              <w:t xml:space="preserve">. </w:t>
            </w:r>
          </w:p>
          <w:p w14:paraId="0B8CDAD8" w14:textId="3A4B2E2C" w:rsidR="00077F61" w:rsidRPr="00B61D3E" w:rsidRDefault="00077F61" w:rsidP="00645B76">
            <w:pPr>
              <w:widowControl w:val="0"/>
              <w:spacing w:before="240"/>
              <w:rPr>
                <w:rFonts w:asciiTheme="minorHAnsi" w:hAnsiTheme="minorHAnsi" w:cstheme="minorHAnsi"/>
              </w:rPr>
            </w:pPr>
            <w:r>
              <w:rPr>
                <w:rFonts w:asciiTheme="minorHAnsi" w:hAnsiTheme="minorHAnsi" w:cstheme="minorHAnsi"/>
              </w:rPr>
              <w:t>DFAT Posts have regular consultations with partner governments on humanitarian and development polic</w:t>
            </w:r>
            <w:r w:rsidR="00105825">
              <w:rPr>
                <w:rFonts w:asciiTheme="minorHAnsi" w:hAnsiTheme="minorHAnsi" w:cstheme="minorHAnsi"/>
              </w:rPr>
              <w:t>ies</w:t>
            </w:r>
            <w:r>
              <w:rPr>
                <w:rFonts w:asciiTheme="minorHAnsi" w:hAnsiTheme="minorHAnsi" w:cstheme="minorHAnsi"/>
              </w:rPr>
              <w:t xml:space="preserve"> and programs, including through </w:t>
            </w:r>
            <w:r w:rsidR="00105825">
              <w:rPr>
                <w:rFonts w:asciiTheme="minorHAnsi" w:hAnsiTheme="minorHAnsi" w:cstheme="minorHAnsi"/>
              </w:rPr>
              <w:t xml:space="preserve">the development of </w:t>
            </w:r>
            <w:r>
              <w:rPr>
                <w:rFonts w:asciiTheme="minorHAnsi" w:hAnsiTheme="minorHAnsi" w:cstheme="minorHAnsi"/>
              </w:rPr>
              <w:t>country plans</w:t>
            </w:r>
            <w:r w:rsidR="001F2844">
              <w:rPr>
                <w:rFonts w:asciiTheme="minorHAnsi" w:hAnsiTheme="minorHAnsi" w:cstheme="minorHAnsi"/>
              </w:rPr>
              <w:t xml:space="preserve"> </w:t>
            </w:r>
            <w:r>
              <w:rPr>
                <w:rFonts w:asciiTheme="minorHAnsi" w:hAnsiTheme="minorHAnsi" w:cstheme="minorHAnsi"/>
              </w:rPr>
              <w:t>under the Australian International Development Policy</w:t>
            </w:r>
            <w:r w:rsidR="00645B76">
              <w:rPr>
                <w:rFonts w:asciiTheme="minorHAnsi" w:hAnsiTheme="minorHAnsi" w:cstheme="minorHAnsi"/>
              </w:rPr>
              <w:t xml:space="preserve"> </w:t>
            </w:r>
            <w:r w:rsidR="00FF7EA8">
              <w:rPr>
                <w:rFonts w:asciiTheme="minorHAnsi" w:hAnsiTheme="minorHAnsi" w:cstheme="minorHAnsi"/>
              </w:rPr>
              <w:t>and actively engage with national systems</w:t>
            </w:r>
            <w:r>
              <w:rPr>
                <w:rFonts w:asciiTheme="minorHAnsi" w:hAnsiTheme="minorHAnsi" w:cstheme="minorHAnsi"/>
              </w:rPr>
              <w:t xml:space="preserve">. </w:t>
            </w:r>
          </w:p>
        </w:tc>
        <w:tc>
          <w:tcPr>
            <w:tcW w:w="1584" w:type="dxa"/>
          </w:tcPr>
          <w:p w14:paraId="35B44AD7" w14:textId="09104A2C" w:rsidR="00077F61" w:rsidRPr="007C406C" w:rsidRDefault="00D32AF5" w:rsidP="00077F61">
            <w:pPr>
              <w:rPr>
                <w:rFonts w:asciiTheme="minorHAnsi" w:hAnsiTheme="minorHAnsi" w:cstheme="minorHAnsi"/>
              </w:rPr>
            </w:pPr>
            <w:r>
              <w:rPr>
                <w:rFonts w:asciiTheme="minorHAnsi" w:hAnsiTheme="minorHAnsi" w:cstheme="minorHAnsi"/>
              </w:rPr>
              <w:t>Ongoing</w:t>
            </w:r>
          </w:p>
        </w:tc>
      </w:tr>
    </w:tbl>
    <w:p w14:paraId="44142429" w14:textId="0938DB6B" w:rsidR="27885AB6" w:rsidRDefault="27885AB6" w:rsidP="48410D65">
      <w:pPr>
        <w:rPr>
          <w:highlight w:val="yellow"/>
        </w:rPr>
      </w:pPr>
      <w:r>
        <w:t xml:space="preserve"> </w:t>
      </w:r>
    </w:p>
    <w:sectPr w:rsidR="27885AB6">
      <w:headerReference w:type="default" r:id="rId11"/>
      <w:footerReference w:type="default" r:id="rId12"/>
      <w:headerReference w:type="first" r:id="rId13"/>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B6CE" w14:textId="77777777" w:rsidR="00A82B23" w:rsidRDefault="00A82B23">
      <w:pPr>
        <w:spacing w:after="0"/>
      </w:pPr>
      <w:r>
        <w:separator/>
      </w:r>
    </w:p>
  </w:endnote>
  <w:endnote w:type="continuationSeparator" w:id="0">
    <w:p w14:paraId="0C6ED5EE" w14:textId="77777777" w:rsidR="00A82B23" w:rsidRDefault="00A82B23">
      <w:pPr>
        <w:spacing w:after="0"/>
      </w:pPr>
      <w:r>
        <w:continuationSeparator/>
      </w:r>
    </w:p>
  </w:endnote>
  <w:endnote w:type="continuationNotice" w:id="1">
    <w:p w14:paraId="2E3DC7AD" w14:textId="77777777" w:rsidR="00A82B23" w:rsidRDefault="00A82B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D303" w14:textId="77777777" w:rsidR="001425A9" w:rsidRDefault="00295A28">
    <w:pPr>
      <w:pBdr>
        <w:top w:val="nil"/>
        <w:left w:val="nil"/>
        <w:bottom w:val="nil"/>
        <w:right w:val="nil"/>
        <w:between w:val="nil"/>
      </w:pBdr>
      <w:tabs>
        <w:tab w:val="center" w:pos="4513"/>
        <w:tab w:val="right" w:pos="9026"/>
      </w:tabs>
      <w:spacing w:after="0"/>
      <w:jc w:val="right"/>
      <w:rPr>
        <w:rFonts w:eastAsia="Calibri"/>
        <w:color w:val="000000"/>
        <w:sz w:val="16"/>
        <w:szCs w:val="16"/>
      </w:rPr>
    </w:pPr>
    <w:r>
      <w:rPr>
        <w:rFonts w:eastAsia="Calibri"/>
        <w:color w:val="000000"/>
        <w:sz w:val="16"/>
        <w:szCs w:val="16"/>
      </w:rPr>
      <w:t xml:space="preserve">Page | </w:t>
    </w:r>
    <w:r>
      <w:rPr>
        <w:rFonts w:eastAsia="Calibri"/>
        <w:color w:val="000000"/>
        <w:sz w:val="16"/>
        <w:szCs w:val="16"/>
      </w:rPr>
      <w:fldChar w:fldCharType="begin"/>
    </w:r>
    <w:r>
      <w:rPr>
        <w:rFonts w:eastAsia="Calibri"/>
        <w:color w:val="000000"/>
        <w:sz w:val="16"/>
        <w:szCs w:val="16"/>
      </w:rPr>
      <w:instrText>PAGE</w:instrText>
    </w:r>
    <w:r>
      <w:rPr>
        <w:rFonts w:eastAsia="Calibri"/>
        <w:color w:val="000000"/>
        <w:sz w:val="16"/>
        <w:szCs w:val="16"/>
      </w:rPr>
      <w:fldChar w:fldCharType="separate"/>
    </w:r>
    <w:r w:rsidR="002C3A72">
      <w:rPr>
        <w:rFonts w:eastAsia="Calibri"/>
        <w:noProof/>
        <w:color w:val="000000"/>
        <w:sz w:val="16"/>
        <w:szCs w:val="16"/>
      </w:rPr>
      <w:t>12</w:t>
    </w:r>
    <w:r>
      <w:rPr>
        <w:rFonts w:eastAsia="Calibr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D7BC" w14:textId="77777777" w:rsidR="00A82B23" w:rsidRDefault="00A82B23">
      <w:pPr>
        <w:spacing w:after="0"/>
      </w:pPr>
      <w:r>
        <w:separator/>
      </w:r>
    </w:p>
  </w:footnote>
  <w:footnote w:type="continuationSeparator" w:id="0">
    <w:p w14:paraId="7757454F" w14:textId="77777777" w:rsidR="00A82B23" w:rsidRDefault="00A82B23">
      <w:pPr>
        <w:spacing w:after="0"/>
      </w:pPr>
      <w:r>
        <w:continuationSeparator/>
      </w:r>
    </w:p>
  </w:footnote>
  <w:footnote w:type="continuationNotice" w:id="1">
    <w:p w14:paraId="3EA623B8" w14:textId="77777777" w:rsidR="00A82B23" w:rsidRDefault="00A82B23">
      <w:pPr>
        <w:spacing w:after="0"/>
      </w:pPr>
    </w:p>
  </w:footnote>
  <w:footnote w:id="2">
    <w:p w14:paraId="54E17637" w14:textId="14E9F48B" w:rsidR="00195FEB" w:rsidRDefault="00195FEB" w:rsidP="48410D65">
      <w:pPr>
        <w:pBdr>
          <w:top w:val="nil"/>
          <w:left w:val="nil"/>
          <w:bottom w:val="nil"/>
          <w:right w:val="nil"/>
          <w:between w:val="nil"/>
        </w:pBdr>
        <w:spacing w:after="0"/>
        <w:rPr>
          <w:rFonts w:eastAsia="Calibri"/>
          <w:color w:val="000000"/>
          <w:sz w:val="20"/>
          <w:szCs w:val="20"/>
        </w:rPr>
      </w:pPr>
      <w:r>
        <w:rPr>
          <w:rStyle w:val="FootnoteReference"/>
        </w:rPr>
        <w:footnoteRef/>
      </w:r>
      <w:r w:rsidR="48410D65">
        <w:rPr>
          <w:rFonts w:eastAsia="Calibri"/>
          <w:color w:val="000000"/>
          <w:sz w:val="20"/>
          <w:szCs w:val="20"/>
        </w:rPr>
        <w:t xml:space="preserve"> </w:t>
      </w:r>
      <w:r w:rsidR="48410D65" w:rsidRPr="00CA06DC">
        <w:rPr>
          <w:rFonts w:eastAsia="Calibri"/>
          <w:color w:val="000000"/>
          <w:sz w:val="20"/>
          <w:szCs w:val="20"/>
        </w:rPr>
        <w:t>Where matters are related to both NGO partners – Plan Internationa</w:t>
      </w:r>
      <w:r w:rsidR="48410D65">
        <w:rPr>
          <w:rFonts w:eastAsia="Calibri"/>
          <w:color w:val="000000"/>
          <w:sz w:val="20"/>
          <w:szCs w:val="20"/>
        </w:rPr>
        <w:t>l and</w:t>
      </w:r>
      <w:r w:rsidR="48410D65" w:rsidRPr="00CA06DC">
        <w:rPr>
          <w:rFonts w:eastAsia="Calibri"/>
          <w:color w:val="000000"/>
          <w:sz w:val="20"/>
          <w:szCs w:val="20"/>
        </w:rPr>
        <w:t xml:space="preserve"> Oxfam – will hereafter be referred to collectively as ANGOs.</w:t>
      </w:r>
    </w:p>
  </w:footnote>
  <w:footnote w:id="3">
    <w:p w14:paraId="0A534DF0" w14:textId="33D401B2" w:rsidR="001425A9" w:rsidRDefault="00295A28">
      <w:pPr>
        <w:pBdr>
          <w:top w:val="nil"/>
          <w:left w:val="nil"/>
          <w:bottom w:val="nil"/>
          <w:right w:val="nil"/>
          <w:between w:val="nil"/>
        </w:pBdr>
        <w:spacing w:after="0"/>
        <w:rPr>
          <w:rFonts w:eastAsia="Calibri"/>
          <w:color w:val="000000"/>
          <w:sz w:val="20"/>
          <w:szCs w:val="20"/>
        </w:rPr>
      </w:pPr>
      <w:r>
        <w:rPr>
          <w:rStyle w:val="FootnoteReference"/>
        </w:rPr>
        <w:footnoteRef/>
      </w:r>
      <w:r>
        <w:rPr>
          <w:rFonts w:eastAsia="Calibri"/>
          <w:color w:val="000000"/>
          <w:sz w:val="20"/>
          <w:szCs w:val="20"/>
        </w:rPr>
        <w:t xml:space="preserve"> Levels of Agreement: agree; partially agree; disagree</w:t>
      </w:r>
      <w:r w:rsidR="008E3D27">
        <w:rPr>
          <w:rFonts w:eastAsia="Calibri"/>
          <w:color w:val="000000"/>
          <w:sz w:val="20"/>
          <w:szCs w:val="20"/>
        </w:rPr>
        <w:t xml:space="preserve"> and noted</w:t>
      </w:r>
      <w:r w:rsidR="00CA06DC">
        <w:rPr>
          <w:rFonts w:eastAsia="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A2A3" w14:textId="6DDFBCA9" w:rsidR="001425A9" w:rsidRDefault="00295A28" w:rsidP="00224DFB">
    <w:pPr>
      <w:pBdr>
        <w:top w:val="nil"/>
        <w:left w:val="nil"/>
        <w:bottom w:val="nil"/>
        <w:right w:val="nil"/>
        <w:between w:val="nil"/>
      </w:pBdr>
      <w:tabs>
        <w:tab w:val="left" w:pos="285"/>
        <w:tab w:val="left" w:pos="6045"/>
        <w:tab w:val="center" w:pos="6979"/>
      </w:tabs>
      <w:rPr>
        <w:rFonts w:eastAsia="Calibri"/>
        <w:color w:val="000000"/>
      </w:rPr>
    </w:pPr>
    <w:r>
      <w:rPr>
        <w:noProof/>
      </w:rPr>
      <w:drawing>
        <wp:anchor distT="0" distB="0" distL="0" distR="0" simplePos="0" relativeHeight="251658240" behindDoc="1" locked="0" layoutInCell="1" hidden="0" allowOverlap="1" wp14:anchorId="6BD9552C" wp14:editId="3BAEA69A">
          <wp:simplePos x="0" y="0"/>
          <wp:positionH relativeFrom="column">
            <wp:posOffset>-900429</wp:posOffset>
          </wp:positionH>
          <wp:positionV relativeFrom="paragraph">
            <wp:posOffset>-395604</wp:posOffset>
          </wp:positionV>
          <wp:extent cx="7560000" cy="732988"/>
          <wp:effectExtent l="0" t="0" r="0" b="0"/>
          <wp:wrapNone/>
          <wp:docPr id="251699509" name="image1.png" descr="Australian Aid and Australian Humanitarian Partnership Logos in the page header"/>
          <wp:cNvGraphicFramePr/>
          <a:graphic xmlns:a="http://schemas.openxmlformats.org/drawingml/2006/main">
            <a:graphicData uri="http://schemas.openxmlformats.org/drawingml/2006/picture">
              <pic:pic xmlns:pic="http://schemas.openxmlformats.org/drawingml/2006/picture">
                <pic:nvPicPr>
                  <pic:cNvPr id="4" name="image1.png" descr="Australian Aid and Australian Humanitarian Partnership Logos in the page header"/>
                  <pic:cNvPicPr preferRelativeResize="0"/>
                </pic:nvPicPr>
                <pic:blipFill>
                  <a:blip r:embed="rId1"/>
                  <a:srcRect/>
                  <a:stretch>
                    <a:fillRect/>
                  </a:stretch>
                </pic:blipFill>
                <pic:spPr>
                  <a:xfrm>
                    <a:off x="0" y="0"/>
                    <a:ext cx="7560000" cy="732988"/>
                  </a:xfrm>
                  <a:prstGeom prst="rect">
                    <a:avLst/>
                  </a:prstGeom>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8F3C" w14:textId="77777777" w:rsidR="001425A9" w:rsidRDefault="00295A28">
    <w:r>
      <w:rPr>
        <w:noProof/>
      </w:rPr>
      <w:drawing>
        <wp:anchor distT="0" distB="0" distL="0" distR="0" simplePos="0" relativeHeight="251658241" behindDoc="1" locked="0" layoutInCell="1" hidden="0" allowOverlap="1" wp14:anchorId="64F645E4" wp14:editId="384FA0C2">
          <wp:simplePos x="0" y="0"/>
          <wp:positionH relativeFrom="column">
            <wp:posOffset>-900429</wp:posOffset>
          </wp:positionH>
          <wp:positionV relativeFrom="paragraph">
            <wp:posOffset>-393699</wp:posOffset>
          </wp:positionV>
          <wp:extent cx="7560000" cy="10689857"/>
          <wp:effectExtent l="0" t="0" r="0" b="0"/>
          <wp:wrapNone/>
          <wp:docPr id="900885404" name="image2.png" descr="Australian Humanitarian Partnership Logo - a rectangle box with the letters AHP against an orange background on the left and the words Australian Humanitarian Partnership against a white background on the right&#10;"/>
          <wp:cNvGraphicFramePr/>
          <a:graphic xmlns:a="http://schemas.openxmlformats.org/drawingml/2006/main">
            <a:graphicData uri="http://schemas.openxmlformats.org/drawingml/2006/picture">
              <pic:pic xmlns:pic="http://schemas.openxmlformats.org/drawingml/2006/picture">
                <pic:nvPicPr>
                  <pic:cNvPr id="3" name="image2.png" descr="Australian Humanitarian Partnership Logo - a rectangle box with the letters AHP against an orange background on the left and the words Australian Humanitarian Partnership against a white background on the right&#10;"/>
                  <pic:cNvPicPr preferRelativeResize="0"/>
                </pic:nvPicPr>
                <pic:blipFill>
                  <a:blip r:embed="rId1"/>
                  <a:srcRect/>
                  <a:stretch>
                    <a:fillRect/>
                  </a:stretch>
                </pic:blipFill>
                <pic:spPr>
                  <a:xfrm>
                    <a:off x="0" y="0"/>
                    <a:ext cx="7560000" cy="1068985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E35"/>
    <w:multiLevelType w:val="hybridMultilevel"/>
    <w:tmpl w:val="2B442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BD03ED"/>
    <w:multiLevelType w:val="multilevel"/>
    <w:tmpl w:val="131C8D4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123785C"/>
    <w:multiLevelType w:val="hybridMultilevel"/>
    <w:tmpl w:val="4ADA2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D7390C"/>
    <w:multiLevelType w:val="multilevel"/>
    <w:tmpl w:val="3894CD8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453C0DB"/>
    <w:multiLevelType w:val="multilevel"/>
    <w:tmpl w:val="0F603DC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6657CD6"/>
    <w:multiLevelType w:val="multilevel"/>
    <w:tmpl w:val="EC44B06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ListParagraph"/>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BA1C1D"/>
    <w:multiLevelType w:val="hybridMultilevel"/>
    <w:tmpl w:val="A28EB782"/>
    <w:lvl w:ilvl="0" w:tplc="0C09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43A1697"/>
    <w:multiLevelType w:val="hybridMultilevel"/>
    <w:tmpl w:val="7130C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567B18"/>
    <w:multiLevelType w:val="hybridMultilevel"/>
    <w:tmpl w:val="2CD661EE"/>
    <w:lvl w:ilvl="0" w:tplc="689A4AF4">
      <w:start w:val="1"/>
      <w:numFmt w:val="bullet"/>
      <w:lvlText w:val=""/>
      <w:lvlJc w:val="left"/>
      <w:pPr>
        <w:ind w:left="720" w:hanging="360"/>
      </w:pPr>
      <w:rPr>
        <w:rFonts w:ascii="Symbol" w:hAnsi="Symbol" w:hint="default"/>
      </w:rPr>
    </w:lvl>
    <w:lvl w:ilvl="1" w:tplc="ED9AC5EC">
      <w:start w:val="1"/>
      <w:numFmt w:val="bullet"/>
      <w:lvlText w:val="o"/>
      <w:lvlJc w:val="left"/>
      <w:pPr>
        <w:ind w:left="1440" w:hanging="360"/>
      </w:pPr>
      <w:rPr>
        <w:rFonts w:ascii="Courier New" w:hAnsi="Courier New" w:hint="default"/>
      </w:rPr>
    </w:lvl>
    <w:lvl w:ilvl="2" w:tplc="6EEE19AE">
      <w:start w:val="1"/>
      <w:numFmt w:val="bullet"/>
      <w:lvlText w:val=""/>
      <w:lvlJc w:val="left"/>
      <w:pPr>
        <w:ind w:left="2160" w:hanging="360"/>
      </w:pPr>
      <w:rPr>
        <w:rFonts w:ascii="Wingdings" w:hAnsi="Wingdings" w:hint="default"/>
      </w:rPr>
    </w:lvl>
    <w:lvl w:ilvl="3" w:tplc="98E0441C">
      <w:start w:val="1"/>
      <w:numFmt w:val="bullet"/>
      <w:lvlText w:val=""/>
      <w:lvlJc w:val="left"/>
      <w:pPr>
        <w:ind w:left="2880" w:hanging="360"/>
      </w:pPr>
      <w:rPr>
        <w:rFonts w:ascii="Symbol" w:hAnsi="Symbol" w:hint="default"/>
      </w:rPr>
    </w:lvl>
    <w:lvl w:ilvl="4" w:tplc="566CE18A">
      <w:start w:val="1"/>
      <w:numFmt w:val="bullet"/>
      <w:lvlText w:val="o"/>
      <w:lvlJc w:val="left"/>
      <w:pPr>
        <w:ind w:left="3600" w:hanging="360"/>
      </w:pPr>
      <w:rPr>
        <w:rFonts w:ascii="Courier New" w:hAnsi="Courier New" w:hint="default"/>
      </w:rPr>
    </w:lvl>
    <w:lvl w:ilvl="5" w:tplc="F7F2A15E">
      <w:start w:val="1"/>
      <w:numFmt w:val="bullet"/>
      <w:lvlText w:val=""/>
      <w:lvlJc w:val="left"/>
      <w:pPr>
        <w:ind w:left="4320" w:hanging="360"/>
      </w:pPr>
      <w:rPr>
        <w:rFonts w:ascii="Wingdings" w:hAnsi="Wingdings" w:hint="default"/>
      </w:rPr>
    </w:lvl>
    <w:lvl w:ilvl="6" w:tplc="4446A256">
      <w:start w:val="1"/>
      <w:numFmt w:val="bullet"/>
      <w:lvlText w:val=""/>
      <w:lvlJc w:val="left"/>
      <w:pPr>
        <w:ind w:left="5040" w:hanging="360"/>
      </w:pPr>
      <w:rPr>
        <w:rFonts w:ascii="Symbol" w:hAnsi="Symbol" w:hint="default"/>
      </w:rPr>
    </w:lvl>
    <w:lvl w:ilvl="7" w:tplc="567071DE">
      <w:start w:val="1"/>
      <w:numFmt w:val="bullet"/>
      <w:lvlText w:val="o"/>
      <w:lvlJc w:val="left"/>
      <w:pPr>
        <w:ind w:left="5760" w:hanging="360"/>
      </w:pPr>
      <w:rPr>
        <w:rFonts w:ascii="Courier New" w:hAnsi="Courier New" w:hint="default"/>
      </w:rPr>
    </w:lvl>
    <w:lvl w:ilvl="8" w:tplc="CC58E476">
      <w:start w:val="1"/>
      <w:numFmt w:val="bullet"/>
      <w:lvlText w:val=""/>
      <w:lvlJc w:val="left"/>
      <w:pPr>
        <w:ind w:left="6480" w:hanging="360"/>
      </w:pPr>
      <w:rPr>
        <w:rFonts w:ascii="Wingdings" w:hAnsi="Wingdings" w:hint="default"/>
      </w:rPr>
    </w:lvl>
  </w:abstractNum>
  <w:abstractNum w:abstractNumId="9" w15:restartNumberingAfterBreak="0">
    <w:nsid w:val="499B164A"/>
    <w:multiLevelType w:val="hybridMultilevel"/>
    <w:tmpl w:val="044A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B73F4"/>
    <w:multiLevelType w:val="hybridMultilevel"/>
    <w:tmpl w:val="3CE0C5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587E38"/>
    <w:multiLevelType w:val="hybridMultilevel"/>
    <w:tmpl w:val="128AB8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7693085"/>
    <w:multiLevelType w:val="multilevel"/>
    <w:tmpl w:val="7DCC827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94B6C40"/>
    <w:multiLevelType w:val="hybridMultilevel"/>
    <w:tmpl w:val="25E63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5CF1541"/>
    <w:multiLevelType w:val="hybridMultilevel"/>
    <w:tmpl w:val="201C2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ABC70F6"/>
    <w:multiLevelType w:val="hybridMultilevel"/>
    <w:tmpl w:val="BEA8A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061250"/>
    <w:multiLevelType w:val="multilevel"/>
    <w:tmpl w:val="B6845F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FFF9133"/>
    <w:multiLevelType w:val="multilevel"/>
    <w:tmpl w:val="C4D21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2C744B"/>
    <w:multiLevelType w:val="hybridMultilevel"/>
    <w:tmpl w:val="86DC0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1C02A15"/>
    <w:multiLevelType w:val="hybridMultilevel"/>
    <w:tmpl w:val="CF2C6E4A"/>
    <w:lvl w:ilvl="0" w:tplc="0C09000F">
      <w:start w:val="1"/>
      <w:numFmt w:val="decimal"/>
      <w:lvlText w:val="%1."/>
      <w:lvlJc w:val="left"/>
      <w:pPr>
        <w:ind w:left="360" w:hanging="360"/>
      </w:pPr>
      <w:rPr>
        <w:rFonts w:hint="default"/>
        <w:color w:val="000000"/>
      </w:rPr>
    </w:lvl>
    <w:lvl w:ilvl="1" w:tplc="2000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49371248">
    <w:abstractNumId w:val="4"/>
  </w:num>
  <w:num w:numId="2" w16cid:durableId="138546133">
    <w:abstractNumId w:val="17"/>
  </w:num>
  <w:num w:numId="3" w16cid:durableId="475728903">
    <w:abstractNumId w:val="3"/>
  </w:num>
  <w:num w:numId="4" w16cid:durableId="1418214825">
    <w:abstractNumId w:val="8"/>
  </w:num>
  <w:num w:numId="5" w16cid:durableId="464396934">
    <w:abstractNumId w:val="5"/>
  </w:num>
  <w:num w:numId="6" w16cid:durableId="568805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2531481">
    <w:abstractNumId w:val="6"/>
  </w:num>
  <w:num w:numId="8" w16cid:durableId="84345781">
    <w:abstractNumId w:val="19"/>
  </w:num>
  <w:num w:numId="9" w16cid:durableId="1305626502">
    <w:abstractNumId w:val="9"/>
  </w:num>
  <w:num w:numId="10" w16cid:durableId="1335914012">
    <w:abstractNumId w:val="13"/>
  </w:num>
  <w:num w:numId="11" w16cid:durableId="2032994194">
    <w:abstractNumId w:val="14"/>
  </w:num>
  <w:num w:numId="12" w16cid:durableId="2004888496">
    <w:abstractNumId w:val="7"/>
  </w:num>
  <w:num w:numId="13" w16cid:durableId="840504359">
    <w:abstractNumId w:val="18"/>
  </w:num>
  <w:num w:numId="14" w16cid:durableId="1657101980">
    <w:abstractNumId w:val="11"/>
  </w:num>
  <w:num w:numId="15" w16cid:durableId="1098022821">
    <w:abstractNumId w:val="2"/>
  </w:num>
  <w:num w:numId="16" w16cid:durableId="2117942085">
    <w:abstractNumId w:val="0"/>
  </w:num>
  <w:num w:numId="17" w16cid:durableId="1198658802">
    <w:abstractNumId w:val="10"/>
  </w:num>
  <w:num w:numId="18" w16cid:durableId="38282231">
    <w:abstractNumId w:val="15"/>
  </w:num>
  <w:num w:numId="19" w16cid:durableId="1127773097">
    <w:abstractNumId w:val="16"/>
  </w:num>
  <w:num w:numId="20" w16cid:durableId="1062875042">
    <w:abstractNumId w:val="1"/>
  </w:num>
  <w:num w:numId="21" w16cid:durableId="480267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A9"/>
    <w:rsid w:val="000211B4"/>
    <w:rsid w:val="000212EF"/>
    <w:rsid w:val="000251EA"/>
    <w:rsid w:val="00026A50"/>
    <w:rsid w:val="00030157"/>
    <w:rsid w:val="00040911"/>
    <w:rsid w:val="000419C9"/>
    <w:rsid w:val="000473ED"/>
    <w:rsid w:val="0005451B"/>
    <w:rsid w:val="00054A01"/>
    <w:rsid w:val="00056781"/>
    <w:rsid w:val="00057055"/>
    <w:rsid w:val="0005780B"/>
    <w:rsid w:val="0006499E"/>
    <w:rsid w:val="00072C7E"/>
    <w:rsid w:val="00077F61"/>
    <w:rsid w:val="00082441"/>
    <w:rsid w:val="00082E86"/>
    <w:rsid w:val="0008318A"/>
    <w:rsid w:val="0008357A"/>
    <w:rsid w:val="00084F1D"/>
    <w:rsid w:val="00091491"/>
    <w:rsid w:val="00093C4F"/>
    <w:rsid w:val="0009471F"/>
    <w:rsid w:val="00097B69"/>
    <w:rsid w:val="000A0CE8"/>
    <w:rsid w:val="000A19D1"/>
    <w:rsid w:val="000A7651"/>
    <w:rsid w:val="000B3C92"/>
    <w:rsid w:val="000B4424"/>
    <w:rsid w:val="000B45D2"/>
    <w:rsid w:val="000C069F"/>
    <w:rsid w:val="000C5BE1"/>
    <w:rsid w:val="000D544D"/>
    <w:rsid w:val="000D59E3"/>
    <w:rsid w:val="000D65C6"/>
    <w:rsid w:val="000E379E"/>
    <w:rsid w:val="000E4038"/>
    <w:rsid w:val="000E42FF"/>
    <w:rsid w:val="000E46BE"/>
    <w:rsid w:val="000E5CDB"/>
    <w:rsid w:val="000E6977"/>
    <w:rsid w:val="000F0244"/>
    <w:rsid w:val="000F3D51"/>
    <w:rsid w:val="001026FC"/>
    <w:rsid w:val="00105825"/>
    <w:rsid w:val="00105841"/>
    <w:rsid w:val="00105C98"/>
    <w:rsid w:val="00106C7B"/>
    <w:rsid w:val="00111528"/>
    <w:rsid w:val="00113EC8"/>
    <w:rsid w:val="00116361"/>
    <w:rsid w:val="0011717C"/>
    <w:rsid w:val="00123B99"/>
    <w:rsid w:val="00124068"/>
    <w:rsid w:val="00125C62"/>
    <w:rsid w:val="00126248"/>
    <w:rsid w:val="00127AF9"/>
    <w:rsid w:val="00130C5C"/>
    <w:rsid w:val="00136F61"/>
    <w:rsid w:val="0013716D"/>
    <w:rsid w:val="001425A9"/>
    <w:rsid w:val="00143DEA"/>
    <w:rsid w:val="001447A0"/>
    <w:rsid w:val="001513C0"/>
    <w:rsid w:val="00151530"/>
    <w:rsid w:val="00154BAB"/>
    <w:rsid w:val="00157448"/>
    <w:rsid w:val="00160057"/>
    <w:rsid w:val="001615EC"/>
    <w:rsid w:val="00161862"/>
    <w:rsid w:val="00161FBF"/>
    <w:rsid w:val="00170B75"/>
    <w:rsid w:val="00173D4F"/>
    <w:rsid w:val="00180746"/>
    <w:rsid w:val="001809F3"/>
    <w:rsid w:val="001819E3"/>
    <w:rsid w:val="00191DEC"/>
    <w:rsid w:val="00192A78"/>
    <w:rsid w:val="00195FEB"/>
    <w:rsid w:val="001970FB"/>
    <w:rsid w:val="001A00C7"/>
    <w:rsid w:val="001A0496"/>
    <w:rsid w:val="001A0B1E"/>
    <w:rsid w:val="001A3819"/>
    <w:rsid w:val="001A4078"/>
    <w:rsid w:val="001A59F1"/>
    <w:rsid w:val="001B25E5"/>
    <w:rsid w:val="001B3093"/>
    <w:rsid w:val="001C18BE"/>
    <w:rsid w:val="001C3B73"/>
    <w:rsid w:val="001C4CDE"/>
    <w:rsid w:val="001C5B05"/>
    <w:rsid w:val="001C7F57"/>
    <w:rsid w:val="001D1CB8"/>
    <w:rsid w:val="001D7CFC"/>
    <w:rsid w:val="001E01A5"/>
    <w:rsid w:val="001E288D"/>
    <w:rsid w:val="001E4764"/>
    <w:rsid w:val="001E6EAA"/>
    <w:rsid w:val="001E725F"/>
    <w:rsid w:val="001F1E3D"/>
    <w:rsid w:val="001F2844"/>
    <w:rsid w:val="001F59FE"/>
    <w:rsid w:val="00201E97"/>
    <w:rsid w:val="0020235E"/>
    <w:rsid w:val="00213636"/>
    <w:rsid w:val="002140B2"/>
    <w:rsid w:val="00216217"/>
    <w:rsid w:val="00224DFB"/>
    <w:rsid w:val="00226942"/>
    <w:rsid w:val="00230681"/>
    <w:rsid w:val="002340C1"/>
    <w:rsid w:val="0023699D"/>
    <w:rsid w:val="00236E75"/>
    <w:rsid w:val="0024640D"/>
    <w:rsid w:val="00246AA4"/>
    <w:rsid w:val="002508A8"/>
    <w:rsid w:val="00252AB3"/>
    <w:rsid w:val="002558FA"/>
    <w:rsid w:val="00263DEA"/>
    <w:rsid w:val="00272B5E"/>
    <w:rsid w:val="00273BA3"/>
    <w:rsid w:val="00273F83"/>
    <w:rsid w:val="002742C7"/>
    <w:rsid w:val="002748D8"/>
    <w:rsid w:val="00276B2E"/>
    <w:rsid w:val="00283C14"/>
    <w:rsid w:val="00287082"/>
    <w:rsid w:val="00293352"/>
    <w:rsid w:val="00295A28"/>
    <w:rsid w:val="002A56D4"/>
    <w:rsid w:val="002B14E4"/>
    <w:rsid w:val="002B17B2"/>
    <w:rsid w:val="002B204F"/>
    <w:rsid w:val="002B7942"/>
    <w:rsid w:val="002C3A72"/>
    <w:rsid w:val="002C41B4"/>
    <w:rsid w:val="002C502F"/>
    <w:rsid w:val="002D3251"/>
    <w:rsid w:val="002D43DD"/>
    <w:rsid w:val="002D6E89"/>
    <w:rsid w:val="002E0195"/>
    <w:rsid w:val="002E1566"/>
    <w:rsid w:val="002E71E5"/>
    <w:rsid w:val="002E7335"/>
    <w:rsid w:val="002F2BB2"/>
    <w:rsid w:val="003020A0"/>
    <w:rsid w:val="0030322A"/>
    <w:rsid w:val="003047D5"/>
    <w:rsid w:val="00311704"/>
    <w:rsid w:val="00311E1B"/>
    <w:rsid w:val="00316F64"/>
    <w:rsid w:val="00322865"/>
    <w:rsid w:val="0032410C"/>
    <w:rsid w:val="00324BA0"/>
    <w:rsid w:val="00325FC4"/>
    <w:rsid w:val="003418ED"/>
    <w:rsid w:val="0034359B"/>
    <w:rsid w:val="00350941"/>
    <w:rsid w:val="0035255B"/>
    <w:rsid w:val="00353009"/>
    <w:rsid w:val="0035551D"/>
    <w:rsid w:val="003568A3"/>
    <w:rsid w:val="003600DB"/>
    <w:rsid w:val="003607A9"/>
    <w:rsid w:val="0036738E"/>
    <w:rsid w:val="00371674"/>
    <w:rsid w:val="00383F36"/>
    <w:rsid w:val="0038589E"/>
    <w:rsid w:val="00386C0B"/>
    <w:rsid w:val="003A680A"/>
    <w:rsid w:val="003A7E80"/>
    <w:rsid w:val="003B0835"/>
    <w:rsid w:val="003B18F6"/>
    <w:rsid w:val="003B1B02"/>
    <w:rsid w:val="003B61F9"/>
    <w:rsid w:val="003B7208"/>
    <w:rsid w:val="003C3D4C"/>
    <w:rsid w:val="003C3F47"/>
    <w:rsid w:val="003C4FBB"/>
    <w:rsid w:val="003C693B"/>
    <w:rsid w:val="003D1FA3"/>
    <w:rsid w:val="003D2A17"/>
    <w:rsid w:val="003D52E8"/>
    <w:rsid w:val="003D5937"/>
    <w:rsid w:val="003E716D"/>
    <w:rsid w:val="003F3F22"/>
    <w:rsid w:val="003F54DA"/>
    <w:rsid w:val="003F69F1"/>
    <w:rsid w:val="00400122"/>
    <w:rsid w:val="00400D00"/>
    <w:rsid w:val="00403CE6"/>
    <w:rsid w:val="004045E6"/>
    <w:rsid w:val="00412FC0"/>
    <w:rsid w:val="00431452"/>
    <w:rsid w:val="0043148A"/>
    <w:rsid w:val="004341F6"/>
    <w:rsid w:val="00434D5B"/>
    <w:rsid w:val="0044411C"/>
    <w:rsid w:val="00446430"/>
    <w:rsid w:val="004501B9"/>
    <w:rsid w:val="004529FB"/>
    <w:rsid w:val="00455969"/>
    <w:rsid w:val="004566A1"/>
    <w:rsid w:val="00457B29"/>
    <w:rsid w:val="004777B1"/>
    <w:rsid w:val="004840EF"/>
    <w:rsid w:val="0048793A"/>
    <w:rsid w:val="00491781"/>
    <w:rsid w:val="004938D4"/>
    <w:rsid w:val="004A69F9"/>
    <w:rsid w:val="004B435C"/>
    <w:rsid w:val="004C44D9"/>
    <w:rsid w:val="004C4513"/>
    <w:rsid w:val="004C4897"/>
    <w:rsid w:val="004C5586"/>
    <w:rsid w:val="004C5B7E"/>
    <w:rsid w:val="004C61D5"/>
    <w:rsid w:val="004C7ECD"/>
    <w:rsid w:val="004D0896"/>
    <w:rsid w:val="004D2B2F"/>
    <w:rsid w:val="004D4744"/>
    <w:rsid w:val="004E247E"/>
    <w:rsid w:val="004E38CE"/>
    <w:rsid w:val="004E49B4"/>
    <w:rsid w:val="004E59A0"/>
    <w:rsid w:val="004F4D80"/>
    <w:rsid w:val="004F6FB8"/>
    <w:rsid w:val="00500494"/>
    <w:rsid w:val="00500B0F"/>
    <w:rsid w:val="00502A36"/>
    <w:rsid w:val="005051A4"/>
    <w:rsid w:val="00505805"/>
    <w:rsid w:val="00505C2D"/>
    <w:rsid w:val="005133CE"/>
    <w:rsid w:val="00513540"/>
    <w:rsid w:val="0051478E"/>
    <w:rsid w:val="005173F2"/>
    <w:rsid w:val="0052369E"/>
    <w:rsid w:val="00523E69"/>
    <w:rsid w:val="00526CEE"/>
    <w:rsid w:val="00527560"/>
    <w:rsid w:val="0053127F"/>
    <w:rsid w:val="00542192"/>
    <w:rsid w:val="005443FB"/>
    <w:rsid w:val="00544E65"/>
    <w:rsid w:val="005505CE"/>
    <w:rsid w:val="00550C08"/>
    <w:rsid w:val="005510C1"/>
    <w:rsid w:val="00552AD1"/>
    <w:rsid w:val="00552FAF"/>
    <w:rsid w:val="0055493A"/>
    <w:rsid w:val="00561D67"/>
    <w:rsid w:val="0056250D"/>
    <w:rsid w:val="0056536C"/>
    <w:rsid w:val="00566ED7"/>
    <w:rsid w:val="0057404A"/>
    <w:rsid w:val="00575085"/>
    <w:rsid w:val="00575E93"/>
    <w:rsid w:val="00576F04"/>
    <w:rsid w:val="005A3357"/>
    <w:rsid w:val="005E2D8B"/>
    <w:rsid w:val="005E3076"/>
    <w:rsid w:val="005E4DF8"/>
    <w:rsid w:val="005E7768"/>
    <w:rsid w:val="005F6639"/>
    <w:rsid w:val="00600A0C"/>
    <w:rsid w:val="00600E04"/>
    <w:rsid w:val="00606580"/>
    <w:rsid w:val="00606634"/>
    <w:rsid w:val="00610B14"/>
    <w:rsid w:val="0061235B"/>
    <w:rsid w:val="006178F0"/>
    <w:rsid w:val="00625538"/>
    <w:rsid w:val="0063043F"/>
    <w:rsid w:val="00635146"/>
    <w:rsid w:val="00635624"/>
    <w:rsid w:val="00642131"/>
    <w:rsid w:val="0064385E"/>
    <w:rsid w:val="00645764"/>
    <w:rsid w:val="00645B76"/>
    <w:rsid w:val="006477B8"/>
    <w:rsid w:val="00655170"/>
    <w:rsid w:val="00661C1A"/>
    <w:rsid w:val="006635D5"/>
    <w:rsid w:val="00673315"/>
    <w:rsid w:val="00673E1B"/>
    <w:rsid w:val="0067749D"/>
    <w:rsid w:val="00677E3E"/>
    <w:rsid w:val="006849C8"/>
    <w:rsid w:val="00692679"/>
    <w:rsid w:val="006936AF"/>
    <w:rsid w:val="00694CCB"/>
    <w:rsid w:val="00696C24"/>
    <w:rsid w:val="006A14AE"/>
    <w:rsid w:val="006A1686"/>
    <w:rsid w:val="006A304A"/>
    <w:rsid w:val="006A356D"/>
    <w:rsid w:val="006A4254"/>
    <w:rsid w:val="006A4A97"/>
    <w:rsid w:val="006A668D"/>
    <w:rsid w:val="006B064D"/>
    <w:rsid w:val="006B4120"/>
    <w:rsid w:val="006B57E8"/>
    <w:rsid w:val="006C1CFD"/>
    <w:rsid w:val="006C225E"/>
    <w:rsid w:val="006C26EF"/>
    <w:rsid w:val="006C3228"/>
    <w:rsid w:val="006D1B83"/>
    <w:rsid w:val="006D2731"/>
    <w:rsid w:val="006E15C3"/>
    <w:rsid w:val="006E1F48"/>
    <w:rsid w:val="006E2596"/>
    <w:rsid w:val="006E6D5C"/>
    <w:rsid w:val="006F2258"/>
    <w:rsid w:val="006F605B"/>
    <w:rsid w:val="006F7987"/>
    <w:rsid w:val="007005A7"/>
    <w:rsid w:val="007054FA"/>
    <w:rsid w:val="00706752"/>
    <w:rsid w:val="0071030E"/>
    <w:rsid w:val="00712144"/>
    <w:rsid w:val="007258DE"/>
    <w:rsid w:val="00726A90"/>
    <w:rsid w:val="0072711F"/>
    <w:rsid w:val="00731D9F"/>
    <w:rsid w:val="007429A9"/>
    <w:rsid w:val="00742C2F"/>
    <w:rsid w:val="0074673F"/>
    <w:rsid w:val="007471B1"/>
    <w:rsid w:val="00750645"/>
    <w:rsid w:val="007512E8"/>
    <w:rsid w:val="00752545"/>
    <w:rsid w:val="00753DE3"/>
    <w:rsid w:val="007553EF"/>
    <w:rsid w:val="00763753"/>
    <w:rsid w:val="0076453E"/>
    <w:rsid w:val="00764FFD"/>
    <w:rsid w:val="00777630"/>
    <w:rsid w:val="00782C73"/>
    <w:rsid w:val="007840FB"/>
    <w:rsid w:val="00785336"/>
    <w:rsid w:val="00792FA5"/>
    <w:rsid w:val="00793F18"/>
    <w:rsid w:val="00794D38"/>
    <w:rsid w:val="0079573E"/>
    <w:rsid w:val="00795CB4"/>
    <w:rsid w:val="00796F2F"/>
    <w:rsid w:val="007A2C91"/>
    <w:rsid w:val="007B177C"/>
    <w:rsid w:val="007B317F"/>
    <w:rsid w:val="007B4472"/>
    <w:rsid w:val="007B45A4"/>
    <w:rsid w:val="007B6D42"/>
    <w:rsid w:val="007B717F"/>
    <w:rsid w:val="007C2313"/>
    <w:rsid w:val="007C406C"/>
    <w:rsid w:val="007C61E4"/>
    <w:rsid w:val="007D0FFE"/>
    <w:rsid w:val="007D2937"/>
    <w:rsid w:val="007D77F1"/>
    <w:rsid w:val="007E3A89"/>
    <w:rsid w:val="007E53E1"/>
    <w:rsid w:val="007E695D"/>
    <w:rsid w:val="007F1C3F"/>
    <w:rsid w:val="007F1FA2"/>
    <w:rsid w:val="008046D6"/>
    <w:rsid w:val="00805B69"/>
    <w:rsid w:val="00815B70"/>
    <w:rsid w:val="00816039"/>
    <w:rsid w:val="008169C2"/>
    <w:rsid w:val="00816C0E"/>
    <w:rsid w:val="0082084A"/>
    <w:rsid w:val="008237F3"/>
    <w:rsid w:val="00825270"/>
    <w:rsid w:val="00826C11"/>
    <w:rsid w:val="00827D14"/>
    <w:rsid w:val="00832621"/>
    <w:rsid w:val="00835ADE"/>
    <w:rsid w:val="00836D6E"/>
    <w:rsid w:val="00840850"/>
    <w:rsid w:val="008439AA"/>
    <w:rsid w:val="008539BE"/>
    <w:rsid w:val="00856301"/>
    <w:rsid w:val="00857977"/>
    <w:rsid w:val="008678D3"/>
    <w:rsid w:val="00872032"/>
    <w:rsid w:val="00876E00"/>
    <w:rsid w:val="00877DC5"/>
    <w:rsid w:val="0088041B"/>
    <w:rsid w:val="00881A71"/>
    <w:rsid w:val="008843DA"/>
    <w:rsid w:val="00884883"/>
    <w:rsid w:val="00887065"/>
    <w:rsid w:val="008933DE"/>
    <w:rsid w:val="00897597"/>
    <w:rsid w:val="008A0F63"/>
    <w:rsid w:val="008A1086"/>
    <w:rsid w:val="008A10AE"/>
    <w:rsid w:val="008A2C9B"/>
    <w:rsid w:val="008A2CFE"/>
    <w:rsid w:val="008A4EDB"/>
    <w:rsid w:val="008B397E"/>
    <w:rsid w:val="008B721A"/>
    <w:rsid w:val="008C42D7"/>
    <w:rsid w:val="008D0902"/>
    <w:rsid w:val="008E3D27"/>
    <w:rsid w:val="008F4E92"/>
    <w:rsid w:val="008F6219"/>
    <w:rsid w:val="00902764"/>
    <w:rsid w:val="00902E53"/>
    <w:rsid w:val="00907427"/>
    <w:rsid w:val="009079E3"/>
    <w:rsid w:val="00910A66"/>
    <w:rsid w:val="009120BC"/>
    <w:rsid w:val="00913305"/>
    <w:rsid w:val="00916B17"/>
    <w:rsid w:val="00921F61"/>
    <w:rsid w:val="009243EB"/>
    <w:rsid w:val="0092577D"/>
    <w:rsid w:val="00927686"/>
    <w:rsid w:val="00930614"/>
    <w:rsid w:val="0093154F"/>
    <w:rsid w:val="00936320"/>
    <w:rsid w:val="009373D3"/>
    <w:rsid w:val="00942A2F"/>
    <w:rsid w:val="00945725"/>
    <w:rsid w:val="00946DA7"/>
    <w:rsid w:val="0095492B"/>
    <w:rsid w:val="00962C64"/>
    <w:rsid w:val="0096337C"/>
    <w:rsid w:val="00980A14"/>
    <w:rsid w:val="0098346D"/>
    <w:rsid w:val="009842B9"/>
    <w:rsid w:val="009864EC"/>
    <w:rsid w:val="00994132"/>
    <w:rsid w:val="009955AA"/>
    <w:rsid w:val="00997BED"/>
    <w:rsid w:val="009A3268"/>
    <w:rsid w:val="009A6D9F"/>
    <w:rsid w:val="009A7F5B"/>
    <w:rsid w:val="009B103C"/>
    <w:rsid w:val="009B11D9"/>
    <w:rsid w:val="009B2F53"/>
    <w:rsid w:val="009B408E"/>
    <w:rsid w:val="009C7E0E"/>
    <w:rsid w:val="009D45B2"/>
    <w:rsid w:val="009D5C5B"/>
    <w:rsid w:val="009E147B"/>
    <w:rsid w:val="009E2655"/>
    <w:rsid w:val="009E2FE1"/>
    <w:rsid w:val="009E374C"/>
    <w:rsid w:val="009E37F2"/>
    <w:rsid w:val="009E4528"/>
    <w:rsid w:val="009E483F"/>
    <w:rsid w:val="009E5AA7"/>
    <w:rsid w:val="009E71E8"/>
    <w:rsid w:val="009F3E58"/>
    <w:rsid w:val="009F6595"/>
    <w:rsid w:val="00A00A22"/>
    <w:rsid w:val="00A01157"/>
    <w:rsid w:val="00A02172"/>
    <w:rsid w:val="00A06ED8"/>
    <w:rsid w:val="00A07613"/>
    <w:rsid w:val="00A142EA"/>
    <w:rsid w:val="00A16600"/>
    <w:rsid w:val="00A24046"/>
    <w:rsid w:val="00A26B57"/>
    <w:rsid w:val="00A26D75"/>
    <w:rsid w:val="00A26F33"/>
    <w:rsid w:val="00A27DB4"/>
    <w:rsid w:val="00A27ED0"/>
    <w:rsid w:val="00A3189D"/>
    <w:rsid w:val="00A325A3"/>
    <w:rsid w:val="00A32C8C"/>
    <w:rsid w:val="00A403B8"/>
    <w:rsid w:val="00A413A9"/>
    <w:rsid w:val="00A45B3E"/>
    <w:rsid w:val="00A544BF"/>
    <w:rsid w:val="00A55095"/>
    <w:rsid w:val="00A56E2A"/>
    <w:rsid w:val="00A57457"/>
    <w:rsid w:val="00A57B82"/>
    <w:rsid w:val="00A64EE1"/>
    <w:rsid w:val="00A6592F"/>
    <w:rsid w:val="00A7743B"/>
    <w:rsid w:val="00A82B23"/>
    <w:rsid w:val="00A905E2"/>
    <w:rsid w:val="00A906AD"/>
    <w:rsid w:val="00A93D1D"/>
    <w:rsid w:val="00A94BF8"/>
    <w:rsid w:val="00A97282"/>
    <w:rsid w:val="00AA1639"/>
    <w:rsid w:val="00AA2DC0"/>
    <w:rsid w:val="00AA3145"/>
    <w:rsid w:val="00AA3B95"/>
    <w:rsid w:val="00AB0BF2"/>
    <w:rsid w:val="00AB6CCE"/>
    <w:rsid w:val="00AB70B2"/>
    <w:rsid w:val="00AC485B"/>
    <w:rsid w:val="00AC50FF"/>
    <w:rsid w:val="00AC5E42"/>
    <w:rsid w:val="00AC70A2"/>
    <w:rsid w:val="00AC7F5B"/>
    <w:rsid w:val="00AD3303"/>
    <w:rsid w:val="00AD710E"/>
    <w:rsid w:val="00AD7317"/>
    <w:rsid w:val="00AE0828"/>
    <w:rsid w:val="00AE2454"/>
    <w:rsid w:val="00AE2A77"/>
    <w:rsid w:val="00AE701A"/>
    <w:rsid w:val="00AF0233"/>
    <w:rsid w:val="00AF0A0E"/>
    <w:rsid w:val="00AF6F5C"/>
    <w:rsid w:val="00AF73BE"/>
    <w:rsid w:val="00AF7AF0"/>
    <w:rsid w:val="00B002A5"/>
    <w:rsid w:val="00B006E3"/>
    <w:rsid w:val="00B02B0B"/>
    <w:rsid w:val="00B105E8"/>
    <w:rsid w:val="00B1242D"/>
    <w:rsid w:val="00B15BB4"/>
    <w:rsid w:val="00B17821"/>
    <w:rsid w:val="00B201A6"/>
    <w:rsid w:val="00B20E89"/>
    <w:rsid w:val="00B2135D"/>
    <w:rsid w:val="00B21EFC"/>
    <w:rsid w:val="00B24555"/>
    <w:rsid w:val="00B24913"/>
    <w:rsid w:val="00B259FD"/>
    <w:rsid w:val="00B262CF"/>
    <w:rsid w:val="00B300D3"/>
    <w:rsid w:val="00B30FA9"/>
    <w:rsid w:val="00B40681"/>
    <w:rsid w:val="00B42F12"/>
    <w:rsid w:val="00B44CF1"/>
    <w:rsid w:val="00B451E1"/>
    <w:rsid w:val="00B469D7"/>
    <w:rsid w:val="00B52C3C"/>
    <w:rsid w:val="00B5615A"/>
    <w:rsid w:val="00B56B54"/>
    <w:rsid w:val="00B61D3E"/>
    <w:rsid w:val="00B62CE8"/>
    <w:rsid w:val="00B63F15"/>
    <w:rsid w:val="00B64963"/>
    <w:rsid w:val="00B7478D"/>
    <w:rsid w:val="00B7586E"/>
    <w:rsid w:val="00B80A5B"/>
    <w:rsid w:val="00B8354C"/>
    <w:rsid w:val="00B91988"/>
    <w:rsid w:val="00B94C73"/>
    <w:rsid w:val="00BA2086"/>
    <w:rsid w:val="00BA32E1"/>
    <w:rsid w:val="00BA3ED4"/>
    <w:rsid w:val="00BB1379"/>
    <w:rsid w:val="00BB3728"/>
    <w:rsid w:val="00BB42A9"/>
    <w:rsid w:val="00BC137D"/>
    <w:rsid w:val="00BC148B"/>
    <w:rsid w:val="00BC352B"/>
    <w:rsid w:val="00BC35E6"/>
    <w:rsid w:val="00BC66F4"/>
    <w:rsid w:val="00BC72AC"/>
    <w:rsid w:val="00BD1419"/>
    <w:rsid w:val="00BD1494"/>
    <w:rsid w:val="00BD33B7"/>
    <w:rsid w:val="00BD3AA5"/>
    <w:rsid w:val="00BD59EF"/>
    <w:rsid w:val="00BE2262"/>
    <w:rsid w:val="00BE30A4"/>
    <w:rsid w:val="00BE44B6"/>
    <w:rsid w:val="00BE5E21"/>
    <w:rsid w:val="00BF047C"/>
    <w:rsid w:val="00BF07CB"/>
    <w:rsid w:val="00BF18B6"/>
    <w:rsid w:val="00BF3969"/>
    <w:rsid w:val="00C017FC"/>
    <w:rsid w:val="00C021A2"/>
    <w:rsid w:val="00C0434D"/>
    <w:rsid w:val="00C04DAB"/>
    <w:rsid w:val="00C05069"/>
    <w:rsid w:val="00C05BAE"/>
    <w:rsid w:val="00C113EE"/>
    <w:rsid w:val="00C11A3C"/>
    <w:rsid w:val="00C16F16"/>
    <w:rsid w:val="00C20663"/>
    <w:rsid w:val="00C2278A"/>
    <w:rsid w:val="00C26112"/>
    <w:rsid w:val="00C26F53"/>
    <w:rsid w:val="00C30D27"/>
    <w:rsid w:val="00C36A5E"/>
    <w:rsid w:val="00C37F74"/>
    <w:rsid w:val="00C46BF4"/>
    <w:rsid w:val="00C61A82"/>
    <w:rsid w:val="00C61BEF"/>
    <w:rsid w:val="00C6289E"/>
    <w:rsid w:val="00C62E55"/>
    <w:rsid w:val="00C66E32"/>
    <w:rsid w:val="00C722B7"/>
    <w:rsid w:val="00C7484E"/>
    <w:rsid w:val="00C76744"/>
    <w:rsid w:val="00C77998"/>
    <w:rsid w:val="00C81BD2"/>
    <w:rsid w:val="00C82640"/>
    <w:rsid w:val="00C84093"/>
    <w:rsid w:val="00C85284"/>
    <w:rsid w:val="00C85599"/>
    <w:rsid w:val="00C86BA7"/>
    <w:rsid w:val="00C975D9"/>
    <w:rsid w:val="00C97C00"/>
    <w:rsid w:val="00CA0337"/>
    <w:rsid w:val="00CA06DC"/>
    <w:rsid w:val="00CA07C9"/>
    <w:rsid w:val="00CA4F2A"/>
    <w:rsid w:val="00CA7097"/>
    <w:rsid w:val="00CB078D"/>
    <w:rsid w:val="00CB16FF"/>
    <w:rsid w:val="00CB5E65"/>
    <w:rsid w:val="00CC37BA"/>
    <w:rsid w:val="00CC6DA8"/>
    <w:rsid w:val="00CD0E2A"/>
    <w:rsid w:val="00CD0E9B"/>
    <w:rsid w:val="00CE58BE"/>
    <w:rsid w:val="00CE744B"/>
    <w:rsid w:val="00CE7B83"/>
    <w:rsid w:val="00CE7E25"/>
    <w:rsid w:val="00CF3854"/>
    <w:rsid w:val="00CF4E97"/>
    <w:rsid w:val="00CF771E"/>
    <w:rsid w:val="00D02089"/>
    <w:rsid w:val="00D03DF7"/>
    <w:rsid w:val="00D111D8"/>
    <w:rsid w:val="00D11ED8"/>
    <w:rsid w:val="00D1644F"/>
    <w:rsid w:val="00D21A8C"/>
    <w:rsid w:val="00D23619"/>
    <w:rsid w:val="00D32AF5"/>
    <w:rsid w:val="00D42473"/>
    <w:rsid w:val="00D42599"/>
    <w:rsid w:val="00D47937"/>
    <w:rsid w:val="00D5081D"/>
    <w:rsid w:val="00D543BD"/>
    <w:rsid w:val="00D55070"/>
    <w:rsid w:val="00D55154"/>
    <w:rsid w:val="00D5518E"/>
    <w:rsid w:val="00D67066"/>
    <w:rsid w:val="00D70B9E"/>
    <w:rsid w:val="00D75367"/>
    <w:rsid w:val="00D77077"/>
    <w:rsid w:val="00D80605"/>
    <w:rsid w:val="00D836E7"/>
    <w:rsid w:val="00D97909"/>
    <w:rsid w:val="00DB2EA9"/>
    <w:rsid w:val="00DB56D3"/>
    <w:rsid w:val="00DB6610"/>
    <w:rsid w:val="00DB718B"/>
    <w:rsid w:val="00DD0AD1"/>
    <w:rsid w:val="00DE32F0"/>
    <w:rsid w:val="00DE5142"/>
    <w:rsid w:val="00DF43B2"/>
    <w:rsid w:val="00DF6B28"/>
    <w:rsid w:val="00DF6F63"/>
    <w:rsid w:val="00E03CF9"/>
    <w:rsid w:val="00E10C5B"/>
    <w:rsid w:val="00E11658"/>
    <w:rsid w:val="00E178D6"/>
    <w:rsid w:val="00E202DC"/>
    <w:rsid w:val="00E31B4E"/>
    <w:rsid w:val="00E376DF"/>
    <w:rsid w:val="00E42A7C"/>
    <w:rsid w:val="00E61B98"/>
    <w:rsid w:val="00E65233"/>
    <w:rsid w:val="00E670BB"/>
    <w:rsid w:val="00E72DB1"/>
    <w:rsid w:val="00E74EAD"/>
    <w:rsid w:val="00E7528A"/>
    <w:rsid w:val="00E8273F"/>
    <w:rsid w:val="00E82DB7"/>
    <w:rsid w:val="00E83825"/>
    <w:rsid w:val="00E84660"/>
    <w:rsid w:val="00E84C14"/>
    <w:rsid w:val="00E86BA4"/>
    <w:rsid w:val="00E92F6A"/>
    <w:rsid w:val="00E930AA"/>
    <w:rsid w:val="00E944D4"/>
    <w:rsid w:val="00E95AFE"/>
    <w:rsid w:val="00E9731E"/>
    <w:rsid w:val="00EA2848"/>
    <w:rsid w:val="00EA4A27"/>
    <w:rsid w:val="00EB4923"/>
    <w:rsid w:val="00EC234E"/>
    <w:rsid w:val="00EC286A"/>
    <w:rsid w:val="00EC348C"/>
    <w:rsid w:val="00ED2222"/>
    <w:rsid w:val="00ED2DFA"/>
    <w:rsid w:val="00ED2E16"/>
    <w:rsid w:val="00ED64FA"/>
    <w:rsid w:val="00ED689F"/>
    <w:rsid w:val="00ED77FE"/>
    <w:rsid w:val="00ED7C7D"/>
    <w:rsid w:val="00EE0F69"/>
    <w:rsid w:val="00EE3A82"/>
    <w:rsid w:val="00EE4B5E"/>
    <w:rsid w:val="00EE7F65"/>
    <w:rsid w:val="00EF1273"/>
    <w:rsid w:val="00EF1B4F"/>
    <w:rsid w:val="00F00BB6"/>
    <w:rsid w:val="00F0302A"/>
    <w:rsid w:val="00F038AE"/>
    <w:rsid w:val="00F06EB0"/>
    <w:rsid w:val="00F116A4"/>
    <w:rsid w:val="00F13A81"/>
    <w:rsid w:val="00F15DFF"/>
    <w:rsid w:val="00F20E2A"/>
    <w:rsid w:val="00F23C6A"/>
    <w:rsid w:val="00F2466C"/>
    <w:rsid w:val="00F267C3"/>
    <w:rsid w:val="00F30EE3"/>
    <w:rsid w:val="00F3728D"/>
    <w:rsid w:val="00F43CCB"/>
    <w:rsid w:val="00F5369B"/>
    <w:rsid w:val="00F5543C"/>
    <w:rsid w:val="00F62AFB"/>
    <w:rsid w:val="00F6327E"/>
    <w:rsid w:val="00F651F7"/>
    <w:rsid w:val="00F676CC"/>
    <w:rsid w:val="00F705F9"/>
    <w:rsid w:val="00F7069B"/>
    <w:rsid w:val="00F70B32"/>
    <w:rsid w:val="00F73D99"/>
    <w:rsid w:val="00F765CF"/>
    <w:rsid w:val="00F843BB"/>
    <w:rsid w:val="00FA127B"/>
    <w:rsid w:val="00FA36E7"/>
    <w:rsid w:val="00FA69A6"/>
    <w:rsid w:val="00FB0CA0"/>
    <w:rsid w:val="00FB3CCB"/>
    <w:rsid w:val="00FB5A39"/>
    <w:rsid w:val="00FB7C88"/>
    <w:rsid w:val="00FC6B72"/>
    <w:rsid w:val="00FD53FA"/>
    <w:rsid w:val="00FD62AF"/>
    <w:rsid w:val="00FD6898"/>
    <w:rsid w:val="00FD742E"/>
    <w:rsid w:val="00FE1003"/>
    <w:rsid w:val="00FE3F6C"/>
    <w:rsid w:val="00FE480C"/>
    <w:rsid w:val="00FE4E17"/>
    <w:rsid w:val="00FE5E2C"/>
    <w:rsid w:val="00FF2333"/>
    <w:rsid w:val="00FF4B75"/>
    <w:rsid w:val="00FF5488"/>
    <w:rsid w:val="00FF7558"/>
    <w:rsid w:val="00FF7EA8"/>
    <w:rsid w:val="05D4F3CC"/>
    <w:rsid w:val="05E4E93E"/>
    <w:rsid w:val="06BA5625"/>
    <w:rsid w:val="07851479"/>
    <w:rsid w:val="083FFCB7"/>
    <w:rsid w:val="0921254D"/>
    <w:rsid w:val="09971E55"/>
    <w:rsid w:val="0A65EC61"/>
    <w:rsid w:val="0C62DB03"/>
    <w:rsid w:val="0CE83FD5"/>
    <w:rsid w:val="10799F4A"/>
    <w:rsid w:val="110FD34C"/>
    <w:rsid w:val="115C8D11"/>
    <w:rsid w:val="12ABA3AD"/>
    <w:rsid w:val="13C75B2B"/>
    <w:rsid w:val="15C02045"/>
    <w:rsid w:val="15E3446F"/>
    <w:rsid w:val="19D55747"/>
    <w:rsid w:val="19D6921E"/>
    <w:rsid w:val="1A0742A2"/>
    <w:rsid w:val="1B1E6F58"/>
    <w:rsid w:val="1C5A7379"/>
    <w:rsid w:val="1D62CEC1"/>
    <w:rsid w:val="20B1E6B3"/>
    <w:rsid w:val="2125F716"/>
    <w:rsid w:val="212DE49C"/>
    <w:rsid w:val="2299079F"/>
    <w:rsid w:val="23681C50"/>
    <w:rsid w:val="260E3A78"/>
    <w:rsid w:val="26ED2B2C"/>
    <w:rsid w:val="27187D17"/>
    <w:rsid w:val="27885AB6"/>
    <w:rsid w:val="2B91A68F"/>
    <w:rsid w:val="2BC889D5"/>
    <w:rsid w:val="2EEC659D"/>
    <w:rsid w:val="30270FFE"/>
    <w:rsid w:val="3152F792"/>
    <w:rsid w:val="321EA2FC"/>
    <w:rsid w:val="358C727C"/>
    <w:rsid w:val="37CCAF11"/>
    <w:rsid w:val="388DE480"/>
    <w:rsid w:val="3AC2A463"/>
    <w:rsid w:val="3BC58542"/>
    <w:rsid w:val="3BF308E0"/>
    <w:rsid w:val="3C586A13"/>
    <w:rsid w:val="3E3AF4F9"/>
    <w:rsid w:val="4234C6C6"/>
    <w:rsid w:val="42599F44"/>
    <w:rsid w:val="43917795"/>
    <w:rsid w:val="4462CF65"/>
    <w:rsid w:val="45026521"/>
    <w:rsid w:val="456C6788"/>
    <w:rsid w:val="46417ABD"/>
    <w:rsid w:val="48410D65"/>
    <w:rsid w:val="4BC57607"/>
    <w:rsid w:val="4D77796D"/>
    <w:rsid w:val="4E377D5E"/>
    <w:rsid w:val="50279A9D"/>
    <w:rsid w:val="542B2185"/>
    <w:rsid w:val="54FE847C"/>
    <w:rsid w:val="5598CE83"/>
    <w:rsid w:val="56228081"/>
    <w:rsid w:val="5881EBFC"/>
    <w:rsid w:val="5BA66B1D"/>
    <w:rsid w:val="5BB2FD81"/>
    <w:rsid w:val="5CCDD100"/>
    <w:rsid w:val="5DB8DB6E"/>
    <w:rsid w:val="5F56CBE4"/>
    <w:rsid w:val="5FB03A6A"/>
    <w:rsid w:val="60B8BF70"/>
    <w:rsid w:val="633BA8F0"/>
    <w:rsid w:val="6395117D"/>
    <w:rsid w:val="63E6831C"/>
    <w:rsid w:val="64C3371E"/>
    <w:rsid w:val="67544709"/>
    <w:rsid w:val="67796CBB"/>
    <w:rsid w:val="67D14FE2"/>
    <w:rsid w:val="687397E5"/>
    <w:rsid w:val="6AC4434E"/>
    <w:rsid w:val="6B4EA85B"/>
    <w:rsid w:val="6FCA053D"/>
    <w:rsid w:val="7305EC7C"/>
    <w:rsid w:val="766EEE13"/>
    <w:rsid w:val="76915B02"/>
    <w:rsid w:val="76E78D4A"/>
    <w:rsid w:val="79C8FBC4"/>
    <w:rsid w:val="79EC4C75"/>
    <w:rsid w:val="7A69B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19078"/>
  <w15:docId w15:val="{50A1158A-5D37-430F-9C96-8E90A8F1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983DEC"/>
    <w:rPr>
      <w:rFonts w:eastAsia="Century Gothic"/>
    </w:rPr>
  </w:style>
  <w:style w:type="paragraph" w:styleId="Heading1">
    <w:name w:val="heading 1"/>
    <w:next w:val="Normal"/>
    <w:link w:val="Heading1Char"/>
    <w:uiPriority w:val="3"/>
    <w:qFormat/>
    <w:rsid w:val="00983DEC"/>
    <w:pPr>
      <w:keepNext/>
      <w:keepLines/>
      <w:numPr>
        <w:numId w:val="5"/>
      </w:numPr>
      <w:spacing w:before="360" w:after="190" w:line="280" w:lineRule="atLeast"/>
      <w:outlineLvl w:val="0"/>
    </w:pPr>
    <w:rPr>
      <w:rFonts w:asciiTheme="majorHAnsi" w:eastAsia="Century Gothic" w:hAnsiTheme="majorHAnsi" w:cs="Century Gothic"/>
      <w:b/>
      <w:color w:val="44546A"/>
      <w:sz w:val="32"/>
    </w:rPr>
  </w:style>
  <w:style w:type="paragraph" w:styleId="Heading2">
    <w:name w:val="heading 2"/>
    <w:basedOn w:val="Normal"/>
    <w:next w:val="Normal"/>
    <w:link w:val="Heading2Char"/>
    <w:uiPriority w:val="3"/>
    <w:qFormat/>
    <w:rsid w:val="00983DEC"/>
    <w:pPr>
      <w:numPr>
        <w:ilvl w:val="1"/>
        <w:numId w:val="5"/>
      </w:numPr>
      <w:spacing w:before="360" w:after="190"/>
      <w:outlineLvl w:val="1"/>
    </w:pPr>
    <w:rPr>
      <w:b/>
      <w:color w:val="44546A"/>
      <w:sz w:val="26"/>
    </w:rPr>
  </w:style>
  <w:style w:type="paragraph" w:styleId="Heading3">
    <w:name w:val="heading 3"/>
    <w:basedOn w:val="Normal"/>
    <w:next w:val="Normal"/>
    <w:link w:val="Heading3Char"/>
    <w:uiPriority w:val="3"/>
    <w:qFormat/>
    <w:rsid w:val="00983DEC"/>
    <w:pPr>
      <w:numPr>
        <w:ilvl w:val="2"/>
        <w:numId w:val="5"/>
      </w:numPr>
      <w:spacing w:before="360" w:after="190"/>
      <w:outlineLvl w:val="2"/>
    </w:pPr>
    <w:rPr>
      <w:rFonts w:asciiTheme="majorHAnsi" w:hAnsiTheme="majorHAnsi"/>
      <w:color w:val="44546A"/>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3"/>
    <w:rsid w:val="00983DEC"/>
    <w:rPr>
      <w:rFonts w:asciiTheme="majorHAnsi" w:eastAsia="Century Gothic" w:hAnsiTheme="majorHAnsi" w:cs="Century Gothic"/>
      <w:b/>
      <w:color w:val="44546A"/>
      <w:kern w:val="0"/>
      <w:sz w:val="32"/>
    </w:rPr>
  </w:style>
  <w:style w:type="character" w:customStyle="1" w:styleId="Heading2Char">
    <w:name w:val="Heading 2 Char"/>
    <w:basedOn w:val="DefaultParagraphFont"/>
    <w:link w:val="Heading2"/>
    <w:uiPriority w:val="3"/>
    <w:rsid w:val="00983DEC"/>
    <w:rPr>
      <w:rFonts w:eastAsia="Century Gothic"/>
      <w:b/>
      <w:color w:val="44546A"/>
      <w:kern w:val="0"/>
      <w:sz w:val="26"/>
    </w:rPr>
  </w:style>
  <w:style w:type="character" w:customStyle="1" w:styleId="Heading3Char">
    <w:name w:val="Heading 3 Char"/>
    <w:basedOn w:val="DefaultParagraphFont"/>
    <w:link w:val="Heading3"/>
    <w:uiPriority w:val="3"/>
    <w:rsid w:val="00983DEC"/>
    <w:rPr>
      <w:rFonts w:asciiTheme="majorHAnsi" w:eastAsia="Century Gothic" w:hAnsiTheme="majorHAnsi"/>
      <w:color w:val="44546A"/>
      <w:kern w:val="0"/>
      <w:sz w:val="24"/>
    </w:rPr>
  </w:style>
  <w:style w:type="paragraph" w:styleId="Header">
    <w:name w:val="header"/>
    <w:basedOn w:val="Normal"/>
    <w:link w:val="HeaderChar"/>
    <w:uiPriority w:val="99"/>
    <w:semiHidden/>
    <w:rsid w:val="00983DEC"/>
    <w:pPr>
      <w:tabs>
        <w:tab w:val="center" w:pos="4513"/>
        <w:tab w:val="right" w:pos="9026"/>
      </w:tabs>
    </w:pPr>
  </w:style>
  <w:style w:type="character" w:customStyle="1" w:styleId="HeaderChar">
    <w:name w:val="Header Char"/>
    <w:basedOn w:val="DefaultParagraphFont"/>
    <w:link w:val="Header"/>
    <w:uiPriority w:val="99"/>
    <w:semiHidden/>
    <w:rsid w:val="00983DEC"/>
    <w:rPr>
      <w:rFonts w:eastAsia="Century Gothic"/>
      <w:kern w:val="0"/>
    </w:rPr>
  </w:style>
  <w:style w:type="paragraph" w:styleId="Footer">
    <w:name w:val="footer"/>
    <w:basedOn w:val="Normal"/>
    <w:link w:val="FooterChar"/>
    <w:uiPriority w:val="10"/>
    <w:semiHidden/>
    <w:rsid w:val="00983DEC"/>
    <w:pPr>
      <w:tabs>
        <w:tab w:val="center" w:pos="4513"/>
        <w:tab w:val="right" w:pos="9026"/>
      </w:tabs>
      <w:spacing w:after="0"/>
      <w:jc w:val="right"/>
    </w:pPr>
    <w:rPr>
      <w:sz w:val="16"/>
    </w:rPr>
  </w:style>
  <w:style w:type="character" w:customStyle="1" w:styleId="FooterChar">
    <w:name w:val="Footer Char"/>
    <w:basedOn w:val="DefaultParagraphFont"/>
    <w:link w:val="Footer"/>
    <w:uiPriority w:val="10"/>
    <w:semiHidden/>
    <w:rsid w:val="00983DEC"/>
    <w:rPr>
      <w:rFonts w:eastAsia="Century Gothic"/>
      <w:kern w:val="0"/>
      <w:sz w:val="16"/>
    </w:rPr>
  </w:style>
  <w:style w:type="paragraph" w:styleId="NoSpacing">
    <w:name w:val="No Spacing"/>
    <w:basedOn w:val="Normal"/>
    <w:link w:val="NoSpacingChar"/>
    <w:uiPriority w:val="1"/>
    <w:qFormat/>
    <w:rsid w:val="00983DEC"/>
    <w:rPr>
      <w:rFonts w:eastAsia="Calibri"/>
    </w:rPr>
  </w:style>
  <w:style w:type="paragraph" w:styleId="ListParagraph">
    <w:name w:val="List Paragraph"/>
    <w:aliases w:val="Table bullet,Dot pt,F5 List Paragraph,List Paragraph1,No Spacing1,List Paragraph Char Char Char,Indicator Text,Colorful List - Accent 11,Numbered Para 1,Bullet 1,Bullet Points,List Paragraph2,MAIN CONTENT,Normal numbered,Párrafo de lista"/>
    <w:basedOn w:val="Normal"/>
    <w:link w:val="ListParagraphChar"/>
    <w:uiPriority w:val="7"/>
    <w:qFormat/>
    <w:rsid w:val="00983DEC"/>
    <w:pPr>
      <w:numPr>
        <w:ilvl w:val="3"/>
        <w:numId w:val="6"/>
      </w:numPr>
      <w:ind w:left="357" w:hanging="357"/>
      <w:contextualSpacing/>
    </w:pPr>
  </w:style>
  <w:style w:type="character" w:customStyle="1" w:styleId="NoSpacingChar">
    <w:name w:val="No Spacing Char"/>
    <w:basedOn w:val="DefaultParagraphFont"/>
    <w:link w:val="NoSpacing"/>
    <w:uiPriority w:val="1"/>
    <w:rsid w:val="00983DEC"/>
    <w:rPr>
      <w:rFonts w:eastAsia="Calibri" w:cs="Calibri"/>
      <w:kern w:val="0"/>
    </w:rPr>
  </w:style>
  <w:style w:type="table" w:customStyle="1" w:styleId="PlainTable">
    <w:name w:val="Plain Table"/>
    <w:basedOn w:val="TableNormal"/>
    <w:uiPriority w:val="99"/>
    <w:rsid w:val="00983DEC"/>
    <w:pPr>
      <w:spacing w:after="0"/>
    </w:pPr>
    <w:rPr>
      <w:rFonts w:eastAsia="Century Gothic"/>
    </w:rPr>
    <w:tblPr>
      <w:tblBorders>
        <w:top w:val="single" w:sz="4" w:space="0" w:color="4472C4" w:themeColor="accent1"/>
        <w:bottom w:val="single" w:sz="4" w:space="0" w:color="4472C4" w:themeColor="accent1"/>
        <w:insideH w:val="single" w:sz="4" w:space="0" w:color="D9D9D9" w:themeColor="background1" w:themeShade="D9"/>
        <w:insideV w:val="single" w:sz="4" w:space="0" w:color="D9D9D9" w:themeColor="background1" w:themeShade="D9"/>
      </w:tblBorders>
      <w:tblCellMar>
        <w:top w:w="85" w:type="dxa"/>
        <w:left w:w="85" w:type="dxa"/>
        <w:bottom w:w="85" w:type="dxa"/>
        <w:right w:w="85" w:type="dxa"/>
      </w:tblCellMar>
    </w:tblPr>
    <w:tcPr>
      <w:shd w:val="clear" w:color="auto" w:fill="auto"/>
    </w:tcPr>
    <w:tblStylePr w:type="firstRow">
      <w:rPr>
        <w:b w:val="0"/>
        <w:color w:val="FFFFFF" w:themeColor="background1"/>
      </w:rPr>
      <w:tblPr/>
      <w:tcPr>
        <w:tcBorders>
          <w:top w:val="single" w:sz="4" w:space="0" w:color="4472C4" w:themeColor="accent1"/>
          <w:left w:val="nil"/>
          <w:bottom w:val="single" w:sz="4" w:space="0" w:color="4472C4" w:themeColor="accent1"/>
          <w:right w:val="nil"/>
          <w:insideH w:val="single" w:sz="4" w:space="0" w:color="4472C4" w:themeColor="accent1"/>
          <w:insideV w:val="single" w:sz="4" w:space="0" w:color="D9D9D9" w:themeColor="background1" w:themeShade="D9"/>
        </w:tcBorders>
        <w:shd w:val="clear" w:color="auto" w:fill="auto"/>
      </w:tcPr>
    </w:tblStylePr>
  </w:style>
  <w:style w:type="paragraph" w:customStyle="1" w:styleId="PageHeading">
    <w:name w:val="Page Heading"/>
    <w:basedOn w:val="Normal"/>
    <w:next w:val="Heading1"/>
    <w:uiPriority w:val="1"/>
    <w:qFormat/>
    <w:rsid w:val="00983DEC"/>
    <w:pPr>
      <w:pageBreakBefore/>
      <w:spacing w:after="720"/>
      <w:jc w:val="center"/>
      <w:outlineLvl w:val="0"/>
    </w:pPr>
    <w:rPr>
      <w:rFonts w:asciiTheme="majorHAnsi" w:hAnsiTheme="majorHAnsi"/>
      <w:b/>
      <w:color w:val="44546A"/>
      <w:sz w:val="40"/>
    </w:rPr>
  </w:style>
  <w:style w:type="paragraph" w:customStyle="1" w:styleId="Default">
    <w:name w:val="Default"/>
    <w:rsid w:val="00983DEC"/>
    <w:pPr>
      <w:autoSpaceDE w:val="0"/>
      <w:autoSpaceDN w:val="0"/>
      <w:adjustRightInd w:val="0"/>
      <w:spacing w:after="0"/>
    </w:pPr>
    <w:rPr>
      <w:rFonts w:ascii="Arial" w:hAnsi="Arial" w:cs="Arial"/>
      <w:color w:val="000000"/>
      <w:sz w:val="24"/>
      <w:szCs w:val="24"/>
    </w:rPr>
  </w:style>
  <w:style w:type="character" w:customStyle="1" w:styleId="ListParagraphChar">
    <w:name w:val="List Paragraph Char"/>
    <w:aliases w:val="Table bullet Char,Dot pt Char,F5 List Paragraph Char,List Paragraph1 Char,No Spacing1 Char,List Paragraph Char Char Char Char,Indicator Text Char,Colorful List - Accent 11 Char,Numbered Para 1 Char,Bullet 1 Char,Bullet Points Char"/>
    <w:basedOn w:val="DefaultParagraphFont"/>
    <w:link w:val="ListParagraph"/>
    <w:uiPriority w:val="34"/>
    <w:qFormat/>
    <w:locked/>
    <w:rsid w:val="00983DEC"/>
    <w:rPr>
      <w:rFonts w:eastAsia="Century Gothic"/>
      <w:kern w:val="0"/>
    </w:rPr>
  </w:style>
  <w:style w:type="paragraph" w:styleId="FootnoteText">
    <w:name w:val="footnote text"/>
    <w:basedOn w:val="Normal"/>
    <w:link w:val="FootnoteTextChar"/>
    <w:uiPriority w:val="99"/>
    <w:semiHidden/>
    <w:unhideWhenUsed/>
    <w:rsid w:val="00347966"/>
    <w:pPr>
      <w:spacing w:after="0"/>
    </w:pPr>
    <w:rPr>
      <w:sz w:val="20"/>
      <w:szCs w:val="20"/>
    </w:rPr>
  </w:style>
  <w:style w:type="character" w:customStyle="1" w:styleId="FootnoteTextChar">
    <w:name w:val="Footnote Text Char"/>
    <w:basedOn w:val="DefaultParagraphFont"/>
    <w:link w:val="FootnoteText"/>
    <w:uiPriority w:val="99"/>
    <w:semiHidden/>
    <w:rsid w:val="00347966"/>
    <w:rPr>
      <w:rFonts w:eastAsia="Century Gothic"/>
      <w:kern w:val="0"/>
      <w:sz w:val="20"/>
      <w:szCs w:val="20"/>
    </w:rPr>
  </w:style>
  <w:style w:type="character" w:styleId="FootnoteReference">
    <w:name w:val="footnote reference"/>
    <w:basedOn w:val="DefaultParagraphFont"/>
    <w:uiPriority w:val="99"/>
    <w:semiHidden/>
    <w:unhideWhenUsed/>
    <w:rsid w:val="0034796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pPr>
    <w:tblPr>
      <w:tblStyleRowBandSize w:val="1"/>
      <w:tblStyleColBandSize w:val="1"/>
      <w:tblCellMar>
        <w:left w:w="115" w:type="dxa"/>
        <w:right w:w="115" w:type="dxa"/>
      </w:tblCellMar>
    </w:tblPr>
    <w:tcPr>
      <w:shd w:val="clear" w:color="auto" w:fill="auto"/>
    </w:tcPr>
    <w:tblStylePr w:type="firstRow">
      <w:rPr>
        <w:b w:val="0"/>
        <w:color w:val="FFFFFF"/>
      </w:rPr>
      <w:tblPr/>
      <w:tcPr>
        <w:tcBorders>
          <w:top w:val="single" w:sz="4" w:space="0" w:color="4472C4"/>
          <w:left w:val="nil"/>
          <w:bottom w:val="single" w:sz="4" w:space="0" w:color="4472C4"/>
          <w:right w:val="nil"/>
          <w:insideH w:val="single" w:sz="4" w:space="0" w:color="4472C4"/>
          <w:insideV w:val="single" w:sz="4" w:space="0" w:color="D9D9D9"/>
        </w:tcBorders>
        <w:shd w:val="clear" w:color="auto" w:fill="auto"/>
      </w:tc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entury Gothic"/>
      <w:sz w:val="20"/>
      <w:szCs w:val="20"/>
    </w:rPr>
  </w:style>
  <w:style w:type="character" w:styleId="CommentReference">
    <w:name w:val="annotation reference"/>
    <w:basedOn w:val="DefaultParagraphFont"/>
    <w:uiPriority w:val="99"/>
    <w:unhideWhenUsed/>
    <w:qFormat/>
    <w:rPr>
      <w:sz w:val="16"/>
      <w:szCs w:val="16"/>
    </w:rPr>
  </w:style>
  <w:style w:type="paragraph" w:styleId="BalloonText">
    <w:name w:val="Balloon Text"/>
    <w:basedOn w:val="Normal"/>
    <w:link w:val="BalloonTextChar"/>
    <w:uiPriority w:val="99"/>
    <w:semiHidden/>
    <w:unhideWhenUsed/>
    <w:rsid w:val="009373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3D3"/>
    <w:rPr>
      <w:rFonts w:ascii="Segoe UI" w:eastAsia="Century Gothic" w:hAnsi="Segoe UI" w:cs="Segoe UI"/>
      <w:sz w:val="18"/>
      <w:szCs w:val="18"/>
    </w:rPr>
  </w:style>
  <w:style w:type="paragraph" w:styleId="CommentSubject">
    <w:name w:val="annotation subject"/>
    <w:basedOn w:val="CommentText"/>
    <w:next w:val="CommentText"/>
    <w:link w:val="CommentSubjectChar"/>
    <w:uiPriority w:val="99"/>
    <w:semiHidden/>
    <w:unhideWhenUsed/>
    <w:rsid w:val="003B1B02"/>
    <w:rPr>
      <w:b/>
      <w:bCs/>
    </w:rPr>
  </w:style>
  <w:style w:type="character" w:customStyle="1" w:styleId="CommentSubjectChar">
    <w:name w:val="Comment Subject Char"/>
    <w:basedOn w:val="CommentTextChar"/>
    <w:link w:val="CommentSubject"/>
    <w:uiPriority w:val="99"/>
    <w:semiHidden/>
    <w:rsid w:val="003B1B02"/>
    <w:rPr>
      <w:rFonts w:eastAsia="Century Gothic"/>
      <w:b/>
      <w:bCs/>
      <w:sz w:val="20"/>
      <w:szCs w:val="20"/>
    </w:rPr>
  </w:style>
  <w:style w:type="paragraph" w:styleId="Revision">
    <w:name w:val="Revision"/>
    <w:hidden/>
    <w:uiPriority w:val="99"/>
    <w:semiHidden/>
    <w:rsid w:val="000C069F"/>
    <w:pPr>
      <w:spacing w:after="0"/>
    </w:pPr>
    <w:rPr>
      <w:rFonts w:eastAsia="Century Gothic"/>
    </w:rPr>
  </w:style>
  <w:style w:type="character" w:customStyle="1" w:styleId="ui-provider">
    <w:name w:val="ui-provider"/>
    <w:basedOn w:val="DefaultParagraphFont"/>
    <w:rsid w:val="009120BC"/>
  </w:style>
  <w:style w:type="character" w:styleId="Strong">
    <w:name w:val="Strong"/>
    <w:basedOn w:val="DefaultParagraphFont"/>
    <w:uiPriority w:val="22"/>
    <w:qFormat/>
    <w:rsid w:val="00B61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0324">
      <w:bodyDiv w:val="1"/>
      <w:marLeft w:val="0"/>
      <w:marRight w:val="0"/>
      <w:marTop w:val="0"/>
      <w:marBottom w:val="0"/>
      <w:divBdr>
        <w:top w:val="none" w:sz="0" w:space="0" w:color="auto"/>
        <w:left w:val="none" w:sz="0" w:space="0" w:color="auto"/>
        <w:bottom w:val="none" w:sz="0" w:space="0" w:color="auto"/>
        <w:right w:val="none" w:sz="0" w:space="0" w:color="auto"/>
      </w:divBdr>
    </w:div>
    <w:div w:id="398552602">
      <w:bodyDiv w:val="1"/>
      <w:marLeft w:val="0"/>
      <w:marRight w:val="0"/>
      <w:marTop w:val="0"/>
      <w:marBottom w:val="0"/>
      <w:divBdr>
        <w:top w:val="none" w:sz="0" w:space="0" w:color="auto"/>
        <w:left w:val="none" w:sz="0" w:space="0" w:color="auto"/>
        <w:bottom w:val="none" w:sz="0" w:space="0" w:color="auto"/>
        <w:right w:val="none" w:sz="0" w:space="0" w:color="auto"/>
      </w:divBdr>
    </w:div>
    <w:div w:id="782186108">
      <w:bodyDiv w:val="1"/>
      <w:marLeft w:val="0"/>
      <w:marRight w:val="0"/>
      <w:marTop w:val="0"/>
      <w:marBottom w:val="0"/>
      <w:divBdr>
        <w:top w:val="none" w:sz="0" w:space="0" w:color="auto"/>
        <w:left w:val="none" w:sz="0" w:space="0" w:color="auto"/>
        <w:bottom w:val="none" w:sz="0" w:space="0" w:color="auto"/>
        <w:right w:val="none" w:sz="0" w:space="0" w:color="auto"/>
      </w:divBdr>
    </w:div>
    <w:div w:id="832254974">
      <w:bodyDiv w:val="1"/>
      <w:marLeft w:val="0"/>
      <w:marRight w:val="0"/>
      <w:marTop w:val="0"/>
      <w:marBottom w:val="0"/>
      <w:divBdr>
        <w:top w:val="none" w:sz="0" w:space="0" w:color="auto"/>
        <w:left w:val="none" w:sz="0" w:space="0" w:color="auto"/>
        <w:bottom w:val="none" w:sz="0" w:space="0" w:color="auto"/>
        <w:right w:val="none" w:sz="0" w:space="0" w:color="auto"/>
      </w:divBdr>
    </w:div>
    <w:div w:id="852840930">
      <w:bodyDiv w:val="1"/>
      <w:marLeft w:val="0"/>
      <w:marRight w:val="0"/>
      <w:marTop w:val="0"/>
      <w:marBottom w:val="0"/>
      <w:divBdr>
        <w:top w:val="none" w:sz="0" w:space="0" w:color="auto"/>
        <w:left w:val="none" w:sz="0" w:space="0" w:color="auto"/>
        <w:bottom w:val="none" w:sz="0" w:space="0" w:color="auto"/>
        <w:right w:val="none" w:sz="0" w:space="0" w:color="auto"/>
      </w:divBdr>
    </w:div>
    <w:div w:id="1032801679">
      <w:bodyDiv w:val="1"/>
      <w:marLeft w:val="0"/>
      <w:marRight w:val="0"/>
      <w:marTop w:val="0"/>
      <w:marBottom w:val="0"/>
      <w:divBdr>
        <w:top w:val="none" w:sz="0" w:space="0" w:color="auto"/>
        <w:left w:val="none" w:sz="0" w:space="0" w:color="auto"/>
        <w:bottom w:val="none" w:sz="0" w:space="0" w:color="auto"/>
        <w:right w:val="none" w:sz="0" w:space="0" w:color="auto"/>
      </w:divBdr>
    </w:div>
    <w:div w:id="1091201019">
      <w:bodyDiv w:val="1"/>
      <w:marLeft w:val="0"/>
      <w:marRight w:val="0"/>
      <w:marTop w:val="0"/>
      <w:marBottom w:val="0"/>
      <w:divBdr>
        <w:top w:val="none" w:sz="0" w:space="0" w:color="auto"/>
        <w:left w:val="none" w:sz="0" w:space="0" w:color="auto"/>
        <w:bottom w:val="none" w:sz="0" w:space="0" w:color="auto"/>
        <w:right w:val="none" w:sz="0" w:space="0" w:color="auto"/>
      </w:divBdr>
    </w:div>
    <w:div w:id="1700744266">
      <w:bodyDiv w:val="1"/>
      <w:marLeft w:val="0"/>
      <w:marRight w:val="0"/>
      <w:marTop w:val="0"/>
      <w:marBottom w:val="0"/>
      <w:divBdr>
        <w:top w:val="none" w:sz="0" w:space="0" w:color="auto"/>
        <w:left w:val="none" w:sz="0" w:space="0" w:color="auto"/>
        <w:bottom w:val="none" w:sz="0" w:space="0" w:color="auto"/>
        <w:right w:val="none" w:sz="0" w:space="0" w:color="auto"/>
      </w:divBdr>
    </w:div>
    <w:div w:id="184806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74484E6471C458F1433A614004FB0" ma:contentTypeVersion="18" ma:contentTypeDescription="Create a new document." ma:contentTypeScope="" ma:versionID="f9d308788d207310e0a9d3e46bea15c2">
  <xsd:schema xmlns:xsd="http://www.w3.org/2001/XMLSchema" xmlns:xs="http://www.w3.org/2001/XMLSchema" xmlns:p="http://schemas.microsoft.com/office/2006/metadata/properties" xmlns:ns2="086e8d90-b1cf-4189-9b2f-ae030d5e16a9" xmlns:ns3="dc38c545-a6be-4a86-9def-2acfd0db9acf" targetNamespace="http://schemas.microsoft.com/office/2006/metadata/properties" ma:root="true" ma:fieldsID="3985491a292b68e128604f8e36a5fd03" ns2:_="" ns3:_="">
    <xsd:import namespace="086e8d90-b1cf-4189-9b2f-ae030d5e16a9"/>
    <xsd:import namespace="dc38c545-a6be-4a86-9def-2acfd0db9a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e8d90-b1cf-4189-9b2f-ae030d5e1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2d92b5-746e-49a8-aa32-1dfdc1be39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38c545-a6be-4a86-9def-2acfd0db9a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309aa1-a8b2-445e-bd79-61f83e1a3718}" ma:internalName="TaxCatchAll" ma:showField="CatchAllData" ma:web="dc38c545-a6be-4a86-9def-2acfd0db9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6e8d90-b1cf-4189-9b2f-ae030d5e16a9">
      <Terms xmlns="http://schemas.microsoft.com/office/infopath/2007/PartnerControls"/>
    </lcf76f155ced4ddcb4097134ff3c332f>
    <TaxCatchAll xmlns="dc38c545-a6be-4a86-9def-2acfd0db9acf"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YdgOH2nSdg3fteX1sAGdt1Mvw==">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</go:docsCustomData>
</go:gDocsCustomXmlDataStorage>
</file>

<file path=customXml/itemProps1.xml><?xml version="1.0" encoding="utf-8"?>
<ds:datastoreItem xmlns:ds="http://schemas.openxmlformats.org/officeDocument/2006/customXml" ds:itemID="{FC640A83-9553-43E0-B2A7-D80638610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e8d90-b1cf-4189-9b2f-ae030d5e16a9"/>
    <ds:schemaRef ds:uri="dc38c545-a6be-4a86-9def-2acfd0db9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FC1E6-A1A0-4CC4-801B-34166B8B69E7}">
  <ds:schemaRefs>
    <ds:schemaRef ds:uri="http://schemas.microsoft.com/sharepoint/v3/contenttype/forms"/>
  </ds:schemaRefs>
</ds:datastoreItem>
</file>

<file path=customXml/itemProps3.xml><?xml version="1.0" encoding="utf-8"?>
<ds:datastoreItem xmlns:ds="http://schemas.openxmlformats.org/officeDocument/2006/customXml" ds:itemID="{5251A3E6-26F7-4650-B6E6-ACFF7D0B4F8D}">
  <ds:schemaRefs>
    <ds:schemaRef ds:uri="http://schemas.microsoft.com/office/2006/metadata/properties"/>
    <ds:schemaRef ds:uri="http://schemas.microsoft.com/office/infopath/2007/PartnerControls"/>
    <ds:schemaRef ds:uri="086e8d90-b1cf-4189-9b2f-ae030d5e16a9"/>
    <ds:schemaRef ds:uri="dc38c545-a6be-4a86-9def-2acfd0db9acf"/>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1882</Words>
  <Characters>11886</Characters>
  <Application>Microsoft Office Word</Application>
  <DocSecurity>0</DocSecurity>
  <Lines>321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Australian Humanitarian Partnership’s Activations on Food Security and Livelihoods in Ethiopia and Kenya: Joint Management Response</dc:title>
  <dc:subject/>
  <dc:creator>Australian Government Department of Foreign Affairs and Trade</dc:creator>
  <cp:keywords>[SEC=OFFICIAL]</cp:keywords>
  <dc:description/>
  <cp:lastModifiedBy>Patrick Baggoley</cp:lastModifiedBy>
  <cp:revision>5</cp:revision>
  <cp:lastPrinted>2024-11-17T23:39:00Z</cp:lastPrinted>
  <dcterms:created xsi:type="dcterms:W3CDTF">2024-12-11T03:45:00Z</dcterms:created>
  <dcterms:modified xsi:type="dcterms:W3CDTF">2024-12-11T04:52:00Z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0x010100BFA74484E6471C458F1433A614004FB0</vt:lpwstr>
  </property>
  <property fmtid="{D5CDD505-2E9C-101B-9397-08002B2CF9AE}" pid="3" name="MediaServiceImageTags">
    <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v=2022.1;a=SHA256;h=27BE2DE57182CD9DF54989DF25D804B52E3F28844C428EAF16C4429E473FA157</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2023-09-24T03:08:36Z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E5329D78ADFF18985C404F3A4015F7B7C209C4C5</vt:lpwstr>
  </property>
  <property fmtid="{D5CDD505-2E9C-101B-9397-08002B2CF9AE}" pid="16" name="PM_DisplayValueSecClassificationWithQualifier">
    <vt:lpwstr>OFFICIAL</vt:lpwstr>
  </property>
  <property fmtid="{D5CDD505-2E9C-101B-9397-08002B2CF9AE}" pid="17" name="PM_Originating_FileId">
    <vt:lpwstr>1BC411B8D8D94590B7AF5D01C6DFB865</vt:lpwstr>
  </property>
  <property fmtid="{D5CDD505-2E9C-101B-9397-08002B2CF9AE}" pid="18" name="PM_ProtectiveMarkingValue_Foot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C427463A240001568B1E728057080C091949066E05DD342FA6B5B9F6FF33F8D6</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EB4C22B11BD777E7B359257B66816ABA</vt:lpwstr>
  </property>
  <property fmtid="{D5CDD505-2E9C-101B-9397-08002B2CF9AE}" pid="27" name="PM_Hash_Salt">
    <vt:lpwstr>796DEB49C2B9668EDA5D0CCFAD9F5551</vt:lpwstr>
  </property>
  <property fmtid="{D5CDD505-2E9C-101B-9397-08002B2CF9AE}" pid="28" name="PM_Hash_SHA1">
    <vt:lpwstr>E98B685397912A7DF33B428903EFE4B004A77E44</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SIP_Label_325f0dbb-9046-4e3a-8fcd-929631697d96_Enabled">
    <vt:lpwstr>true</vt:lpwstr>
  </property>
  <property fmtid="{D5CDD505-2E9C-101B-9397-08002B2CF9AE}" pid="32" name="MSIP_Label_325f0dbb-9046-4e3a-8fcd-929631697d96_SetDate">
    <vt:lpwstr>2023-11-09T00:55:27Z</vt:lpwstr>
  </property>
  <property fmtid="{D5CDD505-2E9C-101B-9397-08002B2CF9AE}" pid="33" name="MSIP_Label_325f0dbb-9046-4e3a-8fcd-929631697d96_Method">
    <vt:lpwstr>Standard</vt:lpwstr>
  </property>
  <property fmtid="{D5CDD505-2E9C-101B-9397-08002B2CF9AE}" pid="34" name="MSIP_Label_325f0dbb-9046-4e3a-8fcd-929631697d96_Name">
    <vt:lpwstr>325f0dbb-9046-4e3a-8fcd-929631697d96</vt:lpwstr>
  </property>
  <property fmtid="{D5CDD505-2E9C-101B-9397-08002B2CF9AE}" pid="35" name="MSIP_Label_325f0dbb-9046-4e3a-8fcd-929631697d96_SiteId">
    <vt:lpwstr>cc88b222-c0ce-4f33-96a1-7a19c3a08e66</vt:lpwstr>
  </property>
  <property fmtid="{D5CDD505-2E9C-101B-9397-08002B2CF9AE}" pid="36" name="MSIP_Label_325f0dbb-9046-4e3a-8fcd-929631697d96_ActionId">
    <vt:lpwstr>a1088287-0920-47c4-bec2-71985edcb287</vt:lpwstr>
  </property>
  <property fmtid="{D5CDD505-2E9C-101B-9397-08002B2CF9AE}" pid="37" name="MSIP_Label_325f0dbb-9046-4e3a-8fcd-929631697d96_ContentBits">
    <vt:lpwstr>0</vt:lpwstr>
  </property>
</Properties>
</file>