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1BF" w14:textId="252A3AC1" w:rsidR="005577FB" w:rsidRPr="00FE35C8" w:rsidRDefault="00E75600" w:rsidP="00FE35C8">
      <w:pPr>
        <w:pStyle w:val="Heading1"/>
      </w:pPr>
      <w:bookmarkStart w:id="0" w:name="_Int_fp4Dqz3f"/>
      <w:r w:rsidRPr="00FE35C8">
        <w:t>Management Response to the Independent Mid-Term Review of the</w:t>
      </w:r>
      <w:bookmarkEnd w:id="0"/>
      <w:r w:rsidR="009C7189">
        <w:br/>
      </w:r>
      <w:r w:rsidR="005577FB" w:rsidRPr="00FE35C8">
        <w:t>Indonesia-Australia Comprehensive Economic Partnership Agreement Economic Cooperation Program (IA-CEPA ECP)</w:t>
      </w:r>
    </w:p>
    <w:p w14:paraId="7D602E46" w14:textId="77777777" w:rsidR="00013E5E" w:rsidRPr="00F120DF" w:rsidRDefault="00013E5E" w:rsidP="00F120DF">
      <w:pPr>
        <w:pStyle w:val="Title"/>
        <w:jc w:val="center"/>
        <w:rPr>
          <w:b/>
          <w:bCs/>
          <w:sz w:val="14"/>
          <w:szCs w:val="14"/>
        </w:rPr>
      </w:pPr>
    </w:p>
    <w:p w14:paraId="26C552CC" w14:textId="2074A7DF" w:rsidR="008671A8" w:rsidRDefault="00582CBC" w:rsidP="7A3402DA">
      <w:pPr>
        <w:spacing w:after="0"/>
      </w:pPr>
      <w:r w:rsidRPr="7A3402DA">
        <w:rPr>
          <w:sz w:val="23"/>
          <w:szCs w:val="23"/>
        </w:rPr>
        <w:t>DFAT commissioned an independent mid-term review (MTR) of the Indonesia-Australia Comprehensive Economic Partnership Agreement Economic Cooperation Program (IA-CEPA ECP)</w:t>
      </w:r>
      <w:r w:rsidR="07E111D8" w:rsidRPr="7A3402DA">
        <w:rPr>
          <w:sz w:val="23"/>
          <w:szCs w:val="23"/>
        </w:rPr>
        <w:t xml:space="preserve">, </w:t>
      </w:r>
      <w:r w:rsidRPr="7A3402DA">
        <w:rPr>
          <w:sz w:val="23"/>
          <w:szCs w:val="23"/>
        </w:rPr>
        <w:t>known as Katalis, between September</w:t>
      </w:r>
      <w:r w:rsidR="006B1246">
        <w:rPr>
          <w:sz w:val="23"/>
          <w:szCs w:val="23"/>
        </w:rPr>
        <w:t xml:space="preserve"> 2023</w:t>
      </w:r>
      <w:r w:rsidR="00BE009B">
        <w:rPr>
          <w:sz w:val="23"/>
          <w:szCs w:val="23"/>
        </w:rPr>
        <w:t xml:space="preserve"> </w:t>
      </w:r>
      <w:r w:rsidRPr="7A3402DA">
        <w:rPr>
          <w:sz w:val="23"/>
          <w:szCs w:val="23"/>
        </w:rPr>
        <w:t xml:space="preserve">- </w:t>
      </w:r>
      <w:r w:rsidR="00710A5A" w:rsidRPr="7A3402DA">
        <w:rPr>
          <w:sz w:val="23"/>
          <w:szCs w:val="23"/>
        </w:rPr>
        <w:t>April</w:t>
      </w:r>
      <w:r w:rsidRPr="7A3402DA">
        <w:rPr>
          <w:sz w:val="23"/>
          <w:szCs w:val="23"/>
        </w:rPr>
        <w:t xml:space="preserve"> 202</w:t>
      </w:r>
      <w:r w:rsidR="006B1246">
        <w:rPr>
          <w:sz w:val="23"/>
          <w:szCs w:val="23"/>
        </w:rPr>
        <w:t>4</w:t>
      </w:r>
      <w:r w:rsidRPr="7A3402DA">
        <w:rPr>
          <w:sz w:val="23"/>
          <w:szCs w:val="23"/>
        </w:rPr>
        <w:t>. The review assessed the program’s progress to date</w:t>
      </w:r>
      <w:r w:rsidR="000E1D50" w:rsidRPr="7A3402DA">
        <w:rPr>
          <w:sz w:val="23"/>
          <w:szCs w:val="23"/>
        </w:rPr>
        <w:t xml:space="preserve">, </w:t>
      </w:r>
      <w:r w:rsidRPr="7A3402DA">
        <w:rPr>
          <w:sz w:val="23"/>
          <w:szCs w:val="23"/>
        </w:rPr>
        <w:t xml:space="preserve">identified </w:t>
      </w:r>
      <w:r w:rsidR="08A7151C" w:rsidRPr="7A3402DA">
        <w:rPr>
          <w:sz w:val="23"/>
          <w:szCs w:val="23"/>
        </w:rPr>
        <w:t xml:space="preserve">issues to consider during the </w:t>
      </w:r>
      <w:r w:rsidRPr="7A3402DA">
        <w:rPr>
          <w:sz w:val="23"/>
          <w:szCs w:val="23"/>
        </w:rPr>
        <w:t>remainder of Katalis’ current phase</w:t>
      </w:r>
      <w:r w:rsidR="18C4A509" w:rsidRPr="7A3402DA">
        <w:rPr>
          <w:sz w:val="23"/>
          <w:szCs w:val="23"/>
        </w:rPr>
        <w:t xml:space="preserve"> (to December 2025)</w:t>
      </w:r>
      <w:r w:rsidR="000E1D50" w:rsidRPr="7A3402DA">
        <w:rPr>
          <w:sz w:val="23"/>
          <w:szCs w:val="23"/>
        </w:rPr>
        <w:t xml:space="preserve">, and </w:t>
      </w:r>
      <w:r w:rsidR="008671A8">
        <w:rPr>
          <w:sz w:val="23"/>
          <w:szCs w:val="23"/>
        </w:rPr>
        <w:t>assessed</w:t>
      </w:r>
      <w:r w:rsidR="0ABE17C1" w:rsidRPr="7A3402DA">
        <w:t xml:space="preserve"> </w:t>
      </w:r>
      <w:r w:rsidR="00684263">
        <w:t xml:space="preserve">the feasibility </w:t>
      </w:r>
      <w:r w:rsidR="008671A8">
        <w:t>of and options for</w:t>
      </w:r>
      <w:r w:rsidR="00BE009B">
        <w:t xml:space="preserve"> </w:t>
      </w:r>
      <w:r w:rsidR="00684263">
        <w:t>a further phase of Katalis</w:t>
      </w:r>
      <w:r w:rsidR="00E75600" w:rsidRPr="7A3402DA">
        <w:t xml:space="preserve"> beyond the first five-year phase</w:t>
      </w:r>
      <w:r w:rsidR="003C5DED" w:rsidRPr="7A3402DA">
        <w:t>.</w:t>
      </w:r>
      <w:r w:rsidR="00431A6C" w:rsidRPr="7A3402DA">
        <w:t xml:space="preserve"> </w:t>
      </w:r>
      <w:r w:rsidR="00684263">
        <w:t xml:space="preserve"> </w:t>
      </w:r>
      <w:r w:rsidR="00684263" w:rsidRPr="00684263">
        <w:t xml:space="preserve">DFAT welcomes the findings of the </w:t>
      </w:r>
      <w:r w:rsidR="00BE009B">
        <w:t xml:space="preserve">MTR </w:t>
      </w:r>
      <w:r w:rsidR="00684263" w:rsidRPr="00684263">
        <w:t xml:space="preserve">and the opportunity to strengthen the program </w:t>
      </w:r>
      <w:r w:rsidR="008671A8">
        <w:t>for its final</w:t>
      </w:r>
      <w:r w:rsidR="00684263" w:rsidRPr="00684263">
        <w:t xml:space="preserve"> year and in any</w:t>
      </w:r>
      <w:r w:rsidR="008671A8">
        <w:t xml:space="preserve"> further</w:t>
      </w:r>
      <w:r w:rsidR="00684263" w:rsidRPr="00684263">
        <w:t xml:space="preserve"> </w:t>
      </w:r>
      <w:r w:rsidR="008671A8">
        <w:t>phases</w:t>
      </w:r>
      <w:r w:rsidR="00684263" w:rsidRPr="00684263">
        <w:t xml:space="preserve">. </w:t>
      </w:r>
      <w:r w:rsidR="008671A8" w:rsidRPr="008671A8">
        <w:t>DFAT wishes to thank implementing partners and participants of Katalis for engagement</w:t>
      </w:r>
      <w:r w:rsidR="008671A8">
        <w:t xml:space="preserve"> and efforts</w:t>
      </w:r>
      <w:r w:rsidR="008671A8" w:rsidRPr="008671A8">
        <w:t xml:space="preserve"> to date</w:t>
      </w:r>
      <w:r w:rsidR="008671A8">
        <w:t>.</w:t>
      </w:r>
    </w:p>
    <w:p w14:paraId="559B3A7D" w14:textId="322D0644" w:rsidR="00E75600" w:rsidRDefault="00E75600" w:rsidP="00FE35C8">
      <w:pPr>
        <w:spacing w:before="240" w:after="0"/>
      </w:pPr>
      <w:r w:rsidRPr="7A3402DA">
        <w:t xml:space="preserve">DFAT’s response to the recommendations </w:t>
      </w:r>
      <w:r w:rsidR="00F63DAA" w:rsidRPr="7A3402DA">
        <w:t>is as follow</w:t>
      </w:r>
      <w:r w:rsidR="00431A6C" w:rsidRPr="7A3402DA">
        <w:t>s</w:t>
      </w:r>
      <w:r w:rsidR="00F63DAA" w:rsidRPr="7A3402DA">
        <w:t xml:space="preserve">: </w:t>
      </w:r>
    </w:p>
    <w:p w14:paraId="2FFAD5EE" w14:textId="5E211460" w:rsidR="00382081" w:rsidRPr="005E4E95" w:rsidRDefault="00382081" w:rsidP="00FE35C8">
      <w:pPr>
        <w:pStyle w:val="Heading2"/>
        <w:spacing w:before="360"/>
      </w:pPr>
      <w:r w:rsidRPr="005E4E95">
        <w:t xml:space="preserve">Recommendations for </w:t>
      </w:r>
      <w:r w:rsidR="5DE3334D" w:rsidRPr="005E4E95">
        <w:t xml:space="preserve">the remainder of </w:t>
      </w:r>
      <w:r w:rsidR="00006E60" w:rsidRPr="005E4E95">
        <w:t>Katalis’</w:t>
      </w:r>
      <w:r w:rsidRPr="005E4E95">
        <w:t xml:space="preserve"> </w:t>
      </w:r>
      <w:r w:rsidR="1508A438" w:rsidRPr="005E4E95">
        <w:t xml:space="preserve">current phase </w:t>
      </w:r>
    </w:p>
    <w:tbl>
      <w:tblPr>
        <w:tblStyle w:val="TableGrid"/>
        <w:tblW w:w="14089" w:type="dxa"/>
        <w:tblLook w:val="04A0" w:firstRow="1" w:lastRow="0" w:firstColumn="1" w:lastColumn="0" w:noHBand="0" w:noVBand="1"/>
      </w:tblPr>
      <w:tblGrid>
        <w:gridCol w:w="3405"/>
        <w:gridCol w:w="1167"/>
        <w:gridCol w:w="4694"/>
        <w:gridCol w:w="3473"/>
        <w:gridCol w:w="1350"/>
      </w:tblGrid>
      <w:tr w:rsidR="00E75600" w:rsidRPr="00E961D9" w14:paraId="1E36CEF1" w14:textId="77777777" w:rsidTr="7A3402DA">
        <w:trPr>
          <w:tblHeader/>
        </w:trPr>
        <w:tc>
          <w:tcPr>
            <w:tcW w:w="3405" w:type="dxa"/>
            <w:shd w:val="clear" w:color="auto" w:fill="D9E2F3" w:themeFill="accent1" w:themeFillTint="33"/>
          </w:tcPr>
          <w:p w14:paraId="3A78ACA2" w14:textId="7BC90099" w:rsidR="00E75600" w:rsidRPr="00E961D9" w:rsidRDefault="00E75600" w:rsidP="003E43A5">
            <w:pPr>
              <w:jc w:val="center"/>
              <w:rPr>
                <w:rFonts w:cstheme="minorHAnsi"/>
                <w:b/>
                <w:bCs/>
              </w:rPr>
            </w:pPr>
            <w:r w:rsidRPr="00E961D9">
              <w:rPr>
                <w:rFonts w:cstheme="minorHAnsi"/>
                <w:b/>
                <w:bCs/>
              </w:rPr>
              <w:t>Recommendations</w:t>
            </w:r>
          </w:p>
        </w:tc>
        <w:tc>
          <w:tcPr>
            <w:tcW w:w="1167" w:type="dxa"/>
            <w:shd w:val="clear" w:color="auto" w:fill="D9E2F3" w:themeFill="accent1" w:themeFillTint="33"/>
          </w:tcPr>
          <w:p w14:paraId="42838ED4" w14:textId="6082E271" w:rsidR="00E75600" w:rsidRPr="00432CD1" w:rsidRDefault="00E75600" w:rsidP="003E43A5">
            <w:pPr>
              <w:jc w:val="center"/>
              <w:rPr>
                <w:rFonts w:cstheme="minorHAnsi"/>
                <w:b/>
                <w:bCs/>
              </w:rPr>
            </w:pPr>
            <w:r w:rsidRPr="00432CD1">
              <w:rPr>
                <w:rFonts w:cstheme="minorHAnsi"/>
                <w:b/>
                <w:bCs/>
              </w:rPr>
              <w:t>Response</w:t>
            </w:r>
          </w:p>
        </w:tc>
        <w:tc>
          <w:tcPr>
            <w:tcW w:w="4694" w:type="dxa"/>
            <w:shd w:val="clear" w:color="auto" w:fill="D9E2F3" w:themeFill="accent1" w:themeFillTint="33"/>
          </w:tcPr>
          <w:p w14:paraId="4C0B3BE6" w14:textId="120CB3F1" w:rsidR="00E75600" w:rsidRPr="00E961D9" w:rsidRDefault="00E75600" w:rsidP="003E43A5">
            <w:pPr>
              <w:jc w:val="center"/>
              <w:rPr>
                <w:rFonts w:cstheme="minorHAnsi"/>
                <w:b/>
                <w:bCs/>
              </w:rPr>
            </w:pPr>
            <w:r w:rsidRPr="00E961D9">
              <w:rPr>
                <w:rFonts w:cstheme="minorHAnsi"/>
                <w:b/>
                <w:bCs/>
              </w:rPr>
              <w:t>Explanation</w:t>
            </w:r>
          </w:p>
        </w:tc>
        <w:tc>
          <w:tcPr>
            <w:tcW w:w="3473" w:type="dxa"/>
            <w:shd w:val="clear" w:color="auto" w:fill="D9E2F3" w:themeFill="accent1" w:themeFillTint="33"/>
          </w:tcPr>
          <w:p w14:paraId="6605BB12" w14:textId="7134445C" w:rsidR="00E75600" w:rsidRPr="00E961D9" w:rsidRDefault="00E75600" w:rsidP="003E43A5">
            <w:pPr>
              <w:jc w:val="center"/>
              <w:rPr>
                <w:rFonts w:cstheme="minorHAnsi"/>
                <w:b/>
                <w:bCs/>
              </w:rPr>
            </w:pPr>
            <w:r w:rsidRPr="00E961D9">
              <w:rPr>
                <w:rFonts w:cstheme="minorHAnsi"/>
                <w:b/>
                <w:bCs/>
              </w:rPr>
              <w:t>Action Plan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04E69D8D" w14:textId="2B04CCC5" w:rsidR="00E75600" w:rsidRPr="00E961D9" w:rsidRDefault="00E75600" w:rsidP="003E43A5">
            <w:pPr>
              <w:jc w:val="center"/>
              <w:rPr>
                <w:rFonts w:cstheme="minorHAnsi"/>
                <w:b/>
                <w:bCs/>
              </w:rPr>
            </w:pPr>
            <w:r w:rsidRPr="00E961D9">
              <w:rPr>
                <w:rFonts w:cstheme="minorHAnsi"/>
                <w:b/>
                <w:bCs/>
              </w:rPr>
              <w:t>Timeframe</w:t>
            </w:r>
          </w:p>
        </w:tc>
      </w:tr>
      <w:tr w:rsidR="00E75600" w14:paraId="4E57404C" w14:textId="77777777" w:rsidTr="00432CD1">
        <w:tc>
          <w:tcPr>
            <w:tcW w:w="3405" w:type="dxa"/>
          </w:tcPr>
          <w:p w14:paraId="37ADA72D" w14:textId="12785314" w:rsidR="001D01D7" w:rsidRPr="00FE35C8" w:rsidRDefault="153C5B9C" w:rsidP="00BD1A78">
            <w:pPr>
              <w:pStyle w:val="ListParagraph"/>
              <w:numPr>
                <w:ilvl w:val="0"/>
                <w:numId w:val="20"/>
              </w:numPr>
              <w:rPr>
                <w:b/>
                <w:bCs/>
              </w:rPr>
            </w:pPr>
            <w:r w:rsidRPr="7A3402DA">
              <w:rPr>
                <w:b/>
                <w:bCs/>
              </w:rPr>
              <w:t xml:space="preserve">Update the </w:t>
            </w:r>
            <w:r w:rsidR="23ED971A" w:rsidRPr="7A3402DA">
              <w:rPr>
                <w:b/>
                <w:bCs/>
              </w:rPr>
              <w:t xml:space="preserve">program logic </w:t>
            </w:r>
            <w:r w:rsidR="2FF82DE6" w:rsidRPr="7A3402DA">
              <w:rPr>
                <w:b/>
                <w:bCs/>
              </w:rPr>
              <w:t>to reflect program evolution</w:t>
            </w:r>
          </w:p>
        </w:tc>
        <w:tc>
          <w:tcPr>
            <w:tcW w:w="1167" w:type="dxa"/>
            <w:shd w:val="clear" w:color="auto" w:fill="E2EFD9" w:themeFill="accent6" w:themeFillTint="33"/>
          </w:tcPr>
          <w:p w14:paraId="1BF348F5" w14:textId="31182150" w:rsidR="00E75600" w:rsidRPr="00432CD1" w:rsidRDefault="00E961D9" w:rsidP="00BD1A78">
            <w:pPr>
              <w:rPr>
                <w:rFonts w:cstheme="minorHAnsi"/>
                <w:b/>
                <w:bCs/>
              </w:rPr>
            </w:pPr>
            <w:r w:rsidRPr="00432CD1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4694" w:type="dxa"/>
          </w:tcPr>
          <w:p w14:paraId="56EF809C" w14:textId="2D17E223" w:rsidR="00A70D09" w:rsidRPr="0008786A" w:rsidRDefault="70EFE1F0" w:rsidP="00FE35C8">
            <w:pPr>
              <w:spacing w:line="259" w:lineRule="auto"/>
              <w:rPr>
                <w:rFonts w:cstheme="minorHAnsi"/>
              </w:rPr>
            </w:pPr>
            <w:r w:rsidRPr="7A3402DA">
              <w:t xml:space="preserve">The logic presented in the </w:t>
            </w:r>
            <w:r w:rsidR="0B9197CB" w:rsidRPr="7A3402DA">
              <w:t>program d</w:t>
            </w:r>
            <w:r w:rsidRPr="7A3402DA">
              <w:t xml:space="preserve">esign </w:t>
            </w:r>
            <w:r w:rsidR="471F698C" w:rsidRPr="7A3402DA">
              <w:t xml:space="preserve">should be </w:t>
            </w:r>
            <w:r w:rsidRPr="7A3402DA">
              <w:t>refine</w:t>
            </w:r>
            <w:r w:rsidR="3806979A" w:rsidRPr="7A3402DA">
              <w:t xml:space="preserve">d. The </w:t>
            </w:r>
            <w:r w:rsidR="25ECF32E" w:rsidRPr="7A3402DA">
              <w:t>specification of program outcomes in the original design was insufficiently calibrated to what Katalis might reasonably be expected to achieve in five years</w:t>
            </w:r>
            <w:r w:rsidR="0CC2F8B6" w:rsidRPr="7A3402DA">
              <w:t>,</w:t>
            </w:r>
            <w:r w:rsidR="25ECF32E" w:rsidRPr="7A3402DA">
              <w:t xml:space="preserve"> </w:t>
            </w:r>
            <w:r w:rsidR="00E659E3">
              <w:t>and</w:t>
            </w:r>
            <w:r w:rsidR="25ECF32E" w:rsidRPr="7A3402DA">
              <w:t xml:space="preserve"> insufficiently characterised in a way that progress could reasonably be assessed</w:t>
            </w:r>
            <w:r w:rsidR="0F7C4A51" w:rsidRPr="7A3402DA">
              <w:t>.</w:t>
            </w:r>
            <w:r w:rsidR="4A1A6FCA" w:rsidRPr="7A3402DA">
              <w:t xml:space="preserve"> </w:t>
            </w:r>
            <w:r w:rsidR="326845D1" w:rsidRPr="7A3402DA">
              <w:t>As outcomes have not been appropriately specified, different stakeholders have developed different views about what the program should be doing and what comprises success for its activities.</w:t>
            </w:r>
          </w:p>
          <w:p w14:paraId="5F42B026" w14:textId="17116BA7" w:rsidR="00E75600" w:rsidRPr="0008786A" w:rsidRDefault="17715A63" w:rsidP="7A3402DA">
            <w:pPr>
              <w:spacing w:line="259" w:lineRule="auto"/>
            </w:pPr>
            <w:r w:rsidRPr="7A3402DA">
              <w:t>T</w:t>
            </w:r>
            <w:r w:rsidR="5EB40BB0" w:rsidRPr="7A3402DA">
              <w:t xml:space="preserve">he review team recommends that the logic </w:t>
            </w:r>
            <w:r w:rsidR="36A307E4" w:rsidRPr="7A3402DA">
              <w:t xml:space="preserve">is </w:t>
            </w:r>
            <w:r w:rsidR="5EB40BB0" w:rsidRPr="7A3402DA">
              <w:t>re</w:t>
            </w:r>
            <w:r w:rsidR="1A290A71" w:rsidRPr="7A3402DA">
              <w:t>fined</w:t>
            </w:r>
            <w:r w:rsidR="5EB40BB0" w:rsidRPr="7A3402DA">
              <w:t xml:space="preserve"> to reflect </w:t>
            </w:r>
            <w:r w:rsidR="35FC5BEA" w:rsidRPr="7A3402DA">
              <w:t xml:space="preserve">the </w:t>
            </w:r>
            <w:r w:rsidR="6AC4C11C" w:rsidRPr="7A3402DA">
              <w:t>evol</w:t>
            </w:r>
            <w:r w:rsidR="06FF66D7" w:rsidRPr="7A3402DA">
              <w:t xml:space="preserve">ution </w:t>
            </w:r>
            <w:r w:rsidR="6AC4C11C" w:rsidRPr="7A3402DA">
              <w:t>of the program</w:t>
            </w:r>
            <w:r w:rsidR="5EB40BB0" w:rsidRPr="7A3402DA">
              <w:t xml:space="preserve"> and to enable useful monitoring and evaluation.</w:t>
            </w:r>
          </w:p>
        </w:tc>
        <w:tc>
          <w:tcPr>
            <w:tcW w:w="3473" w:type="dxa"/>
          </w:tcPr>
          <w:p w14:paraId="1C6C9725" w14:textId="72962790" w:rsidR="00E75600" w:rsidRPr="0008786A" w:rsidRDefault="23ED971A" w:rsidP="7A3402DA">
            <w:pPr>
              <w:spacing w:line="259" w:lineRule="auto"/>
            </w:pPr>
            <w:r w:rsidRPr="7A3402DA">
              <w:t xml:space="preserve">DFAT will engage </w:t>
            </w:r>
            <w:proofErr w:type="spellStart"/>
            <w:r w:rsidRPr="7A3402DA">
              <w:t>Bappenas</w:t>
            </w:r>
            <w:proofErr w:type="spellEnd"/>
            <w:r w:rsidR="732DA9CC" w:rsidRPr="7A3402DA">
              <w:t>,</w:t>
            </w:r>
            <w:r w:rsidRPr="7A3402DA">
              <w:t xml:space="preserve"> the main </w:t>
            </w:r>
            <w:r w:rsidR="5E7AFC8F" w:rsidRPr="7A3402DA">
              <w:t xml:space="preserve">Government of Indonesia </w:t>
            </w:r>
            <w:r w:rsidR="00BE009B">
              <w:t xml:space="preserve">(GOI) </w:t>
            </w:r>
            <w:r w:rsidR="5E7AFC8F" w:rsidRPr="7A3402DA">
              <w:t>c</w:t>
            </w:r>
            <w:r w:rsidRPr="7A3402DA">
              <w:t>ounterpart</w:t>
            </w:r>
            <w:r w:rsidR="7E3A5399" w:rsidRPr="7A3402DA">
              <w:t>,</w:t>
            </w:r>
            <w:r w:rsidRPr="7A3402DA">
              <w:t xml:space="preserve"> to revisit the program logic </w:t>
            </w:r>
            <w:r w:rsidR="73AABD13" w:rsidRPr="7A3402DA">
              <w:t>and fu</w:t>
            </w:r>
            <w:r w:rsidR="173A219C" w:rsidRPr="7A3402DA">
              <w:t>rther work on</w:t>
            </w:r>
            <w:r w:rsidRPr="7A3402DA">
              <w:t xml:space="preserve"> the</w:t>
            </w:r>
            <w:r w:rsidR="7E787AFF" w:rsidRPr="7A3402DA">
              <w:t xml:space="preserve"> draft</w:t>
            </w:r>
            <w:r w:rsidRPr="7A3402DA">
              <w:t xml:space="preserve"> </w:t>
            </w:r>
            <w:r w:rsidR="73AABD13" w:rsidRPr="7A3402DA">
              <w:t>Monitoring Evaluation Learning</w:t>
            </w:r>
            <w:r w:rsidR="422028C9" w:rsidRPr="7A3402DA">
              <w:t xml:space="preserve"> (MEL)</w:t>
            </w:r>
            <w:r w:rsidR="73AABD13" w:rsidRPr="7A3402DA">
              <w:t xml:space="preserve"> </w:t>
            </w:r>
            <w:r w:rsidRPr="7A3402DA">
              <w:t>plan that has been</w:t>
            </w:r>
            <w:r w:rsidR="422028C9" w:rsidRPr="7A3402DA">
              <w:t xml:space="preserve"> </w:t>
            </w:r>
            <w:r w:rsidRPr="7A3402DA">
              <w:t>prepared by Katalis</w:t>
            </w:r>
            <w:r w:rsidR="38D49777" w:rsidRPr="7A3402DA">
              <w:t>.</w:t>
            </w:r>
          </w:p>
        </w:tc>
        <w:tc>
          <w:tcPr>
            <w:tcW w:w="1350" w:type="dxa"/>
          </w:tcPr>
          <w:p w14:paraId="0CEF2B27" w14:textId="1B913703" w:rsidR="00E75600" w:rsidRPr="0008786A" w:rsidRDefault="00DC6EE6" w:rsidP="00BD1A78">
            <w:pPr>
              <w:rPr>
                <w:rFonts w:cstheme="minorHAnsi"/>
              </w:rPr>
            </w:pPr>
            <w:r w:rsidRPr="0008786A">
              <w:rPr>
                <w:rFonts w:cstheme="minorHAnsi"/>
              </w:rPr>
              <w:t>June</w:t>
            </w:r>
            <w:r w:rsidR="00E961D9" w:rsidRPr="0008786A">
              <w:rPr>
                <w:rFonts w:cstheme="minorHAnsi"/>
              </w:rPr>
              <w:t xml:space="preserve"> – December 2024</w:t>
            </w:r>
          </w:p>
        </w:tc>
      </w:tr>
      <w:tr w:rsidR="00E75600" w:rsidRPr="0008786A" w14:paraId="3B222EFF" w14:textId="77777777" w:rsidTr="00432CD1">
        <w:tc>
          <w:tcPr>
            <w:tcW w:w="3405" w:type="dxa"/>
          </w:tcPr>
          <w:p w14:paraId="044A883E" w14:textId="6C30089F" w:rsidR="00E75600" w:rsidRPr="0008786A" w:rsidRDefault="60B84067" w:rsidP="7A3402DA">
            <w:pPr>
              <w:pStyle w:val="ListParagraph"/>
              <w:numPr>
                <w:ilvl w:val="0"/>
                <w:numId w:val="20"/>
              </w:numPr>
              <w:spacing w:line="259" w:lineRule="auto"/>
              <w:rPr>
                <w:b/>
                <w:bCs/>
              </w:rPr>
            </w:pPr>
            <w:r w:rsidRPr="7A3402DA">
              <w:rPr>
                <w:b/>
                <w:bCs/>
              </w:rPr>
              <w:lastRenderedPageBreak/>
              <w:t>Develop</w:t>
            </w:r>
            <w:r w:rsidR="2EFFB4D1" w:rsidRPr="7A3402DA">
              <w:rPr>
                <w:b/>
                <w:bCs/>
              </w:rPr>
              <w:t xml:space="preserve"> </w:t>
            </w:r>
            <w:r w:rsidRPr="7A3402DA">
              <w:rPr>
                <w:b/>
                <w:bCs/>
              </w:rPr>
              <w:t xml:space="preserve">an effective </w:t>
            </w:r>
            <w:r w:rsidR="61AF3882" w:rsidRPr="7A3402DA">
              <w:rPr>
                <w:b/>
                <w:bCs/>
              </w:rPr>
              <w:t xml:space="preserve">way </w:t>
            </w:r>
            <w:r w:rsidRPr="7A3402DA">
              <w:rPr>
                <w:b/>
                <w:bCs/>
              </w:rPr>
              <w:t>for collaboration</w:t>
            </w:r>
            <w:r w:rsidR="6A620CB4" w:rsidRPr="7A3402DA">
              <w:rPr>
                <w:b/>
                <w:bCs/>
              </w:rPr>
              <w:t xml:space="preserve"> </w:t>
            </w:r>
            <w:r w:rsidR="2C019FAC" w:rsidRPr="7A3402DA">
              <w:rPr>
                <w:b/>
                <w:bCs/>
              </w:rPr>
              <w:t>and coordination</w:t>
            </w:r>
            <w:r w:rsidR="1CBFF302" w:rsidRPr="7A3402DA">
              <w:rPr>
                <w:b/>
                <w:bCs/>
              </w:rPr>
              <w:t xml:space="preserve"> between</w:t>
            </w:r>
            <w:r w:rsidRPr="7A3402DA">
              <w:rPr>
                <w:b/>
                <w:bCs/>
              </w:rPr>
              <w:t xml:space="preserve"> </w:t>
            </w:r>
            <w:r w:rsidR="61C8BABF" w:rsidRPr="7A3402DA">
              <w:rPr>
                <w:b/>
                <w:bCs/>
              </w:rPr>
              <w:t xml:space="preserve">different </w:t>
            </w:r>
            <w:r w:rsidR="57DC7A40" w:rsidRPr="7A3402DA">
              <w:rPr>
                <w:b/>
                <w:bCs/>
              </w:rPr>
              <w:t xml:space="preserve">approving areas in </w:t>
            </w:r>
            <w:r w:rsidR="4BF5DF96" w:rsidRPr="7A3402DA">
              <w:rPr>
                <w:b/>
                <w:bCs/>
              </w:rPr>
              <w:t xml:space="preserve">DFAT </w:t>
            </w:r>
          </w:p>
        </w:tc>
        <w:tc>
          <w:tcPr>
            <w:tcW w:w="1167" w:type="dxa"/>
            <w:shd w:val="clear" w:color="auto" w:fill="E2EFD9" w:themeFill="accent6" w:themeFillTint="33"/>
          </w:tcPr>
          <w:p w14:paraId="3A5963D4" w14:textId="3B89403C" w:rsidR="00E75600" w:rsidRPr="00432CD1" w:rsidRDefault="00E961D9" w:rsidP="00F8481D">
            <w:pPr>
              <w:rPr>
                <w:rFonts w:cstheme="minorHAnsi"/>
                <w:b/>
                <w:bCs/>
              </w:rPr>
            </w:pPr>
            <w:r w:rsidRPr="00432CD1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4694" w:type="dxa"/>
          </w:tcPr>
          <w:p w14:paraId="1257836D" w14:textId="65F565F7" w:rsidR="00E75600" w:rsidRPr="0008786A" w:rsidRDefault="44B05D3C" w:rsidP="7A3402DA">
            <w:pPr>
              <w:spacing w:line="259" w:lineRule="auto"/>
            </w:pPr>
            <w:r w:rsidRPr="7A3402DA">
              <w:rPr>
                <w:lang w:val="en-NZ"/>
              </w:rPr>
              <w:t xml:space="preserve">DFAT </w:t>
            </w:r>
            <w:r w:rsidR="00FE570D">
              <w:rPr>
                <w:lang w:val="en-NZ"/>
              </w:rPr>
              <w:t xml:space="preserve">agrees </w:t>
            </w:r>
            <w:r w:rsidRPr="7A3402DA">
              <w:rPr>
                <w:lang w:val="en-NZ"/>
              </w:rPr>
              <w:t>th</w:t>
            </w:r>
            <w:r w:rsidR="7049EBF7" w:rsidRPr="7A3402DA">
              <w:rPr>
                <w:lang w:val="en-NZ"/>
              </w:rPr>
              <w:t xml:space="preserve">e need </w:t>
            </w:r>
            <w:r w:rsidR="3EEC7FD4" w:rsidRPr="7A3402DA">
              <w:rPr>
                <w:lang w:val="en-NZ"/>
              </w:rPr>
              <w:t xml:space="preserve">for </w:t>
            </w:r>
            <w:r w:rsidR="7C84C193" w:rsidRPr="7A3402DA">
              <w:rPr>
                <w:lang w:val="en-NZ"/>
              </w:rPr>
              <w:t xml:space="preserve">effective </w:t>
            </w:r>
            <w:r w:rsidR="354D934C" w:rsidRPr="7A3402DA">
              <w:rPr>
                <w:lang w:val="en-NZ"/>
              </w:rPr>
              <w:t xml:space="preserve">internal </w:t>
            </w:r>
            <w:r w:rsidR="4D153660" w:rsidRPr="7A3402DA">
              <w:rPr>
                <w:lang w:val="en-NZ"/>
              </w:rPr>
              <w:t>mechanism</w:t>
            </w:r>
            <w:r w:rsidR="256C3E80" w:rsidRPr="7A3402DA">
              <w:rPr>
                <w:lang w:val="en-NZ"/>
              </w:rPr>
              <w:t>s</w:t>
            </w:r>
            <w:r w:rsidR="23ED971A" w:rsidRPr="7A3402DA">
              <w:rPr>
                <w:lang w:val="en-NZ"/>
              </w:rPr>
              <w:t xml:space="preserve"> </w:t>
            </w:r>
            <w:r w:rsidR="0B39C166" w:rsidRPr="7A3402DA">
              <w:rPr>
                <w:lang w:val="en-NZ"/>
              </w:rPr>
              <w:t xml:space="preserve">to support </w:t>
            </w:r>
            <w:r w:rsidR="1A540A1E" w:rsidRPr="7A3402DA">
              <w:rPr>
                <w:lang w:val="en-NZ"/>
              </w:rPr>
              <w:t xml:space="preserve">Katalis, including through </w:t>
            </w:r>
            <w:r w:rsidR="71360938" w:rsidRPr="7A3402DA">
              <w:rPr>
                <w:lang w:val="en-NZ"/>
              </w:rPr>
              <w:t xml:space="preserve">timely </w:t>
            </w:r>
            <w:r w:rsidR="23ED971A" w:rsidRPr="7A3402DA">
              <w:rPr>
                <w:lang w:val="en-NZ"/>
              </w:rPr>
              <w:t xml:space="preserve">decision-making </w:t>
            </w:r>
            <w:r w:rsidR="587CD4AB" w:rsidRPr="7A3402DA">
              <w:rPr>
                <w:lang w:val="en-NZ"/>
              </w:rPr>
              <w:t xml:space="preserve">and </w:t>
            </w:r>
            <w:r w:rsidR="390D194D" w:rsidRPr="7A3402DA">
              <w:rPr>
                <w:lang w:val="en-NZ"/>
              </w:rPr>
              <w:t>advice</w:t>
            </w:r>
            <w:r w:rsidR="5A8B0E1A" w:rsidRPr="7A3402DA">
              <w:rPr>
                <w:lang w:val="en-NZ"/>
              </w:rPr>
              <w:t>,</w:t>
            </w:r>
            <w:r w:rsidR="5D76B804" w:rsidRPr="7A3402DA">
              <w:rPr>
                <w:lang w:val="en-NZ"/>
              </w:rPr>
              <w:t xml:space="preserve"> </w:t>
            </w:r>
            <w:r w:rsidR="23ED971A" w:rsidRPr="7A3402DA">
              <w:rPr>
                <w:lang w:val="en-NZ"/>
              </w:rPr>
              <w:t>and</w:t>
            </w:r>
            <w:r w:rsidR="71360938" w:rsidRPr="7A3402DA">
              <w:rPr>
                <w:lang w:val="en-NZ"/>
              </w:rPr>
              <w:t xml:space="preserve"> clear</w:t>
            </w:r>
            <w:r w:rsidR="23ED971A" w:rsidRPr="7A3402DA">
              <w:rPr>
                <w:lang w:val="en-NZ"/>
              </w:rPr>
              <w:t xml:space="preserve"> </w:t>
            </w:r>
            <w:r w:rsidR="57B6BEF6" w:rsidRPr="7A3402DA">
              <w:rPr>
                <w:lang w:val="en-NZ"/>
              </w:rPr>
              <w:t xml:space="preserve">lines of </w:t>
            </w:r>
            <w:r w:rsidR="23ED971A" w:rsidRPr="7A3402DA">
              <w:rPr>
                <w:lang w:val="en-NZ"/>
              </w:rPr>
              <w:t>responsibilit</w:t>
            </w:r>
            <w:r w:rsidR="6086DB12" w:rsidRPr="7A3402DA">
              <w:rPr>
                <w:lang w:val="en-NZ"/>
              </w:rPr>
              <w:t xml:space="preserve">y </w:t>
            </w:r>
            <w:r w:rsidR="23ED971A" w:rsidRPr="7A3402DA">
              <w:rPr>
                <w:lang w:val="en-NZ"/>
              </w:rPr>
              <w:t>across of DFAT</w:t>
            </w:r>
            <w:r w:rsidR="7895F14D" w:rsidRPr="7A3402DA">
              <w:rPr>
                <w:lang w:val="en-NZ"/>
              </w:rPr>
              <w:t>.</w:t>
            </w:r>
            <w:r w:rsidR="23ED971A" w:rsidRPr="7A3402DA">
              <w:rPr>
                <w:lang w:val="en-NZ"/>
              </w:rPr>
              <w:t xml:space="preserve"> </w:t>
            </w:r>
          </w:p>
        </w:tc>
        <w:tc>
          <w:tcPr>
            <w:tcW w:w="3473" w:type="dxa"/>
          </w:tcPr>
          <w:p w14:paraId="4259A40B" w14:textId="077F9EB7" w:rsidR="00121E8A" w:rsidRPr="0008786A" w:rsidRDefault="001056EE" w:rsidP="7A3402DA">
            <w:pPr>
              <w:spacing w:line="259" w:lineRule="auto"/>
            </w:pPr>
            <w:r>
              <w:rPr>
                <w:lang w:val="en-NZ"/>
              </w:rPr>
              <w:t xml:space="preserve">Over the review period, </w:t>
            </w:r>
            <w:r w:rsidR="12021B1B" w:rsidRPr="7A3402DA">
              <w:rPr>
                <w:lang w:val="en-NZ"/>
              </w:rPr>
              <w:t>Post has</w:t>
            </w:r>
            <w:r w:rsidR="22212F46" w:rsidRPr="7A3402DA">
              <w:rPr>
                <w:lang w:val="en-NZ"/>
              </w:rPr>
              <w:t xml:space="preserve"> </w:t>
            </w:r>
            <w:r w:rsidR="751C0A40" w:rsidRPr="7A3402DA">
              <w:rPr>
                <w:lang w:val="en-NZ"/>
              </w:rPr>
              <w:t xml:space="preserve">developed </w:t>
            </w:r>
            <w:r w:rsidR="12021B1B" w:rsidRPr="7A3402DA">
              <w:rPr>
                <w:lang w:val="en-NZ"/>
              </w:rPr>
              <w:t xml:space="preserve">ways of working </w:t>
            </w:r>
            <w:r w:rsidR="00FE570D">
              <w:rPr>
                <w:lang w:val="en-NZ"/>
              </w:rPr>
              <w:t xml:space="preserve">(including through regular management meetings with standing agenda items on risk and planning) </w:t>
            </w:r>
            <w:r w:rsidR="34894636" w:rsidRPr="7A3402DA">
              <w:rPr>
                <w:lang w:val="en-NZ"/>
              </w:rPr>
              <w:t>with</w:t>
            </w:r>
            <w:r w:rsidR="6D14FC87" w:rsidRPr="7A3402DA">
              <w:rPr>
                <w:lang w:val="en-NZ"/>
              </w:rPr>
              <w:t xml:space="preserve"> Desk and </w:t>
            </w:r>
            <w:r w:rsidR="2229A165" w:rsidRPr="7A3402DA">
              <w:rPr>
                <w:lang w:val="en-NZ"/>
              </w:rPr>
              <w:t xml:space="preserve">the </w:t>
            </w:r>
            <w:r w:rsidR="2229A165" w:rsidRPr="7A3402DA">
              <w:t xml:space="preserve">FTA and Stakeholder Engagement Division </w:t>
            </w:r>
            <w:r w:rsidR="2608822B" w:rsidRPr="7A3402DA">
              <w:t xml:space="preserve">(FSD) </w:t>
            </w:r>
            <w:r w:rsidR="2229A165" w:rsidRPr="7A3402DA">
              <w:t xml:space="preserve">in Canberra to </w:t>
            </w:r>
            <w:r w:rsidR="0BE78C0A" w:rsidRPr="7A3402DA">
              <w:rPr>
                <w:lang w:val="en-NZ"/>
              </w:rPr>
              <w:t>manage timely resp</w:t>
            </w:r>
            <w:r w:rsidR="35482365" w:rsidRPr="7A3402DA">
              <w:rPr>
                <w:lang w:val="en-NZ"/>
              </w:rPr>
              <w:t>onse</w:t>
            </w:r>
            <w:r w:rsidR="64DAF57B" w:rsidRPr="7A3402DA">
              <w:rPr>
                <w:lang w:val="en-NZ"/>
              </w:rPr>
              <w:t>s</w:t>
            </w:r>
            <w:r w:rsidR="5BF76D47" w:rsidRPr="7A3402DA">
              <w:rPr>
                <w:lang w:val="en-NZ"/>
              </w:rPr>
              <w:t>,</w:t>
            </w:r>
            <w:r w:rsidR="33A8EE5C" w:rsidRPr="7A3402DA">
              <w:rPr>
                <w:lang w:val="en-NZ"/>
              </w:rPr>
              <w:t xml:space="preserve"> collaboratively oversee</w:t>
            </w:r>
            <w:r w:rsidR="14D423EA" w:rsidRPr="7A3402DA">
              <w:rPr>
                <w:lang w:val="en-NZ"/>
              </w:rPr>
              <w:t xml:space="preserve"> </w:t>
            </w:r>
            <w:r w:rsidR="2093DA9C" w:rsidRPr="7A3402DA">
              <w:rPr>
                <w:lang w:val="en-NZ"/>
              </w:rPr>
              <w:t>A</w:t>
            </w:r>
            <w:r w:rsidR="14D423EA" w:rsidRPr="7A3402DA">
              <w:rPr>
                <w:lang w:val="en-NZ"/>
              </w:rPr>
              <w:t>nnual</w:t>
            </w:r>
            <w:r w:rsidR="33A8EE5C" w:rsidRPr="7A3402DA">
              <w:rPr>
                <w:lang w:val="en-NZ"/>
              </w:rPr>
              <w:t xml:space="preserve"> </w:t>
            </w:r>
            <w:r w:rsidR="2093DA9C" w:rsidRPr="7A3402DA">
              <w:rPr>
                <w:lang w:val="en-NZ"/>
              </w:rPr>
              <w:t>W</w:t>
            </w:r>
            <w:r w:rsidR="14D423EA" w:rsidRPr="7A3402DA">
              <w:rPr>
                <w:lang w:val="en-NZ"/>
              </w:rPr>
              <w:t>ork</w:t>
            </w:r>
            <w:r w:rsidR="4461951E" w:rsidRPr="7A3402DA">
              <w:rPr>
                <w:lang w:val="en-NZ"/>
              </w:rPr>
              <w:t xml:space="preserve"> P</w:t>
            </w:r>
            <w:r w:rsidR="14D423EA" w:rsidRPr="7A3402DA">
              <w:rPr>
                <w:lang w:val="en-NZ"/>
              </w:rPr>
              <w:t xml:space="preserve">lan development, </w:t>
            </w:r>
            <w:r w:rsidR="63E6E0AD" w:rsidRPr="7A3402DA">
              <w:rPr>
                <w:lang w:val="en-NZ"/>
              </w:rPr>
              <w:t xml:space="preserve">and </w:t>
            </w:r>
            <w:r w:rsidR="34894636" w:rsidRPr="7A3402DA">
              <w:rPr>
                <w:lang w:val="en-NZ"/>
              </w:rPr>
              <w:t>better mitigate</w:t>
            </w:r>
            <w:r w:rsidR="12021B1B" w:rsidRPr="7A3402DA">
              <w:rPr>
                <w:lang w:val="en-NZ"/>
              </w:rPr>
              <w:t xml:space="preserve"> various risks associated with the program</w:t>
            </w:r>
            <w:r w:rsidR="14D423EA" w:rsidRPr="7A3402DA">
              <w:rPr>
                <w:lang w:val="en-NZ"/>
              </w:rPr>
              <w:t>.</w:t>
            </w:r>
          </w:p>
        </w:tc>
        <w:tc>
          <w:tcPr>
            <w:tcW w:w="1350" w:type="dxa"/>
          </w:tcPr>
          <w:p w14:paraId="03F723B9" w14:textId="1D9AE92E" w:rsidR="00E75600" w:rsidRPr="0008786A" w:rsidRDefault="005B6C06" w:rsidP="00F8481D">
            <w:pPr>
              <w:rPr>
                <w:rFonts w:cstheme="minorHAnsi"/>
              </w:rPr>
            </w:pPr>
            <w:r w:rsidRPr="0008786A">
              <w:rPr>
                <w:rFonts w:cstheme="minorHAnsi"/>
              </w:rPr>
              <w:t>Ongoing until December 2025</w:t>
            </w:r>
          </w:p>
        </w:tc>
      </w:tr>
      <w:tr w:rsidR="00E75600" w:rsidRPr="0008786A" w14:paraId="464F0BA9" w14:textId="77777777" w:rsidTr="00432CD1">
        <w:tc>
          <w:tcPr>
            <w:tcW w:w="3405" w:type="dxa"/>
          </w:tcPr>
          <w:p w14:paraId="2971CEB8" w14:textId="17512621" w:rsidR="00E75600" w:rsidRPr="0008786A" w:rsidRDefault="23ED971A" w:rsidP="00013E5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 w:rsidRPr="7A3402DA">
              <w:rPr>
                <w:b/>
                <w:bCs/>
              </w:rPr>
              <w:t>Improving communications</w:t>
            </w:r>
            <w:r w:rsidR="20ECD1F8" w:rsidRPr="7A3402DA">
              <w:rPr>
                <w:b/>
                <w:bCs/>
              </w:rPr>
              <w:t xml:space="preserve"> </w:t>
            </w:r>
            <w:r w:rsidRPr="7A3402DA">
              <w:rPr>
                <w:b/>
                <w:bCs/>
              </w:rPr>
              <w:t>with stakeholders</w:t>
            </w:r>
            <w:r w:rsidR="6F867F39" w:rsidRPr="7A3402DA">
              <w:rPr>
                <w:b/>
                <w:bCs/>
              </w:rPr>
              <w:t>.</w:t>
            </w:r>
          </w:p>
        </w:tc>
        <w:tc>
          <w:tcPr>
            <w:tcW w:w="1167" w:type="dxa"/>
            <w:shd w:val="clear" w:color="auto" w:fill="E2EFD9" w:themeFill="accent6" w:themeFillTint="33"/>
          </w:tcPr>
          <w:p w14:paraId="0E1439C5" w14:textId="4DA61539" w:rsidR="00E75600" w:rsidRPr="00432CD1" w:rsidRDefault="00E961D9" w:rsidP="00F8481D">
            <w:pPr>
              <w:rPr>
                <w:rFonts w:cstheme="minorHAnsi"/>
                <w:b/>
                <w:bCs/>
              </w:rPr>
            </w:pPr>
            <w:r w:rsidRPr="00432CD1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4694" w:type="dxa"/>
          </w:tcPr>
          <w:p w14:paraId="38F8F4A3" w14:textId="084B1137" w:rsidR="00E75600" w:rsidRPr="0008786A" w:rsidRDefault="7656B61C" w:rsidP="00FE35C8">
            <w:pPr>
              <w:spacing w:line="259" w:lineRule="auto"/>
              <w:rPr>
                <w:rFonts w:cstheme="minorHAnsi"/>
              </w:rPr>
            </w:pPr>
            <w:r w:rsidRPr="7A3402DA">
              <w:rPr>
                <w:lang w:val="en-NZ"/>
              </w:rPr>
              <w:t xml:space="preserve">DFAT </w:t>
            </w:r>
            <w:r w:rsidR="00FE570D">
              <w:rPr>
                <w:lang w:val="en-NZ"/>
              </w:rPr>
              <w:t xml:space="preserve">agrees </w:t>
            </w:r>
            <w:r w:rsidR="006B1246">
              <w:rPr>
                <w:lang w:val="en-NZ"/>
              </w:rPr>
              <w:t>the fin</w:t>
            </w:r>
            <w:r w:rsidRPr="7A3402DA">
              <w:rPr>
                <w:lang w:val="en-NZ"/>
              </w:rPr>
              <w:t>d</w:t>
            </w:r>
            <w:r w:rsidR="006B1246">
              <w:rPr>
                <w:lang w:val="en-NZ"/>
              </w:rPr>
              <w:t>ing that</w:t>
            </w:r>
            <w:r w:rsidR="6609925E" w:rsidRPr="7A3402DA">
              <w:rPr>
                <w:lang w:val="en-NZ"/>
              </w:rPr>
              <w:t xml:space="preserve"> </w:t>
            </w:r>
            <w:r w:rsidR="7CEE3157" w:rsidRPr="7A3402DA">
              <w:rPr>
                <w:lang w:val="en-NZ"/>
              </w:rPr>
              <w:t>some stakeholders had a very limited appreciation of Katalis and the way it works</w:t>
            </w:r>
            <w:r w:rsidR="77691326" w:rsidRPr="7A3402DA">
              <w:rPr>
                <w:lang w:val="en-NZ"/>
              </w:rPr>
              <w:t>,</w:t>
            </w:r>
            <w:r w:rsidR="7CEE3157" w:rsidRPr="7A3402DA">
              <w:rPr>
                <w:lang w:val="en-NZ"/>
              </w:rPr>
              <w:t xml:space="preserve"> </w:t>
            </w:r>
            <w:r w:rsidR="6609925E" w:rsidRPr="7A3402DA">
              <w:rPr>
                <w:lang w:val="en-NZ"/>
              </w:rPr>
              <w:t xml:space="preserve">which </w:t>
            </w:r>
            <w:r w:rsidR="0325E483" w:rsidRPr="7A3402DA">
              <w:rPr>
                <w:lang w:val="en-NZ"/>
              </w:rPr>
              <w:t>cause</w:t>
            </w:r>
            <w:r w:rsidR="49DBD726" w:rsidRPr="7A3402DA">
              <w:rPr>
                <w:lang w:val="en-NZ"/>
              </w:rPr>
              <w:t>d</w:t>
            </w:r>
            <w:r w:rsidR="7CEE3157" w:rsidRPr="7A3402DA">
              <w:rPr>
                <w:lang w:val="en-NZ"/>
              </w:rPr>
              <w:t xml:space="preserve"> multiple and inconsistent expectations for the program</w:t>
            </w:r>
            <w:r w:rsidRPr="7A3402DA">
              <w:rPr>
                <w:lang w:val="en-NZ"/>
              </w:rPr>
              <w:t>.</w:t>
            </w:r>
            <w:r w:rsidR="49DBD726" w:rsidRPr="7A3402DA">
              <w:rPr>
                <w:lang w:val="en-NZ"/>
              </w:rPr>
              <w:t xml:space="preserve"> </w:t>
            </w:r>
            <w:r w:rsidR="6159B5B9" w:rsidRPr="7A3402DA">
              <w:rPr>
                <w:lang w:val="en-NZ"/>
              </w:rPr>
              <w:t xml:space="preserve">This is particularly due to </w:t>
            </w:r>
            <w:r w:rsidR="23ED971A" w:rsidRPr="7A3402DA">
              <w:rPr>
                <w:lang w:val="en-NZ"/>
              </w:rPr>
              <w:t xml:space="preserve">multiplicity of stakeholders that follow inevitably from the program being linked to IA-CEPA and its institutional arrangements. </w:t>
            </w:r>
          </w:p>
        </w:tc>
        <w:tc>
          <w:tcPr>
            <w:tcW w:w="3473" w:type="dxa"/>
          </w:tcPr>
          <w:p w14:paraId="41CDE24A" w14:textId="56CE7AA4" w:rsidR="00E75600" w:rsidRPr="0008786A" w:rsidRDefault="23ED971A" w:rsidP="7A3402DA">
            <w:pPr>
              <w:spacing w:line="259" w:lineRule="auto"/>
            </w:pPr>
            <w:r w:rsidRPr="7A3402DA">
              <w:t>DFAT</w:t>
            </w:r>
            <w:r w:rsidR="59629FA4" w:rsidRPr="7A3402DA">
              <w:t xml:space="preserve"> </w:t>
            </w:r>
            <w:r w:rsidR="3A446010" w:rsidRPr="7A3402DA">
              <w:t>and Katalis to work with</w:t>
            </w:r>
            <w:r w:rsidR="0B6B58B9" w:rsidRPr="7A3402DA">
              <w:t xml:space="preserve"> all stakeholders and agree </w:t>
            </w:r>
            <w:r w:rsidR="568CD882" w:rsidRPr="7A3402DA">
              <w:t>on an effective mechanism</w:t>
            </w:r>
            <w:r w:rsidR="59629FA4" w:rsidRPr="7A3402DA">
              <w:t xml:space="preserve"> to </w:t>
            </w:r>
            <w:r w:rsidR="2E2D5B82" w:rsidRPr="7A3402DA">
              <w:t xml:space="preserve">disseminate </w:t>
            </w:r>
            <w:r w:rsidR="568CD882" w:rsidRPr="7A3402DA">
              <w:t>updates on</w:t>
            </w:r>
            <w:r w:rsidR="59629FA4" w:rsidRPr="7A3402DA">
              <w:t xml:space="preserve"> Katalis’ activity and deliverables to different stakeholders in timely </w:t>
            </w:r>
            <w:r w:rsidR="6A367363" w:rsidRPr="7A3402DA">
              <w:t>manner</w:t>
            </w:r>
            <w:r w:rsidR="664D7FA6" w:rsidRPr="7A3402DA">
              <w:t xml:space="preserve">. </w:t>
            </w:r>
            <w:r w:rsidR="6B5302B1" w:rsidRPr="7A3402DA">
              <w:t>DFAT and all stakeholders to agree</w:t>
            </w:r>
            <w:r w:rsidR="4AFCD9C3" w:rsidRPr="7A3402DA">
              <w:rPr>
                <w:lang w:val="en-NZ"/>
              </w:rPr>
              <w:t xml:space="preserve"> on information needs and</w:t>
            </w:r>
            <w:r w:rsidR="00EC2A25">
              <w:rPr>
                <w:lang w:val="en-NZ"/>
              </w:rPr>
              <w:t xml:space="preserve"> identify</w:t>
            </w:r>
            <w:r w:rsidR="4AFCD9C3" w:rsidRPr="7A3402DA">
              <w:rPr>
                <w:lang w:val="en-NZ"/>
              </w:rPr>
              <w:t xml:space="preserve"> roles and responsibilities for communications and information </w:t>
            </w:r>
            <w:r w:rsidR="2E2D5B82" w:rsidRPr="7A3402DA">
              <w:rPr>
                <w:lang w:val="en-NZ"/>
              </w:rPr>
              <w:t>sharing</w:t>
            </w:r>
            <w:r w:rsidR="4AFCD9C3" w:rsidRPr="7A3402DA">
              <w:rPr>
                <w:lang w:val="en-NZ"/>
              </w:rPr>
              <w:t>.</w:t>
            </w:r>
          </w:p>
        </w:tc>
        <w:tc>
          <w:tcPr>
            <w:tcW w:w="1350" w:type="dxa"/>
          </w:tcPr>
          <w:p w14:paraId="126EF8E4" w14:textId="780DE40F" w:rsidR="00E75600" w:rsidRPr="0008786A" w:rsidRDefault="003A47AA" w:rsidP="00F8481D">
            <w:pPr>
              <w:rPr>
                <w:rFonts w:cstheme="minorHAnsi"/>
              </w:rPr>
            </w:pPr>
            <w:r w:rsidRPr="0008786A">
              <w:rPr>
                <w:rFonts w:cstheme="minorHAnsi"/>
              </w:rPr>
              <w:t>Ongoing until December 2025</w:t>
            </w:r>
            <w:r w:rsidR="005B6C06" w:rsidRPr="0008786A">
              <w:rPr>
                <w:rFonts w:cstheme="minorHAnsi"/>
              </w:rPr>
              <w:t>.</w:t>
            </w:r>
          </w:p>
        </w:tc>
      </w:tr>
      <w:tr w:rsidR="00E75600" w:rsidRPr="0008786A" w14:paraId="564861F5" w14:textId="77777777" w:rsidTr="00432CD1">
        <w:tc>
          <w:tcPr>
            <w:tcW w:w="3405" w:type="dxa"/>
          </w:tcPr>
          <w:p w14:paraId="617F1B26" w14:textId="17556D1D" w:rsidR="00E75600" w:rsidRPr="0008786A" w:rsidRDefault="23ED971A" w:rsidP="00013E5E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bCs/>
              </w:rPr>
            </w:pPr>
            <w:r w:rsidRPr="7A3402DA">
              <w:rPr>
                <w:b/>
                <w:bCs/>
              </w:rPr>
              <w:t xml:space="preserve">Working on an approach to dealing with the shared services arrangement with </w:t>
            </w:r>
            <w:proofErr w:type="spellStart"/>
            <w:r w:rsidRPr="7A3402DA">
              <w:rPr>
                <w:b/>
                <w:bCs/>
              </w:rPr>
              <w:t>Prospera</w:t>
            </w:r>
            <w:proofErr w:type="spellEnd"/>
            <w:r w:rsidRPr="7A3402DA">
              <w:rPr>
                <w:b/>
                <w:bCs/>
              </w:rPr>
              <w:t>, given that the two programs terminate at different times.</w:t>
            </w:r>
          </w:p>
        </w:tc>
        <w:tc>
          <w:tcPr>
            <w:tcW w:w="1167" w:type="dxa"/>
            <w:shd w:val="clear" w:color="auto" w:fill="E2EFD9" w:themeFill="accent6" w:themeFillTint="33"/>
          </w:tcPr>
          <w:p w14:paraId="67229E36" w14:textId="48AA0E80" w:rsidR="00E75600" w:rsidRPr="00432CD1" w:rsidRDefault="00E961D9">
            <w:pPr>
              <w:rPr>
                <w:rFonts w:cstheme="minorHAnsi"/>
                <w:b/>
                <w:bCs/>
              </w:rPr>
            </w:pPr>
            <w:r w:rsidRPr="00432CD1">
              <w:rPr>
                <w:rFonts w:cstheme="minorHAnsi"/>
                <w:b/>
                <w:bCs/>
              </w:rPr>
              <w:t>Agree</w:t>
            </w:r>
          </w:p>
          <w:p w14:paraId="644168F4" w14:textId="77777777" w:rsidR="00E961D9" w:rsidRPr="00432CD1" w:rsidRDefault="00E961D9" w:rsidP="00E961D9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694" w:type="dxa"/>
          </w:tcPr>
          <w:p w14:paraId="3C6444EA" w14:textId="42E01CCF" w:rsidR="00E75600" w:rsidRPr="0008786A" w:rsidRDefault="3E009B1E" w:rsidP="00FE35C8">
            <w:pPr>
              <w:spacing w:line="259" w:lineRule="auto"/>
              <w:rPr>
                <w:rFonts w:cstheme="minorHAnsi"/>
              </w:rPr>
            </w:pPr>
            <w:r w:rsidRPr="7A3402DA">
              <w:t xml:space="preserve">Should Katalis be extended for a further three-year period beyond 2025, </w:t>
            </w:r>
            <w:r w:rsidR="00A1538B">
              <w:t xml:space="preserve">DFAT agrees that </w:t>
            </w:r>
            <w:r w:rsidRPr="7A3402DA">
              <w:t>consideration</w:t>
            </w:r>
            <w:r w:rsidR="77466141" w:rsidRPr="7A3402DA">
              <w:t xml:space="preserve"> will</w:t>
            </w:r>
            <w:r w:rsidRPr="7A3402DA">
              <w:t xml:space="preserve"> need to be made for the shared services arrangement given </w:t>
            </w:r>
            <w:proofErr w:type="spellStart"/>
            <w:r w:rsidRPr="7A3402DA">
              <w:t>Prospera’s</w:t>
            </w:r>
            <w:proofErr w:type="spellEnd"/>
            <w:r w:rsidRPr="7A3402DA">
              <w:t xml:space="preserve"> end date scheduled for</w:t>
            </w:r>
            <w:r w:rsidR="00A1538B">
              <w:t xml:space="preserve"> February</w:t>
            </w:r>
            <w:r w:rsidRPr="7A3402DA">
              <w:t xml:space="preserve"> 2026.</w:t>
            </w:r>
          </w:p>
        </w:tc>
        <w:tc>
          <w:tcPr>
            <w:tcW w:w="3473" w:type="dxa"/>
          </w:tcPr>
          <w:p w14:paraId="6DB48A8A" w14:textId="65692A26" w:rsidR="00E75600" w:rsidRPr="0008786A" w:rsidRDefault="00A1538B" w:rsidP="7A3402DA">
            <w:pPr>
              <w:spacing w:line="259" w:lineRule="auto"/>
            </w:pPr>
            <w:r>
              <w:t>DFAT will factor this into forward planning.</w:t>
            </w:r>
            <w:r w:rsidR="1059F61C" w:rsidRPr="7A3402DA">
              <w:t xml:space="preserve"> </w:t>
            </w:r>
          </w:p>
        </w:tc>
        <w:tc>
          <w:tcPr>
            <w:tcW w:w="1350" w:type="dxa"/>
          </w:tcPr>
          <w:p w14:paraId="4233BF8D" w14:textId="1CAE2FE2" w:rsidR="00E75600" w:rsidRPr="0008786A" w:rsidRDefault="003A47AA">
            <w:pPr>
              <w:rPr>
                <w:rFonts w:cstheme="minorHAnsi"/>
              </w:rPr>
            </w:pPr>
            <w:r w:rsidRPr="0008786A">
              <w:rPr>
                <w:rFonts w:cstheme="minorHAnsi"/>
              </w:rPr>
              <w:t>July 2024 – December 2025</w:t>
            </w:r>
          </w:p>
        </w:tc>
      </w:tr>
    </w:tbl>
    <w:p w14:paraId="58D3D312" w14:textId="1A45141A" w:rsidR="00382081" w:rsidRPr="005E4E95" w:rsidRDefault="00382081" w:rsidP="00FE35C8">
      <w:pPr>
        <w:pStyle w:val="Heading2"/>
        <w:spacing w:before="360"/>
      </w:pPr>
      <w:r w:rsidRPr="005E4E95">
        <w:lastRenderedPageBreak/>
        <w:t>Recommendation</w:t>
      </w:r>
      <w:r w:rsidR="6116A31D" w:rsidRPr="005E4E95">
        <w:t>s</w:t>
      </w:r>
      <w:r w:rsidRPr="005E4E95">
        <w:t xml:space="preserve"> </w:t>
      </w:r>
      <w:r w:rsidR="32DF79AE" w:rsidRPr="005E4E95">
        <w:t xml:space="preserve">for </w:t>
      </w:r>
      <w:r w:rsidR="0EF0EC9D" w:rsidRPr="005E4E95">
        <w:t xml:space="preserve">when </w:t>
      </w:r>
      <w:r w:rsidRPr="005E4E95">
        <w:t xml:space="preserve">considering the second phase/extension period of </w:t>
      </w:r>
      <w:proofErr w:type="gramStart"/>
      <w:r w:rsidRPr="005E4E95">
        <w:t>Katalis</w:t>
      </w:r>
      <w:proofErr w:type="gramEnd"/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3535"/>
        <w:gridCol w:w="1230"/>
        <w:gridCol w:w="4444"/>
        <w:gridCol w:w="3530"/>
        <w:gridCol w:w="1290"/>
      </w:tblGrid>
      <w:tr w:rsidR="00AB4195" w:rsidRPr="0008786A" w14:paraId="1E98C513" w14:textId="77777777" w:rsidTr="616834C8">
        <w:tc>
          <w:tcPr>
            <w:tcW w:w="3535" w:type="dxa"/>
            <w:shd w:val="clear" w:color="auto" w:fill="BDD6EE" w:themeFill="accent5" w:themeFillTint="66"/>
          </w:tcPr>
          <w:p w14:paraId="5A3FCD2C" w14:textId="477DC779" w:rsidR="00AB4195" w:rsidRPr="0008786A" w:rsidRDefault="00E7033E" w:rsidP="003E43A5">
            <w:pPr>
              <w:spacing w:after="160" w:line="259" w:lineRule="auto"/>
              <w:jc w:val="center"/>
              <w:rPr>
                <w:rFonts w:cstheme="minorHAnsi"/>
                <w:b/>
                <w:bCs/>
              </w:rPr>
            </w:pPr>
            <w:r w:rsidRPr="0008786A">
              <w:rPr>
                <w:rFonts w:cstheme="minorHAnsi"/>
                <w:b/>
                <w:bCs/>
              </w:rPr>
              <w:t xml:space="preserve">Recommendation </w:t>
            </w:r>
            <w:r w:rsidR="00382081" w:rsidRPr="0008786A">
              <w:rPr>
                <w:rFonts w:cstheme="minorHAnsi"/>
                <w:b/>
                <w:bCs/>
              </w:rPr>
              <w:t>steps</w:t>
            </w:r>
          </w:p>
        </w:tc>
        <w:tc>
          <w:tcPr>
            <w:tcW w:w="1230" w:type="dxa"/>
            <w:shd w:val="clear" w:color="auto" w:fill="BDD6EE" w:themeFill="accent5" w:themeFillTint="66"/>
          </w:tcPr>
          <w:p w14:paraId="5CAEE4C1" w14:textId="68A65E51" w:rsidR="00AB4195" w:rsidRPr="0008786A" w:rsidRDefault="55A7B691" w:rsidP="003E43A5">
            <w:pPr>
              <w:jc w:val="center"/>
              <w:rPr>
                <w:b/>
                <w:bCs/>
              </w:rPr>
            </w:pPr>
            <w:r w:rsidRPr="7A3402DA">
              <w:rPr>
                <w:b/>
                <w:bCs/>
              </w:rPr>
              <w:t>Respons</w:t>
            </w:r>
            <w:r w:rsidR="33AB21AE" w:rsidRPr="7A3402DA">
              <w:rPr>
                <w:b/>
                <w:bCs/>
              </w:rPr>
              <w:t>e</w:t>
            </w:r>
          </w:p>
        </w:tc>
        <w:tc>
          <w:tcPr>
            <w:tcW w:w="4444" w:type="dxa"/>
            <w:shd w:val="clear" w:color="auto" w:fill="BDD6EE" w:themeFill="accent5" w:themeFillTint="66"/>
          </w:tcPr>
          <w:p w14:paraId="3C8A9CCD" w14:textId="438260D1" w:rsidR="00AB4195" w:rsidRPr="0008786A" w:rsidRDefault="00877F32" w:rsidP="003E43A5">
            <w:pPr>
              <w:jc w:val="center"/>
              <w:rPr>
                <w:rFonts w:cstheme="minorHAnsi"/>
                <w:b/>
                <w:bCs/>
              </w:rPr>
            </w:pPr>
            <w:r w:rsidRPr="0008786A">
              <w:rPr>
                <w:rFonts w:cstheme="minorHAnsi"/>
                <w:b/>
                <w:bCs/>
              </w:rPr>
              <w:t>Explanatio</w:t>
            </w:r>
            <w:r w:rsidR="00044248" w:rsidRPr="0008786A">
              <w:rPr>
                <w:rFonts w:cstheme="minorHAnsi"/>
                <w:b/>
                <w:bCs/>
              </w:rPr>
              <w:t>n</w:t>
            </w:r>
          </w:p>
        </w:tc>
        <w:tc>
          <w:tcPr>
            <w:tcW w:w="3530" w:type="dxa"/>
            <w:shd w:val="clear" w:color="auto" w:fill="BDD6EE" w:themeFill="accent5" w:themeFillTint="66"/>
          </w:tcPr>
          <w:p w14:paraId="2CAE3266" w14:textId="38ECDB8B" w:rsidR="00AB4195" w:rsidRPr="0008786A" w:rsidRDefault="00877F32" w:rsidP="003E43A5">
            <w:pPr>
              <w:jc w:val="center"/>
              <w:rPr>
                <w:rFonts w:cstheme="minorHAnsi"/>
                <w:b/>
                <w:bCs/>
              </w:rPr>
            </w:pPr>
            <w:r w:rsidRPr="0008786A">
              <w:rPr>
                <w:rFonts w:cstheme="minorHAnsi"/>
                <w:b/>
                <w:bCs/>
              </w:rPr>
              <w:t>Action Plan</w:t>
            </w:r>
          </w:p>
        </w:tc>
        <w:tc>
          <w:tcPr>
            <w:tcW w:w="1290" w:type="dxa"/>
            <w:shd w:val="clear" w:color="auto" w:fill="BDD6EE" w:themeFill="accent5" w:themeFillTint="66"/>
          </w:tcPr>
          <w:p w14:paraId="31D0494C" w14:textId="0A580FAE" w:rsidR="00AB4195" w:rsidRPr="0008786A" w:rsidRDefault="00877F32" w:rsidP="003E43A5">
            <w:pPr>
              <w:jc w:val="center"/>
              <w:rPr>
                <w:rFonts w:cstheme="minorHAnsi"/>
                <w:b/>
                <w:bCs/>
              </w:rPr>
            </w:pPr>
            <w:r w:rsidRPr="0008786A">
              <w:rPr>
                <w:rFonts w:cstheme="minorHAnsi"/>
                <w:b/>
                <w:bCs/>
              </w:rPr>
              <w:t>Timeframe</w:t>
            </w:r>
          </w:p>
        </w:tc>
      </w:tr>
      <w:tr w:rsidR="00AB4195" w:rsidRPr="0008786A" w14:paraId="4450BAE2" w14:textId="77777777" w:rsidTr="00432CD1">
        <w:tc>
          <w:tcPr>
            <w:tcW w:w="3535" w:type="dxa"/>
          </w:tcPr>
          <w:p w14:paraId="65CD22EC" w14:textId="4674FDB8" w:rsidR="00AB4195" w:rsidRPr="0008786A" w:rsidRDefault="26053588" w:rsidP="7A3402DA">
            <w:pPr>
              <w:pStyle w:val="ListParagraph"/>
              <w:numPr>
                <w:ilvl w:val="0"/>
                <w:numId w:val="11"/>
              </w:numPr>
              <w:ind w:left="311" w:hanging="311"/>
              <w:rPr>
                <w:b/>
                <w:bCs/>
              </w:rPr>
            </w:pPr>
            <w:r w:rsidRPr="7A3402DA">
              <w:rPr>
                <w:b/>
                <w:bCs/>
              </w:rPr>
              <w:t>Agree on what both Governments want the program to achieve.</w:t>
            </w:r>
          </w:p>
        </w:tc>
        <w:tc>
          <w:tcPr>
            <w:tcW w:w="1230" w:type="dxa"/>
            <w:shd w:val="clear" w:color="auto" w:fill="E2EFD9" w:themeFill="accent6" w:themeFillTint="33"/>
          </w:tcPr>
          <w:p w14:paraId="09C19A58" w14:textId="7794A0AB" w:rsidR="00AB4195" w:rsidRPr="003E43A5" w:rsidRDefault="00044248">
            <w:pPr>
              <w:rPr>
                <w:rFonts w:cstheme="minorHAnsi"/>
                <w:b/>
                <w:bCs/>
              </w:rPr>
            </w:pPr>
            <w:r w:rsidRPr="003E43A5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4444" w:type="dxa"/>
          </w:tcPr>
          <w:p w14:paraId="323FA0A1" w14:textId="70E48A71" w:rsidR="00867722" w:rsidRPr="0008786A" w:rsidRDefault="14252F03" w:rsidP="7A3402DA">
            <w:pPr>
              <w:pStyle w:val="ListBullet"/>
              <w:numPr>
                <w:ilvl w:val="0"/>
                <w:numId w:val="12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Consider how feasible </w:t>
            </w:r>
            <w:r w:rsidR="2011D498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it </w:t>
            </w:r>
            <w:r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is </w:t>
            </w:r>
            <w:r w:rsidR="1696088A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for </w:t>
            </w:r>
            <w:r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Katalis’ </w:t>
            </w:r>
            <w:r w:rsidR="0EA7B742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to </w:t>
            </w:r>
            <w:r w:rsidRPr="616834C8">
              <w:rPr>
                <w:rFonts w:asciiTheme="minorHAnsi" w:hAnsiTheme="minorHAnsi" w:cstheme="minorBidi"/>
                <w:sz w:val="22"/>
                <w:szCs w:val="22"/>
              </w:rPr>
              <w:t>continu</w:t>
            </w:r>
            <w:r w:rsidR="4F94E3C4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e </w:t>
            </w:r>
            <w:r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to present the implementation of IA-CEPA as the ‘core </w:t>
            </w:r>
            <w:proofErr w:type="gramStart"/>
            <w:r w:rsidRPr="616834C8">
              <w:rPr>
                <w:rFonts w:asciiTheme="minorHAnsi" w:hAnsiTheme="minorHAnsi" w:cstheme="minorBidi"/>
                <w:sz w:val="22"/>
                <w:szCs w:val="22"/>
              </w:rPr>
              <w:t>business’</w:t>
            </w:r>
            <w:proofErr w:type="gramEnd"/>
            <w:r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 of the economic cooperation program.</w:t>
            </w:r>
          </w:p>
          <w:p w14:paraId="634AD6F1" w14:textId="2F09533A" w:rsidR="00AB4195" w:rsidRPr="0008786A" w:rsidRDefault="14252F03" w:rsidP="7A3402DA">
            <w:pPr>
              <w:pStyle w:val="ListBullet"/>
              <w:numPr>
                <w:ilvl w:val="0"/>
                <w:numId w:val="12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Consider whether Katalis should continue to </w:t>
            </w:r>
            <w:r w:rsidR="6C3BECDF" w:rsidRPr="616834C8">
              <w:rPr>
                <w:rFonts w:asciiTheme="minorHAnsi" w:hAnsiTheme="minorHAnsi" w:cstheme="minorBidi"/>
                <w:sz w:val="22"/>
                <w:szCs w:val="22"/>
              </w:rPr>
              <w:t>support business activit</w:t>
            </w:r>
            <w:r w:rsidR="33ACBC24" w:rsidRPr="616834C8"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r w:rsidR="6C3BECDF" w:rsidRPr="616834C8">
              <w:rPr>
                <w:rFonts w:asciiTheme="minorHAnsi" w:hAnsiTheme="minorHAnsi" w:cstheme="minorBidi"/>
                <w:sz w:val="22"/>
                <w:szCs w:val="22"/>
              </w:rPr>
              <w:t>es</w:t>
            </w:r>
            <w:r w:rsidRPr="616834C8">
              <w:rPr>
                <w:rFonts w:asciiTheme="minorHAnsi" w:hAnsiTheme="minorHAnsi" w:cstheme="minorBidi"/>
                <w:sz w:val="22"/>
                <w:szCs w:val="22"/>
              </w:rPr>
              <w:t>, and if so, how and for what purpose?</w:t>
            </w:r>
          </w:p>
        </w:tc>
        <w:tc>
          <w:tcPr>
            <w:tcW w:w="3530" w:type="dxa"/>
          </w:tcPr>
          <w:p w14:paraId="4924C580" w14:textId="25AB6B2E" w:rsidR="00AB4195" w:rsidRPr="0008786A" w:rsidRDefault="00811E2F" w:rsidP="7A3402DA">
            <w:pPr>
              <w:spacing w:line="259" w:lineRule="auto"/>
            </w:pPr>
            <w:r w:rsidRPr="00811E2F">
              <w:t xml:space="preserve">DFAT agrees on the importance of clarifying and aligning the goals of </w:t>
            </w:r>
            <w:r>
              <w:t xml:space="preserve">both </w:t>
            </w:r>
            <w:r w:rsidR="001A0860">
              <w:t xml:space="preserve">the </w:t>
            </w:r>
            <w:r w:rsidRPr="00811E2F">
              <w:t>Australia</w:t>
            </w:r>
            <w:r w:rsidR="001A0860">
              <w:t>n</w:t>
            </w:r>
            <w:r w:rsidRPr="00811E2F">
              <w:t xml:space="preserve"> and</w:t>
            </w:r>
            <w:r w:rsidR="001A0860">
              <w:t xml:space="preserve"> Indonesian governments. </w:t>
            </w:r>
            <w:r w:rsidRPr="00811E2F">
              <w:t xml:space="preserve"> </w:t>
            </w:r>
            <w:r w:rsidR="6A292CDE" w:rsidRPr="7A3402DA">
              <w:t xml:space="preserve">DFAT </w:t>
            </w:r>
            <w:r w:rsidR="001A0860">
              <w:t>will</w:t>
            </w:r>
            <w:r w:rsidR="61702C8B" w:rsidRPr="7A3402DA">
              <w:t xml:space="preserve"> conduct</w:t>
            </w:r>
            <w:r w:rsidR="6A292CDE" w:rsidRPr="7A3402DA">
              <w:t xml:space="preserve"> consultation with G</w:t>
            </w:r>
            <w:r w:rsidR="6CAAC513" w:rsidRPr="7A3402DA">
              <w:t xml:space="preserve">OI counterparts </w:t>
            </w:r>
            <w:r w:rsidR="27E0C5C0" w:rsidRPr="7A3402DA">
              <w:t>to</w:t>
            </w:r>
            <w:r w:rsidR="001A0860">
              <w:t xml:space="preserve"> improve communications</w:t>
            </w:r>
            <w:r w:rsidR="008E498E">
              <w:t xml:space="preserve"> and to</w:t>
            </w:r>
            <w:r w:rsidR="145EA8E9" w:rsidRPr="7A3402DA">
              <w:t xml:space="preserve"> consider and agree on the future of Katalis</w:t>
            </w:r>
            <w:r w:rsidR="27E0C5C0" w:rsidRPr="7A3402DA">
              <w:t>.</w:t>
            </w:r>
            <w:r w:rsidR="76769A58" w:rsidRPr="7A3402DA">
              <w:t xml:space="preserve"> This will include discussion on what success look like</w:t>
            </w:r>
            <w:r w:rsidR="5FDC000E" w:rsidRPr="7A3402DA">
              <w:t xml:space="preserve">, should there be a </w:t>
            </w:r>
            <w:r w:rsidR="71453ACD" w:rsidRPr="7A3402DA">
              <w:t>second phase</w:t>
            </w:r>
            <w:r w:rsidR="5FDC000E" w:rsidRPr="7A3402DA">
              <w:t xml:space="preserve">. </w:t>
            </w:r>
          </w:p>
        </w:tc>
        <w:tc>
          <w:tcPr>
            <w:tcW w:w="1290" w:type="dxa"/>
          </w:tcPr>
          <w:p w14:paraId="22B99332" w14:textId="0013A8EA" w:rsidR="00AB4195" w:rsidRPr="0008786A" w:rsidRDefault="00F5344F">
            <w:pPr>
              <w:rPr>
                <w:rFonts w:cstheme="minorHAnsi"/>
              </w:rPr>
            </w:pPr>
            <w:r w:rsidRPr="0008786A">
              <w:rPr>
                <w:rFonts w:cstheme="minorHAnsi"/>
              </w:rPr>
              <w:t>July 2024 – November 2025</w:t>
            </w:r>
          </w:p>
        </w:tc>
      </w:tr>
      <w:tr w:rsidR="00AB4195" w:rsidRPr="0008786A" w14:paraId="773CA0BC" w14:textId="77777777" w:rsidTr="00432CD1">
        <w:tc>
          <w:tcPr>
            <w:tcW w:w="3535" w:type="dxa"/>
          </w:tcPr>
          <w:p w14:paraId="681E4225" w14:textId="135C8E72" w:rsidR="00AB4195" w:rsidRPr="0008786A" w:rsidRDefault="35541AC0" w:rsidP="7A3402DA">
            <w:pPr>
              <w:pStyle w:val="ListParagraph"/>
              <w:numPr>
                <w:ilvl w:val="0"/>
                <w:numId w:val="11"/>
              </w:numPr>
              <w:ind w:left="311" w:hanging="311"/>
              <w:rPr>
                <w:b/>
                <w:bCs/>
              </w:rPr>
            </w:pPr>
            <w:r w:rsidRPr="7A3402DA">
              <w:rPr>
                <w:b/>
                <w:bCs/>
              </w:rPr>
              <w:t>Clarify how the program should operate and what objectives it can reasonably be expected to deliver on.</w:t>
            </w:r>
          </w:p>
        </w:tc>
        <w:tc>
          <w:tcPr>
            <w:tcW w:w="1230" w:type="dxa"/>
            <w:shd w:val="clear" w:color="auto" w:fill="E2EFD9" w:themeFill="accent6" w:themeFillTint="33"/>
          </w:tcPr>
          <w:p w14:paraId="6BDC81AC" w14:textId="4A1C6C9F" w:rsidR="00AB4195" w:rsidRPr="003E43A5" w:rsidRDefault="00044248">
            <w:pPr>
              <w:rPr>
                <w:rFonts w:cstheme="minorHAnsi"/>
                <w:b/>
                <w:bCs/>
              </w:rPr>
            </w:pPr>
            <w:r w:rsidRPr="003E43A5">
              <w:rPr>
                <w:rFonts w:cstheme="minorHAnsi"/>
                <w:b/>
                <w:bCs/>
              </w:rPr>
              <w:t>Agree</w:t>
            </w:r>
          </w:p>
        </w:tc>
        <w:tc>
          <w:tcPr>
            <w:tcW w:w="4444" w:type="dxa"/>
          </w:tcPr>
          <w:p w14:paraId="78D76D1C" w14:textId="569A2228" w:rsidR="00280712" w:rsidRPr="0008786A" w:rsidRDefault="487386AE" w:rsidP="7A3402DA">
            <w:pPr>
              <w:pStyle w:val="ListBullet"/>
              <w:numPr>
                <w:ilvl w:val="0"/>
                <w:numId w:val="13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7A3402DA">
              <w:rPr>
                <w:rFonts w:asciiTheme="minorHAnsi" w:hAnsiTheme="minorHAnsi" w:cstheme="minorBidi"/>
                <w:sz w:val="22"/>
                <w:szCs w:val="22"/>
              </w:rPr>
              <w:t xml:space="preserve">Consider enabling ‘checks’ in place such as by updating the Investment Criteria to make a more explicit link between a development </w:t>
            </w:r>
            <w:r w:rsidRPr="7A3402DA">
              <w:rPr>
                <w:rFonts w:asciiTheme="minorHAnsi" w:eastAsiaTheme="minorEastAsia" w:hAnsiTheme="minorHAnsi" w:cstheme="minorBidi"/>
                <w:sz w:val="22"/>
                <w:szCs w:val="22"/>
              </w:rPr>
              <w:t>objective and why Katalis is needed to support businesses</w:t>
            </w:r>
            <w:r w:rsidR="5D0529FB" w:rsidRPr="7A3402DA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7B81CF58" w14:textId="6DB2ADE1" w:rsidR="00280712" w:rsidRPr="0008786A" w:rsidRDefault="267A1620" w:rsidP="7A3402DA">
            <w:pPr>
              <w:pStyle w:val="ListBullet"/>
              <w:numPr>
                <w:ilvl w:val="0"/>
                <w:numId w:val="13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616834C8">
              <w:rPr>
                <w:rFonts w:asciiTheme="minorHAnsi" w:hAnsiTheme="minorHAnsi" w:cstheme="minorBidi"/>
                <w:sz w:val="22"/>
                <w:szCs w:val="22"/>
              </w:rPr>
              <w:t>Consider how to explain what success looks like for business engagement activities so stakeholders can easily understand it.</w:t>
            </w:r>
          </w:p>
          <w:p w14:paraId="05678379" w14:textId="68C44B4F" w:rsidR="00AB4195" w:rsidRPr="0008786A" w:rsidRDefault="487386AE" w:rsidP="7A3402DA">
            <w:pPr>
              <w:pStyle w:val="ListBullet"/>
              <w:numPr>
                <w:ilvl w:val="0"/>
                <w:numId w:val="13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7A3402DA">
              <w:rPr>
                <w:rFonts w:asciiTheme="minorHAnsi" w:hAnsiTheme="minorHAnsi" w:cstheme="minorBidi"/>
                <w:sz w:val="22"/>
                <w:szCs w:val="22"/>
              </w:rPr>
              <w:t>Consider the trade-offs between going ‘broader’ by engaging with a larger range of businesses or ‘deeper’ by following through with a small pool of businesses into implementing their trade and investment</w:t>
            </w:r>
            <w:r w:rsidR="7895F14D" w:rsidRPr="7A3402DA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3530" w:type="dxa"/>
          </w:tcPr>
          <w:p w14:paraId="6F2B604B" w14:textId="3C3B935C" w:rsidR="00AB4195" w:rsidRPr="0008786A" w:rsidRDefault="4FE32219" w:rsidP="7A3402DA">
            <w:pPr>
              <w:spacing w:line="259" w:lineRule="auto"/>
            </w:pPr>
            <w:r w:rsidRPr="616834C8">
              <w:t xml:space="preserve">DFAT </w:t>
            </w:r>
            <w:r w:rsidR="7AC79878" w:rsidRPr="616834C8">
              <w:t xml:space="preserve">will </w:t>
            </w:r>
            <w:r w:rsidR="6964C8A8" w:rsidRPr="616834C8">
              <w:t xml:space="preserve">consult </w:t>
            </w:r>
            <w:r w:rsidR="422C9E67" w:rsidRPr="616834C8">
              <w:t>internally</w:t>
            </w:r>
            <w:r w:rsidR="00933873">
              <w:t xml:space="preserve">, </w:t>
            </w:r>
            <w:r w:rsidR="6964C8A8" w:rsidRPr="616834C8">
              <w:t>w</w:t>
            </w:r>
            <w:r w:rsidR="0E282F1D" w:rsidRPr="616834C8">
              <w:t xml:space="preserve">ith </w:t>
            </w:r>
            <w:r w:rsidR="6964C8A8" w:rsidRPr="616834C8">
              <w:t>GOI</w:t>
            </w:r>
            <w:r w:rsidR="00933873">
              <w:t xml:space="preserve"> and where feasible, with key private sector partners,</w:t>
            </w:r>
            <w:r w:rsidR="6964C8A8" w:rsidRPr="616834C8">
              <w:t xml:space="preserve"> to agree on the reasonable objectives that Katalis </w:t>
            </w:r>
            <w:r w:rsidR="569F5C01" w:rsidRPr="616834C8">
              <w:t>could</w:t>
            </w:r>
            <w:r w:rsidR="433B91FE" w:rsidRPr="616834C8">
              <w:t xml:space="preserve"> potentially</w:t>
            </w:r>
            <w:r w:rsidR="569F5C01" w:rsidRPr="616834C8">
              <w:t xml:space="preserve"> deliver</w:t>
            </w:r>
            <w:r w:rsidR="433B91FE" w:rsidRPr="616834C8">
              <w:t xml:space="preserve"> </w:t>
            </w:r>
            <w:r w:rsidR="05E7C41F" w:rsidRPr="616834C8">
              <w:t>within</w:t>
            </w:r>
            <w:r w:rsidR="433B91FE" w:rsidRPr="616834C8">
              <w:t xml:space="preserve"> </w:t>
            </w:r>
            <w:r w:rsidR="58E00089" w:rsidRPr="616834C8">
              <w:t xml:space="preserve">a </w:t>
            </w:r>
            <w:r w:rsidR="71453ACD" w:rsidRPr="616834C8">
              <w:t>second phase.</w:t>
            </w:r>
          </w:p>
        </w:tc>
        <w:tc>
          <w:tcPr>
            <w:tcW w:w="1290" w:type="dxa"/>
          </w:tcPr>
          <w:p w14:paraId="6E1A04F2" w14:textId="063115BC" w:rsidR="00AB4195" w:rsidRPr="0008786A" w:rsidRDefault="009B553E">
            <w:pPr>
              <w:rPr>
                <w:rFonts w:cstheme="minorHAnsi"/>
              </w:rPr>
            </w:pPr>
            <w:r w:rsidRPr="0008786A">
              <w:rPr>
                <w:rFonts w:cstheme="minorHAnsi"/>
              </w:rPr>
              <w:t>July 2024 – November 2025</w:t>
            </w:r>
          </w:p>
        </w:tc>
      </w:tr>
      <w:tr w:rsidR="00AB4195" w:rsidRPr="00044248" w14:paraId="06F89D77" w14:textId="77777777" w:rsidTr="00432CD1">
        <w:tc>
          <w:tcPr>
            <w:tcW w:w="3535" w:type="dxa"/>
          </w:tcPr>
          <w:p w14:paraId="6BEF50FE" w14:textId="2AC3133F" w:rsidR="00AB4195" w:rsidRPr="00013E5E" w:rsidRDefault="595AA138" w:rsidP="7A3402DA">
            <w:pPr>
              <w:pStyle w:val="ListParagraph"/>
              <w:numPr>
                <w:ilvl w:val="0"/>
                <w:numId w:val="11"/>
              </w:numPr>
              <w:ind w:left="311" w:hanging="311"/>
              <w:rPr>
                <w:b/>
                <w:bCs/>
              </w:rPr>
            </w:pPr>
            <w:r w:rsidRPr="7A3402DA">
              <w:rPr>
                <w:b/>
                <w:bCs/>
              </w:rPr>
              <w:lastRenderedPageBreak/>
              <w:t>Develop an honest assessment of the appetite both countries and their responsible agencies have for risk.</w:t>
            </w:r>
          </w:p>
        </w:tc>
        <w:tc>
          <w:tcPr>
            <w:tcW w:w="1230" w:type="dxa"/>
            <w:shd w:val="clear" w:color="auto" w:fill="E2EFD9" w:themeFill="accent6" w:themeFillTint="33"/>
          </w:tcPr>
          <w:p w14:paraId="5703147C" w14:textId="4ACF9EEF" w:rsidR="00AB4195" w:rsidRPr="00044248" w:rsidRDefault="00044248">
            <w:pPr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44" w:type="dxa"/>
          </w:tcPr>
          <w:p w14:paraId="2C35CEC3" w14:textId="2990A2F0" w:rsidR="00AB4195" w:rsidRPr="00013E5E" w:rsidRDefault="62A9EB66" w:rsidP="616834C8">
            <w:pPr>
              <w:pStyle w:val="ListBullet"/>
              <w:numPr>
                <w:ilvl w:val="0"/>
                <w:numId w:val="14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616834C8">
              <w:rPr>
                <w:rFonts w:asciiTheme="minorHAnsi" w:hAnsiTheme="minorHAnsi" w:cstheme="minorBidi"/>
                <w:sz w:val="22"/>
                <w:szCs w:val="22"/>
              </w:rPr>
              <w:t>Having regard to the findings of the MTR, r</w:t>
            </w:r>
            <w:r w:rsidR="0EC428F9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econsider the risks </w:t>
            </w:r>
            <w:r w:rsidR="61A9D6F2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(including perception risks) </w:t>
            </w:r>
            <w:r w:rsidR="0EC428F9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around </w:t>
            </w:r>
            <w:r w:rsidR="1CA08492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engaging with </w:t>
            </w:r>
            <w:r w:rsidR="0EC428F9" w:rsidRPr="616834C8">
              <w:rPr>
                <w:rFonts w:asciiTheme="minorHAnsi" w:hAnsiTheme="minorHAnsi" w:cstheme="minorBidi"/>
                <w:sz w:val="22"/>
                <w:szCs w:val="22"/>
              </w:rPr>
              <w:t>business and determin</w:t>
            </w:r>
            <w:r w:rsidR="149D0C39" w:rsidRPr="616834C8">
              <w:rPr>
                <w:rFonts w:asciiTheme="minorHAnsi" w:hAnsiTheme="minorHAnsi" w:cstheme="minorBidi"/>
                <w:sz w:val="22"/>
                <w:szCs w:val="22"/>
              </w:rPr>
              <w:t xml:space="preserve">e </w:t>
            </w:r>
            <w:r w:rsidR="5B1F5CF4" w:rsidRPr="616834C8">
              <w:rPr>
                <w:rFonts w:asciiTheme="minorHAnsi" w:hAnsiTheme="minorHAnsi" w:cstheme="minorBidi"/>
                <w:sz w:val="22"/>
                <w:szCs w:val="22"/>
              </w:rPr>
              <w:t>whether they require treatment</w:t>
            </w:r>
            <w:r w:rsidR="0EC428F9" w:rsidRPr="616834C8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3530" w:type="dxa"/>
          </w:tcPr>
          <w:p w14:paraId="0D02A429" w14:textId="5559C83E" w:rsidR="00AB4195" w:rsidRPr="00013E5E" w:rsidRDefault="4EAC7A3E" w:rsidP="616834C8">
            <w:pPr>
              <w:spacing w:line="259" w:lineRule="auto"/>
            </w:pPr>
            <w:r w:rsidRPr="616834C8">
              <w:t>DFAT will consult internally and with GOI to agree how to manage these risks</w:t>
            </w:r>
            <w:r w:rsidR="00A1538B">
              <w:t>, including</w:t>
            </w:r>
            <w:r w:rsidRPr="616834C8">
              <w:t xml:space="preserve"> in the context of </w:t>
            </w:r>
            <w:r w:rsidR="312F1008" w:rsidRPr="616834C8">
              <w:t xml:space="preserve">considering a </w:t>
            </w:r>
            <w:r w:rsidRPr="616834C8">
              <w:t>second phase.</w:t>
            </w:r>
          </w:p>
          <w:p w14:paraId="2749D007" w14:textId="0E3E877D" w:rsidR="00AB4195" w:rsidRPr="00013E5E" w:rsidRDefault="00AB4195" w:rsidP="616834C8">
            <w:pPr>
              <w:spacing w:line="259" w:lineRule="auto"/>
            </w:pPr>
          </w:p>
        </w:tc>
        <w:tc>
          <w:tcPr>
            <w:tcW w:w="1290" w:type="dxa"/>
          </w:tcPr>
          <w:p w14:paraId="55BE776E" w14:textId="699D39E6" w:rsidR="00AB4195" w:rsidRPr="00044248" w:rsidRDefault="009B553E">
            <w:pPr>
              <w:rPr>
                <w:rFonts w:cstheme="minorHAnsi"/>
              </w:rPr>
            </w:pPr>
            <w:r>
              <w:rPr>
                <w:rFonts w:cstheme="minorHAnsi"/>
              </w:rPr>
              <w:t>July 2024 – November 2025</w:t>
            </w:r>
          </w:p>
        </w:tc>
      </w:tr>
      <w:tr w:rsidR="00AB4195" w:rsidRPr="00044248" w14:paraId="26F39672" w14:textId="77777777" w:rsidTr="00432CD1">
        <w:tc>
          <w:tcPr>
            <w:tcW w:w="3535" w:type="dxa"/>
          </w:tcPr>
          <w:p w14:paraId="0ABDA44B" w14:textId="3C508CCE" w:rsidR="00AB4195" w:rsidRPr="00013E5E" w:rsidRDefault="00972540" w:rsidP="00910869">
            <w:pPr>
              <w:pStyle w:val="ListParagraph"/>
              <w:numPr>
                <w:ilvl w:val="0"/>
                <w:numId w:val="11"/>
              </w:numPr>
              <w:ind w:left="311" w:hanging="311"/>
              <w:rPr>
                <w:rFonts w:cstheme="minorHAnsi"/>
                <w:b/>
                <w:bCs/>
              </w:rPr>
            </w:pPr>
            <w:r w:rsidRPr="00013E5E">
              <w:rPr>
                <w:rFonts w:cstheme="minorHAnsi"/>
                <w:b/>
                <w:bCs/>
              </w:rPr>
              <w:t>Deciding if the current shared-services arrangement with another program can continue</w:t>
            </w:r>
          </w:p>
        </w:tc>
        <w:tc>
          <w:tcPr>
            <w:tcW w:w="1230" w:type="dxa"/>
            <w:shd w:val="clear" w:color="auto" w:fill="E2EFD9" w:themeFill="accent6" w:themeFillTint="33"/>
          </w:tcPr>
          <w:p w14:paraId="28547E5B" w14:textId="6CF3C224" w:rsidR="00AB4195" w:rsidRPr="00044248" w:rsidRDefault="00044248">
            <w:pPr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44" w:type="dxa"/>
          </w:tcPr>
          <w:p w14:paraId="4C8029DF" w14:textId="0D6E0083" w:rsidR="00AB4195" w:rsidRPr="00013E5E" w:rsidRDefault="5D0529FB" w:rsidP="7A3402DA">
            <w:pPr>
              <w:pStyle w:val="ListBullet"/>
              <w:numPr>
                <w:ilvl w:val="0"/>
                <w:numId w:val="15"/>
              </w:numPr>
              <w:ind w:left="540"/>
              <w:rPr>
                <w:rFonts w:asciiTheme="minorHAnsi" w:hAnsiTheme="minorHAnsi" w:cstheme="minorBidi"/>
                <w:sz w:val="22"/>
                <w:szCs w:val="22"/>
              </w:rPr>
            </w:pPr>
            <w:r w:rsidRPr="7A3402DA">
              <w:rPr>
                <w:rFonts w:asciiTheme="minorHAnsi" w:hAnsiTheme="minorHAnsi" w:cstheme="minorBidi"/>
                <w:sz w:val="22"/>
                <w:szCs w:val="22"/>
              </w:rPr>
              <w:t xml:space="preserve">Begin early considerations on the shared-services arrangement in place given the staggered timelines of program completion between </w:t>
            </w:r>
            <w:proofErr w:type="spellStart"/>
            <w:r w:rsidRPr="7A3402DA">
              <w:rPr>
                <w:rFonts w:asciiTheme="minorHAnsi" w:hAnsiTheme="minorHAnsi" w:cstheme="minorBidi"/>
                <w:sz w:val="22"/>
                <w:szCs w:val="22"/>
              </w:rPr>
              <w:t>Katalis</w:t>
            </w:r>
            <w:proofErr w:type="spellEnd"/>
            <w:r w:rsidRPr="7A3402DA">
              <w:rPr>
                <w:rFonts w:asciiTheme="minorHAnsi" w:hAnsiTheme="minorHAnsi" w:cstheme="minorBidi"/>
                <w:sz w:val="22"/>
                <w:szCs w:val="22"/>
              </w:rPr>
              <w:t xml:space="preserve"> and </w:t>
            </w:r>
            <w:proofErr w:type="spellStart"/>
            <w:r w:rsidRPr="7A3402DA">
              <w:rPr>
                <w:rFonts w:asciiTheme="minorHAnsi" w:hAnsiTheme="minorHAnsi" w:cstheme="minorBidi"/>
                <w:sz w:val="22"/>
                <w:szCs w:val="22"/>
              </w:rPr>
              <w:t>Prospera</w:t>
            </w:r>
            <w:proofErr w:type="spellEnd"/>
            <w:r w:rsidRPr="7A3402DA">
              <w:rPr>
                <w:rFonts w:asciiTheme="minorHAnsi" w:hAnsiTheme="minorHAnsi" w:cstheme="minorBidi"/>
                <w:sz w:val="22"/>
                <w:szCs w:val="22"/>
              </w:rPr>
              <w:t>.</w:t>
            </w:r>
          </w:p>
        </w:tc>
        <w:tc>
          <w:tcPr>
            <w:tcW w:w="3530" w:type="dxa"/>
          </w:tcPr>
          <w:p w14:paraId="6BD32E6B" w14:textId="4E40DCB2" w:rsidR="00AB4195" w:rsidRPr="00013E5E" w:rsidRDefault="36138B9E" w:rsidP="7A3402DA">
            <w:pPr>
              <w:spacing w:line="259" w:lineRule="auto"/>
            </w:pPr>
            <w:r w:rsidRPr="7A3402DA">
              <w:t xml:space="preserve">DFAT, led by Post, will </w:t>
            </w:r>
            <w:r w:rsidR="08D4D544" w:rsidRPr="7A3402DA">
              <w:t>explore,</w:t>
            </w:r>
            <w:r w:rsidRPr="7A3402DA">
              <w:t xml:space="preserve"> </w:t>
            </w:r>
            <w:r w:rsidR="2658D7C4" w:rsidRPr="7A3402DA">
              <w:t>and consider viable options</w:t>
            </w:r>
            <w:r w:rsidR="6A13C3C6" w:rsidRPr="7A3402DA">
              <w:t>.</w:t>
            </w:r>
            <w:r w:rsidR="006F48E9">
              <w:t xml:space="preserve"> </w:t>
            </w:r>
          </w:p>
        </w:tc>
        <w:tc>
          <w:tcPr>
            <w:tcW w:w="1290" w:type="dxa"/>
          </w:tcPr>
          <w:p w14:paraId="1FA8B9FB" w14:textId="1182EC10" w:rsidR="00AB4195" w:rsidRPr="00044248" w:rsidRDefault="00452637">
            <w:pPr>
              <w:rPr>
                <w:rFonts w:cstheme="minorHAnsi"/>
              </w:rPr>
            </w:pPr>
            <w:r>
              <w:rPr>
                <w:rFonts w:cstheme="minorHAnsi"/>
              </w:rPr>
              <w:t>July 2025 onwards.</w:t>
            </w:r>
          </w:p>
        </w:tc>
      </w:tr>
    </w:tbl>
    <w:p w14:paraId="7EC5CF50" w14:textId="77777777" w:rsidR="00FA74D2" w:rsidRDefault="00FA74D2">
      <w:pPr>
        <w:rPr>
          <w:rFonts w:cstheme="minorHAnsi"/>
        </w:rPr>
      </w:pPr>
    </w:p>
    <w:p w14:paraId="1BB93804" w14:textId="77777777" w:rsidR="009D1EA8" w:rsidRPr="00E75600" w:rsidRDefault="009D1EA8">
      <w:pPr>
        <w:rPr>
          <w:rFonts w:cstheme="minorHAnsi"/>
        </w:rPr>
      </w:pPr>
    </w:p>
    <w:sectPr w:rsidR="009D1EA8" w:rsidRPr="00E75600" w:rsidSect="00E756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BDC0" w14:textId="77777777" w:rsidR="00AC572C" w:rsidRDefault="00AC572C" w:rsidP="005B6C06">
      <w:pPr>
        <w:spacing w:after="0" w:line="240" w:lineRule="auto"/>
      </w:pPr>
      <w:r>
        <w:separator/>
      </w:r>
    </w:p>
  </w:endnote>
  <w:endnote w:type="continuationSeparator" w:id="0">
    <w:p w14:paraId="46252767" w14:textId="77777777" w:rsidR="00AC572C" w:rsidRDefault="00AC572C" w:rsidP="005B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60DD" w14:textId="77777777" w:rsidR="00AC572C" w:rsidRDefault="00AC572C" w:rsidP="005B6C06">
      <w:pPr>
        <w:spacing w:after="0" w:line="240" w:lineRule="auto"/>
      </w:pPr>
      <w:r>
        <w:separator/>
      </w:r>
    </w:p>
  </w:footnote>
  <w:footnote w:type="continuationSeparator" w:id="0">
    <w:p w14:paraId="30488133" w14:textId="77777777" w:rsidR="00AC572C" w:rsidRDefault="00AC572C" w:rsidP="005B6C06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p4Dqz3f" int2:invalidationBookmarkName="" int2:hashCode="FfrOC/YvOVLPEa" int2:id="DKGOKnjG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34D6"/>
    <w:multiLevelType w:val="hybridMultilevel"/>
    <w:tmpl w:val="5C3A8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FA5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2F3CA0"/>
    <w:multiLevelType w:val="hybridMultilevel"/>
    <w:tmpl w:val="795EA5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BB5"/>
    <w:multiLevelType w:val="hybridMultilevel"/>
    <w:tmpl w:val="26701432"/>
    <w:lvl w:ilvl="0" w:tplc="0C09000F">
      <w:start w:val="1"/>
      <w:numFmt w:val="decimal"/>
      <w:lvlText w:val="%1."/>
      <w:lvlJc w:val="left"/>
      <w:pPr>
        <w:ind w:left="-5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" w:hanging="360"/>
      </w:pPr>
    </w:lvl>
    <w:lvl w:ilvl="2" w:tplc="0C09001B" w:tentative="1">
      <w:start w:val="1"/>
      <w:numFmt w:val="lowerRoman"/>
      <w:lvlText w:val="%3."/>
      <w:lvlJc w:val="right"/>
      <w:pPr>
        <w:ind w:left="861" w:hanging="180"/>
      </w:pPr>
    </w:lvl>
    <w:lvl w:ilvl="3" w:tplc="0C09000F" w:tentative="1">
      <w:start w:val="1"/>
      <w:numFmt w:val="decimal"/>
      <w:lvlText w:val="%4."/>
      <w:lvlJc w:val="left"/>
      <w:pPr>
        <w:ind w:left="1581" w:hanging="360"/>
      </w:pPr>
    </w:lvl>
    <w:lvl w:ilvl="4" w:tplc="0C090019" w:tentative="1">
      <w:start w:val="1"/>
      <w:numFmt w:val="lowerLetter"/>
      <w:lvlText w:val="%5."/>
      <w:lvlJc w:val="left"/>
      <w:pPr>
        <w:ind w:left="2301" w:hanging="360"/>
      </w:pPr>
    </w:lvl>
    <w:lvl w:ilvl="5" w:tplc="0C09001B" w:tentative="1">
      <w:start w:val="1"/>
      <w:numFmt w:val="lowerRoman"/>
      <w:lvlText w:val="%6."/>
      <w:lvlJc w:val="right"/>
      <w:pPr>
        <w:ind w:left="3021" w:hanging="180"/>
      </w:pPr>
    </w:lvl>
    <w:lvl w:ilvl="6" w:tplc="0C09000F" w:tentative="1">
      <w:start w:val="1"/>
      <w:numFmt w:val="decimal"/>
      <w:lvlText w:val="%7."/>
      <w:lvlJc w:val="left"/>
      <w:pPr>
        <w:ind w:left="3741" w:hanging="360"/>
      </w:pPr>
    </w:lvl>
    <w:lvl w:ilvl="7" w:tplc="0C090019" w:tentative="1">
      <w:start w:val="1"/>
      <w:numFmt w:val="lowerLetter"/>
      <w:lvlText w:val="%8."/>
      <w:lvlJc w:val="left"/>
      <w:pPr>
        <w:ind w:left="4461" w:hanging="360"/>
      </w:pPr>
    </w:lvl>
    <w:lvl w:ilvl="8" w:tplc="0C09001B" w:tentative="1">
      <w:start w:val="1"/>
      <w:numFmt w:val="lowerRoman"/>
      <w:lvlText w:val="%9."/>
      <w:lvlJc w:val="right"/>
      <w:pPr>
        <w:ind w:left="5181" w:hanging="180"/>
      </w:pPr>
    </w:lvl>
  </w:abstractNum>
  <w:abstractNum w:abstractNumId="4" w15:restartNumberingAfterBreak="0">
    <w:nsid w:val="2B8829A1"/>
    <w:multiLevelType w:val="hybridMultilevel"/>
    <w:tmpl w:val="F9CA3F26"/>
    <w:lvl w:ilvl="0" w:tplc="0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A5C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5A5632"/>
    <w:multiLevelType w:val="hybridMultilevel"/>
    <w:tmpl w:val="FA764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E39C4"/>
    <w:multiLevelType w:val="hybridMultilevel"/>
    <w:tmpl w:val="EED609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20E5"/>
    <w:multiLevelType w:val="hybridMultilevel"/>
    <w:tmpl w:val="2A6E17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E4EED"/>
    <w:multiLevelType w:val="hybridMultilevel"/>
    <w:tmpl w:val="1BEEC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65DFE"/>
    <w:multiLevelType w:val="hybridMultilevel"/>
    <w:tmpl w:val="920C5E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76374"/>
    <w:multiLevelType w:val="hybridMultilevel"/>
    <w:tmpl w:val="4DA8A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37E10"/>
    <w:multiLevelType w:val="hybridMultilevel"/>
    <w:tmpl w:val="1EDC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562B5"/>
    <w:multiLevelType w:val="hybridMultilevel"/>
    <w:tmpl w:val="9B64F376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36953"/>
    <w:multiLevelType w:val="hybridMultilevel"/>
    <w:tmpl w:val="1B8E70D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DE12C95"/>
    <w:multiLevelType w:val="hybridMultilevel"/>
    <w:tmpl w:val="B85C564E"/>
    <w:lvl w:ilvl="0" w:tplc="DBDABB8C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E7E6E6" w:themeColor="background2"/>
      </w:rPr>
    </w:lvl>
    <w:lvl w:ilvl="1" w:tplc="782A8050">
      <w:start w:val="1"/>
      <w:numFmt w:val="bullet"/>
      <w:pStyle w:val="ListBullet2"/>
      <w:lvlText w:val=""/>
      <w:lvlJc w:val="left"/>
      <w:pPr>
        <w:ind w:left="714" w:hanging="357"/>
      </w:pPr>
      <w:rPr>
        <w:rFonts w:ascii="Symbol" w:hAnsi="Symbol" w:hint="default"/>
        <w:color w:val="E7E6E6" w:themeColor="background2"/>
        <w:sz w:val="20"/>
      </w:rPr>
    </w:lvl>
    <w:lvl w:ilvl="2" w:tplc="F146C0FA">
      <w:start w:val="1"/>
      <w:numFmt w:val="bullet"/>
      <w:pStyle w:val="ListBullet3"/>
      <w:lvlText w:val=""/>
      <w:lvlJc w:val="left"/>
      <w:pPr>
        <w:ind w:left="1072" w:hanging="358"/>
      </w:pPr>
      <w:rPr>
        <w:rFonts w:ascii="Wingdings" w:hAnsi="Wingdings" w:hint="default"/>
        <w:color w:val="E7E6E6" w:themeColor="background2"/>
        <w:sz w:val="12"/>
      </w:rPr>
    </w:lvl>
    <w:lvl w:ilvl="3" w:tplc="AB1AAD9E">
      <w:start w:val="1"/>
      <w:numFmt w:val="bullet"/>
      <w:pStyle w:val="ListBullet4"/>
      <w:lvlText w:val="»"/>
      <w:lvlJc w:val="left"/>
      <w:pPr>
        <w:ind w:left="1429" w:hanging="357"/>
      </w:pPr>
      <w:rPr>
        <w:rFonts w:ascii="Arial" w:hAnsi="Arial" w:hint="default"/>
        <w:color w:val="E7E6E6" w:themeColor="background2"/>
        <w:sz w:val="12"/>
      </w:rPr>
    </w:lvl>
    <w:lvl w:ilvl="4" w:tplc="2258D42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26AFF4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BEE30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6E23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F687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6745A9"/>
    <w:multiLevelType w:val="hybridMultilevel"/>
    <w:tmpl w:val="4EF81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44613">
    <w:abstractNumId w:val="15"/>
  </w:num>
  <w:num w:numId="2" w16cid:durableId="859703998">
    <w:abstractNumId w:val="5"/>
  </w:num>
  <w:num w:numId="3" w16cid:durableId="1497957309">
    <w:abstractNumId w:val="1"/>
  </w:num>
  <w:num w:numId="4" w16cid:durableId="591549994">
    <w:abstractNumId w:val="12"/>
  </w:num>
  <w:num w:numId="5" w16cid:durableId="1823692308">
    <w:abstractNumId w:val="14"/>
  </w:num>
  <w:num w:numId="6" w16cid:durableId="546373936">
    <w:abstractNumId w:val="6"/>
  </w:num>
  <w:num w:numId="7" w16cid:durableId="93480209">
    <w:abstractNumId w:val="8"/>
  </w:num>
  <w:num w:numId="8" w16cid:durableId="95443871">
    <w:abstractNumId w:val="15"/>
  </w:num>
  <w:num w:numId="9" w16cid:durableId="1082146146">
    <w:abstractNumId w:val="15"/>
  </w:num>
  <w:num w:numId="10" w16cid:durableId="554779978">
    <w:abstractNumId w:val="15"/>
  </w:num>
  <w:num w:numId="11" w16cid:durableId="1815442967">
    <w:abstractNumId w:val="3"/>
  </w:num>
  <w:num w:numId="12" w16cid:durableId="37780012">
    <w:abstractNumId w:val="9"/>
  </w:num>
  <w:num w:numId="13" w16cid:durableId="904267489">
    <w:abstractNumId w:val="0"/>
  </w:num>
  <w:num w:numId="14" w16cid:durableId="597055972">
    <w:abstractNumId w:val="11"/>
  </w:num>
  <w:num w:numId="15" w16cid:durableId="1845123450">
    <w:abstractNumId w:val="16"/>
  </w:num>
  <w:num w:numId="16" w16cid:durableId="1074741454">
    <w:abstractNumId w:val="13"/>
  </w:num>
  <w:num w:numId="17" w16cid:durableId="337779926">
    <w:abstractNumId w:val="4"/>
  </w:num>
  <w:num w:numId="18" w16cid:durableId="316613168">
    <w:abstractNumId w:val="10"/>
  </w:num>
  <w:num w:numId="19" w16cid:durableId="1792359232">
    <w:abstractNumId w:val="2"/>
  </w:num>
  <w:num w:numId="20" w16cid:durableId="456337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00"/>
    <w:rsid w:val="000022D9"/>
    <w:rsid w:val="00005501"/>
    <w:rsid w:val="00006E60"/>
    <w:rsid w:val="00013E5E"/>
    <w:rsid w:val="00021BDF"/>
    <w:rsid w:val="00037284"/>
    <w:rsid w:val="00044248"/>
    <w:rsid w:val="00051161"/>
    <w:rsid w:val="000552D6"/>
    <w:rsid w:val="00064E08"/>
    <w:rsid w:val="00073ED7"/>
    <w:rsid w:val="000816B6"/>
    <w:rsid w:val="00086211"/>
    <w:rsid w:val="0008786A"/>
    <w:rsid w:val="000A11CE"/>
    <w:rsid w:val="000A1311"/>
    <w:rsid w:val="000A7153"/>
    <w:rsid w:val="000A74C0"/>
    <w:rsid w:val="000C05EF"/>
    <w:rsid w:val="000D268A"/>
    <w:rsid w:val="000E1D50"/>
    <w:rsid w:val="000E5002"/>
    <w:rsid w:val="00102866"/>
    <w:rsid w:val="001056EE"/>
    <w:rsid w:val="00121E8A"/>
    <w:rsid w:val="0012705E"/>
    <w:rsid w:val="00133AED"/>
    <w:rsid w:val="00133B84"/>
    <w:rsid w:val="001443A0"/>
    <w:rsid w:val="00155CAA"/>
    <w:rsid w:val="001631D7"/>
    <w:rsid w:val="00184BBD"/>
    <w:rsid w:val="001876BD"/>
    <w:rsid w:val="00192FB9"/>
    <w:rsid w:val="001A0860"/>
    <w:rsid w:val="001C13DB"/>
    <w:rsid w:val="001C2020"/>
    <w:rsid w:val="001C6B29"/>
    <w:rsid w:val="001D01D7"/>
    <w:rsid w:val="001D1EA1"/>
    <w:rsid w:val="002003C3"/>
    <w:rsid w:val="00200A1D"/>
    <w:rsid w:val="0020502D"/>
    <w:rsid w:val="00205EAB"/>
    <w:rsid w:val="00211CBE"/>
    <w:rsid w:val="002251BF"/>
    <w:rsid w:val="00240E0B"/>
    <w:rsid w:val="00254A8A"/>
    <w:rsid w:val="0026359B"/>
    <w:rsid w:val="00273269"/>
    <w:rsid w:val="002733B2"/>
    <w:rsid w:val="00280712"/>
    <w:rsid w:val="00290513"/>
    <w:rsid w:val="002911D7"/>
    <w:rsid w:val="0029244F"/>
    <w:rsid w:val="002A12BF"/>
    <w:rsid w:val="002A46BB"/>
    <w:rsid w:val="002F5A93"/>
    <w:rsid w:val="0030216C"/>
    <w:rsid w:val="003030D3"/>
    <w:rsid w:val="00311C88"/>
    <w:rsid w:val="0033458F"/>
    <w:rsid w:val="00351F49"/>
    <w:rsid w:val="00382081"/>
    <w:rsid w:val="00391793"/>
    <w:rsid w:val="003A47AA"/>
    <w:rsid w:val="003C5DED"/>
    <w:rsid w:val="003D43B3"/>
    <w:rsid w:val="003E43A5"/>
    <w:rsid w:val="003F0051"/>
    <w:rsid w:val="003F4C6A"/>
    <w:rsid w:val="00406E6B"/>
    <w:rsid w:val="00410C7D"/>
    <w:rsid w:val="00411C9F"/>
    <w:rsid w:val="00412F15"/>
    <w:rsid w:val="0042156C"/>
    <w:rsid w:val="00431A6C"/>
    <w:rsid w:val="00432CD1"/>
    <w:rsid w:val="004478E6"/>
    <w:rsid w:val="00452637"/>
    <w:rsid w:val="00467675"/>
    <w:rsid w:val="00493B6D"/>
    <w:rsid w:val="00497639"/>
    <w:rsid w:val="004A5FBA"/>
    <w:rsid w:val="004A6948"/>
    <w:rsid w:val="004C08B9"/>
    <w:rsid w:val="004C0B13"/>
    <w:rsid w:val="004C5564"/>
    <w:rsid w:val="004C7CEF"/>
    <w:rsid w:val="004D1D9A"/>
    <w:rsid w:val="004D521B"/>
    <w:rsid w:val="004E15CB"/>
    <w:rsid w:val="004F6667"/>
    <w:rsid w:val="0050001E"/>
    <w:rsid w:val="00514774"/>
    <w:rsid w:val="00545359"/>
    <w:rsid w:val="005577FB"/>
    <w:rsid w:val="00582CBC"/>
    <w:rsid w:val="005B2175"/>
    <w:rsid w:val="005B6C06"/>
    <w:rsid w:val="005C6F5E"/>
    <w:rsid w:val="005E4E95"/>
    <w:rsid w:val="005F1469"/>
    <w:rsid w:val="005F4CE5"/>
    <w:rsid w:val="005F570B"/>
    <w:rsid w:val="00614473"/>
    <w:rsid w:val="0062031A"/>
    <w:rsid w:val="006277E6"/>
    <w:rsid w:val="00653CFF"/>
    <w:rsid w:val="00672C03"/>
    <w:rsid w:val="00674D1D"/>
    <w:rsid w:val="0068174A"/>
    <w:rsid w:val="00684263"/>
    <w:rsid w:val="00696674"/>
    <w:rsid w:val="006A583D"/>
    <w:rsid w:val="006B1246"/>
    <w:rsid w:val="006B2D9D"/>
    <w:rsid w:val="006B698A"/>
    <w:rsid w:val="006C373F"/>
    <w:rsid w:val="006D5C9B"/>
    <w:rsid w:val="006D787E"/>
    <w:rsid w:val="006F160B"/>
    <w:rsid w:val="006F48E9"/>
    <w:rsid w:val="00704EE0"/>
    <w:rsid w:val="00710A5A"/>
    <w:rsid w:val="00716F72"/>
    <w:rsid w:val="00720BB1"/>
    <w:rsid w:val="00733E90"/>
    <w:rsid w:val="00743174"/>
    <w:rsid w:val="00751C14"/>
    <w:rsid w:val="007719E6"/>
    <w:rsid w:val="007812C0"/>
    <w:rsid w:val="00783B55"/>
    <w:rsid w:val="007C3FCC"/>
    <w:rsid w:val="007D0252"/>
    <w:rsid w:val="0081143E"/>
    <w:rsid w:val="00811E2F"/>
    <w:rsid w:val="0081223E"/>
    <w:rsid w:val="008259CD"/>
    <w:rsid w:val="00833B04"/>
    <w:rsid w:val="00850C6F"/>
    <w:rsid w:val="00855F4E"/>
    <w:rsid w:val="0086090B"/>
    <w:rsid w:val="008671A8"/>
    <w:rsid w:val="00867722"/>
    <w:rsid w:val="00873678"/>
    <w:rsid w:val="00877E33"/>
    <w:rsid w:val="00877F32"/>
    <w:rsid w:val="008A77FD"/>
    <w:rsid w:val="008B2A4A"/>
    <w:rsid w:val="008C2FBB"/>
    <w:rsid w:val="008E498E"/>
    <w:rsid w:val="008F30C7"/>
    <w:rsid w:val="00910869"/>
    <w:rsid w:val="0093313D"/>
    <w:rsid w:val="00933873"/>
    <w:rsid w:val="00937AC2"/>
    <w:rsid w:val="00952C5B"/>
    <w:rsid w:val="00954879"/>
    <w:rsid w:val="00972540"/>
    <w:rsid w:val="009908F5"/>
    <w:rsid w:val="009B553E"/>
    <w:rsid w:val="009C4D73"/>
    <w:rsid w:val="009C7189"/>
    <w:rsid w:val="009D1EA8"/>
    <w:rsid w:val="009D25BF"/>
    <w:rsid w:val="009E2B49"/>
    <w:rsid w:val="00A1538B"/>
    <w:rsid w:val="00A16C80"/>
    <w:rsid w:val="00A23058"/>
    <w:rsid w:val="00A240B2"/>
    <w:rsid w:val="00A46E71"/>
    <w:rsid w:val="00A50304"/>
    <w:rsid w:val="00A54E1B"/>
    <w:rsid w:val="00A70D09"/>
    <w:rsid w:val="00AA375D"/>
    <w:rsid w:val="00AA78D0"/>
    <w:rsid w:val="00AB4195"/>
    <w:rsid w:val="00AB7592"/>
    <w:rsid w:val="00AC084E"/>
    <w:rsid w:val="00AC572C"/>
    <w:rsid w:val="00AD0AB0"/>
    <w:rsid w:val="00AD4FA4"/>
    <w:rsid w:val="00AD5BBD"/>
    <w:rsid w:val="00AE034A"/>
    <w:rsid w:val="00AF023D"/>
    <w:rsid w:val="00AF3B68"/>
    <w:rsid w:val="00AF651C"/>
    <w:rsid w:val="00B04129"/>
    <w:rsid w:val="00B1715D"/>
    <w:rsid w:val="00B17A14"/>
    <w:rsid w:val="00B243F3"/>
    <w:rsid w:val="00B4202E"/>
    <w:rsid w:val="00B50E2E"/>
    <w:rsid w:val="00B55C39"/>
    <w:rsid w:val="00B660BD"/>
    <w:rsid w:val="00B715BA"/>
    <w:rsid w:val="00B97A19"/>
    <w:rsid w:val="00BA7F1A"/>
    <w:rsid w:val="00BB084E"/>
    <w:rsid w:val="00BB7673"/>
    <w:rsid w:val="00BC1C7E"/>
    <w:rsid w:val="00BC3AF6"/>
    <w:rsid w:val="00BC4AD6"/>
    <w:rsid w:val="00BC57DB"/>
    <w:rsid w:val="00BD1A78"/>
    <w:rsid w:val="00BD1B2E"/>
    <w:rsid w:val="00BD27EA"/>
    <w:rsid w:val="00BD7E74"/>
    <w:rsid w:val="00BE009B"/>
    <w:rsid w:val="00C127EB"/>
    <w:rsid w:val="00C12C10"/>
    <w:rsid w:val="00C17094"/>
    <w:rsid w:val="00C451CB"/>
    <w:rsid w:val="00C46C24"/>
    <w:rsid w:val="00C5226B"/>
    <w:rsid w:val="00C54E18"/>
    <w:rsid w:val="00C54F0B"/>
    <w:rsid w:val="00C5662C"/>
    <w:rsid w:val="00C61EA7"/>
    <w:rsid w:val="00C712D7"/>
    <w:rsid w:val="00C85D1D"/>
    <w:rsid w:val="00CA2396"/>
    <w:rsid w:val="00CB1936"/>
    <w:rsid w:val="00CB3B84"/>
    <w:rsid w:val="00CC1D8F"/>
    <w:rsid w:val="00CD5E95"/>
    <w:rsid w:val="00CE377C"/>
    <w:rsid w:val="00D0169A"/>
    <w:rsid w:val="00D03F6F"/>
    <w:rsid w:val="00D22F8D"/>
    <w:rsid w:val="00D31E97"/>
    <w:rsid w:val="00D33437"/>
    <w:rsid w:val="00D33F59"/>
    <w:rsid w:val="00D44418"/>
    <w:rsid w:val="00D450BE"/>
    <w:rsid w:val="00D57DF6"/>
    <w:rsid w:val="00D60783"/>
    <w:rsid w:val="00D65047"/>
    <w:rsid w:val="00D83831"/>
    <w:rsid w:val="00D96117"/>
    <w:rsid w:val="00D961BB"/>
    <w:rsid w:val="00DB218D"/>
    <w:rsid w:val="00DC6EE6"/>
    <w:rsid w:val="00DD3A12"/>
    <w:rsid w:val="00E05E44"/>
    <w:rsid w:val="00E20BA9"/>
    <w:rsid w:val="00E20E87"/>
    <w:rsid w:val="00E33C9E"/>
    <w:rsid w:val="00E60B6A"/>
    <w:rsid w:val="00E659E3"/>
    <w:rsid w:val="00E7033E"/>
    <w:rsid w:val="00E75600"/>
    <w:rsid w:val="00E83A29"/>
    <w:rsid w:val="00E90237"/>
    <w:rsid w:val="00E95105"/>
    <w:rsid w:val="00E961D9"/>
    <w:rsid w:val="00E96E2A"/>
    <w:rsid w:val="00EC201B"/>
    <w:rsid w:val="00EC2A25"/>
    <w:rsid w:val="00EE5B1D"/>
    <w:rsid w:val="00EF3428"/>
    <w:rsid w:val="00F04CE8"/>
    <w:rsid w:val="00F04CFC"/>
    <w:rsid w:val="00F07382"/>
    <w:rsid w:val="00F120DF"/>
    <w:rsid w:val="00F5344F"/>
    <w:rsid w:val="00F54B2F"/>
    <w:rsid w:val="00F60D87"/>
    <w:rsid w:val="00F63DAA"/>
    <w:rsid w:val="00F64702"/>
    <w:rsid w:val="00F8481D"/>
    <w:rsid w:val="00F94F49"/>
    <w:rsid w:val="00FA37FF"/>
    <w:rsid w:val="00FA74D2"/>
    <w:rsid w:val="00FB3D7B"/>
    <w:rsid w:val="00FB7461"/>
    <w:rsid w:val="00FD2FD9"/>
    <w:rsid w:val="00FD3C4A"/>
    <w:rsid w:val="00FD65E1"/>
    <w:rsid w:val="00FD70B6"/>
    <w:rsid w:val="00FE35A0"/>
    <w:rsid w:val="00FE35C8"/>
    <w:rsid w:val="00FE570D"/>
    <w:rsid w:val="031994AE"/>
    <w:rsid w:val="0325E483"/>
    <w:rsid w:val="05E7C41F"/>
    <w:rsid w:val="06FF66D7"/>
    <w:rsid w:val="07E111D8"/>
    <w:rsid w:val="08A7151C"/>
    <w:rsid w:val="08D4D544"/>
    <w:rsid w:val="09AEF591"/>
    <w:rsid w:val="0ABE17C1"/>
    <w:rsid w:val="0B39C166"/>
    <w:rsid w:val="0B6B58B9"/>
    <w:rsid w:val="0B9197CB"/>
    <w:rsid w:val="0BE78C0A"/>
    <w:rsid w:val="0CC2F8B6"/>
    <w:rsid w:val="0E282F1D"/>
    <w:rsid w:val="0EA7B742"/>
    <w:rsid w:val="0EC428F9"/>
    <w:rsid w:val="0EF0EC9D"/>
    <w:rsid w:val="0F7C4A51"/>
    <w:rsid w:val="0FAE2C5D"/>
    <w:rsid w:val="1059F61C"/>
    <w:rsid w:val="12021B1B"/>
    <w:rsid w:val="14171B3F"/>
    <w:rsid w:val="14252F03"/>
    <w:rsid w:val="145EA8E9"/>
    <w:rsid w:val="149D0C39"/>
    <w:rsid w:val="14D423EA"/>
    <w:rsid w:val="1508A438"/>
    <w:rsid w:val="153C5B9C"/>
    <w:rsid w:val="167C7713"/>
    <w:rsid w:val="1696088A"/>
    <w:rsid w:val="173A219C"/>
    <w:rsid w:val="17715A63"/>
    <w:rsid w:val="18C4A509"/>
    <w:rsid w:val="1A290A71"/>
    <w:rsid w:val="1A540A1E"/>
    <w:rsid w:val="1AEB6CE4"/>
    <w:rsid w:val="1CA08492"/>
    <w:rsid w:val="1CBFF302"/>
    <w:rsid w:val="1D9B8498"/>
    <w:rsid w:val="2011D498"/>
    <w:rsid w:val="2093DA9C"/>
    <w:rsid w:val="20ECD1F8"/>
    <w:rsid w:val="21649E8E"/>
    <w:rsid w:val="22212F46"/>
    <w:rsid w:val="2229A165"/>
    <w:rsid w:val="23CA3FA9"/>
    <w:rsid w:val="23ED971A"/>
    <w:rsid w:val="2488AB01"/>
    <w:rsid w:val="256C3E80"/>
    <w:rsid w:val="25ECF32E"/>
    <w:rsid w:val="26053588"/>
    <w:rsid w:val="2608822B"/>
    <w:rsid w:val="2658D7C4"/>
    <w:rsid w:val="267A1620"/>
    <w:rsid w:val="27E0C5C0"/>
    <w:rsid w:val="28645D4F"/>
    <w:rsid w:val="2A394B1E"/>
    <w:rsid w:val="2A7A6E6B"/>
    <w:rsid w:val="2C019FAC"/>
    <w:rsid w:val="2D2D6D93"/>
    <w:rsid w:val="2E2D5B82"/>
    <w:rsid w:val="2E3DA25F"/>
    <w:rsid w:val="2EFFB4D1"/>
    <w:rsid w:val="2FCF5EDE"/>
    <w:rsid w:val="2FF82DE6"/>
    <w:rsid w:val="30BF5994"/>
    <w:rsid w:val="312F1008"/>
    <w:rsid w:val="326845D1"/>
    <w:rsid w:val="32DF79AE"/>
    <w:rsid w:val="33A8EE5C"/>
    <w:rsid w:val="33AB21AE"/>
    <w:rsid w:val="33ACBC24"/>
    <w:rsid w:val="34894636"/>
    <w:rsid w:val="35482365"/>
    <w:rsid w:val="354D934C"/>
    <w:rsid w:val="35541AC0"/>
    <w:rsid w:val="35565C6E"/>
    <w:rsid w:val="35FC5BEA"/>
    <w:rsid w:val="36138B9E"/>
    <w:rsid w:val="36A307E4"/>
    <w:rsid w:val="3806979A"/>
    <w:rsid w:val="38D49777"/>
    <w:rsid w:val="390D194D"/>
    <w:rsid w:val="3A446010"/>
    <w:rsid w:val="3B8509AE"/>
    <w:rsid w:val="3E009B1E"/>
    <w:rsid w:val="3EA0335F"/>
    <w:rsid w:val="3EAF1E6C"/>
    <w:rsid w:val="3EEC7FD4"/>
    <w:rsid w:val="403FE579"/>
    <w:rsid w:val="405859DA"/>
    <w:rsid w:val="40E75F7E"/>
    <w:rsid w:val="40FACEC6"/>
    <w:rsid w:val="422028C9"/>
    <w:rsid w:val="422C9E67"/>
    <w:rsid w:val="433B91FE"/>
    <w:rsid w:val="438A6E6C"/>
    <w:rsid w:val="445B0A4E"/>
    <w:rsid w:val="4461951E"/>
    <w:rsid w:val="44B05D3C"/>
    <w:rsid w:val="46A00A7C"/>
    <w:rsid w:val="471F698C"/>
    <w:rsid w:val="47BD2251"/>
    <w:rsid w:val="487386AE"/>
    <w:rsid w:val="49DBD726"/>
    <w:rsid w:val="4A1A6FCA"/>
    <w:rsid w:val="4AFCD9C3"/>
    <w:rsid w:val="4BF5DF96"/>
    <w:rsid w:val="4CBEAD04"/>
    <w:rsid w:val="4D153660"/>
    <w:rsid w:val="4D4EA3C6"/>
    <w:rsid w:val="4D76805F"/>
    <w:rsid w:val="4DBD19D9"/>
    <w:rsid w:val="4E1A45F6"/>
    <w:rsid w:val="4EAC7A3E"/>
    <w:rsid w:val="4F94E3C4"/>
    <w:rsid w:val="4FE32219"/>
    <w:rsid w:val="51354DCB"/>
    <w:rsid w:val="52144B94"/>
    <w:rsid w:val="52EB22BB"/>
    <w:rsid w:val="54A86B2C"/>
    <w:rsid w:val="551AC71B"/>
    <w:rsid w:val="55A7B691"/>
    <w:rsid w:val="5682D6C3"/>
    <w:rsid w:val="568CD882"/>
    <w:rsid w:val="569F5C01"/>
    <w:rsid w:val="57B6BEF6"/>
    <w:rsid w:val="57C6DB8E"/>
    <w:rsid w:val="57DC7A40"/>
    <w:rsid w:val="587CD4AB"/>
    <w:rsid w:val="589F6ACF"/>
    <w:rsid w:val="58E00089"/>
    <w:rsid w:val="595AA138"/>
    <w:rsid w:val="59629FA4"/>
    <w:rsid w:val="5A8B0E1A"/>
    <w:rsid w:val="5B1F5CF4"/>
    <w:rsid w:val="5BF76D47"/>
    <w:rsid w:val="5D0529FB"/>
    <w:rsid w:val="5D76B804"/>
    <w:rsid w:val="5DE3334D"/>
    <w:rsid w:val="5E7AFC8F"/>
    <w:rsid w:val="5EB40BB0"/>
    <w:rsid w:val="5FDC000E"/>
    <w:rsid w:val="6086DB12"/>
    <w:rsid w:val="60B84067"/>
    <w:rsid w:val="60F6A1C7"/>
    <w:rsid w:val="6116A31D"/>
    <w:rsid w:val="6159B5B9"/>
    <w:rsid w:val="616834C8"/>
    <w:rsid w:val="61702C8B"/>
    <w:rsid w:val="61A9D6F2"/>
    <w:rsid w:val="61AF3882"/>
    <w:rsid w:val="61C8BABF"/>
    <w:rsid w:val="62A9EB66"/>
    <w:rsid w:val="63CCD42A"/>
    <w:rsid w:val="63E6E0AD"/>
    <w:rsid w:val="64D68043"/>
    <w:rsid w:val="64DAF57B"/>
    <w:rsid w:val="656EB7EC"/>
    <w:rsid w:val="65FA0782"/>
    <w:rsid w:val="6609925E"/>
    <w:rsid w:val="664D7FA6"/>
    <w:rsid w:val="66A21E3A"/>
    <w:rsid w:val="67801407"/>
    <w:rsid w:val="684EE82D"/>
    <w:rsid w:val="695A899B"/>
    <w:rsid w:val="6964C8A8"/>
    <w:rsid w:val="6A13C3C6"/>
    <w:rsid w:val="6A292CDE"/>
    <w:rsid w:val="6A367363"/>
    <w:rsid w:val="6A620CB4"/>
    <w:rsid w:val="6AC4C11C"/>
    <w:rsid w:val="6B5302B1"/>
    <w:rsid w:val="6C3BECDF"/>
    <w:rsid w:val="6CAAC513"/>
    <w:rsid w:val="6D14FC87"/>
    <w:rsid w:val="6D4D31B0"/>
    <w:rsid w:val="6D8C8FBF"/>
    <w:rsid w:val="6DA65261"/>
    <w:rsid w:val="6F867F39"/>
    <w:rsid w:val="6FFB28CD"/>
    <w:rsid w:val="7049EBF7"/>
    <w:rsid w:val="70EFE1F0"/>
    <w:rsid w:val="71360938"/>
    <w:rsid w:val="71453ACD"/>
    <w:rsid w:val="7291D3E3"/>
    <w:rsid w:val="732DA9CC"/>
    <w:rsid w:val="732E2C0C"/>
    <w:rsid w:val="73AABD13"/>
    <w:rsid w:val="751C0A40"/>
    <w:rsid w:val="760A967E"/>
    <w:rsid w:val="7656B61C"/>
    <w:rsid w:val="76769A58"/>
    <w:rsid w:val="77466141"/>
    <w:rsid w:val="77691326"/>
    <w:rsid w:val="7886FE88"/>
    <w:rsid w:val="7895F14D"/>
    <w:rsid w:val="78F8E953"/>
    <w:rsid w:val="796F5A8F"/>
    <w:rsid w:val="7A3402DA"/>
    <w:rsid w:val="7AAA4EE5"/>
    <w:rsid w:val="7AC79878"/>
    <w:rsid w:val="7C84C193"/>
    <w:rsid w:val="7CEE3157"/>
    <w:rsid w:val="7D2182BF"/>
    <w:rsid w:val="7DDD8ACE"/>
    <w:rsid w:val="7E204565"/>
    <w:rsid w:val="7E3A5399"/>
    <w:rsid w:val="7E787AFF"/>
    <w:rsid w:val="7EC9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ABA0E"/>
  <w15:chartTrackingRefBased/>
  <w15:docId w15:val="{5FBD3195-DF27-4D96-91D1-8CD4BA52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iPriority="6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FE35C8"/>
    <w:pPr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FE35C8"/>
    <w:pPr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6"/>
    <w:qFormat/>
    <w:rsid w:val="00E75600"/>
    <w:pPr>
      <w:numPr>
        <w:ilvl w:val="3"/>
        <w:numId w:val="1"/>
      </w:numPr>
      <w:spacing w:before="120" w:after="120" w:line="240" w:lineRule="auto"/>
      <w:contextualSpacing/>
    </w:pPr>
    <w:rPr>
      <w:rFonts w:ascii="Arial" w:eastAsia="Times New Roman" w:hAnsi="Arial" w:cs="Arial"/>
      <w:kern w:val="0"/>
      <w:sz w:val="20"/>
      <w:szCs w:val="20"/>
      <w:lang w:val="en-NZ"/>
      <w14:ligatures w14:val="none"/>
    </w:rPr>
  </w:style>
  <w:style w:type="paragraph" w:styleId="ListBullet">
    <w:name w:val="List Bullet"/>
    <w:basedOn w:val="Normal"/>
    <w:uiPriority w:val="6"/>
    <w:qFormat/>
    <w:rsid w:val="00E75600"/>
    <w:pPr>
      <w:numPr>
        <w:numId w:val="1"/>
      </w:numPr>
      <w:spacing w:before="120" w:after="120" w:line="240" w:lineRule="auto"/>
      <w:contextualSpacing/>
    </w:pPr>
    <w:rPr>
      <w:rFonts w:ascii="Arial" w:eastAsia="Times New Roman" w:hAnsi="Arial" w:cs="Arial"/>
      <w:kern w:val="0"/>
      <w:sz w:val="20"/>
      <w:szCs w:val="21"/>
      <w:lang w:eastAsia="en-NZ"/>
      <w14:ligatures w14:val="none"/>
    </w:rPr>
  </w:style>
  <w:style w:type="paragraph" w:styleId="ListBullet2">
    <w:name w:val="List Bullet 2"/>
    <w:basedOn w:val="Normal"/>
    <w:uiPriority w:val="6"/>
    <w:qFormat/>
    <w:rsid w:val="00E75600"/>
    <w:pPr>
      <w:numPr>
        <w:ilvl w:val="1"/>
        <w:numId w:val="1"/>
      </w:numPr>
      <w:spacing w:before="120" w:after="120" w:line="240" w:lineRule="auto"/>
      <w:contextualSpacing/>
    </w:pPr>
    <w:rPr>
      <w:rFonts w:ascii="Arial" w:eastAsia="Times New Roman" w:hAnsi="Arial" w:cs="Arial"/>
      <w:kern w:val="0"/>
      <w:sz w:val="20"/>
      <w:szCs w:val="21"/>
      <w:lang w:eastAsia="en-NZ"/>
      <w14:ligatures w14:val="none"/>
    </w:rPr>
  </w:style>
  <w:style w:type="paragraph" w:styleId="ListBullet3">
    <w:name w:val="List Bullet 3"/>
    <w:basedOn w:val="Normal"/>
    <w:uiPriority w:val="6"/>
    <w:qFormat/>
    <w:rsid w:val="00E75600"/>
    <w:pPr>
      <w:numPr>
        <w:ilvl w:val="2"/>
        <w:numId w:val="1"/>
      </w:numPr>
      <w:spacing w:before="120" w:after="120" w:line="240" w:lineRule="auto"/>
      <w:contextualSpacing/>
    </w:pPr>
    <w:rPr>
      <w:rFonts w:ascii="Arial" w:eastAsia="Times New Roman" w:hAnsi="Arial" w:cs="Arial"/>
      <w:kern w:val="0"/>
      <w:sz w:val="20"/>
      <w:szCs w:val="21"/>
      <w:lang w:eastAsia="en-NZ"/>
      <w14:ligatures w14:val="none"/>
    </w:rPr>
  </w:style>
  <w:style w:type="paragraph" w:customStyle="1" w:styleId="Default">
    <w:name w:val="Default"/>
    <w:rsid w:val="00E756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qFormat/>
    <w:rsid w:val="00E75600"/>
    <w:pPr>
      <w:spacing w:before="120" w:after="120" w:line="240" w:lineRule="auto"/>
    </w:pPr>
    <w:rPr>
      <w:rFonts w:ascii="Arial" w:eastAsia="Times New Roman" w:hAnsi="Arial" w:cs="Arial"/>
      <w:kern w:val="0"/>
      <w:sz w:val="20"/>
      <w:szCs w:val="20"/>
      <w:lang w:val="en-NZ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75600"/>
    <w:rPr>
      <w:rFonts w:ascii="Arial" w:eastAsia="Times New Roman" w:hAnsi="Arial" w:cs="Arial"/>
      <w:kern w:val="0"/>
      <w:sz w:val="20"/>
      <w:szCs w:val="20"/>
      <w:lang w:val="en-NZ"/>
      <w14:ligatures w14:val="none"/>
    </w:rPr>
  </w:style>
  <w:style w:type="table" w:styleId="TableGrid">
    <w:name w:val="Table Grid"/>
    <w:basedOn w:val="TableNormal"/>
    <w:uiPriority w:val="39"/>
    <w:rsid w:val="00E7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1D9"/>
    <w:pPr>
      <w:ind w:left="720"/>
      <w:contextualSpacing/>
    </w:pPr>
  </w:style>
  <w:style w:type="paragraph" w:customStyle="1" w:styleId="xmsonormal">
    <w:name w:val="x_msonormal"/>
    <w:basedOn w:val="Normal"/>
    <w:rsid w:val="00064E0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AU"/>
      <w14:ligatures w14:val="none"/>
    </w:rPr>
  </w:style>
  <w:style w:type="paragraph" w:styleId="Revision">
    <w:name w:val="Revision"/>
    <w:hidden/>
    <w:uiPriority w:val="99"/>
    <w:semiHidden/>
    <w:rsid w:val="006B12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7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3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382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20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35C8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35C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911276716EA409CECCBFEA86C2A5B" ma:contentTypeVersion="10" ma:contentTypeDescription="Create a new document." ma:contentTypeScope="" ma:versionID="9559d16565d35374e11f87c0dd920f6d">
  <xsd:schema xmlns:xsd="http://www.w3.org/2001/XMLSchema" xmlns:xs="http://www.w3.org/2001/XMLSchema" xmlns:p="http://schemas.microsoft.com/office/2006/metadata/properties" xmlns:ns2="977af2a4-2f1e-4aea-97bd-250a74c74bf2" xmlns:ns3="e9d5471d-5fab-444c-854c-d88d0af4e1f1" targetNamespace="http://schemas.microsoft.com/office/2006/metadata/properties" ma:root="true" ma:fieldsID="5bfef6845e82ddb74ea3616ea1a457ae" ns2:_="" ns3:_="">
    <xsd:import namespace="977af2a4-2f1e-4aea-97bd-250a74c74bf2"/>
    <xsd:import namespace="e9d5471d-5fab-444c-854c-d88d0af4e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2a4-2f1e-4aea-97bd-250a74c74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5471d-5fab-444c-854c-d88d0af4e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5471d-5fab-444c-854c-d88d0af4e1f1">
      <UserInfo>
        <DisplayName>Bram Marolop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BE4250-2893-48C3-9EF6-86CA63EDD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2a4-2f1e-4aea-97bd-250a74c74bf2"/>
    <ds:schemaRef ds:uri="e9d5471d-5fab-444c-854c-d88d0af4e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5295E-9B38-495F-B795-F5F0145DD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0920E-0889-406C-9E76-6C1C71FA65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e9d5471d-5fab-444c-854c-d88d0af4e1f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77af2a4-2f1e-4aea-97bd-250a74c74bf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937</Words>
  <Characters>5415</Characters>
  <Application>Microsoft Office Word</Application>
  <DocSecurity>0</DocSecurity>
  <Lines>203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the Independent Mid-Term Review of the Indonesia-Australia Comprehensive Economic Partnership Agreement Economic Cooperation Program (IA-CEPA ECP)</dc:title>
  <dc:subject/>
  <dc:creator>Australian Government Department of Foreign Affairs and Trade</dc:creator>
  <cp:keywords>[SEC=OFFICIAL]</cp:keywords>
  <dc:description/>
  <cp:lastModifiedBy>Patrick Baggoley</cp:lastModifiedBy>
  <cp:revision>4</cp:revision>
  <dcterms:created xsi:type="dcterms:W3CDTF">2024-11-13T07:31:00Z</dcterms:created>
  <dcterms:modified xsi:type="dcterms:W3CDTF">2024-11-13T07:33:00Z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v=2022.1;a=SHA256;h=DCC306FBFAE196B9ADAE128F521D04902F12EECF956CF79F9B69AF8D92805D77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2024-03-22T07:11:35Z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D56E90A7C6A54B2D91D382B074BEF0F8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C427463A240001568B1E728057080C091949066E05DD342FA6B5B9F6FF33F8D6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1BDBD55E9B05E3F5029FA69969581DAC</vt:lpwstr>
  </property>
  <property fmtid="{D5CDD505-2E9C-101B-9397-08002B2CF9AE}" pid="25" name="PM_Hash_Salt">
    <vt:lpwstr>9211D60F7D230A14AA34001917058DF8</vt:lpwstr>
  </property>
  <property fmtid="{D5CDD505-2E9C-101B-9397-08002B2CF9AE}" pid="26" name="PM_Hash_SHA1">
    <vt:lpwstr>2751F4B48CD18D218FC322BFFBB65EB404E07170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0x01010041B911276716EA409CECCBFEA86C2A5B</vt:lpwstr>
  </property>
</Properties>
</file>