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8856" w14:textId="77777777" w:rsidR="00DF6363" w:rsidRPr="00543EBC" w:rsidRDefault="00DF6363" w:rsidP="00543EBC">
      <w:pPr>
        <w:pStyle w:val="Heading1"/>
      </w:pPr>
      <w:r w:rsidRPr="00543EBC">
        <w:t>Department of Foreign Affairs and Trade (DFAT) Australia Management Response</w:t>
      </w:r>
    </w:p>
    <w:p w14:paraId="198C30BA" w14:textId="4E090301" w:rsidR="00DF6363" w:rsidRPr="00543EBC" w:rsidRDefault="00DF6363" w:rsidP="00543EBC">
      <w:pPr>
        <w:pStyle w:val="Heading2"/>
      </w:pPr>
      <w:r w:rsidRPr="00543EBC">
        <w:t>Stocktaking/Assessment &amp; Learning Review of the World Bank Group (WBG) Trade Facilitation Support Program (T</w:t>
      </w:r>
      <w:r w:rsidR="003515AE" w:rsidRPr="00543EBC">
        <w:t>FS</w:t>
      </w:r>
      <w:r w:rsidRPr="00543EBC">
        <w:t>P)</w:t>
      </w:r>
    </w:p>
    <w:tbl>
      <w:tblPr>
        <w:tblStyle w:val="TableGrid"/>
        <w:tblW w:w="14312" w:type="dxa"/>
        <w:tblLook w:val="04A0" w:firstRow="1" w:lastRow="0" w:firstColumn="1" w:lastColumn="0" w:noHBand="0" w:noVBand="1"/>
      </w:tblPr>
      <w:tblGrid>
        <w:gridCol w:w="3854"/>
        <w:gridCol w:w="1103"/>
        <w:gridCol w:w="3685"/>
        <w:gridCol w:w="3827"/>
        <w:gridCol w:w="1843"/>
      </w:tblGrid>
      <w:tr w:rsidR="00DF6363" w:rsidRPr="00DF6363" w14:paraId="2365BA3A" w14:textId="77777777" w:rsidTr="00810675">
        <w:trPr>
          <w:tblHeader/>
        </w:trPr>
        <w:tc>
          <w:tcPr>
            <w:tcW w:w="3854" w:type="dxa"/>
            <w:shd w:val="clear" w:color="auto" w:fill="BFBFBF" w:themeFill="background1" w:themeFillShade="BF"/>
          </w:tcPr>
          <w:p w14:paraId="3235FD5A" w14:textId="77777777" w:rsidR="00DF6363" w:rsidRPr="00DF6363" w:rsidRDefault="00DF6363" w:rsidP="00BB10EB">
            <w:pPr>
              <w:pStyle w:val="Default"/>
              <w:spacing w:before="120" w:after="120"/>
              <w:jc w:val="center"/>
              <w:rPr>
                <w:rFonts w:asciiTheme="minorHAnsi" w:hAnsiTheme="minorHAnsi" w:cstheme="minorHAnsi"/>
                <w:b/>
                <w:bCs/>
                <w:sz w:val="22"/>
                <w:szCs w:val="22"/>
              </w:rPr>
            </w:pPr>
            <w:r w:rsidRPr="00DF6363">
              <w:rPr>
                <w:rFonts w:asciiTheme="minorHAnsi" w:hAnsiTheme="minorHAnsi" w:cstheme="minorHAnsi"/>
                <w:b/>
                <w:bCs/>
                <w:sz w:val="22"/>
                <w:szCs w:val="22"/>
              </w:rPr>
              <w:t>Recommendation</w:t>
            </w:r>
          </w:p>
        </w:tc>
        <w:tc>
          <w:tcPr>
            <w:tcW w:w="1103" w:type="dxa"/>
            <w:shd w:val="clear" w:color="auto" w:fill="BFBFBF" w:themeFill="background1" w:themeFillShade="BF"/>
          </w:tcPr>
          <w:p w14:paraId="5C453EDC" w14:textId="77777777" w:rsidR="00DF6363" w:rsidRPr="00DF6363" w:rsidRDefault="00DF6363" w:rsidP="00BB10EB">
            <w:pPr>
              <w:pStyle w:val="Default"/>
              <w:spacing w:before="120" w:after="120"/>
              <w:jc w:val="center"/>
              <w:rPr>
                <w:rFonts w:asciiTheme="minorHAnsi" w:hAnsiTheme="minorHAnsi" w:cstheme="minorHAnsi"/>
                <w:b/>
                <w:bCs/>
                <w:sz w:val="22"/>
                <w:szCs w:val="22"/>
              </w:rPr>
            </w:pPr>
            <w:r w:rsidRPr="00DF6363">
              <w:rPr>
                <w:rFonts w:asciiTheme="minorHAnsi" w:hAnsiTheme="minorHAnsi" w:cstheme="minorHAnsi"/>
                <w:b/>
                <w:bCs/>
                <w:sz w:val="22"/>
                <w:szCs w:val="22"/>
              </w:rPr>
              <w:t>Response</w:t>
            </w:r>
          </w:p>
        </w:tc>
        <w:tc>
          <w:tcPr>
            <w:tcW w:w="3685" w:type="dxa"/>
            <w:shd w:val="clear" w:color="auto" w:fill="BFBFBF" w:themeFill="background1" w:themeFillShade="BF"/>
          </w:tcPr>
          <w:p w14:paraId="67895D9A" w14:textId="77777777" w:rsidR="00DF6363" w:rsidRPr="00DF6363" w:rsidRDefault="00DF6363" w:rsidP="00BB10EB">
            <w:pPr>
              <w:pStyle w:val="Default"/>
              <w:spacing w:before="120" w:after="120"/>
              <w:jc w:val="center"/>
              <w:rPr>
                <w:rFonts w:asciiTheme="minorHAnsi" w:hAnsiTheme="minorHAnsi" w:cstheme="minorHAnsi"/>
                <w:b/>
                <w:bCs/>
                <w:sz w:val="22"/>
                <w:szCs w:val="22"/>
              </w:rPr>
            </w:pPr>
            <w:r w:rsidRPr="00DF6363">
              <w:rPr>
                <w:rFonts w:asciiTheme="minorHAnsi" w:hAnsiTheme="minorHAnsi" w:cstheme="minorHAnsi"/>
                <w:b/>
                <w:bCs/>
                <w:sz w:val="22"/>
                <w:szCs w:val="22"/>
              </w:rPr>
              <w:t xml:space="preserve">World Bank </w:t>
            </w:r>
            <w:r>
              <w:rPr>
                <w:rFonts w:asciiTheme="minorHAnsi" w:hAnsiTheme="minorHAnsi" w:cstheme="minorHAnsi"/>
                <w:b/>
                <w:bCs/>
                <w:sz w:val="22"/>
                <w:szCs w:val="22"/>
              </w:rPr>
              <w:t>A</w:t>
            </w:r>
            <w:r w:rsidRPr="00DF6363">
              <w:rPr>
                <w:rFonts w:asciiTheme="minorHAnsi" w:hAnsiTheme="minorHAnsi" w:cstheme="minorHAnsi"/>
                <w:b/>
                <w:bCs/>
                <w:sz w:val="22"/>
                <w:szCs w:val="22"/>
              </w:rPr>
              <w:t xml:space="preserve">ction to be </w:t>
            </w:r>
            <w:r>
              <w:rPr>
                <w:rFonts w:asciiTheme="minorHAnsi" w:hAnsiTheme="minorHAnsi" w:cstheme="minorHAnsi"/>
                <w:b/>
                <w:bCs/>
                <w:sz w:val="22"/>
                <w:szCs w:val="22"/>
              </w:rPr>
              <w:t>T</w:t>
            </w:r>
            <w:r w:rsidRPr="00DF6363">
              <w:rPr>
                <w:rFonts w:asciiTheme="minorHAnsi" w:hAnsiTheme="minorHAnsi" w:cstheme="minorHAnsi"/>
                <w:b/>
                <w:bCs/>
                <w:sz w:val="22"/>
                <w:szCs w:val="22"/>
              </w:rPr>
              <w:t>aken</w:t>
            </w:r>
          </w:p>
        </w:tc>
        <w:tc>
          <w:tcPr>
            <w:tcW w:w="3827" w:type="dxa"/>
            <w:shd w:val="clear" w:color="auto" w:fill="BFBFBF" w:themeFill="background1" w:themeFillShade="BF"/>
          </w:tcPr>
          <w:p w14:paraId="1BD8DB6D" w14:textId="7921E51C" w:rsidR="00DF6363" w:rsidRPr="00DF6363" w:rsidRDefault="00DF6363" w:rsidP="00BB10EB">
            <w:pPr>
              <w:pStyle w:val="Default"/>
              <w:spacing w:before="120" w:after="120"/>
              <w:jc w:val="center"/>
              <w:rPr>
                <w:rFonts w:asciiTheme="minorHAnsi" w:hAnsiTheme="minorHAnsi" w:cstheme="minorHAnsi"/>
                <w:b/>
                <w:bCs/>
                <w:sz w:val="22"/>
                <w:szCs w:val="22"/>
              </w:rPr>
            </w:pPr>
            <w:r w:rsidRPr="00DF6363">
              <w:rPr>
                <w:rFonts w:asciiTheme="minorHAnsi" w:hAnsiTheme="minorHAnsi" w:cstheme="minorHAnsi"/>
                <w:b/>
                <w:bCs/>
                <w:sz w:val="22"/>
                <w:szCs w:val="22"/>
              </w:rPr>
              <w:t xml:space="preserve">DFAT </w:t>
            </w:r>
            <w:r w:rsidR="00405E19">
              <w:rPr>
                <w:rFonts w:asciiTheme="minorHAnsi" w:hAnsiTheme="minorHAnsi" w:cstheme="minorHAnsi"/>
                <w:b/>
                <w:bCs/>
                <w:sz w:val="22"/>
                <w:szCs w:val="22"/>
              </w:rPr>
              <w:t>R</w:t>
            </w:r>
            <w:r w:rsidRPr="00DF6363">
              <w:rPr>
                <w:rFonts w:asciiTheme="minorHAnsi" w:hAnsiTheme="minorHAnsi" w:cstheme="minorHAnsi"/>
                <w:b/>
                <w:bCs/>
                <w:sz w:val="22"/>
                <w:szCs w:val="22"/>
              </w:rPr>
              <w:t>esponse</w:t>
            </w:r>
          </w:p>
        </w:tc>
        <w:tc>
          <w:tcPr>
            <w:tcW w:w="1843" w:type="dxa"/>
            <w:shd w:val="clear" w:color="auto" w:fill="BFBFBF" w:themeFill="background1" w:themeFillShade="BF"/>
          </w:tcPr>
          <w:p w14:paraId="6966AF73" w14:textId="77777777" w:rsidR="00DF6363" w:rsidRPr="00DF6363" w:rsidRDefault="00DF6363" w:rsidP="00BB10EB">
            <w:pPr>
              <w:pStyle w:val="Default"/>
              <w:spacing w:before="120" w:after="120"/>
              <w:jc w:val="center"/>
              <w:rPr>
                <w:rFonts w:asciiTheme="minorHAnsi" w:hAnsiTheme="minorHAnsi" w:cstheme="minorHAnsi"/>
                <w:b/>
                <w:bCs/>
                <w:sz w:val="22"/>
                <w:szCs w:val="22"/>
              </w:rPr>
            </w:pPr>
            <w:r w:rsidRPr="00DF6363">
              <w:rPr>
                <w:rFonts w:asciiTheme="minorHAnsi" w:hAnsiTheme="minorHAnsi" w:cstheme="minorHAnsi"/>
                <w:b/>
                <w:bCs/>
                <w:sz w:val="22"/>
                <w:szCs w:val="22"/>
              </w:rPr>
              <w:t>Timeframe</w:t>
            </w:r>
          </w:p>
        </w:tc>
      </w:tr>
      <w:tr w:rsidR="00DF6363" w:rsidRPr="00DF6363" w14:paraId="56E74889" w14:textId="77777777" w:rsidTr="00810675">
        <w:tc>
          <w:tcPr>
            <w:tcW w:w="3854" w:type="dxa"/>
            <w:shd w:val="clear" w:color="auto" w:fill="auto"/>
          </w:tcPr>
          <w:p w14:paraId="10A608AF" w14:textId="0EAF522F" w:rsidR="00DF6363" w:rsidRPr="00405E19" w:rsidRDefault="00405E19" w:rsidP="00810675">
            <w:pPr>
              <w:autoSpaceDE w:val="0"/>
              <w:autoSpaceDN w:val="0"/>
              <w:adjustRightInd w:val="0"/>
              <w:spacing w:before="120" w:after="120"/>
              <w:rPr>
                <w:rFonts w:cstheme="minorHAnsi"/>
                <w:b/>
                <w:bCs/>
              </w:rPr>
            </w:pPr>
            <w:r>
              <w:rPr>
                <w:rFonts w:cstheme="minorHAnsi"/>
                <w:b/>
                <w:bCs/>
              </w:rPr>
              <w:t xml:space="preserve">1. </w:t>
            </w:r>
            <w:r w:rsidR="00DF6363" w:rsidRPr="00405E19">
              <w:rPr>
                <w:rFonts w:cstheme="minorHAnsi"/>
                <w:b/>
                <w:bCs/>
              </w:rPr>
              <w:t>Improve sustainability of the National Trade Facilitation Committees (NTFCs) and interventions in general by increasing private sector engagement</w:t>
            </w:r>
            <w:r w:rsidR="008D5B2B">
              <w:rPr>
                <w:rFonts w:cstheme="minorHAnsi"/>
                <w:b/>
                <w:bCs/>
              </w:rPr>
              <w:t>.</w:t>
            </w:r>
          </w:p>
          <w:p w14:paraId="4CA7CB3C" w14:textId="77777777" w:rsidR="00DF6363" w:rsidRPr="00DF6363" w:rsidRDefault="00DF6363" w:rsidP="00810675">
            <w:pPr>
              <w:pStyle w:val="ListParagraph"/>
              <w:numPr>
                <w:ilvl w:val="0"/>
                <w:numId w:val="4"/>
              </w:numPr>
              <w:autoSpaceDE w:val="0"/>
              <w:autoSpaceDN w:val="0"/>
              <w:adjustRightInd w:val="0"/>
              <w:spacing w:before="120" w:after="120"/>
              <w:rPr>
                <w:rFonts w:cstheme="minorHAnsi"/>
              </w:rPr>
            </w:pPr>
            <w:r w:rsidRPr="00DF6363">
              <w:rPr>
                <w:rFonts w:cstheme="minorHAnsi"/>
              </w:rPr>
              <w:t>Main focus of TFSP is with public sector stakeholders – border agencies.</w:t>
            </w:r>
          </w:p>
          <w:p w14:paraId="5C2C9656" w14:textId="77777777" w:rsidR="00DF6363" w:rsidRPr="00DF6363" w:rsidRDefault="00DF6363" w:rsidP="00810675">
            <w:pPr>
              <w:pStyle w:val="ListParagraph"/>
              <w:numPr>
                <w:ilvl w:val="0"/>
                <w:numId w:val="4"/>
              </w:numPr>
              <w:autoSpaceDE w:val="0"/>
              <w:autoSpaceDN w:val="0"/>
              <w:adjustRightInd w:val="0"/>
              <w:spacing w:before="120" w:after="120"/>
              <w:rPr>
                <w:rFonts w:cstheme="minorHAnsi"/>
              </w:rPr>
            </w:pPr>
            <w:r w:rsidRPr="00DF6363">
              <w:rPr>
                <w:rFonts w:cstheme="minorHAnsi"/>
              </w:rPr>
              <w:t>Private sector needs to be more involved at NTFC level.</w:t>
            </w:r>
          </w:p>
          <w:p w14:paraId="35903D68" w14:textId="77777777" w:rsidR="00DF6363" w:rsidRPr="00DF6363" w:rsidRDefault="00DF6363" w:rsidP="00810675">
            <w:pPr>
              <w:pStyle w:val="ListParagraph"/>
              <w:numPr>
                <w:ilvl w:val="0"/>
                <w:numId w:val="4"/>
              </w:numPr>
              <w:autoSpaceDE w:val="0"/>
              <w:autoSpaceDN w:val="0"/>
              <w:adjustRightInd w:val="0"/>
              <w:spacing w:before="120" w:after="120"/>
              <w:rPr>
                <w:rFonts w:cstheme="minorHAnsi"/>
              </w:rPr>
            </w:pPr>
            <w:r w:rsidRPr="00DF6363">
              <w:rPr>
                <w:rFonts w:cstheme="minorHAnsi"/>
              </w:rPr>
              <w:t>A well-structured plan that not only formalizes private sector participation but enhances involvement in decision-making processes is needed.</w:t>
            </w:r>
          </w:p>
          <w:p w14:paraId="7990824A" w14:textId="77777777" w:rsidR="00DF6363" w:rsidRPr="00DF6363" w:rsidRDefault="00DF6363" w:rsidP="00810675">
            <w:pPr>
              <w:pStyle w:val="ListParagraph"/>
              <w:numPr>
                <w:ilvl w:val="0"/>
                <w:numId w:val="4"/>
              </w:numPr>
              <w:autoSpaceDE w:val="0"/>
              <w:autoSpaceDN w:val="0"/>
              <w:adjustRightInd w:val="0"/>
              <w:spacing w:before="120" w:after="120"/>
              <w:rPr>
                <w:rFonts w:cstheme="minorHAnsi"/>
              </w:rPr>
            </w:pPr>
            <w:r w:rsidRPr="00DF6363">
              <w:rPr>
                <w:rFonts w:cstheme="minorHAnsi"/>
              </w:rPr>
              <w:t>Success of TFSP leveraging the Global Alliance for Trade Facilitation for private sector engagement should become more standard rather than exceptional.</w:t>
            </w:r>
          </w:p>
          <w:p w14:paraId="37E343F9" w14:textId="77777777" w:rsidR="00DF6363" w:rsidRPr="00DF6363" w:rsidRDefault="00DF6363" w:rsidP="00810675">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Approach requires stronger investment of resources, training, and capacity-building to strengthen private sector’s capacity to participate.</w:t>
            </w:r>
          </w:p>
        </w:tc>
        <w:tc>
          <w:tcPr>
            <w:tcW w:w="1103" w:type="dxa"/>
            <w:shd w:val="clear" w:color="auto" w:fill="92D050"/>
            <w:vAlign w:val="center"/>
          </w:tcPr>
          <w:p w14:paraId="24B3814C" w14:textId="689A74EA" w:rsidR="00DF6363" w:rsidRPr="00DF6363" w:rsidRDefault="00DF6363" w:rsidP="00810675">
            <w:pPr>
              <w:pStyle w:val="Default"/>
              <w:spacing w:before="120" w:after="120"/>
              <w:jc w:val="center"/>
              <w:rPr>
                <w:rFonts w:asciiTheme="minorHAnsi" w:hAnsiTheme="minorHAnsi" w:cstheme="minorHAnsi"/>
                <w:b/>
                <w:bCs/>
                <w:sz w:val="22"/>
                <w:szCs w:val="22"/>
              </w:rPr>
            </w:pPr>
            <w:r w:rsidRPr="00DF6363">
              <w:rPr>
                <w:rFonts w:asciiTheme="minorHAnsi" w:hAnsiTheme="minorHAnsi" w:cstheme="minorHAnsi"/>
                <w:b/>
                <w:bCs/>
                <w:sz w:val="22"/>
                <w:szCs w:val="22"/>
              </w:rPr>
              <w:t>Agree</w:t>
            </w:r>
          </w:p>
        </w:tc>
        <w:tc>
          <w:tcPr>
            <w:tcW w:w="3685" w:type="dxa"/>
            <w:shd w:val="clear" w:color="auto" w:fill="auto"/>
          </w:tcPr>
          <w:p w14:paraId="15741249" w14:textId="77777777" w:rsidR="00DF6363" w:rsidRPr="00DF6363" w:rsidRDefault="00DF6363" w:rsidP="00BB10EB">
            <w:pPr>
              <w:pStyle w:val="Default"/>
              <w:spacing w:before="120" w:after="120"/>
              <w:rPr>
                <w:rFonts w:asciiTheme="minorHAnsi" w:hAnsiTheme="minorHAnsi" w:cstheme="minorHAnsi"/>
                <w:color w:val="auto"/>
                <w:sz w:val="22"/>
                <w:szCs w:val="22"/>
                <w:lang w:val="en-ID"/>
              </w:rPr>
            </w:pPr>
            <w:r w:rsidRPr="00DF6363">
              <w:rPr>
                <w:rFonts w:asciiTheme="minorHAnsi" w:hAnsiTheme="minorHAnsi" w:cstheme="minorHAnsi"/>
                <w:sz w:val="22"/>
                <w:szCs w:val="22"/>
              </w:rPr>
              <w:t>The W</w:t>
            </w:r>
            <w:r>
              <w:rPr>
                <w:rFonts w:asciiTheme="minorHAnsi" w:hAnsiTheme="minorHAnsi" w:cstheme="minorHAnsi"/>
                <w:sz w:val="22"/>
                <w:szCs w:val="22"/>
              </w:rPr>
              <w:t>orld Bank Group (W</w:t>
            </w:r>
            <w:r w:rsidRPr="00DF6363">
              <w:rPr>
                <w:rFonts w:asciiTheme="minorHAnsi" w:hAnsiTheme="minorHAnsi" w:cstheme="minorHAnsi"/>
                <w:sz w:val="22"/>
                <w:szCs w:val="22"/>
              </w:rPr>
              <w:t>BG</w:t>
            </w:r>
            <w:r>
              <w:rPr>
                <w:rFonts w:asciiTheme="minorHAnsi" w:hAnsiTheme="minorHAnsi" w:cstheme="minorHAnsi"/>
                <w:sz w:val="22"/>
                <w:szCs w:val="22"/>
              </w:rPr>
              <w:t>)</w:t>
            </w:r>
            <w:r w:rsidRPr="00DF6363">
              <w:rPr>
                <w:rFonts w:asciiTheme="minorHAnsi" w:hAnsiTheme="minorHAnsi" w:cstheme="minorHAnsi"/>
                <w:sz w:val="22"/>
                <w:szCs w:val="22"/>
              </w:rPr>
              <w:t xml:space="preserve"> appreciates this recommendation and will explore ways to increase involvement and build the capacity of the private sector, including potentially designing specific capacity building to increase the sustainability and effectiveness of private sector stakeholders. Initial discussions to partner with the Global Alliance and ICC are underway.</w:t>
            </w:r>
          </w:p>
        </w:tc>
        <w:tc>
          <w:tcPr>
            <w:tcW w:w="3827" w:type="dxa"/>
            <w:shd w:val="clear" w:color="auto" w:fill="auto"/>
          </w:tcPr>
          <w:p w14:paraId="20EE2D8C" w14:textId="77777777" w:rsidR="00DF6363" w:rsidRPr="00DF6363" w:rsidRDefault="00DF6363" w:rsidP="00BB10EB">
            <w:pPr>
              <w:pStyle w:val="Default"/>
              <w:spacing w:before="120" w:after="120"/>
              <w:rPr>
                <w:rFonts w:asciiTheme="minorHAnsi" w:hAnsiTheme="minorHAnsi" w:cstheme="minorHAnsi"/>
                <w:sz w:val="22"/>
                <w:szCs w:val="22"/>
              </w:rPr>
            </w:pPr>
            <w:r w:rsidRPr="00405E19">
              <w:rPr>
                <w:rFonts w:asciiTheme="minorHAnsi" w:hAnsiTheme="minorHAnsi" w:cstheme="minorHAnsi"/>
                <w:b/>
                <w:bCs/>
                <w:sz w:val="22"/>
                <w:szCs w:val="22"/>
              </w:rPr>
              <w:t>DFAT agrees that the sustainability of NTFCs requires</w:t>
            </w:r>
            <w:r w:rsidRPr="00DF6363">
              <w:rPr>
                <w:rFonts w:asciiTheme="minorHAnsi" w:hAnsiTheme="minorHAnsi" w:cstheme="minorHAnsi"/>
                <w:sz w:val="22"/>
                <w:szCs w:val="22"/>
              </w:rPr>
              <w:t xml:space="preserve"> </w:t>
            </w:r>
            <w:r w:rsidRPr="00DF6363">
              <w:rPr>
                <w:rFonts w:asciiTheme="minorHAnsi" w:hAnsiTheme="minorHAnsi" w:cstheme="minorHAnsi"/>
                <w:b/>
                <w:bCs/>
                <w:sz w:val="22"/>
                <w:szCs w:val="22"/>
              </w:rPr>
              <w:t>focused improvement</w:t>
            </w:r>
            <w:r w:rsidRPr="00DF6363">
              <w:rPr>
                <w:rFonts w:asciiTheme="minorHAnsi" w:hAnsiTheme="minorHAnsi" w:cstheme="minorHAnsi"/>
                <w:sz w:val="22"/>
                <w:szCs w:val="22"/>
              </w:rPr>
              <w:t xml:space="preserve">, particularly in terms of active private sector engagement.  </w:t>
            </w:r>
          </w:p>
          <w:p w14:paraId="5ADF010A" w14:textId="77777777" w:rsidR="00DF6363" w:rsidRPr="00405E19" w:rsidRDefault="00DF6363" w:rsidP="00BB10EB">
            <w:pPr>
              <w:shd w:val="clear" w:color="auto" w:fill="FFFFFF"/>
              <w:autoSpaceDE w:val="0"/>
              <w:autoSpaceDN w:val="0"/>
              <w:adjustRightInd w:val="0"/>
              <w:spacing w:before="120" w:after="120"/>
              <w:rPr>
                <w:rFonts w:cstheme="minorHAnsi"/>
                <w:color w:val="000000"/>
                <w:lang w:val="en-US"/>
              </w:rPr>
            </w:pPr>
            <w:r w:rsidRPr="00DF6363">
              <w:rPr>
                <w:rFonts w:cstheme="minorHAnsi"/>
                <w:color w:val="000000"/>
                <w:lang w:val="en-US"/>
              </w:rPr>
              <w:t xml:space="preserve">The relevance and effectiveness – and ultimately </w:t>
            </w:r>
            <w:r>
              <w:rPr>
                <w:rFonts w:cstheme="minorHAnsi"/>
                <w:color w:val="000000"/>
                <w:lang w:val="en-US"/>
              </w:rPr>
              <w:t xml:space="preserve">the </w:t>
            </w:r>
            <w:r w:rsidRPr="00DF6363">
              <w:rPr>
                <w:rFonts w:cstheme="minorHAnsi"/>
                <w:color w:val="000000"/>
                <w:lang w:val="en-US"/>
              </w:rPr>
              <w:t xml:space="preserve">sustainability </w:t>
            </w:r>
            <w:r>
              <w:rPr>
                <w:rFonts w:cstheme="minorHAnsi"/>
                <w:color w:val="000000"/>
                <w:lang w:val="en-US"/>
              </w:rPr>
              <w:t xml:space="preserve">of the NTFCs </w:t>
            </w:r>
            <w:r w:rsidRPr="00DF6363">
              <w:rPr>
                <w:rFonts w:cstheme="minorHAnsi"/>
                <w:color w:val="000000"/>
                <w:lang w:val="en-US"/>
              </w:rPr>
              <w:t xml:space="preserve">will only be as strong as the involvement of </w:t>
            </w:r>
            <w:r>
              <w:rPr>
                <w:rFonts w:cstheme="minorHAnsi"/>
                <w:color w:val="000000"/>
                <w:lang w:val="en-US"/>
              </w:rPr>
              <w:t xml:space="preserve">their </w:t>
            </w:r>
            <w:r w:rsidRPr="00DF6363">
              <w:rPr>
                <w:rFonts w:cstheme="minorHAnsi"/>
                <w:color w:val="000000"/>
                <w:lang w:val="en-US"/>
              </w:rPr>
              <w:t xml:space="preserve">stakeholders, </w:t>
            </w:r>
            <w:r w:rsidRPr="00405E19">
              <w:rPr>
                <w:rFonts w:cstheme="minorHAnsi"/>
                <w:color w:val="000000"/>
                <w:lang w:val="en-US"/>
              </w:rPr>
              <w:t xml:space="preserve">including the private sector. </w:t>
            </w:r>
          </w:p>
          <w:p w14:paraId="6C562215" w14:textId="220A6206" w:rsidR="00DF6363" w:rsidRPr="00DF6363" w:rsidRDefault="00DF6363" w:rsidP="00BB10EB">
            <w:pPr>
              <w:shd w:val="clear" w:color="auto" w:fill="FFFFFF"/>
              <w:autoSpaceDE w:val="0"/>
              <w:autoSpaceDN w:val="0"/>
              <w:adjustRightInd w:val="0"/>
              <w:spacing w:before="120" w:after="120"/>
              <w:rPr>
                <w:rFonts w:cstheme="minorHAnsi"/>
                <w:color w:val="000000"/>
                <w:lang w:val="en-US"/>
              </w:rPr>
            </w:pPr>
            <w:r w:rsidRPr="00405E19">
              <w:rPr>
                <w:rFonts w:cstheme="minorHAnsi"/>
                <w:color w:val="000000"/>
                <w:lang w:val="en-US"/>
              </w:rPr>
              <w:t>Therefore, NTFC coordination and processes must reflect the value of the NTFCs as a</w:t>
            </w:r>
            <w:r w:rsidR="00405E19" w:rsidRPr="00405E19">
              <w:rPr>
                <w:rFonts w:cstheme="minorHAnsi"/>
                <w:color w:val="000000"/>
                <w:lang w:val="en-US"/>
              </w:rPr>
              <w:t>n inclusive</w:t>
            </w:r>
            <w:r w:rsidRPr="00405E19">
              <w:rPr>
                <w:rFonts w:cstheme="minorHAnsi"/>
                <w:color w:val="000000"/>
                <w:lang w:val="en-US"/>
              </w:rPr>
              <w:t xml:space="preserve"> platform where a range of perspectives are represented</w:t>
            </w:r>
            <w:r w:rsidR="00405E19" w:rsidRPr="00405E19">
              <w:rPr>
                <w:rFonts w:cstheme="minorHAnsi"/>
                <w:color w:val="000000"/>
                <w:lang w:val="en-US"/>
              </w:rPr>
              <w:t xml:space="preserve"> and heard, and where p</w:t>
            </w:r>
            <w:r w:rsidRPr="00405E19">
              <w:rPr>
                <w:rFonts w:cstheme="minorHAnsi"/>
                <w:color w:val="000000"/>
                <w:lang w:val="en-US"/>
              </w:rPr>
              <w:t>riorities are integrated into trade facilitation initiatives</w:t>
            </w:r>
            <w:r w:rsidRPr="00DF6363">
              <w:rPr>
                <w:rFonts w:cstheme="minorHAnsi"/>
                <w:color w:val="000000"/>
                <w:lang w:val="en-US"/>
              </w:rPr>
              <w:t xml:space="preserve">. </w:t>
            </w:r>
          </w:p>
          <w:p w14:paraId="3F6671BF" w14:textId="7F836D60" w:rsidR="00DF6363" w:rsidRPr="00DF6363" w:rsidRDefault="00DF6363" w:rsidP="00BB10EB">
            <w:pPr>
              <w:pStyle w:val="Default"/>
              <w:spacing w:before="120" w:after="120"/>
              <w:rPr>
                <w:rFonts w:asciiTheme="minorHAnsi" w:hAnsiTheme="minorHAnsi" w:cstheme="minorHAnsi"/>
                <w:sz w:val="22"/>
                <w:szCs w:val="22"/>
              </w:rPr>
            </w:pPr>
            <w:r w:rsidRPr="00903B15">
              <w:rPr>
                <w:rFonts w:asciiTheme="minorHAnsi" w:hAnsiTheme="minorHAnsi" w:cstheme="minorHAnsi"/>
                <w:sz w:val="22"/>
                <w:szCs w:val="22"/>
              </w:rPr>
              <w:t xml:space="preserve">DFAT </w:t>
            </w:r>
            <w:r w:rsidR="00405E19" w:rsidRPr="00903B15">
              <w:rPr>
                <w:rFonts w:asciiTheme="minorHAnsi" w:hAnsiTheme="minorHAnsi" w:cstheme="minorHAnsi"/>
                <w:sz w:val="22"/>
                <w:szCs w:val="22"/>
              </w:rPr>
              <w:t xml:space="preserve">urges the </w:t>
            </w:r>
            <w:r w:rsidRPr="00903B15">
              <w:rPr>
                <w:rFonts w:asciiTheme="minorHAnsi" w:hAnsiTheme="minorHAnsi" w:cstheme="minorHAnsi"/>
                <w:sz w:val="22"/>
                <w:szCs w:val="22"/>
              </w:rPr>
              <w:t xml:space="preserve">WBG to </w:t>
            </w:r>
            <w:r w:rsidR="00405E19" w:rsidRPr="00903B15">
              <w:rPr>
                <w:rFonts w:asciiTheme="minorHAnsi" w:hAnsiTheme="minorHAnsi" w:cstheme="minorHAnsi"/>
                <w:sz w:val="22"/>
                <w:szCs w:val="22"/>
              </w:rPr>
              <w:t xml:space="preserve">develop </w:t>
            </w:r>
            <w:r w:rsidRPr="00903B15">
              <w:rPr>
                <w:rFonts w:asciiTheme="minorHAnsi" w:hAnsiTheme="minorHAnsi" w:cstheme="minorHAnsi"/>
                <w:sz w:val="22"/>
                <w:szCs w:val="22"/>
              </w:rPr>
              <w:t xml:space="preserve">a plan with time bound goals for strengthening </w:t>
            </w:r>
            <w:r w:rsidR="00405E19" w:rsidRPr="00903B15">
              <w:rPr>
                <w:rFonts w:asciiTheme="minorHAnsi" w:hAnsiTheme="minorHAnsi" w:cstheme="minorHAnsi"/>
                <w:sz w:val="22"/>
                <w:szCs w:val="22"/>
              </w:rPr>
              <w:t>p</w:t>
            </w:r>
            <w:r w:rsidRPr="00903B15">
              <w:rPr>
                <w:rFonts w:asciiTheme="minorHAnsi" w:hAnsiTheme="minorHAnsi" w:cstheme="minorHAnsi"/>
                <w:sz w:val="22"/>
                <w:szCs w:val="22"/>
              </w:rPr>
              <w:t>rivate sector participation</w:t>
            </w:r>
            <w:r w:rsidR="00405E19" w:rsidRPr="00903B15">
              <w:rPr>
                <w:rFonts w:asciiTheme="minorHAnsi" w:hAnsiTheme="minorHAnsi" w:cstheme="minorHAnsi"/>
                <w:sz w:val="22"/>
                <w:szCs w:val="22"/>
              </w:rPr>
              <w:t xml:space="preserve"> </w:t>
            </w:r>
            <w:r w:rsidRPr="00903B15">
              <w:rPr>
                <w:rFonts w:asciiTheme="minorHAnsi" w:hAnsiTheme="minorHAnsi" w:cstheme="minorHAnsi"/>
                <w:sz w:val="22"/>
                <w:szCs w:val="22"/>
              </w:rPr>
              <w:t>and decision making within NTFCs</w:t>
            </w:r>
            <w:r w:rsidR="00405E19" w:rsidRPr="00903B15">
              <w:rPr>
                <w:rFonts w:asciiTheme="minorHAnsi" w:hAnsiTheme="minorHAnsi" w:cstheme="minorHAnsi"/>
                <w:sz w:val="22"/>
                <w:szCs w:val="22"/>
              </w:rPr>
              <w:t>, inclusive</w:t>
            </w:r>
            <w:r w:rsidR="00405E19">
              <w:rPr>
                <w:rFonts w:asciiTheme="minorHAnsi" w:hAnsiTheme="minorHAnsi" w:cstheme="minorHAnsi"/>
                <w:sz w:val="22"/>
                <w:szCs w:val="22"/>
              </w:rPr>
              <w:t xml:space="preserve"> of </w:t>
            </w:r>
            <w:r w:rsidR="00405E19" w:rsidRPr="00DF6363">
              <w:rPr>
                <w:rFonts w:asciiTheme="minorHAnsi" w:hAnsiTheme="minorHAnsi" w:cstheme="minorHAnsi"/>
                <w:sz w:val="22"/>
                <w:szCs w:val="22"/>
              </w:rPr>
              <w:t>e</w:t>
            </w:r>
            <w:r w:rsidR="00405E19">
              <w:rPr>
                <w:rFonts w:asciiTheme="minorHAnsi" w:hAnsiTheme="minorHAnsi" w:cstheme="minorHAnsi"/>
                <w:sz w:val="22"/>
                <w:szCs w:val="22"/>
              </w:rPr>
              <w:t>.</w:t>
            </w:r>
            <w:r w:rsidR="00405E19" w:rsidRPr="00DF6363">
              <w:rPr>
                <w:rFonts w:asciiTheme="minorHAnsi" w:hAnsiTheme="minorHAnsi" w:cstheme="minorHAnsi"/>
                <w:sz w:val="22"/>
                <w:szCs w:val="22"/>
              </w:rPr>
              <w:t>g.</w:t>
            </w:r>
            <w:r w:rsidR="00405E19">
              <w:rPr>
                <w:rFonts w:asciiTheme="minorHAnsi" w:hAnsiTheme="minorHAnsi" w:cstheme="minorHAnsi"/>
                <w:sz w:val="22"/>
                <w:szCs w:val="22"/>
              </w:rPr>
              <w:t>,</w:t>
            </w:r>
            <w:r w:rsidR="00405E19" w:rsidRPr="00DF6363">
              <w:rPr>
                <w:rFonts w:asciiTheme="minorHAnsi" w:hAnsiTheme="minorHAnsi" w:cstheme="minorHAnsi"/>
                <w:sz w:val="22"/>
                <w:szCs w:val="22"/>
              </w:rPr>
              <w:t xml:space="preserve"> </w:t>
            </w:r>
            <w:r w:rsidR="00405E19">
              <w:rPr>
                <w:rFonts w:asciiTheme="minorHAnsi" w:hAnsiTheme="minorHAnsi" w:cstheme="minorHAnsi"/>
                <w:sz w:val="22"/>
                <w:szCs w:val="22"/>
              </w:rPr>
              <w:t>w</w:t>
            </w:r>
            <w:r w:rsidR="00405E19" w:rsidRPr="00DF6363">
              <w:rPr>
                <w:rFonts w:asciiTheme="minorHAnsi" w:hAnsiTheme="minorHAnsi" w:cstheme="minorHAnsi"/>
                <w:sz w:val="22"/>
                <w:szCs w:val="22"/>
              </w:rPr>
              <w:t>omen traders/associations</w:t>
            </w:r>
            <w:r w:rsidR="00405E19">
              <w:rPr>
                <w:rFonts w:asciiTheme="minorHAnsi" w:hAnsiTheme="minorHAnsi" w:cstheme="minorHAnsi"/>
                <w:sz w:val="22"/>
                <w:szCs w:val="22"/>
              </w:rPr>
              <w:t xml:space="preserve"> and </w:t>
            </w:r>
            <w:r w:rsidR="00405E19" w:rsidRPr="00DF6363">
              <w:rPr>
                <w:rFonts w:asciiTheme="minorHAnsi" w:hAnsiTheme="minorHAnsi" w:cstheme="minorHAnsi"/>
                <w:sz w:val="22"/>
                <w:szCs w:val="22"/>
              </w:rPr>
              <w:t>MSMEs</w:t>
            </w:r>
            <w:r w:rsidR="00405E19">
              <w:rPr>
                <w:rFonts w:asciiTheme="minorHAnsi" w:hAnsiTheme="minorHAnsi" w:cstheme="minorHAnsi"/>
                <w:sz w:val="22"/>
                <w:szCs w:val="22"/>
              </w:rPr>
              <w:t>/</w:t>
            </w:r>
            <w:r w:rsidR="00405E19" w:rsidRPr="00DF6363">
              <w:rPr>
                <w:rFonts w:asciiTheme="minorHAnsi" w:hAnsiTheme="minorHAnsi" w:cstheme="minorHAnsi"/>
                <w:sz w:val="22"/>
                <w:szCs w:val="22"/>
              </w:rPr>
              <w:t>SME</w:t>
            </w:r>
            <w:r w:rsidR="00405E19">
              <w:rPr>
                <w:rFonts w:asciiTheme="minorHAnsi" w:hAnsiTheme="minorHAnsi" w:cstheme="minorHAnsi"/>
                <w:sz w:val="22"/>
                <w:szCs w:val="22"/>
              </w:rPr>
              <w:t>s</w:t>
            </w:r>
            <w:r w:rsidRPr="00DF6363">
              <w:rPr>
                <w:rFonts w:asciiTheme="minorHAnsi" w:hAnsiTheme="minorHAnsi" w:cstheme="minorHAnsi"/>
                <w:sz w:val="22"/>
                <w:szCs w:val="22"/>
              </w:rPr>
              <w:t>.</w:t>
            </w:r>
          </w:p>
        </w:tc>
        <w:tc>
          <w:tcPr>
            <w:tcW w:w="1843" w:type="dxa"/>
            <w:shd w:val="clear" w:color="auto" w:fill="auto"/>
            <w:vAlign w:val="center"/>
          </w:tcPr>
          <w:p w14:paraId="58267870" w14:textId="48325B2C" w:rsidR="00DF6363" w:rsidRPr="00DF6363" w:rsidRDefault="00903B15" w:rsidP="00BB10EB">
            <w:pPr>
              <w:pStyle w:val="Default"/>
              <w:spacing w:before="120" w:after="120"/>
              <w:jc w:val="center"/>
              <w:rPr>
                <w:rFonts w:asciiTheme="minorHAnsi" w:hAnsiTheme="minorHAnsi" w:cstheme="minorHAnsi"/>
                <w:b/>
                <w:bCs/>
                <w:sz w:val="22"/>
                <w:szCs w:val="22"/>
              </w:rPr>
            </w:pPr>
            <w:r>
              <w:rPr>
                <w:rFonts w:asciiTheme="minorHAnsi" w:hAnsiTheme="minorHAnsi" w:cstheme="minorHAnsi"/>
                <w:b/>
                <w:bCs/>
                <w:sz w:val="22"/>
                <w:szCs w:val="22"/>
              </w:rPr>
              <w:t>Pre-Phase 2</w:t>
            </w:r>
          </w:p>
        </w:tc>
      </w:tr>
      <w:tr w:rsidR="00411B86" w:rsidRPr="00DF6363" w14:paraId="39F9DA09" w14:textId="77777777" w:rsidTr="00810675">
        <w:tc>
          <w:tcPr>
            <w:tcW w:w="3854" w:type="dxa"/>
            <w:shd w:val="clear" w:color="auto" w:fill="auto"/>
          </w:tcPr>
          <w:p w14:paraId="68FB0FA0" w14:textId="05403490" w:rsidR="00B856D0" w:rsidRPr="00405E19" w:rsidRDefault="00DF6363" w:rsidP="00DF6363">
            <w:pPr>
              <w:autoSpaceDE w:val="0"/>
              <w:autoSpaceDN w:val="0"/>
              <w:adjustRightInd w:val="0"/>
              <w:spacing w:before="120" w:after="120"/>
              <w:rPr>
                <w:rFonts w:cstheme="minorHAnsi"/>
                <w:b/>
                <w:bCs/>
              </w:rPr>
            </w:pPr>
            <w:r>
              <w:lastRenderedPageBreak/>
              <w:br w:type="page"/>
            </w:r>
            <w:r w:rsidR="00B856D0" w:rsidRPr="00405E19">
              <w:rPr>
                <w:rFonts w:cstheme="minorHAnsi"/>
                <w:b/>
                <w:bCs/>
              </w:rPr>
              <w:t>2. Enhancing the monitoring and evaluation function</w:t>
            </w:r>
            <w:r w:rsidR="008D5B2B">
              <w:rPr>
                <w:rFonts w:cstheme="minorHAnsi"/>
                <w:b/>
                <w:bCs/>
              </w:rPr>
              <w:t>.</w:t>
            </w:r>
          </w:p>
          <w:p w14:paraId="029367F0" w14:textId="3046F446" w:rsidR="00B856D0" w:rsidRPr="00DF6363" w:rsidRDefault="00B856D0" w:rsidP="00405E19">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 xml:space="preserve">Revise the TFSP Program objectives in the theory of change </w:t>
            </w:r>
            <w:r w:rsidR="00810675">
              <w:rPr>
                <w:rFonts w:cstheme="minorHAnsi"/>
              </w:rPr>
              <w:t xml:space="preserve">(TOC) </w:t>
            </w:r>
            <w:r w:rsidRPr="00DF6363">
              <w:rPr>
                <w:rFonts w:cstheme="minorHAnsi"/>
              </w:rPr>
              <w:t>and results framework to replicate indicators used at the project level.</w:t>
            </w:r>
          </w:p>
          <w:p w14:paraId="6C070A7F" w14:textId="178621C0" w:rsidR="00B856D0" w:rsidRPr="00DF6363" w:rsidRDefault="00B856D0" w:rsidP="00405E19">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Agree on targets for all indicators in the program-level results framework, including output, outcome</w:t>
            </w:r>
            <w:r w:rsidR="00D24EAD">
              <w:rPr>
                <w:rFonts w:cstheme="minorHAnsi"/>
              </w:rPr>
              <w:t>,</w:t>
            </w:r>
            <w:r w:rsidRPr="00DF6363">
              <w:rPr>
                <w:rFonts w:cstheme="minorHAnsi"/>
              </w:rPr>
              <w:t xml:space="preserve"> and impact level.</w:t>
            </w:r>
          </w:p>
          <w:p w14:paraId="652A9FB3" w14:textId="65CA6A0F" w:rsidR="00B856D0" w:rsidRPr="00DF6363" w:rsidRDefault="00B856D0" w:rsidP="00405E19">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Report achievement against all indicators in the results framework on an annual basis, as well as cumulative over the life of the program.</w:t>
            </w:r>
          </w:p>
          <w:p w14:paraId="29FC62AB" w14:textId="77B89A69" w:rsidR="00B856D0" w:rsidRPr="00405E19" w:rsidRDefault="00B856D0" w:rsidP="00405E19">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Build in routine gap assessment/</w:t>
            </w:r>
            <w:r w:rsidR="00D24EAD">
              <w:rPr>
                <w:rFonts w:cstheme="minorHAnsi"/>
              </w:rPr>
              <w:t xml:space="preserve"> </w:t>
            </w:r>
            <w:r w:rsidRPr="00DF6363">
              <w:rPr>
                <w:rFonts w:cstheme="minorHAnsi"/>
              </w:rPr>
              <w:t xml:space="preserve">tracking of alignment to TFA periodically to ensure comprehensive tracking of progress. </w:t>
            </w:r>
          </w:p>
          <w:p w14:paraId="52D780C7" w14:textId="77777777" w:rsidR="00D24EAD" w:rsidRDefault="00D24EAD" w:rsidP="00D24EAD">
            <w:pPr>
              <w:pStyle w:val="ListParagraph"/>
              <w:numPr>
                <w:ilvl w:val="0"/>
                <w:numId w:val="4"/>
              </w:numPr>
              <w:shd w:val="clear" w:color="auto" w:fill="FFFFFF"/>
              <w:autoSpaceDE w:val="0"/>
              <w:autoSpaceDN w:val="0"/>
              <w:adjustRightInd w:val="0"/>
              <w:spacing w:before="120" w:after="120"/>
              <w:rPr>
                <w:rFonts w:cstheme="minorHAnsi"/>
              </w:rPr>
            </w:pPr>
            <w:r>
              <w:rPr>
                <w:rFonts w:cstheme="minorHAnsi"/>
              </w:rPr>
              <w:t xml:space="preserve">Include support </w:t>
            </w:r>
            <w:r w:rsidR="00907FED" w:rsidRPr="00DF6363">
              <w:rPr>
                <w:rFonts w:cstheme="minorHAnsi"/>
              </w:rPr>
              <w:t>for NTFCs to be able to also track progress through self-assessment after project support has ended.</w:t>
            </w:r>
          </w:p>
          <w:p w14:paraId="12FE8B95" w14:textId="74E01020" w:rsidR="00B856D0" w:rsidRPr="00D24EAD" w:rsidRDefault="00907FED" w:rsidP="00D24EAD">
            <w:pPr>
              <w:pStyle w:val="ListParagraph"/>
              <w:numPr>
                <w:ilvl w:val="0"/>
                <w:numId w:val="4"/>
              </w:numPr>
              <w:shd w:val="clear" w:color="auto" w:fill="FFFFFF"/>
              <w:autoSpaceDE w:val="0"/>
              <w:autoSpaceDN w:val="0"/>
              <w:adjustRightInd w:val="0"/>
              <w:spacing w:before="120" w:after="120"/>
              <w:rPr>
                <w:rFonts w:cstheme="minorHAnsi"/>
              </w:rPr>
            </w:pPr>
            <w:r w:rsidRPr="00D24EAD">
              <w:rPr>
                <w:rFonts w:cstheme="minorHAnsi"/>
              </w:rPr>
              <w:t>Consider how individual country-level TFA Tracking Tool data can be made available publicly, particularly to private sector operators in the relevant countries, while protecting the sensitivity of the data.</w:t>
            </w:r>
          </w:p>
          <w:p w14:paraId="7666D656" w14:textId="1C56D4EB" w:rsidR="000C02EA" w:rsidRPr="00DF6363" w:rsidRDefault="000C02EA" w:rsidP="00DF6363">
            <w:pPr>
              <w:pStyle w:val="BodyText"/>
              <w:spacing w:before="120" w:after="120"/>
              <w:ind w:left="360"/>
              <w:rPr>
                <w:rFonts w:asciiTheme="minorHAnsi" w:hAnsiTheme="minorHAnsi" w:cstheme="minorHAnsi"/>
              </w:rPr>
            </w:pPr>
          </w:p>
        </w:tc>
        <w:tc>
          <w:tcPr>
            <w:tcW w:w="1103" w:type="dxa"/>
            <w:shd w:val="clear" w:color="auto" w:fill="92D050"/>
            <w:vAlign w:val="center"/>
          </w:tcPr>
          <w:p w14:paraId="6239984D" w14:textId="77777777" w:rsidR="00411B86" w:rsidRPr="00DF6363" w:rsidRDefault="00411B86" w:rsidP="00810675">
            <w:pPr>
              <w:pStyle w:val="Default"/>
              <w:spacing w:before="120" w:after="120"/>
              <w:jc w:val="center"/>
              <w:rPr>
                <w:rFonts w:asciiTheme="minorHAnsi" w:hAnsiTheme="minorHAnsi" w:cstheme="minorHAnsi"/>
                <w:b/>
                <w:bCs/>
                <w:sz w:val="22"/>
                <w:szCs w:val="22"/>
              </w:rPr>
            </w:pPr>
            <w:r w:rsidRPr="00DF6363">
              <w:rPr>
                <w:rFonts w:asciiTheme="minorHAnsi" w:hAnsiTheme="minorHAnsi" w:cstheme="minorHAnsi"/>
                <w:b/>
                <w:bCs/>
                <w:sz w:val="22"/>
                <w:szCs w:val="22"/>
              </w:rPr>
              <w:lastRenderedPageBreak/>
              <w:t>Agree</w:t>
            </w:r>
          </w:p>
        </w:tc>
        <w:tc>
          <w:tcPr>
            <w:tcW w:w="3685" w:type="dxa"/>
            <w:shd w:val="clear" w:color="auto" w:fill="auto"/>
          </w:tcPr>
          <w:p w14:paraId="5D4A2A6E" w14:textId="77777777" w:rsidR="0081660C" w:rsidRPr="00DF6363" w:rsidRDefault="0081660C" w:rsidP="00DF6363">
            <w:pPr>
              <w:autoSpaceDE w:val="0"/>
              <w:autoSpaceDN w:val="0"/>
              <w:adjustRightInd w:val="0"/>
              <w:spacing w:before="120" w:after="120"/>
              <w:rPr>
                <w:rFonts w:cstheme="minorHAnsi"/>
              </w:rPr>
            </w:pPr>
            <w:r w:rsidRPr="00DF6363">
              <w:rPr>
                <w:rFonts w:cstheme="minorHAnsi"/>
              </w:rPr>
              <w:t>As TFSP phase 1 concludes and phase 2 begins, the TFSP Secretariat will take the opportunity to update the program level results framework and indicators to reflect accurate reporting and areas of activity as follows:</w:t>
            </w:r>
          </w:p>
          <w:p w14:paraId="77FBE61E" w14:textId="77777777" w:rsidR="00810675" w:rsidRDefault="00810675" w:rsidP="00DF6363">
            <w:pPr>
              <w:pStyle w:val="ListParagraph"/>
              <w:numPr>
                <w:ilvl w:val="0"/>
                <w:numId w:val="4"/>
              </w:numPr>
              <w:shd w:val="clear" w:color="auto" w:fill="FFFFFF"/>
              <w:autoSpaceDE w:val="0"/>
              <w:autoSpaceDN w:val="0"/>
              <w:adjustRightInd w:val="0"/>
              <w:spacing w:before="120" w:after="120"/>
              <w:rPr>
                <w:rFonts w:cstheme="minorHAnsi"/>
              </w:rPr>
            </w:pPr>
            <w:r>
              <w:rPr>
                <w:rFonts w:cstheme="minorHAnsi"/>
              </w:rPr>
              <w:t>The</w:t>
            </w:r>
            <w:r w:rsidR="0081660C" w:rsidRPr="00DF6363">
              <w:rPr>
                <w:rFonts w:cstheme="minorHAnsi"/>
              </w:rPr>
              <w:t xml:space="preserve"> TOC will be revised, and the program and project level indicators will be updated and integrated into one framework.</w:t>
            </w:r>
          </w:p>
          <w:p w14:paraId="45A5C037" w14:textId="77777777" w:rsidR="00810675" w:rsidRDefault="0081660C" w:rsidP="00DF6363">
            <w:pPr>
              <w:pStyle w:val="ListParagraph"/>
              <w:numPr>
                <w:ilvl w:val="0"/>
                <w:numId w:val="4"/>
              </w:numPr>
              <w:shd w:val="clear" w:color="auto" w:fill="FFFFFF"/>
              <w:autoSpaceDE w:val="0"/>
              <w:autoSpaceDN w:val="0"/>
              <w:adjustRightInd w:val="0"/>
              <w:spacing w:before="120" w:after="120"/>
              <w:rPr>
                <w:rFonts w:cstheme="minorHAnsi"/>
              </w:rPr>
            </w:pPr>
            <w:r w:rsidRPr="00810675">
              <w:rPr>
                <w:rFonts w:cstheme="minorHAnsi"/>
              </w:rPr>
              <w:t>Where possible, targets will be set and updated periodically for outputs and outcomes. Given the demand driven</w:t>
            </w:r>
            <w:r w:rsidR="00EA403F" w:rsidRPr="00810675">
              <w:rPr>
                <w:rFonts w:cstheme="minorHAnsi"/>
              </w:rPr>
              <w:t xml:space="preserve"> nature of TFSP support, special care must be given to set targets that </w:t>
            </w:r>
            <w:proofErr w:type="gramStart"/>
            <w:r w:rsidR="00EA403F" w:rsidRPr="00810675">
              <w:rPr>
                <w:rFonts w:cstheme="minorHAnsi"/>
              </w:rPr>
              <w:t>take into account</w:t>
            </w:r>
            <w:proofErr w:type="gramEnd"/>
            <w:r w:rsidR="00EA403F" w:rsidRPr="00810675">
              <w:rPr>
                <w:rFonts w:cstheme="minorHAnsi"/>
              </w:rPr>
              <w:t xml:space="preserve"> the fluidity of program support as countries are added and/or completed through the life of the program.</w:t>
            </w:r>
          </w:p>
          <w:p w14:paraId="1F49F2BF" w14:textId="77777777" w:rsidR="00810675" w:rsidRDefault="00EA403F" w:rsidP="00DF6363">
            <w:pPr>
              <w:pStyle w:val="ListParagraph"/>
              <w:numPr>
                <w:ilvl w:val="0"/>
                <w:numId w:val="4"/>
              </w:numPr>
              <w:shd w:val="clear" w:color="auto" w:fill="FFFFFF"/>
              <w:autoSpaceDE w:val="0"/>
              <w:autoSpaceDN w:val="0"/>
              <w:adjustRightInd w:val="0"/>
              <w:spacing w:before="120" w:after="120"/>
              <w:rPr>
                <w:rFonts w:cstheme="minorHAnsi"/>
              </w:rPr>
            </w:pPr>
            <w:r w:rsidRPr="00810675">
              <w:rPr>
                <w:rFonts w:cstheme="minorHAnsi"/>
              </w:rPr>
              <w:t>Results will be reported both annually and cumulative over the life of the program</w:t>
            </w:r>
            <w:r w:rsidR="00810675">
              <w:rPr>
                <w:rFonts w:cstheme="minorHAnsi"/>
              </w:rPr>
              <w:t>.</w:t>
            </w:r>
          </w:p>
          <w:p w14:paraId="1E8956FA" w14:textId="77777777" w:rsidR="00810675" w:rsidRDefault="00EA403F" w:rsidP="00DF6363">
            <w:pPr>
              <w:pStyle w:val="ListParagraph"/>
              <w:numPr>
                <w:ilvl w:val="0"/>
                <w:numId w:val="4"/>
              </w:numPr>
              <w:shd w:val="clear" w:color="auto" w:fill="FFFFFF"/>
              <w:autoSpaceDE w:val="0"/>
              <w:autoSpaceDN w:val="0"/>
              <w:adjustRightInd w:val="0"/>
              <w:spacing w:before="120" w:after="120"/>
              <w:rPr>
                <w:rFonts w:cstheme="minorHAnsi"/>
              </w:rPr>
            </w:pPr>
            <w:r w:rsidRPr="00810675">
              <w:rPr>
                <w:rFonts w:cstheme="minorHAnsi"/>
              </w:rPr>
              <w:t>Routine tracking tool updates will be undertaken periodically</w:t>
            </w:r>
            <w:r w:rsidR="00810675">
              <w:rPr>
                <w:rFonts w:cstheme="minorHAnsi"/>
              </w:rPr>
              <w:t xml:space="preserve"> to </w:t>
            </w:r>
            <w:r w:rsidRPr="00810675">
              <w:rPr>
                <w:rFonts w:cstheme="minorHAnsi"/>
              </w:rPr>
              <w:t>measure TFA alignment</w:t>
            </w:r>
            <w:r w:rsidR="00810675">
              <w:rPr>
                <w:rFonts w:cstheme="minorHAnsi"/>
              </w:rPr>
              <w:t>.</w:t>
            </w:r>
          </w:p>
          <w:p w14:paraId="5BF8ED89" w14:textId="77777777" w:rsidR="00810675" w:rsidRDefault="00EA403F" w:rsidP="00810675">
            <w:pPr>
              <w:pStyle w:val="ListParagraph"/>
              <w:numPr>
                <w:ilvl w:val="0"/>
                <w:numId w:val="4"/>
              </w:numPr>
              <w:shd w:val="clear" w:color="auto" w:fill="FFFFFF"/>
              <w:autoSpaceDE w:val="0"/>
              <w:autoSpaceDN w:val="0"/>
              <w:adjustRightInd w:val="0"/>
              <w:spacing w:before="120" w:after="120"/>
              <w:rPr>
                <w:rFonts w:cstheme="minorHAnsi"/>
              </w:rPr>
            </w:pPr>
            <w:r w:rsidRPr="00810675">
              <w:rPr>
                <w:rFonts w:cstheme="minorHAnsi"/>
              </w:rPr>
              <w:t>The team is also in discussions with the OECD to jointly develop indicators useful to measure impact in LDCs and MICs.</w:t>
            </w:r>
          </w:p>
          <w:p w14:paraId="0C4CA3FC" w14:textId="7872822D" w:rsidR="00411B86" w:rsidRPr="00DF6363" w:rsidRDefault="00EA403F" w:rsidP="00810675">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lastRenderedPageBreak/>
              <w:t>The team will discuss with Donor Partners the merits of the country level Tracking Tool scores being made public given the sensitivities of comparing countries.</w:t>
            </w:r>
          </w:p>
        </w:tc>
        <w:tc>
          <w:tcPr>
            <w:tcW w:w="3827" w:type="dxa"/>
            <w:shd w:val="clear" w:color="auto" w:fill="auto"/>
          </w:tcPr>
          <w:p w14:paraId="44F69EE3" w14:textId="77777777" w:rsidR="00810675" w:rsidRDefault="00117079" w:rsidP="00DF6363">
            <w:pPr>
              <w:pStyle w:val="Default"/>
              <w:spacing w:before="120" w:after="120"/>
              <w:rPr>
                <w:rFonts w:asciiTheme="minorHAnsi" w:hAnsiTheme="minorHAnsi" w:cstheme="minorHAnsi"/>
                <w:sz w:val="22"/>
                <w:szCs w:val="22"/>
              </w:rPr>
            </w:pPr>
            <w:r w:rsidRPr="00810675">
              <w:rPr>
                <w:rFonts w:asciiTheme="minorHAnsi" w:hAnsiTheme="minorHAnsi" w:cstheme="minorHAnsi"/>
                <w:b/>
                <w:bCs/>
                <w:sz w:val="22"/>
                <w:szCs w:val="22"/>
              </w:rPr>
              <w:lastRenderedPageBreak/>
              <w:t>DFAT strongly agrees with this recommendation</w:t>
            </w:r>
            <w:r w:rsidR="007D5A2A" w:rsidRPr="00810675">
              <w:rPr>
                <w:rFonts w:asciiTheme="minorHAnsi" w:hAnsiTheme="minorHAnsi" w:cstheme="minorHAnsi"/>
                <w:b/>
                <w:bCs/>
                <w:sz w:val="22"/>
                <w:szCs w:val="22"/>
              </w:rPr>
              <w:t xml:space="preserve"> and all related actions</w:t>
            </w:r>
            <w:r w:rsidRPr="00810675">
              <w:rPr>
                <w:rFonts w:asciiTheme="minorHAnsi" w:hAnsiTheme="minorHAnsi" w:cstheme="minorHAnsi"/>
                <w:b/>
                <w:bCs/>
                <w:sz w:val="22"/>
                <w:szCs w:val="22"/>
              </w:rPr>
              <w:t>.</w:t>
            </w:r>
            <w:r w:rsidRPr="00DF6363">
              <w:rPr>
                <w:rFonts w:asciiTheme="minorHAnsi" w:hAnsiTheme="minorHAnsi" w:cstheme="minorHAnsi"/>
                <w:sz w:val="22"/>
                <w:szCs w:val="22"/>
              </w:rPr>
              <w:t xml:space="preserve"> </w:t>
            </w:r>
          </w:p>
          <w:p w14:paraId="10DE3A8E" w14:textId="0957388B" w:rsidR="00094F69" w:rsidRPr="00DF6363" w:rsidRDefault="00117079" w:rsidP="00DF6363">
            <w:pPr>
              <w:pStyle w:val="Default"/>
              <w:spacing w:before="120" w:after="120"/>
              <w:rPr>
                <w:rFonts w:asciiTheme="minorHAnsi" w:hAnsiTheme="minorHAnsi" w:cstheme="minorHAnsi"/>
                <w:sz w:val="22"/>
                <w:szCs w:val="22"/>
              </w:rPr>
            </w:pPr>
            <w:r w:rsidRPr="00DF6363">
              <w:rPr>
                <w:rFonts w:asciiTheme="minorHAnsi" w:hAnsiTheme="minorHAnsi" w:cstheme="minorHAnsi"/>
                <w:sz w:val="22"/>
                <w:szCs w:val="22"/>
              </w:rPr>
              <w:t>Th</w:t>
            </w:r>
            <w:r w:rsidR="00810675">
              <w:rPr>
                <w:rFonts w:asciiTheme="minorHAnsi" w:hAnsiTheme="minorHAnsi" w:cstheme="minorHAnsi"/>
                <w:sz w:val="22"/>
                <w:szCs w:val="22"/>
              </w:rPr>
              <w:t xml:space="preserve">is area has been identified as one requiring action in previous evaluations. It requires </w:t>
            </w:r>
            <w:r w:rsidR="002C62BB" w:rsidRPr="00DF6363">
              <w:rPr>
                <w:rFonts w:asciiTheme="minorHAnsi" w:hAnsiTheme="minorHAnsi" w:cstheme="minorHAnsi"/>
                <w:sz w:val="22"/>
                <w:szCs w:val="22"/>
              </w:rPr>
              <w:t xml:space="preserve">priority attention. </w:t>
            </w:r>
          </w:p>
          <w:p w14:paraId="6827475C" w14:textId="058A5D89" w:rsidR="007D5A2A" w:rsidRPr="00903B15" w:rsidRDefault="0058102D" w:rsidP="00DF6363">
            <w:pPr>
              <w:pStyle w:val="Default"/>
              <w:spacing w:before="120" w:after="120"/>
              <w:rPr>
                <w:rFonts w:asciiTheme="minorHAnsi" w:hAnsiTheme="minorHAnsi" w:cstheme="minorHAnsi"/>
                <w:sz w:val="22"/>
                <w:szCs w:val="22"/>
              </w:rPr>
            </w:pPr>
            <w:r w:rsidRPr="00DF6363">
              <w:rPr>
                <w:rFonts w:asciiTheme="minorHAnsi" w:hAnsiTheme="minorHAnsi" w:cstheme="minorHAnsi"/>
                <w:sz w:val="22"/>
                <w:szCs w:val="22"/>
              </w:rPr>
              <w:t xml:space="preserve">Given the program’s </w:t>
            </w:r>
            <w:r w:rsidR="00A90EE0" w:rsidRPr="00DF6363">
              <w:rPr>
                <w:rFonts w:asciiTheme="minorHAnsi" w:hAnsiTheme="minorHAnsi" w:cstheme="minorHAnsi"/>
                <w:sz w:val="22"/>
                <w:szCs w:val="22"/>
              </w:rPr>
              <w:t>Phase 1 is coming to a</w:t>
            </w:r>
            <w:r w:rsidR="00810675">
              <w:rPr>
                <w:rFonts w:asciiTheme="minorHAnsi" w:hAnsiTheme="minorHAnsi" w:cstheme="minorHAnsi"/>
                <w:sz w:val="22"/>
                <w:szCs w:val="22"/>
              </w:rPr>
              <w:t xml:space="preserve">n end (Dec 2024), </w:t>
            </w:r>
            <w:r w:rsidR="00A90EE0" w:rsidRPr="00DF6363">
              <w:rPr>
                <w:rFonts w:asciiTheme="minorHAnsi" w:hAnsiTheme="minorHAnsi" w:cstheme="minorHAnsi"/>
                <w:sz w:val="22"/>
                <w:szCs w:val="22"/>
              </w:rPr>
              <w:t xml:space="preserve">DFAT </w:t>
            </w:r>
            <w:r w:rsidR="00810675">
              <w:rPr>
                <w:rFonts w:asciiTheme="minorHAnsi" w:hAnsiTheme="minorHAnsi" w:cstheme="minorHAnsi"/>
                <w:sz w:val="22"/>
                <w:szCs w:val="22"/>
              </w:rPr>
              <w:t xml:space="preserve">now – in the lead up to </w:t>
            </w:r>
            <w:r w:rsidR="00A90EE0" w:rsidRPr="00DF6363">
              <w:rPr>
                <w:rFonts w:asciiTheme="minorHAnsi" w:hAnsiTheme="minorHAnsi" w:cstheme="minorHAnsi"/>
                <w:sz w:val="22"/>
                <w:szCs w:val="22"/>
              </w:rPr>
              <w:t xml:space="preserve">Phase 2 </w:t>
            </w:r>
            <w:r w:rsidR="00810675">
              <w:rPr>
                <w:rFonts w:asciiTheme="minorHAnsi" w:hAnsiTheme="minorHAnsi" w:cstheme="minorHAnsi"/>
                <w:sz w:val="22"/>
                <w:szCs w:val="22"/>
              </w:rPr>
              <w:t xml:space="preserve">– would be </w:t>
            </w:r>
            <w:r w:rsidR="00A90EE0" w:rsidRPr="00DF6363">
              <w:rPr>
                <w:rFonts w:asciiTheme="minorHAnsi" w:hAnsiTheme="minorHAnsi" w:cstheme="minorHAnsi"/>
                <w:sz w:val="22"/>
                <w:szCs w:val="22"/>
              </w:rPr>
              <w:t xml:space="preserve">is an </w:t>
            </w:r>
            <w:r w:rsidR="00A90EE0" w:rsidRPr="00903B15">
              <w:rPr>
                <w:rFonts w:asciiTheme="minorHAnsi" w:hAnsiTheme="minorHAnsi" w:cstheme="minorHAnsi"/>
                <w:sz w:val="22"/>
                <w:szCs w:val="22"/>
              </w:rPr>
              <w:t xml:space="preserve">ideal opportunity to </w:t>
            </w:r>
            <w:r w:rsidR="00A90EE0" w:rsidRPr="00903B15">
              <w:rPr>
                <w:rFonts w:asciiTheme="minorHAnsi" w:hAnsiTheme="minorHAnsi" w:cstheme="minorHAnsi"/>
                <w:sz w:val="22"/>
                <w:szCs w:val="22"/>
                <w:u w:val="single"/>
              </w:rPr>
              <w:t>address all recommendations</w:t>
            </w:r>
            <w:r w:rsidR="00106C25" w:rsidRPr="00903B15">
              <w:rPr>
                <w:rFonts w:asciiTheme="minorHAnsi" w:hAnsiTheme="minorHAnsi" w:cstheme="minorHAnsi"/>
                <w:sz w:val="22"/>
                <w:szCs w:val="22"/>
              </w:rPr>
              <w:t xml:space="preserve"> </w:t>
            </w:r>
            <w:r w:rsidR="00810675" w:rsidRPr="00903B15">
              <w:rPr>
                <w:rFonts w:asciiTheme="minorHAnsi" w:hAnsiTheme="minorHAnsi" w:cstheme="minorHAnsi"/>
                <w:sz w:val="22"/>
                <w:szCs w:val="22"/>
              </w:rPr>
              <w:t xml:space="preserve">from this latest evaluation. This would </w:t>
            </w:r>
            <w:r w:rsidR="00106C25" w:rsidRPr="00903B15">
              <w:rPr>
                <w:rFonts w:asciiTheme="minorHAnsi" w:hAnsiTheme="minorHAnsi" w:cstheme="minorHAnsi"/>
                <w:sz w:val="22"/>
                <w:szCs w:val="22"/>
              </w:rPr>
              <w:t>lead to a stronger</w:t>
            </w:r>
            <w:r w:rsidR="00810675" w:rsidRPr="00903B15">
              <w:rPr>
                <w:rFonts w:asciiTheme="minorHAnsi" w:hAnsiTheme="minorHAnsi" w:cstheme="minorHAnsi"/>
                <w:sz w:val="22"/>
                <w:szCs w:val="22"/>
              </w:rPr>
              <w:t>,</w:t>
            </w:r>
            <w:r w:rsidR="00106C25" w:rsidRPr="00903B15">
              <w:rPr>
                <w:rFonts w:asciiTheme="minorHAnsi" w:hAnsiTheme="minorHAnsi" w:cstheme="minorHAnsi"/>
                <w:sz w:val="22"/>
                <w:szCs w:val="22"/>
              </w:rPr>
              <w:t xml:space="preserve"> results driven program</w:t>
            </w:r>
            <w:r w:rsidR="00A90EE0" w:rsidRPr="00903B15">
              <w:rPr>
                <w:rFonts w:asciiTheme="minorHAnsi" w:hAnsiTheme="minorHAnsi" w:cstheme="minorHAnsi"/>
                <w:sz w:val="22"/>
                <w:szCs w:val="22"/>
              </w:rPr>
              <w:t>.</w:t>
            </w:r>
          </w:p>
          <w:p w14:paraId="07AA2A33" w14:textId="7245F6BC" w:rsidR="00BD4F33" w:rsidRPr="00903B15" w:rsidRDefault="00262C39" w:rsidP="00DF6363">
            <w:pPr>
              <w:pStyle w:val="BodyText"/>
              <w:spacing w:before="120" w:after="120"/>
              <w:rPr>
                <w:rFonts w:asciiTheme="minorHAnsi" w:hAnsiTheme="minorHAnsi" w:cstheme="minorHAnsi"/>
                <w:lang w:val="en-US"/>
              </w:rPr>
            </w:pPr>
            <w:r w:rsidRPr="00903B15">
              <w:rPr>
                <w:rFonts w:asciiTheme="minorHAnsi" w:hAnsiTheme="minorHAnsi" w:cstheme="minorHAnsi"/>
                <w:lang w:val="en-US"/>
              </w:rPr>
              <w:t xml:space="preserve">In addition to revising the </w:t>
            </w:r>
            <w:r w:rsidR="00AD4D40" w:rsidRPr="00903B15">
              <w:rPr>
                <w:rFonts w:asciiTheme="minorHAnsi" w:hAnsiTheme="minorHAnsi" w:cstheme="minorHAnsi"/>
                <w:lang w:val="en-US"/>
              </w:rPr>
              <w:t xml:space="preserve">objectives in the </w:t>
            </w:r>
            <w:proofErr w:type="spellStart"/>
            <w:r w:rsidR="00AD4D40" w:rsidRPr="00903B15">
              <w:rPr>
                <w:rFonts w:asciiTheme="minorHAnsi" w:hAnsiTheme="minorHAnsi" w:cstheme="minorHAnsi"/>
                <w:lang w:val="en-US"/>
              </w:rPr>
              <w:t>ToC</w:t>
            </w:r>
            <w:proofErr w:type="spellEnd"/>
            <w:r w:rsidR="00AD4D40" w:rsidRPr="00903B15">
              <w:rPr>
                <w:rFonts w:asciiTheme="minorHAnsi" w:hAnsiTheme="minorHAnsi" w:cstheme="minorHAnsi"/>
                <w:lang w:val="en-US"/>
              </w:rPr>
              <w:t xml:space="preserve"> and results framework</w:t>
            </w:r>
            <w:r w:rsidR="009B100D" w:rsidRPr="00903B15">
              <w:rPr>
                <w:rFonts w:asciiTheme="minorHAnsi" w:hAnsiTheme="minorHAnsi" w:cstheme="minorHAnsi"/>
                <w:lang w:val="en-US"/>
              </w:rPr>
              <w:t xml:space="preserve"> to replicate indicators used at the project level, DFAT </w:t>
            </w:r>
            <w:r w:rsidR="00810675" w:rsidRPr="00903B15">
              <w:rPr>
                <w:rFonts w:asciiTheme="minorHAnsi" w:hAnsiTheme="minorHAnsi" w:cstheme="minorHAnsi"/>
                <w:lang w:val="en-US"/>
              </w:rPr>
              <w:t xml:space="preserve">urges the WBG to </w:t>
            </w:r>
            <w:r w:rsidR="009B100D" w:rsidRPr="00903B15">
              <w:rPr>
                <w:rFonts w:asciiTheme="minorHAnsi" w:hAnsiTheme="minorHAnsi" w:cstheme="minorHAnsi"/>
                <w:lang w:val="en-US"/>
              </w:rPr>
              <w:t xml:space="preserve">action the recommendation </w:t>
            </w:r>
            <w:r w:rsidR="00ED6821" w:rsidRPr="00903B15">
              <w:rPr>
                <w:rFonts w:asciiTheme="minorHAnsi" w:hAnsiTheme="minorHAnsi" w:cstheme="minorHAnsi"/>
                <w:lang w:val="en-US"/>
              </w:rPr>
              <w:t>to</w:t>
            </w:r>
            <w:r w:rsidR="00BD4F33" w:rsidRPr="00903B15">
              <w:rPr>
                <w:rFonts w:asciiTheme="minorHAnsi" w:hAnsiTheme="minorHAnsi" w:cstheme="minorHAnsi"/>
                <w:lang w:val="en-US"/>
              </w:rPr>
              <w:t xml:space="preserve"> </w:t>
            </w:r>
            <w:r w:rsidR="00ED6821" w:rsidRPr="00903B15">
              <w:rPr>
                <w:rFonts w:asciiTheme="minorHAnsi" w:hAnsiTheme="minorHAnsi" w:cstheme="minorHAnsi"/>
                <w:i/>
                <w:iCs/>
                <w:lang w:val="en-US"/>
              </w:rPr>
              <w:t>‘</w:t>
            </w:r>
            <w:r w:rsidR="00BD4F33" w:rsidRPr="00903B15">
              <w:rPr>
                <w:rFonts w:asciiTheme="minorHAnsi" w:hAnsiTheme="minorHAnsi" w:cstheme="minorHAnsi"/>
                <w:i/>
                <w:iCs/>
                <w:lang w:val="en-US"/>
              </w:rPr>
              <w:t>explicitly include impact on the private sector in terms of reduced time and cost of trading across borders</w:t>
            </w:r>
            <w:r w:rsidR="008D5B2B" w:rsidRPr="00903B15">
              <w:rPr>
                <w:rFonts w:asciiTheme="minorHAnsi" w:hAnsiTheme="minorHAnsi" w:cstheme="minorHAnsi"/>
                <w:i/>
                <w:iCs/>
                <w:lang w:val="en-US"/>
              </w:rPr>
              <w:t>.</w:t>
            </w:r>
            <w:r w:rsidR="00ED6821" w:rsidRPr="00903B15">
              <w:rPr>
                <w:rFonts w:asciiTheme="minorHAnsi" w:hAnsiTheme="minorHAnsi" w:cstheme="minorHAnsi"/>
                <w:i/>
                <w:iCs/>
                <w:lang w:val="en-US"/>
              </w:rPr>
              <w:t>’</w:t>
            </w:r>
            <w:r w:rsidR="00BD4F33" w:rsidRPr="00903B15">
              <w:rPr>
                <w:rFonts w:asciiTheme="minorHAnsi" w:hAnsiTheme="minorHAnsi" w:cstheme="minorHAnsi"/>
                <w:lang w:val="en-US"/>
              </w:rPr>
              <w:t xml:space="preserve"> </w:t>
            </w:r>
          </w:p>
          <w:p w14:paraId="486D9D57" w14:textId="042CA12A" w:rsidR="00411B86" w:rsidRPr="00DF6363" w:rsidRDefault="005C04B9" w:rsidP="00DF6363">
            <w:pPr>
              <w:pStyle w:val="Default"/>
              <w:spacing w:before="120" w:after="120"/>
              <w:rPr>
                <w:rFonts w:asciiTheme="minorHAnsi" w:hAnsiTheme="minorHAnsi" w:cstheme="minorHAnsi"/>
                <w:sz w:val="22"/>
                <w:szCs w:val="22"/>
              </w:rPr>
            </w:pPr>
            <w:r w:rsidRPr="00903B15">
              <w:rPr>
                <w:rFonts w:asciiTheme="minorHAnsi" w:hAnsiTheme="minorHAnsi" w:cstheme="minorHAnsi"/>
                <w:sz w:val="22"/>
                <w:szCs w:val="22"/>
              </w:rPr>
              <w:t xml:space="preserve">As a </w:t>
            </w:r>
            <w:r w:rsidRPr="00903B15">
              <w:rPr>
                <w:rFonts w:asciiTheme="minorHAnsi" w:hAnsiTheme="minorHAnsi" w:cstheme="minorHAnsi"/>
                <w:sz w:val="22"/>
                <w:szCs w:val="22"/>
                <w:u w:val="single"/>
              </w:rPr>
              <w:t>priority</w:t>
            </w:r>
            <w:r w:rsidRPr="00903B15">
              <w:rPr>
                <w:rFonts w:asciiTheme="minorHAnsi" w:hAnsiTheme="minorHAnsi" w:cstheme="minorHAnsi"/>
                <w:sz w:val="22"/>
                <w:szCs w:val="22"/>
              </w:rPr>
              <w:t xml:space="preserve">, </w:t>
            </w:r>
            <w:r w:rsidR="00BF5B55" w:rsidRPr="00903B15">
              <w:rPr>
                <w:rFonts w:asciiTheme="minorHAnsi" w:hAnsiTheme="minorHAnsi" w:cstheme="minorHAnsi"/>
                <w:sz w:val="22"/>
                <w:szCs w:val="22"/>
              </w:rPr>
              <w:t xml:space="preserve">DFAT </w:t>
            </w:r>
            <w:r w:rsidR="008D5B2B" w:rsidRPr="00903B15">
              <w:rPr>
                <w:rFonts w:asciiTheme="minorHAnsi" w:hAnsiTheme="minorHAnsi" w:cstheme="minorHAnsi"/>
                <w:sz w:val="22"/>
                <w:szCs w:val="22"/>
              </w:rPr>
              <w:t>urges t</w:t>
            </w:r>
            <w:r w:rsidR="00BF5B55" w:rsidRPr="00903B15">
              <w:rPr>
                <w:rFonts w:asciiTheme="minorHAnsi" w:hAnsiTheme="minorHAnsi" w:cstheme="minorHAnsi"/>
                <w:sz w:val="22"/>
                <w:szCs w:val="22"/>
              </w:rPr>
              <w:t xml:space="preserve">he WBG to </w:t>
            </w:r>
            <w:r w:rsidR="002C14D8" w:rsidRPr="00903B15">
              <w:rPr>
                <w:rFonts w:asciiTheme="minorHAnsi" w:hAnsiTheme="minorHAnsi" w:cstheme="minorHAnsi"/>
                <w:sz w:val="22"/>
                <w:szCs w:val="22"/>
              </w:rPr>
              <w:t xml:space="preserve">establish an action plan for addressing the specific </w:t>
            </w:r>
            <w:r w:rsidR="008D5B2B" w:rsidRPr="00903B15">
              <w:rPr>
                <w:rFonts w:asciiTheme="minorHAnsi" w:hAnsiTheme="minorHAnsi" w:cstheme="minorHAnsi"/>
                <w:sz w:val="22"/>
                <w:szCs w:val="22"/>
              </w:rPr>
              <w:t xml:space="preserve">monitoring and evaluation </w:t>
            </w:r>
            <w:r w:rsidR="002C14D8" w:rsidRPr="00903B15">
              <w:rPr>
                <w:rFonts w:asciiTheme="minorHAnsi" w:hAnsiTheme="minorHAnsi" w:cstheme="minorHAnsi"/>
                <w:sz w:val="22"/>
                <w:szCs w:val="22"/>
              </w:rPr>
              <w:t>recommendations of th</w:t>
            </w:r>
            <w:r w:rsidR="008D5B2B" w:rsidRPr="00903B15">
              <w:rPr>
                <w:rFonts w:asciiTheme="minorHAnsi" w:hAnsiTheme="minorHAnsi" w:cstheme="minorHAnsi"/>
                <w:sz w:val="22"/>
                <w:szCs w:val="22"/>
              </w:rPr>
              <w:t>is report</w:t>
            </w:r>
            <w:r w:rsidR="002C14D8" w:rsidRPr="00903B15">
              <w:rPr>
                <w:rFonts w:asciiTheme="minorHAnsi" w:hAnsiTheme="minorHAnsi" w:cstheme="minorHAnsi"/>
                <w:sz w:val="22"/>
                <w:szCs w:val="22"/>
              </w:rPr>
              <w:t xml:space="preserve"> and share with donors</w:t>
            </w:r>
            <w:r w:rsidRPr="00903B15">
              <w:rPr>
                <w:rFonts w:asciiTheme="minorHAnsi" w:hAnsiTheme="minorHAnsi" w:cstheme="minorHAnsi"/>
                <w:sz w:val="22"/>
                <w:szCs w:val="22"/>
              </w:rPr>
              <w:t xml:space="preserve"> for consultation</w:t>
            </w:r>
            <w:r w:rsidR="002C14D8" w:rsidRPr="00903B15">
              <w:rPr>
                <w:rFonts w:asciiTheme="minorHAnsi" w:hAnsiTheme="minorHAnsi" w:cstheme="minorHAnsi"/>
                <w:sz w:val="22"/>
                <w:szCs w:val="22"/>
              </w:rPr>
              <w:t>.</w:t>
            </w:r>
            <w:r w:rsidR="002C14D8" w:rsidRPr="00DF6363">
              <w:rPr>
                <w:rFonts w:asciiTheme="minorHAnsi" w:hAnsiTheme="minorHAnsi" w:cstheme="minorHAnsi"/>
                <w:sz w:val="22"/>
                <w:szCs w:val="22"/>
              </w:rPr>
              <w:t xml:space="preserve"> </w:t>
            </w:r>
          </w:p>
        </w:tc>
        <w:tc>
          <w:tcPr>
            <w:tcW w:w="1843" w:type="dxa"/>
            <w:shd w:val="clear" w:color="auto" w:fill="auto"/>
            <w:vAlign w:val="center"/>
          </w:tcPr>
          <w:p w14:paraId="3039F1B1" w14:textId="46DEAF6E" w:rsidR="00411B86" w:rsidRPr="00810675" w:rsidRDefault="00810675" w:rsidP="00903B15">
            <w:pPr>
              <w:pStyle w:val="Default"/>
              <w:spacing w:before="120" w:after="12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High </w:t>
            </w:r>
            <w:r w:rsidRPr="00810675">
              <w:rPr>
                <w:rFonts w:asciiTheme="minorHAnsi" w:hAnsiTheme="minorHAnsi" w:cstheme="minorHAnsi"/>
                <w:b/>
                <w:bCs/>
                <w:sz w:val="22"/>
                <w:szCs w:val="22"/>
                <w:u w:val="single"/>
              </w:rPr>
              <w:t>P</w:t>
            </w:r>
            <w:r w:rsidR="00117079" w:rsidRPr="00810675">
              <w:rPr>
                <w:rFonts w:asciiTheme="minorHAnsi" w:hAnsiTheme="minorHAnsi" w:cstheme="minorHAnsi"/>
                <w:b/>
                <w:bCs/>
                <w:sz w:val="22"/>
                <w:szCs w:val="22"/>
                <w:u w:val="single"/>
              </w:rPr>
              <w:t>riority</w:t>
            </w:r>
            <w:r w:rsidR="00903B15">
              <w:rPr>
                <w:rFonts w:asciiTheme="minorHAnsi" w:hAnsiTheme="minorHAnsi" w:cstheme="minorHAnsi"/>
                <w:b/>
                <w:bCs/>
                <w:sz w:val="22"/>
                <w:szCs w:val="22"/>
                <w:u w:val="single"/>
              </w:rPr>
              <w:br/>
            </w:r>
            <w:r w:rsidR="00903B15">
              <w:rPr>
                <w:rFonts w:asciiTheme="minorHAnsi" w:hAnsiTheme="minorHAnsi" w:cstheme="minorHAnsi"/>
                <w:b/>
                <w:bCs/>
                <w:sz w:val="22"/>
                <w:szCs w:val="22"/>
              </w:rPr>
              <w:t>Pre-</w:t>
            </w:r>
            <w:r>
              <w:rPr>
                <w:rFonts w:asciiTheme="minorHAnsi" w:hAnsiTheme="minorHAnsi" w:cstheme="minorHAnsi"/>
                <w:b/>
                <w:bCs/>
                <w:sz w:val="22"/>
                <w:szCs w:val="22"/>
              </w:rPr>
              <w:t>Phase 2</w:t>
            </w:r>
          </w:p>
        </w:tc>
      </w:tr>
      <w:tr w:rsidR="00411B86" w:rsidRPr="00DF6363" w14:paraId="246F51C4" w14:textId="77777777" w:rsidTr="008D5B2B">
        <w:tc>
          <w:tcPr>
            <w:tcW w:w="3854" w:type="dxa"/>
            <w:shd w:val="clear" w:color="auto" w:fill="auto"/>
          </w:tcPr>
          <w:p w14:paraId="7DB7676F" w14:textId="5D634829" w:rsidR="00F036E1" w:rsidRPr="008D5B2B" w:rsidRDefault="00F036E1" w:rsidP="00DF6363">
            <w:pPr>
              <w:autoSpaceDE w:val="0"/>
              <w:autoSpaceDN w:val="0"/>
              <w:adjustRightInd w:val="0"/>
              <w:spacing w:before="120" w:after="120"/>
              <w:rPr>
                <w:rFonts w:cstheme="minorHAnsi"/>
                <w:b/>
                <w:bCs/>
              </w:rPr>
            </w:pPr>
            <w:r w:rsidRPr="008D5B2B">
              <w:rPr>
                <w:rFonts w:cstheme="minorHAnsi"/>
                <w:b/>
                <w:bCs/>
              </w:rPr>
              <w:t>3. Implementing more specific activities on trade and sustainability</w:t>
            </w:r>
            <w:r w:rsidR="008D5B2B">
              <w:rPr>
                <w:rFonts w:cstheme="minorHAnsi"/>
                <w:b/>
                <w:bCs/>
              </w:rPr>
              <w:t>.</w:t>
            </w:r>
          </w:p>
          <w:p w14:paraId="0007FB66" w14:textId="2AD65337" w:rsidR="00F036E1" w:rsidRPr="00DF6363" w:rsidRDefault="00F036E1" w:rsidP="008D5B2B">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Need for more inclusive trade facilitation to build on current initiatives encompassing not only gender but also digitalization of trade, e-commerce, climate and greening trade facilitation, disability access and MSME inclusiveness.</w:t>
            </w:r>
          </w:p>
          <w:p w14:paraId="4D442516" w14:textId="1B1D8CF4" w:rsidR="00F036E1" w:rsidRPr="00DF6363" w:rsidRDefault="00F036E1" w:rsidP="008D5B2B">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Interconnectedness between trade facilitation and sustainable practices: It is important to address environmental impacts at cross-cutting level</w:t>
            </w:r>
            <w:r w:rsidR="008D5B2B">
              <w:rPr>
                <w:rFonts w:cstheme="minorHAnsi"/>
              </w:rPr>
              <w:t>.</w:t>
            </w:r>
          </w:p>
          <w:p w14:paraId="03F1E4E3" w14:textId="5F695959" w:rsidR="00914C16" w:rsidRPr="008D5B2B" w:rsidRDefault="00F036E1" w:rsidP="008D5B2B">
            <w:pPr>
              <w:pStyle w:val="ListParagraph"/>
              <w:numPr>
                <w:ilvl w:val="0"/>
                <w:numId w:val="4"/>
              </w:numPr>
              <w:shd w:val="clear" w:color="auto" w:fill="FFFFFF"/>
              <w:autoSpaceDE w:val="0"/>
              <w:autoSpaceDN w:val="0"/>
              <w:adjustRightInd w:val="0"/>
              <w:spacing w:before="120" w:after="120"/>
              <w:rPr>
                <w:rFonts w:cstheme="minorHAnsi"/>
              </w:rPr>
            </w:pPr>
            <w:r w:rsidRPr="00DF6363">
              <w:rPr>
                <w:rFonts w:cstheme="minorHAnsi"/>
              </w:rPr>
              <w:t>Consideration of disability access, particularly in digital trade and trade information portals, reflects a commitment to accessibility and inclusivity</w:t>
            </w:r>
            <w:r w:rsidRPr="008D5B2B">
              <w:rPr>
                <w:rFonts w:cstheme="minorHAnsi"/>
              </w:rPr>
              <w:t>.</w:t>
            </w:r>
          </w:p>
          <w:p w14:paraId="1F9F1A21" w14:textId="77777777" w:rsidR="00411B86" w:rsidRPr="00DF6363" w:rsidRDefault="00411B86" w:rsidP="00DF6363">
            <w:pPr>
              <w:pStyle w:val="Default"/>
              <w:spacing w:before="120" w:after="120"/>
              <w:jc w:val="both"/>
              <w:rPr>
                <w:rFonts w:asciiTheme="minorHAnsi" w:hAnsiTheme="minorHAnsi" w:cstheme="minorHAnsi"/>
                <w:sz w:val="22"/>
                <w:szCs w:val="22"/>
              </w:rPr>
            </w:pPr>
          </w:p>
        </w:tc>
        <w:tc>
          <w:tcPr>
            <w:tcW w:w="1103" w:type="dxa"/>
            <w:shd w:val="clear" w:color="auto" w:fill="92D050"/>
            <w:vAlign w:val="center"/>
          </w:tcPr>
          <w:p w14:paraId="35BA16F1" w14:textId="556DBDF8" w:rsidR="00411B86" w:rsidRPr="008D5B2B" w:rsidRDefault="00110892" w:rsidP="008D5B2B">
            <w:pPr>
              <w:pStyle w:val="Default"/>
              <w:spacing w:before="120" w:after="120"/>
              <w:jc w:val="center"/>
              <w:rPr>
                <w:rFonts w:asciiTheme="minorHAnsi" w:hAnsiTheme="minorHAnsi" w:cstheme="minorHAnsi"/>
                <w:b/>
                <w:bCs/>
                <w:sz w:val="22"/>
                <w:szCs w:val="22"/>
              </w:rPr>
            </w:pPr>
            <w:r w:rsidRPr="008D5B2B">
              <w:rPr>
                <w:rFonts w:asciiTheme="minorHAnsi" w:hAnsiTheme="minorHAnsi" w:cstheme="minorHAnsi"/>
                <w:b/>
                <w:bCs/>
                <w:sz w:val="22"/>
                <w:szCs w:val="22"/>
              </w:rPr>
              <w:t>Agree</w:t>
            </w:r>
          </w:p>
        </w:tc>
        <w:tc>
          <w:tcPr>
            <w:tcW w:w="3685" w:type="dxa"/>
            <w:shd w:val="clear" w:color="auto" w:fill="auto"/>
          </w:tcPr>
          <w:p w14:paraId="260017D9" w14:textId="77777777" w:rsidR="00511D71" w:rsidRPr="00DF6363" w:rsidRDefault="00511D71" w:rsidP="00DF6363">
            <w:pPr>
              <w:autoSpaceDE w:val="0"/>
              <w:autoSpaceDN w:val="0"/>
              <w:adjustRightInd w:val="0"/>
              <w:spacing w:before="120" w:after="120"/>
              <w:rPr>
                <w:rFonts w:cstheme="minorHAnsi"/>
              </w:rPr>
            </w:pPr>
            <w:r w:rsidRPr="00DF6363">
              <w:rPr>
                <w:rFonts w:cstheme="minorHAnsi"/>
              </w:rPr>
              <w:t>More engagement on and leverage of these complementary cross-cutting issues is required to move the trade and trade facilitation agenda forward as the 21st century evolves. TFSP is responding to these cross-cutting emerging issues in addition to accelerating support to aid countries in implementing their Category C commitments.</w:t>
            </w:r>
          </w:p>
          <w:p w14:paraId="5182759A" w14:textId="77777777" w:rsidR="008D5B2B" w:rsidRDefault="00511D71" w:rsidP="008D5B2B">
            <w:pPr>
              <w:autoSpaceDE w:val="0"/>
              <w:autoSpaceDN w:val="0"/>
              <w:adjustRightInd w:val="0"/>
              <w:spacing w:before="120" w:after="120"/>
              <w:rPr>
                <w:rFonts w:cstheme="minorHAnsi"/>
              </w:rPr>
            </w:pPr>
            <w:r w:rsidRPr="008D5B2B">
              <w:rPr>
                <w:rFonts w:cstheme="minorHAnsi"/>
              </w:rPr>
              <w:t xml:space="preserve">Regarding </w:t>
            </w:r>
            <w:r w:rsidRPr="008D5B2B">
              <w:rPr>
                <w:rFonts w:cstheme="minorHAnsi"/>
                <w:u w:val="single"/>
              </w:rPr>
              <w:t>gender</w:t>
            </w:r>
            <w:r w:rsidRPr="008D5B2B">
              <w:rPr>
                <w:rFonts w:cstheme="minorHAnsi"/>
              </w:rPr>
              <w:t xml:space="preserve">, TFSP will continue to disseminate and advise on the Trade and Gender Study with the overall objective of helping countries identify and quantify </w:t>
            </w:r>
            <w:r w:rsidR="00A81CCC" w:rsidRPr="008D5B2B">
              <w:rPr>
                <w:rFonts w:cstheme="minorHAnsi"/>
              </w:rPr>
              <w:t>obstacles that women-led firms face when conducting cross-border trade. TFSP-supported project teams will work with government counterparts to integrate the findings and recommendations into the design of activities and interventions.</w:t>
            </w:r>
          </w:p>
          <w:p w14:paraId="598E2764" w14:textId="77777777" w:rsidR="008D5B2B" w:rsidRDefault="00A81CCC" w:rsidP="008D5B2B">
            <w:pPr>
              <w:autoSpaceDE w:val="0"/>
              <w:autoSpaceDN w:val="0"/>
              <w:adjustRightInd w:val="0"/>
              <w:spacing w:before="120" w:after="120"/>
              <w:rPr>
                <w:rFonts w:cstheme="minorHAnsi"/>
              </w:rPr>
            </w:pPr>
            <w:r w:rsidRPr="008D5B2B">
              <w:rPr>
                <w:rFonts w:cstheme="minorHAnsi"/>
              </w:rPr>
              <w:t xml:space="preserve">On </w:t>
            </w:r>
            <w:r w:rsidRPr="008D5B2B">
              <w:rPr>
                <w:rFonts w:cstheme="minorHAnsi"/>
                <w:u w:val="single"/>
              </w:rPr>
              <w:t>trade facilitation</w:t>
            </w:r>
            <w:r w:rsidRPr="008D5B2B">
              <w:rPr>
                <w:rFonts w:cstheme="minorHAnsi"/>
              </w:rPr>
              <w:t xml:space="preserve">, </w:t>
            </w:r>
            <w:r w:rsidRPr="008D5B2B">
              <w:rPr>
                <w:rFonts w:cstheme="minorHAnsi"/>
                <w:u w:val="single"/>
              </w:rPr>
              <w:t>climate</w:t>
            </w:r>
            <w:r w:rsidRPr="008D5B2B">
              <w:rPr>
                <w:rFonts w:cstheme="minorHAnsi"/>
              </w:rPr>
              <w:t xml:space="preserve">, and the </w:t>
            </w:r>
            <w:r w:rsidRPr="008D5B2B">
              <w:rPr>
                <w:rFonts w:cstheme="minorHAnsi"/>
                <w:u w:val="single"/>
              </w:rPr>
              <w:t>environment</w:t>
            </w:r>
            <w:r w:rsidRPr="008D5B2B">
              <w:rPr>
                <w:rFonts w:cstheme="minorHAnsi"/>
              </w:rPr>
              <w:t xml:space="preserve">, TFSP will continue </w:t>
            </w:r>
            <w:r w:rsidRPr="008D5B2B">
              <w:rPr>
                <w:rFonts w:cstheme="minorHAnsi"/>
              </w:rPr>
              <w:lastRenderedPageBreak/>
              <w:t>working on the development of a methodology and indicators to measure trade facilitation’s impact on climate change and sustainability. This work began in FY24 and will continue in FY25. The methodology will enable collection of baseline data to quantify how a broad range of trade facilitation measures – such as digitization, coordinated border management, pre-arrival processing – can impact paper lifecycle and/or vehicle emissions.</w:t>
            </w:r>
          </w:p>
          <w:p w14:paraId="7A82579B" w14:textId="47671B46" w:rsidR="00411B86" w:rsidRPr="00DF6363" w:rsidRDefault="00A81CCC" w:rsidP="008D5B2B">
            <w:pPr>
              <w:autoSpaceDE w:val="0"/>
              <w:autoSpaceDN w:val="0"/>
              <w:adjustRightInd w:val="0"/>
              <w:spacing w:before="120" w:after="120"/>
              <w:rPr>
                <w:rFonts w:cstheme="minorHAnsi"/>
              </w:rPr>
            </w:pPr>
            <w:r w:rsidRPr="00DF6363">
              <w:rPr>
                <w:rFonts w:cstheme="minorHAnsi"/>
              </w:rPr>
              <w:t xml:space="preserve">On </w:t>
            </w:r>
            <w:r w:rsidRPr="008D5B2B">
              <w:rPr>
                <w:rFonts w:cstheme="minorHAnsi"/>
                <w:u w:val="single"/>
              </w:rPr>
              <w:t>digitalization</w:t>
            </w:r>
            <w:r w:rsidRPr="00DF6363">
              <w:rPr>
                <w:rFonts w:cstheme="minorHAnsi"/>
              </w:rPr>
              <w:t>, TFSP will continue to support implementation of robust digital infrastructure (such as Single Windows, ASYCUDA, Trade Information Portals, and tools) to help the public and private sector automate the cross-border trade process. Ways to further upgrade the border management environment through automation and digitalization will be explored.</w:t>
            </w:r>
          </w:p>
          <w:p w14:paraId="19237782" w14:textId="40E2AABB" w:rsidR="009E1C94" w:rsidRPr="008D5B2B" w:rsidRDefault="009E1C94" w:rsidP="008D5B2B">
            <w:pPr>
              <w:autoSpaceDE w:val="0"/>
              <w:autoSpaceDN w:val="0"/>
              <w:adjustRightInd w:val="0"/>
              <w:spacing w:before="120" w:after="120"/>
              <w:rPr>
                <w:rFonts w:cstheme="minorHAnsi"/>
              </w:rPr>
            </w:pPr>
            <w:r w:rsidRPr="008D5B2B">
              <w:rPr>
                <w:rFonts w:cstheme="minorHAnsi"/>
              </w:rPr>
              <w:t xml:space="preserve">For </w:t>
            </w:r>
            <w:r w:rsidRPr="008D5B2B">
              <w:rPr>
                <w:rFonts w:cstheme="minorHAnsi"/>
                <w:u w:val="single"/>
              </w:rPr>
              <w:t>emergency preparedness</w:t>
            </w:r>
            <w:r w:rsidRPr="008D5B2B">
              <w:rPr>
                <w:rFonts w:cstheme="minorHAnsi"/>
              </w:rPr>
              <w:t>, by leveraging the experiences and lessons learned through helping countries with</w:t>
            </w:r>
            <w:r w:rsidR="008D5B2B" w:rsidRPr="008D5B2B">
              <w:rPr>
                <w:rFonts w:cstheme="minorHAnsi"/>
              </w:rPr>
              <w:t xml:space="preserve"> </w:t>
            </w:r>
            <w:r w:rsidRPr="008D5B2B">
              <w:rPr>
                <w:rFonts w:cstheme="minorHAnsi"/>
              </w:rPr>
              <w:t xml:space="preserve">their emergency response to the COVID-19 pandemic, TFSP will support countries to introduce emergency preparedness </w:t>
            </w:r>
            <w:r w:rsidRPr="008D5B2B">
              <w:rPr>
                <w:rFonts w:cstheme="minorHAnsi"/>
              </w:rPr>
              <w:lastRenderedPageBreak/>
              <w:t>measures to help keep goods flowing during emergencies and natural disasters. Measures include expedited clearance of imported cargo, modernized customs legislation, institutional policy reform to increase the resilience of the build environment, a whole-of-government approach to border clearance, and improved communication mechanisms.</w:t>
            </w:r>
          </w:p>
        </w:tc>
        <w:tc>
          <w:tcPr>
            <w:tcW w:w="3827" w:type="dxa"/>
            <w:shd w:val="clear" w:color="auto" w:fill="auto"/>
          </w:tcPr>
          <w:p w14:paraId="45242197" w14:textId="2EC1A78D" w:rsidR="00DF568F" w:rsidRPr="00DF6363" w:rsidRDefault="00595801" w:rsidP="00DF6363">
            <w:pPr>
              <w:pStyle w:val="Default"/>
              <w:spacing w:before="120" w:after="120"/>
              <w:rPr>
                <w:rFonts w:asciiTheme="minorHAnsi" w:hAnsiTheme="minorHAnsi" w:cstheme="minorHAnsi"/>
                <w:sz w:val="22"/>
                <w:szCs w:val="22"/>
              </w:rPr>
            </w:pPr>
            <w:r w:rsidRPr="008D5B2B">
              <w:rPr>
                <w:rFonts w:asciiTheme="minorHAnsi" w:hAnsiTheme="minorHAnsi" w:cstheme="minorHAnsi"/>
                <w:b/>
                <w:bCs/>
                <w:sz w:val="22"/>
                <w:szCs w:val="22"/>
              </w:rPr>
              <w:lastRenderedPageBreak/>
              <w:t>DFAT agree</w:t>
            </w:r>
            <w:r w:rsidR="003C048D" w:rsidRPr="008D5B2B">
              <w:rPr>
                <w:rFonts w:asciiTheme="minorHAnsi" w:hAnsiTheme="minorHAnsi" w:cstheme="minorHAnsi"/>
                <w:b/>
                <w:bCs/>
                <w:sz w:val="22"/>
                <w:szCs w:val="22"/>
              </w:rPr>
              <w:t xml:space="preserve">s with the </w:t>
            </w:r>
            <w:r w:rsidR="00344B24" w:rsidRPr="008D5B2B">
              <w:rPr>
                <w:rFonts w:asciiTheme="minorHAnsi" w:hAnsiTheme="minorHAnsi" w:cstheme="minorHAnsi"/>
                <w:b/>
                <w:bCs/>
                <w:sz w:val="22"/>
                <w:szCs w:val="22"/>
              </w:rPr>
              <w:t>recommendation and</w:t>
            </w:r>
            <w:r w:rsidR="009C70E3" w:rsidRPr="008D5B2B">
              <w:rPr>
                <w:rFonts w:asciiTheme="minorHAnsi" w:hAnsiTheme="minorHAnsi" w:cstheme="minorHAnsi"/>
                <w:b/>
                <w:bCs/>
                <w:sz w:val="22"/>
                <w:szCs w:val="22"/>
              </w:rPr>
              <w:t xml:space="preserve"> supports the WBG’s </w:t>
            </w:r>
            <w:r w:rsidR="00143309" w:rsidRPr="008D5B2B">
              <w:rPr>
                <w:rFonts w:asciiTheme="minorHAnsi" w:hAnsiTheme="minorHAnsi" w:cstheme="minorHAnsi"/>
                <w:b/>
                <w:bCs/>
                <w:sz w:val="22"/>
                <w:szCs w:val="22"/>
              </w:rPr>
              <w:t>responses on its various initiatives</w:t>
            </w:r>
            <w:r w:rsidR="00D17B98" w:rsidRPr="008D5B2B">
              <w:rPr>
                <w:rFonts w:asciiTheme="minorHAnsi" w:hAnsiTheme="minorHAnsi" w:cstheme="minorHAnsi"/>
                <w:b/>
                <w:bCs/>
                <w:sz w:val="22"/>
                <w:szCs w:val="22"/>
              </w:rPr>
              <w:t xml:space="preserve"> addressing, gender, </w:t>
            </w:r>
            <w:r w:rsidR="009A179A" w:rsidRPr="008D5B2B">
              <w:rPr>
                <w:rFonts w:asciiTheme="minorHAnsi" w:hAnsiTheme="minorHAnsi" w:cstheme="minorHAnsi"/>
                <w:b/>
                <w:bCs/>
                <w:sz w:val="22"/>
                <w:szCs w:val="22"/>
              </w:rPr>
              <w:t xml:space="preserve">digitalisation, e-commerce, </w:t>
            </w:r>
            <w:proofErr w:type="gramStart"/>
            <w:r w:rsidR="009A179A" w:rsidRPr="008D5B2B">
              <w:rPr>
                <w:rFonts w:asciiTheme="minorHAnsi" w:hAnsiTheme="minorHAnsi" w:cstheme="minorHAnsi"/>
                <w:b/>
                <w:bCs/>
                <w:sz w:val="22"/>
                <w:szCs w:val="22"/>
              </w:rPr>
              <w:t>climate</w:t>
            </w:r>
            <w:proofErr w:type="gramEnd"/>
            <w:r w:rsidR="00DF568F" w:rsidRPr="008D5B2B">
              <w:rPr>
                <w:rFonts w:asciiTheme="minorHAnsi" w:hAnsiTheme="minorHAnsi" w:cstheme="minorHAnsi"/>
                <w:b/>
                <w:bCs/>
                <w:sz w:val="22"/>
                <w:szCs w:val="22"/>
              </w:rPr>
              <w:t xml:space="preserve"> and disaster preparedness</w:t>
            </w:r>
            <w:r w:rsidR="00143309" w:rsidRPr="00DF6363">
              <w:rPr>
                <w:rFonts w:asciiTheme="minorHAnsi" w:hAnsiTheme="minorHAnsi" w:cstheme="minorHAnsi"/>
                <w:sz w:val="22"/>
                <w:szCs w:val="22"/>
              </w:rPr>
              <w:t xml:space="preserve">. </w:t>
            </w:r>
          </w:p>
          <w:p w14:paraId="6C571ECB" w14:textId="5BCFB6AD" w:rsidR="00DF568F" w:rsidRPr="00DF6363" w:rsidRDefault="00143309" w:rsidP="00DF6363">
            <w:pPr>
              <w:pStyle w:val="Default"/>
              <w:spacing w:before="120" w:after="120"/>
              <w:rPr>
                <w:rFonts w:asciiTheme="minorHAnsi" w:hAnsiTheme="minorHAnsi" w:cstheme="minorHAnsi"/>
                <w:sz w:val="22"/>
                <w:szCs w:val="22"/>
              </w:rPr>
            </w:pPr>
            <w:r w:rsidRPr="00DF6363">
              <w:rPr>
                <w:rFonts w:asciiTheme="minorHAnsi" w:hAnsiTheme="minorHAnsi" w:cstheme="minorHAnsi"/>
                <w:sz w:val="22"/>
                <w:szCs w:val="22"/>
              </w:rPr>
              <w:t xml:space="preserve">We take note that the WBG has already laid </w:t>
            </w:r>
            <w:r w:rsidR="00CF3B66" w:rsidRPr="00DF6363">
              <w:rPr>
                <w:rFonts w:asciiTheme="minorHAnsi" w:hAnsiTheme="minorHAnsi" w:cstheme="minorHAnsi"/>
                <w:sz w:val="22"/>
                <w:szCs w:val="22"/>
              </w:rPr>
              <w:t xml:space="preserve">some </w:t>
            </w:r>
            <w:r w:rsidRPr="00DF6363">
              <w:rPr>
                <w:rFonts w:asciiTheme="minorHAnsi" w:hAnsiTheme="minorHAnsi" w:cstheme="minorHAnsi"/>
                <w:sz w:val="22"/>
                <w:szCs w:val="22"/>
              </w:rPr>
              <w:t xml:space="preserve">good </w:t>
            </w:r>
            <w:r w:rsidR="00344B24" w:rsidRPr="00DF6363">
              <w:rPr>
                <w:rFonts w:asciiTheme="minorHAnsi" w:hAnsiTheme="minorHAnsi" w:cstheme="minorHAnsi"/>
                <w:sz w:val="22"/>
                <w:szCs w:val="22"/>
              </w:rPr>
              <w:t>groundwork</w:t>
            </w:r>
            <w:r w:rsidRPr="00DF6363">
              <w:rPr>
                <w:rFonts w:asciiTheme="minorHAnsi" w:hAnsiTheme="minorHAnsi" w:cstheme="minorHAnsi"/>
                <w:sz w:val="22"/>
                <w:szCs w:val="22"/>
              </w:rPr>
              <w:t xml:space="preserve"> in areas such as gender, </w:t>
            </w:r>
            <w:r w:rsidR="00CF3B66" w:rsidRPr="00DF6363">
              <w:rPr>
                <w:rFonts w:asciiTheme="minorHAnsi" w:hAnsiTheme="minorHAnsi" w:cstheme="minorHAnsi"/>
                <w:sz w:val="22"/>
                <w:szCs w:val="22"/>
              </w:rPr>
              <w:t>digitalisation</w:t>
            </w:r>
            <w:r w:rsidR="008D5B2B">
              <w:rPr>
                <w:rFonts w:asciiTheme="minorHAnsi" w:hAnsiTheme="minorHAnsi" w:cstheme="minorHAnsi"/>
                <w:sz w:val="22"/>
                <w:szCs w:val="22"/>
              </w:rPr>
              <w:t>,</w:t>
            </w:r>
            <w:r w:rsidR="00CF3B66" w:rsidRPr="00DF6363">
              <w:rPr>
                <w:rFonts w:asciiTheme="minorHAnsi" w:hAnsiTheme="minorHAnsi" w:cstheme="minorHAnsi"/>
                <w:sz w:val="22"/>
                <w:szCs w:val="22"/>
              </w:rPr>
              <w:t xml:space="preserve"> and emergency disaster preparedness</w:t>
            </w:r>
            <w:r w:rsidR="008D5B2B">
              <w:rPr>
                <w:rFonts w:asciiTheme="minorHAnsi" w:hAnsiTheme="minorHAnsi" w:cstheme="minorHAnsi"/>
                <w:sz w:val="22"/>
                <w:szCs w:val="22"/>
              </w:rPr>
              <w:t xml:space="preserve">. </w:t>
            </w:r>
            <w:proofErr w:type="gramStart"/>
            <w:r w:rsidR="008D5B2B">
              <w:rPr>
                <w:rFonts w:asciiTheme="minorHAnsi" w:hAnsiTheme="minorHAnsi" w:cstheme="minorHAnsi"/>
                <w:sz w:val="22"/>
                <w:szCs w:val="22"/>
              </w:rPr>
              <w:t>I</w:t>
            </w:r>
            <w:proofErr w:type="gramEnd"/>
            <w:r w:rsidR="005B4AD7" w:rsidRPr="00DF6363">
              <w:rPr>
                <w:rFonts w:asciiTheme="minorHAnsi" w:hAnsiTheme="minorHAnsi" w:cstheme="minorHAnsi"/>
                <w:sz w:val="22"/>
                <w:szCs w:val="22"/>
              </w:rPr>
              <w:t xml:space="preserve"> will be important to keep </w:t>
            </w:r>
            <w:r w:rsidR="008D5B2B">
              <w:rPr>
                <w:rFonts w:asciiTheme="minorHAnsi" w:hAnsiTheme="minorHAnsi" w:cstheme="minorHAnsi"/>
                <w:sz w:val="22"/>
                <w:szCs w:val="22"/>
              </w:rPr>
              <w:t xml:space="preserve">up </w:t>
            </w:r>
            <w:r w:rsidR="005B4AD7" w:rsidRPr="00DF6363">
              <w:rPr>
                <w:rFonts w:asciiTheme="minorHAnsi" w:hAnsiTheme="minorHAnsi" w:cstheme="minorHAnsi"/>
                <w:sz w:val="22"/>
                <w:szCs w:val="22"/>
              </w:rPr>
              <w:t xml:space="preserve">the momentum </w:t>
            </w:r>
            <w:r w:rsidR="008D5B2B">
              <w:rPr>
                <w:rFonts w:asciiTheme="minorHAnsi" w:hAnsiTheme="minorHAnsi" w:cstheme="minorHAnsi"/>
                <w:sz w:val="22"/>
                <w:szCs w:val="22"/>
              </w:rPr>
              <w:t xml:space="preserve">on these issues </w:t>
            </w:r>
            <w:r w:rsidR="005B4AD7" w:rsidRPr="00DF6363">
              <w:rPr>
                <w:rFonts w:asciiTheme="minorHAnsi" w:hAnsiTheme="minorHAnsi" w:cstheme="minorHAnsi"/>
                <w:sz w:val="22"/>
                <w:szCs w:val="22"/>
              </w:rPr>
              <w:t xml:space="preserve">by engaging with and supporting countries to identify </w:t>
            </w:r>
            <w:r w:rsidR="008D5B2B">
              <w:rPr>
                <w:rFonts w:asciiTheme="minorHAnsi" w:hAnsiTheme="minorHAnsi" w:cstheme="minorHAnsi"/>
                <w:sz w:val="22"/>
                <w:szCs w:val="22"/>
              </w:rPr>
              <w:t xml:space="preserve">their </w:t>
            </w:r>
            <w:r w:rsidR="005B4AD7" w:rsidRPr="00DF6363">
              <w:rPr>
                <w:rFonts w:asciiTheme="minorHAnsi" w:hAnsiTheme="minorHAnsi" w:cstheme="minorHAnsi"/>
                <w:sz w:val="22"/>
                <w:szCs w:val="22"/>
              </w:rPr>
              <w:t>priorit</w:t>
            </w:r>
            <w:r w:rsidR="008D5B2B">
              <w:rPr>
                <w:rFonts w:asciiTheme="minorHAnsi" w:hAnsiTheme="minorHAnsi" w:cstheme="minorHAnsi"/>
                <w:sz w:val="22"/>
                <w:szCs w:val="22"/>
              </w:rPr>
              <w:t>ies</w:t>
            </w:r>
            <w:r w:rsidR="005B4AD7" w:rsidRPr="00DF6363">
              <w:rPr>
                <w:rFonts w:asciiTheme="minorHAnsi" w:hAnsiTheme="minorHAnsi" w:cstheme="minorHAnsi"/>
                <w:sz w:val="22"/>
                <w:szCs w:val="22"/>
              </w:rPr>
              <w:t xml:space="preserve"> and </w:t>
            </w:r>
            <w:r w:rsidR="008D5B2B">
              <w:rPr>
                <w:rFonts w:asciiTheme="minorHAnsi" w:hAnsiTheme="minorHAnsi" w:cstheme="minorHAnsi"/>
                <w:sz w:val="22"/>
                <w:szCs w:val="22"/>
              </w:rPr>
              <w:t xml:space="preserve">assisting them to implement </w:t>
            </w:r>
            <w:r w:rsidR="001B58A0" w:rsidRPr="00DF6363">
              <w:rPr>
                <w:rFonts w:asciiTheme="minorHAnsi" w:hAnsiTheme="minorHAnsi" w:cstheme="minorHAnsi"/>
                <w:sz w:val="22"/>
                <w:szCs w:val="22"/>
              </w:rPr>
              <w:t>a cross-</w:t>
            </w:r>
            <w:r w:rsidR="00F62580" w:rsidRPr="00DF6363">
              <w:rPr>
                <w:rFonts w:asciiTheme="minorHAnsi" w:hAnsiTheme="minorHAnsi" w:cstheme="minorHAnsi"/>
                <w:sz w:val="22"/>
                <w:szCs w:val="22"/>
              </w:rPr>
              <w:t>cutting approach</w:t>
            </w:r>
            <w:r w:rsidR="00CF3B66" w:rsidRPr="00DF6363">
              <w:rPr>
                <w:rFonts w:asciiTheme="minorHAnsi" w:hAnsiTheme="minorHAnsi" w:cstheme="minorHAnsi"/>
                <w:sz w:val="22"/>
                <w:szCs w:val="22"/>
              </w:rPr>
              <w:t>.</w:t>
            </w:r>
          </w:p>
          <w:p w14:paraId="4551C1C9" w14:textId="497A8B45" w:rsidR="00411B86" w:rsidRPr="00903B15" w:rsidRDefault="0007600D" w:rsidP="00DF6363">
            <w:pPr>
              <w:pStyle w:val="Default"/>
              <w:spacing w:before="120" w:after="120"/>
              <w:rPr>
                <w:rFonts w:asciiTheme="minorHAnsi" w:hAnsiTheme="minorHAnsi" w:cstheme="minorHAnsi"/>
                <w:sz w:val="22"/>
                <w:szCs w:val="22"/>
              </w:rPr>
            </w:pPr>
            <w:r w:rsidRPr="00903B15">
              <w:rPr>
                <w:rFonts w:asciiTheme="minorHAnsi" w:hAnsiTheme="minorHAnsi" w:cstheme="minorHAnsi"/>
                <w:sz w:val="22"/>
                <w:szCs w:val="22"/>
              </w:rPr>
              <w:t xml:space="preserve">Consistent with the evaluation’s recommendations, </w:t>
            </w:r>
            <w:r w:rsidR="00DF568F" w:rsidRPr="00903B15">
              <w:rPr>
                <w:rFonts w:asciiTheme="minorHAnsi" w:hAnsiTheme="minorHAnsi" w:cstheme="minorHAnsi"/>
                <w:sz w:val="22"/>
                <w:szCs w:val="22"/>
              </w:rPr>
              <w:t xml:space="preserve">DFAT requests the WBG to include how it will promote disability access </w:t>
            </w:r>
            <w:r w:rsidRPr="00903B15">
              <w:rPr>
                <w:rFonts w:asciiTheme="minorHAnsi" w:hAnsiTheme="minorHAnsi" w:cstheme="minorHAnsi"/>
                <w:sz w:val="22"/>
                <w:szCs w:val="22"/>
              </w:rPr>
              <w:t>in its</w:t>
            </w:r>
            <w:r w:rsidR="00C86929" w:rsidRPr="00903B15">
              <w:rPr>
                <w:rFonts w:asciiTheme="minorHAnsi" w:hAnsiTheme="minorHAnsi" w:cstheme="minorHAnsi"/>
                <w:sz w:val="22"/>
                <w:szCs w:val="22"/>
              </w:rPr>
              <w:t xml:space="preserve"> approach.</w:t>
            </w:r>
            <w:r w:rsidRPr="00903B15">
              <w:rPr>
                <w:rFonts w:asciiTheme="minorHAnsi" w:hAnsiTheme="minorHAnsi" w:cstheme="minorHAnsi"/>
                <w:sz w:val="22"/>
                <w:szCs w:val="22"/>
              </w:rPr>
              <w:t xml:space="preserve"> </w:t>
            </w:r>
            <w:r w:rsidR="00DF568F" w:rsidRPr="00903B15">
              <w:rPr>
                <w:rFonts w:asciiTheme="minorHAnsi" w:hAnsiTheme="minorHAnsi" w:cstheme="minorHAnsi"/>
                <w:sz w:val="22"/>
                <w:szCs w:val="22"/>
              </w:rPr>
              <w:t xml:space="preserve"> </w:t>
            </w:r>
            <w:r w:rsidR="00CF3B66" w:rsidRPr="00903B15">
              <w:rPr>
                <w:rFonts w:asciiTheme="minorHAnsi" w:hAnsiTheme="minorHAnsi" w:cstheme="minorHAnsi"/>
                <w:sz w:val="22"/>
                <w:szCs w:val="22"/>
              </w:rPr>
              <w:t xml:space="preserve"> </w:t>
            </w:r>
            <w:r w:rsidR="003C048D" w:rsidRPr="00903B15">
              <w:rPr>
                <w:rFonts w:asciiTheme="minorHAnsi" w:hAnsiTheme="minorHAnsi" w:cstheme="minorHAnsi"/>
                <w:sz w:val="22"/>
                <w:szCs w:val="22"/>
              </w:rPr>
              <w:t xml:space="preserve"> </w:t>
            </w:r>
            <w:r w:rsidR="00595801" w:rsidRPr="00903B15">
              <w:rPr>
                <w:rFonts w:asciiTheme="minorHAnsi" w:hAnsiTheme="minorHAnsi" w:cstheme="minorHAnsi"/>
                <w:sz w:val="22"/>
                <w:szCs w:val="22"/>
              </w:rPr>
              <w:t xml:space="preserve"> </w:t>
            </w:r>
          </w:p>
        </w:tc>
        <w:tc>
          <w:tcPr>
            <w:tcW w:w="1843" w:type="dxa"/>
            <w:shd w:val="clear" w:color="auto" w:fill="auto"/>
            <w:vAlign w:val="center"/>
          </w:tcPr>
          <w:p w14:paraId="6C84243E" w14:textId="5947950A" w:rsidR="00411B86" w:rsidRPr="008D5B2B" w:rsidRDefault="008D5B2B" w:rsidP="008D5B2B">
            <w:pPr>
              <w:pStyle w:val="Default"/>
              <w:spacing w:before="120" w:after="120"/>
              <w:jc w:val="center"/>
              <w:rPr>
                <w:rFonts w:asciiTheme="minorHAnsi" w:hAnsiTheme="minorHAnsi" w:cstheme="minorHAnsi"/>
                <w:b/>
                <w:bCs/>
                <w:sz w:val="22"/>
                <w:szCs w:val="22"/>
              </w:rPr>
            </w:pPr>
            <w:r w:rsidRPr="008D5B2B">
              <w:rPr>
                <w:rFonts w:asciiTheme="minorHAnsi" w:hAnsiTheme="minorHAnsi" w:cstheme="minorHAnsi"/>
                <w:b/>
                <w:bCs/>
                <w:sz w:val="22"/>
                <w:szCs w:val="22"/>
              </w:rPr>
              <w:t>Pre-Phase 2</w:t>
            </w:r>
          </w:p>
        </w:tc>
      </w:tr>
      <w:tr w:rsidR="00411B86" w:rsidRPr="00DF6363" w14:paraId="632B2A39" w14:textId="77777777" w:rsidTr="003E0C57">
        <w:tc>
          <w:tcPr>
            <w:tcW w:w="3854" w:type="dxa"/>
            <w:shd w:val="clear" w:color="auto" w:fill="auto"/>
          </w:tcPr>
          <w:p w14:paraId="52F1D91D" w14:textId="2A2D7A66" w:rsidR="00A83968" w:rsidRPr="008D5B2B" w:rsidRDefault="00A83968" w:rsidP="00DF6363">
            <w:pPr>
              <w:autoSpaceDE w:val="0"/>
              <w:autoSpaceDN w:val="0"/>
              <w:adjustRightInd w:val="0"/>
              <w:spacing w:before="120" w:after="120"/>
              <w:rPr>
                <w:rFonts w:cstheme="minorHAnsi"/>
                <w:b/>
                <w:bCs/>
              </w:rPr>
            </w:pPr>
            <w:r w:rsidRPr="008D5B2B">
              <w:rPr>
                <w:rFonts w:cstheme="minorHAnsi"/>
                <w:b/>
                <w:bCs/>
              </w:rPr>
              <w:lastRenderedPageBreak/>
              <w:t>4. Furthering the utilization of digital tools across a whole of government approach</w:t>
            </w:r>
            <w:r w:rsidR="008D5B2B" w:rsidRPr="008D5B2B">
              <w:rPr>
                <w:rFonts w:cstheme="minorHAnsi"/>
                <w:b/>
                <w:bCs/>
              </w:rPr>
              <w:t>.</w:t>
            </w:r>
          </w:p>
          <w:p w14:paraId="3D0EF341" w14:textId="77777777" w:rsidR="008D5B2B" w:rsidRDefault="00A83968" w:rsidP="00DF6363">
            <w:pPr>
              <w:pStyle w:val="ListParagraph"/>
              <w:numPr>
                <w:ilvl w:val="0"/>
                <w:numId w:val="7"/>
              </w:numPr>
              <w:autoSpaceDE w:val="0"/>
              <w:autoSpaceDN w:val="0"/>
              <w:adjustRightInd w:val="0"/>
              <w:spacing w:before="120" w:after="120"/>
              <w:rPr>
                <w:rFonts w:cstheme="minorHAnsi"/>
              </w:rPr>
            </w:pPr>
            <w:r w:rsidRPr="008D5B2B">
              <w:rPr>
                <w:rFonts w:cstheme="minorHAnsi"/>
              </w:rPr>
              <w:t>Intensify work with agencies other than Customs to adopt technology tools, introduce change management and become more efficient and transparent.</w:t>
            </w:r>
          </w:p>
          <w:p w14:paraId="71BB0D97" w14:textId="77777777" w:rsidR="008D5B2B" w:rsidRDefault="00A83968" w:rsidP="00DF6363">
            <w:pPr>
              <w:pStyle w:val="ListParagraph"/>
              <w:numPr>
                <w:ilvl w:val="0"/>
                <w:numId w:val="7"/>
              </w:numPr>
              <w:autoSpaceDE w:val="0"/>
              <w:autoSpaceDN w:val="0"/>
              <w:adjustRightInd w:val="0"/>
              <w:spacing w:before="120" w:after="120"/>
              <w:rPr>
                <w:rFonts w:cstheme="minorHAnsi"/>
              </w:rPr>
            </w:pPr>
            <w:r w:rsidRPr="008D5B2B">
              <w:rPr>
                <w:rFonts w:cstheme="minorHAnsi"/>
              </w:rPr>
              <w:t>Consider introducing in the program’s approach to digitization and preparation for the implementation of National Single Windows the integration of artificial intelligence (AI) into various areas, with a specific focus on data-gathering processes</w:t>
            </w:r>
            <w:r w:rsidR="008D5B2B">
              <w:rPr>
                <w:rFonts w:cstheme="minorHAnsi"/>
              </w:rPr>
              <w:t>.</w:t>
            </w:r>
          </w:p>
          <w:p w14:paraId="27613614" w14:textId="6A0D442B" w:rsidR="00A83968" w:rsidRPr="008D5B2B" w:rsidRDefault="00A83968" w:rsidP="00DF6363">
            <w:pPr>
              <w:pStyle w:val="ListParagraph"/>
              <w:numPr>
                <w:ilvl w:val="0"/>
                <w:numId w:val="7"/>
              </w:numPr>
              <w:autoSpaceDE w:val="0"/>
              <w:autoSpaceDN w:val="0"/>
              <w:adjustRightInd w:val="0"/>
              <w:spacing w:before="120" w:after="120"/>
              <w:rPr>
                <w:rFonts w:cstheme="minorHAnsi"/>
              </w:rPr>
            </w:pPr>
            <w:r w:rsidRPr="008D5B2B">
              <w:rPr>
                <w:rFonts w:cstheme="minorHAnsi"/>
              </w:rPr>
              <w:t xml:space="preserve">The aim is to leverage AI </w:t>
            </w:r>
            <w:r w:rsidR="003E0C57">
              <w:rPr>
                <w:rFonts w:cstheme="minorHAnsi"/>
              </w:rPr>
              <w:t xml:space="preserve">to </w:t>
            </w:r>
            <w:r w:rsidRPr="008D5B2B">
              <w:rPr>
                <w:rFonts w:cstheme="minorHAnsi"/>
              </w:rPr>
              <w:t xml:space="preserve">enhance the quality, accuracy, and speed of data collection, ensuring that the </w:t>
            </w:r>
            <w:r w:rsidRPr="008D5B2B">
              <w:rPr>
                <w:rFonts w:cstheme="minorHAnsi"/>
              </w:rPr>
              <w:lastRenderedPageBreak/>
              <w:t>information gathered is more reliable for decision-making.</w:t>
            </w:r>
          </w:p>
          <w:p w14:paraId="64769CFD" w14:textId="4A46B111" w:rsidR="00411B86" w:rsidRPr="00DF6363" w:rsidRDefault="00A83968" w:rsidP="003E0C57">
            <w:pPr>
              <w:autoSpaceDE w:val="0"/>
              <w:autoSpaceDN w:val="0"/>
              <w:adjustRightInd w:val="0"/>
              <w:spacing w:before="120" w:after="120"/>
              <w:rPr>
                <w:rFonts w:cstheme="minorHAnsi"/>
              </w:rPr>
            </w:pPr>
            <w:r w:rsidRPr="003E0C57">
              <w:rPr>
                <w:rFonts w:cstheme="minorHAnsi"/>
                <w:u w:val="single"/>
              </w:rPr>
              <w:t>Expected outcomes</w:t>
            </w:r>
            <w:r w:rsidRPr="00DF6363">
              <w:rPr>
                <w:rFonts w:cstheme="minorHAnsi"/>
              </w:rPr>
              <w:t>: Improving risk management, finding efficiency gaps in current processes, identifying areas for automating repetitive tasks, reducing delays, optimizing workflows, enhancing efficiency with limited resources in border agencies, cleaning up noise in data</w:t>
            </w:r>
            <w:r w:rsidR="003838F0" w:rsidRPr="00DF6363">
              <w:rPr>
                <w:rFonts w:cstheme="minorHAnsi"/>
              </w:rPr>
              <w:t xml:space="preserve"> and estimating missing data, </w:t>
            </w:r>
            <w:r w:rsidR="003E0C57">
              <w:rPr>
                <w:rFonts w:cstheme="minorHAnsi"/>
              </w:rPr>
              <w:t xml:space="preserve">and </w:t>
            </w:r>
            <w:r w:rsidR="003838F0" w:rsidRPr="00DF6363">
              <w:rPr>
                <w:rFonts w:cstheme="minorHAnsi"/>
              </w:rPr>
              <w:t>improving the overall quality of data used in decision-making processes.</w:t>
            </w:r>
          </w:p>
        </w:tc>
        <w:tc>
          <w:tcPr>
            <w:tcW w:w="1103" w:type="dxa"/>
            <w:shd w:val="clear" w:color="auto" w:fill="92D050"/>
          </w:tcPr>
          <w:p w14:paraId="3571931E" w14:textId="77777777" w:rsidR="00411B86" w:rsidRPr="00DF6363" w:rsidRDefault="00411B86" w:rsidP="00DF6363">
            <w:pPr>
              <w:pStyle w:val="Default"/>
              <w:spacing w:before="120" w:after="120"/>
              <w:rPr>
                <w:rFonts w:asciiTheme="minorHAnsi" w:hAnsiTheme="minorHAnsi" w:cstheme="minorHAnsi"/>
                <w:sz w:val="22"/>
                <w:szCs w:val="22"/>
              </w:rPr>
            </w:pPr>
            <w:r w:rsidRPr="00DF6363">
              <w:rPr>
                <w:rFonts w:asciiTheme="minorHAnsi" w:hAnsiTheme="minorHAnsi" w:cstheme="minorHAnsi"/>
                <w:sz w:val="22"/>
                <w:szCs w:val="22"/>
              </w:rPr>
              <w:lastRenderedPageBreak/>
              <w:t>Agree</w:t>
            </w:r>
          </w:p>
        </w:tc>
        <w:tc>
          <w:tcPr>
            <w:tcW w:w="3685" w:type="dxa"/>
            <w:shd w:val="clear" w:color="auto" w:fill="auto"/>
          </w:tcPr>
          <w:p w14:paraId="6125AD61" w14:textId="3F968038" w:rsidR="00411B86" w:rsidRPr="00DF6363" w:rsidRDefault="00590F45" w:rsidP="00DF6363">
            <w:pPr>
              <w:pStyle w:val="Default"/>
              <w:spacing w:before="120" w:after="120"/>
              <w:rPr>
                <w:rFonts w:asciiTheme="minorHAnsi" w:hAnsiTheme="minorHAnsi" w:cstheme="minorHAnsi"/>
                <w:sz w:val="22"/>
                <w:szCs w:val="22"/>
              </w:rPr>
            </w:pPr>
            <w:r w:rsidRPr="00DF6363">
              <w:rPr>
                <w:rFonts w:asciiTheme="minorHAnsi" w:hAnsiTheme="minorHAnsi" w:cstheme="minorHAnsi"/>
                <w:sz w:val="22"/>
                <w:szCs w:val="22"/>
              </w:rPr>
              <w:t>TFSP scoping and diagnostics will continue to adapt to include a ‘whole of government approach’ and include all border agencies, leveraging emerging technologies of AI, blockchain, and IOT as relevant for countries.</w:t>
            </w:r>
          </w:p>
        </w:tc>
        <w:tc>
          <w:tcPr>
            <w:tcW w:w="3827" w:type="dxa"/>
            <w:shd w:val="clear" w:color="auto" w:fill="auto"/>
          </w:tcPr>
          <w:p w14:paraId="3F4C9DF4" w14:textId="4B140552" w:rsidR="00F93F8D" w:rsidRPr="00DF6363" w:rsidRDefault="00927113" w:rsidP="00DF6363">
            <w:pPr>
              <w:autoSpaceDE w:val="0"/>
              <w:autoSpaceDN w:val="0"/>
              <w:adjustRightInd w:val="0"/>
              <w:spacing w:before="120" w:after="120"/>
              <w:rPr>
                <w:rFonts w:cstheme="minorHAnsi"/>
              </w:rPr>
            </w:pPr>
            <w:r w:rsidRPr="003E0C57">
              <w:rPr>
                <w:rFonts w:cstheme="minorHAnsi"/>
                <w:b/>
                <w:bCs/>
              </w:rPr>
              <w:t xml:space="preserve">DFAT agrees with this recommendation and related </w:t>
            </w:r>
            <w:r w:rsidR="004E4A25" w:rsidRPr="003E0C57">
              <w:rPr>
                <w:rFonts w:cstheme="minorHAnsi"/>
                <w:b/>
                <w:bCs/>
              </w:rPr>
              <w:t xml:space="preserve">actions </w:t>
            </w:r>
            <w:r w:rsidR="00A64AD0" w:rsidRPr="003E0C57">
              <w:rPr>
                <w:rFonts w:cstheme="minorHAnsi"/>
                <w:b/>
                <w:bCs/>
              </w:rPr>
              <w:t>in</w:t>
            </w:r>
            <w:r w:rsidR="003E0C57" w:rsidRPr="003E0C57">
              <w:rPr>
                <w:rFonts w:cstheme="minorHAnsi"/>
                <w:b/>
                <w:bCs/>
              </w:rPr>
              <w:t>-</w:t>
            </w:r>
            <w:r w:rsidR="00A64AD0" w:rsidRPr="003E0C57">
              <w:rPr>
                <w:rFonts w:cstheme="minorHAnsi"/>
                <w:b/>
                <w:bCs/>
              </w:rPr>
              <w:t xml:space="preserve">principle </w:t>
            </w:r>
            <w:r w:rsidR="004E4A25" w:rsidRPr="003E0C57">
              <w:rPr>
                <w:rFonts w:cstheme="minorHAnsi"/>
                <w:b/>
                <w:bCs/>
              </w:rPr>
              <w:t>given the importance of emerging technologies in enhancing trade efficiencies</w:t>
            </w:r>
            <w:r w:rsidR="004E4A25" w:rsidRPr="00DF6363">
              <w:rPr>
                <w:rFonts w:cstheme="minorHAnsi"/>
              </w:rPr>
              <w:t xml:space="preserve"> and the divide in </w:t>
            </w:r>
            <w:r w:rsidR="00F93F8D" w:rsidRPr="00DF6363">
              <w:rPr>
                <w:rFonts w:cstheme="minorHAnsi"/>
              </w:rPr>
              <w:t>i</w:t>
            </w:r>
            <w:r w:rsidR="004E4A25" w:rsidRPr="00DF6363">
              <w:rPr>
                <w:rFonts w:cstheme="minorHAnsi"/>
              </w:rPr>
              <w:t xml:space="preserve">ts </w:t>
            </w:r>
            <w:r w:rsidR="00A64AD0" w:rsidRPr="00DF6363">
              <w:rPr>
                <w:rFonts w:cstheme="minorHAnsi"/>
              </w:rPr>
              <w:t xml:space="preserve">access and </w:t>
            </w:r>
            <w:r w:rsidR="004E4A25" w:rsidRPr="00DF6363">
              <w:rPr>
                <w:rFonts w:cstheme="minorHAnsi"/>
              </w:rPr>
              <w:t xml:space="preserve">application </w:t>
            </w:r>
            <w:r w:rsidR="00F93F8D" w:rsidRPr="00DF6363">
              <w:rPr>
                <w:rFonts w:cstheme="minorHAnsi"/>
              </w:rPr>
              <w:t>between</w:t>
            </w:r>
            <w:r w:rsidR="004E4A25" w:rsidRPr="00DF6363">
              <w:rPr>
                <w:rFonts w:cstheme="minorHAnsi"/>
              </w:rPr>
              <w:t xml:space="preserve"> developed and developing countries/LDCs.</w:t>
            </w:r>
          </w:p>
          <w:p w14:paraId="04BD12EE" w14:textId="77777777" w:rsidR="003E0C57" w:rsidRDefault="00D8133C" w:rsidP="00DF6363">
            <w:pPr>
              <w:autoSpaceDE w:val="0"/>
              <w:autoSpaceDN w:val="0"/>
              <w:adjustRightInd w:val="0"/>
              <w:spacing w:before="120" w:after="120"/>
              <w:rPr>
                <w:rFonts w:cstheme="minorHAnsi"/>
              </w:rPr>
            </w:pPr>
            <w:r w:rsidRPr="00DF6363">
              <w:rPr>
                <w:rFonts w:cstheme="minorHAnsi"/>
              </w:rPr>
              <w:t>However</w:t>
            </w:r>
            <w:r w:rsidR="003E0C57">
              <w:rPr>
                <w:rFonts w:cstheme="minorHAnsi"/>
              </w:rPr>
              <w:t>,</w:t>
            </w:r>
            <w:r w:rsidRPr="00DF6363">
              <w:rPr>
                <w:rFonts w:cstheme="minorHAnsi"/>
              </w:rPr>
              <w:t xml:space="preserve"> we also acknowledge that the evaluation did not address </w:t>
            </w:r>
            <w:r w:rsidR="00A64AD0" w:rsidRPr="00DF6363">
              <w:rPr>
                <w:rFonts w:cstheme="minorHAnsi"/>
              </w:rPr>
              <w:t>in detail the WBG’s capacity and resources to address this aspect</w:t>
            </w:r>
            <w:r w:rsidR="003325D0" w:rsidRPr="00DF6363">
              <w:rPr>
                <w:rFonts w:cstheme="minorHAnsi"/>
              </w:rPr>
              <w:t xml:space="preserve"> effectively.  </w:t>
            </w:r>
          </w:p>
          <w:p w14:paraId="6118F612" w14:textId="7ABF3270" w:rsidR="005F028E" w:rsidRPr="00DF6363" w:rsidRDefault="003E0C57" w:rsidP="00DF6363">
            <w:pPr>
              <w:autoSpaceDE w:val="0"/>
              <w:autoSpaceDN w:val="0"/>
              <w:adjustRightInd w:val="0"/>
              <w:spacing w:before="120" w:after="120"/>
              <w:rPr>
                <w:rFonts w:cstheme="minorHAnsi"/>
              </w:rPr>
            </w:pPr>
            <w:r>
              <w:rPr>
                <w:rFonts w:cstheme="minorHAnsi"/>
              </w:rPr>
              <w:t xml:space="preserve">To </w:t>
            </w:r>
            <w:r w:rsidR="001E1E8E" w:rsidRPr="00DF6363">
              <w:rPr>
                <w:rFonts w:cstheme="minorHAnsi"/>
              </w:rPr>
              <w:t xml:space="preserve">provide the necessary assurances based on the WBG response to this recommendation, </w:t>
            </w:r>
            <w:r w:rsidR="003325D0" w:rsidRPr="00903B15">
              <w:rPr>
                <w:rFonts w:cstheme="minorHAnsi"/>
              </w:rPr>
              <w:t>DFAT requests the WBG to provide a</w:t>
            </w:r>
            <w:r w:rsidR="003E0F43" w:rsidRPr="00903B15">
              <w:rPr>
                <w:rFonts w:cstheme="minorHAnsi"/>
              </w:rPr>
              <w:t xml:space="preserve">n assessment of its internal capabilities </w:t>
            </w:r>
            <w:r w:rsidR="00943EAB" w:rsidRPr="00903B15">
              <w:rPr>
                <w:rFonts w:cstheme="minorHAnsi"/>
              </w:rPr>
              <w:t xml:space="preserve">and strategy for </w:t>
            </w:r>
            <w:r w:rsidR="00923205" w:rsidRPr="00903B15">
              <w:rPr>
                <w:rFonts w:cstheme="minorHAnsi"/>
              </w:rPr>
              <w:t>integrat</w:t>
            </w:r>
            <w:r w:rsidR="00943EAB" w:rsidRPr="00903B15">
              <w:rPr>
                <w:rFonts w:cstheme="minorHAnsi"/>
              </w:rPr>
              <w:t xml:space="preserve">ing </w:t>
            </w:r>
            <w:r w:rsidR="00923205" w:rsidRPr="00903B15">
              <w:rPr>
                <w:rFonts w:cstheme="minorHAnsi"/>
              </w:rPr>
              <w:t>emerging technology tools relevant to trade facilitation (as</w:t>
            </w:r>
            <w:r w:rsidR="00923205" w:rsidRPr="00DF6363">
              <w:rPr>
                <w:rFonts w:cstheme="minorHAnsi"/>
              </w:rPr>
              <w:t xml:space="preserve"> </w:t>
            </w:r>
            <w:r w:rsidR="00923205" w:rsidRPr="00DF6363">
              <w:rPr>
                <w:rFonts w:cstheme="minorHAnsi"/>
              </w:rPr>
              <w:lastRenderedPageBreak/>
              <w:t xml:space="preserve">appropriate to country conditions). </w:t>
            </w:r>
            <w:r w:rsidR="00980931" w:rsidRPr="00DF6363">
              <w:rPr>
                <w:rFonts w:cstheme="minorHAnsi"/>
              </w:rPr>
              <w:t xml:space="preserve">This may </w:t>
            </w:r>
            <w:r w:rsidR="00943EAB" w:rsidRPr="00DF6363">
              <w:rPr>
                <w:rFonts w:cstheme="minorHAnsi"/>
              </w:rPr>
              <w:t xml:space="preserve">also </w:t>
            </w:r>
            <w:r w:rsidR="00980931" w:rsidRPr="00DF6363">
              <w:rPr>
                <w:rFonts w:cstheme="minorHAnsi"/>
              </w:rPr>
              <w:t xml:space="preserve">include looking at other areas of the WBG’s work where it is applied, lessons learnt and good practices which could help inform the WBG’s strategy in this area.  </w:t>
            </w:r>
          </w:p>
          <w:p w14:paraId="0BB53B0D" w14:textId="13FEDBF7" w:rsidR="00411B86" w:rsidRPr="00DF6363" w:rsidRDefault="005F028E" w:rsidP="00DF6363">
            <w:pPr>
              <w:autoSpaceDE w:val="0"/>
              <w:autoSpaceDN w:val="0"/>
              <w:adjustRightInd w:val="0"/>
              <w:spacing w:before="120" w:after="120"/>
              <w:rPr>
                <w:rFonts w:cstheme="minorHAnsi"/>
              </w:rPr>
            </w:pPr>
            <w:r w:rsidRPr="00DF6363">
              <w:rPr>
                <w:rFonts w:cstheme="minorHAnsi"/>
              </w:rPr>
              <w:t xml:space="preserve">In addition to </w:t>
            </w:r>
            <w:r w:rsidR="0076220C" w:rsidRPr="00DF6363">
              <w:rPr>
                <w:rFonts w:cstheme="minorHAnsi"/>
              </w:rPr>
              <w:t>a ‘</w:t>
            </w:r>
            <w:r w:rsidRPr="00DF6363">
              <w:rPr>
                <w:rFonts w:cstheme="minorHAnsi"/>
              </w:rPr>
              <w:t>whole of government approach</w:t>
            </w:r>
            <w:r w:rsidR="0076220C" w:rsidRPr="00DF6363">
              <w:rPr>
                <w:rFonts w:cstheme="minorHAnsi"/>
              </w:rPr>
              <w:t>’</w:t>
            </w:r>
            <w:r w:rsidR="00B84957" w:rsidRPr="00DF6363">
              <w:rPr>
                <w:rFonts w:cstheme="minorHAnsi"/>
              </w:rPr>
              <w:t xml:space="preserve">, the WBG should also consider how it can leverage </w:t>
            </w:r>
            <w:r w:rsidR="00F93F8D" w:rsidRPr="00DF6363">
              <w:rPr>
                <w:rFonts w:cstheme="minorHAnsi"/>
              </w:rPr>
              <w:t xml:space="preserve">the private sector and industry stakeholders </w:t>
            </w:r>
            <w:r w:rsidR="00B84957" w:rsidRPr="00DF6363">
              <w:rPr>
                <w:rFonts w:cstheme="minorHAnsi"/>
              </w:rPr>
              <w:t xml:space="preserve">to </w:t>
            </w:r>
            <w:r w:rsidR="00E05178" w:rsidRPr="00DF6363">
              <w:rPr>
                <w:rFonts w:cstheme="minorHAnsi"/>
              </w:rPr>
              <w:t>engage and advise</w:t>
            </w:r>
            <w:r w:rsidR="00952CF6" w:rsidRPr="00DF6363">
              <w:rPr>
                <w:rFonts w:cstheme="minorHAnsi"/>
              </w:rPr>
              <w:t xml:space="preserve"> when it comes to </w:t>
            </w:r>
            <w:r w:rsidR="009C7B35" w:rsidRPr="00DF6363">
              <w:rPr>
                <w:rFonts w:cstheme="minorHAnsi"/>
              </w:rPr>
              <w:t>awareness and application of emerging technologies</w:t>
            </w:r>
            <w:r w:rsidR="00E05178" w:rsidRPr="00DF6363">
              <w:rPr>
                <w:rFonts w:cstheme="minorHAnsi"/>
              </w:rPr>
              <w:t>.</w:t>
            </w:r>
            <w:r w:rsidR="009C7B35" w:rsidRPr="00DF6363">
              <w:rPr>
                <w:rFonts w:cstheme="minorHAnsi"/>
              </w:rPr>
              <w:t xml:space="preserve"> </w:t>
            </w:r>
            <w:r w:rsidR="00E05178" w:rsidRPr="00DF6363">
              <w:rPr>
                <w:rFonts w:cstheme="minorHAnsi"/>
              </w:rPr>
              <w:t xml:space="preserve"> </w:t>
            </w:r>
            <w:r w:rsidR="00F93F8D" w:rsidRPr="00DF6363">
              <w:rPr>
                <w:rFonts w:cstheme="minorHAnsi"/>
              </w:rPr>
              <w:t xml:space="preserve"> </w:t>
            </w:r>
            <w:r w:rsidR="004E4A25" w:rsidRPr="00DF6363">
              <w:rPr>
                <w:rFonts w:cstheme="minorHAnsi"/>
              </w:rPr>
              <w:t xml:space="preserve"> </w:t>
            </w:r>
            <w:r w:rsidR="00927113" w:rsidRPr="00DF6363">
              <w:rPr>
                <w:rFonts w:cstheme="minorHAnsi"/>
              </w:rPr>
              <w:t xml:space="preserve"> </w:t>
            </w:r>
          </w:p>
        </w:tc>
        <w:tc>
          <w:tcPr>
            <w:tcW w:w="1843" w:type="dxa"/>
            <w:shd w:val="clear" w:color="auto" w:fill="auto"/>
            <w:vAlign w:val="center"/>
          </w:tcPr>
          <w:p w14:paraId="21F5863A" w14:textId="632683CB" w:rsidR="00411B86" w:rsidRPr="003E0C57" w:rsidRDefault="003E0C57" w:rsidP="003E0C57">
            <w:pPr>
              <w:pStyle w:val="Default"/>
              <w:spacing w:before="120" w:after="120"/>
              <w:jc w:val="center"/>
              <w:rPr>
                <w:rFonts w:asciiTheme="minorHAnsi" w:hAnsiTheme="minorHAnsi" w:cstheme="minorHAnsi"/>
                <w:b/>
                <w:bCs/>
                <w:sz w:val="22"/>
                <w:szCs w:val="22"/>
              </w:rPr>
            </w:pPr>
            <w:r w:rsidRPr="003E0C57">
              <w:rPr>
                <w:rFonts w:asciiTheme="minorHAnsi" w:hAnsiTheme="minorHAnsi" w:cstheme="minorHAnsi"/>
                <w:b/>
                <w:bCs/>
                <w:sz w:val="22"/>
                <w:szCs w:val="22"/>
              </w:rPr>
              <w:lastRenderedPageBreak/>
              <w:t>Ongoing</w:t>
            </w:r>
          </w:p>
        </w:tc>
      </w:tr>
      <w:tr w:rsidR="00411B86" w:rsidRPr="00DF6363" w14:paraId="7FF4E6D2" w14:textId="77777777" w:rsidTr="00903B15">
        <w:tc>
          <w:tcPr>
            <w:tcW w:w="3854" w:type="dxa"/>
            <w:shd w:val="clear" w:color="auto" w:fill="auto"/>
          </w:tcPr>
          <w:p w14:paraId="0FFD750B" w14:textId="579AE49A" w:rsidR="007A3AC9" w:rsidRPr="003E0C57" w:rsidRDefault="007A3AC9" w:rsidP="00DF6363">
            <w:pPr>
              <w:autoSpaceDE w:val="0"/>
              <w:autoSpaceDN w:val="0"/>
              <w:adjustRightInd w:val="0"/>
              <w:spacing w:before="120" w:after="120"/>
              <w:rPr>
                <w:rFonts w:cstheme="minorHAnsi"/>
                <w:b/>
                <w:bCs/>
              </w:rPr>
            </w:pPr>
            <w:r w:rsidRPr="003E0C57">
              <w:rPr>
                <w:rFonts w:cstheme="minorHAnsi"/>
                <w:b/>
                <w:bCs/>
              </w:rPr>
              <w:t>5. Introduce more formal channels for communicating activities and results</w:t>
            </w:r>
            <w:r w:rsidR="003E0C57">
              <w:rPr>
                <w:rFonts w:cstheme="minorHAnsi"/>
                <w:b/>
                <w:bCs/>
              </w:rPr>
              <w:t>.</w:t>
            </w:r>
          </w:p>
          <w:p w14:paraId="62A9620A" w14:textId="77777777" w:rsidR="003E0C57" w:rsidRDefault="007A3AC9" w:rsidP="00DF6363">
            <w:pPr>
              <w:pStyle w:val="ListParagraph"/>
              <w:numPr>
                <w:ilvl w:val="0"/>
                <w:numId w:val="8"/>
              </w:numPr>
              <w:autoSpaceDE w:val="0"/>
              <w:autoSpaceDN w:val="0"/>
              <w:adjustRightInd w:val="0"/>
              <w:spacing w:before="120" w:after="120"/>
              <w:rPr>
                <w:rFonts w:cstheme="minorHAnsi"/>
              </w:rPr>
            </w:pPr>
            <w:r w:rsidRPr="003E0C57">
              <w:rPr>
                <w:rFonts w:cstheme="minorHAnsi"/>
              </w:rPr>
              <w:t>Updating an accessible web page or excel sheet with the planned missions/countries and topics that TFSP will address for the upcoming 1-3 months, or email communication to donor focal points to inform them of key missions where it would be useful for the team to touch base with local teams.</w:t>
            </w:r>
          </w:p>
          <w:p w14:paraId="5910A863" w14:textId="77777777" w:rsidR="003E0C57" w:rsidRDefault="007A3AC9" w:rsidP="00DF6363">
            <w:pPr>
              <w:pStyle w:val="ListParagraph"/>
              <w:numPr>
                <w:ilvl w:val="0"/>
                <w:numId w:val="8"/>
              </w:numPr>
              <w:autoSpaceDE w:val="0"/>
              <w:autoSpaceDN w:val="0"/>
              <w:adjustRightInd w:val="0"/>
              <w:spacing w:before="120" w:after="120"/>
              <w:rPr>
                <w:rFonts w:cstheme="minorHAnsi"/>
              </w:rPr>
            </w:pPr>
            <w:r w:rsidRPr="003E0C57">
              <w:rPr>
                <w:rFonts w:cstheme="minorHAnsi"/>
              </w:rPr>
              <w:t>Strengthening communication mechanisms for better collaboration and synergy among partners involved in TFSP.</w:t>
            </w:r>
          </w:p>
          <w:p w14:paraId="1D1F3696" w14:textId="195BE09E" w:rsidR="00411B86" w:rsidRPr="003E0C57" w:rsidRDefault="007A3AC9" w:rsidP="00DF6363">
            <w:pPr>
              <w:pStyle w:val="ListParagraph"/>
              <w:numPr>
                <w:ilvl w:val="0"/>
                <w:numId w:val="8"/>
              </w:numPr>
              <w:autoSpaceDE w:val="0"/>
              <w:autoSpaceDN w:val="0"/>
              <w:adjustRightInd w:val="0"/>
              <w:spacing w:before="120" w:after="120"/>
              <w:rPr>
                <w:rFonts w:cstheme="minorHAnsi"/>
              </w:rPr>
            </w:pPr>
            <w:r w:rsidRPr="003E0C57">
              <w:rPr>
                <w:rFonts w:cstheme="minorHAnsi"/>
              </w:rPr>
              <w:lastRenderedPageBreak/>
              <w:t>More communication at national or regional level. One example is the inclusion of monthly or quarterly lunches or briefings with various other project leaders from various donors in a country to have an informative</w:t>
            </w:r>
            <w:r w:rsidR="003E0C57">
              <w:rPr>
                <w:rFonts w:cstheme="minorHAnsi"/>
              </w:rPr>
              <w:t>,</w:t>
            </w:r>
            <w:r w:rsidRPr="003E0C57">
              <w:rPr>
                <w:rFonts w:cstheme="minorHAnsi"/>
              </w:rPr>
              <w:t xml:space="preserve"> coordinating function built naturally into workflows.</w:t>
            </w:r>
          </w:p>
        </w:tc>
        <w:tc>
          <w:tcPr>
            <w:tcW w:w="1103" w:type="dxa"/>
            <w:shd w:val="clear" w:color="auto" w:fill="92D050"/>
            <w:vAlign w:val="center"/>
          </w:tcPr>
          <w:p w14:paraId="517DE944" w14:textId="77777777" w:rsidR="00411B86" w:rsidRPr="003E0C57" w:rsidRDefault="00411B86" w:rsidP="003E0C57">
            <w:pPr>
              <w:pStyle w:val="Default"/>
              <w:spacing w:before="120" w:after="120"/>
              <w:jc w:val="center"/>
              <w:rPr>
                <w:rFonts w:asciiTheme="minorHAnsi" w:hAnsiTheme="minorHAnsi" w:cstheme="minorHAnsi"/>
                <w:b/>
                <w:bCs/>
                <w:sz w:val="22"/>
                <w:szCs w:val="22"/>
              </w:rPr>
            </w:pPr>
            <w:r w:rsidRPr="003E0C57">
              <w:rPr>
                <w:rFonts w:asciiTheme="minorHAnsi" w:hAnsiTheme="minorHAnsi" w:cstheme="minorHAnsi"/>
                <w:b/>
                <w:bCs/>
                <w:sz w:val="22"/>
                <w:szCs w:val="22"/>
              </w:rPr>
              <w:lastRenderedPageBreak/>
              <w:t>Agree</w:t>
            </w:r>
          </w:p>
        </w:tc>
        <w:tc>
          <w:tcPr>
            <w:tcW w:w="3685" w:type="dxa"/>
            <w:shd w:val="clear" w:color="auto" w:fill="auto"/>
          </w:tcPr>
          <w:p w14:paraId="39C0B309" w14:textId="77777777" w:rsidR="003E0C57" w:rsidRDefault="006D0CB6" w:rsidP="00DF6363">
            <w:pPr>
              <w:autoSpaceDE w:val="0"/>
              <w:autoSpaceDN w:val="0"/>
              <w:adjustRightInd w:val="0"/>
              <w:spacing w:before="120" w:after="120"/>
              <w:rPr>
                <w:rFonts w:cstheme="minorHAnsi"/>
              </w:rPr>
            </w:pPr>
            <w:r w:rsidRPr="00DF6363">
              <w:rPr>
                <w:rFonts w:cstheme="minorHAnsi"/>
              </w:rPr>
              <w:t xml:space="preserve">TFSP will continue to collaborate with implementation partners on communications, such as the World Trade Organization Trade Facilitation Agreement Facility </w:t>
            </w:r>
            <w:r w:rsidR="003E0C57">
              <w:rPr>
                <w:rFonts w:cstheme="minorHAnsi"/>
              </w:rPr>
              <w:t xml:space="preserve">(WTO TFAF) </w:t>
            </w:r>
            <w:r w:rsidRPr="00DF6363">
              <w:rPr>
                <w:rFonts w:cstheme="minorHAnsi"/>
              </w:rPr>
              <w:t>and the S</w:t>
            </w:r>
            <w:r w:rsidR="003E0C57">
              <w:rPr>
                <w:rFonts w:cstheme="minorHAnsi"/>
              </w:rPr>
              <w:t>tandards and Trade Development Facility (STDF)</w:t>
            </w:r>
            <w:r w:rsidRPr="00DF6363">
              <w:rPr>
                <w:rFonts w:cstheme="minorHAnsi"/>
              </w:rPr>
              <w:t xml:space="preserve">, the World Customs Organization (WCO), and others. </w:t>
            </w:r>
          </w:p>
          <w:p w14:paraId="57D614C4" w14:textId="37405319" w:rsidR="006D0CB6" w:rsidRPr="00DF6363" w:rsidRDefault="006D0CB6" w:rsidP="00DF6363">
            <w:pPr>
              <w:autoSpaceDE w:val="0"/>
              <w:autoSpaceDN w:val="0"/>
              <w:adjustRightInd w:val="0"/>
              <w:spacing w:before="120" w:after="120"/>
              <w:rPr>
                <w:rFonts w:cstheme="minorHAnsi"/>
              </w:rPr>
            </w:pPr>
            <w:r w:rsidRPr="00DF6363">
              <w:rPr>
                <w:rFonts w:cstheme="minorHAnsi"/>
              </w:rPr>
              <w:t>Communication products will continue to be shared with partner agencies and featured on their channels: podcast, blogs, videos, etc.</w:t>
            </w:r>
          </w:p>
          <w:p w14:paraId="4AE77A58" w14:textId="4245AAAF" w:rsidR="006D0CB6" w:rsidRPr="00DF6363" w:rsidRDefault="006D0CB6" w:rsidP="00903B15">
            <w:pPr>
              <w:autoSpaceDE w:val="0"/>
              <w:autoSpaceDN w:val="0"/>
              <w:adjustRightInd w:val="0"/>
              <w:spacing w:before="120"/>
              <w:rPr>
                <w:rFonts w:cstheme="minorHAnsi"/>
              </w:rPr>
            </w:pPr>
            <w:r w:rsidRPr="003E0C57">
              <w:rPr>
                <w:rFonts w:cstheme="minorHAnsi"/>
                <w:u w:val="single"/>
              </w:rPr>
              <w:t>Specific plans for CY2024</w:t>
            </w:r>
            <w:r w:rsidRPr="00DF6363">
              <w:rPr>
                <w:rFonts w:cstheme="minorHAnsi"/>
              </w:rPr>
              <w:t>:</w:t>
            </w:r>
          </w:p>
          <w:p w14:paraId="08418EAE" w14:textId="1C8F94A6" w:rsidR="00903B15" w:rsidRPr="00903B15" w:rsidRDefault="006D0CB6" w:rsidP="00903B15">
            <w:pPr>
              <w:autoSpaceDE w:val="0"/>
              <w:autoSpaceDN w:val="0"/>
              <w:adjustRightInd w:val="0"/>
              <w:spacing w:after="120"/>
              <w:rPr>
                <w:rFonts w:cstheme="minorHAnsi"/>
              </w:rPr>
            </w:pPr>
            <w:r w:rsidRPr="00903B15">
              <w:rPr>
                <w:rFonts w:cstheme="minorHAnsi"/>
              </w:rPr>
              <w:t>TFSP has planned virtual reality films to showcase TFSP-supported reforms:</w:t>
            </w:r>
            <w:r w:rsidR="00903B15">
              <w:rPr>
                <w:rFonts w:cstheme="minorHAnsi"/>
              </w:rPr>
              <w:t xml:space="preserve"> </w:t>
            </w:r>
            <w:r w:rsidRPr="00903B15">
              <w:rPr>
                <w:rFonts w:cstheme="minorHAnsi"/>
              </w:rPr>
              <w:t xml:space="preserve">in emergency preparedness in Tonga; </w:t>
            </w:r>
            <w:r w:rsidRPr="00903B15">
              <w:rPr>
                <w:rFonts w:cstheme="minorHAnsi"/>
              </w:rPr>
              <w:lastRenderedPageBreak/>
              <w:t xml:space="preserve">and in risk management and digital certification in Zambia (mid-2024). </w:t>
            </w:r>
          </w:p>
          <w:p w14:paraId="2D4D6553" w14:textId="557518B4" w:rsidR="006D0CB6" w:rsidRPr="00903B15" w:rsidRDefault="006D0CB6" w:rsidP="00903B15">
            <w:pPr>
              <w:autoSpaceDE w:val="0"/>
              <w:autoSpaceDN w:val="0"/>
              <w:adjustRightInd w:val="0"/>
              <w:spacing w:after="120"/>
              <w:rPr>
                <w:rFonts w:cstheme="minorHAnsi"/>
              </w:rPr>
            </w:pPr>
            <w:r w:rsidRPr="00903B15">
              <w:rPr>
                <w:rFonts w:cstheme="minorHAnsi"/>
              </w:rPr>
              <w:t>The films will be complemented with other knowledge products (such as blogs) and shared with partner organizations and donors for dissemination.</w:t>
            </w:r>
          </w:p>
          <w:p w14:paraId="0A43B8B7" w14:textId="77777777" w:rsidR="00903B15" w:rsidRPr="00903B15" w:rsidRDefault="006D0CB6" w:rsidP="00903B15">
            <w:pPr>
              <w:autoSpaceDE w:val="0"/>
              <w:autoSpaceDN w:val="0"/>
              <w:adjustRightInd w:val="0"/>
              <w:spacing w:before="120" w:after="120"/>
              <w:rPr>
                <w:rFonts w:cstheme="minorHAnsi"/>
              </w:rPr>
            </w:pPr>
            <w:r w:rsidRPr="00903B15">
              <w:rPr>
                <w:rFonts w:cstheme="minorHAnsi"/>
              </w:rPr>
              <w:t>TFSP plans to collaborate with the WCO on communicating the launch of the new Time Release Study methodology (when finalized, mid-late 2024).</w:t>
            </w:r>
          </w:p>
          <w:p w14:paraId="51192BF4" w14:textId="77777777" w:rsidR="00903B15" w:rsidRPr="00903B15" w:rsidRDefault="006D0CB6" w:rsidP="00903B15">
            <w:pPr>
              <w:autoSpaceDE w:val="0"/>
              <w:autoSpaceDN w:val="0"/>
              <w:adjustRightInd w:val="0"/>
              <w:spacing w:before="120" w:after="120"/>
              <w:rPr>
                <w:rFonts w:cstheme="minorHAnsi"/>
              </w:rPr>
            </w:pPr>
            <w:r w:rsidRPr="00903B15">
              <w:rPr>
                <w:rFonts w:cstheme="minorHAnsi"/>
              </w:rPr>
              <w:t>The WB</w:t>
            </w:r>
            <w:r w:rsidR="00903B15" w:rsidRPr="00903B15">
              <w:rPr>
                <w:rFonts w:cstheme="minorHAnsi"/>
              </w:rPr>
              <w:t>G</w:t>
            </w:r>
            <w:r w:rsidRPr="00903B15">
              <w:rPr>
                <w:rFonts w:cstheme="minorHAnsi"/>
              </w:rPr>
              <w:t xml:space="preserve"> participates in the STDF Electronic Certification Advisory Committee. A knowledge product is planned on e-certification as a tool for trade facilitation, which will be jointly </w:t>
            </w:r>
            <w:r w:rsidR="00936735" w:rsidRPr="00903B15">
              <w:rPr>
                <w:rFonts w:cstheme="minorHAnsi"/>
              </w:rPr>
              <w:t>developed and communicated across partner organizations (late 2024).</w:t>
            </w:r>
          </w:p>
          <w:p w14:paraId="666AA832" w14:textId="7F42C2C3" w:rsidR="00411B86" w:rsidRPr="00903B15" w:rsidRDefault="00936735" w:rsidP="00903B15">
            <w:pPr>
              <w:autoSpaceDE w:val="0"/>
              <w:autoSpaceDN w:val="0"/>
              <w:adjustRightInd w:val="0"/>
              <w:spacing w:before="120" w:after="120"/>
              <w:rPr>
                <w:rFonts w:cstheme="minorHAnsi"/>
              </w:rPr>
            </w:pPr>
            <w:r w:rsidRPr="00903B15">
              <w:rPr>
                <w:rFonts w:cstheme="minorHAnsi"/>
              </w:rPr>
              <w:t>Regular communications will also be programmed with donor partners, and mission and activity plans will include visibility and dialogue opportunities where relevant, including ensuring connections between Capital and country representatives</w:t>
            </w:r>
          </w:p>
        </w:tc>
        <w:tc>
          <w:tcPr>
            <w:tcW w:w="3827" w:type="dxa"/>
            <w:shd w:val="clear" w:color="auto" w:fill="auto"/>
          </w:tcPr>
          <w:p w14:paraId="697C2D75" w14:textId="77777777" w:rsidR="00903B15" w:rsidRPr="00903B15" w:rsidRDefault="00B62752" w:rsidP="00DF6363">
            <w:pPr>
              <w:pStyle w:val="Default"/>
              <w:spacing w:before="120" w:after="120"/>
              <w:rPr>
                <w:rFonts w:asciiTheme="minorHAnsi" w:hAnsiTheme="minorHAnsi" w:cstheme="minorHAnsi"/>
                <w:sz w:val="22"/>
                <w:szCs w:val="22"/>
              </w:rPr>
            </w:pPr>
            <w:r w:rsidRPr="00903B15">
              <w:rPr>
                <w:rFonts w:asciiTheme="minorHAnsi" w:hAnsiTheme="minorHAnsi" w:cstheme="minorHAnsi"/>
                <w:b/>
                <w:bCs/>
                <w:sz w:val="22"/>
                <w:szCs w:val="22"/>
              </w:rPr>
              <w:lastRenderedPageBreak/>
              <w:t>DFAT agrees with the recommendation and related actions</w:t>
            </w:r>
            <w:r w:rsidRPr="00DF6363">
              <w:rPr>
                <w:rFonts w:asciiTheme="minorHAnsi" w:hAnsiTheme="minorHAnsi" w:cstheme="minorHAnsi"/>
                <w:sz w:val="22"/>
                <w:szCs w:val="22"/>
              </w:rPr>
              <w:t xml:space="preserve">. </w:t>
            </w:r>
          </w:p>
          <w:p w14:paraId="647A39F8" w14:textId="709BC892" w:rsidR="003722BA" w:rsidRPr="00903B15" w:rsidRDefault="00903B15" w:rsidP="00DF6363">
            <w:pPr>
              <w:pStyle w:val="Default"/>
              <w:spacing w:before="120" w:after="120"/>
              <w:rPr>
                <w:rFonts w:asciiTheme="minorHAnsi" w:hAnsiTheme="minorHAnsi" w:cstheme="minorHAnsi"/>
                <w:sz w:val="22"/>
                <w:szCs w:val="22"/>
              </w:rPr>
            </w:pPr>
            <w:r w:rsidRPr="00903B15">
              <w:rPr>
                <w:rFonts w:asciiTheme="minorHAnsi" w:hAnsiTheme="minorHAnsi" w:cstheme="minorHAnsi"/>
                <w:sz w:val="22"/>
                <w:szCs w:val="22"/>
              </w:rPr>
              <w:t>C</w:t>
            </w:r>
            <w:r w:rsidR="000716C0" w:rsidRPr="00903B15">
              <w:rPr>
                <w:rFonts w:asciiTheme="minorHAnsi" w:hAnsiTheme="minorHAnsi" w:cstheme="minorHAnsi"/>
                <w:sz w:val="22"/>
                <w:szCs w:val="22"/>
              </w:rPr>
              <w:t xml:space="preserve">onsistent with the evaluation, </w:t>
            </w:r>
            <w:r w:rsidR="007D18A1" w:rsidRPr="00903B15">
              <w:rPr>
                <w:rFonts w:asciiTheme="minorHAnsi" w:hAnsiTheme="minorHAnsi" w:cstheme="minorHAnsi"/>
                <w:sz w:val="22"/>
                <w:szCs w:val="22"/>
              </w:rPr>
              <w:t xml:space="preserve">DFAT would like the WBG to </w:t>
            </w:r>
            <w:r w:rsidR="000716C0" w:rsidRPr="00903B15">
              <w:rPr>
                <w:rFonts w:asciiTheme="minorHAnsi" w:hAnsiTheme="minorHAnsi" w:cstheme="minorHAnsi"/>
                <w:sz w:val="22"/>
                <w:szCs w:val="22"/>
              </w:rPr>
              <w:t xml:space="preserve">consider </w:t>
            </w:r>
            <w:r w:rsidR="00AC3FCD" w:rsidRPr="00903B15">
              <w:rPr>
                <w:rFonts w:asciiTheme="minorHAnsi" w:hAnsiTheme="minorHAnsi" w:cstheme="minorHAnsi"/>
                <w:sz w:val="22"/>
                <w:szCs w:val="22"/>
              </w:rPr>
              <w:t xml:space="preserve">what formal communication mechanisms can be used to enhance coordination and collaboration with </w:t>
            </w:r>
            <w:r w:rsidR="00420360" w:rsidRPr="00903B15">
              <w:rPr>
                <w:rFonts w:asciiTheme="minorHAnsi" w:hAnsiTheme="minorHAnsi" w:cstheme="minorHAnsi"/>
                <w:sz w:val="22"/>
                <w:szCs w:val="22"/>
              </w:rPr>
              <w:t>Annex D organisations.</w:t>
            </w:r>
            <w:r w:rsidR="003722BA" w:rsidRPr="00903B15">
              <w:rPr>
                <w:rFonts w:asciiTheme="minorHAnsi" w:hAnsiTheme="minorHAnsi" w:cstheme="minorHAnsi"/>
                <w:sz w:val="22"/>
                <w:szCs w:val="22"/>
              </w:rPr>
              <w:t xml:space="preserve"> </w:t>
            </w:r>
          </w:p>
          <w:p w14:paraId="784789C2" w14:textId="0428492D" w:rsidR="00903B15" w:rsidRDefault="003722BA" w:rsidP="00DF6363">
            <w:pPr>
              <w:pStyle w:val="Default"/>
              <w:spacing w:before="120" w:after="120"/>
              <w:rPr>
                <w:rFonts w:asciiTheme="minorHAnsi" w:hAnsiTheme="minorHAnsi" w:cstheme="minorHAnsi"/>
                <w:sz w:val="22"/>
                <w:szCs w:val="22"/>
              </w:rPr>
            </w:pPr>
            <w:r w:rsidRPr="00DF6363">
              <w:rPr>
                <w:rFonts w:asciiTheme="minorHAnsi" w:hAnsiTheme="minorHAnsi" w:cstheme="minorHAnsi"/>
                <w:sz w:val="22"/>
                <w:szCs w:val="22"/>
              </w:rPr>
              <w:t xml:space="preserve">DFAT is aware of </w:t>
            </w:r>
            <w:r w:rsidR="00903B15">
              <w:rPr>
                <w:rFonts w:asciiTheme="minorHAnsi" w:hAnsiTheme="minorHAnsi" w:cstheme="minorHAnsi"/>
                <w:sz w:val="22"/>
                <w:szCs w:val="22"/>
              </w:rPr>
              <w:t xml:space="preserve">and appreciates the </w:t>
            </w:r>
            <w:r w:rsidRPr="00DF6363">
              <w:rPr>
                <w:rFonts w:asciiTheme="minorHAnsi" w:hAnsiTheme="minorHAnsi" w:cstheme="minorHAnsi"/>
                <w:sz w:val="22"/>
                <w:szCs w:val="22"/>
              </w:rPr>
              <w:t xml:space="preserve">good collaboration </w:t>
            </w:r>
            <w:r w:rsidR="00DD2C46" w:rsidRPr="00DF6363">
              <w:rPr>
                <w:rFonts w:asciiTheme="minorHAnsi" w:hAnsiTheme="minorHAnsi" w:cstheme="minorHAnsi"/>
                <w:sz w:val="22"/>
                <w:szCs w:val="22"/>
              </w:rPr>
              <w:t xml:space="preserve">between TFSP </w:t>
            </w:r>
            <w:r w:rsidR="00903B15">
              <w:rPr>
                <w:rFonts w:asciiTheme="minorHAnsi" w:hAnsiTheme="minorHAnsi" w:cstheme="minorHAnsi"/>
                <w:sz w:val="22"/>
                <w:szCs w:val="22"/>
              </w:rPr>
              <w:t xml:space="preserve">and </w:t>
            </w:r>
            <w:r w:rsidRPr="00DF6363">
              <w:rPr>
                <w:rFonts w:asciiTheme="minorHAnsi" w:hAnsiTheme="minorHAnsi" w:cstheme="minorHAnsi"/>
                <w:sz w:val="22"/>
                <w:szCs w:val="22"/>
              </w:rPr>
              <w:t xml:space="preserve">the likes of </w:t>
            </w:r>
            <w:r w:rsidR="00903B15">
              <w:rPr>
                <w:rFonts w:asciiTheme="minorHAnsi" w:hAnsiTheme="minorHAnsi" w:cstheme="minorHAnsi"/>
                <w:sz w:val="22"/>
                <w:szCs w:val="22"/>
              </w:rPr>
              <w:t xml:space="preserve">the WTO, TFAF and STDF. </w:t>
            </w:r>
          </w:p>
          <w:p w14:paraId="6B64AF99" w14:textId="24A56605" w:rsidR="00411B86" w:rsidRPr="00DF6363" w:rsidRDefault="00903B15" w:rsidP="00DF6363">
            <w:pPr>
              <w:pStyle w:val="Default"/>
              <w:spacing w:before="120" w:after="120"/>
              <w:rPr>
                <w:rFonts w:asciiTheme="minorHAnsi" w:hAnsiTheme="minorHAnsi" w:cstheme="minorHAnsi"/>
                <w:sz w:val="22"/>
                <w:szCs w:val="22"/>
              </w:rPr>
            </w:pPr>
            <w:r>
              <w:rPr>
                <w:rFonts w:asciiTheme="minorHAnsi" w:hAnsiTheme="minorHAnsi" w:cstheme="minorHAnsi"/>
                <w:sz w:val="22"/>
                <w:szCs w:val="22"/>
              </w:rPr>
              <w:t>However, g</w:t>
            </w:r>
            <w:r w:rsidR="00DD2C46" w:rsidRPr="00DF6363">
              <w:rPr>
                <w:rFonts w:asciiTheme="minorHAnsi" w:hAnsiTheme="minorHAnsi" w:cstheme="minorHAnsi"/>
                <w:sz w:val="22"/>
                <w:szCs w:val="22"/>
              </w:rPr>
              <w:t xml:space="preserve">iven the active role of UNCTAD </w:t>
            </w:r>
            <w:r>
              <w:rPr>
                <w:rFonts w:asciiTheme="minorHAnsi" w:hAnsiTheme="minorHAnsi" w:cstheme="minorHAnsi"/>
                <w:sz w:val="22"/>
                <w:szCs w:val="22"/>
              </w:rPr>
              <w:t>in t</w:t>
            </w:r>
            <w:r w:rsidR="001945E4" w:rsidRPr="00DF6363">
              <w:rPr>
                <w:rFonts w:asciiTheme="minorHAnsi" w:hAnsiTheme="minorHAnsi" w:cstheme="minorHAnsi"/>
                <w:sz w:val="22"/>
                <w:szCs w:val="22"/>
              </w:rPr>
              <w:t>rade facilitation support (</w:t>
            </w:r>
            <w:r>
              <w:rPr>
                <w:rFonts w:asciiTheme="minorHAnsi" w:hAnsiTheme="minorHAnsi" w:cstheme="minorHAnsi"/>
                <w:sz w:val="22"/>
                <w:szCs w:val="22"/>
              </w:rPr>
              <w:t xml:space="preserve">both </w:t>
            </w:r>
            <w:r w:rsidR="001945E4" w:rsidRPr="00DF6363">
              <w:rPr>
                <w:rFonts w:asciiTheme="minorHAnsi" w:hAnsiTheme="minorHAnsi" w:cstheme="minorHAnsi"/>
                <w:sz w:val="22"/>
                <w:szCs w:val="22"/>
              </w:rPr>
              <w:t>hard and soft infrastructure)</w:t>
            </w:r>
            <w:r>
              <w:rPr>
                <w:rFonts w:asciiTheme="minorHAnsi" w:hAnsiTheme="minorHAnsi" w:cstheme="minorHAnsi"/>
                <w:sz w:val="22"/>
                <w:szCs w:val="22"/>
              </w:rPr>
              <w:t>,</w:t>
            </w:r>
            <w:r w:rsidR="001945E4" w:rsidRPr="00DF6363">
              <w:rPr>
                <w:rFonts w:asciiTheme="minorHAnsi" w:hAnsiTheme="minorHAnsi" w:cstheme="minorHAnsi"/>
                <w:sz w:val="22"/>
                <w:szCs w:val="22"/>
              </w:rPr>
              <w:t xml:space="preserve"> </w:t>
            </w:r>
            <w:r w:rsidR="00DD2C46" w:rsidRPr="00DF6363">
              <w:rPr>
                <w:rFonts w:asciiTheme="minorHAnsi" w:hAnsiTheme="minorHAnsi" w:cstheme="minorHAnsi"/>
                <w:sz w:val="22"/>
                <w:szCs w:val="22"/>
              </w:rPr>
              <w:t xml:space="preserve">especially in </w:t>
            </w:r>
            <w:r w:rsidR="001945E4" w:rsidRPr="00DF6363">
              <w:rPr>
                <w:rFonts w:asciiTheme="minorHAnsi" w:hAnsiTheme="minorHAnsi" w:cstheme="minorHAnsi"/>
                <w:sz w:val="22"/>
                <w:szCs w:val="22"/>
              </w:rPr>
              <w:t xml:space="preserve">the Pacific, </w:t>
            </w:r>
            <w:r w:rsidR="000B05D7" w:rsidRPr="00DF6363">
              <w:rPr>
                <w:rFonts w:asciiTheme="minorHAnsi" w:hAnsiTheme="minorHAnsi" w:cstheme="minorHAnsi"/>
                <w:sz w:val="22"/>
                <w:szCs w:val="22"/>
              </w:rPr>
              <w:t xml:space="preserve">DFAT would like </w:t>
            </w:r>
            <w:r w:rsidR="009A3FB4" w:rsidRPr="00DF6363">
              <w:rPr>
                <w:rFonts w:asciiTheme="minorHAnsi" w:hAnsiTheme="minorHAnsi" w:cstheme="minorHAnsi"/>
                <w:sz w:val="22"/>
                <w:szCs w:val="22"/>
              </w:rPr>
              <w:lastRenderedPageBreak/>
              <w:t xml:space="preserve">the WBG to provide further information on how it plans to </w:t>
            </w:r>
            <w:r w:rsidR="00F44DAC" w:rsidRPr="00DF6363">
              <w:rPr>
                <w:rFonts w:asciiTheme="minorHAnsi" w:hAnsiTheme="minorHAnsi" w:cstheme="minorHAnsi"/>
                <w:sz w:val="22"/>
                <w:szCs w:val="22"/>
              </w:rPr>
              <w:t xml:space="preserve">consult and </w:t>
            </w:r>
            <w:r w:rsidR="009A3FB4" w:rsidRPr="00DF6363">
              <w:rPr>
                <w:rFonts w:asciiTheme="minorHAnsi" w:hAnsiTheme="minorHAnsi" w:cstheme="minorHAnsi"/>
                <w:sz w:val="22"/>
                <w:szCs w:val="22"/>
              </w:rPr>
              <w:t>coordinate with UNCTAD</w:t>
            </w:r>
            <w:r w:rsidR="00253D50" w:rsidRPr="00DF6363">
              <w:rPr>
                <w:rFonts w:asciiTheme="minorHAnsi" w:hAnsiTheme="minorHAnsi" w:cstheme="minorHAnsi"/>
                <w:sz w:val="22"/>
                <w:szCs w:val="22"/>
              </w:rPr>
              <w:t xml:space="preserve"> in the region</w:t>
            </w:r>
            <w:r w:rsidR="00F44DAC" w:rsidRPr="00DF6363">
              <w:rPr>
                <w:rFonts w:asciiTheme="minorHAnsi" w:hAnsiTheme="minorHAnsi" w:cstheme="minorHAnsi"/>
                <w:sz w:val="22"/>
                <w:szCs w:val="22"/>
              </w:rPr>
              <w:t>.</w:t>
            </w:r>
            <w:r w:rsidR="003722BA" w:rsidRPr="00DF6363">
              <w:rPr>
                <w:rFonts w:asciiTheme="minorHAnsi" w:hAnsiTheme="minorHAnsi" w:cstheme="minorHAnsi"/>
                <w:sz w:val="22"/>
                <w:szCs w:val="22"/>
              </w:rPr>
              <w:t xml:space="preserve"> </w:t>
            </w:r>
            <w:r w:rsidR="00420360" w:rsidRPr="00DF6363">
              <w:rPr>
                <w:rFonts w:asciiTheme="minorHAnsi" w:hAnsiTheme="minorHAnsi" w:cstheme="minorHAnsi"/>
                <w:sz w:val="22"/>
                <w:szCs w:val="22"/>
              </w:rPr>
              <w:t xml:space="preserve"> </w:t>
            </w:r>
            <w:r w:rsidR="000716C0" w:rsidRPr="00DF6363">
              <w:rPr>
                <w:rFonts w:asciiTheme="minorHAnsi" w:hAnsiTheme="minorHAnsi" w:cstheme="minorHAnsi"/>
                <w:sz w:val="22"/>
                <w:szCs w:val="22"/>
              </w:rPr>
              <w:t xml:space="preserve"> </w:t>
            </w:r>
          </w:p>
        </w:tc>
        <w:tc>
          <w:tcPr>
            <w:tcW w:w="1843" w:type="dxa"/>
            <w:shd w:val="clear" w:color="auto" w:fill="auto"/>
            <w:vAlign w:val="center"/>
          </w:tcPr>
          <w:p w14:paraId="10B16178" w14:textId="12E838E2" w:rsidR="00411B86" w:rsidRPr="00903B15" w:rsidRDefault="00903B15" w:rsidP="00903B15">
            <w:pPr>
              <w:pStyle w:val="Default"/>
              <w:spacing w:before="120" w:after="120"/>
              <w:jc w:val="center"/>
              <w:rPr>
                <w:rFonts w:asciiTheme="minorHAnsi" w:hAnsiTheme="minorHAnsi" w:cstheme="minorHAnsi"/>
                <w:b/>
                <w:bCs/>
                <w:sz w:val="22"/>
                <w:szCs w:val="22"/>
              </w:rPr>
            </w:pPr>
            <w:r w:rsidRPr="00903B15">
              <w:rPr>
                <w:rFonts w:asciiTheme="minorHAnsi" w:hAnsiTheme="minorHAnsi" w:cstheme="minorHAnsi"/>
                <w:b/>
                <w:bCs/>
                <w:sz w:val="22"/>
                <w:szCs w:val="22"/>
              </w:rPr>
              <w:lastRenderedPageBreak/>
              <w:t>Ongoing</w:t>
            </w:r>
          </w:p>
        </w:tc>
      </w:tr>
    </w:tbl>
    <w:p w14:paraId="7137090A" w14:textId="77777777" w:rsidR="00C307BF" w:rsidRPr="00DF6363" w:rsidRDefault="00C307BF" w:rsidP="00DF6363">
      <w:pPr>
        <w:spacing w:before="120" w:after="120" w:line="240" w:lineRule="auto"/>
        <w:rPr>
          <w:rFonts w:cstheme="minorHAnsi"/>
        </w:rPr>
      </w:pPr>
    </w:p>
    <w:sectPr w:rsidR="00C307BF" w:rsidRPr="00DF6363" w:rsidSect="00A511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A7FB" w14:textId="77777777" w:rsidR="00223CB0" w:rsidRDefault="00223CB0">
      <w:pPr>
        <w:spacing w:after="0" w:line="240" w:lineRule="auto"/>
      </w:pPr>
      <w:r>
        <w:separator/>
      </w:r>
    </w:p>
  </w:endnote>
  <w:endnote w:type="continuationSeparator" w:id="0">
    <w:p w14:paraId="13348C8A" w14:textId="77777777" w:rsidR="00223CB0" w:rsidRDefault="002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273C" w14:textId="77777777" w:rsidR="00223CB0" w:rsidRDefault="00223CB0">
      <w:pPr>
        <w:spacing w:after="0" w:line="240" w:lineRule="auto"/>
      </w:pPr>
      <w:r>
        <w:separator/>
      </w:r>
    </w:p>
  </w:footnote>
  <w:footnote w:type="continuationSeparator" w:id="0">
    <w:p w14:paraId="76A06909" w14:textId="77777777" w:rsidR="00223CB0" w:rsidRDefault="0022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8D38D1"/>
    <w:multiLevelType w:val="hybridMultilevel"/>
    <w:tmpl w:val="CAEE921C"/>
    <w:lvl w:ilvl="0" w:tplc="DA8E22D8">
      <w:numFmt w:val="bullet"/>
      <w:lvlText w:val=""/>
      <w:lvlJc w:val="left"/>
      <w:pPr>
        <w:ind w:left="410" w:hanging="360"/>
      </w:pPr>
      <w:rPr>
        <w:rFonts w:ascii="Symbol" w:eastAsiaTheme="minorHAnsi" w:hAnsi="Symbol" w:cstheme="minorHAns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57D7F2B"/>
    <w:multiLevelType w:val="hybridMultilevel"/>
    <w:tmpl w:val="084A773C"/>
    <w:lvl w:ilvl="0" w:tplc="DA8E22D8">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460050"/>
    <w:multiLevelType w:val="hybridMultilevel"/>
    <w:tmpl w:val="77C8C6A2"/>
    <w:lvl w:ilvl="0" w:tplc="DA8E22D8">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6686B"/>
    <w:multiLevelType w:val="hybridMultilevel"/>
    <w:tmpl w:val="C1A6893E"/>
    <w:lvl w:ilvl="0" w:tplc="DA8E22D8">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F563D4"/>
    <w:multiLevelType w:val="hybridMultilevel"/>
    <w:tmpl w:val="0AA4B7C0"/>
    <w:lvl w:ilvl="0" w:tplc="DA8E22D8">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33011E"/>
    <w:multiLevelType w:val="hybridMultilevel"/>
    <w:tmpl w:val="390E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4A5C23"/>
    <w:multiLevelType w:val="hybridMultilevel"/>
    <w:tmpl w:val="87FAEE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AEA5EF4"/>
    <w:multiLevelType w:val="hybridMultilevel"/>
    <w:tmpl w:val="03122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319D"/>
    <w:multiLevelType w:val="hybridMultilevel"/>
    <w:tmpl w:val="0F64DB12"/>
    <w:lvl w:ilvl="0" w:tplc="DA8E22D8">
      <w:numFmt w:val="bullet"/>
      <w:lvlText w:val=""/>
      <w:lvlJc w:val="left"/>
      <w:pPr>
        <w:ind w:left="36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5186459">
    <w:abstractNumId w:val="0"/>
  </w:num>
  <w:num w:numId="2" w16cid:durableId="178544059">
    <w:abstractNumId w:val="8"/>
  </w:num>
  <w:num w:numId="3" w16cid:durableId="1344630069">
    <w:abstractNumId w:val="6"/>
  </w:num>
  <w:num w:numId="4" w16cid:durableId="812604524">
    <w:abstractNumId w:val="2"/>
  </w:num>
  <w:num w:numId="5" w16cid:durableId="1185826214">
    <w:abstractNumId w:val="7"/>
  </w:num>
  <w:num w:numId="6" w16cid:durableId="970599107">
    <w:abstractNumId w:val="4"/>
  </w:num>
  <w:num w:numId="7" w16cid:durableId="493494976">
    <w:abstractNumId w:val="5"/>
  </w:num>
  <w:num w:numId="8" w16cid:durableId="379792497">
    <w:abstractNumId w:val="3"/>
  </w:num>
  <w:num w:numId="9" w16cid:durableId="808862520">
    <w:abstractNumId w:val="9"/>
  </w:num>
  <w:num w:numId="10" w16cid:durableId="92768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86"/>
    <w:rsid w:val="0000098A"/>
    <w:rsid w:val="00001AA2"/>
    <w:rsid w:val="00046133"/>
    <w:rsid w:val="000716C0"/>
    <w:rsid w:val="0007600D"/>
    <w:rsid w:val="00094F69"/>
    <w:rsid w:val="000B05D7"/>
    <w:rsid w:val="000B3132"/>
    <w:rsid w:val="000C02EA"/>
    <w:rsid w:val="000D7C11"/>
    <w:rsid w:val="000E1392"/>
    <w:rsid w:val="00106C25"/>
    <w:rsid w:val="00110892"/>
    <w:rsid w:val="00117079"/>
    <w:rsid w:val="00143309"/>
    <w:rsid w:val="001945E4"/>
    <w:rsid w:val="001B58A0"/>
    <w:rsid w:val="001C16B3"/>
    <w:rsid w:val="001D070E"/>
    <w:rsid w:val="001E1E8E"/>
    <w:rsid w:val="00211F33"/>
    <w:rsid w:val="00214C95"/>
    <w:rsid w:val="00223CB0"/>
    <w:rsid w:val="0023404A"/>
    <w:rsid w:val="00253D50"/>
    <w:rsid w:val="00262C39"/>
    <w:rsid w:val="002B4756"/>
    <w:rsid w:val="002C14D8"/>
    <w:rsid w:val="002C62BB"/>
    <w:rsid w:val="002C7766"/>
    <w:rsid w:val="002E6D46"/>
    <w:rsid w:val="002E6DA1"/>
    <w:rsid w:val="003325D0"/>
    <w:rsid w:val="00344B24"/>
    <w:rsid w:val="003515AE"/>
    <w:rsid w:val="003517B0"/>
    <w:rsid w:val="003722BA"/>
    <w:rsid w:val="00376CAE"/>
    <w:rsid w:val="003773D6"/>
    <w:rsid w:val="003838F0"/>
    <w:rsid w:val="003A7A50"/>
    <w:rsid w:val="003C048D"/>
    <w:rsid w:val="003E0C57"/>
    <w:rsid w:val="003E0F43"/>
    <w:rsid w:val="00405E19"/>
    <w:rsid w:val="00411B86"/>
    <w:rsid w:val="004202B4"/>
    <w:rsid w:val="00420360"/>
    <w:rsid w:val="00440819"/>
    <w:rsid w:val="004832DA"/>
    <w:rsid w:val="004B4E9C"/>
    <w:rsid w:val="004E4A25"/>
    <w:rsid w:val="00511D71"/>
    <w:rsid w:val="00527B7C"/>
    <w:rsid w:val="0054125B"/>
    <w:rsid w:val="00543EBC"/>
    <w:rsid w:val="00554984"/>
    <w:rsid w:val="00562DEC"/>
    <w:rsid w:val="00566470"/>
    <w:rsid w:val="0058065A"/>
    <w:rsid w:val="005806A3"/>
    <w:rsid w:val="0058102D"/>
    <w:rsid w:val="00590F45"/>
    <w:rsid w:val="00595801"/>
    <w:rsid w:val="005A7615"/>
    <w:rsid w:val="005B4AD7"/>
    <w:rsid w:val="005C04B9"/>
    <w:rsid w:val="005F028E"/>
    <w:rsid w:val="005F7F55"/>
    <w:rsid w:val="00670F83"/>
    <w:rsid w:val="006724CB"/>
    <w:rsid w:val="006953FC"/>
    <w:rsid w:val="006B0D2B"/>
    <w:rsid w:val="006D0CB6"/>
    <w:rsid w:val="006D7475"/>
    <w:rsid w:val="00701002"/>
    <w:rsid w:val="0076220C"/>
    <w:rsid w:val="007A3AC9"/>
    <w:rsid w:val="007C0499"/>
    <w:rsid w:val="007D18A1"/>
    <w:rsid w:val="007D5A2A"/>
    <w:rsid w:val="00810675"/>
    <w:rsid w:val="0081660C"/>
    <w:rsid w:val="00831BC7"/>
    <w:rsid w:val="00853D15"/>
    <w:rsid w:val="008D5B2B"/>
    <w:rsid w:val="008E0F3E"/>
    <w:rsid w:val="00903B15"/>
    <w:rsid w:val="00907FED"/>
    <w:rsid w:val="00914C16"/>
    <w:rsid w:val="00923205"/>
    <w:rsid w:val="00927113"/>
    <w:rsid w:val="00931FDD"/>
    <w:rsid w:val="00936735"/>
    <w:rsid w:val="00941041"/>
    <w:rsid w:val="00943EAB"/>
    <w:rsid w:val="00952CF6"/>
    <w:rsid w:val="00966DDC"/>
    <w:rsid w:val="00980870"/>
    <w:rsid w:val="00980931"/>
    <w:rsid w:val="009A179A"/>
    <w:rsid w:val="009A3FB4"/>
    <w:rsid w:val="009B100D"/>
    <w:rsid w:val="009C70E3"/>
    <w:rsid w:val="009C7B35"/>
    <w:rsid w:val="009E1C94"/>
    <w:rsid w:val="00A6204C"/>
    <w:rsid w:val="00A64AD0"/>
    <w:rsid w:val="00A81CCC"/>
    <w:rsid w:val="00A83968"/>
    <w:rsid w:val="00A90EE0"/>
    <w:rsid w:val="00AC3FCD"/>
    <w:rsid w:val="00AD4D40"/>
    <w:rsid w:val="00B07A09"/>
    <w:rsid w:val="00B43C08"/>
    <w:rsid w:val="00B531BF"/>
    <w:rsid w:val="00B62752"/>
    <w:rsid w:val="00B64AF5"/>
    <w:rsid w:val="00B84957"/>
    <w:rsid w:val="00B856D0"/>
    <w:rsid w:val="00BC2CD0"/>
    <w:rsid w:val="00BC3FE2"/>
    <w:rsid w:val="00BD4F33"/>
    <w:rsid w:val="00BF12F0"/>
    <w:rsid w:val="00BF5B55"/>
    <w:rsid w:val="00C307BF"/>
    <w:rsid w:val="00C566A6"/>
    <w:rsid w:val="00C6639D"/>
    <w:rsid w:val="00C83208"/>
    <w:rsid w:val="00C86929"/>
    <w:rsid w:val="00C932AB"/>
    <w:rsid w:val="00CE5C59"/>
    <w:rsid w:val="00CF3B66"/>
    <w:rsid w:val="00D008E8"/>
    <w:rsid w:val="00D172AF"/>
    <w:rsid w:val="00D17B98"/>
    <w:rsid w:val="00D24EAD"/>
    <w:rsid w:val="00D61AD1"/>
    <w:rsid w:val="00D66763"/>
    <w:rsid w:val="00D8133C"/>
    <w:rsid w:val="00D93D40"/>
    <w:rsid w:val="00DD2C46"/>
    <w:rsid w:val="00DD704E"/>
    <w:rsid w:val="00DF568F"/>
    <w:rsid w:val="00DF6363"/>
    <w:rsid w:val="00E05178"/>
    <w:rsid w:val="00E30F8B"/>
    <w:rsid w:val="00E466E6"/>
    <w:rsid w:val="00E90BB7"/>
    <w:rsid w:val="00EA403F"/>
    <w:rsid w:val="00ED6821"/>
    <w:rsid w:val="00F036E1"/>
    <w:rsid w:val="00F44DAC"/>
    <w:rsid w:val="00F54723"/>
    <w:rsid w:val="00F62580"/>
    <w:rsid w:val="00F93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E8D6"/>
  <w15:chartTrackingRefBased/>
  <w15:docId w15:val="{E132088C-3B63-4DB9-9ACB-38983563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B86"/>
  </w:style>
  <w:style w:type="paragraph" w:styleId="Heading1">
    <w:name w:val="heading 1"/>
    <w:basedOn w:val="Normal"/>
    <w:next w:val="Normal"/>
    <w:link w:val="Heading1Char"/>
    <w:uiPriority w:val="9"/>
    <w:qFormat/>
    <w:rsid w:val="00543EBC"/>
    <w:pPr>
      <w:jc w:val="center"/>
      <w:outlineLvl w:val="0"/>
    </w:pPr>
    <w:rPr>
      <w:b/>
      <w:bCs/>
      <w:color w:val="2F5496" w:themeColor="accent1" w:themeShade="BF"/>
      <w:sz w:val="24"/>
      <w:szCs w:val="24"/>
    </w:rPr>
  </w:style>
  <w:style w:type="paragraph" w:styleId="Heading2">
    <w:name w:val="heading 2"/>
    <w:basedOn w:val="Normal"/>
    <w:next w:val="Normal"/>
    <w:link w:val="Heading2Char"/>
    <w:uiPriority w:val="9"/>
    <w:unhideWhenUsed/>
    <w:qFormat/>
    <w:rsid w:val="00543EBC"/>
    <w:pPr>
      <w:jc w:val="center"/>
      <w:outlineLvl w:val="1"/>
    </w:pPr>
    <w:rPr>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B86"/>
    <w:pPr>
      <w:ind w:left="720"/>
      <w:contextualSpacing/>
    </w:pPr>
  </w:style>
  <w:style w:type="paragraph" w:customStyle="1" w:styleId="Default">
    <w:name w:val="Default"/>
    <w:rsid w:val="00411B8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1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5F7F55"/>
    <w:pPr>
      <w:spacing w:after="200" w:line="240" w:lineRule="auto"/>
    </w:pPr>
    <w:rPr>
      <w:rFonts w:ascii="Arial" w:hAnsi="Arial" w:cs="Arial"/>
      <w:lang w:val="en-GB" w:eastAsia="en-GB"/>
    </w:rPr>
  </w:style>
  <w:style w:type="character" w:customStyle="1" w:styleId="BodyTextChar">
    <w:name w:val="Body Text Char"/>
    <w:basedOn w:val="DefaultParagraphFont"/>
    <w:link w:val="BodyText"/>
    <w:rsid w:val="005F7F55"/>
    <w:rPr>
      <w:rFonts w:ascii="Arial" w:hAnsi="Arial" w:cs="Arial"/>
      <w:lang w:val="en-GB" w:eastAsia="en-GB"/>
    </w:rPr>
  </w:style>
  <w:style w:type="paragraph" w:customStyle="1" w:styleId="Prelim">
    <w:name w:val="Prelim"/>
    <w:qFormat/>
    <w:rsid w:val="00211F33"/>
    <w:pPr>
      <w:spacing w:after="260" w:line="240" w:lineRule="auto"/>
    </w:pPr>
    <w:rPr>
      <w:rFonts w:ascii="Arial" w:hAnsi="Arial" w:cs="Arial"/>
      <w:b/>
      <w:color w:val="0B1F51"/>
      <w:sz w:val="32"/>
      <w:szCs w:val="24"/>
      <w:lang w:val="en-GB" w:eastAsia="en-GB"/>
    </w:rPr>
  </w:style>
  <w:style w:type="paragraph" w:customStyle="1" w:styleId="pf0">
    <w:name w:val="pf0"/>
    <w:basedOn w:val="Normal"/>
    <w:rsid w:val="005806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344B24"/>
    <w:pPr>
      <w:spacing w:after="0" w:line="240" w:lineRule="auto"/>
    </w:pPr>
  </w:style>
  <w:style w:type="character" w:customStyle="1" w:styleId="Heading1Char">
    <w:name w:val="Heading 1 Char"/>
    <w:basedOn w:val="DefaultParagraphFont"/>
    <w:link w:val="Heading1"/>
    <w:uiPriority w:val="9"/>
    <w:rsid w:val="00543EBC"/>
    <w:rPr>
      <w:b/>
      <w:bCs/>
      <w:color w:val="2F5496" w:themeColor="accent1" w:themeShade="BF"/>
      <w:sz w:val="24"/>
      <w:szCs w:val="24"/>
    </w:rPr>
  </w:style>
  <w:style w:type="character" w:customStyle="1" w:styleId="Heading2Char">
    <w:name w:val="Heading 2 Char"/>
    <w:basedOn w:val="DefaultParagraphFont"/>
    <w:link w:val="Heading2"/>
    <w:uiPriority w:val="9"/>
    <w:rsid w:val="00543EBC"/>
    <w:rPr>
      <w:b/>
      <w:b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1964</Words>
  <Characters>11634</Characters>
  <Application>Microsoft Office Word</Application>
  <DocSecurity>4</DocSecurity>
  <Lines>423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 Stocktaking/Assessment &amp; Learning Review of the World Bank Group Trade Facilitation Support Program</dc:title>
  <dc:subject/>
  <dc:creator>Australian Government Department of Foreign Affairs and Trade</dc:creator>
  <cp:keywords>[SEC=OFFICIAL]</cp:keywords>
  <dc:description/>
  <cp:lastModifiedBy>Patrick Baggoley</cp:lastModifiedBy>
  <cp:revision>2</cp:revision>
  <cp:lastPrinted>2024-07-08T04:20:00Z</cp:lastPrinted>
  <dcterms:created xsi:type="dcterms:W3CDTF">2024-10-24T09:47:00Z</dcterms:created>
  <dcterms:modified xsi:type="dcterms:W3CDTF">2024-10-24T09:47:00Z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v=2022.1;a=SHA256;h=2999D1CA6EEB456D8A760AE9D9D18F795AE03D6459616D550230604A5E88F94A</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2024-02-06T02:49:20Z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A59DF37D8F254416AD57074E59E1A0B4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D503F9A0106F59417E137F048C456010</vt:lpwstr>
  </property>
  <property fmtid="{D5CDD505-2E9C-101B-9397-08002B2CF9AE}" pid="25" name="PM_Hash_Salt">
    <vt:lpwstr>AD9468FAEE398D291F437A14AAC63CC0</vt:lpwstr>
  </property>
  <property fmtid="{D5CDD505-2E9C-101B-9397-08002B2CF9AE}" pid="26" name="PM_Hash_SHA1">
    <vt:lpwstr>4D131B59DCA1A1E172245003305003D8F3076B23</vt:lpwstr>
  </property>
  <property fmtid="{D5CDD505-2E9C-101B-9397-08002B2CF9AE}" pid="27" name="PM_SecurityClassification_Prev">
    <vt:lpwstr>OFFICIAL</vt:lpwstr>
  </property>
  <property fmtid="{D5CDD505-2E9C-101B-9397-08002B2CF9AE}" pid="28" name="PM_Qualifier_Prev">
    <vt:lpwstr/>
  </property>
</Properties>
</file>