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DA791" w14:textId="7F4E8369" w:rsidR="00B42AC8" w:rsidRPr="00B42AC8" w:rsidRDefault="00B42AC8" w:rsidP="00B42AC8">
      <w:pPr>
        <w:pStyle w:val="BTBodyText"/>
        <w:spacing w:after="240"/>
        <w:jc w:val="center"/>
        <w:rPr>
          <w:b/>
          <w:bCs/>
          <w:sz w:val="32"/>
          <w:szCs w:val="32"/>
        </w:rPr>
      </w:pPr>
      <w:r w:rsidRPr="0007327B">
        <w:rPr>
          <w:b/>
          <w:bCs/>
          <w:sz w:val="32"/>
          <w:szCs w:val="32"/>
        </w:rPr>
        <w:t>Before the World Trade Organization</w:t>
      </w:r>
    </w:p>
    <w:p w14:paraId="73EBD4F7" w14:textId="1562A6EF" w:rsidR="00B42AC8" w:rsidRDefault="00B42AC8" w:rsidP="00B42AC8">
      <w:pPr>
        <w:pStyle w:val="BTBodyText"/>
        <w:spacing w:after="240"/>
        <w:jc w:val="center"/>
        <w:rPr>
          <w:b/>
          <w:bCs/>
          <w:sz w:val="32"/>
          <w:szCs w:val="32"/>
        </w:rPr>
      </w:pPr>
      <w:r w:rsidRPr="0007327B">
        <w:rPr>
          <w:b/>
          <w:bCs/>
          <w:sz w:val="32"/>
          <w:szCs w:val="32"/>
        </w:rPr>
        <w:t>Panel Proceedings</w:t>
      </w:r>
    </w:p>
    <w:p w14:paraId="04AAD42D" w14:textId="18A7242D" w:rsidR="00B42AC8" w:rsidRDefault="00B42AC8" w:rsidP="00B42AC8">
      <w:pPr>
        <w:pStyle w:val="BTNSSBodyTextNoSpacingSmall"/>
        <w:rPr>
          <w:b/>
          <w:bCs/>
          <w:sz w:val="32"/>
          <w:szCs w:val="32"/>
        </w:rPr>
      </w:pPr>
    </w:p>
    <w:p w14:paraId="5F23884B" w14:textId="71309D0E" w:rsidR="00B42AC8" w:rsidRDefault="00B42AC8" w:rsidP="00B42AC8">
      <w:pPr>
        <w:pStyle w:val="BTNSSBodyTextNoSpacingSmall"/>
        <w:rPr>
          <w:b/>
          <w:bCs/>
          <w:sz w:val="32"/>
          <w:szCs w:val="32"/>
        </w:rPr>
      </w:pPr>
    </w:p>
    <w:p w14:paraId="71060CEE" w14:textId="102B0791" w:rsidR="00B42AC8" w:rsidRDefault="00B42AC8" w:rsidP="00B42AC8">
      <w:pPr>
        <w:pStyle w:val="BTNSSBodyTextNoSpacingSmall"/>
        <w:rPr>
          <w:b/>
          <w:bCs/>
          <w:sz w:val="32"/>
          <w:szCs w:val="32"/>
        </w:rPr>
      </w:pPr>
    </w:p>
    <w:p w14:paraId="5DCDF7F4" w14:textId="41AE20E9" w:rsidR="00B42AC8" w:rsidRDefault="00B42AC8" w:rsidP="00B42AC8">
      <w:pPr>
        <w:pStyle w:val="BTNSSBodyTextNoSpacingSmall"/>
        <w:rPr>
          <w:b/>
          <w:bCs/>
          <w:sz w:val="32"/>
          <w:szCs w:val="32"/>
        </w:rPr>
      </w:pPr>
    </w:p>
    <w:p w14:paraId="5031593E" w14:textId="595F4EAA" w:rsidR="00B42AC8" w:rsidRDefault="00B42AC8" w:rsidP="00B42AC8">
      <w:pPr>
        <w:pStyle w:val="BTNSSBodyTextNoSpacingSmall"/>
        <w:rPr>
          <w:b/>
          <w:bCs/>
          <w:sz w:val="32"/>
          <w:szCs w:val="32"/>
        </w:rPr>
      </w:pPr>
    </w:p>
    <w:p w14:paraId="3859BDFA" w14:textId="65DA0113" w:rsidR="00B42AC8" w:rsidRDefault="00B42AC8" w:rsidP="00B42AC8">
      <w:pPr>
        <w:pStyle w:val="BTNSSBodyTextNoSpacingSmall"/>
        <w:rPr>
          <w:b/>
          <w:bCs/>
          <w:sz w:val="32"/>
          <w:szCs w:val="32"/>
        </w:rPr>
      </w:pPr>
    </w:p>
    <w:p w14:paraId="77682D43" w14:textId="729D4ABD" w:rsidR="00B42AC8" w:rsidRDefault="00B42AC8" w:rsidP="00B42AC8">
      <w:pPr>
        <w:pStyle w:val="BTNSSBodyTextNoSpacingSmall"/>
        <w:rPr>
          <w:b/>
          <w:bCs/>
          <w:sz w:val="32"/>
          <w:szCs w:val="32"/>
        </w:rPr>
      </w:pPr>
    </w:p>
    <w:p w14:paraId="174927FA" w14:textId="77777777" w:rsidR="00B42AC8" w:rsidRDefault="00B42AC8" w:rsidP="00B42AC8">
      <w:pPr>
        <w:pStyle w:val="BTNSSBodyTextNoSpacingSmall"/>
        <w:rPr>
          <w:b/>
          <w:bCs/>
          <w:sz w:val="32"/>
          <w:szCs w:val="32"/>
        </w:rPr>
      </w:pPr>
    </w:p>
    <w:p w14:paraId="2FAF2BF1" w14:textId="58C7189E" w:rsidR="00B42AC8" w:rsidRDefault="00B42AC8" w:rsidP="00B42AC8">
      <w:pPr>
        <w:pStyle w:val="WTODTWTODisputeTitle"/>
      </w:pPr>
      <w:r>
        <w:t>India – Measures Concerning Sugar and Sugarcane</w:t>
      </w:r>
    </w:p>
    <w:p w14:paraId="69083CFD" w14:textId="7479EF12" w:rsidR="00B42AC8" w:rsidRDefault="00B42AC8" w:rsidP="00B42AC8">
      <w:pPr>
        <w:pStyle w:val="DSNDSNumber"/>
      </w:pPr>
      <w:r w:rsidRPr="0007327B">
        <w:t>(DS</w:t>
      </w:r>
      <w:r>
        <w:t>580</w:t>
      </w:r>
      <w:r w:rsidRPr="0007327B">
        <w:t>)</w:t>
      </w:r>
    </w:p>
    <w:p w14:paraId="04D5764F" w14:textId="50F15D32" w:rsidR="00B42AC8" w:rsidRDefault="00B42AC8" w:rsidP="00B42AC8">
      <w:pPr>
        <w:pStyle w:val="DSNDSNumber"/>
      </w:pPr>
    </w:p>
    <w:p w14:paraId="56912C51" w14:textId="1A5E0182" w:rsidR="00B42AC8" w:rsidRDefault="00B42AC8" w:rsidP="00B42AC8">
      <w:pPr>
        <w:pStyle w:val="DSNDSNumber"/>
      </w:pPr>
    </w:p>
    <w:p w14:paraId="236CA927" w14:textId="1AA1F73D" w:rsidR="00B42AC8" w:rsidRDefault="00B42AC8" w:rsidP="00B42AC8">
      <w:pPr>
        <w:pStyle w:val="DSNDSNumber"/>
      </w:pPr>
    </w:p>
    <w:p w14:paraId="5296B03B" w14:textId="79F3B5CD" w:rsidR="00B42AC8" w:rsidRDefault="00B42AC8" w:rsidP="00B42AC8">
      <w:pPr>
        <w:pStyle w:val="DSNDSNumber"/>
      </w:pPr>
    </w:p>
    <w:p w14:paraId="159268AB" w14:textId="2CC630E1" w:rsidR="00B42AC8" w:rsidRDefault="00B42AC8" w:rsidP="00B42AC8">
      <w:pPr>
        <w:pStyle w:val="DSNDSNumber"/>
      </w:pPr>
    </w:p>
    <w:p w14:paraId="4A4DE986" w14:textId="77777777" w:rsidR="00B42AC8" w:rsidRDefault="00B42AC8" w:rsidP="00B42AC8">
      <w:pPr>
        <w:pStyle w:val="DSNDSNumber"/>
      </w:pPr>
    </w:p>
    <w:p w14:paraId="1EAFA1F8" w14:textId="306DDBB5" w:rsidR="00B42AC8" w:rsidRDefault="00B42AC8" w:rsidP="00B42AC8">
      <w:pPr>
        <w:pStyle w:val="DTDocumentTitle"/>
      </w:pPr>
      <w:r>
        <w:t>Australia's Integrated Executive Summary</w:t>
      </w:r>
    </w:p>
    <w:p w14:paraId="1142AC07" w14:textId="77777777" w:rsidR="00B42AC8" w:rsidRDefault="00B42AC8" w:rsidP="00B42AC8">
      <w:pPr>
        <w:pStyle w:val="DDDocumentDate"/>
      </w:pPr>
    </w:p>
    <w:p w14:paraId="176AD4C1" w14:textId="77777777" w:rsidR="00B42AC8" w:rsidRDefault="00B42AC8" w:rsidP="00B42AC8">
      <w:pPr>
        <w:pStyle w:val="DDDocumentDate"/>
      </w:pPr>
    </w:p>
    <w:p w14:paraId="151DFF92" w14:textId="77777777" w:rsidR="00B42AC8" w:rsidRDefault="00B42AC8" w:rsidP="00B42AC8">
      <w:pPr>
        <w:pStyle w:val="DDDocumentDate"/>
      </w:pPr>
    </w:p>
    <w:p w14:paraId="179A6509" w14:textId="77777777" w:rsidR="00B42AC8" w:rsidRDefault="00B42AC8" w:rsidP="00B42AC8">
      <w:pPr>
        <w:pStyle w:val="DDDocumentDate"/>
      </w:pPr>
    </w:p>
    <w:p w14:paraId="6776BBCB" w14:textId="77777777" w:rsidR="00B42AC8" w:rsidRDefault="00B42AC8" w:rsidP="00B42AC8">
      <w:pPr>
        <w:pStyle w:val="DDDocumentDate"/>
      </w:pPr>
    </w:p>
    <w:p w14:paraId="544677C7" w14:textId="77777777" w:rsidR="00B42AC8" w:rsidRDefault="00B42AC8" w:rsidP="00B42AC8">
      <w:pPr>
        <w:pStyle w:val="DDDocumentDate"/>
      </w:pPr>
    </w:p>
    <w:p w14:paraId="15ABFA77" w14:textId="77777777" w:rsidR="00B42AC8" w:rsidRDefault="00B42AC8" w:rsidP="00B42AC8">
      <w:pPr>
        <w:pStyle w:val="DDDocumentDate"/>
      </w:pPr>
    </w:p>
    <w:p w14:paraId="34CBA93D" w14:textId="77777777" w:rsidR="00B42AC8" w:rsidRDefault="00B42AC8" w:rsidP="00B42AC8">
      <w:pPr>
        <w:pStyle w:val="DDDocumentDate"/>
      </w:pPr>
    </w:p>
    <w:p w14:paraId="24865720" w14:textId="226C6E2E" w:rsidR="00B42AC8" w:rsidRDefault="00B42AC8" w:rsidP="00B42AC8">
      <w:pPr>
        <w:pStyle w:val="DDDocumentDate"/>
      </w:pPr>
      <w:r>
        <w:t>20 May 2021</w:t>
      </w:r>
    </w:p>
    <w:p w14:paraId="6B1112BC" w14:textId="77777777" w:rsidR="00006269" w:rsidRDefault="00006269" w:rsidP="00B42AC8">
      <w:pPr>
        <w:pStyle w:val="BTNSSBodyTextNoSpacingSmall"/>
        <w:rPr>
          <w:b/>
          <w:bCs/>
          <w:sz w:val="32"/>
          <w:szCs w:val="32"/>
        </w:rPr>
      </w:pPr>
    </w:p>
    <w:p w14:paraId="49892DBF" w14:textId="77777777" w:rsidR="00B42AC8" w:rsidRPr="0007327B" w:rsidRDefault="00B42AC8" w:rsidP="00B42AC8">
      <w:pPr>
        <w:pStyle w:val="BTNSSBodyTextNoSpacingSmall"/>
      </w:pPr>
    </w:p>
    <w:p w14:paraId="3956013A" w14:textId="77777777" w:rsidR="00F01A73" w:rsidRPr="0007327B" w:rsidRDefault="00F01A73" w:rsidP="00F01A73">
      <w:pPr>
        <w:pStyle w:val="BTNSSBodyTextNoSpacingSmall"/>
        <w:rPr>
          <w:sz w:val="2"/>
          <w:szCs w:val="2"/>
        </w:rPr>
      </w:pPr>
    </w:p>
    <w:sdt>
      <w:sdtPr>
        <w:rPr>
          <w:b w:val="0"/>
          <w:caps w:val="0"/>
          <w:sz w:val="8"/>
          <w:szCs w:val="8"/>
          <w:lang w:val="en-AU"/>
        </w:rPr>
        <w:id w:val="-1730524273"/>
        <w:docPartObj>
          <w:docPartGallery w:val="Table of Contents"/>
          <w:docPartUnique/>
        </w:docPartObj>
      </w:sdtPr>
      <w:sdtEndPr>
        <w:rPr>
          <w:bCs/>
        </w:rPr>
      </w:sdtEndPr>
      <w:sdtContent>
        <w:p w14:paraId="3379E91C" w14:textId="77777777" w:rsidR="00D47F18" w:rsidRPr="0007327B" w:rsidRDefault="00D47F18">
          <w:pPr>
            <w:pStyle w:val="TOCHeading"/>
            <w:rPr>
              <w:lang w:val="en-AU"/>
            </w:rPr>
          </w:pPr>
          <w:r w:rsidRPr="0007327B">
            <w:rPr>
              <w:lang w:val="en-AU"/>
            </w:rPr>
            <w:t>Table of Contents</w:t>
          </w:r>
        </w:p>
        <w:p w14:paraId="1E61D765" w14:textId="48DBBB25" w:rsidR="00210C36" w:rsidRDefault="00F945DB">
          <w:pPr>
            <w:pStyle w:val="TOC1"/>
            <w:rPr>
              <w:rFonts w:asciiTheme="minorHAnsi" w:eastAsiaTheme="minorEastAsia" w:hAnsiTheme="minorHAnsi"/>
              <w:b w:val="0"/>
              <w:caps w:val="0"/>
              <w:noProof/>
              <w:sz w:val="22"/>
              <w:szCs w:val="22"/>
              <w:lang w:eastAsia="en-AU"/>
            </w:rPr>
          </w:pPr>
          <w:r w:rsidRPr="0007327B">
            <w:fldChar w:fldCharType="begin"/>
          </w:r>
          <w:r w:rsidRPr="0007327B">
            <w:instrText xml:space="preserve"> TOC \o "1-5" \h \z \u </w:instrText>
          </w:r>
          <w:r w:rsidRPr="0007327B">
            <w:fldChar w:fldCharType="separate"/>
          </w:r>
          <w:hyperlink w:anchor="_Toc72430854" w:history="1">
            <w:r w:rsidR="00210C36" w:rsidRPr="00826B7F">
              <w:rPr>
                <w:rStyle w:val="Hyperlink"/>
                <w:noProof/>
              </w:rPr>
              <w:t>Table of Cases</w:t>
            </w:r>
            <w:r w:rsidR="00210C36">
              <w:rPr>
                <w:noProof/>
                <w:webHidden/>
              </w:rPr>
              <w:tab/>
            </w:r>
            <w:r w:rsidR="00210C36">
              <w:rPr>
                <w:noProof/>
                <w:webHidden/>
              </w:rPr>
              <w:fldChar w:fldCharType="begin"/>
            </w:r>
            <w:r w:rsidR="00210C36">
              <w:rPr>
                <w:noProof/>
                <w:webHidden/>
              </w:rPr>
              <w:instrText xml:space="preserve"> PAGEREF _Toc72430854 \h </w:instrText>
            </w:r>
            <w:r w:rsidR="00210C36">
              <w:rPr>
                <w:noProof/>
                <w:webHidden/>
              </w:rPr>
            </w:r>
            <w:r w:rsidR="00210C36">
              <w:rPr>
                <w:noProof/>
                <w:webHidden/>
              </w:rPr>
              <w:fldChar w:fldCharType="separate"/>
            </w:r>
            <w:r w:rsidR="00AC7864">
              <w:rPr>
                <w:noProof/>
                <w:webHidden/>
              </w:rPr>
              <w:t>iv</w:t>
            </w:r>
            <w:r w:rsidR="00210C36">
              <w:rPr>
                <w:noProof/>
                <w:webHidden/>
              </w:rPr>
              <w:fldChar w:fldCharType="end"/>
            </w:r>
          </w:hyperlink>
        </w:p>
        <w:p w14:paraId="2A90F60A" w14:textId="149F7E31" w:rsidR="00210C36" w:rsidRDefault="00092334">
          <w:pPr>
            <w:pStyle w:val="TOC1"/>
            <w:rPr>
              <w:rFonts w:asciiTheme="minorHAnsi" w:eastAsiaTheme="minorEastAsia" w:hAnsiTheme="minorHAnsi"/>
              <w:b w:val="0"/>
              <w:caps w:val="0"/>
              <w:noProof/>
              <w:sz w:val="22"/>
              <w:szCs w:val="22"/>
              <w:lang w:eastAsia="en-AU"/>
            </w:rPr>
          </w:pPr>
          <w:hyperlink w:anchor="_Toc72430855" w:history="1">
            <w:r w:rsidR="00210C36" w:rsidRPr="00826B7F">
              <w:rPr>
                <w:rStyle w:val="Hyperlink"/>
                <w:noProof/>
              </w:rPr>
              <w:t>List of Acronyms, Abbreviations and Short Forms</w:t>
            </w:r>
            <w:r w:rsidR="00210C36">
              <w:rPr>
                <w:noProof/>
                <w:webHidden/>
              </w:rPr>
              <w:tab/>
            </w:r>
            <w:r w:rsidR="00210C36">
              <w:rPr>
                <w:noProof/>
                <w:webHidden/>
              </w:rPr>
              <w:fldChar w:fldCharType="begin"/>
            </w:r>
            <w:r w:rsidR="00210C36">
              <w:rPr>
                <w:noProof/>
                <w:webHidden/>
              </w:rPr>
              <w:instrText xml:space="preserve"> PAGEREF _Toc72430855 \h </w:instrText>
            </w:r>
            <w:r w:rsidR="00210C36">
              <w:rPr>
                <w:noProof/>
                <w:webHidden/>
              </w:rPr>
            </w:r>
            <w:r w:rsidR="00210C36">
              <w:rPr>
                <w:noProof/>
                <w:webHidden/>
              </w:rPr>
              <w:fldChar w:fldCharType="separate"/>
            </w:r>
            <w:r w:rsidR="00AC7864">
              <w:rPr>
                <w:noProof/>
                <w:webHidden/>
              </w:rPr>
              <w:t>v</w:t>
            </w:r>
            <w:r w:rsidR="00210C36">
              <w:rPr>
                <w:noProof/>
                <w:webHidden/>
              </w:rPr>
              <w:fldChar w:fldCharType="end"/>
            </w:r>
          </w:hyperlink>
        </w:p>
        <w:p w14:paraId="163BA7E4" w14:textId="5F7D943D" w:rsidR="00210C36" w:rsidRDefault="00092334">
          <w:pPr>
            <w:pStyle w:val="TOC1"/>
            <w:rPr>
              <w:rFonts w:asciiTheme="minorHAnsi" w:eastAsiaTheme="minorEastAsia" w:hAnsiTheme="minorHAnsi"/>
              <w:b w:val="0"/>
              <w:caps w:val="0"/>
              <w:noProof/>
              <w:sz w:val="22"/>
              <w:szCs w:val="22"/>
              <w:lang w:eastAsia="en-AU"/>
            </w:rPr>
          </w:pPr>
          <w:hyperlink w:anchor="_Toc72430856" w:history="1">
            <w:r w:rsidR="00210C36" w:rsidRPr="00826B7F">
              <w:rPr>
                <w:rStyle w:val="Hyperlink"/>
                <w:noProof/>
              </w:rPr>
              <w:t>I.</w:t>
            </w:r>
            <w:r w:rsidR="00210C36">
              <w:rPr>
                <w:rFonts w:asciiTheme="minorHAnsi" w:eastAsiaTheme="minorEastAsia" w:hAnsiTheme="minorHAnsi"/>
                <w:b w:val="0"/>
                <w:caps w:val="0"/>
                <w:noProof/>
                <w:sz w:val="22"/>
                <w:szCs w:val="22"/>
                <w:lang w:eastAsia="en-AU"/>
              </w:rPr>
              <w:tab/>
            </w:r>
            <w:r w:rsidR="00210C36" w:rsidRPr="00826B7F">
              <w:rPr>
                <w:rStyle w:val="Hyperlink"/>
                <w:noProof/>
              </w:rPr>
              <w:t>INTRODUCTION</w:t>
            </w:r>
            <w:r w:rsidR="00210C36">
              <w:rPr>
                <w:noProof/>
                <w:webHidden/>
              </w:rPr>
              <w:tab/>
            </w:r>
            <w:r w:rsidR="00210C36">
              <w:rPr>
                <w:noProof/>
                <w:webHidden/>
              </w:rPr>
              <w:fldChar w:fldCharType="begin"/>
            </w:r>
            <w:r w:rsidR="00210C36">
              <w:rPr>
                <w:noProof/>
                <w:webHidden/>
              </w:rPr>
              <w:instrText xml:space="preserve"> PAGEREF _Toc72430856 \h </w:instrText>
            </w:r>
            <w:r w:rsidR="00210C36">
              <w:rPr>
                <w:noProof/>
                <w:webHidden/>
              </w:rPr>
            </w:r>
            <w:r w:rsidR="00210C36">
              <w:rPr>
                <w:noProof/>
                <w:webHidden/>
              </w:rPr>
              <w:fldChar w:fldCharType="separate"/>
            </w:r>
            <w:r w:rsidR="00AC7864">
              <w:rPr>
                <w:noProof/>
                <w:webHidden/>
              </w:rPr>
              <w:t>1</w:t>
            </w:r>
            <w:r w:rsidR="00210C36">
              <w:rPr>
                <w:noProof/>
                <w:webHidden/>
              </w:rPr>
              <w:fldChar w:fldCharType="end"/>
            </w:r>
          </w:hyperlink>
        </w:p>
        <w:p w14:paraId="09A48988" w14:textId="5298404A" w:rsidR="00210C36" w:rsidRDefault="00092334">
          <w:pPr>
            <w:pStyle w:val="TOC1"/>
            <w:rPr>
              <w:rFonts w:asciiTheme="minorHAnsi" w:eastAsiaTheme="minorEastAsia" w:hAnsiTheme="minorHAnsi"/>
              <w:b w:val="0"/>
              <w:caps w:val="0"/>
              <w:noProof/>
              <w:sz w:val="22"/>
              <w:szCs w:val="22"/>
              <w:lang w:eastAsia="en-AU"/>
            </w:rPr>
          </w:pPr>
          <w:hyperlink w:anchor="_Toc72430857" w:history="1">
            <w:r w:rsidR="00210C36" w:rsidRPr="00826B7F">
              <w:rPr>
                <w:rStyle w:val="Hyperlink"/>
                <w:noProof/>
              </w:rPr>
              <w:t>II.</w:t>
            </w:r>
            <w:r w:rsidR="00210C36">
              <w:rPr>
                <w:rFonts w:asciiTheme="minorHAnsi" w:eastAsiaTheme="minorEastAsia" w:hAnsiTheme="minorHAnsi"/>
                <w:b w:val="0"/>
                <w:caps w:val="0"/>
                <w:noProof/>
                <w:sz w:val="22"/>
                <w:szCs w:val="22"/>
                <w:lang w:eastAsia="en-AU"/>
              </w:rPr>
              <w:tab/>
            </w:r>
            <w:r w:rsidR="00210C36" w:rsidRPr="00826B7F">
              <w:rPr>
                <w:rStyle w:val="Hyperlink"/>
                <w:noProof/>
              </w:rPr>
              <w:t>measures at issue</w:t>
            </w:r>
            <w:r w:rsidR="00210C36">
              <w:rPr>
                <w:noProof/>
                <w:webHidden/>
              </w:rPr>
              <w:tab/>
            </w:r>
            <w:r w:rsidR="00210C36">
              <w:rPr>
                <w:noProof/>
                <w:webHidden/>
              </w:rPr>
              <w:fldChar w:fldCharType="begin"/>
            </w:r>
            <w:r w:rsidR="00210C36">
              <w:rPr>
                <w:noProof/>
                <w:webHidden/>
              </w:rPr>
              <w:instrText xml:space="preserve"> PAGEREF _Toc72430857 \h </w:instrText>
            </w:r>
            <w:r w:rsidR="00210C36">
              <w:rPr>
                <w:noProof/>
                <w:webHidden/>
              </w:rPr>
            </w:r>
            <w:r w:rsidR="00210C36">
              <w:rPr>
                <w:noProof/>
                <w:webHidden/>
              </w:rPr>
              <w:fldChar w:fldCharType="separate"/>
            </w:r>
            <w:r w:rsidR="00AC7864">
              <w:rPr>
                <w:noProof/>
                <w:webHidden/>
              </w:rPr>
              <w:t>1</w:t>
            </w:r>
            <w:r w:rsidR="00210C36">
              <w:rPr>
                <w:noProof/>
                <w:webHidden/>
              </w:rPr>
              <w:fldChar w:fldCharType="end"/>
            </w:r>
          </w:hyperlink>
        </w:p>
        <w:p w14:paraId="083CE6A0" w14:textId="045E5730" w:rsidR="00210C36" w:rsidRDefault="00092334">
          <w:pPr>
            <w:pStyle w:val="TOC2"/>
            <w:rPr>
              <w:rFonts w:asciiTheme="minorHAnsi" w:eastAsiaTheme="minorEastAsia" w:hAnsiTheme="minorHAnsi"/>
              <w:b w:val="0"/>
              <w:smallCaps w:val="0"/>
              <w:noProof/>
              <w:sz w:val="22"/>
              <w:szCs w:val="22"/>
              <w:lang w:eastAsia="en-AU"/>
            </w:rPr>
          </w:pPr>
          <w:hyperlink w:anchor="_Toc72430858" w:history="1">
            <w:r w:rsidR="00210C36" w:rsidRPr="00826B7F">
              <w:rPr>
                <w:rStyle w:val="Hyperlink"/>
                <w:noProof/>
              </w:rPr>
              <w:t>A.</w:t>
            </w:r>
            <w:r w:rsidR="00210C36">
              <w:rPr>
                <w:rFonts w:asciiTheme="minorHAnsi" w:eastAsiaTheme="minorEastAsia" w:hAnsiTheme="minorHAnsi"/>
                <w:b w:val="0"/>
                <w:smallCaps w:val="0"/>
                <w:noProof/>
                <w:sz w:val="22"/>
                <w:szCs w:val="22"/>
                <w:lang w:eastAsia="en-AU"/>
              </w:rPr>
              <w:tab/>
            </w:r>
            <w:r w:rsidR="00210C36" w:rsidRPr="00826B7F">
              <w:rPr>
                <w:rStyle w:val="Hyperlink"/>
                <w:noProof/>
              </w:rPr>
              <w:t>Domestic support</w:t>
            </w:r>
            <w:r w:rsidR="00210C36">
              <w:rPr>
                <w:noProof/>
                <w:webHidden/>
              </w:rPr>
              <w:tab/>
            </w:r>
            <w:r w:rsidR="00210C36">
              <w:rPr>
                <w:noProof/>
                <w:webHidden/>
              </w:rPr>
              <w:fldChar w:fldCharType="begin"/>
            </w:r>
            <w:r w:rsidR="00210C36">
              <w:rPr>
                <w:noProof/>
                <w:webHidden/>
              </w:rPr>
              <w:instrText xml:space="preserve"> PAGEREF _Toc72430858 \h </w:instrText>
            </w:r>
            <w:r w:rsidR="00210C36">
              <w:rPr>
                <w:noProof/>
                <w:webHidden/>
              </w:rPr>
            </w:r>
            <w:r w:rsidR="00210C36">
              <w:rPr>
                <w:noProof/>
                <w:webHidden/>
              </w:rPr>
              <w:fldChar w:fldCharType="separate"/>
            </w:r>
            <w:r w:rsidR="00AC7864">
              <w:rPr>
                <w:noProof/>
                <w:webHidden/>
              </w:rPr>
              <w:t>1</w:t>
            </w:r>
            <w:r w:rsidR="00210C36">
              <w:rPr>
                <w:noProof/>
                <w:webHidden/>
              </w:rPr>
              <w:fldChar w:fldCharType="end"/>
            </w:r>
          </w:hyperlink>
        </w:p>
        <w:p w14:paraId="23682ECA" w14:textId="64832F2D" w:rsidR="00210C36" w:rsidRDefault="00092334">
          <w:pPr>
            <w:pStyle w:val="TOC3"/>
            <w:rPr>
              <w:rFonts w:asciiTheme="minorHAnsi" w:eastAsiaTheme="minorEastAsia" w:hAnsiTheme="minorHAnsi"/>
              <w:b w:val="0"/>
              <w:noProof/>
              <w:sz w:val="22"/>
              <w:szCs w:val="22"/>
              <w:lang w:eastAsia="en-AU"/>
            </w:rPr>
          </w:pPr>
          <w:hyperlink w:anchor="_Toc72430859" w:history="1">
            <w:r w:rsidR="00210C36" w:rsidRPr="00826B7F">
              <w:rPr>
                <w:rStyle w:val="Hyperlink"/>
                <w:noProof/>
              </w:rPr>
              <w:t>1.</w:t>
            </w:r>
            <w:r w:rsidR="00210C36">
              <w:rPr>
                <w:rFonts w:asciiTheme="minorHAnsi" w:eastAsiaTheme="minorEastAsia" w:hAnsiTheme="minorHAnsi"/>
                <w:b w:val="0"/>
                <w:noProof/>
                <w:sz w:val="22"/>
                <w:szCs w:val="22"/>
                <w:lang w:eastAsia="en-AU"/>
              </w:rPr>
              <w:tab/>
            </w:r>
            <w:r w:rsidR="00210C36" w:rsidRPr="00826B7F">
              <w:rPr>
                <w:rStyle w:val="Hyperlink"/>
                <w:noProof/>
              </w:rPr>
              <w:t>Fair and Remunerative Price</w:t>
            </w:r>
            <w:r w:rsidR="00210C36">
              <w:rPr>
                <w:noProof/>
                <w:webHidden/>
              </w:rPr>
              <w:tab/>
            </w:r>
            <w:r w:rsidR="00210C36">
              <w:rPr>
                <w:noProof/>
                <w:webHidden/>
              </w:rPr>
              <w:fldChar w:fldCharType="begin"/>
            </w:r>
            <w:r w:rsidR="00210C36">
              <w:rPr>
                <w:noProof/>
                <w:webHidden/>
              </w:rPr>
              <w:instrText xml:space="preserve"> PAGEREF _Toc72430859 \h </w:instrText>
            </w:r>
            <w:r w:rsidR="00210C36">
              <w:rPr>
                <w:noProof/>
                <w:webHidden/>
              </w:rPr>
            </w:r>
            <w:r w:rsidR="00210C36">
              <w:rPr>
                <w:noProof/>
                <w:webHidden/>
              </w:rPr>
              <w:fldChar w:fldCharType="separate"/>
            </w:r>
            <w:r w:rsidR="00AC7864">
              <w:rPr>
                <w:noProof/>
                <w:webHidden/>
              </w:rPr>
              <w:t>1</w:t>
            </w:r>
            <w:r w:rsidR="00210C36">
              <w:rPr>
                <w:noProof/>
                <w:webHidden/>
              </w:rPr>
              <w:fldChar w:fldCharType="end"/>
            </w:r>
          </w:hyperlink>
        </w:p>
        <w:p w14:paraId="6ED7CABB" w14:textId="312A0E74" w:rsidR="00210C36" w:rsidRDefault="00092334">
          <w:pPr>
            <w:pStyle w:val="TOC3"/>
            <w:rPr>
              <w:rFonts w:asciiTheme="minorHAnsi" w:eastAsiaTheme="minorEastAsia" w:hAnsiTheme="minorHAnsi"/>
              <w:b w:val="0"/>
              <w:noProof/>
              <w:sz w:val="22"/>
              <w:szCs w:val="22"/>
              <w:lang w:eastAsia="en-AU"/>
            </w:rPr>
          </w:pPr>
          <w:hyperlink w:anchor="_Toc72430860" w:history="1">
            <w:r w:rsidR="00210C36" w:rsidRPr="00826B7F">
              <w:rPr>
                <w:rStyle w:val="Hyperlink"/>
                <w:noProof/>
              </w:rPr>
              <w:t>2.</w:t>
            </w:r>
            <w:r w:rsidR="00210C36">
              <w:rPr>
                <w:rFonts w:asciiTheme="minorHAnsi" w:eastAsiaTheme="minorEastAsia" w:hAnsiTheme="minorHAnsi"/>
                <w:b w:val="0"/>
                <w:noProof/>
                <w:sz w:val="22"/>
                <w:szCs w:val="22"/>
                <w:lang w:eastAsia="en-AU"/>
              </w:rPr>
              <w:tab/>
            </w:r>
            <w:r w:rsidR="00210C36" w:rsidRPr="00826B7F">
              <w:rPr>
                <w:rStyle w:val="Hyperlink"/>
                <w:noProof/>
              </w:rPr>
              <w:t>State Advised Prices</w:t>
            </w:r>
            <w:r w:rsidR="00210C36">
              <w:rPr>
                <w:noProof/>
                <w:webHidden/>
              </w:rPr>
              <w:tab/>
            </w:r>
            <w:r w:rsidR="00210C36">
              <w:rPr>
                <w:noProof/>
                <w:webHidden/>
              </w:rPr>
              <w:fldChar w:fldCharType="begin"/>
            </w:r>
            <w:r w:rsidR="00210C36">
              <w:rPr>
                <w:noProof/>
                <w:webHidden/>
              </w:rPr>
              <w:instrText xml:space="preserve"> PAGEREF _Toc72430860 \h </w:instrText>
            </w:r>
            <w:r w:rsidR="00210C36">
              <w:rPr>
                <w:noProof/>
                <w:webHidden/>
              </w:rPr>
            </w:r>
            <w:r w:rsidR="00210C36">
              <w:rPr>
                <w:noProof/>
                <w:webHidden/>
              </w:rPr>
              <w:fldChar w:fldCharType="separate"/>
            </w:r>
            <w:r w:rsidR="00AC7864">
              <w:rPr>
                <w:noProof/>
                <w:webHidden/>
              </w:rPr>
              <w:t>2</w:t>
            </w:r>
            <w:r w:rsidR="00210C36">
              <w:rPr>
                <w:noProof/>
                <w:webHidden/>
              </w:rPr>
              <w:fldChar w:fldCharType="end"/>
            </w:r>
          </w:hyperlink>
        </w:p>
        <w:p w14:paraId="67894F7B" w14:textId="0856B25D" w:rsidR="00210C36" w:rsidRDefault="00092334">
          <w:pPr>
            <w:pStyle w:val="TOC3"/>
            <w:rPr>
              <w:rFonts w:asciiTheme="minorHAnsi" w:eastAsiaTheme="minorEastAsia" w:hAnsiTheme="minorHAnsi"/>
              <w:b w:val="0"/>
              <w:noProof/>
              <w:sz w:val="22"/>
              <w:szCs w:val="22"/>
              <w:lang w:eastAsia="en-AU"/>
            </w:rPr>
          </w:pPr>
          <w:hyperlink w:anchor="_Toc72430861" w:history="1">
            <w:r w:rsidR="00210C36" w:rsidRPr="00826B7F">
              <w:rPr>
                <w:rStyle w:val="Hyperlink"/>
                <w:noProof/>
              </w:rPr>
              <w:t>3.</w:t>
            </w:r>
            <w:r w:rsidR="00210C36">
              <w:rPr>
                <w:rFonts w:asciiTheme="minorHAnsi" w:eastAsiaTheme="minorEastAsia" w:hAnsiTheme="minorHAnsi"/>
                <w:b w:val="0"/>
                <w:noProof/>
                <w:sz w:val="22"/>
                <w:szCs w:val="22"/>
                <w:lang w:eastAsia="en-AU"/>
              </w:rPr>
              <w:tab/>
            </w:r>
            <w:r w:rsidR="00210C36" w:rsidRPr="00826B7F">
              <w:rPr>
                <w:rStyle w:val="Hyperlink"/>
                <w:noProof/>
              </w:rPr>
              <w:t>Other State-level programmes</w:t>
            </w:r>
            <w:r w:rsidR="00210C36">
              <w:rPr>
                <w:noProof/>
                <w:webHidden/>
              </w:rPr>
              <w:tab/>
            </w:r>
            <w:r w:rsidR="00210C36">
              <w:rPr>
                <w:noProof/>
                <w:webHidden/>
              </w:rPr>
              <w:fldChar w:fldCharType="begin"/>
            </w:r>
            <w:r w:rsidR="00210C36">
              <w:rPr>
                <w:noProof/>
                <w:webHidden/>
              </w:rPr>
              <w:instrText xml:space="preserve"> PAGEREF _Toc72430861 \h </w:instrText>
            </w:r>
            <w:r w:rsidR="00210C36">
              <w:rPr>
                <w:noProof/>
                <w:webHidden/>
              </w:rPr>
            </w:r>
            <w:r w:rsidR="00210C36">
              <w:rPr>
                <w:noProof/>
                <w:webHidden/>
              </w:rPr>
              <w:fldChar w:fldCharType="separate"/>
            </w:r>
            <w:r w:rsidR="00AC7864">
              <w:rPr>
                <w:noProof/>
                <w:webHidden/>
              </w:rPr>
              <w:t>2</w:t>
            </w:r>
            <w:r w:rsidR="00210C36">
              <w:rPr>
                <w:noProof/>
                <w:webHidden/>
              </w:rPr>
              <w:fldChar w:fldCharType="end"/>
            </w:r>
          </w:hyperlink>
        </w:p>
        <w:p w14:paraId="19BB2316" w14:textId="419A6A39" w:rsidR="00210C36" w:rsidRDefault="00092334">
          <w:pPr>
            <w:pStyle w:val="TOC4"/>
            <w:rPr>
              <w:rFonts w:asciiTheme="minorHAnsi" w:eastAsiaTheme="minorEastAsia" w:hAnsiTheme="minorHAnsi"/>
              <w:noProof/>
              <w:sz w:val="22"/>
              <w:szCs w:val="22"/>
              <w:u w:val="none"/>
              <w:lang w:eastAsia="en-AU"/>
            </w:rPr>
          </w:pPr>
          <w:hyperlink w:anchor="_Toc72430862" w:history="1">
            <w:r w:rsidR="00210C36" w:rsidRPr="00826B7F">
              <w:rPr>
                <w:rStyle w:val="Hyperlink"/>
                <w:noProof/>
              </w:rPr>
              <w:t>(a)</w:t>
            </w:r>
            <w:r w:rsidR="00210C36">
              <w:rPr>
                <w:rFonts w:asciiTheme="minorHAnsi" w:eastAsiaTheme="minorEastAsia" w:hAnsiTheme="minorHAnsi"/>
                <w:noProof/>
                <w:sz w:val="22"/>
                <w:szCs w:val="22"/>
                <w:u w:val="none"/>
                <w:lang w:eastAsia="en-AU"/>
              </w:rPr>
              <w:tab/>
            </w:r>
            <w:r w:rsidR="00210C36" w:rsidRPr="00826B7F">
              <w:rPr>
                <w:rStyle w:val="Hyperlink"/>
                <w:noProof/>
              </w:rPr>
              <w:t>Andhra Pradesh: Purchase tax remittance</w:t>
            </w:r>
            <w:r w:rsidR="00210C36">
              <w:rPr>
                <w:noProof/>
                <w:webHidden/>
              </w:rPr>
              <w:tab/>
            </w:r>
            <w:r w:rsidR="00210C36">
              <w:rPr>
                <w:noProof/>
                <w:webHidden/>
              </w:rPr>
              <w:fldChar w:fldCharType="begin"/>
            </w:r>
            <w:r w:rsidR="00210C36">
              <w:rPr>
                <w:noProof/>
                <w:webHidden/>
              </w:rPr>
              <w:instrText xml:space="preserve"> PAGEREF _Toc72430862 \h </w:instrText>
            </w:r>
            <w:r w:rsidR="00210C36">
              <w:rPr>
                <w:noProof/>
                <w:webHidden/>
              </w:rPr>
            </w:r>
            <w:r w:rsidR="00210C36">
              <w:rPr>
                <w:noProof/>
                <w:webHidden/>
              </w:rPr>
              <w:fldChar w:fldCharType="separate"/>
            </w:r>
            <w:r w:rsidR="00AC7864">
              <w:rPr>
                <w:noProof/>
                <w:webHidden/>
              </w:rPr>
              <w:t>2</w:t>
            </w:r>
            <w:r w:rsidR="00210C36">
              <w:rPr>
                <w:noProof/>
                <w:webHidden/>
              </w:rPr>
              <w:fldChar w:fldCharType="end"/>
            </w:r>
          </w:hyperlink>
        </w:p>
        <w:p w14:paraId="3B3DD111" w14:textId="34F9C01F" w:rsidR="00210C36" w:rsidRDefault="00092334">
          <w:pPr>
            <w:pStyle w:val="TOC4"/>
            <w:rPr>
              <w:rFonts w:asciiTheme="minorHAnsi" w:eastAsiaTheme="minorEastAsia" w:hAnsiTheme="minorHAnsi"/>
              <w:noProof/>
              <w:sz w:val="22"/>
              <w:szCs w:val="22"/>
              <w:u w:val="none"/>
              <w:lang w:eastAsia="en-AU"/>
            </w:rPr>
          </w:pPr>
          <w:hyperlink w:anchor="_Toc72430863" w:history="1">
            <w:r w:rsidR="00210C36" w:rsidRPr="00826B7F">
              <w:rPr>
                <w:rStyle w:val="Hyperlink"/>
                <w:noProof/>
              </w:rPr>
              <w:t>(b)</w:t>
            </w:r>
            <w:r w:rsidR="00210C36">
              <w:rPr>
                <w:rFonts w:asciiTheme="minorHAnsi" w:eastAsiaTheme="minorEastAsia" w:hAnsiTheme="minorHAnsi"/>
                <w:noProof/>
                <w:sz w:val="22"/>
                <w:szCs w:val="22"/>
                <w:u w:val="none"/>
                <w:lang w:eastAsia="en-AU"/>
              </w:rPr>
              <w:tab/>
            </w:r>
            <w:r w:rsidR="00210C36" w:rsidRPr="00826B7F">
              <w:rPr>
                <w:rStyle w:val="Hyperlink"/>
                <w:noProof/>
              </w:rPr>
              <w:t>Karnataka: Incentive price payment</w:t>
            </w:r>
            <w:r w:rsidR="00210C36">
              <w:rPr>
                <w:noProof/>
                <w:webHidden/>
              </w:rPr>
              <w:tab/>
            </w:r>
            <w:r w:rsidR="00210C36">
              <w:rPr>
                <w:noProof/>
                <w:webHidden/>
              </w:rPr>
              <w:fldChar w:fldCharType="begin"/>
            </w:r>
            <w:r w:rsidR="00210C36">
              <w:rPr>
                <w:noProof/>
                <w:webHidden/>
              </w:rPr>
              <w:instrText xml:space="preserve"> PAGEREF _Toc72430863 \h </w:instrText>
            </w:r>
            <w:r w:rsidR="00210C36">
              <w:rPr>
                <w:noProof/>
                <w:webHidden/>
              </w:rPr>
            </w:r>
            <w:r w:rsidR="00210C36">
              <w:rPr>
                <w:noProof/>
                <w:webHidden/>
              </w:rPr>
              <w:fldChar w:fldCharType="separate"/>
            </w:r>
            <w:r w:rsidR="00AC7864">
              <w:rPr>
                <w:noProof/>
                <w:webHidden/>
              </w:rPr>
              <w:t>3</w:t>
            </w:r>
            <w:r w:rsidR="00210C36">
              <w:rPr>
                <w:noProof/>
                <w:webHidden/>
              </w:rPr>
              <w:fldChar w:fldCharType="end"/>
            </w:r>
          </w:hyperlink>
        </w:p>
        <w:p w14:paraId="4D8A5D5B" w14:textId="411E1CA6" w:rsidR="00210C36" w:rsidRDefault="00092334">
          <w:pPr>
            <w:pStyle w:val="TOC4"/>
            <w:rPr>
              <w:rFonts w:asciiTheme="minorHAnsi" w:eastAsiaTheme="minorEastAsia" w:hAnsiTheme="minorHAnsi"/>
              <w:noProof/>
              <w:sz w:val="22"/>
              <w:szCs w:val="22"/>
              <w:u w:val="none"/>
              <w:lang w:eastAsia="en-AU"/>
            </w:rPr>
          </w:pPr>
          <w:hyperlink w:anchor="_Toc72430864" w:history="1">
            <w:r w:rsidR="00210C36" w:rsidRPr="00826B7F">
              <w:rPr>
                <w:rStyle w:val="Hyperlink"/>
                <w:noProof/>
              </w:rPr>
              <w:t>(c)</w:t>
            </w:r>
            <w:r w:rsidR="00210C36">
              <w:rPr>
                <w:rFonts w:asciiTheme="minorHAnsi" w:eastAsiaTheme="minorEastAsia" w:hAnsiTheme="minorHAnsi"/>
                <w:noProof/>
                <w:sz w:val="22"/>
                <w:szCs w:val="22"/>
                <w:u w:val="none"/>
                <w:lang w:eastAsia="en-AU"/>
              </w:rPr>
              <w:tab/>
            </w:r>
            <w:r w:rsidR="00210C36" w:rsidRPr="00826B7F">
              <w:rPr>
                <w:rStyle w:val="Hyperlink"/>
                <w:noProof/>
              </w:rPr>
              <w:t>Tamil Nadu: Production incentive payment</w:t>
            </w:r>
            <w:r w:rsidR="00210C36">
              <w:rPr>
                <w:noProof/>
                <w:webHidden/>
              </w:rPr>
              <w:tab/>
            </w:r>
            <w:r w:rsidR="00210C36">
              <w:rPr>
                <w:noProof/>
                <w:webHidden/>
              </w:rPr>
              <w:fldChar w:fldCharType="begin"/>
            </w:r>
            <w:r w:rsidR="00210C36">
              <w:rPr>
                <w:noProof/>
                <w:webHidden/>
              </w:rPr>
              <w:instrText xml:space="preserve"> PAGEREF _Toc72430864 \h </w:instrText>
            </w:r>
            <w:r w:rsidR="00210C36">
              <w:rPr>
                <w:noProof/>
                <w:webHidden/>
              </w:rPr>
            </w:r>
            <w:r w:rsidR="00210C36">
              <w:rPr>
                <w:noProof/>
                <w:webHidden/>
              </w:rPr>
              <w:fldChar w:fldCharType="separate"/>
            </w:r>
            <w:r w:rsidR="00AC7864">
              <w:rPr>
                <w:noProof/>
                <w:webHidden/>
              </w:rPr>
              <w:t>3</w:t>
            </w:r>
            <w:r w:rsidR="00210C36">
              <w:rPr>
                <w:noProof/>
                <w:webHidden/>
              </w:rPr>
              <w:fldChar w:fldCharType="end"/>
            </w:r>
          </w:hyperlink>
        </w:p>
        <w:p w14:paraId="502C4047" w14:textId="4ED000D7" w:rsidR="00210C36" w:rsidRDefault="00092334">
          <w:pPr>
            <w:pStyle w:val="TOC3"/>
            <w:rPr>
              <w:rFonts w:asciiTheme="minorHAnsi" w:eastAsiaTheme="minorEastAsia" w:hAnsiTheme="minorHAnsi"/>
              <w:b w:val="0"/>
              <w:noProof/>
              <w:sz w:val="22"/>
              <w:szCs w:val="22"/>
              <w:lang w:eastAsia="en-AU"/>
            </w:rPr>
          </w:pPr>
          <w:hyperlink w:anchor="_Toc72430865" w:history="1">
            <w:r w:rsidR="00210C36" w:rsidRPr="00826B7F">
              <w:rPr>
                <w:rStyle w:val="Hyperlink"/>
                <w:noProof/>
              </w:rPr>
              <w:t>4.</w:t>
            </w:r>
            <w:r w:rsidR="00210C36">
              <w:rPr>
                <w:rFonts w:asciiTheme="minorHAnsi" w:eastAsiaTheme="minorEastAsia" w:hAnsiTheme="minorHAnsi"/>
                <w:b w:val="0"/>
                <w:noProof/>
                <w:sz w:val="22"/>
                <w:szCs w:val="22"/>
                <w:lang w:eastAsia="en-AU"/>
              </w:rPr>
              <w:tab/>
            </w:r>
            <w:r w:rsidR="00210C36" w:rsidRPr="00826B7F">
              <w:rPr>
                <w:rStyle w:val="Hyperlink"/>
                <w:noProof/>
              </w:rPr>
              <w:t>Other measures involving payments to maintain the FRP and SAPs</w:t>
            </w:r>
            <w:r w:rsidR="00210C36">
              <w:rPr>
                <w:noProof/>
                <w:webHidden/>
              </w:rPr>
              <w:tab/>
            </w:r>
            <w:r w:rsidR="00210C36">
              <w:rPr>
                <w:noProof/>
                <w:webHidden/>
              </w:rPr>
              <w:fldChar w:fldCharType="begin"/>
            </w:r>
            <w:r w:rsidR="00210C36">
              <w:rPr>
                <w:noProof/>
                <w:webHidden/>
              </w:rPr>
              <w:instrText xml:space="preserve"> PAGEREF _Toc72430865 \h </w:instrText>
            </w:r>
            <w:r w:rsidR="00210C36">
              <w:rPr>
                <w:noProof/>
                <w:webHidden/>
              </w:rPr>
            </w:r>
            <w:r w:rsidR="00210C36">
              <w:rPr>
                <w:noProof/>
                <w:webHidden/>
              </w:rPr>
              <w:fldChar w:fldCharType="separate"/>
            </w:r>
            <w:r w:rsidR="00AC7864">
              <w:rPr>
                <w:noProof/>
                <w:webHidden/>
              </w:rPr>
              <w:t>3</w:t>
            </w:r>
            <w:r w:rsidR="00210C36">
              <w:rPr>
                <w:noProof/>
                <w:webHidden/>
              </w:rPr>
              <w:fldChar w:fldCharType="end"/>
            </w:r>
          </w:hyperlink>
        </w:p>
        <w:p w14:paraId="4CAAC3ED" w14:textId="1C9A0043" w:rsidR="00210C36" w:rsidRDefault="00092334">
          <w:pPr>
            <w:pStyle w:val="TOC2"/>
            <w:rPr>
              <w:rFonts w:asciiTheme="minorHAnsi" w:eastAsiaTheme="minorEastAsia" w:hAnsiTheme="minorHAnsi"/>
              <w:b w:val="0"/>
              <w:smallCaps w:val="0"/>
              <w:noProof/>
              <w:sz w:val="22"/>
              <w:szCs w:val="22"/>
              <w:lang w:eastAsia="en-AU"/>
            </w:rPr>
          </w:pPr>
          <w:hyperlink w:anchor="_Toc72430866" w:history="1">
            <w:r w:rsidR="00210C36" w:rsidRPr="00826B7F">
              <w:rPr>
                <w:rStyle w:val="Hyperlink"/>
                <w:noProof/>
              </w:rPr>
              <w:t>B.</w:t>
            </w:r>
            <w:r w:rsidR="00210C36">
              <w:rPr>
                <w:rFonts w:asciiTheme="minorHAnsi" w:eastAsiaTheme="minorEastAsia" w:hAnsiTheme="minorHAnsi"/>
                <w:b w:val="0"/>
                <w:smallCaps w:val="0"/>
                <w:noProof/>
                <w:sz w:val="22"/>
                <w:szCs w:val="22"/>
                <w:lang w:eastAsia="en-AU"/>
              </w:rPr>
              <w:tab/>
            </w:r>
            <w:r w:rsidR="00210C36" w:rsidRPr="00826B7F">
              <w:rPr>
                <w:rStyle w:val="Hyperlink"/>
                <w:noProof/>
              </w:rPr>
              <w:t>Export subsidies</w:t>
            </w:r>
            <w:r w:rsidR="00210C36">
              <w:rPr>
                <w:noProof/>
                <w:webHidden/>
              </w:rPr>
              <w:tab/>
            </w:r>
            <w:r w:rsidR="00210C36">
              <w:rPr>
                <w:noProof/>
                <w:webHidden/>
              </w:rPr>
              <w:fldChar w:fldCharType="begin"/>
            </w:r>
            <w:r w:rsidR="00210C36">
              <w:rPr>
                <w:noProof/>
                <w:webHidden/>
              </w:rPr>
              <w:instrText xml:space="preserve"> PAGEREF _Toc72430866 \h </w:instrText>
            </w:r>
            <w:r w:rsidR="00210C36">
              <w:rPr>
                <w:noProof/>
                <w:webHidden/>
              </w:rPr>
            </w:r>
            <w:r w:rsidR="00210C36">
              <w:rPr>
                <w:noProof/>
                <w:webHidden/>
              </w:rPr>
              <w:fldChar w:fldCharType="separate"/>
            </w:r>
            <w:r w:rsidR="00AC7864">
              <w:rPr>
                <w:noProof/>
                <w:webHidden/>
              </w:rPr>
              <w:t>4</w:t>
            </w:r>
            <w:r w:rsidR="00210C36">
              <w:rPr>
                <w:noProof/>
                <w:webHidden/>
              </w:rPr>
              <w:fldChar w:fldCharType="end"/>
            </w:r>
          </w:hyperlink>
        </w:p>
        <w:p w14:paraId="4E2B36A9" w14:textId="79B748F9" w:rsidR="00210C36" w:rsidRDefault="00092334">
          <w:pPr>
            <w:pStyle w:val="TOC3"/>
            <w:rPr>
              <w:rFonts w:asciiTheme="minorHAnsi" w:eastAsiaTheme="minorEastAsia" w:hAnsiTheme="minorHAnsi"/>
              <w:b w:val="0"/>
              <w:noProof/>
              <w:sz w:val="22"/>
              <w:szCs w:val="22"/>
              <w:lang w:eastAsia="en-AU"/>
            </w:rPr>
          </w:pPr>
          <w:hyperlink w:anchor="_Toc72430867" w:history="1">
            <w:r w:rsidR="00210C36" w:rsidRPr="00826B7F">
              <w:rPr>
                <w:rStyle w:val="Hyperlink"/>
                <w:noProof/>
              </w:rPr>
              <w:t>1.</w:t>
            </w:r>
            <w:r w:rsidR="00210C36">
              <w:rPr>
                <w:rFonts w:asciiTheme="minorHAnsi" w:eastAsiaTheme="minorEastAsia" w:hAnsiTheme="minorHAnsi"/>
                <w:b w:val="0"/>
                <w:noProof/>
                <w:sz w:val="22"/>
                <w:szCs w:val="22"/>
                <w:lang w:eastAsia="en-AU"/>
              </w:rPr>
              <w:tab/>
            </w:r>
            <w:r w:rsidR="00210C36" w:rsidRPr="00826B7F">
              <w:rPr>
                <w:rStyle w:val="Hyperlink"/>
                <w:noProof/>
              </w:rPr>
              <w:t>Production subsidy schemes operating in conjunction with Minimum Indicative Export Quota orders</w:t>
            </w:r>
            <w:r w:rsidR="00210C36">
              <w:rPr>
                <w:noProof/>
                <w:webHidden/>
              </w:rPr>
              <w:tab/>
            </w:r>
            <w:r w:rsidR="00210C36">
              <w:rPr>
                <w:noProof/>
                <w:webHidden/>
              </w:rPr>
              <w:fldChar w:fldCharType="begin"/>
            </w:r>
            <w:r w:rsidR="00210C36">
              <w:rPr>
                <w:noProof/>
                <w:webHidden/>
              </w:rPr>
              <w:instrText xml:space="preserve"> PAGEREF _Toc72430867 \h </w:instrText>
            </w:r>
            <w:r w:rsidR="00210C36">
              <w:rPr>
                <w:noProof/>
                <w:webHidden/>
              </w:rPr>
            </w:r>
            <w:r w:rsidR="00210C36">
              <w:rPr>
                <w:noProof/>
                <w:webHidden/>
              </w:rPr>
              <w:fldChar w:fldCharType="separate"/>
            </w:r>
            <w:r w:rsidR="00AC7864">
              <w:rPr>
                <w:noProof/>
                <w:webHidden/>
              </w:rPr>
              <w:t>4</w:t>
            </w:r>
            <w:r w:rsidR="00210C36">
              <w:rPr>
                <w:noProof/>
                <w:webHidden/>
              </w:rPr>
              <w:fldChar w:fldCharType="end"/>
            </w:r>
          </w:hyperlink>
        </w:p>
        <w:p w14:paraId="6ADCC9E2" w14:textId="0D3FFE70" w:rsidR="00210C36" w:rsidRDefault="00092334">
          <w:pPr>
            <w:pStyle w:val="TOC3"/>
            <w:rPr>
              <w:rFonts w:asciiTheme="minorHAnsi" w:eastAsiaTheme="minorEastAsia" w:hAnsiTheme="minorHAnsi"/>
              <w:b w:val="0"/>
              <w:noProof/>
              <w:sz w:val="22"/>
              <w:szCs w:val="22"/>
              <w:lang w:eastAsia="en-AU"/>
            </w:rPr>
          </w:pPr>
          <w:hyperlink w:anchor="_Toc72430868" w:history="1">
            <w:r w:rsidR="00210C36" w:rsidRPr="00826B7F">
              <w:rPr>
                <w:rStyle w:val="Hyperlink"/>
                <w:noProof/>
              </w:rPr>
              <w:t>2.</w:t>
            </w:r>
            <w:r w:rsidR="00210C36">
              <w:rPr>
                <w:rFonts w:asciiTheme="minorHAnsi" w:eastAsiaTheme="minorEastAsia" w:hAnsiTheme="minorHAnsi"/>
                <w:b w:val="0"/>
                <w:noProof/>
                <w:sz w:val="22"/>
                <w:szCs w:val="22"/>
                <w:lang w:eastAsia="en-AU"/>
              </w:rPr>
              <w:tab/>
            </w:r>
            <w:r w:rsidR="00210C36" w:rsidRPr="00826B7F">
              <w:rPr>
                <w:rStyle w:val="Hyperlink"/>
                <w:noProof/>
              </w:rPr>
              <w:t>Buffer stock subsidy schemes operating in conjunction with Minimum Indicative Export Quota orders</w:t>
            </w:r>
            <w:r w:rsidR="00210C36">
              <w:rPr>
                <w:noProof/>
                <w:webHidden/>
              </w:rPr>
              <w:tab/>
            </w:r>
            <w:r w:rsidR="00210C36">
              <w:rPr>
                <w:noProof/>
                <w:webHidden/>
              </w:rPr>
              <w:fldChar w:fldCharType="begin"/>
            </w:r>
            <w:r w:rsidR="00210C36">
              <w:rPr>
                <w:noProof/>
                <w:webHidden/>
              </w:rPr>
              <w:instrText xml:space="preserve"> PAGEREF _Toc72430868 \h </w:instrText>
            </w:r>
            <w:r w:rsidR="00210C36">
              <w:rPr>
                <w:noProof/>
                <w:webHidden/>
              </w:rPr>
            </w:r>
            <w:r w:rsidR="00210C36">
              <w:rPr>
                <w:noProof/>
                <w:webHidden/>
              </w:rPr>
              <w:fldChar w:fldCharType="separate"/>
            </w:r>
            <w:r w:rsidR="00AC7864">
              <w:rPr>
                <w:noProof/>
                <w:webHidden/>
              </w:rPr>
              <w:t>4</w:t>
            </w:r>
            <w:r w:rsidR="00210C36">
              <w:rPr>
                <w:noProof/>
                <w:webHidden/>
              </w:rPr>
              <w:fldChar w:fldCharType="end"/>
            </w:r>
          </w:hyperlink>
        </w:p>
        <w:p w14:paraId="3339D0CC" w14:textId="7E5CE6C3" w:rsidR="00210C36" w:rsidRDefault="00092334">
          <w:pPr>
            <w:pStyle w:val="TOC3"/>
            <w:rPr>
              <w:rFonts w:asciiTheme="minorHAnsi" w:eastAsiaTheme="minorEastAsia" w:hAnsiTheme="minorHAnsi"/>
              <w:b w:val="0"/>
              <w:noProof/>
              <w:sz w:val="22"/>
              <w:szCs w:val="22"/>
              <w:lang w:eastAsia="en-AU"/>
            </w:rPr>
          </w:pPr>
          <w:hyperlink w:anchor="_Toc72430869" w:history="1">
            <w:r w:rsidR="00210C36" w:rsidRPr="00826B7F">
              <w:rPr>
                <w:rStyle w:val="Hyperlink"/>
                <w:noProof/>
              </w:rPr>
              <w:t>3.</w:t>
            </w:r>
            <w:r w:rsidR="00210C36">
              <w:rPr>
                <w:rFonts w:asciiTheme="minorHAnsi" w:eastAsiaTheme="minorEastAsia" w:hAnsiTheme="minorHAnsi"/>
                <w:b w:val="0"/>
                <w:noProof/>
                <w:sz w:val="22"/>
                <w:szCs w:val="22"/>
                <w:lang w:eastAsia="en-AU"/>
              </w:rPr>
              <w:tab/>
            </w:r>
            <w:r w:rsidR="00210C36" w:rsidRPr="00826B7F">
              <w:rPr>
                <w:rStyle w:val="Hyperlink"/>
                <w:noProof/>
              </w:rPr>
              <w:t>Purported transport, freight and marketing subsidy scheme operating in conjunction with Maximum Admissible Export Quantities orders</w:t>
            </w:r>
            <w:r w:rsidR="00210C36">
              <w:rPr>
                <w:noProof/>
                <w:webHidden/>
              </w:rPr>
              <w:tab/>
            </w:r>
            <w:r w:rsidR="00210C36">
              <w:rPr>
                <w:noProof/>
                <w:webHidden/>
              </w:rPr>
              <w:fldChar w:fldCharType="begin"/>
            </w:r>
            <w:r w:rsidR="00210C36">
              <w:rPr>
                <w:noProof/>
                <w:webHidden/>
              </w:rPr>
              <w:instrText xml:space="preserve"> PAGEREF _Toc72430869 \h </w:instrText>
            </w:r>
            <w:r w:rsidR="00210C36">
              <w:rPr>
                <w:noProof/>
                <w:webHidden/>
              </w:rPr>
            </w:r>
            <w:r w:rsidR="00210C36">
              <w:rPr>
                <w:noProof/>
                <w:webHidden/>
              </w:rPr>
              <w:fldChar w:fldCharType="separate"/>
            </w:r>
            <w:r w:rsidR="00AC7864">
              <w:rPr>
                <w:noProof/>
                <w:webHidden/>
              </w:rPr>
              <w:t>4</w:t>
            </w:r>
            <w:r w:rsidR="00210C36">
              <w:rPr>
                <w:noProof/>
                <w:webHidden/>
              </w:rPr>
              <w:fldChar w:fldCharType="end"/>
            </w:r>
          </w:hyperlink>
        </w:p>
        <w:p w14:paraId="4C0BF8F3" w14:textId="2215DFB7" w:rsidR="00210C36" w:rsidRDefault="00092334">
          <w:pPr>
            <w:pStyle w:val="TOC3"/>
            <w:rPr>
              <w:rFonts w:asciiTheme="minorHAnsi" w:eastAsiaTheme="minorEastAsia" w:hAnsiTheme="minorHAnsi"/>
              <w:b w:val="0"/>
              <w:noProof/>
              <w:sz w:val="22"/>
              <w:szCs w:val="22"/>
              <w:lang w:eastAsia="en-AU"/>
            </w:rPr>
          </w:pPr>
          <w:hyperlink w:anchor="_Toc72430870" w:history="1">
            <w:r w:rsidR="00210C36" w:rsidRPr="00826B7F">
              <w:rPr>
                <w:rStyle w:val="Hyperlink"/>
                <w:noProof/>
              </w:rPr>
              <w:t>4.</w:t>
            </w:r>
            <w:r w:rsidR="00210C36">
              <w:rPr>
                <w:rFonts w:asciiTheme="minorHAnsi" w:eastAsiaTheme="minorEastAsia" w:hAnsiTheme="minorHAnsi"/>
                <w:b w:val="0"/>
                <w:noProof/>
                <w:sz w:val="22"/>
                <w:szCs w:val="22"/>
                <w:lang w:eastAsia="en-AU"/>
              </w:rPr>
              <w:tab/>
            </w:r>
            <w:r w:rsidR="00210C36" w:rsidRPr="00826B7F">
              <w:rPr>
                <w:rStyle w:val="Hyperlink"/>
                <w:noProof/>
              </w:rPr>
              <w:t>Duty Free Import Authorisation scheme</w:t>
            </w:r>
            <w:r w:rsidR="00210C36">
              <w:rPr>
                <w:noProof/>
                <w:webHidden/>
              </w:rPr>
              <w:tab/>
            </w:r>
            <w:r w:rsidR="00210C36">
              <w:rPr>
                <w:noProof/>
                <w:webHidden/>
              </w:rPr>
              <w:fldChar w:fldCharType="begin"/>
            </w:r>
            <w:r w:rsidR="00210C36">
              <w:rPr>
                <w:noProof/>
                <w:webHidden/>
              </w:rPr>
              <w:instrText xml:space="preserve"> PAGEREF _Toc72430870 \h </w:instrText>
            </w:r>
            <w:r w:rsidR="00210C36">
              <w:rPr>
                <w:noProof/>
                <w:webHidden/>
              </w:rPr>
            </w:r>
            <w:r w:rsidR="00210C36">
              <w:rPr>
                <w:noProof/>
                <w:webHidden/>
              </w:rPr>
              <w:fldChar w:fldCharType="separate"/>
            </w:r>
            <w:r w:rsidR="00AC7864">
              <w:rPr>
                <w:noProof/>
                <w:webHidden/>
              </w:rPr>
              <w:t>5</w:t>
            </w:r>
            <w:r w:rsidR="00210C36">
              <w:rPr>
                <w:noProof/>
                <w:webHidden/>
              </w:rPr>
              <w:fldChar w:fldCharType="end"/>
            </w:r>
          </w:hyperlink>
        </w:p>
        <w:p w14:paraId="025A7020" w14:textId="3883F349" w:rsidR="00210C36" w:rsidRDefault="00092334">
          <w:pPr>
            <w:pStyle w:val="TOC2"/>
            <w:rPr>
              <w:rFonts w:asciiTheme="minorHAnsi" w:eastAsiaTheme="minorEastAsia" w:hAnsiTheme="minorHAnsi"/>
              <w:b w:val="0"/>
              <w:smallCaps w:val="0"/>
              <w:noProof/>
              <w:sz w:val="22"/>
              <w:szCs w:val="22"/>
              <w:lang w:eastAsia="en-AU"/>
            </w:rPr>
          </w:pPr>
          <w:hyperlink w:anchor="_Toc72430871" w:history="1">
            <w:r w:rsidR="00210C36" w:rsidRPr="00826B7F">
              <w:rPr>
                <w:rStyle w:val="Hyperlink"/>
                <w:noProof/>
              </w:rPr>
              <w:t>C.</w:t>
            </w:r>
            <w:r w:rsidR="00210C36">
              <w:rPr>
                <w:rFonts w:asciiTheme="minorHAnsi" w:eastAsiaTheme="minorEastAsia" w:hAnsiTheme="minorHAnsi"/>
                <w:b w:val="0"/>
                <w:smallCaps w:val="0"/>
                <w:noProof/>
                <w:sz w:val="22"/>
                <w:szCs w:val="22"/>
                <w:lang w:eastAsia="en-AU"/>
              </w:rPr>
              <w:tab/>
            </w:r>
            <w:r w:rsidR="00210C36" w:rsidRPr="00826B7F">
              <w:rPr>
                <w:rStyle w:val="Hyperlink"/>
                <w:noProof/>
              </w:rPr>
              <w:t>Failure to notify measures</w:t>
            </w:r>
            <w:r w:rsidR="00210C36">
              <w:rPr>
                <w:noProof/>
                <w:webHidden/>
              </w:rPr>
              <w:tab/>
            </w:r>
            <w:r w:rsidR="00210C36">
              <w:rPr>
                <w:noProof/>
                <w:webHidden/>
              </w:rPr>
              <w:fldChar w:fldCharType="begin"/>
            </w:r>
            <w:r w:rsidR="00210C36">
              <w:rPr>
                <w:noProof/>
                <w:webHidden/>
              </w:rPr>
              <w:instrText xml:space="preserve"> PAGEREF _Toc72430871 \h </w:instrText>
            </w:r>
            <w:r w:rsidR="00210C36">
              <w:rPr>
                <w:noProof/>
                <w:webHidden/>
              </w:rPr>
            </w:r>
            <w:r w:rsidR="00210C36">
              <w:rPr>
                <w:noProof/>
                <w:webHidden/>
              </w:rPr>
              <w:fldChar w:fldCharType="separate"/>
            </w:r>
            <w:r w:rsidR="00AC7864">
              <w:rPr>
                <w:noProof/>
                <w:webHidden/>
              </w:rPr>
              <w:t>5</w:t>
            </w:r>
            <w:r w:rsidR="00210C36">
              <w:rPr>
                <w:noProof/>
                <w:webHidden/>
              </w:rPr>
              <w:fldChar w:fldCharType="end"/>
            </w:r>
          </w:hyperlink>
        </w:p>
        <w:p w14:paraId="628C3A0A" w14:textId="12E99A84" w:rsidR="00210C36" w:rsidRDefault="00092334">
          <w:pPr>
            <w:pStyle w:val="TOC1"/>
            <w:rPr>
              <w:rFonts w:asciiTheme="minorHAnsi" w:eastAsiaTheme="minorEastAsia" w:hAnsiTheme="minorHAnsi"/>
              <w:b w:val="0"/>
              <w:caps w:val="0"/>
              <w:noProof/>
              <w:sz w:val="22"/>
              <w:szCs w:val="22"/>
              <w:lang w:eastAsia="en-AU"/>
            </w:rPr>
          </w:pPr>
          <w:hyperlink w:anchor="_Toc72430872" w:history="1">
            <w:r w:rsidR="00210C36" w:rsidRPr="00826B7F">
              <w:rPr>
                <w:rStyle w:val="Hyperlink"/>
                <w:noProof/>
              </w:rPr>
              <w:t>III.</w:t>
            </w:r>
            <w:r w:rsidR="00210C36">
              <w:rPr>
                <w:rFonts w:asciiTheme="minorHAnsi" w:eastAsiaTheme="minorEastAsia" w:hAnsiTheme="minorHAnsi"/>
                <w:b w:val="0"/>
                <w:caps w:val="0"/>
                <w:noProof/>
                <w:sz w:val="22"/>
                <w:szCs w:val="22"/>
                <w:lang w:eastAsia="en-AU"/>
              </w:rPr>
              <w:tab/>
            </w:r>
            <w:r w:rsidR="00210C36" w:rsidRPr="00826B7F">
              <w:rPr>
                <w:rStyle w:val="Hyperlink"/>
                <w:noProof/>
              </w:rPr>
              <w:t>India's Domestic Support in favour of Sugarcane producers violates its obligations under the Agreement on Agriculture</w:t>
            </w:r>
            <w:r w:rsidR="00210C36">
              <w:rPr>
                <w:noProof/>
                <w:webHidden/>
              </w:rPr>
              <w:tab/>
            </w:r>
            <w:r w:rsidR="00210C36">
              <w:rPr>
                <w:noProof/>
                <w:webHidden/>
              </w:rPr>
              <w:fldChar w:fldCharType="begin"/>
            </w:r>
            <w:r w:rsidR="00210C36">
              <w:rPr>
                <w:noProof/>
                <w:webHidden/>
              </w:rPr>
              <w:instrText xml:space="preserve"> PAGEREF _Toc72430872 \h </w:instrText>
            </w:r>
            <w:r w:rsidR="00210C36">
              <w:rPr>
                <w:noProof/>
                <w:webHidden/>
              </w:rPr>
            </w:r>
            <w:r w:rsidR="00210C36">
              <w:rPr>
                <w:noProof/>
                <w:webHidden/>
              </w:rPr>
              <w:fldChar w:fldCharType="separate"/>
            </w:r>
            <w:r w:rsidR="00AC7864">
              <w:rPr>
                <w:noProof/>
                <w:webHidden/>
              </w:rPr>
              <w:t>5</w:t>
            </w:r>
            <w:r w:rsidR="00210C36">
              <w:rPr>
                <w:noProof/>
                <w:webHidden/>
              </w:rPr>
              <w:fldChar w:fldCharType="end"/>
            </w:r>
          </w:hyperlink>
        </w:p>
        <w:p w14:paraId="389B773D" w14:textId="025B57B1" w:rsidR="00210C36" w:rsidRDefault="00092334">
          <w:pPr>
            <w:pStyle w:val="TOC2"/>
            <w:rPr>
              <w:rFonts w:asciiTheme="minorHAnsi" w:eastAsiaTheme="minorEastAsia" w:hAnsiTheme="minorHAnsi"/>
              <w:b w:val="0"/>
              <w:smallCaps w:val="0"/>
              <w:noProof/>
              <w:sz w:val="22"/>
              <w:szCs w:val="22"/>
              <w:lang w:eastAsia="en-AU"/>
            </w:rPr>
          </w:pPr>
          <w:hyperlink w:anchor="_Toc72430873" w:history="1">
            <w:r w:rsidR="00210C36" w:rsidRPr="00826B7F">
              <w:rPr>
                <w:rStyle w:val="Hyperlink"/>
                <w:rFonts w:eastAsiaTheme="majorEastAsia" w:cstheme="majorBidi"/>
                <w:noProof/>
              </w:rPr>
              <w:t>A.</w:t>
            </w:r>
            <w:r w:rsidR="00210C36">
              <w:rPr>
                <w:rFonts w:asciiTheme="minorHAnsi" w:eastAsiaTheme="minorEastAsia" w:hAnsiTheme="minorHAnsi"/>
                <w:b w:val="0"/>
                <w:smallCaps w:val="0"/>
                <w:noProof/>
                <w:sz w:val="22"/>
                <w:szCs w:val="22"/>
                <w:lang w:eastAsia="en-AU"/>
              </w:rPr>
              <w:tab/>
            </w:r>
            <w:r w:rsidR="00210C36" w:rsidRPr="00826B7F">
              <w:rPr>
                <w:rStyle w:val="Hyperlink"/>
                <w:rFonts w:eastAsiaTheme="majorEastAsia" w:cstheme="majorBidi"/>
                <w:noProof/>
              </w:rPr>
              <w:t>Market price support</w:t>
            </w:r>
            <w:r w:rsidR="00210C36">
              <w:rPr>
                <w:noProof/>
                <w:webHidden/>
              </w:rPr>
              <w:tab/>
            </w:r>
            <w:r w:rsidR="00210C36">
              <w:rPr>
                <w:noProof/>
                <w:webHidden/>
              </w:rPr>
              <w:fldChar w:fldCharType="begin"/>
            </w:r>
            <w:r w:rsidR="00210C36">
              <w:rPr>
                <w:noProof/>
                <w:webHidden/>
              </w:rPr>
              <w:instrText xml:space="preserve"> PAGEREF _Toc72430873 \h </w:instrText>
            </w:r>
            <w:r w:rsidR="00210C36">
              <w:rPr>
                <w:noProof/>
                <w:webHidden/>
              </w:rPr>
            </w:r>
            <w:r w:rsidR="00210C36">
              <w:rPr>
                <w:noProof/>
                <w:webHidden/>
              </w:rPr>
              <w:fldChar w:fldCharType="separate"/>
            </w:r>
            <w:r w:rsidR="00AC7864">
              <w:rPr>
                <w:noProof/>
                <w:webHidden/>
              </w:rPr>
              <w:t>6</w:t>
            </w:r>
            <w:r w:rsidR="00210C36">
              <w:rPr>
                <w:noProof/>
                <w:webHidden/>
              </w:rPr>
              <w:fldChar w:fldCharType="end"/>
            </w:r>
          </w:hyperlink>
        </w:p>
        <w:p w14:paraId="3F3A3554" w14:textId="7CCA085A" w:rsidR="00210C36" w:rsidRDefault="00092334">
          <w:pPr>
            <w:pStyle w:val="TOC3"/>
            <w:rPr>
              <w:rFonts w:asciiTheme="minorHAnsi" w:eastAsiaTheme="minorEastAsia" w:hAnsiTheme="minorHAnsi"/>
              <w:b w:val="0"/>
              <w:noProof/>
              <w:sz w:val="22"/>
              <w:szCs w:val="22"/>
              <w:lang w:eastAsia="en-AU"/>
            </w:rPr>
          </w:pPr>
          <w:hyperlink w:anchor="_Toc72430874" w:history="1">
            <w:r w:rsidR="00210C36" w:rsidRPr="00826B7F">
              <w:rPr>
                <w:rStyle w:val="Hyperlink"/>
                <w:rFonts w:eastAsiaTheme="majorEastAsia" w:cstheme="majorBidi"/>
                <w:noProof/>
              </w:rPr>
              <w:t>1.</w:t>
            </w:r>
            <w:r w:rsidR="00210C36">
              <w:rPr>
                <w:rFonts w:asciiTheme="minorHAnsi" w:eastAsiaTheme="minorEastAsia" w:hAnsiTheme="minorHAnsi"/>
                <w:b w:val="0"/>
                <w:noProof/>
                <w:sz w:val="22"/>
                <w:szCs w:val="22"/>
                <w:lang w:eastAsia="en-AU"/>
              </w:rPr>
              <w:tab/>
            </w:r>
            <w:r w:rsidR="00210C36" w:rsidRPr="00826B7F">
              <w:rPr>
                <w:rStyle w:val="Hyperlink"/>
                <w:rFonts w:eastAsiaTheme="majorEastAsia" w:cstheme="majorBidi"/>
                <w:noProof/>
              </w:rPr>
              <w:t>The meaning of market price support</w:t>
            </w:r>
            <w:r w:rsidR="00210C36">
              <w:rPr>
                <w:noProof/>
                <w:webHidden/>
              </w:rPr>
              <w:tab/>
            </w:r>
            <w:r w:rsidR="00210C36">
              <w:rPr>
                <w:noProof/>
                <w:webHidden/>
              </w:rPr>
              <w:fldChar w:fldCharType="begin"/>
            </w:r>
            <w:r w:rsidR="00210C36">
              <w:rPr>
                <w:noProof/>
                <w:webHidden/>
              </w:rPr>
              <w:instrText xml:space="preserve"> PAGEREF _Toc72430874 \h </w:instrText>
            </w:r>
            <w:r w:rsidR="00210C36">
              <w:rPr>
                <w:noProof/>
                <w:webHidden/>
              </w:rPr>
            </w:r>
            <w:r w:rsidR="00210C36">
              <w:rPr>
                <w:noProof/>
                <w:webHidden/>
              </w:rPr>
              <w:fldChar w:fldCharType="separate"/>
            </w:r>
            <w:r w:rsidR="00AC7864">
              <w:rPr>
                <w:noProof/>
                <w:webHidden/>
              </w:rPr>
              <w:t>6</w:t>
            </w:r>
            <w:r w:rsidR="00210C36">
              <w:rPr>
                <w:noProof/>
                <w:webHidden/>
              </w:rPr>
              <w:fldChar w:fldCharType="end"/>
            </w:r>
          </w:hyperlink>
        </w:p>
        <w:p w14:paraId="371CAD02" w14:textId="7C3A073C" w:rsidR="00210C36" w:rsidRDefault="00092334">
          <w:pPr>
            <w:pStyle w:val="TOC4"/>
            <w:rPr>
              <w:rFonts w:asciiTheme="minorHAnsi" w:eastAsiaTheme="minorEastAsia" w:hAnsiTheme="minorHAnsi"/>
              <w:noProof/>
              <w:sz w:val="22"/>
              <w:szCs w:val="22"/>
              <w:u w:val="none"/>
              <w:lang w:eastAsia="en-AU"/>
            </w:rPr>
          </w:pPr>
          <w:hyperlink w:anchor="_Toc72430875" w:history="1">
            <w:r w:rsidR="00210C36" w:rsidRPr="00826B7F">
              <w:rPr>
                <w:rStyle w:val="Hyperlink"/>
                <w:rFonts w:eastAsiaTheme="majorEastAsia" w:cstheme="majorBidi"/>
                <w:iCs/>
                <w:noProof/>
              </w:rPr>
              <w:t>(a)</w:t>
            </w:r>
            <w:r w:rsidR="00210C36">
              <w:rPr>
                <w:rFonts w:asciiTheme="minorHAnsi" w:eastAsiaTheme="minorEastAsia" w:hAnsiTheme="minorHAnsi"/>
                <w:noProof/>
                <w:sz w:val="22"/>
                <w:szCs w:val="22"/>
                <w:u w:val="none"/>
                <w:lang w:eastAsia="en-AU"/>
              </w:rPr>
              <w:tab/>
            </w:r>
            <w:r w:rsidR="00210C36" w:rsidRPr="00826B7F">
              <w:rPr>
                <w:rStyle w:val="Hyperlink"/>
                <w:rFonts w:eastAsiaTheme="majorEastAsia" w:cstheme="majorBidi"/>
                <w:iCs/>
                <w:noProof/>
              </w:rPr>
              <w:t>Ordinary meaning</w:t>
            </w:r>
            <w:r w:rsidR="00210C36">
              <w:rPr>
                <w:noProof/>
                <w:webHidden/>
              </w:rPr>
              <w:tab/>
            </w:r>
            <w:r w:rsidR="00210C36">
              <w:rPr>
                <w:noProof/>
                <w:webHidden/>
              </w:rPr>
              <w:fldChar w:fldCharType="begin"/>
            </w:r>
            <w:r w:rsidR="00210C36">
              <w:rPr>
                <w:noProof/>
                <w:webHidden/>
              </w:rPr>
              <w:instrText xml:space="preserve"> PAGEREF _Toc72430875 \h </w:instrText>
            </w:r>
            <w:r w:rsidR="00210C36">
              <w:rPr>
                <w:noProof/>
                <w:webHidden/>
              </w:rPr>
            </w:r>
            <w:r w:rsidR="00210C36">
              <w:rPr>
                <w:noProof/>
                <w:webHidden/>
              </w:rPr>
              <w:fldChar w:fldCharType="separate"/>
            </w:r>
            <w:r w:rsidR="00AC7864">
              <w:rPr>
                <w:noProof/>
                <w:webHidden/>
              </w:rPr>
              <w:t>7</w:t>
            </w:r>
            <w:r w:rsidR="00210C36">
              <w:rPr>
                <w:noProof/>
                <w:webHidden/>
              </w:rPr>
              <w:fldChar w:fldCharType="end"/>
            </w:r>
          </w:hyperlink>
        </w:p>
        <w:p w14:paraId="6226093B" w14:textId="4FCED2DE" w:rsidR="00210C36" w:rsidRDefault="00092334">
          <w:pPr>
            <w:pStyle w:val="TOC4"/>
            <w:rPr>
              <w:rFonts w:asciiTheme="minorHAnsi" w:eastAsiaTheme="minorEastAsia" w:hAnsiTheme="minorHAnsi"/>
              <w:noProof/>
              <w:sz w:val="22"/>
              <w:szCs w:val="22"/>
              <w:u w:val="none"/>
              <w:lang w:eastAsia="en-AU"/>
            </w:rPr>
          </w:pPr>
          <w:hyperlink w:anchor="_Toc72430876" w:history="1">
            <w:r w:rsidR="00210C36" w:rsidRPr="00826B7F">
              <w:rPr>
                <w:rStyle w:val="Hyperlink"/>
                <w:rFonts w:eastAsiaTheme="majorEastAsia" w:cstheme="majorBidi"/>
                <w:iCs/>
                <w:noProof/>
              </w:rPr>
              <w:t>(b)</w:t>
            </w:r>
            <w:r w:rsidR="00210C36">
              <w:rPr>
                <w:rFonts w:asciiTheme="minorHAnsi" w:eastAsiaTheme="minorEastAsia" w:hAnsiTheme="minorHAnsi"/>
                <w:noProof/>
                <w:sz w:val="22"/>
                <w:szCs w:val="22"/>
                <w:u w:val="none"/>
                <w:lang w:eastAsia="en-AU"/>
              </w:rPr>
              <w:tab/>
            </w:r>
            <w:r w:rsidR="00210C36" w:rsidRPr="00826B7F">
              <w:rPr>
                <w:rStyle w:val="Hyperlink"/>
                <w:rFonts w:eastAsiaTheme="majorEastAsia" w:cstheme="majorBidi"/>
                <w:iCs/>
                <w:noProof/>
              </w:rPr>
              <w:t>Context</w:t>
            </w:r>
            <w:r w:rsidR="00210C36">
              <w:rPr>
                <w:noProof/>
                <w:webHidden/>
              </w:rPr>
              <w:tab/>
            </w:r>
            <w:r w:rsidR="00210C36">
              <w:rPr>
                <w:noProof/>
                <w:webHidden/>
              </w:rPr>
              <w:fldChar w:fldCharType="begin"/>
            </w:r>
            <w:r w:rsidR="00210C36">
              <w:rPr>
                <w:noProof/>
                <w:webHidden/>
              </w:rPr>
              <w:instrText xml:space="preserve"> PAGEREF _Toc72430876 \h </w:instrText>
            </w:r>
            <w:r w:rsidR="00210C36">
              <w:rPr>
                <w:noProof/>
                <w:webHidden/>
              </w:rPr>
            </w:r>
            <w:r w:rsidR="00210C36">
              <w:rPr>
                <w:noProof/>
                <w:webHidden/>
              </w:rPr>
              <w:fldChar w:fldCharType="separate"/>
            </w:r>
            <w:r w:rsidR="00AC7864">
              <w:rPr>
                <w:noProof/>
                <w:webHidden/>
              </w:rPr>
              <w:t>9</w:t>
            </w:r>
            <w:r w:rsidR="00210C36">
              <w:rPr>
                <w:noProof/>
                <w:webHidden/>
              </w:rPr>
              <w:fldChar w:fldCharType="end"/>
            </w:r>
          </w:hyperlink>
        </w:p>
        <w:p w14:paraId="683CFEAA" w14:textId="5B73B893" w:rsidR="00210C36" w:rsidRDefault="00092334">
          <w:pPr>
            <w:pStyle w:val="TOC4"/>
            <w:rPr>
              <w:rFonts w:asciiTheme="minorHAnsi" w:eastAsiaTheme="minorEastAsia" w:hAnsiTheme="minorHAnsi"/>
              <w:noProof/>
              <w:sz w:val="22"/>
              <w:szCs w:val="22"/>
              <w:u w:val="none"/>
              <w:lang w:eastAsia="en-AU"/>
            </w:rPr>
          </w:pPr>
          <w:hyperlink w:anchor="_Toc72430877" w:history="1">
            <w:r w:rsidR="00210C36" w:rsidRPr="00826B7F">
              <w:rPr>
                <w:rStyle w:val="Hyperlink"/>
                <w:rFonts w:eastAsiaTheme="majorEastAsia" w:cstheme="majorBidi"/>
                <w:iCs/>
                <w:noProof/>
              </w:rPr>
              <w:t>(c)</w:t>
            </w:r>
            <w:r w:rsidR="00210C36">
              <w:rPr>
                <w:rFonts w:asciiTheme="minorHAnsi" w:eastAsiaTheme="minorEastAsia" w:hAnsiTheme="minorHAnsi"/>
                <w:noProof/>
                <w:sz w:val="22"/>
                <w:szCs w:val="22"/>
                <w:u w:val="none"/>
                <w:lang w:eastAsia="en-AU"/>
              </w:rPr>
              <w:tab/>
            </w:r>
            <w:r w:rsidR="00210C36" w:rsidRPr="00826B7F">
              <w:rPr>
                <w:rStyle w:val="Hyperlink"/>
                <w:rFonts w:eastAsiaTheme="majorEastAsia" w:cstheme="majorBidi"/>
                <w:iCs/>
                <w:noProof/>
              </w:rPr>
              <w:t>Object and purpose</w:t>
            </w:r>
            <w:r w:rsidR="00210C36">
              <w:rPr>
                <w:noProof/>
                <w:webHidden/>
              </w:rPr>
              <w:tab/>
            </w:r>
            <w:r w:rsidR="00210C36">
              <w:rPr>
                <w:noProof/>
                <w:webHidden/>
              </w:rPr>
              <w:fldChar w:fldCharType="begin"/>
            </w:r>
            <w:r w:rsidR="00210C36">
              <w:rPr>
                <w:noProof/>
                <w:webHidden/>
              </w:rPr>
              <w:instrText xml:space="preserve"> PAGEREF _Toc72430877 \h </w:instrText>
            </w:r>
            <w:r w:rsidR="00210C36">
              <w:rPr>
                <w:noProof/>
                <w:webHidden/>
              </w:rPr>
            </w:r>
            <w:r w:rsidR="00210C36">
              <w:rPr>
                <w:noProof/>
                <w:webHidden/>
              </w:rPr>
              <w:fldChar w:fldCharType="separate"/>
            </w:r>
            <w:r w:rsidR="00AC7864">
              <w:rPr>
                <w:noProof/>
                <w:webHidden/>
              </w:rPr>
              <w:t>11</w:t>
            </w:r>
            <w:r w:rsidR="00210C36">
              <w:rPr>
                <w:noProof/>
                <w:webHidden/>
              </w:rPr>
              <w:fldChar w:fldCharType="end"/>
            </w:r>
          </w:hyperlink>
        </w:p>
        <w:p w14:paraId="07029E9F" w14:textId="28377892" w:rsidR="00210C36" w:rsidRDefault="00092334">
          <w:pPr>
            <w:pStyle w:val="TOC4"/>
            <w:rPr>
              <w:rFonts w:asciiTheme="minorHAnsi" w:eastAsiaTheme="minorEastAsia" w:hAnsiTheme="minorHAnsi"/>
              <w:noProof/>
              <w:sz w:val="22"/>
              <w:szCs w:val="22"/>
              <w:u w:val="none"/>
              <w:lang w:eastAsia="en-AU"/>
            </w:rPr>
          </w:pPr>
          <w:hyperlink w:anchor="_Toc72430878" w:history="1">
            <w:r w:rsidR="00210C36" w:rsidRPr="00826B7F">
              <w:rPr>
                <w:rStyle w:val="Hyperlink"/>
                <w:rFonts w:eastAsiaTheme="majorEastAsia" w:cstheme="majorBidi"/>
                <w:iCs/>
                <w:noProof/>
              </w:rPr>
              <w:t>(d)</w:t>
            </w:r>
            <w:r w:rsidR="00210C36">
              <w:rPr>
                <w:rFonts w:asciiTheme="minorHAnsi" w:eastAsiaTheme="minorEastAsia" w:hAnsiTheme="minorHAnsi"/>
                <w:noProof/>
                <w:sz w:val="22"/>
                <w:szCs w:val="22"/>
                <w:u w:val="none"/>
                <w:lang w:eastAsia="en-AU"/>
              </w:rPr>
              <w:tab/>
            </w:r>
            <w:r w:rsidR="00210C36" w:rsidRPr="00826B7F">
              <w:rPr>
                <w:rStyle w:val="Hyperlink"/>
                <w:rFonts w:eastAsiaTheme="majorEastAsia" w:cstheme="majorBidi"/>
                <w:iCs/>
                <w:noProof/>
              </w:rPr>
              <w:t>Conclusion</w:t>
            </w:r>
            <w:r w:rsidR="00210C36">
              <w:rPr>
                <w:noProof/>
                <w:webHidden/>
              </w:rPr>
              <w:tab/>
            </w:r>
            <w:r w:rsidR="00210C36">
              <w:rPr>
                <w:noProof/>
                <w:webHidden/>
              </w:rPr>
              <w:fldChar w:fldCharType="begin"/>
            </w:r>
            <w:r w:rsidR="00210C36">
              <w:rPr>
                <w:noProof/>
                <w:webHidden/>
              </w:rPr>
              <w:instrText xml:space="preserve"> PAGEREF _Toc72430878 \h </w:instrText>
            </w:r>
            <w:r w:rsidR="00210C36">
              <w:rPr>
                <w:noProof/>
                <w:webHidden/>
              </w:rPr>
            </w:r>
            <w:r w:rsidR="00210C36">
              <w:rPr>
                <w:noProof/>
                <w:webHidden/>
              </w:rPr>
              <w:fldChar w:fldCharType="separate"/>
            </w:r>
            <w:r w:rsidR="00AC7864">
              <w:rPr>
                <w:noProof/>
                <w:webHidden/>
              </w:rPr>
              <w:t>12</w:t>
            </w:r>
            <w:r w:rsidR="00210C36">
              <w:rPr>
                <w:noProof/>
                <w:webHidden/>
              </w:rPr>
              <w:fldChar w:fldCharType="end"/>
            </w:r>
          </w:hyperlink>
        </w:p>
        <w:p w14:paraId="0A8BEB98" w14:textId="287179C2" w:rsidR="00210C36" w:rsidRDefault="00092334">
          <w:pPr>
            <w:pStyle w:val="TOC3"/>
            <w:rPr>
              <w:rFonts w:asciiTheme="minorHAnsi" w:eastAsiaTheme="minorEastAsia" w:hAnsiTheme="minorHAnsi"/>
              <w:b w:val="0"/>
              <w:noProof/>
              <w:sz w:val="22"/>
              <w:szCs w:val="22"/>
              <w:lang w:eastAsia="en-AU"/>
            </w:rPr>
          </w:pPr>
          <w:hyperlink w:anchor="_Toc72430879" w:history="1">
            <w:r w:rsidR="00210C36" w:rsidRPr="00826B7F">
              <w:rPr>
                <w:rStyle w:val="Hyperlink"/>
                <w:rFonts w:eastAsiaTheme="majorEastAsia" w:cstheme="majorBidi"/>
                <w:noProof/>
              </w:rPr>
              <w:t>2.</w:t>
            </w:r>
            <w:r w:rsidR="00210C36">
              <w:rPr>
                <w:rFonts w:asciiTheme="minorHAnsi" w:eastAsiaTheme="minorEastAsia" w:hAnsiTheme="minorHAnsi"/>
                <w:b w:val="0"/>
                <w:noProof/>
                <w:sz w:val="22"/>
                <w:szCs w:val="22"/>
                <w:lang w:eastAsia="en-AU"/>
              </w:rPr>
              <w:tab/>
            </w:r>
            <w:r w:rsidR="00210C36" w:rsidRPr="00826B7F">
              <w:rPr>
                <w:rStyle w:val="Hyperlink"/>
                <w:rFonts w:eastAsiaTheme="majorEastAsia" w:cstheme="majorBidi"/>
                <w:noProof/>
              </w:rPr>
              <w:t>Calculation of India's market price support for sugarcane</w:t>
            </w:r>
            <w:r w:rsidR="00210C36">
              <w:rPr>
                <w:noProof/>
                <w:webHidden/>
              </w:rPr>
              <w:tab/>
            </w:r>
            <w:r w:rsidR="00210C36">
              <w:rPr>
                <w:noProof/>
                <w:webHidden/>
              </w:rPr>
              <w:fldChar w:fldCharType="begin"/>
            </w:r>
            <w:r w:rsidR="00210C36">
              <w:rPr>
                <w:noProof/>
                <w:webHidden/>
              </w:rPr>
              <w:instrText xml:space="preserve"> PAGEREF _Toc72430879 \h </w:instrText>
            </w:r>
            <w:r w:rsidR="00210C36">
              <w:rPr>
                <w:noProof/>
                <w:webHidden/>
              </w:rPr>
            </w:r>
            <w:r w:rsidR="00210C36">
              <w:rPr>
                <w:noProof/>
                <w:webHidden/>
              </w:rPr>
              <w:fldChar w:fldCharType="separate"/>
            </w:r>
            <w:r w:rsidR="00AC7864">
              <w:rPr>
                <w:noProof/>
                <w:webHidden/>
              </w:rPr>
              <w:t>12</w:t>
            </w:r>
            <w:r w:rsidR="00210C36">
              <w:rPr>
                <w:noProof/>
                <w:webHidden/>
              </w:rPr>
              <w:fldChar w:fldCharType="end"/>
            </w:r>
          </w:hyperlink>
        </w:p>
        <w:p w14:paraId="34D9D1AE" w14:textId="7C78E3C1" w:rsidR="00210C36" w:rsidRDefault="00092334">
          <w:pPr>
            <w:pStyle w:val="TOC4"/>
            <w:rPr>
              <w:rFonts w:asciiTheme="minorHAnsi" w:eastAsiaTheme="minorEastAsia" w:hAnsiTheme="minorHAnsi"/>
              <w:noProof/>
              <w:sz w:val="22"/>
              <w:szCs w:val="22"/>
              <w:u w:val="none"/>
              <w:lang w:eastAsia="en-AU"/>
            </w:rPr>
          </w:pPr>
          <w:hyperlink w:anchor="_Toc72430880" w:history="1">
            <w:r w:rsidR="00210C36" w:rsidRPr="00826B7F">
              <w:rPr>
                <w:rStyle w:val="Hyperlink"/>
                <w:rFonts w:eastAsiaTheme="majorEastAsia" w:cstheme="majorBidi"/>
                <w:iCs/>
                <w:noProof/>
              </w:rPr>
              <w:t>(a)</w:t>
            </w:r>
            <w:r w:rsidR="00210C36">
              <w:rPr>
                <w:rFonts w:asciiTheme="minorHAnsi" w:eastAsiaTheme="minorEastAsia" w:hAnsiTheme="minorHAnsi"/>
                <w:noProof/>
                <w:sz w:val="22"/>
                <w:szCs w:val="22"/>
                <w:u w:val="none"/>
                <w:lang w:eastAsia="en-AU"/>
              </w:rPr>
              <w:tab/>
            </w:r>
            <w:r w:rsidR="00210C36" w:rsidRPr="00826B7F">
              <w:rPr>
                <w:rStyle w:val="Hyperlink"/>
                <w:rFonts w:eastAsiaTheme="majorEastAsia" w:cstheme="majorBidi"/>
                <w:iCs/>
                <w:noProof/>
              </w:rPr>
              <w:t>The FRP and SAP measures are AAPs</w:t>
            </w:r>
            <w:r w:rsidR="00210C36">
              <w:rPr>
                <w:noProof/>
                <w:webHidden/>
              </w:rPr>
              <w:tab/>
            </w:r>
            <w:r w:rsidR="00210C36">
              <w:rPr>
                <w:noProof/>
                <w:webHidden/>
              </w:rPr>
              <w:fldChar w:fldCharType="begin"/>
            </w:r>
            <w:r w:rsidR="00210C36">
              <w:rPr>
                <w:noProof/>
                <w:webHidden/>
              </w:rPr>
              <w:instrText xml:space="preserve"> PAGEREF _Toc72430880 \h </w:instrText>
            </w:r>
            <w:r w:rsidR="00210C36">
              <w:rPr>
                <w:noProof/>
                <w:webHidden/>
              </w:rPr>
            </w:r>
            <w:r w:rsidR="00210C36">
              <w:rPr>
                <w:noProof/>
                <w:webHidden/>
              </w:rPr>
              <w:fldChar w:fldCharType="separate"/>
            </w:r>
            <w:r w:rsidR="00AC7864">
              <w:rPr>
                <w:noProof/>
                <w:webHidden/>
              </w:rPr>
              <w:t>12</w:t>
            </w:r>
            <w:r w:rsidR="00210C36">
              <w:rPr>
                <w:noProof/>
                <w:webHidden/>
              </w:rPr>
              <w:fldChar w:fldCharType="end"/>
            </w:r>
          </w:hyperlink>
        </w:p>
        <w:p w14:paraId="234DC12D" w14:textId="0B3B9C66" w:rsidR="00210C36" w:rsidRDefault="00092334">
          <w:pPr>
            <w:pStyle w:val="TOC4"/>
            <w:rPr>
              <w:rFonts w:asciiTheme="minorHAnsi" w:eastAsiaTheme="minorEastAsia" w:hAnsiTheme="minorHAnsi"/>
              <w:noProof/>
              <w:sz w:val="22"/>
              <w:szCs w:val="22"/>
              <w:u w:val="none"/>
              <w:lang w:eastAsia="en-AU"/>
            </w:rPr>
          </w:pPr>
          <w:hyperlink w:anchor="_Toc72430881" w:history="1">
            <w:r w:rsidR="00210C36" w:rsidRPr="00826B7F">
              <w:rPr>
                <w:rStyle w:val="Hyperlink"/>
                <w:rFonts w:eastAsiaTheme="majorEastAsia" w:cstheme="majorBidi"/>
                <w:iCs/>
                <w:noProof/>
              </w:rPr>
              <w:t>(b)</w:t>
            </w:r>
            <w:r w:rsidR="00210C36">
              <w:rPr>
                <w:rFonts w:asciiTheme="minorHAnsi" w:eastAsiaTheme="minorEastAsia" w:hAnsiTheme="minorHAnsi"/>
                <w:noProof/>
                <w:sz w:val="22"/>
                <w:szCs w:val="22"/>
                <w:u w:val="none"/>
                <w:lang w:eastAsia="en-AU"/>
              </w:rPr>
              <w:tab/>
            </w:r>
            <w:r w:rsidR="00210C36" w:rsidRPr="00826B7F">
              <w:rPr>
                <w:rStyle w:val="Hyperlink"/>
                <w:rFonts w:eastAsiaTheme="majorEastAsia" w:cstheme="majorBidi"/>
                <w:iCs/>
                <w:noProof/>
              </w:rPr>
              <w:t>India's FERP for sugarcane</w:t>
            </w:r>
            <w:r w:rsidR="00210C36">
              <w:rPr>
                <w:noProof/>
                <w:webHidden/>
              </w:rPr>
              <w:tab/>
            </w:r>
            <w:r w:rsidR="00210C36">
              <w:rPr>
                <w:noProof/>
                <w:webHidden/>
              </w:rPr>
              <w:fldChar w:fldCharType="begin"/>
            </w:r>
            <w:r w:rsidR="00210C36">
              <w:rPr>
                <w:noProof/>
                <w:webHidden/>
              </w:rPr>
              <w:instrText xml:space="preserve"> PAGEREF _Toc72430881 \h </w:instrText>
            </w:r>
            <w:r w:rsidR="00210C36">
              <w:rPr>
                <w:noProof/>
                <w:webHidden/>
              </w:rPr>
            </w:r>
            <w:r w:rsidR="00210C36">
              <w:rPr>
                <w:noProof/>
                <w:webHidden/>
              </w:rPr>
              <w:fldChar w:fldCharType="separate"/>
            </w:r>
            <w:r w:rsidR="00AC7864">
              <w:rPr>
                <w:noProof/>
                <w:webHidden/>
              </w:rPr>
              <w:t>12</w:t>
            </w:r>
            <w:r w:rsidR="00210C36">
              <w:rPr>
                <w:noProof/>
                <w:webHidden/>
              </w:rPr>
              <w:fldChar w:fldCharType="end"/>
            </w:r>
          </w:hyperlink>
        </w:p>
        <w:p w14:paraId="78F8A154" w14:textId="540C16CF" w:rsidR="00210C36" w:rsidRDefault="00092334">
          <w:pPr>
            <w:pStyle w:val="TOC4"/>
            <w:rPr>
              <w:rFonts w:asciiTheme="minorHAnsi" w:eastAsiaTheme="minorEastAsia" w:hAnsiTheme="minorHAnsi"/>
              <w:noProof/>
              <w:sz w:val="22"/>
              <w:szCs w:val="22"/>
              <w:u w:val="none"/>
              <w:lang w:eastAsia="en-AU"/>
            </w:rPr>
          </w:pPr>
          <w:hyperlink w:anchor="_Toc72430882" w:history="1">
            <w:r w:rsidR="00210C36" w:rsidRPr="00826B7F">
              <w:rPr>
                <w:rStyle w:val="Hyperlink"/>
                <w:rFonts w:eastAsiaTheme="majorEastAsia" w:cstheme="majorBidi"/>
                <w:iCs/>
                <w:noProof/>
              </w:rPr>
              <w:t>(c)</w:t>
            </w:r>
            <w:r w:rsidR="00210C36">
              <w:rPr>
                <w:rFonts w:asciiTheme="minorHAnsi" w:eastAsiaTheme="minorEastAsia" w:hAnsiTheme="minorHAnsi"/>
                <w:noProof/>
                <w:sz w:val="22"/>
                <w:szCs w:val="22"/>
                <w:u w:val="none"/>
                <w:lang w:eastAsia="en-AU"/>
              </w:rPr>
              <w:tab/>
            </w:r>
            <w:r w:rsidR="00210C36" w:rsidRPr="00826B7F">
              <w:rPr>
                <w:rStyle w:val="Hyperlink"/>
                <w:rFonts w:eastAsiaTheme="majorEastAsia" w:cstheme="majorBidi"/>
                <w:iCs/>
                <w:noProof/>
              </w:rPr>
              <w:t>QEP</w:t>
            </w:r>
            <w:r w:rsidR="00210C36">
              <w:rPr>
                <w:noProof/>
                <w:webHidden/>
              </w:rPr>
              <w:tab/>
            </w:r>
            <w:r w:rsidR="00210C36">
              <w:rPr>
                <w:noProof/>
                <w:webHidden/>
              </w:rPr>
              <w:fldChar w:fldCharType="begin"/>
            </w:r>
            <w:r w:rsidR="00210C36">
              <w:rPr>
                <w:noProof/>
                <w:webHidden/>
              </w:rPr>
              <w:instrText xml:space="preserve"> PAGEREF _Toc72430882 \h </w:instrText>
            </w:r>
            <w:r w:rsidR="00210C36">
              <w:rPr>
                <w:noProof/>
                <w:webHidden/>
              </w:rPr>
            </w:r>
            <w:r w:rsidR="00210C36">
              <w:rPr>
                <w:noProof/>
                <w:webHidden/>
              </w:rPr>
              <w:fldChar w:fldCharType="separate"/>
            </w:r>
            <w:r w:rsidR="00AC7864">
              <w:rPr>
                <w:noProof/>
                <w:webHidden/>
              </w:rPr>
              <w:t>12</w:t>
            </w:r>
            <w:r w:rsidR="00210C36">
              <w:rPr>
                <w:noProof/>
                <w:webHidden/>
              </w:rPr>
              <w:fldChar w:fldCharType="end"/>
            </w:r>
          </w:hyperlink>
        </w:p>
        <w:p w14:paraId="75520661" w14:textId="53601CF2" w:rsidR="00210C36" w:rsidRDefault="00092334">
          <w:pPr>
            <w:pStyle w:val="TOC4"/>
            <w:rPr>
              <w:rFonts w:asciiTheme="minorHAnsi" w:eastAsiaTheme="minorEastAsia" w:hAnsiTheme="minorHAnsi"/>
              <w:noProof/>
              <w:sz w:val="22"/>
              <w:szCs w:val="22"/>
              <w:u w:val="none"/>
              <w:lang w:eastAsia="en-AU"/>
            </w:rPr>
          </w:pPr>
          <w:hyperlink w:anchor="_Toc72430883" w:history="1">
            <w:r w:rsidR="00210C36" w:rsidRPr="00826B7F">
              <w:rPr>
                <w:rStyle w:val="Hyperlink"/>
                <w:rFonts w:eastAsiaTheme="majorEastAsia" w:cstheme="majorBidi"/>
                <w:iCs/>
                <w:noProof/>
              </w:rPr>
              <w:t>(d)</w:t>
            </w:r>
            <w:r w:rsidR="00210C36">
              <w:rPr>
                <w:rFonts w:asciiTheme="minorHAnsi" w:eastAsiaTheme="minorEastAsia" w:hAnsiTheme="minorHAnsi"/>
                <w:noProof/>
                <w:sz w:val="22"/>
                <w:szCs w:val="22"/>
                <w:u w:val="none"/>
                <w:lang w:eastAsia="en-AU"/>
              </w:rPr>
              <w:tab/>
            </w:r>
            <w:r w:rsidR="00210C36" w:rsidRPr="00826B7F">
              <w:rPr>
                <w:rStyle w:val="Hyperlink"/>
                <w:rFonts w:eastAsiaTheme="majorEastAsia" w:cstheme="majorBidi"/>
                <w:iCs/>
                <w:noProof/>
              </w:rPr>
              <w:t>India's measures involving payments to maintain the "gap" between the FERP and the AAP</w:t>
            </w:r>
            <w:r w:rsidR="00210C36">
              <w:rPr>
                <w:noProof/>
                <w:webHidden/>
              </w:rPr>
              <w:tab/>
            </w:r>
            <w:r w:rsidR="00210C36">
              <w:rPr>
                <w:noProof/>
                <w:webHidden/>
              </w:rPr>
              <w:fldChar w:fldCharType="begin"/>
            </w:r>
            <w:r w:rsidR="00210C36">
              <w:rPr>
                <w:noProof/>
                <w:webHidden/>
              </w:rPr>
              <w:instrText xml:space="preserve"> PAGEREF _Toc72430883 \h </w:instrText>
            </w:r>
            <w:r w:rsidR="00210C36">
              <w:rPr>
                <w:noProof/>
                <w:webHidden/>
              </w:rPr>
            </w:r>
            <w:r w:rsidR="00210C36">
              <w:rPr>
                <w:noProof/>
                <w:webHidden/>
              </w:rPr>
              <w:fldChar w:fldCharType="separate"/>
            </w:r>
            <w:r w:rsidR="00AC7864">
              <w:rPr>
                <w:noProof/>
                <w:webHidden/>
              </w:rPr>
              <w:t>12</w:t>
            </w:r>
            <w:r w:rsidR="00210C36">
              <w:rPr>
                <w:noProof/>
                <w:webHidden/>
              </w:rPr>
              <w:fldChar w:fldCharType="end"/>
            </w:r>
          </w:hyperlink>
        </w:p>
        <w:p w14:paraId="66CBA29C" w14:textId="18EC5AB2" w:rsidR="00210C36" w:rsidRDefault="00092334">
          <w:pPr>
            <w:pStyle w:val="TOC4"/>
            <w:rPr>
              <w:rFonts w:asciiTheme="minorHAnsi" w:eastAsiaTheme="minorEastAsia" w:hAnsiTheme="minorHAnsi"/>
              <w:noProof/>
              <w:sz w:val="22"/>
              <w:szCs w:val="22"/>
              <w:u w:val="none"/>
              <w:lang w:eastAsia="en-AU"/>
            </w:rPr>
          </w:pPr>
          <w:hyperlink w:anchor="_Toc72430884" w:history="1">
            <w:r w:rsidR="00210C36" w:rsidRPr="00826B7F">
              <w:rPr>
                <w:rStyle w:val="Hyperlink"/>
                <w:rFonts w:eastAsiaTheme="majorEastAsia" w:cstheme="majorBidi"/>
                <w:iCs/>
                <w:noProof/>
              </w:rPr>
              <w:t>(e)</w:t>
            </w:r>
            <w:r w:rsidR="00210C36">
              <w:rPr>
                <w:rFonts w:asciiTheme="minorHAnsi" w:eastAsiaTheme="minorEastAsia" w:hAnsiTheme="minorHAnsi"/>
                <w:noProof/>
                <w:sz w:val="22"/>
                <w:szCs w:val="22"/>
                <w:u w:val="none"/>
                <w:lang w:eastAsia="en-AU"/>
              </w:rPr>
              <w:tab/>
            </w:r>
            <w:r w:rsidR="00210C36" w:rsidRPr="00826B7F">
              <w:rPr>
                <w:rStyle w:val="Hyperlink"/>
                <w:rFonts w:eastAsiaTheme="majorEastAsia" w:cstheme="majorBidi"/>
                <w:iCs/>
                <w:noProof/>
              </w:rPr>
              <w:t>India's market price support exceeds its permitted level</w:t>
            </w:r>
            <w:r w:rsidR="00210C36">
              <w:rPr>
                <w:noProof/>
                <w:webHidden/>
              </w:rPr>
              <w:tab/>
            </w:r>
            <w:r w:rsidR="00210C36">
              <w:rPr>
                <w:noProof/>
                <w:webHidden/>
              </w:rPr>
              <w:fldChar w:fldCharType="begin"/>
            </w:r>
            <w:r w:rsidR="00210C36">
              <w:rPr>
                <w:noProof/>
                <w:webHidden/>
              </w:rPr>
              <w:instrText xml:space="preserve"> PAGEREF _Toc72430884 \h </w:instrText>
            </w:r>
            <w:r w:rsidR="00210C36">
              <w:rPr>
                <w:noProof/>
                <w:webHidden/>
              </w:rPr>
            </w:r>
            <w:r w:rsidR="00210C36">
              <w:rPr>
                <w:noProof/>
                <w:webHidden/>
              </w:rPr>
              <w:fldChar w:fldCharType="separate"/>
            </w:r>
            <w:r w:rsidR="00AC7864">
              <w:rPr>
                <w:noProof/>
                <w:webHidden/>
              </w:rPr>
              <w:t>13</w:t>
            </w:r>
            <w:r w:rsidR="00210C36">
              <w:rPr>
                <w:noProof/>
                <w:webHidden/>
              </w:rPr>
              <w:fldChar w:fldCharType="end"/>
            </w:r>
          </w:hyperlink>
        </w:p>
        <w:p w14:paraId="2D2A1FC0" w14:textId="0A98933B" w:rsidR="00210C36" w:rsidRDefault="00092334">
          <w:pPr>
            <w:pStyle w:val="TOC2"/>
            <w:rPr>
              <w:rFonts w:asciiTheme="minorHAnsi" w:eastAsiaTheme="minorEastAsia" w:hAnsiTheme="minorHAnsi"/>
              <w:b w:val="0"/>
              <w:smallCaps w:val="0"/>
              <w:noProof/>
              <w:sz w:val="22"/>
              <w:szCs w:val="22"/>
              <w:lang w:eastAsia="en-AU"/>
            </w:rPr>
          </w:pPr>
          <w:hyperlink w:anchor="_Toc72430885" w:history="1">
            <w:r w:rsidR="00210C36" w:rsidRPr="00826B7F">
              <w:rPr>
                <w:rStyle w:val="Hyperlink"/>
                <w:rFonts w:eastAsiaTheme="majorEastAsia" w:cstheme="majorBidi"/>
                <w:noProof/>
              </w:rPr>
              <w:t>B.</w:t>
            </w:r>
            <w:r w:rsidR="00210C36">
              <w:rPr>
                <w:rFonts w:asciiTheme="minorHAnsi" w:eastAsiaTheme="minorEastAsia" w:hAnsiTheme="minorHAnsi"/>
                <w:b w:val="0"/>
                <w:smallCaps w:val="0"/>
                <w:noProof/>
                <w:sz w:val="22"/>
                <w:szCs w:val="22"/>
                <w:lang w:eastAsia="en-AU"/>
              </w:rPr>
              <w:tab/>
            </w:r>
            <w:r w:rsidR="00210C36" w:rsidRPr="00826B7F">
              <w:rPr>
                <w:rStyle w:val="Hyperlink"/>
                <w:rFonts w:eastAsiaTheme="majorEastAsia" w:cstheme="majorBidi"/>
                <w:noProof/>
              </w:rPr>
              <w:t>Other non-exempt domestic support</w:t>
            </w:r>
            <w:r w:rsidR="00210C36">
              <w:rPr>
                <w:noProof/>
                <w:webHidden/>
              </w:rPr>
              <w:tab/>
            </w:r>
            <w:r w:rsidR="00210C36">
              <w:rPr>
                <w:noProof/>
                <w:webHidden/>
              </w:rPr>
              <w:fldChar w:fldCharType="begin"/>
            </w:r>
            <w:r w:rsidR="00210C36">
              <w:rPr>
                <w:noProof/>
                <w:webHidden/>
              </w:rPr>
              <w:instrText xml:space="preserve"> PAGEREF _Toc72430885 \h </w:instrText>
            </w:r>
            <w:r w:rsidR="00210C36">
              <w:rPr>
                <w:noProof/>
                <w:webHidden/>
              </w:rPr>
            </w:r>
            <w:r w:rsidR="00210C36">
              <w:rPr>
                <w:noProof/>
                <w:webHidden/>
              </w:rPr>
              <w:fldChar w:fldCharType="separate"/>
            </w:r>
            <w:r w:rsidR="00AC7864">
              <w:rPr>
                <w:noProof/>
                <w:webHidden/>
              </w:rPr>
              <w:t>13</w:t>
            </w:r>
            <w:r w:rsidR="00210C36">
              <w:rPr>
                <w:noProof/>
                <w:webHidden/>
              </w:rPr>
              <w:fldChar w:fldCharType="end"/>
            </w:r>
          </w:hyperlink>
        </w:p>
        <w:p w14:paraId="4410E3DD" w14:textId="48D3FDAD" w:rsidR="00210C36" w:rsidRDefault="00092334">
          <w:pPr>
            <w:pStyle w:val="TOC3"/>
            <w:rPr>
              <w:rFonts w:asciiTheme="minorHAnsi" w:eastAsiaTheme="minorEastAsia" w:hAnsiTheme="minorHAnsi"/>
              <w:b w:val="0"/>
              <w:noProof/>
              <w:sz w:val="22"/>
              <w:szCs w:val="22"/>
              <w:lang w:eastAsia="en-AU"/>
            </w:rPr>
          </w:pPr>
          <w:hyperlink w:anchor="_Toc72430886" w:history="1">
            <w:r w:rsidR="00210C36" w:rsidRPr="00826B7F">
              <w:rPr>
                <w:rStyle w:val="Hyperlink"/>
                <w:rFonts w:eastAsiaTheme="majorEastAsia" w:cstheme="majorBidi"/>
                <w:noProof/>
              </w:rPr>
              <w:t>1.</w:t>
            </w:r>
            <w:r w:rsidR="00210C36">
              <w:rPr>
                <w:rFonts w:asciiTheme="minorHAnsi" w:eastAsiaTheme="minorEastAsia" w:hAnsiTheme="minorHAnsi"/>
                <w:b w:val="0"/>
                <w:noProof/>
                <w:sz w:val="22"/>
                <w:szCs w:val="22"/>
                <w:lang w:eastAsia="en-AU"/>
              </w:rPr>
              <w:tab/>
            </w:r>
            <w:r w:rsidR="00210C36" w:rsidRPr="00826B7F">
              <w:rPr>
                <w:rStyle w:val="Hyperlink"/>
                <w:rFonts w:eastAsiaTheme="majorEastAsia" w:cstheme="majorBidi"/>
                <w:noProof/>
              </w:rPr>
              <w:t>Calculation of India's other non-exempt domestic support for sugarcane</w:t>
            </w:r>
            <w:r w:rsidR="00210C36">
              <w:rPr>
                <w:noProof/>
                <w:webHidden/>
              </w:rPr>
              <w:tab/>
            </w:r>
            <w:r w:rsidR="00210C36">
              <w:rPr>
                <w:noProof/>
                <w:webHidden/>
              </w:rPr>
              <w:fldChar w:fldCharType="begin"/>
            </w:r>
            <w:r w:rsidR="00210C36">
              <w:rPr>
                <w:noProof/>
                <w:webHidden/>
              </w:rPr>
              <w:instrText xml:space="preserve"> PAGEREF _Toc72430886 \h </w:instrText>
            </w:r>
            <w:r w:rsidR="00210C36">
              <w:rPr>
                <w:noProof/>
                <w:webHidden/>
              </w:rPr>
            </w:r>
            <w:r w:rsidR="00210C36">
              <w:rPr>
                <w:noProof/>
                <w:webHidden/>
              </w:rPr>
              <w:fldChar w:fldCharType="separate"/>
            </w:r>
            <w:r w:rsidR="00AC7864">
              <w:rPr>
                <w:noProof/>
                <w:webHidden/>
              </w:rPr>
              <w:t>13</w:t>
            </w:r>
            <w:r w:rsidR="00210C36">
              <w:rPr>
                <w:noProof/>
                <w:webHidden/>
              </w:rPr>
              <w:fldChar w:fldCharType="end"/>
            </w:r>
          </w:hyperlink>
        </w:p>
        <w:p w14:paraId="57026A54" w14:textId="2EB32F67" w:rsidR="00210C36" w:rsidRDefault="00092334">
          <w:pPr>
            <w:pStyle w:val="TOC3"/>
            <w:rPr>
              <w:rFonts w:asciiTheme="minorHAnsi" w:eastAsiaTheme="minorEastAsia" w:hAnsiTheme="minorHAnsi"/>
              <w:b w:val="0"/>
              <w:noProof/>
              <w:sz w:val="22"/>
              <w:szCs w:val="22"/>
              <w:lang w:eastAsia="en-AU"/>
            </w:rPr>
          </w:pPr>
          <w:hyperlink w:anchor="_Toc72430887" w:history="1">
            <w:r w:rsidR="00210C36" w:rsidRPr="00826B7F">
              <w:rPr>
                <w:rStyle w:val="Hyperlink"/>
                <w:rFonts w:eastAsiaTheme="majorEastAsia" w:cstheme="majorBidi"/>
                <w:noProof/>
              </w:rPr>
              <w:t>2.</w:t>
            </w:r>
            <w:r w:rsidR="00210C36">
              <w:rPr>
                <w:rFonts w:asciiTheme="minorHAnsi" w:eastAsiaTheme="minorEastAsia" w:hAnsiTheme="minorHAnsi"/>
                <w:b w:val="0"/>
                <w:noProof/>
                <w:sz w:val="22"/>
                <w:szCs w:val="22"/>
                <w:lang w:eastAsia="en-AU"/>
              </w:rPr>
              <w:tab/>
            </w:r>
            <w:r w:rsidR="00210C36" w:rsidRPr="00826B7F">
              <w:rPr>
                <w:rStyle w:val="Hyperlink"/>
                <w:rFonts w:eastAsiaTheme="majorEastAsia" w:cstheme="majorBidi"/>
                <w:noProof/>
              </w:rPr>
              <w:t>The Andhra Pradesh, Karnataka and Tamil Nadu programmes</w:t>
            </w:r>
            <w:r w:rsidR="00210C36">
              <w:rPr>
                <w:noProof/>
                <w:webHidden/>
              </w:rPr>
              <w:tab/>
            </w:r>
            <w:r w:rsidR="00210C36">
              <w:rPr>
                <w:noProof/>
                <w:webHidden/>
              </w:rPr>
              <w:fldChar w:fldCharType="begin"/>
            </w:r>
            <w:r w:rsidR="00210C36">
              <w:rPr>
                <w:noProof/>
                <w:webHidden/>
              </w:rPr>
              <w:instrText xml:space="preserve"> PAGEREF _Toc72430887 \h </w:instrText>
            </w:r>
            <w:r w:rsidR="00210C36">
              <w:rPr>
                <w:noProof/>
                <w:webHidden/>
              </w:rPr>
            </w:r>
            <w:r w:rsidR="00210C36">
              <w:rPr>
                <w:noProof/>
                <w:webHidden/>
              </w:rPr>
              <w:fldChar w:fldCharType="separate"/>
            </w:r>
            <w:r w:rsidR="00AC7864">
              <w:rPr>
                <w:noProof/>
                <w:webHidden/>
              </w:rPr>
              <w:t>13</w:t>
            </w:r>
            <w:r w:rsidR="00210C36">
              <w:rPr>
                <w:noProof/>
                <w:webHidden/>
              </w:rPr>
              <w:fldChar w:fldCharType="end"/>
            </w:r>
          </w:hyperlink>
        </w:p>
        <w:p w14:paraId="12B5F894" w14:textId="28F88B4B" w:rsidR="00210C36" w:rsidRDefault="00092334">
          <w:pPr>
            <w:pStyle w:val="TOC2"/>
            <w:rPr>
              <w:rFonts w:asciiTheme="minorHAnsi" w:eastAsiaTheme="minorEastAsia" w:hAnsiTheme="minorHAnsi"/>
              <w:b w:val="0"/>
              <w:smallCaps w:val="0"/>
              <w:noProof/>
              <w:sz w:val="22"/>
              <w:szCs w:val="22"/>
              <w:lang w:eastAsia="en-AU"/>
            </w:rPr>
          </w:pPr>
          <w:hyperlink w:anchor="_Toc72430888" w:history="1">
            <w:r w:rsidR="00210C36" w:rsidRPr="00826B7F">
              <w:rPr>
                <w:rStyle w:val="Hyperlink"/>
                <w:rFonts w:eastAsiaTheme="majorEastAsia" w:cstheme="majorBidi"/>
                <w:noProof/>
              </w:rPr>
              <w:t>C.</w:t>
            </w:r>
            <w:r w:rsidR="00210C36">
              <w:rPr>
                <w:rFonts w:asciiTheme="minorHAnsi" w:eastAsiaTheme="minorEastAsia" w:hAnsiTheme="minorHAnsi"/>
                <w:b w:val="0"/>
                <w:smallCaps w:val="0"/>
                <w:noProof/>
                <w:sz w:val="22"/>
                <w:szCs w:val="22"/>
                <w:lang w:eastAsia="en-AU"/>
              </w:rPr>
              <w:tab/>
            </w:r>
            <w:r w:rsidR="00210C36" w:rsidRPr="00826B7F">
              <w:rPr>
                <w:rStyle w:val="Hyperlink"/>
                <w:rFonts w:eastAsiaTheme="majorEastAsia" w:cstheme="majorBidi"/>
                <w:noProof/>
              </w:rPr>
              <w:t xml:space="preserve">India's AMS for sugarcane producers vastly exceeds its permitted </w:t>
            </w:r>
            <w:r w:rsidR="00210C36" w:rsidRPr="00826B7F">
              <w:rPr>
                <w:rStyle w:val="Hyperlink"/>
                <w:rFonts w:eastAsiaTheme="majorEastAsia" w:cstheme="majorBidi"/>
                <w:i/>
                <w:iCs/>
                <w:noProof/>
              </w:rPr>
              <w:t>de minimis</w:t>
            </w:r>
            <w:r w:rsidR="00210C36" w:rsidRPr="00826B7F">
              <w:rPr>
                <w:rStyle w:val="Hyperlink"/>
                <w:rFonts w:eastAsiaTheme="majorEastAsia" w:cstheme="majorBidi"/>
                <w:noProof/>
              </w:rPr>
              <w:t xml:space="preserve"> level</w:t>
            </w:r>
            <w:r w:rsidR="00210C36">
              <w:rPr>
                <w:noProof/>
                <w:webHidden/>
              </w:rPr>
              <w:tab/>
            </w:r>
            <w:r w:rsidR="00210C36">
              <w:rPr>
                <w:noProof/>
                <w:webHidden/>
              </w:rPr>
              <w:fldChar w:fldCharType="begin"/>
            </w:r>
            <w:r w:rsidR="00210C36">
              <w:rPr>
                <w:noProof/>
                <w:webHidden/>
              </w:rPr>
              <w:instrText xml:space="preserve"> PAGEREF _Toc72430888 \h </w:instrText>
            </w:r>
            <w:r w:rsidR="00210C36">
              <w:rPr>
                <w:noProof/>
                <w:webHidden/>
              </w:rPr>
            </w:r>
            <w:r w:rsidR="00210C36">
              <w:rPr>
                <w:noProof/>
                <w:webHidden/>
              </w:rPr>
              <w:fldChar w:fldCharType="separate"/>
            </w:r>
            <w:r w:rsidR="00AC7864">
              <w:rPr>
                <w:noProof/>
                <w:webHidden/>
              </w:rPr>
              <w:t>14</w:t>
            </w:r>
            <w:r w:rsidR="00210C36">
              <w:rPr>
                <w:noProof/>
                <w:webHidden/>
              </w:rPr>
              <w:fldChar w:fldCharType="end"/>
            </w:r>
          </w:hyperlink>
        </w:p>
        <w:p w14:paraId="6A0DF3FF" w14:textId="6291B799" w:rsidR="00210C36" w:rsidRDefault="00092334">
          <w:pPr>
            <w:pStyle w:val="TOC1"/>
            <w:rPr>
              <w:rFonts w:asciiTheme="minorHAnsi" w:eastAsiaTheme="minorEastAsia" w:hAnsiTheme="minorHAnsi"/>
              <w:b w:val="0"/>
              <w:caps w:val="0"/>
              <w:noProof/>
              <w:sz w:val="22"/>
              <w:szCs w:val="22"/>
              <w:lang w:eastAsia="en-AU"/>
            </w:rPr>
          </w:pPr>
          <w:hyperlink w:anchor="_Toc72430889" w:history="1">
            <w:r w:rsidR="00210C36" w:rsidRPr="00826B7F">
              <w:rPr>
                <w:rStyle w:val="Hyperlink"/>
                <w:noProof/>
              </w:rPr>
              <w:t>IV.</w:t>
            </w:r>
            <w:r w:rsidR="00210C36">
              <w:rPr>
                <w:rFonts w:asciiTheme="minorHAnsi" w:eastAsiaTheme="minorEastAsia" w:hAnsiTheme="minorHAnsi"/>
                <w:b w:val="0"/>
                <w:caps w:val="0"/>
                <w:noProof/>
                <w:sz w:val="22"/>
                <w:szCs w:val="22"/>
                <w:lang w:eastAsia="en-AU"/>
              </w:rPr>
              <w:tab/>
            </w:r>
            <w:r w:rsidR="00210C36" w:rsidRPr="00826B7F">
              <w:rPr>
                <w:rStyle w:val="Hyperlink"/>
                <w:noProof/>
              </w:rPr>
              <w:t>India's Export Subsidies For Sugar are inconsistent with its obligations under the Agreement on Agriculture and the SCM Agreement</w:t>
            </w:r>
            <w:r w:rsidR="00210C36">
              <w:rPr>
                <w:noProof/>
                <w:webHidden/>
              </w:rPr>
              <w:tab/>
            </w:r>
            <w:r w:rsidR="00210C36">
              <w:rPr>
                <w:noProof/>
                <w:webHidden/>
              </w:rPr>
              <w:fldChar w:fldCharType="begin"/>
            </w:r>
            <w:r w:rsidR="00210C36">
              <w:rPr>
                <w:noProof/>
                <w:webHidden/>
              </w:rPr>
              <w:instrText xml:space="preserve"> PAGEREF _Toc72430889 \h </w:instrText>
            </w:r>
            <w:r w:rsidR="00210C36">
              <w:rPr>
                <w:noProof/>
                <w:webHidden/>
              </w:rPr>
            </w:r>
            <w:r w:rsidR="00210C36">
              <w:rPr>
                <w:noProof/>
                <w:webHidden/>
              </w:rPr>
              <w:fldChar w:fldCharType="separate"/>
            </w:r>
            <w:r w:rsidR="00AC7864">
              <w:rPr>
                <w:noProof/>
                <w:webHidden/>
              </w:rPr>
              <w:t>14</w:t>
            </w:r>
            <w:r w:rsidR="00210C36">
              <w:rPr>
                <w:noProof/>
                <w:webHidden/>
              </w:rPr>
              <w:fldChar w:fldCharType="end"/>
            </w:r>
          </w:hyperlink>
        </w:p>
        <w:p w14:paraId="34565A40" w14:textId="4943AE3B" w:rsidR="00210C36" w:rsidRDefault="00092334">
          <w:pPr>
            <w:pStyle w:val="TOC2"/>
            <w:rPr>
              <w:rFonts w:asciiTheme="minorHAnsi" w:eastAsiaTheme="minorEastAsia" w:hAnsiTheme="minorHAnsi"/>
              <w:b w:val="0"/>
              <w:smallCaps w:val="0"/>
              <w:noProof/>
              <w:sz w:val="22"/>
              <w:szCs w:val="22"/>
              <w:lang w:eastAsia="en-AU"/>
            </w:rPr>
          </w:pPr>
          <w:hyperlink w:anchor="_Toc72430890" w:history="1">
            <w:r w:rsidR="00210C36" w:rsidRPr="00826B7F">
              <w:rPr>
                <w:rStyle w:val="Hyperlink"/>
                <w:noProof/>
              </w:rPr>
              <w:t>A.</w:t>
            </w:r>
            <w:r w:rsidR="00210C36">
              <w:rPr>
                <w:rFonts w:asciiTheme="minorHAnsi" w:eastAsiaTheme="minorEastAsia" w:hAnsiTheme="minorHAnsi"/>
                <w:b w:val="0"/>
                <w:smallCaps w:val="0"/>
                <w:noProof/>
                <w:sz w:val="22"/>
                <w:szCs w:val="22"/>
                <w:lang w:eastAsia="en-AU"/>
              </w:rPr>
              <w:tab/>
            </w:r>
            <w:r w:rsidR="00210C36" w:rsidRPr="00826B7F">
              <w:rPr>
                <w:rStyle w:val="Hyperlink"/>
                <w:noProof/>
              </w:rPr>
              <w:t>India provides "direct subsidies" that are "contingent on export performance" within the meaning of Article 9.1(A) of the Agreement on Agriculture</w:t>
            </w:r>
            <w:r w:rsidR="00210C36">
              <w:rPr>
                <w:noProof/>
                <w:webHidden/>
              </w:rPr>
              <w:tab/>
            </w:r>
            <w:r w:rsidR="00210C36">
              <w:rPr>
                <w:noProof/>
                <w:webHidden/>
              </w:rPr>
              <w:fldChar w:fldCharType="begin"/>
            </w:r>
            <w:r w:rsidR="00210C36">
              <w:rPr>
                <w:noProof/>
                <w:webHidden/>
              </w:rPr>
              <w:instrText xml:space="preserve"> PAGEREF _Toc72430890 \h </w:instrText>
            </w:r>
            <w:r w:rsidR="00210C36">
              <w:rPr>
                <w:noProof/>
                <w:webHidden/>
              </w:rPr>
            </w:r>
            <w:r w:rsidR="00210C36">
              <w:rPr>
                <w:noProof/>
                <w:webHidden/>
              </w:rPr>
              <w:fldChar w:fldCharType="separate"/>
            </w:r>
            <w:r w:rsidR="00AC7864">
              <w:rPr>
                <w:noProof/>
                <w:webHidden/>
              </w:rPr>
              <w:t>15</w:t>
            </w:r>
            <w:r w:rsidR="00210C36">
              <w:rPr>
                <w:noProof/>
                <w:webHidden/>
              </w:rPr>
              <w:fldChar w:fldCharType="end"/>
            </w:r>
          </w:hyperlink>
        </w:p>
        <w:p w14:paraId="6FD11034" w14:textId="7C7E9B94" w:rsidR="00210C36" w:rsidRDefault="00092334">
          <w:pPr>
            <w:pStyle w:val="TOC3"/>
            <w:rPr>
              <w:rFonts w:asciiTheme="minorHAnsi" w:eastAsiaTheme="minorEastAsia" w:hAnsiTheme="minorHAnsi"/>
              <w:b w:val="0"/>
              <w:noProof/>
              <w:sz w:val="22"/>
              <w:szCs w:val="22"/>
              <w:lang w:eastAsia="en-AU"/>
            </w:rPr>
          </w:pPr>
          <w:hyperlink w:anchor="_Toc72430891" w:history="1">
            <w:r w:rsidR="00210C36" w:rsidRPr="00826B7F">
              <w:rPr>
                <w:rStyle w:val="Hyperlink"/>
                <w:noProof/>
              </w:rPr>
              <w:t>1.</w:t>
            </w:r>
            <w:r w:rsidR="00210C36">
              <w:rPr>
                <w:rFonts w:asciiTheme="minorHAnsi" w:eastAsiaTheme="minorEastAsia" w:hAnsiTheme="minorHAnsi"/>
                <w:b w:val="0"/>
                <w:noProof/>
                <w:sz w:val="22"/>
                <w:szCs w:val="22"/>
                <w:lang w:eastAsia="en-AU"/>
              </w:rPr>
              <w:tab/>
            </w:r>
            <w:r w:rsidR="00210C36" w:rsidRPr="00826B7F">
              <w:rPr>
                <w:rStyle w:val="Hyperlink"/>
                <w:noProof/>
              </w:rPr>
              <w:t>India's production subsidies, buffer stock subsidies and its MAEQ and DFIA schemes are Article 9.1(a) subsidies</w:t>
            </w:r>
            <w:r w:rsidR="00210C36">
              <w:rPr>
                <w:noProof/>
                <w:webHidden/>
              </w:rPr>
              <w:tab/>
            </w:r>
            <w:r w:rsidR="00210C36">
              <w:rPr>
                <w:noProof/>
                <w:webHidden/>
              </w:rPr>
              <w:fldChar w:fldCharType="begin"/>
            </w:r>
            <w:r w:rsidR="00210C36">
              <w:rPr>
                <w:noProof/>
                <w:webHidden/>
              </w:rPr>
              <w:instrText xml:space="preserve"> PAGEREF _Toc72430891 \h </w:instrText>
            </w:r>
            <w:r w:rsidR="00210C36">
              <w:rPr>
                <w:noProof/>
                <w:webHidden/>
              </w:rPr>
            </w:r>
            <w:r w:rsidR="00210C36">
              <w:rPr>
                <w:noProof/>
                <w:webHidden/>
              </w:rPr>
              <w:fldChar w:fldCharType="separate"/>
            </w:r>
            <w:r w:rsidR="00AC7864">
              <w:rPr>
                <w:noProof/>
                <w:webHidden/>
              </w:rPr>
              <w:t>15</w:t>
            </w:r>
            <w:r w:rsidR="00210C36">
              <w:rPr>
                <w:noProof/>
                <w:webHidden/>
              </w:rPr>
              <w:fldChar w:fldCharType="end"/>
            </w:r>
          </w:hyperlink>
        </w:p>
        <w:p w14:paraId="42679B9E" w14:textId="0A675FE6" w:rsidR="00210C36" w:rsidRDefault="00092334">
          <w:pPr>
            <w:pStyle w:val="TOC3"/>
            <w:rPr>
              <w:rFonts w:asciiTheme="minorHAnsi" w:eastAsiaTheme="minorEastAsia" w:hAnsiTheme="minorHAnsi"/>
              <w:b w:val="0"/>
              <w:noProof/>
              <w:sz w:val="22"/>
              <w:szCs w:val="22"/>
              <w:lang w:eastAsia="en-AU"/>
            </w:rPr>
          </w:pPr>
          <w:hyperlink w:anchor="_Toc72430892" w:history="1">
            <w:r w:rsidR="00210C36" w:rsidRPr="00826B7F">
              <w:rPr>
                <w:rStyle w:val="Hyperlink"/>
                <w:noProof/>
              </w:rPr>
              <w:t>2.</w:t>
            </w:r>
            <w:r w:rsidR="00210C36">
              <w:rPr>
                <w:rFonts w:asciiTheme="minorHAnsi" w:eastAsiaTheme="minorEastAsia" w:hAnsiTheme="minorHAnsi"/>
                <w:b w:val="0"/>
                <w:noProof/>
                <w:sz w:val="22"/>
                <w:szCs w:val="22"/>
                <w:lang w:eastAsia="en-AU"/>
              </w:rPr>
              <w:tab/>
            </w:r>
            <w:r w:rsidR="00210C36" w:rsidRPr="00826B7F">
              <w:rPr>
                <w:rStyle w:val="Hyperlink"/>
                <w:noProof/>
              </w:rPr>
              <w:t>India misinterprets Article 9.1</w:t>
            </w:r>
            <w:r w:rsidR="00210C36">
              <w:rPr>
                <w:noProof/>
                <w:webHidden/>
              </w:rPr>
              <w:tab/>
            </w:r>
            <w:r w:rsidR="00210C36">
              <w:rPr>
                <w:noProof/>
                <w:webHidden/>
              </w:rPr>
              <w:fldChar w:fldCharType="begin"/>
            </w:r>
            <w:r w:rsidR="00210C36">
              <w:rPr>
                <w:noProof/>
                <w:webHidden/>
              </w:rPr>
              <w:instrText xml:space="preserve"> PAGEREF _Toc72430892 \h </w:instrText>
            </w:r>
            <w:r w:rsidR="00210C36">
              <w:rPr>
                <w:noProof/>
                <w:webHidden/>
              </w:rPr>
            </w:r>
            <w:r w:rsidR="00210C36">
              <w:rPr>
                <w:noProof/>
                <w:webHidden/>
              </w:rPr>
              <w:fldChar w:fldCharType="separate"/>
            </w:r>
            <w:r w:rsidR="00AC7864">
              <w:rPr>
                <w:noProof/>
                <w:webHidden/>
              </w:rPr>
              <w:t>16</w:t>
            </w:r>
            <w:r w:rsidR="00210C36">
              <w:rPr>
                <w:noProof/>
                <w:webHidden/>
              </w:rPr>
              <w:fldChar w:fldCharType="end"/>
            </w:r>
          </w:hyperlink>
        </w:p>
        <w:p w14:paraId="1BC9D8A3" w14:textId="59BC909E" w:rsidR="00210C36" w:rsidRDefault="00092334">
          <w:pPr>
            <w:pStyle w:val="TOC4"/>
            <w:rPr>
              <w:rFonts w:asciiTheme="minorHAnsi" w:eastAsiaTheme="minorEastAsia" w:hAnsiTheme="minorHAnsi"/>
              <w:noProof/>
              <w:sz w:val="22"/>
              <w:szCs w:val="22"/>
              <w:u w:val="none"/>
              <w:lang w:eastAsia="en-AU"/>
            </w:rPr>
          </w:pPr>
          <w:hyperlink w:anchor="_Toc72430893" w:history="1">
            <w:r w:rsidR="00210C36" w:rsidRPr="00826B7F">
              <w:rPr>
                <w:rStyle w:val="Hyperlink"/>
                <w:noProof/>
              </w:rPr>
              <w:t>(a)</w:t>
            </w:r>
            <w:r w:rsidR="00210C36">
              <w:rPr>
                <w:rFonts w:asciiTheme="minorHAnsi" w:eastAsiaTheme="minorEastAsia" w:hAnsiTheme="minorHAnsi"/>
                <w:noProof/>
                <w:sz w:val="22"/>
                <w:szCs w:val="22"/>
                <w:u w:val="none"/>
                <w:lang w:eastAsia="en-AU"/>
              </w:rPr>
              <w:tab/>
            </w:r>
            <w:r w:rsidR="00210C36" w:rsidRPr="00826B7F">
              <w:rPr>
                <w:rStyle w:val="Hyperlink"/>
                <w:noProof/>
              </w:rPr>
              <w:t>Evidence of actual funds disbursements is not required</w:t>
            </w:r>
            <w:r w:rsidR="00210C36">
              <w:rPr>
                <w:noProof/>
                <w:webHidden/>
              </w:rPr>
              <w:tab/>
            </w:r>
            <w:r w:rsidR="00210C36">
              <w:rPr>
                <w:noProof/>
                <w:webHidden/>
              </w:rPr>
              <w:fldChar w:fldCharType="begin"/>
            </w:r>
            <w:r w:rsidR="00210C36">
              <w:rPr>
                <w:noProof/>
                <w:webHidden/>
              </w:rPr>
              <w:instrText xml:space="preserve"> PAGEREF _Toc72430893 \h </w:instrText>
            </w:r>
            <w:r w:rsidR="00210C36">
              <w:rPr>
                <w:noProof/>
                <w:webHidden/>
              </w:rPr>
            </w:r>
            <w:r w:rsidR="00210C36">
              <w:rPr>
                <w:noProof/>
                <w:webHidden/>
              </w:rPr>
              <w:fldChar w:fldCharType="separate"/>
            </w:r>
            <w:r w:rsidR="00AC7864">
              <w:rPr>
                <w:noProof/>
                <w:webHidden/>
              </w:rPr>
              <w:t>16</w:t>
            </w:r>
            <w:r w:rsidR="00210C36">
              <w:rPr>
                <w:noProof/>
                <w:webHidden/>
              </w:rPr>
              <w:fldChar w:fldCharType="end"/>
            </w:r>
          </w:hyperlink>
        </w:p>
        <w:p w14:paraId="2988AFB2" w14:textId="02E10160" w:rsidR="00210C36" w:rsidRDefault="00092334">
          <w:pPr>
            <w:pStyle w:val="TOC4"/>
            <w:rPr>
              <w:rFonts w:asciiTheme="minorHAnsi" w:eastAsiaTheme="minorEastAsia" w:hAnsiTheme="minorHAnsi"/>
              <w:noProof/>
              <w:sz w:val="22"/>
              <w:szCs w:val="22"/>
              <w:u w:val="none"/>
              <w:lang w:eastAsia="en-AU"/>
            </w:rPr>
          </w:pPr>
          <w:hyperlink w:anchor="_Toc72430894" w:history="1">
            <w:r w:rsidR="00210C36" w:rsidRPr="00826B7F">
              <w:rPr>
                <w:rStyle w:val="Hyperlink"/>
                <w:noProof/>
              </w:rPr>
              <w:t>(b)</w:t>
            </w:r>
            <w:r w:rsidR="00210C36">
              <w:rPr>
                <w:rFonts w:asciiTheme="minorHAnsi" w:eastAsiaTheme="minorEastAsia" w:hAnsiTheme="minorHAnsi"/>
                <w:noProof/>
                <w:sz w:val="22"/>
                <w:szCs w:val="22"/>
                <w:u w:val="none"/>
                <w:lang w:eastAsia="en-AU"/>
              </w:rPr>
              <w:tab/>
            </w:r>
            <w:r w:rsidR="00210C36" w:rsidRPr="00826B7F">
              <w:rPr>
                <w:rStyle w:val="Hyperlink"/>
                <w:noProof/>
              </w:rPr>
              <w:t>Australia has demonstrated the existence of a "benefit"</w:t>
            </w:r>
            <w:r w:rsidR="00210C36">
              <w:rPr>
                <w:noProof/>
                <w:webHidden/>
              </w:rPr>
              <w:tab/>
            </w:r>
            <w:r w:rsidR="00210C36">
              <w:rPr>
                <w:noProof/>
                <w:webHidden/>
              </w:rPr>
              <w:fldChar w:fldCharType="begin"/>
            </w:r>
            <w:r w:rsidR="00210C36">
              <w:rPr>
                <w:noProof/>
                <w:webHidden/>
              </w:rPr>
              <w:instrText xml:space="preserve"> PAGEREF _Toc72430894 \h </w:instrText>
            </w:r>
            <w:r w:rsidR="00210C36">
              <w:rPr>
                <w:noProof/>
                <w:webHidden/>
              </w:rPr>
            </w:r>
            <w:r w:rsidR="00210C36">
              <w:rPr>
                <w:noProof/>
                <w:webHidden/>
              </w:rPr>
              <w:fldChar w:fldCharType="separate"/>
            </w:r>
            <w:r w:rsidR="00AC7864">
              <w:rPr>
                <w:noProof/>
                <w:webHidden/>
              </w:rPr>
              <w:t>17</w:t>
            </w:r>
            <w:r w:rsidR="00210C36">
              <w:rPr>
                <w:noProof/>
                <w:webHidden/>
              </w:rPr>
              <w:fldChar w:fldCharType="end"/>
            </w:r>
          </w:hyperlink>
        </w:p>
        <w:p w14:paraId="7BC90844" w14:textId="161B1236" w:rsidR="00210C36" w:rsidRDefault="00092334">
          <w:pPr>
            <w:pStyle w:val="TOC3"/>
            <w:rPr>
              <w:rFonts w:asciiTheme="minorHAnsi" w:eastAsiaTheme="minorEastAsia" w:hAnsiTheme="minorHAnsi"/>
              <w:b w:val="0"/>
              <w:noProof/>
              <w:sz w:val="22"/>
              <w:szCs w:val="22"/>
              <w:lang w:eastAsia="en-AU"/>
            </w:rPr>
          </w:pPr>
          <w:hyperlink w:anchor="_Toc72430895" w:history="1">
            <w:r w:rsidR="00210C36" w:rsidRPr="00826B7F">
              <w:rPr>
                <w:rStyle w:val="Hyperlink"/>
                <w:noProof/>
              </w:rPr>
              <w:t>3.</w:t>
            </w:r>
            <w:r w:rsidR="00210C36">
              <w:rPr>
                <w:rFonts w:asciiTheme="minorHAnsi" w:eastAsiaTheme="minorEastAsia" w:hAnsiTheme="minorHAnsi"/>
                <w:b w:val="0"/>
                <w:noProof/>
                <w:sz w:val="22"/>
                <w:szCs w:val="22"/>
                <w:lang w:eastAsia="en-AU"/>
              </w:rPr>
              <w:tab/>
            </w:r>
            <w:r w:rsidR="00210C36" w:rsidRPr="00826B7F">
              <w:rPr>
                <w:rStyle w:val="Hyperlink"/>
                <w:noProof/>
              </w:rPr>
              <w:t>India has not established a defence under Article 9.4 in relation to the MAEQ scheme</w:t>
            </w:r>
            <w:r w:rsidR="00210C36">
              <w:rPr>
                <w:noProof/>
                <w:webHidden/>
              </w:rPr>
              <w:tab/>
            </w:r>
            <w:r w:rsidR="00210C36">
              <w:rPr>
                <w:noProof/>
                <w:webHidden/>
              </w:rPr>
              <w:fldChar w:fldCharType="begin"/>
            </w:r>
            <w:r w:rsidR="00210C36">
              <w:rPr>
                <w:noProof/>
                <w:webHidden/>
              </w:rPr>
              <w:instrText xml:space="preserve"> PAGEREF _Toc72430895 \h </w:instrText>
            </w:r>
            <w:r w:rsidR="00210C36">
              <w:rPr>
                <w:noProof/>
                <w:webHidden/>
              </w:rPr>
            </w:r>
            <w:r w:rsidR="00210C36">
              <w:rPr>
                <w:noProof/>
                <w:webHidden/>
              </w:rPr>
              <w:fldChar w:fldCharType="separate"/>
            </w:r>
            <w:r w:rsidR="00AC7864">
              <w:rPr>
                <w:noProof/>
                <w:webHidden/>
              </w:rPr>
              <w:t>17</w:t>
            </w:r>
            <w:r w:rsidR="00210C36">
              <w:rPr>
                <w:noProof/>
                <w:webHidden/>
              </w:rPr>
              <w:fldChar w:fldCharType="end"/>
            </w:r>
          </w:hyperlink>
        </w:p>
        <w:p w14:paraId="6A4F1947" w14:textId="506A0B76" w:rsidR="00210C36" w:rsidRDefault="00092334">
          <w:pPr>
            <w:pStyle w:val="TOC2"/>
            <w:rPr>
              <w:rFonts w:asciiTheme="minorHAnsi" w:eastAsiaTheme="minorEastAsia" w:hAnsiTheme="minorHAnsi"/>
              <w:b w:val="0"/>
              <w:smallCaps w:val="0"/>
              <w:noProof/>
              <w:sz w:val="22"/>
              <w:szCs w:val="22"/>
              <w:lang w:eastAsia="en-AU"/>
            </w:rPr>
          </w:pPr>
          <w:hyperlink w:anchor="_Toc72430896" w:history="1">
            <w:r w:rsidR="00210C36" w:rsidRPr="00826B7F">
              <w:rPr>
                <w:rStyle w:val="Hyperlink"/>
                <w:noProof/>
              </w:rPr>
              <w:t>B.</w:t>
            </w:r>
            <w:r w:rsidR="00210C36">
              <w:rPr>
                <w:rFonts w:asciiTheme="minorHAnsi" w:eastAsiaTheme="minorEastAsia" w:hAnsiTheme="minorHAnsi"/>
                <w:b w:val="0"/>
                <w:smallCaps w:val="0"/>
                <w:noProof/>
                <w:sz w:val="22"/>
                <w:szCs w:val="22"/>
                <w:lang w:eastAsia="en-AU"/>
              </w:rPr>
              <w:tab/>
            </w:r>
            <w:r w:rsidR="00210C36" w:rsidRPr="00826B7F">
              <w:rPr>
                <w:rStyle w:val="Hyperlink"/>
                <w:noProof/>
              </w:rPr>
              <w:t>India provides prohibited subsidies within the meaning of Article 3.1(A) of the SCM Agreement</w:t>
            </w:r>
            <w:r w:rsidR="00210C36">
              <w:rPr>
                <w:noProof/>
                <w:webHidden/>
              </w:rPr>
              <w:tab/>
            </w:r>
            <w:r w:rsidR="00210C36">
              <w:rPr>
                <w:noProof/>
                <w:webHidden/>
              </w:rPr>
              <w:fldChar w:fldCharType="begin"/>
            </w:r>
            <w:r w:rsidR="00210C36">
              <w:rPr>
                <w:noProof/>
                <w:webHidden/>
              </w:rPr>
              <w:instrText xml:space="preserve"> PAGEREF _Toc72430896 \h </w:instrText>
            </w:r>
            <w:r w:rsidR="00210C36">
              <w:rPr>
                <w:noProof/>
                <w:webHidden/>
              </w:rPr>
            </w:r>
            <w:r w:rsidR="00210C36">
              <w:rPr>
                <w:noProof/>
                <w:webHidden/>
              </w:rPr>
              <w:fldChar w:fldCharType="separate"/>
            </w:r>
            <w:r w:rsidR="00AC7864">
              <w:rPr>
                <w:noProof/>
                <w:webHidden/>
              </w:rPr>
              <w:t>19</w:t>
            </w:r>
            <w:r w:rsidR="00210C36">
              <w:rPr>
                <w:noProof/>
                <w:webHidden/>
              </w:rPr>
              <w:fldChar w:fldCharType="end"/>
            </w:r>
          </w:hyperlink>
        </w:p>
        <w:p w14:paraId="7789AD4E" w14:textId="239E009D" w:rsidR="00210C36" w:rsidRDefault="00092334">
          <w:pPr>
            <w:pStyle w:val="TOC3"/>
            <w:rPr>
              <w:rFonts w:asciiTheme="minorHAnsi" w:eastAsiaTheme="minorEastAsia" w:hAnsiTheme="minorHAnsi"/>
              <w:b w:val="0"/>
              <w:noProof/>
              <w:sz w:val="22"/>
              <w:szCs w:val="22"/>
              <w:lang w:eastAsia="en-AU"/>
            </w:rPr>
          </w:pPr>
          <w:hyperlink w:anchor="_Toc72430897" w:history="1">
            <w:r w:rsidR="00210C36" w:rsidRPr="00826B7F">
              <w:rPr>
                <w:rStyle w:val="Hyperlink"/>
                <w:noProof/>
              </w:rPr>
              <w:t>1.</w:t>
            </w:r>
            <w:r w:rsidR="00210C36">
              <w:rPr>
                <w:rFonts w:asciiTheme="minorHAnsi" w:eastAsiaTheme="minorEastAsia" w:hAnsiTheme="minorHAnsi"/>
                <w:b w:val="0"/>
                <w:noProof/>
                <w:sz w:val="22"/>
                <w:szCs w:val="22"/>
                <w:lang w:eastAsia="en-AU"/>
              </w:rPr>
              <w:tab/>
            </w:r>
            <w:r w:rsidR="00210C36" w:rsidRPr="00826B7F">
              <w:rPr>
                <w:rStyle w:val="Hyperlink"/>
                <w:noProof/>
              </w:rPr>
              <w:t>India's production subsidies, buffer stock subsidies and its MAEQ and DFIA schemes are Article 3.1(a) subsidies</w:t>
            </w:r>
            <w:r w:rsidR="00210C36">
              <w:rPr>
                <w:noProof/>
                <w:webHidden/>
              </w:rPr>
              <w:tab/>
            </w:r>
            <w:r w:rsidR="00210C36">
              <w:rPr>
                <w:noProof/>
                <w:webHidden/>
              </w:rPr>
              <w:fldChar w:fldCharType="begin"/>
            </w:r>
            <w:r w:rsidR="00210C36">
              <w:rPr>
                <w:noProof/>
                <w:webHidden/>
              </w:rPr>
              <w:instrText xml:space="preserve"> PAGEREF _Toc72430897 \h </w:instrText>
            </w:r>
            <w:r w:rsidR="00210C36">
              <w:rPr>
                <w:noProof/>
                <w:webHidden/>
              </w:rPr>
            </w:r>
            <w:r w:rsidR="00210C36">
              <w:rPr>
                <w:noProof/>
                <w:webHidden/>
              </w:rPr>
              <w:fldChar w:fldCharType="separate"/>
            </w:r>
            <w:r w:rsidR="00AC7864">
              <w:rPr>
                <w:noProof/>
                <w:webHidden/>
              </w:rPr>
              <w:t>19</w:t>
            </w:r>
            <w:r w:rsidR="00210C36">
              <w:rPr>
                <w:noProof/>
                <w:webHidden/>
              </w:rPr>
              <w:fldChar w:fldCharType="end"/>
            </w:r>
          </w:hyperlink>
        </w:p>
        <w:p w14:paraId="77CA747B" w14:textId="780721D3" w:rsidR="00210C36" w:rsidRDefault="00092334">
          <w:pPr>
            <w:pStyle w:val="TOC3"/>
            <w:rPr>
              <w:rFonts w:asciiTheme="minorHAnsi" w:eastAsiaTheme="minorEastAsia" w:hAnsiTheme="minorHAnsi"/>
              <w:b w:val="0"/>
              <w:noProof/>
              <w:sz w:val="22"/>
              <w:szCs w:val="22"/>
              <w:lang w:eastAsia="en-AU"/>
            </w:rPr>
          </w:pPr>
          <w:hyperlink w:anchor="_Toc72430898" w:history="1">
            <w:r w:rsidR="00210C36" w:rsidRPr="00826B7F">
              <w:rPr>
                <w:rStyle w:val="Hyperlink"/>
                <w:noProof/>
              </w:rPr>
              <w:t>2.</w:t>
            </w:r>
            <w:r w:rsidR="00210C36">
              <w:rPr>
                <w:rFonts w:asciiTheme="minorHAnsi" w:eastAsiaTheme="minorEastAsia" w:hAnsiTheme="minorHAnsi"/>
                <w:b w:val="0"/>
                <w:noProof/>
                <w:sz w:val="22"/>
                <w:szCs w:val="22"/>
                <w:lang w:eastAsia="en-AU"/>
              </w:rPr>
              <w:tab/>
            </w:r>
            <w:r w:rsidR="00210C36" w:rsidRPr="00826B7F">
              <w:rPr>
                <w:rStyle w:val="Hyperlink"/>
                <w:noProof/>
              </w:rPr>
              <w:t>India misinterprets the legal standard applicable for establishing the existence of an Article 1.1 subsidy</w:t>
            </w:r>
            <w:r w:rsidR="00210C36">
              <w:rPr>
                <w:noProof/>
                <w:webHidden/>
              </w:rPr>
              <w:tab/>
            </w:r>
            <w:r w:rsidR="00210C36">
              <w:rPr>
                <w:noProof/>
                <w:webHidden/>
              </w:rPr>
              <w:fldChar w:fldCharType="begin"/>
            </w:r>
            <w:r w:rsidR="00210C36">
              <w:rPr>
                <w:noProof/>
                <w:webHidden/>
              </w:rPr>
              <w:instrText xml:space="preserve"> PAGEREF _Toc72430898 \h </w:instrText>
            </w:r>
            <w:r w:rsidR="00210C36">
              <w:rPr>
                <w:noProof/>
                <w:webHidden/>
              </w:rPr>
            </w:r>
            <w:r w:rsidR="00210C36">
              <w:rPr>
                <w:noProof/>
                <w:webHidden/>
              </w:rPr>
              <w:fldChar w:fldCharType="separate"/>
            </w:r>
            <w:r w:rsidR="00AC7864">
              <w:rPr>
                <w:noProof/>
                <w:webHidden/>
              </w:rPr>
              <w:t>20</w:t>
            </w:r>
            <w:r w:rsidR="00210C36">
              <w:rPr>
                <w:noProof/>
                <w:webHidden/>
              </w:rPr>
              <w:fldChar w:fldCharType="end"/>
            </w:r>
          </w:hyperlink>
        </w:p>
        <w:p w14:paraId="2CE3894C" w14:textId="373D8FCB" w:rsidR="00210C36" w:rsidRDefault="00092334">
          <w:pPr>
            <w:pStyle w:val="TOC3"/>
            <w:rPr>
              <w:rFonts w:asciiTheme="minorHAnsi" w:eastAsiaTheme="minorEastAsia" w:hAnsiTheme="minorHAnsi"/>
              <w:b w:val="0"/>
              <w:noProof/>
              <w:sz w:val="22"/>
              <w:szCs w:val="22"/>
              <w:lang w:eastAsia="en-AU"/>
            </w:rPr>
          </w:pPr>
          <w:hyperlink w:anchor="_Toc72430899" w:history="1">
            <w:r w:rsidR="00210C36" w:rsidRPr="00826B7F">
              <w:rPr>
                <w:rStyle w:val="Hyperlink"/>
                <w:noProof/>
              </w:rPr>
              <w:t>3.</w:t>
            </w:r>
            <w:r w:rsidR="00210C36">
              <w:rPr>
                <w:rFonts w:asciiTheme="minorHAnsi" w:eastAsiaTheme="minorEastAsia" w:hAnsiTheme="minorHAnsi"/>
                <w:b w:val="0"/>
                <w:noProof/>
                <w:sz w:val="22"/>
                <w:szCs w:val="22"/>
                <w:lang w:eastAsia="en-AU"/>
              </w:rPr>
              <w:tab/>
            </w:r>
            <w:r w:rsidR="00210C36" w:rsidRPr="00826B7F">
              <w:rPr>
                <w:rStyle w:val="Hyperlink"/>
                <w:noProof/>
              </w:rPr>
              <w:t>India misinterprets Article 27 and Annex VII</w:t>
            </w:r>
            <w:r w:rsidR="00210C36">
              <w:rPr>
                <w:noProof/>
                <w:webHidden/>
              </w:rPr>
              <w:tab/>
            </w:r>
            <w:r w:rsidR="00210C36">
              <w:rPr>
                <w:noProof/>
                <w:webHidden/>
              </w:rPr>
              <w:fldChar w:fldCharType="begin"/>
            </w:r>
            <w:r w:rsidR="00210C36">
              <w:rPr>
                <w:noProof/>
                <w:webHidden/>
              </w:rPr>
              <w:instrText xml:space="preserve"> PAGEREF _Toc72430899 \h </w:instrText>
            </w:r>
            <w:r w:rsidR="00210C36">
              <w:rPr>
                <w:noProof/>
                <w:webHidden/>
              </w:rPr>
            </w:r>
            <w:r w:rsidR="00210C36">
              <w:rPr>
                <w:noProof/>
                <w:webHidden/>
              </w:rPr>
              <w:fldChar w:fldCharType="separate"/>
            </w:r>
            <w:r w:rsidR="00AC7864">
              <w:rPr>
                <w:noProof/>
                <w:webHidden/>
              </w:rPr>
              <w:t>20</w:t>
            </w:r>
            <w:r w:rsidR="00210C36">
              <w:rPr>
                <w:noProof/>
                <w:webHidden/>
              </w:rPr>
              <w:fldChar w:fldCharType="end"/>
            </w:r>
          </w:hyperlink>
        </w:p>
        <w:p w14:paraId="3016F0C4" w14:textId="67105A89" w:rsidR="00210C36" w:rsidRDefault="00092334">
          <w:pPr>
            <w:pStyle w:val="TOC3"/>
            <w:rPr>
              <w:rFonts w:asciiTheme="minorHAnsi" w:eastAsiaTheme="minorEastAsia" w:hAnsiTheme="minorHAnsi"/>
              <w:b w:val="0"/>
              <w:noProof/>
              <w:sz w:val="22"/>
              <w:szCs w:val="22"/>
              <w:lang w:eastAsia="en-AU"/>
            </w:rPr>
          </w:pPr>
          <w:hyperlink w:anchor="_Toc72430900" w:history="1">
            <w:r w:rsidR="00210C36" w:rsidRPr="00826B7F">
              <w:rPr>
                <w:rStyle w:val="Hyperlink"/>
                <w:noProof/>
              </w:rPr>
              <w:t>4.</w:t>
            </w:r>
            <w:r w:rsidR="00210C36">
              <w:rPr>
                <w:rFonts w:asciiTheme="minorHAnsi" w:eastAsiaTheme="minorEastAsia" w:hAnsiTheme="minorHAnsi"/>
                <w:b w:val="0"/>
                <w:noProof/>
                <w:sz w:val="22"/>
                <w:szCs w:val="22"/>
                <w:lang w:eastAsia="en-AU"/>
              </w:rPr>
              <w:tab/>
            </w:r>
            <w:r w:rsidR="00210C36" w:rsidRPr="00826B7F">
              <w:rPr>
                <w:rStyle w:val="Hyperlink"/>
                <w:noProof/>
              </w:rPr>
              <w:t>The DFIA scheme does not fall within footnote 1</w:t>
            </w:r>
            <w:r w:rsidR="00210C36">
              <w:rPr>
                <w:noProof/>
                <w:webHidden/>
              </w:rPr>
              <w:tab/>
            </w:r>
            <w:r w:rsidR="00210C36">
              <w:rPr>
                <w:noProof/>
                <w:webHidden/>
              </w:rPr>
              <w:fldChar w:fldCharType="begin"/>
            </w:r>
            <w:r w:rsidR="00210C36">
              <w:rPr>
                <w:noProof/>
                <w:webHidden/>
              </w:rPr>
              <w:instrText xml:space="preserve"> PAGEREF _Toc72430900 \h </w:instrText>
            </w:r>
            <w:r w:rsidR="00210C36">
              <w:rPr>
                <w:noProof/>
                <w:webHidden/>
              </w:rPr>
            </w:r>
            <w:r w:rsidR="00210C36">
              <w:rPr>
                <w:noProof/>
                <w:webHidden/>
              </w:rPr>
              <w:fldChar w:fldCharType="separate"/>
            </w:r>
            <w:r w:rsidR="00AC7864">
              <w:rPr>
                <w:noProof/>
                <w:webHidden/>
              </w:rPr>
              <w:t>21</w:t>
            </w:r>
            <w:r w:rsidR="00210C36">
              <w:rPr>
                <w:noProof/>
                <w:webHidden/>
              </w:rPr>
              <w:fldChar w:fldCharType="end"/>
            </w:r>
          </w:hyperlink>
        </w:p>
        <w:p w14:paraId="7B1F65F8" w14:textId="123D5374" w:rsidR="00210C36" w:rsidRDefault="00092334">
          <w:pPr>
            <w:pStyle w:val="TOC1"/>
            <w:rPr>
              <w:rFonts w:asciiTheme="minorHAnsi" w:eastAsiaTheme="minorEastAsia" w:hAnsiTheme="minorHAnsi"/>
              <w:b w:val="0"/>
              <w:caps w:val="0"/>
              <w:noProof/>
              <w:sz w:val="22"/>
              <w:szCs w:val="22"/>
              <w:lang w:eastAsia="en-AU"/>
            </w:rPr>
          </w:pPr>
          <w:hyperlink w:anchor="_Toc72430901" w:history="1">
            <w:r w:rsidR="00210C36" w:rsidRPr="00826B7F">
              <w:rPr>
                <w:rStyle w:val="Hyperlink"/>
                <w:noProof/>
              </w:rPr>
              <w:t>V.</w:t>
            </w:r>
            <w:r w:rsidR="00210C36">
              <w:rPr>
                <w:rFonts w:asciiTheme="minorHAnsi" w:eastAsiaTheme="minorEastAsia" w:hAnsiTheme="minorHAnsi"/>
                <w:b w:val="0"/>
                <w:caps w:val="0"/>
                <w:noProof/>
                <w:sz w:val="22"/>
                <w:szCs w:val="22"/>
                <w:lang w:eastAsia="en-AU"/>
              </w:rPr>
              <w:tab/>
            </w:r>
            <w:r w:rsidR="00210C36" w:rsidRPr="00826B7F">
              <w:rPr>
                <w:rStyle w:val="Hyperlink"/>
                <w:noProof/>
              </w:rPr>
              <w:t>India has failed to notify its domestic support in favour of sugarcane producers and export subsidies for sugar in breach of its WTO obligations</w:t>
            </w:r>
            <w:r w:rsidR="00210C36">
              <w:rPr>
                <w:noProof/>
                <w:webHidden/>
              </w:rPr>
              <w:tab/>
            </w:r>
            <w:r w:rsidR="00210C36">
              <w:rPr>
                <w:noProof/>
                <w:webHidden/>
              </w:rPr>
              <w:fldChar w:fldCharType="begin"/>
            </w:r>
            <w:r w:rsidR="00210C36">
              <w:rPr>
                <w:noProof/>
                <w:webHidden/>
              </w:rPr>
              <w:instrText xml:space="preserve"> PAGEREF _Toc72430901 \h </w:instrText>
            </w:r>
            <w:r w:rsidR="00210C36">
              <w:rPr>
                <w:noProof/>
                <w:webHidden/>
              </w:rPr>
            </w:r>
            <w:r w:rsidR="00210C36">
              <w:rPr>
                <w:noProof/>
                <w:webHidden/>
              </w:rPr>
              <w:fldChar w:fldCharType="separate"/>
            </w:r>
            <w:r w:rsidR="00AC7864">
              <w:rPr>
                <w:noProof/>
                <w:webHidden/>
              </w:rPr>
              <w:t>23</w:t>
            </w:r>
            <w:r w:rsidR="00210C36">
              <w:rPr>
                <w:noProof/>
                <w:webHidden/>
              </w:rPr>
              <w:fldChar w:fldCharType="end"/>
            </w:r>
          </w:hyperlink>
        </w:p>
        <w:p w14:paraId="7E97C1F8" w14:textId="749428ED" w:rsidR="00210C36" w:rsidRDefault="00092334">
          <w:pPr>
            <w:pStyle w:val="TOC2"/>
            <w:rPr>
              <w:rFonts w:asciiTheme="minorHAnsi" w:eastAsiaTheme="minorEastAsia" w:hAnsiTheme="minorHAnsi"/>
              <w:b w:val="0"/>
              <w:smallCaps w:val="0"/>
              <w:noProof/>
              <w:sz w:val="22"/>
              <w:szCs w:val="22"/>
              <w:lang w:eastAsia="en-AU"/>
            </w:rPr>
          </w:pPr>
          <w:hyperlink w:anchor="_Toc72430902" w:history="1">
            <w:r w:rsidR="00210C36" w:rsidRPr="00826B7F">
              <w:rPr>
                <w:rStyle w:val="Hyperlink"/>
                <w:noProof/>
              </w:rPr>
              <w:t>A.</w:t>
            </w:r>
            <w:r w:rsidR="00210C36">
              <w:rPr>
                <w:rFonts w:asciiTheme="minorHAnsi" w:eastAsiaTheme="minorEastAsia" w:hAnsiTheme="minorHAnsi"/>
                <w:b w:val="0"/>
                <w:smallCaps w:val="0"/>
                <w:noProof/>
                <w:sz w:val="22"/>
                <w:szCs w:val="22"/>
                <w:lang w:eastAsia="en-AU"/>
              </w:rPr>
              <w:tab/>
            </w:r>
            <w:r w:rsidR="00210C36" w:rsidRPr="00826B7F">
              <w:rPr>
                <w:rStyle w:val="Hyperlink"/>
                <w:noProof/>
              </w:rPr>
              <w:t>India's notification obligations under the Agreement on Agriculture, the SCM Agreement and the GATT 1994</w:t>
            </w:r>
            <w:r w:rsidR="00210C36">
              <w:rPr>
                <w:noProof/>
                <w:webHidden/>
              </w:rPr>
              <w:tab/>
            </w:r>
            <w:r w:rsidR="00210C36">
              <w:rPr>
                <w:noProof/>
                <w:webHidden/>
              </w:rPr>
              <w:fldChar w:fldCharType="begin"/>
            </w:r>
            <w:r w:rsidR="00210C36">
              <w:rPr>
                <w:noProof/>
                <w:webHidden/>
              </w:rPr>
              <w:instrText xml:space="preserve"> PAGEREF _Toc72430902 \h </w:instrText>
            </w:r>
            <w:r w:rsidR="00210C36">
              <w:rPr>
                <w:noProof/>
                <w:webHidden/>
              </w:rPr>
            </w:r>
            <w:r w:rsidR="00210C36">
              <w:rPr>
                <w:noProof/>
                <w:webHidden/>
              </w:rPr>
              <w:fldChar w:fldCharType="separate"/>
            </w:r>
            <w:r w:rsidR="00AC7864">
              <w:rPr>
                <w:noProof/>
                <w:webHidden/>
              </w:rPr>
              <w:t>23</w:t>
            </w:r>
            <w:r w:rsidR="00210C36">
              <w:rPr>
                <w:noProof/>
                <w:webHidden/>
              </w:rPr>
              <w:fldChar w:fldCharType="end"/>
            </w:r>
          </w:hyperlink>
        </w:p>
        <w:p w14:paraId="1EF93012" w14:textId="6F09904A" w:rsidR="00210C36" w:rsidRDefault="00092334">
          <w:pPr>
            <w:pStyle w:val="TOC4"/>
            <w:rPr>
              <w:rFonts w:asciiTheme="minorHAnsi" w:eastAsiaTheme="minorEastAsia" w:hAnsiTheme="minorHAnsi"/>
              <w:noProof/>
              <w:sz w:val="22"/>
              <w:szCs w:val="22"/>
              <w:u w:val="none"/>
              <w:lang w:eastAsia="en-AU"/>
            </w:rPr>
          </w:pPr>
          <w:hyperlink w:anchor="_Toc72430903" w:history="1">
            <w:r w:rsidR="00210C36" w:rsidRPr="00826B7F">
              <w:rPr>
                <w:rStyle w:val="Hyperlink"/>
                <w:noProof/>
              </w:rPr>
              <w:t>(a)</w:t>
            </w:r>
            <w:r w:rsidR="00210C36">
              <w:rPr>
                <w:rFonts w:asciiTheme="minorHAnsi" w:eastAsiaTheme="minorEastAsia" w:hAnsiTheme="minorHAnsi"/>
                <w:noProof/>
                <w:sz w:val="22"/>
                <w:szCs w:val="22"/>
                <w:u w:val="none"/>
                <w:lang w:eastAsia="en-AU"/>
              </w:rPr>
              <w:tab/>
            </w:r>
            <w:r w:rsidR="00210C36" w:rsidRPr="00826B7F">
              <w:rPr>
                <w:rStyle w:val="Hyperlink"/>
                <w:noProof/>
              </w:rPr>
              <w:t>India misinterprets Article 18 of the Agreement on Agriculture</w:t>
            </w:r>
            <w:r w:rsidR="00210C36">
              <w:rPr>
                <w:noProof/>
                <w:webHidden/>
              </w:rPr>
              <w:tab/>
            </w:r>
            <w:r w:rsidR="00210C36">
              <w:rPr>
                <w:noProof/>
                <w:webHidden/>
              </w:rPr>
              <w:fldChar w:fldCharType="begin"/>
            </w:r>
            <w:r w:rsidR="00210C36">
              <w:rPr>
                <w:noProof/>
                <w:webHidden/>
              </w:rPr>
              <w:instrText xml:space="preserve"> PAGEREF _Toc72430903 \h </w:instrText>
            </w:r>
            <w:r w:rsidR="00210C36">
              <w:rPr>
                <w:noProof/>
                <w:webHidden/>
              </w:rPr>
            </w:r>
            <w:r w:rsidR="00210C36">
              <w:rPr>
                <w:noProof/>
                <w:webHidden/>
              </w:rPr>
              <w:fldChar w:fldCharType="separate"/>
            </w:r>
            <w:r w:rsidR="00AC7864">
              <w:rPr>
                <w:noProof/>
                <w:webHidden/>
              </w:rPr>
              <w:t>24</w:t>
            </w:r>
            <w:r w:rsidR="00210C36">
              <w:rPr>
                <w:noProof/>
                <w:webHidden/>
              </w:rPr>
              <w:fldChar w:fldCharType="end"/>
            </w:r>
          </w:hyperlink>
        </w:p>
        <w:p w14:paraId="58B5E872" w14:textId="31A5646A" w:rsidR="00210C36" w:rsidRDefault="00092334">
          <w:pPr>
            <w:pStyle w:val="TOC2"/>
            <w:rPr>
              <w:rFonts w:asciiTheme="minorHAnsi" w:eastAsiaTheme="minorEastAsia" w:hAnsiTheme="minorHAnsi"/>
              <w:b w:val="0"/>
              <w:smallCaps w:val="0"/>
              <w:noProof/>
              <w:sz w:val="22"/>
              <w:szCs w:val="22"/>
              <w:lang w:eastAsia="en-AU"/>
            </w:rPr>
          </w:pPr>
          <w:hyperlink w:anchor="_Toc72430904" w:history="1">
            <w:r w:rsidR="00210C36" w:rsidRPr="00826B7F">
              <w:rPr>
                <w:rStyle w:val="Hyperlink"/>
                <w:noProof/>
              </w:rPr>
              <w:t>B.</w:t>
            </w:r>
            <w:r w:rsidR="00210C36">
              <w:rPr>
                <w:rFonts w:asciiTheme="minorHAnsi" w:eastAsiaTheme="minorEastAsia" w:hAnsiTheme="minorHAnsi"/>
                <w:b w:val="0"/>
                <w:smallCaps w:val="0"/>
                <w:noProof/>
                <w:sz w:val="22"/>
                <w:szCs w:val="22"/>
                <w:lang w:eastAsia="en-AU"/>
              </w:rPr>
              <w:tab/>
            </w:r>
            <w:r w:rsidR="00210C36" w:rsidRPr="00826B7F">
              <w:rPr>
                <w:rStyle w:val="Hyperlink"/>
                <w:noProof/>
              </w:rPr>
              <w:t>India has breached its notification obligations by failing to notify its domestic support in favour of sugarcane producers and its export subsidies for sugar</w:t>
            </w:r>
            <w:r w:rsidR="00210C36">
              <w:rPr>
                <w:noProof/>
                <w:webHidden/>
              </w:rPr>
              <w:tab/>
            </w:r>
            <w:r w:rsidR="00210C36">
              <w:rPr>
                <w:noProof/>
                <w:webHidden/>
              </w:rPr>
              <w:fldChar w:fldCharType="begin"/>
            </w:r>
            <w:r w:rsidR="00210C36">
              <w:rPr>
                <w:noProof/>
                <w:webHidden/>
              </w:rPr>
              <w:instrText xml:space="preserve"> PAGEREF _Toc72430904 \h </w:instrText>
            </w:r>
            <w:r w:rsidR="00210C36">
              <w:rPr>
                <w:noProof/>
                <w:webHidden/>
              </w:rPr>
            </w:r>
            <w:r w:rsidR="00210C36">
              <w:rPr>
                <w:noProof/>
                <w:webHidden/>
              </w:rPr>
              <w:fldChar w:fldCharType="separate"/>
            </w:r>
            <w:r w:rsidR="00AC7864">
              <w:rPr>
                <w:noProof/>
                <w:webHidden/>
              </w:rPr>
              <w:t>25</w:t>
            </w:r>
            <w:r w:rsidR="00210C36">
              <w:rPr>
                <w:noProof/>
                <w:webHidden/>
              </w:rPr>
              <w:fldChar w:fldCharType="end"/>
            </w:r>
          </w:hyperlink>
        </w:p>
        <w:p w14:paraId="55A3494F" w14:textId="6B0ACD87" w:rsidR="00210C36" w:rsidRDefault="00092334">
          <w:pPr>
            <w:pStyle w:val="TOC1"/>
            <w:rPr>
              <w:rFonts w:asciiTheme="minorHAnsi" w:eastAsiaTheme="minorEastAsia" w:hAnsiTheme="minorHAnsi"/>
              <w:b w:val="0"/>
              <w:caps w:val="0"/>
              <w:noProof/>
              <w:sz w:val="22"/>
              <w:szCs w:val="22"/>
              <w:lang w:eastAsia="en-AU"/>
            </w:rPr>
          </w:pPr>
          <w:hyperlink w:anchor="_Toc72430905" w:history="1">
            <w:r w:rsidR="00210C36" w:rsidRPr="00826B7F">
              <w:rPr>
                <w:rStyle w:val="Hyperlink"/>
                <w:noProof/>
              </w:rPr>
              <w:t>VI.</w:t>
            </w:r>
            <w:r w:rsidR="00210C36">
              <w:rPr>
                <w:rFonts w:asciiTheme="minorHAnsi" w:eastAsiaTheme="minorEastAsia" w:hAnsiTheme="minorHAnsi"/>
                <w:b w:val="0"/>
                <w:caps w:val="0"/>
                <w:noProof/>
                <w:sz w:val="22"/>
                <w:szCs w:val="22"/>
                <w:lang w:eastAsia="en-AU"/>
              </w:rPr>
              <w:tab/>
            </w:r>
            <w:r w:rsidR="00210C36" w:rsidRPr="00826B7F">
              <w:rPr>
                <w:rStyle w:val="Hyperlink"/>
                <w:noProof/>
              </w:rPr>
              <w:t>CONCLUSION</w:t>
            </w:r>
            <w:r w:rsidR="00210C36">
              <w:rPr>
                <w:noProof/>
                <w:webHidden/>
              </w:rPr>
              <w:tab/>
            </w:r>
            <w:r w:rsidR="00210C36">
              <w:rPr>
                <w:noProof/>
                <w:webHidden/>
              </w:rPr>
              <w:fldChar w:fldCharType="begin"/>
            </w:r>
            <w:r w:rsidR="00210C36">
              <w:rPr>
                <w:noProof/>
                <w:webHidden/>
              </w:rPr>
              <w:instrText xml:space="preserve"> PAGEREF _Toc72430905 \h </w:instrText>
            </w:r>
            <w:r w:rsidR="00210C36">
              <w:rPr>
                <w:noProof/>
                <w:webHidden/>
              </w:rPr>
            </w:r>
            <w:r w:rsidR="00210C36">
              <w:rPr>
                <w:noProof/>
                <w:webHidden/>
              </w:rPr>
              <w:fldChar w:fldCharType="separate"/>
            </w:r>
            <w:r w:rsidR="00AC7864">
              <w:rPr>
                <w:noProof/>
                <w:webHidden/>
              </w:rPr>
              <w:t>25</w:t>
            </w:r>
            <w:r w:rsidR="00210C36">
              <w:rPr>
                <w:noProof/>
                <w:webHidden/>
              </w:rPr>
              <w:fldChar w:fldCharType="end"/>
            </w:r>
          </w:hyperlink>
        </w:p>
        <w:p w14:paraId="74404B1D" w14:textId="58A575E9" w:rsidR="00210C36" w:rsidRDefault="00092334">
          <w:pPr>
            <w:pStyle w:val="TOC1"/>
            <w:tabs>
              <w:tab w:val="left" w:pos="1276"/>
            </w:tabs>
            <w:rPr>
              <w:rFonts w:asciiTheme="minorHAnsi" w:eastAsiaTheme="minorEastAsia" w:hAnsiTheme="minorHAnsi"/>
              <w:b w:val="0"/>
              <w:caps w:val="0"/>
              <w:noProof/>
              <w:sz w:val="22"/>
              <w:szCs w:val="22"/>
              <w:lang w:eastAsia="en-AU"/>
            </w:rPr>
          </w:pPr>
          <w:hyperlink w:anchor="_Toc72430906" w:history="1">
            <w:r w:rsidR="00210C36" w:rsidRPr="00826B7F">
              <w:rPr>
                <w:rStyle w:val="Hyperlink"/>
                <w:noProof/>
              </w:rPr>
              <w:t>ANNEX A</w:t>
            </w:r>
            <w:r w:rsidR="00210C36">
              <w:rPr>
                <w:rFonts w:asciiTheme="minorHAnsi" w:eastAsiaTheme="minorEastAsia" w:hAnsiTheme="minorHAnsi"/>
                <w:b w:val="0"/>
                <w:caps w:val="0"/>
                <w:noProof/>
                <w:sz w:val="22"/>
                <w:szCs w:val="22"/>
                <w:lang w:eastAsia="en-AU"/>
              </w:rPr>
              <w:tab/>
            </w:r>
            <w:r w:rsidR="00210C36" w:rsidRPr="00826B7F">
              <w:rPr>
                <w:rStyle w:val="Hyperlink"/>
                <w:noProof/>
              </w:rPr>
              <w:t>Summary of Australia's calculations of India's AMS for sugarcane in the sugar seasons 2014–15 to 2018–19</w:t>
            </w:r>
            <w:r w:rsidR="00210C36">
              <w:rPr>
                <w:noProof/>
                <w:webHidden/>
              </w:rPr>
              <w:tab/>
            </w:r>
            <w:r w:rsidR="00210C36">
              <w:rPr>
                <w:noProof/>
                <w:webHidden/>
              </w:rPr>
              <w:fldChar w:fldCharType="begin"/>
            </w:r>
            <w:r w:rsidR="00210C36">
              <w:rPr>
                <w:noProof/>
                <w:webHidden/>
              </w:rPr>
              <w:instrText xml:space="preserve"> PAGEREF _Toc72430906 \h </w:instrText>
            </w:r>
            <w:r w:rsidR="00210C36">
              <w:rPr>
                <w:noProof/>
                <w:webHidden/>
              </w:rPr>
            </w:r>
            <w:r w:rsidR="00210C36">
              <w:rPr>
                <w:noProof/>
                <w:webHidden/>
              </w:rPr>
              <w:fldChar w:fldCharType="separate"/>
            </w:r>
            <w:r w:rsidR="00AC7864">
              <w:rPr>
                <w:noProof/>
                <w:webHidden/>
              </w:rPr>
              <w:t>27</w:t>
            </w:r>
            <w:r w:rsidR="00210C36">
              <w:rPr>
                <w:noProof/>
                <w:webHidden/>
              </w:rPr>
              <w:fldChar w:fldCharType="end"/>
            </w:r>
          </w:hyperlink>
        </w:p>
        <w:p w14:paraId="063192BB" w14:textId="618E9B8F" w:rsidR="00D47F18" w:rsidRPr="0007327B" w:rsidRDefault="00F945DB" w:rsidP="00F01A73">
          <w:pPr>
            <w:pStyle w:val="BTNSSBodyTextNoSpacingSmall"/>
          </w:pPr>
          <w:r w:rsidRPr="0007327B">
            <w:rPr>
              <w:rFonts w:eastAsiaTheme="majorEastAsia" w:cstheme="majorBidi"/>
              <w:sz w:val="24"/>
              <w:szCs w:val="32"/>
            </w:rPr>
            <w:fldChar w:fldCharType="end"/>
          </w:r>
        </w:p>
      </w:sdtContent>
    </w:sdt>
    <w:p w14:paraId="36D6B10E" w14:textId="77777777" w:rsidR="004D7079" w:rsidRPr="0007327B" w:rsidRDefault="004D7079" w:rsidP="004D7079">
      <w:pPr>
        <w:pStyle w:val="BTNSSBodyTextNoSpacingSmall"/>
      </w:pPr>
    </w:p>
    <w:p w14:paraId="571BEBCA" w14:textId="77777777" w:rsidR="001242ED" w:rsidRDefault="001242ED" w:rsidP="00C73188">
      <w:pPr>
        <w:pStyle w:val="SHSectionHeading"/>
      </w:pPr>
    </w:p>
    <w:p w14:paraId="0A2FF123" w14:textId="6BF2A7CA" w:rsidR="00F945DB" w:rsidRPr="0007327B" w:rsidRDefault="00F945DB" w:rsidP="00C73188">
      <w:pPr>
        <w:pStyle w:val="SHSectionHeading"/>
      </w:pPr>
      <w:bookmarkStart w:id="0" w:name="_Toc72430854"/>
      <w:r w:rsidRPr="0007327B">
        <w:t>Table of Cases</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795"/>
      </w:tblGrid>
      <w:tr w:rsidR="008A1191" w:rsidRPr="0007327B" w14:paraId="63DBBEE1" w14:textId="77777777" w:rsidTr="0055531A">
        <w:trPr>
          <w:cantSplit/>
          <w:trHeight w:val="397"/>
          <w:tblHeader/>
        </w:trPr>
        <w:tc>
          <w:tcPr>
            <w:tcW w:w="2265" w:type="dxa"/>
            <w:shd w:val="clear" w:color="auto" w:fill="D9D9D9" w:themeFill="background1" w:themeFillShade="D9"/>
          </w:tcPr>
          <w:p w14:paraId="6C4287BB" w14:textId="77777777" w:rsidR="008A1191" w:rsidRPr="0007327B" w:rsidRDefault="008A1191" w:rsidP="008A4C51">
            <w:pPr>
              <w:pStyle w:val="THTableHeading"/>
              <w:jc w:val="center"/>
            </w:pPr>
            <w:r w:rsidRPr="0007327B">
              <w:t>Short Title</w:t>
            </w:r>
          </w:p>
        </w:tc>
        <w:tc>
          <w:tcPr>
            <w:tcW w:w="6795" w:type="dxa"/>
            <w:shd w:val="clear" w:color="auto" w:fill="D9D9D9" w:themeFill="background1" w:themeFillShade="D9"/>
          </w:tcPr>
          <w:p w14:paraId="4F5DFDBB" w14:textId="77777777" w:rsidR="008A1191" w:rsidRPr="0007327B" w:rsidRDefault="008A1191" w:rsidP="008A4C51">
            <w:pPr>
              <w:pStyle w:val="THTableHeading"/>
              <w:jc w:val="center"/>
            </w:pPr>
            <w:r w:rsidRPr="0007327B">
              <w:t>Full Case Title and Citation</w:t>
            </w:r>
          </w:p>
        </w:tc>
      </w:tr>
      <w:tr w:rsidR="005C20CA" w:rsidRPr="0007327B" w14:paraId="077F82DE" w14:textId="77777777" w:rsidTr="0055531A">
        <w:trPr>
          <w:cantSplit/>
          <w:trHeight w:val="397"/>
        </w:trPr>
        <w:tc>
          <w:tcPr>
            <w:tcW w:w="2265" w:type="dxa"/>
          </w:tcPr>
          <w:p w14:paraId="5A0C8021" w14:textId="01459734" w:rsidR="005C20CA" w:rsidRPr="005C20CA" w:rsidRDefault="005C20CA" w:rsidP="008A4C51">
            <w:pPr>
              <w:pStyle w:val="TTTableText"/>
              <w:rPr>
                <w:i/>
              </w:rPr>
            </w:pPr>
            <w:r w:rsidRPr="00D61B53">
              <w:rPr>
                <w:rFonts w:asciiTheme="minorHAnsi" w:hAnsiTheme="minorHAnsi" w:cstheme="minorHAnsi"/>
                <w:i/>
                <w:szCs w:val="18"/>
              </w:rPr>
              <w:t>China – Agricultural Producers</w:t>
            </w:r>
          </w:p>
        </w:tc>
        <w:tc>
          <w:tcPr>
            <w:tcW w:w="6795" w:type="dxa"/>
          </w:tcPr>
          <w:p w14:paraId="2C9C6947" w14:textId="664D640B" w:rsidR="005C20CA" w:rsidRPr="005C20CA" w:rsidRDefault="005C20CA" w:rsidP="008A4C51">
            <w:pPr>
              <w:pStyle w:val="TTTableText"/>
            </w:pPr>
            <w:r>
              <w:t xml:space="preserve">Panel Report, </w:t>
            </w:r>
            <w:r w:rsidRPr="005C20CA">
              <w:rPr>
                <w:i/>
              </w:rPr>
              <w:t>China – Domestic Support for Agricultural Producers</w:t>
            </w:r>
            <w:r>
              <w:t>, WT/DS511/R and Add.1, adopted 26 April 2019</w:t>
            </w:r>
          </w:p>
        </w:tc>
      </w:tr>
      <w:tr w:rsidR="005C20CA" w:rsidRPr="0007327B" w14:paraId="6F4B987D" w14:textId="77777777" w:rsidTr="0055531A">
        <w:trPr>
          <w:cantSplit/>
          <w:trHeight w:val="397"/>
        </w:trPr>
        <w:tc>
          <w:tcPr>
            <w:tcW w:w="2265" w:type="dxa"/>
          </w:tcPr>
          <w:p w14:paraId="39BFD136" w14:textId="06015AF7" w:rsidR="005C20CA" w:rsidRPr="00D61B53" w:rsidRDefault="005C20CA" w:rsidP="008A4C51">
            <w:pPr>
              <w:pStyle w:val="TTTableText"/>
              <w:rPr>
                <w:rFonts w:asciiTheme="minorHAnsi" w:hAnsiTheme="minorHAnsi" w:cstheme="minorHAnsi"/>
                <w:i/>
                <w:szCs w:val="18"/>
              </w:rPr>
            </w:pPr>
            <w:r w:rsidRPr="005C20CA">
              <w:rPr>
                <w:rFonts w:asciiTheme="minorHAnsi" w:hAnsiTheme="minorHAnsi" w:cstheme="minorHAnsi"/>
                <w:i/>
                <w:szCs w:val="18"/>
              </w:rPr>
              <w:t>EC and certain member States – Large Civil Aircraft (Article 21.5 – US)</w:t>
            </w:r>
          </w:p>
        </w:tc>
        <w:tc>
          <w:tcPr>
            <w:tcW w:w="6795" w:type="dxa"/>
          </w:tcPr>
          <w:p w14:paraId="0EC9D05F" w14:textId="2B5B2AE3" w:rsidR="005C20CA" w:rsidRDefault="005C20CA" w:rsidP="008A4C51">
            <w:pPr>
              <w:pStyle w:val="TTTableText"/>
            </w:pPr>
            <w:r w:rsidRPr="005C20CA">
              <w:t>Panel Report</w:t>
            </w:r>
            <w:r w:rsidRPr="005C20CA">
              <w:rPr>
                <w:i/>
              </w:rPr>
              <w:t>, European Communities and Certain Member States – Measures Affecting Trade in Large Civil Aircraft – Recourse to Article 21.5 of the DSU by the United States</w:t>
            </w:r>
            <w:r w:rsidRPr="005C20CA">
              <w:t>, WT/DS316/RW and Add.1, adopted 28 May 2018, as modified by Appellate Body Report WT/DS316/AB/RW, DSR 2018:VI, p. 2519</w:t>
            </w:r>
          </w:p>
        </w:tc>
      </w:tr>
      <w:tr w:rsidR="00FC671F" w:rsidRPr="0007327B" w14:paraId="38B6DD14" w14:textId="77777777" w:rsidTr="0055531A">
        <w:trPr>
          <w:cantSplit/>
          <w:trHeight w:val="397"/>
        </w:trPr>
        <w:tc>
          <w:tcPr>
            <w:tcW w:w="2265" w:type="dxa"/>
          </w:tcPr>
          <w:p w14:paraId="3EE8ED8F" w14:textId="07246B90" w:rsidR="00FC671F" w:rsidRPr="005C20CA" w:rsidRDefault="00FC671F" w:rsidP="008A4C51">
            <w:pPr>
              <w:pStyle w:val="TTTableText"/>
              <w:rPr>
                <w:rFonts w:asciiTheme="minorHAnsi" w:hAnsiTheme="minorHAnsi" w:cstheme="minorHAnsi"/>
                <w:i/>
                <w:szCs w:val="18"/>
              </w:rPr>
            </w:pPr>
            <w:r w:rsidRPr="0008417C">
              <w:rPr>
                <w:i/>
                <w:iCs/>
              </w:rPr>
              <w:t>India – Export Related Measures</w:t>
            </w:r>
          </w:p>
        </w:tc>
        <w:tc>
          <w:tcPr>
            <w:tcW w:w="6795" w:type="dxa"/>
          </w:tcPr>
          <w:p w14:paraId="08EE4AC3" w14:textId="08877A6E" w:rsidR="00FC671F" w:rsidRPr="005C20CA" w:rsidRDefault="00FC671F" w:rsidP="008A4C51">
            <w:pPr>
              <w:pStyle w:val="TTTableText"/>
            </w:pPr>
            <w:r>
              <w:t xml:space="preserve">Panel Report, </w:t>
            </w:r>
            <w:r w:rsidRPr="00FC671F">
              <w:rPr>
                <w:i/>
              </w:rPr>
              <w:t>India – Export Related Measures</w:t>
            </w:r>
            <w:r>
              <w:t>, WT/DS541/R and Add.1, circulated to WTO Members 31 October 2019 [appealed by India 19 November 2019]</w:t>
            </w:r>
          </w:p>
        </w:tc>
      </w:tr>
      <w:tr w:rsidR="00401F5A" w:rsidRPr="0007327B" w14:paraId="3C257073" w14:textId="77777777" w:rsidTr="00ED5236">
        <w:trPr>
          <w:cantSplit/>
          <w:trHeight w:val="397"/>
        </w:trPr>
        <w:tc>
          <w:tcPr>
            <w:tcW w:w="2265" w:type="dxa"/>
          </w:tcPr>
          <w:p w14:paraId="723C0506" w14:textId="77777777" w:rsidR="00401F5A" w:rsidRPr="005C20CA" w:rsidRDefault="00401F5A" w:rsidP="00ED5236">
            <w:pPr>
              <w:pStyle w:val="TTTableText"/>
              <w:rPr>
                <w:i/>
              </w:rPr>
            </w:pPr>
            <w:r w:rsidRPr="002D0594">
              <w:rPr>
                <w:i/>
                <w:iCs/>
              </w:rPr>
              <w:t>Korea – Various Measures on Beef</w:t>
            </w:r>
          </w:p>
        </w:tc>
        <w:tc>
          <w:tcPr>
            <w:tcW w:w="6795" w:type="dxa"/>
          </w:tcPr>
          <w:p w14:paraId="0399BE48" w14:textId="77777777" w:rsidR="00401F5A" w:rsidRPr="005C20CA" w:rsidRDefault="00401F5A" w:rsidP="00ED5236">
            <w:pPr>
              <w:pStyle w:val="TTTableText"/>
            </w:pPr>
            <w:r>
              <w:t xml:space="preserve">Appellate Body Report, </w:t>
            </w:r>
            <w:r w:rsidRPr="00401F5A">
              <w:rPr>
                <w:i/>
              </w:rPr>
              <w:t>Korea – Measures Affecting Imports of Fresh, Chilled and Frozen Beef</w:t>
            </w:r>
            <w:r>
              <w:t>, WT/DS161/AB/R, WT/DS169/AB/R, adopted 10 January 2001, DSR 2001:I, p. 5</w:t>
            </w:r>
          </w:p>
        </w:tc>
      </w:tr>
      <w:tr w:rsidR="008A1191" w:rsidRPr="0007327B" w14:paraId="0E2B7CB5" w14:textId="77777777" w:rsidTr="0055531A">
        <w:trPr>
          <w:cantSplit/>
          <w:trHeight w:val="397"/>
        </w:trPr>
        <w:tc>
          <w:tcPr>
            <w:tcW w:w="2265" w:type="dxa"/>
          </w:tcPr>
          <w:p w14:paraId="0036B6AD" w14:textId="22D4B7CF" w:rsidR="008A1191" w:rsidRPr="0007327B" w:rsidRDefault="005C20CA" w:rsidP="008A4C51">
            <w:pPr>
              <w:pStyle w:val="TTTableText"/>
            </w:pPr>
            <w:r w:rsidRPr="005C20CA">
              <w:rPr>
                <w:i/>
              </w:rPr>
              <w:t>Korea – Various Measures on Beef</w:t>
            </w:r>
          </w:p>
        </w:tc>
        <w:tc>
          <w:tcPr>
            <w:tcW w:w="6795" w:type="dxa"/>
          </w:tcPr>
          <w:p w14:paraId="4E0AC4C4" w14:textId="4D178CC8" w:rsidR="008A1191" w:rsidRPr="0007327B" w:rsidRDefault="005C20CA" w:rsidP="008A4C51">
            <w:pPr>
              <w:pStyle w:val="TTTableText"/>
            </w:pPr>
            <w:r w:rsidRPr="005C20CA">
              <w:t xml:space="preserve">Panel Report, </w:t>
            </w:r>
            <w:r w:rsidRPr="005C20CA">
              <w:rPr>
                <w:i/>
              </w:rPr>
              <w:t>Korea – Measures Affecting Imports of Fresh, Chilled and Frozen Beef</w:t>
            </w:r>
            <w:r w:rsidRPr="005C20CA">
              <w:t>, WT/DS161/R, WT/DS169/R, adopted 10 January 2001, as modified by Appellate Body Report WT/DS161/AB/R, WT/DS169/AB/R, DSR 2001:I, p. 59</w:t>
            </w:r>
          </w:p>
        </w:tc>
      </w:tr>
      <w:tr w:rsidR="00401F5A" w:rsidRPr="0007327B" w14:paraId="3CEE1540" w14:textId="77777777" w:rsidTr="0055531A">
        <w:trPr>
          <w:cantSplit/>
          <w:trHeight w:val="397"/>
        </w:trPr>
        <w:tc>
          <w:tcPr>
            <w:tcW w:w="2265" w:type="dxa"/>
          </w:tcPr>
          <w:p w14:paraId="1F188B08" w14:textId="121FB8A5" w:rsidR="00401F5A" w:rsidRPr="005C20CA" w:rsidRDefault="00401F5A" w:rsidP="008A4C51">
            <w:pPr>
              <w:pStyle w:val="TTTableText"/>
              <w:rPr>
                <w:i/>
              </w:rPr>
            </w:pPr>
            <w:r>
              <w:rPr>
                <w:i/>
              </w:rPr>
              <w:t>Peru – Agricultural Products</w:t>
            </w:r>
          </w:p>
        </w:tc>
        <w:tc>
          <w:tcPr>
            <w:tcW w:w="6795" w:type="dxa"/>
          </w:tcPr>
          <w:p w14:paraId="0B9A63AA" w14:textId="34589E83" w:rsidR="00401F5A" w:rsidRPr="005C20CA" w:rsidRDefault="00401F5A" w:rsidP="008A4C51">
            <w:pPr>
              <w:pStyle w:val="TTTableText"/>
            </w:pPr>
            <w:r>
              <w:t xml:space="preserve">Appellate Body Report, </w:t>
            </w:r>
            <w:r w:rsidRPr="00401F5A">
              <w:rPr>
                <w:i/>
              </w:rPr>
              <w:t>Peru – Additional Duty on Imports of Certain Agricultural Products</w:t>
            </w:r>
            <w:r>
              <w:t>, WT/DS457/AB/R and Add.1, adopted 31 July 2015, DSR 2015:VI, p. 3403</w:t>
            </w:r>
          </w:p>
        </w:tc>
      </w:tr>
      <w:tr w:rsidR="005C20CA" w:rsidRPr="0007327B" w14:paraId="51CC6AE9" w14:textId="77777777" w:rsidTr="0055531A">
        <w:trPr>
          <w:cantSplit/>
          <w:trHeight w:val="397"/>
        </w:trPr>
        <w:tc>
          <w:tcPr>
            <w:tcW w:w="2265" w:type="dxa"/>
          </w:tcPr>
          <w:p w14:paraId="2B504B0B" w14:textId="5081478F" w:rsidR="005C20CA" w:rsidRPr="005C20CA" w:rsidRDefault="005C20CA" w:rsidP="008A4C51">
            <w:pPr>
              <w:pStyle w:val="TTTableText"/>
              <w:rPr>
                <w:i/>
              </w:rPr>
            </w:pPr>
            <w:r w:rsidRPr="005C20CA">
              <w:rPr>
                <w:i/>
              </w:rPr>
              <w:t>US – Gambling</w:t>
            </w:r>
          </w:p>
        </w:tc>
        <w:tc>
          <w:tcPr>
            <w:tcW w:w="6795" w:type="dxa"/>
          </w:tcPr>
          <w:p w14:paraId="425BAB6E" w14:textId="29CC5E05" w:rsidR="005C20CA" w:rsidRPr="005C20CA" w:rsidRDefault="005C20CA" w:rsidP="008A4C51">
            <w:pPr>
              <w:pStyle w:val="TTTableText"/>
            </w:pPr>
            <w:r w:rsidRPr="005C20CA">
              <w:t xml:space="preserve">Appellate Body Report, </w:t>
            </w:r>
            <w:r w:rsidRPr="005C20CA">
              <w:rPr>
                <w:i/>
              </w:rPr>
              <w:t>United States – Measures Affecting the Cross-Border Supply of Gambling and Betting Services</w:t>
            </w:r>
            <w:r w:rsidRPr="005C20CA">
              <w:t>, WT/DS285/AB/R, adopted 20 April 2005, DSR 2005:XII, p. 5663 (and Corr.1, DSR 2006:XII, p. 5475)</w:t>
            </w:r>
          </w:p>
        </w:tc>
      </w:tr>
      <w:tr w:rsidR="00E025DA" w:rsidRPr="0007327B" w14:paraId="31799B9F" w14:textId="77777777" w:rsidTr="0055531A">
        <w:trPr>
          <w:cantSplit/>
          <w:trHeight w:val="397"/>
        </w:trPr>
        <w:tc>
          <w:tcPr>
            <w:tcW w:w="2265" w:type="dxa"/>
          </w:tcPr>
          <w:p w14:paraId="61D6F666" w14:textId="130405E2" w:rsidR="00E025DA" w:rsidRPr="005C20CA" w:rsidRDefault="00E025DA" w:rsidP="008A4C51">
            <w:pPr>
              <w:pStyle w:val="TTTableText"/>
              <w:rPr>
                <w:i/>
              </w:rPr>
            </w:pPr>
            <w:r>
              <w:rPr>
                <w:i/>
              </w:rPr>
              <w:t xml:space="preserve">US – Gasoline </w:t>
            </w:r>
          </w:p>
        </w:tc>
        <w:tc>
          <w:tcPr>
            <w:tcW w:w="6795" w:type="dxa"/>
          </w:tcPr>
          <w:p w14:paraId="0EB78518" w14:textId="10092298" w:rsidR="00E025DA" w:rsidRPr="005C20CA" w:rsidRDefault="00E025DA" w:rsidP="008A4C51">
            <w:pPr>
              <w:pStyle w:val="TTTableText"/>
            </w:pPr>
            <w:r w:rsidRPr="00E025DA">
              <w:t xml:space="preserve">Appellate Body Report, </w:t>
            </w:r>
            <w:r w:rsidRPr="00E025DA">
              <w:rPr>
                <w:i/>
                <w:iCs/>
              </w:rPr>
              <w:t>United States – Standards for Reformulated and Conventional Gasoline</w:t>
            </w:r>
            <w:r w:rsidRPr="00E025DA">
              <w:t>, WT/DS2/AB/R, adopted 20 May 1996, DSR 1996:I, p. 3</w:t>
            </w:r>
          </w:p>
        </w:tc>
      </w:tr>
      <w:tr w:rsidR="005C20CA" w:rsidRPr="0007327B" w14:paraId="5734E7DE" w14:textId="77777777" w:rsidTr="0055531A">
        <w:trPr>
          <w:cantSplit/>
          <w:trHeight w:val="397"/>
        </w:trPr>
        <w:tc>
          <w:tcPr>
            <w:tcW w:w="2265" w:type="dxa"/>
          </w:tcPr>
          <w:p w14:paraId="142A1262" w14:textId="69FA81C1" w:rsidR="005C20CA" w:rsidRPr="005C20CA" w:rsidRDefault="00401F5A" w:rsidP="008A4C51">
            <w:pPr>
              <w:pStyle w:val="TTTableText"/>
              <w:rPr>
                <w:i/>
              </w:rPr>
            </w:pPr>
            <w:r w:rsidRPr="00401F5A">
              <w:rPr>
                <w:i/>
              </w:rPr>
              <w:t>US – Large</w:t>
            </w:r>
            <w:r>
              <w:rPr>
                <w:i/>
              </w:rPr>
              <w:t xml:space="preserve"> Civil Aircraft (2nd complaint)</w:t>
            </w:r>
          </w:p>
        </w:tc>
        <w:tc>
          <w:tcPr>
            <w:tcW w:w="6795" w:type="dxa"/>
          </w:tcPr>
          <w:p w14:paraId="2D0FEE47" w14:textId="15421395" w:rsidR="005C20CA" w:rsidRPr="005C20CA" w:rsidRDefault="00401F5A" w:rsidP="008A4C51">
            <w:pPr>
              <w:pStyle w:val="TTTableText"/>
            </w:pPr>
            <w:r>
              <w:t xml:space="preserve">Appellate Body Report, </w:t>
            </w:r>
            <w:r w:rsidRPr="00401F5A">
              <w:rPr>
                <w:i/>
              </w:rPr>
              <w:t>United States – Measures Affecting Trade in Large Civil Aircraft (Second Complaint)</w:t>
            </w:r>
            <w:r>
              <w:t>, WT/DS353/AB/R, adopted 23 March 2012, DSR 2012:I, p. 7</w:t>
            </w:r>
          </w:p>
        </w:tc>
      </w:tr>
      <w:tr w:rsidR="005E2253" w:rsidRPr="0007327B" w14:paraId="1199E200" w14:textId="77777777" w:rsidTr="0055531A">
        <w:trPr>
          <w:cantSplit/>
          <w:trHeight w:val="397"/>
        </w:trPr>
        <w:tc>
          <w:tcPr>
            <w:tcW w:w="2265" w:type="dxa"/>
          </w:tcPr>
          <w:p w14:paraId="0246FD50" w14:textId="16163BB4" w:rsidR="005E2253" w:rsidRPr="00401F5A" w:rsidRDefault="005E2253" w:rsidP="008A4C51">
            <w:pPr>
              <w:pStyle w:val="TTTableText"/>
              <w:rPr>
                <w:i/>
              </w:rPr>
            </w:pPr>
            <w:r w:rsidRPr="005E2253">
              <w:rPr>
                <w:i/>
              </w:rPr>
              <w:t>US – Wool Shirts and Blouses</w:t>
            </w:r>
          </w:p>
        </w:tc>
        <w:tc>
          <w:tcPr>
            <w:tcW w:w="6795" w:type="dxa"/>
          </w:tcPr>
          <w:p w14:paraId="76939C1A" w14:textId="77777777" w:rsidR="005E2253" w:rsidRPr="005E2253" w:rsidRDefault="005E2253" w:rsidP="005E2253">
            <w:pPr>
              <w:pStyle w:val="TTTableText"/>
              <w:rPr>
                <w:i/>
              </w:rPr>
            </w:pPr>
            <w:r>
              <w:t xml:space="preserve">Appellate Body Report, </w:t>
            </w:r>
            <w:r w:rsidRPr="005E2253">
              <w:rPr>
                <w:i/>
              </w:rPr>
              <w:t xml:space="preserve">United States – Measure Affecting Imports </w:t>
            </w:r>
          </w:p>
          <w:p w14:paraId="17D87BEC" w14:textId="77777777" w:rsidR="005E2253" w:rsidRDefault="005E2253" w:rsidP="005E2253">
            <w:pPr>
              <w:pStyle w:val="TTTableText"/>
            </w:pPr>
            <w:r w:rsidRPr="005E2253">
              <w:rPr>
                <w:i/>
              </w:rPr>
              <w:t>of Woven Wool Shirts and Blouses from India</w:t>
            </w:r>
            <w:r>
              <w:t xml:space="preserve">, WT/DS33/AB/R, </w:t>
            </w:r>
          </w:p>
          <w:p w14:paraId="787091E4" w14:textId="6716C48E" w:rsidR="005E2253" w:rsidRDefault="005E2253" w:rsidP="005E2253">
            <w:pPr>
              <w:pStyle w:val="TTTableText"/>
            </w:pPr>
            <w:r>
              <w:t>adopted 23 May 1997, and Corr.1, DSR 1997:I, p. 323</w:t>
            </w:r>
          </w:p>
        </w:tc>
      </w:tr>
    </w:tbl>
    <w:p w14:paraId="355BE407" w14:textId="77777777" w:rsidR="004D7079" w:rsidRPr="0007327B" w:rsidRDefault="004D7079" w:rsidP="004D7079">
      <w:pPr>
        <w:pStyle w:val="BTNSSBodyTextNoSpacingSmall"/>
      </w:pPr>
    </w:p>
    <w:p w14:paraId="3BFABE2D" w14:textId="77777777" w:rsidR="009F060F" w:rsidRDefault="009F060F">
      <w:pPr>
        <w:rPr>
          <w:rFonts w:eastAsiaTheme="majorEastAsia" w:cstheme="majorBidi"/>
          <w:b/>
          <w:caps/>
          <w:szCs w:val="32"/>
        </w:rPr>
      </w:pPr>
      <w:r>
        <w:lastRenderedPageBreak/>
        <w:br w:type="page"/>
      </w:r>
    </w:p>
    <w:p w14:paraId="2147A3D5" w14:textId="06E5E123" w:rsidR="008A1191" w:rsidRPr="0007327B" w:rsidRDefault="004524CE" w:rsidP="004524CE">
      <w:pPr>
        <w:pStyle w:val="SHSectionHeading"/>
      </w:pPr>
      <w:bookmarkStart w:id="1" w:name="_Toc72430855"/>
      <w:r w:rsidRPr="0007327B">
        <w:lastRenderedPageBreak/>
        <w:t>List of Acronyms, Abbreviations and Short Forms</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4"/>
      </w:tblGrid>
      <w:tr w:rsidR="008A1191" w:rsidRPr="0007327B" w14:paraId="5C3C227B" w14:textId="77777777" w:rsidTr="0055531A">
        <w:trPr>
          <w:cantSplit/>
          <w:trHeight w:val="397"/>
          <w:tblHeader/>
        </w:trPr>
        <w:tc>
          <w:tcPr>
            <w:tcW w:w="1696" w:type="dxa"/>
            <w:shd w:val="clear" w:color="auto" w:fill="D9D9D9" w:themeFill="background1" w:themeFillShade="D9"/>
          </w:tcPr>
          <w:p w14:paraId="5464DA33" w14:textId="77777777" w:rsidR="008A1191" w:rsidRPr="0007327B" w:rsidRDefault="008A1191" w:rsidP="008A4C51">
            <w:pPr>
              <w:pStyle w:val="THTableHeading"/>
              <w:jc w:val="center"/>
            </w:pPr>
            <w:r w:rsidRPr="0007327B">
              <w:t>Abbreviation</w:t>
            </w:r>
          </w:p>
        </w:tc>
        <w:tc>
          <w:tcPr>
            <w:tcW w:w="7364" w:type="dxa"/>
            <w:shd w:val="clear" w:color="auto" w:fill="D9D9D9" w:themeFill="background1" w:themeFillShade="D9"/>
          </w:tcPr>
          <w:p w14:paraId="3C13BCBB" w14:textId="77777777" w:rsidR="008A1191" w:rsidRPr="0007327B" w:rsidRDefault="008A1191" w:rsidP="008A4C51">
            <w:pPr>
              <w:pStyle w:val="THTableHeading"/>
              <w:jc w:val="center"/>
            </w:pPr>
            <w:r w:rsidRPr="0007327B">
              <w:t>Full Form or Description</w:t>
            </w:r>
          </w:p>
        </w:tc>
      </w:tr>
      <w:tr w:rsidR="002949E6" w:rsidRPr="0007327B" w14:paraId="034C3E02" w14:textId="77777777" w:rsidTr="0055531A">
        <w:trPr>
          <w:cantSplit/>
          <w:trHeight w:val="397"/>
        </w:trPr>
        <w:tc>
          <w:tcPr>
            <w:tcW w:w="1696" w:type="dxa"/>
          </w:tcPr>
          <w:p w14:paraId="61D33754" w14:textId="7A37B391" w:rsidR="002949E6" w:rsidRDefault="002949E6" w:rsidP="008A4C51">
            <w:pPr>
              <w:pStyle w:val="TTTableText"/>
            </w:pPr>
            <w:r>
              <w:t>AAP</w:t>
            </w:r>
          </w:p>
        </w:tc>
        <w:tc>
          <w:tcPr>
            <w:tcW w:w="7364" w:type="dxa"/>
          </w:tcPr>
          <w:p w14:paraId="7EFE77F0" w14:textId="56D24485" w:rsidR="002949E6" w:rsidRDefault="002637B3" w:rsidP="008A4C51">
            <w:pPr>
              <w:pStyle w:val="TTTableText"/>
            </w:pPr>
            <w:r w:rsidRPr="002637B3">
              <w:t>Applied Administered Price</w:t>
            </w:r>
          </w:p>
        </w:tc>
      </w:tr>
      <w:tr w:rsidR="002637B3" w:rsidRPr="0007327B" w14:paraId="6ED3CE16" w14:textId="77777777" w:rsidTr="0055531A">
        <w:trPr>
          <w:cantSplit/>
          <w:trHeight w:val="397"/>
        </w:trPr>
        <w:tc>
          <w:tcPr>
            <w:tcW w:w="1696" w:type="dxa"/>
          </w:tcPr>
          <w:p w14:paraId="49DAC496" w14:textId="0648009E" w:rsidR="002637B3" w:rsidRDefault="002637B3" w:rsidP="008A4C51">
            <w:pPr>
              <w:pStyle w:val="TTTableText"/>
            </w:pPr>
            <w:r>
              <w:t>AMS</w:t>
            </w:r>
          </w:p>
        </w:tc>
        <w:tc>
          <w:tcPr>
            <w:tcW w:w="7364" w:type="dxa"/>
          </w:tcPr>
          <w:p w14:paraId="68B47AB1" w14:textId="0B2AAC83" w:rsidR="002637B3" w:rsidRDefault="002637B3" w:rsidP="008A4C51">
            <w:pPr>
              <w:pStyle w:val="TTTableText"/>
            </w:pPr>
            <w:r w:rsidRPr="002637B3">
              <w:t>Aggregate Measurement of Support</w:t>
            </w:r>
          </w:p>
        </w:tc>
      </w:tr>
      <w:tr w:rsidR="002949E6" w:rsidRPr="0007327B" w14:paraId="78DFE269" w14:textId="77777777" w:rsidTr="0055531A">
        <w:trPr>
          <w:cantSplit/>
          <w:trHeight w:val="397"/>
        </w:trPr>
        <w:tc>
          <w:tcPr>
            <w:tcW w:w="1696" w:type="dxa"/>
          </w:tcPr>
          <w:p w14:paraId="7C913CD7" w14:textId="09BDF760" w:rsidR="002949E6" w:rsidRDefault="002949E6" w:rsidP="008A4C51">
            <w:pPr>
              <w:pStyle w:val="TTTableText"/>
            </w:pPr>
            <w:r>
              <w:t>DFIA</w:t>
            </w:r>
          </w:p>
        </w:tc>
        <w:tc>
          <w:tcPr>
            <w:tcW w:w="7364" w:type="dxa"/>
          </w:tcPr>
          <w:p w14:paraId="6AD7EE5A" w14:textId="24A0BA7E" w:rsidR="002949E6" w:rsidRDefault="002637B3" w:rsidP="008A4C51">
            <w:pPr>
              <w:pStyle w:val="TTTableText"/>
            </w:pPr>
            <w:r w:rsidRPr="002637B3">
              <w:t>Duty Free Import Authorisation</w:t>
            </w:r>
          </w:p>
        </w:tc>
      </w:tr>
      <w:tr w:rsidR="002949E6" w:rsidRPr="0007327B" w14:paraId="6F6AE419" w14:textId="77777777" w:rsidTr="0055531A">
        <w:trPr>
          <w:cantSplit/>
          <w:trHeight w:val="397"/>
        </w:trPr>
        <w:tc>
          <w:tcPr>
            <w:tcW w:w="1696" w:type="dxa"/>
          </w:tcPr>
          <w:p w14:paraId="1B4ED588" w14:textId="2F830046" w:rsidR="002949E6" w:rsidRDefault="002949E6" w:rsidP="008A4C51">
            <w:pPr>
              <w:pStyle w:val="TTTableText"/>
            </w:pPr>
            <w:r>
              <w:t>FERP</w:t>
            </w:r>
          </w:p>
        </w:tc>
        <w:tc>
          <w:tcPr>
            <w:tcW w:w="7364" w:type="dxa"/>
          </w:tcPr>
          <w:p w14:paraId="3A627D3A" w14:textId="233F7ED6" w:rsidR="002949E6" w:rsidRDefault="002637B3" w:rsidP="008A4C51">
            <w:pPr>
              <w:pStyle w:val="TTTableText"/>
            </w:pPr>
            <w:r w:rsidRPr="002637B3">
              <w:t>Fixed External Reference Price</w:t>
            </w:r>
          </w:p>
        </w:tc>
      </w:tr>
      <w:tr w:rsidR="002949E6" w:rsidRPr="0007327B" w14:paraId="2636902F" w14:textId="77777777" w:rsidTr="0055531A">
        <w:trPr>
          <w:cantSplit/>
          <w:trHeight w:val="397"/>
        </w:trPr>
        <w:tc>
          <w:tcPr>
            <w:tcW w:w="1696" w:type="dxa"/>
          </w:tcPr>
          <w:p w14:paraId="11ADBCDB" w14:textId="0A85580C" w:rsidR="002949E6" w:rsidRDefault="002949E6" w:rsidP="008A4C51">
            <w:pPr>
              <w:pStyle w:val="TTTableText"/>
            </w:pPr>
            <w:r>
              <w:t>FRP</w:t>
            </w:r>
          </w:p>
        </w:tc>
        <w:tc>
          <w:tcPr>
            <w:tcW w:w="7364" w:type="dxa"/>
          </w:tcPr>
          <w:p w14:paraId="5132D588" w14:textId="3F3FDC15" w:rsidR="002949E6" w:rsidRDefault="002637B3" w:rsidP="008A4C51">
            <w:pPr>
              <w:pStyle w:val="TTTableText"/>
            </w:pPr>
            <w:r w:rsidRPr="002637B3">
              <w:t>Fair and Remunerative Price</w:t>
            </w:r>
          </w:p>
        </w:tc>
      </w:tr>
      <w:tr w:rsidR="002637B3" w:rsidRPr="0007327B" w14:paraId="5224D9B7" w14:textId="77777777" w:rsidTr="0055531A">
        <w:trPr>
          <w:cantSplit/>
          <w:trHeight w:val="397"/>
        </w:trPr>
        <w:tc>
          <w:tcPr>
            <w:tcW w:w="1696" w:type="dxa"/>
          </w:tcPr>
          <w:p w14:paraId="20BC6874" w14:textId="7C207171" w:rsidR="002637B3" w:rsidRDefault="002637B3" w:rsidP="008A4C51">
            <w:pPr>
              <w:pStyle w:val="TTTableText"/>
            </w:pPr>
            <w:r>
              <w:t>GATT 1994</w:t>
            </w:r>
          </w:p>
        </w:tc>
        <w:tc>
          <w:tcPr>
            <w:tcW w:w="7364" w:type="dxa"/>
          </w:tcPr>
          <w:p w14:paraId="76FFE5EE" w14:textId="61667C89" w:rsidR="002637B3" w:rsidRDefault="002637B3" w:rsidP="008A4C51">
            <w:pPr>
              <w:pStyle w:val="TTTableText"/>
            </w:pPr>
            <w:r w:rsidRPr="002637B3">
              <w:t>General Agreement on Tariffs and Trade 1994</w:t>
            </w:r>
          </w:p>
        </w:tc>
      </w:tr>
      <w:tr w:rsidR="008A1191" w:rsidRPr="0007327B" w14:paraId="68C7ED52" w14:textId="77777777" w:rsidTr="0055531A">
        <w:trPr>
          <w:cantSplit/>
          <w:trHeight w:val="397"/>
        </w:trPr>
        <w:tc>
          <w:tcPr>
            <w:tcW w:w="1696" w:type="dxa"/>
          </w:tcPr>
          <w:p w14:paraId="0A03ACA4" w14:textId="440E142F" w:rsidR="008A1191" w:rsidRPr="0007327B" w:rsidRDefault="0055531A" w:rsidP="008A4C51">
            <w:pPr>
              <w:pStyle w:val="TTTableText"/>
            </w:pPr>
            <w:r>
              <w:t>INR</w:t>
            </w:r>
          </w:p>
        </w:tc>
        <w:tc>
          <w:tcPr>
            <w:tcW w:w="7364" w:type="dxa"/>
          </w:tcPr>
          <w:p w14:paraId="4A02CEE4" w14:textId="503F2E13" w:rsidR="008A1191" w:rsidRPr="0007327B" w:rsidRDefault="0055531A" w:rsidP="008A4C51">
            <w:pPr>
              <w:pStyle w:val="TTTableText"/>
            </w:pPr>
            <w:r>
              <w:t>Indian Rupees</w:t>
            </w:r>
          </w:p>
        </w:tc>
      </w:tr>
      <w:tr w:rsidR="002949E6" w:rsidRPr="0007327B" w14:paraId="1D217067" w14:textId="77777777" w:rsidTr="0055531A">
        <w:trPr>
          <w:cantSplit/>
          <w:trHeight w:val="397"/>
        </w:trPr>
        <w:tc>
          <w:tcPr>
            <w:tcW w:w="1696" w:type="dxa"/>
          </w:tcPr>
          <w:p w14:paraId="06EB60DD" w14:textId="42ED95C2" w:rsidR="002949E6" w:rsidRDefault="002949E6" w:rsidP="008A4C51">
            <w:pPr>
              <w:pStyle w:val="TTTableText"/>
            </w:pPr>
            <w:r>
              <w:t>MAEQ</w:t>
            </w:r>
          </w:p>
        </w:tc>
        <w:tc>
          <w:tcPr>
            <w:tcW w:w="7364" w:type="dxa"/>
          </w:tcPr>
          <w:p w14:paraId="0EEFB5E3" w14:textId="095EECDB" w:rsidR="002949E6" w:rsidRDefault="002637B3" w:rsidP="008A4C51">
            <w:pPr>
              <w:pStyle w:val="TTTableText"/>
            </w:pPr>
            <w:r w:rsidRPr="002637B3">
              <w:t>Maximum Admissible Export Quantities</w:t>
            </w:r>
          </w:p>
        </w:tc>
      </w:tr>
      <w:tr w:rsidR="002949E6" w:rsidRPr="0007327B" w14:paraId="28EB9E14" w14:textId="77777777" w:rsidTr="0055531A">
        <w:trPr>
          <w:cantSplit/>
          <w:trHeight w:val="397"/>
        </w:trPr>
        <w:tc>
          <w:tcPr>
            <w:tcW w:w="1696" w:type="dxa"/>
          </w:tcPr>
          <w:p w14:paraId="1D275437" w14:textId="2F9F78E5" w:rsidR="002949E6" w:rsidRDefault="002949E6" w:rsidP="008A4C51">
            <w:pPr>
              <w:pStyle w:val="TTTableText"/>
            </w:pPr>
            <w:r>
              <w:t>MIEQ</w:t>
            </w:r>
          </w:p>
        </w:tc>
        <w:tc>
          <w:tcPr>
            <w:tcW w:w="7364" w:type="dxa"/>
          </w:tcPr>
          <w:p w14:paraId="08D68652" w14:textId="0E47EEB0" w:rsidR="002949E6" w:rsidRDefault="002637B3" w:rsidP="008A4C51">
            <w:pPr>
              <w:pStyle w:val="TTTableText"/>
            </w:pPr>
            <w:r>
              <w:t>Minimum Indicative Export Quota</w:t>
            </w:r>
            <w:r w:rsidR="00280171">
              <w:t>s</w:t>
            </w:r>
          </w:p>
        </w:tc>
      </w:tr>
      <w:tr w:rsidR="002949E6" w:rsidRPr="0007327B" w14:paraId="3B5B25D1" w14:textId="77777777" w:rsidTr="0055531A">
        <w:trPr>
          <w:cantSplit/>
          <w:trHeight w:val="397"/>
        </w:trPr>
        <w:tc>
          <w:tcPr>
            <w:tcW w:w="1696" w:type="dxa"/>
          </w:tcPr>
          <w:p w14:paraId="0E889FDF" w14:textId="1881B54D" w:rsidR="002949E6" w:rsidRDefault="002949E6" w:rsidP="008A4C51">
            <w:pPr>
              <w:pStyle w:val="TTTableText"/>
            </w:pPr>
            <w:r>
              <w:t>QEP</w:t>
            </w:r>
          </w:p>
        </w:tc>
        <w:tc>
          <w:tcPr>
            <w:tcW w:w="7364" w:type="dxa"/>
          </w:tcPr>
          <w:p w14:paraId="2A69E3F6" w14:textId="487D4C84" w:rsidR="002949E6" w:rsidRDefault="002637B3" w:rsidP="008A4C51">
            <w:pPr>
              <w:pStyle w:val="TTTableText"/>
            </w:pPr>
            <w:r w:rsidRPr="002637B3">
              <w:t>Quantity of Eligible Production</w:t>
            </w:r>
          </w:p>
        </w:tc>
      </w:tr>
      <w:tr w:rsidR="002637B3" w:rsidRPr="0007327B" w14:paraId="08696DE2" w14:textId="77777777" w:rsidTr="0055531A">
        <w:trPr>
          <w:cantSplit/>
          <w:trHeight w:val="397"/>
        </w:trPr>
        <w:tc>
          <w:tcPr>
            <w:tcW w:w="1696" w:type="dxa"/>
          </w:tcPr>
          <w:p w14:paraId="2BF2EB9D" w14:textId="27D60571" w:rsidR="002637B3" w:rsidRDefault="002637B3" w:rsidP="008A4C51">
            <w:pPr>
              <w:pStyle w:val="TTTableText"/>
            </w:pPr>
            <w:r>
              <w:t>SAP</w:t>
            </w:r>
          </w:p>
        </w:tc>
        <w:tc>
          <w:tcPr>
            <w:tcW w:w="7364" w:type="dxa"/>
          </w:tcPr>
          <w:p w14:paraId="2145A8CC" w14:textId="03F8A18C" w:rsidR="002637B3" w:rsidRDefault="002637B3" w:rsidP="008A4C51">
            <w:pPr>
              <w:pStyle w:val="TTTableText"/>
            </w:pPr>
            <w:r w:rsidRPr="002637B3">
              <w:t>State Advised Price</w:t>
            </w:r>
          </w:p>
        </w:tc>
      </w:tr>
      <w:tr w:rsidR="00A754AC" w:rsidRPr="0007327B" w14:paraId="4BE0AAF4" w14:textId="77777777" w:rsidTr="0055531A">
        <w:trPr>
          <w:cantSplit/>
          <w:trHeight w:val="397"/>
        </w:trPr>
        <w:tc>
          <w:tcPr>
            <w:tcW w:w="1696" w:type="dxa"/>
          </w:tcPr>
          <w:p w14:paraId="060A98DF" w14:textId="5ED966DD" w:rsidR="00A754AC" w:rsidRDefault="00A754AC" w:rsidP="008A4C51">
            <w:pPr>
              <w:pStyle w:val="TTTableText"/>
            </w:pPr>
            <w:r>
              <w:t>Schedule</w:t>
            </w:r>
          </w:p>
        </w:tc>
        <w:tc>
          <w:tcPr>
            <w:tcW w:w="7364" w:type="dxa"/>
          </w:tcPr>
          <w:p w14:paraId="5F975690" w14:textId="5C447222" w:rsidR="00A754AC" w:rsidRPr="002637B3" w:rsidRDefault="00A754AC" w:rsidP="008A4C51">
            <w:pPr>
              <w:pStyle w:val="TTTableText"/>
            </w:pPr>
            <w:r>
              <w:t>Schedule of Concessions on Goods</w:t>
            </w:r>
          </w:p>
        </w:tc>
      </w:tr>
      <w:tr w:rsidR="00D70E07" w:rsidRPr="0007327B" w14:paraId="6CE8039D" w14:textId="77777777" w:rsidTr="0055531A">
        <w:trPr>
          <w:cantSplit/>
          <w:trHeight w:val="397"/>
        </w:trPr>
        <w:tc>
          <w:tcPr>
            <w:tcW w:w="1696" w:type="dxa"/>
          </w:tcPr>
          <w:p w14:paraId="2ECB08DE" w14:textId="26002204" w:rsidR="00D70E07" w:rsidRDefault="00D70E07" w:rsidP="008A4C51">
            <w:pPr>
              <w:pStyle w:val="TTTableText"/>
            </w:pPr>
            <w:r>
              <w:t>SCM Agreement</w:t>
            </w:r>
          </w:p>
        </w:tc>
        <w:tc>
          <w:tcPr>
            <w:tcW w:w="7364" w:type="dxa"/>
          </w:tcPr>
          <w:p w14:paraId="3E20018B" w14:textId="5EEE91BF" w:rsidR="00D70E07" w:rsidRDefault="002637B3" w:rsidP="008A4C51">
            <w:pPr>
              <w:pStyle w:val="TTTableText"/>
            </w:pPr>
            <w:r w:rsidRPr="002637B3">
              <w:t>Agreement on Subsidies and Countervailing Measures</w:t>
            </w:r>
          </w:p>
        </w:tc>
      </w:tr>
    </w:tbl>
    <w:p w14:paraId="58E86397" w14:textId="77777777" w:rsidR="004D7079" w:rsidRPr="0007327B" w:rsidRDefault="004D7079" w:rsidP="004D7079">
      <w:pPr>
        <w:pStyle w:val="BTNSSBodyTextNoSpacingSmall"/>
      </w:pPr>
    </w:p>
    <w:p w14:paraId="7C55C710" w14:textId="77777777" w:rsidR="00F57DC7" w:rsidRPr="0007327B" w:rsidRDefault="00F57DC7" w:rsidP="00477519">
      <w:pPr>
        <w:pStyle w:val="BTNSSBodyTextNoSpacingSmall"/>
      </w:pPr>
    </w:p>
    <w:p w14:paraId="0F642ACB" w14:textId="23A4249B" w:rsidR="00042CBB" w:rsidRDefault="00042CBB" w:rsidP="007A3EF1">
      <w:pPr>
        <w:pStyle w:val="BTBodyText"/>
      </w:pPr>
    </w:p>
    <w:p w14:paraId="6B1D1D92" w14:textId="5C3BC920" w:rsidR="00042CBB" w:rsidRDefault="00042CBB" w:rsidP="007A3EF1">
      <w:pPr>
        <w:pStyle w:val="BTBodyText"/>
      </w:pPr>
    </w:p>
    <w:p w14:paraId="100AB775" w14:textId="77777777" w:rsidR="00042CBB" w:rsidRDefault="00042CBB" w:rsidP="007A3EF1">
      <w:pPr>
        <w:pStyle w:val="BTBodyText"/>
        <w:sectPr w:rsidR="00042CBB" w:rsidSect="00042CBB">
          <w:headerReference w:type="default" r:id="rId8"/>
          <w:footerReference w:type="default" r:id="rId9"/>
          <w:pgSz w:w="11906" w:h="16838" w:code="9"/>
          <w:pgMar w:top="1418" w:right="1418" w:bottom="1418" w:left="1418" w:header="567" w:footer="567" w:gutter="0"/>
          <w:pgNumType w:fmt="lowerRoman"/>
          <w:cols w:space="708"/>
          <w:titlePg/>
          <w:docGrid w:linePitch="360"/>
        </w:sectPr>
      </w:pPr>
    </w:p>
    <w:p w14:paraId="14D29CF7" w14:textId="5DF1C347" w:rsidR="00D52A17" w:rsidRPr="0007327B" w:rsidRDefault="00495466" w:rsidP="00D52A17">
      <w:pPr>
        <w:pStyle w:val="HL1HeadingLevel1"/>
      </w:pPr>
      <w:bookmarkStart w:id="2" w:name="_Toc72430856"/>
      <w:r>
        <w:lastRenderedPageBreak/>
        <w:t>INTRODUCTION</w:t>
      </w:r>
      <w:bookmarkEnd w:id="2"/>
    </w:p>
    <w:p w14:paraId="6EDC6B85" w14:textId="021007D9" w:rsidR="00D52A17" w:rsidRDefault="00495466" w:rsidP="00D52A17">
      <w:pPr>
        <w:pStyle w:val="P1-N1Paragraph1-Number1"/>
      </w:pPr>
      <w:r w:rsidRPr="00495466">
        <w:t xml:space="preserve">Australia has brought this dispute because it is concerned that the significant support India provides to its producers of sugarcane and sugar is inconsistent with India's obligations under the Agreement on Agriculture and the Agreement on Subsidies and Countervailing Measures (SCM Agreement). Australia does not take issue with India's right to support its sugarcane </w:t>
      </w:r>
      <w:r w:rsidR="00B117D8">
        <w:t xml:space="preserve">farmers </w:t>
      </w:r>
      <w:r w:rsidRPr="00495466">
        <w:t>and sugar industr</w:t>
      </w:r>
      <w:r w:rsidR="00B117D8">
        <w:t>y</w:t>
      </w:r>
      <w:r w:rsidRPr="00495466">
        <w:t xml:space="preserve">. However, </w:t>
      </w:r>
      <w:r w:rsidR="00B843D1">
        <w:t>India must do so</w:t>
      </w:r>
      <w:r w:rsidRPr="00495466">
        <w:t xml:space="preserve"> consistent</w:t>
      </w:r>
      <w:r w:rsidR="00B843D1">
        <w:t>ly</w:t>
      </w:r>
      <w:r w:rsidRPr="00495466">
        <w:t xml:space="preserve"> with </w:t>
      </w:r>
      <w:r w:rsidR="00B843D1">
        <w:t>its</w:t>
      </w:r>
      <w:r w:rsidR="00B843D1" w:rsidRPr="00495466">
        <w:t xml:space="preserve"> </w:t>
      </w:r>
      <w:r w:rsidRPr="00495466">
        <w:t>WTO obligations. Australia is a major exporter of sugar and considers that India's measures hav</w:t>
      </w:r>
      <w:r w:rsidR="00A25BC9">
        <w:t>e</w:t>
      </w:r>
      <w:r w:rsidRPr="00495466">
        <w:t xml:space="preserve"> a detrimental impact on Australia's interests.</w:t>
      </w:r>
    </w:p>
    <w:p w14:paraId="3166C956" w14:textId="27656EEE" w:rsidR="0046624F" w:rsidRDefault="00495466" w:rsidP="00D52A17">
      <w:pPr>
        <w:pStyle w:val="P1-N1Paragraph1-Number1"/>
      </w:pPr>
      <w:r w:rsidRPr="00495466">
        <w:t xml:space="preserve">The evidence and arguments </w:t>
      </w:r>
      <w:r w:rsidR="00B843D1" w:rsidRPr="00495466">
        <w:t xml:space="preserve">Australia </w:t>
      </w:r>
      <w:r w:rsidR="00B843D1">
        <w:t xml:space="preserve">has </w:t>
      </w:r>
      <w:r w:rsidRPr="00495466">
        <w:t xml:space="preserve">set out in its submissions establish a </w:t>
      </w:r>
      <w:r w:rsidRPr="00495466">
        <w:rPr>
          <w:i/>
          <w:iCs/>
        </w:rPr>
        <w:t>prima facie</w:t>
      </w:r>
      <w:r w:rsidRPr="00495466">
        <w:t xml:space="preserve"> case that India maintains domestic support for sugarcane producers </w:t>
      </w:r>
      <w:r w:rsidR="004E4CB8">
        <w:t xml:space="preserve">that </w:t>
      </w:r>
      <w:r w:rsidRPr="00495466">
        <w:t>vastly exce</w:t>
      </w:r>
      <w:r w:rsidR="004E4CB8">
        <w:t>eds</w:t>
      </w:r>
      <w:r w:rsidRPr="00495466">
        <w:t xml:space="preserve"> its permissible level </w:t>
      </w:r>
      <w:r w:rsidR="004E4CB8">
        <w:t>under</w:t>
      </w:r>
      <w:r w:rsidRPr="00495466">
        <w:t xml:space="preserve"> the Agreement on Agriculture, and</w:t>
      </w:r>
      <w:r w:rsidR="00A25BC9">
        <w:t xml:space="preserve"> provides</w:t>
      </w:r>
      <w:r w:rsidRPr="00495466">
        <w:t xml:space="preserve"> export subsidies for sugar in violation of its commitments under both the Agreement on Agriculture and the SCM Agreement.  Further, Australia has demonstrated that India has breached its obligations under those Agreements (or, in the alternative, under the General Agreement on Tariffs and Trade 1994 (GATT 1994)) by failing to notify the WTO Membership of its measures relating to sugarcane and sugar. </w:t>
      </w:r>
    </w:p>
    <w:p w14:paraId="0F2BA026" w14:textId="52DAD040" w:rsidR="00495466" w:rsidRDefault="00B843D1" w:rsidP="00D52A17">
      <w:pPr>
        <w:pStyle w:val="P1-N1Paragraph1-Number1"/>
      </w:pPr>
      <w:r>
        <w:t>As</w:t>
      </w:r>
      <w:r w:rsidR="00495466" w:rsidRPr="00495466">
        <w:t xml:space="preserve"> Australia</w:t>
      </w:r>
      <w:r>
        <w:t xml:space="preserve"> </w:t>
      </w:r>
      <w:r w:rsidR="00CC75EF">
        <w:t xml:space="preserve">has </w:t>
      </w:r>
      <w:r>
        <w:t>demonstrate</w:t>
      </w:r>
      <w:r w:rsidR="006D5C52">
        <w:t>d</w:t>
      </w:r>
      <w:r>
        <w:t xml:space="preserve"> in its</w:t>
      </w:r>
      <w:r w:rsidR="00495466" w:rsidRPr="00495466">
        <w:t xml:space="preserve"> submissions, India has failed to provide any legal or factual basis to rebut Australia's </w:t>
      </w:r>
      <w:r w:rsidR="00495466" w:rsidRPr="00495466">
        <w:rPr>
          <w:i/>
          <w:iCs/>
        </w:rPr>
        <w:t>prima facie</w:t>
      </w:r>
      <w:r w:rsidR="00495466" w:rsidRPr="00495466">
        <w:t xml:space="preserve"> case in respect of any of the claims advanced. </w:t>
      </w:r>
      <w:r w:rsidR="00DB47EC">
        <w:t>Australia asks t</w:t>
      </w:r>
      <w:r w:rsidR="00495466" w:rsidRPr="00495466">
        <w:t xml:space="preserve">he Panel </w:t>
      </w:r>
      <w:r w:rsidR="00DB47EC">
        <w:t>to</w:t>
      </w:r>
      <w:r w:rsidR="00495466" w:rsidRPr="00495466">
        <w:t xml:space="preserve"> dismiss</w:t>
      </w:r>
      <w:r w:rsidR="00EC668A">
        <w:t xml:space="preserve"> </w:t>
      </w:r>
      <w:r w:rsidR="00EB3D6B">
        <w:t>India's</w:t>
      </w:r>
      <w:r w:rsidR="00495466" w:rsidRPr="00495466">
        <w:t xml:space="preserve"> </w:t>
      </w:r>
      <w:r w:rsidR="00B62B1A" w:rsidRPr="00495466">
        <w:t xml:space="preserve">flawed </w:t>
      </w:r>
      <w:r w:rsidR="00B62B1A">
        <w:t>defence of</w:t>
      </w:r>
      <w:r w:rsidR="00B62B1A" w:rsidRPr="00495466">
        <w:t xml:space="preserve"> its measures</w:t>
      </w:r>
      <w:r w:rsidR="00A754AC">
        <w:t>,</w:t>
      </w:r>
      <w:r w:rsidR="00B62B1A">
        <w:t xml:space="preserve"> which is underpinned by </w:t>
      </w:r>
      <w:r w:rsidR="00495466" w:rsidRPr="00495466">
        <w:t>unpersuasive legal arguments</w:t>
      </w:r>
      <w:r w:rsidR="00B62B1A" w:rsidRPr="00B62B1A">
        <w:t xml:space="preserve"> </w:t>
      </w:r>
      <w:r w:rsidR="00EB3D6B" w:rsidRPr="00495466">
        <w:t xml:space="preserve">based on clear misinterpretations of </w:t>
      </w:r>
      <w:r w:rsidR="00A754AC">
        <w:t>India's</w:t>
      </w:r>
      <w:r w:rsidR="00EB3D6B" w:rsidRPr="00495466">
        <w:t xml:space="preserve"> obligations</w:t>
      </w:r>
      <w:r w:rsidR="00495466" w:rsidRPr="00495466">
        <w:t>.</w:t>
      </w:r>
    </w:p>
    <w:p w14:paraId="5A45C9F0" w14:textId="21868A6C" w:rsidR="00920A41" w:rsidRDefault="00C802FA" w:rsidP="00FB202B">
      <w:pPr>
        <w:pStyle w:val="P1-N1Paragraph1-Number1"/>
      </w:pPr>
      <w:r>
        <w:t xml:space="preserve">Australia notes that India, in its first written submission, requested the Panel make a preliminary ruling that certain </w:t>
      </w:r>
      <w:r w:rsidR="00986213">
        <w:t xml:space="preserve">"measures" </w:t>
      </w:r>
      <w:r w:rsidR="00920A41">
        <w:t xml:space="preserve">challenged by Australia </w:t>
      </w:r>
      <w:r w:rsidR="00986213">
        <w:t>were</w:t>
      </w:r>
      <w:r w:rsidR="00920A41">
        <w:t xml:space="preserve"> outside</w:t>
      </w:r>
      <w:r w:rsidR="00521579">
        <w:t xml:space="preserve"> the scope of</w:t>
      </w:r>
      <w:r w:rsidR="00920A41">
        <w:t xml:space="preserve"> the Panel's terms of reference.</w:t>
      </w:r>
      <w:r w:rsidR="00521579">
        <w:rPr>
          <w:rStyle w:val="FootnoteReference"/>
        </w:rPr>
        <w:footnoteReference w:id="1"/>
      </w:r>
      <w:r w:rsidR="00920A41">
        <w:t xml:space="preserve"> </w:t>
      </w:r>
      <w:r w:rsidR="000C5ADA">
        <w:t>Australia argued</w:t>
      </w:r>
      <w:r w:rsidR="00CC75EF">
        <w:t xml:space="preserve"> in response</w:t>
      </w:r>
      <w:r w:rsidR="000C5ADA">
        <w:t xml:space="preserve"> that India had failed to establish that </w:t>
      </w:r>
      <w:r w:rsidR="00066D7E">
        <w:t>the Panel</w:t>
      </w:r>
      <w:r w:rsidR="000C5ADA" w:rsidRPr="00920A41">
        <w:t xml:space="preserve"> </w:t>
      </w:r>
      <w:r w:rsidR="004E4CB8">
        <w:t>lacked</w:t>
      </w:r>
      <w:r w:rsidR="000C5ADA" w:rsidRPr="00920A41">
        <w:t xml:space="preserve"> the authority to assess </w:t>
      </w:r>
      <w:r w:rsidR="000C5ADA">
        <w:t xml:space="preserve">any </w:t>
      </w:r>
      <w:r w:rsidR="000C5ADA" w:rsidRPr="00920A41">
        <w:t>elements of Australia</w:t>
      </w:r>
      <w:r w:rsidR="000C5ADA">
        <w:t>'s claims</w:t>
      </w:r>
      <w:r w:rsidR="000C5ADA" w:rsidRPr="00920A41">
        <w:t>.</w:t>
      </w:r>
      <w:r w:rsidR="00521579">
        <w:rPr>
          <w:rStyle w:val="FootnoteReference"/>
        </w:rPr>
        <w:footnoteReference w:id="2"/>
      </w:r>
      <w:r w:rsidR="00FB202B">
        <w:t xml:space="preserve"> Australia's arguments on the substantive issues before the Panel are summarized below.</w:t>
      </w:r>
    </w:p>
    <w:p w14:paraId="14658107" w14:textId="37B3153A" w:rsidR="00495466" w:rsidRDefault="00495466" w:rsidP="00495466">
      <w:pPr>
        <w:pStyle w:val="HL1HeadingLevel1"/>
      </w:pPr>
      <w:bookmarkStart w:id="3" w:name="_Toc72430857"/>
      <w:r>
        <w:t>measures at issue</w:t>
      </w:r>
      <w:bookmarkEnd w:id="3"/>
    </w:p>
    <w:p w14:paraId="6C42167A" w14:textId="369B3EAA" w:rsidR="00495466" w:rsidRDefault="00495466" w:rsidP="00495466">
      <w:pPr>
        <w:pStyle w:val="HL2HeadingLevel2"/>
      </w:pPr>
      <w:bookmarkStart w:id="4" w:name="_Toc72430858"/>
      <w:r>
        <w:t>Domestic support</w:t>
      </w:r>
      <w:bookmarkEnd w:id="4"/>
    </w:p>
    <w:p w14:paraId="7CBFC4C3" w14:textId="39BCFA6A" w:rsidR="00495466" w:rsidRDefault="00495466" w:rsidP="00495466">
      <w:pPr>
        <w:pStyle w:val="P1-N1Paragraph1-Number1"/>
      </w:pPr>
      <w:r w:rsidRPr="00495466">
        <w:t xml:space="preserve">India provides domestic support for sugarcane producers in excess of its permitted level under the Agreement on Agriculture through the </w:t>
      </w:r>
      <w:r w:rsidR="00942F4C">
        <w:t xml:space="preserve">following </w:t>
      </w:r>
      <w:r w:rsidRPr="00495466">
        <w:t>measures.</w:t>
      </w:r>
      <w:r w:rsidR="00B07638">
        <w:t xml:space="preserve"> </w:t>
      </w:r>
    </w:p>
    <w:p w14:paraId="04BC6BC8" w14:textId="12CB84BC" w:rsidR="00495466" w:rsidRDefault="00495466" w:rsidP="00B17F62">
      <w:pPr>
        <w:pStyle w:val="HL3HeadingLevel3"/>
      </w:pPr>
      <w:bookmarkStart w:id="5" w:name="_Toc72430859"/>
      <w:r>
        <w:t xml:space="preserve">Fair and </w:t>
      </w:r>
      <w:r w:rsidR="00031FD5">
        <w:t>R</w:t>
      </w:r>
      <w:r>
        <w:t xml:space="preserve">emunerative </w:t>
      </w:r>
      <w:r w:rsidR="00031FD5">
        <w:t>P</w:t>
      </w:r>
      <w:r>
        <w:t>rice</w:t>
      </w:r>
      <w:bookmarkEnd w:id="5"/>
    </w:p>
    <w:p w14:paraId="7A27D836" w14:textId="5EFC1AFF" w:rsidR="00BB5262" w:rsidRDefault="00BB5262" w:rsidP="00495466">
      <w:pPr>
        <w:pStyle w:val="P1-N1Paragraph1-Number1"/>
      </w:pPr>
      <w:r>
        <w:t xml:space="preserve">The key element of India's support for its sugarcane producers is the Fair and Remunerative Price (FRP). The FRP is a mandatory minimum price, or floor price, set by the </w:t>
      </w:r>
      <w:r>
        <w:lastRenderedPageBreak/>
        <w:t>Central government</w:t>
      </w:r>
      <w:r w:rsidR="00376809">
        <w:t xml:space="preserve"> for each sugar season</w:t>
      </w:r>
      <w:r w:rsidR="00376809">
        <w:rPr>
          <w:rStyle w:val="FootnoteReference"/>
        </w:rPr>
        <w:footnoteReference w:id="3"/>
      </w:r>
      <w:r>
        <w:t xml:space="preserve"> and payable by producers of sugar (sugar mills) for sugarcane.</w:t>
      </w:r>
      <w:r w:rsidR="00213702">
        <w:rPr>
          <w:rStyle w:val="FootnoteReference"/>
        </w:rPr>
        <w:footnoteReference w:id="4"/>
      </w:r>
      <w:r w:rsidR="0081327D">
        <w:t xml:space="preserve"> </w:t>
      </w:r>
    </w:p>
    <w:p w14:paraId="0E861BD0" w14:textId="41191AD5" w:rsidR="00204023" w:rsidRDefault="00BB5262" w:rsidP="00204023">
      <w:pPr>
        <w:pStyle w:val="P1-N1Paragraph1-Number1"/>
      </w:pPr>
      <w:r>
        <w:t xml:space="preserve">The Sugarcane </w:t>
      </w:r>
      <w:r w:rsidR="00B117D8">
        <w:t>(</w:t>
      </w:r>
      <w:r>
        <w:t>Control</w:t>
      </w:r>
      <w:r w:rsidR="00B117D8">
        <w:t>)</w:t>
      </w:r>
      <w:r>
        <w:t xml:space="preserve"> Order 1966, made under the Essential Commodities Act 1955, provides that the Central government may </w:t>
      </w:r>
      <w:r w:rsidR="00847F61">
        <w:t>determine</w:t>
      </w:r>
      <w:r>
        <w:t xml:space="preserve"> the FRP by notification in the Gazette of India.</w:t>
      </w:r>
      <w:r w:rsidR="00847F61">
        <w:rPr>
          <w:rStyle w:val="FootnoteReference"/>
        </w:rPr>
        <w:footnoteReference w:id="5"/>
      </w:r>
      <w:r w:rsidR="00382B3B">
        <w:t xml:space="preserve"> Sub-clause 3(2) of that Order prohibits the sale or purchase of sugarcane at a price lower than the FRP. Penalties for non-compliance include imprisonment and fines.</w:t>
      </w:r>
      <w:r w:rsidR="00847F61">
        <w:rPr>
          <w:rStyle w:val="FootnoteReference"/>
        </w:rPr>
        <w:footnoteReference w:id="6"/>
      </w:r>
    </w:p>
    <w:p w14:paraId="3FDA07B6" w14:textId="661A5709" w:rsidR="00376809" w:rsidRDefault="00645076" w:rsidP="00495466">
      <w:pPr>
        <w:pStyle w:val="P1-N1Paragraph1-Number1"/>
      </w:pPr>
      <w:r>
        <w:t xml:space="preserve">India does not dispute that it </w:t>
      </w:r>
      <w:r w:rsidR="00847F61">
        <w:t>fixes</w:t>
      </w:r>
      <w:r>
        <w:t xml:space="preserve"> the FRP or the prices set in the sugar seasons </w:t>
      </w:r>
      <w:r w:rsidR="00847F61">
        <w:t xml:space="preserve">from </w:t>
      </w:r>
      <w:r>
        <w:t>2014–15 to 2019–20, as established by Australia's evidence.</w:t>
      </w:r>
      <w:r w:rsidR="00847F61">
        <w:rPr>
          <w:rStyle w:val="FootnoteReference"/>
        </w:rPr>
        <w:footnoteReference w:id="7"/>
      </w:r>
    </w:p>
    <w:p w14:paraId="0D7E9C06" w14:textId="711C51C8" w:rsidR="00495466" w:rsidRDefault="00495466" w:rsidP="00B17F62">
      <w:pPr>
        <w:pStyle w:val="HL3HeadingLevel3"/>
      </w:pPr>
      <w:bookmarkStart w:id="6" w:name="_Toc72430860"/>
      <w:r>
        <w:t xml:space="preserve">State </w:t>
      </w:r>
      <w:r w:rsidR="00031FD5">
        <w:t>A</w:t>
      </w:r>
      <w:r>
        <w:t xml:space="preserve">dvised </w:t>
      </w:r>
      <w:r w:rsidR="00031FD5">
        <w:t>P</w:t>
      </w:r>
      <w:r>
        <w:t>rices</w:t>
      </w:r>
      <w:bookmarkEnd w:id="6"/>
    </w:p>
    <w:p w14:paraId="471107F1" w14:textId="7A885A5F" w:rsidR="00031FD5" w:rsidRDefault="005C2F20" w:rsidP="00495466">
      <w:pPr>
        <w:pStyle w:val="P1-N1Paragraph1-Number1"/>
      </w:pPr>
      <w:bookmarkStart w:id="7" w:name="_Ref72422628"/>
      <w:r>
        <w:t>In addition to the Central-level FRP, some Indian States also set minimum prices that must be paid for sugarcane. These are known as State Advised Prices (SAPs) and exist in parallel with the FRP. In those States where a SAP applies, the sugar mills must pay the SAP instead of the FRP, and the SAPs are the same as</w:t>
      </w:r>
      <w:r w:rsidR="00B117D8">
        <w:t>,</w:t>
      </w:r>
      <w:r>
        <w:t xml:space="preserve"> or higher than</w:t>
      </w:r>
      <w:r w:rsidR="00B117D8">
        <w:t>,</w:t>
      </w:r>
      <w:r>
        <w:t xml:space="preserve"> the FRP.</w:t>
      </w:r>
      <w:r w:rsidR="003329A0">
        <w:rPr>
          <w:rStyle w:val="FootnoteReference"/>
        </w:rPr>
        <w:footnoteReference w:id="8"/>
      </w:r>
      <w:bookmarkEnd w:id="7"/>
    </w:p>
    <w:p w14:paraId="3E968A37" w14:textId="01010E22" w:rsidR="005C2F20" w:rsidRDefault="00B117D8" w:rsidP="00495466">
      <w:pPr>
        <w:pStyle w:val="P1-N1Paragraph1-Number1"/>
      </w:pPr>
      <w:r>
        <w:t>Like the FRP, t</w:t>
      </w:r>
      <w:r w:rsidR="005C2F20">
        <w:t>he SAPs are mandatory. The relevant State regulatory instruments generally provide that contravention is an off</w:t>
      </w:r>
      <w:r w:rsidR="00220FE4">
        <w:t>ence</w:t>
      </w:r>
      <w:r w:rsidR="005C2F20">
        <w:t xml:space="preserve"> </w:t>
      </w:r>
      <w:r w:rsidR="001D46C9">
        <w:t xml:space="preserve">punishable </w:t>
      </w:r>
      <w:r w:rsidR="005C2F20">
        <w:t xml:space="preserve">by fines </w:t>
      </w:r>
      <w:r>
        <w:t>and</w:t>
      </w:r>
      <w:r w:rsidR="005C2F20">
        <w:t xml:space="preserve"> imprisonment.</w:t>
      </w:r>
      <w:r w:rsidR="003329A0">
        <w:rPr>
          <w:rStyle w:val="FootnoteReference"/>
        </w:rPr>
        <w:footnoteReference w:id="9"/>
      </w:r>
      <w:r w:rsidR="005C2F20">
        <w:t xml:space="preserve"> </w:t>
      </w:r>
    </w:p>
    <w:p w14:paraId="1F372268" w14:textId="39D40A85" w:rsidR="003329A0" w:rsidRDefault="003329A0" w:rsidP="00495466">
      <w:pPr>
        <w:pStyle w:val="P1-N1Paragraph1-Number1"/>
      </w:pPr>
      <w:r>
        <w:t>Australia claims – and India does not contest</w:t>
      </w:r>
      <w:r>
        <w:rPr>
          <w:rStyle w:val="FootnoteReference"/>
        </w:rPr>
        <w:footnoteReference w:id="10"/>
      </w:r>
      <w:r>
        <w:t xml:space="preserve"> – that, during various sugar seasons between 2014–15 and 2018–19, six Indian States (Bihar, Haryana, Punjab, Tamil Nadu, Uttarakhand and Uttar Pradesh) </w:t>
      </w:r>
      <w:r w:rsidR="00A25BC9">
        <w:t>set</w:t>
      </w:r>
      <w:r>
        <w:t xml:space="preserve"> SAPs.</w:t>
      </w:r>
      <w:r>
        <w:rPr>
          <w:rStyle w:val="FootnoteReference"/>
        </w:rPr>
        <w:footnoteReference w:id="11"/>
      </w:r>
    </w:p>
    <w:p w14:paraId="5D7B5F4D" w14:textId="6F88FDD7" w:rsidR="00495466" w:rsidRDefault="00495466" w:rsidP="00B17F62">
      <w:pPr>
        <w:pStyle w:val="HL3HeadingLevel3"/>
      </w:pPr>
      <w:bookmarkStart w:id="8" w:name="_Toc72430861"/>
      <w:r>
        <w:t>Other State-level programmes</w:t>
      </w:r>
      <w:bookmarkEnd w:id="8"/>
    </w:p>
    <w:p w14:paraId="757F1CE2" w14:textId="36DF96C4" w:rsidR="00031FD5" w:rsidRPr="005C2F20" w:rsidRDefault="00031FD5" w:rsidP="000D71EC">
      <w:pPr>
        <w:pStyle w:val="P1-N1Paragraph1-Number1"/>
      </w:pPr>
      <w:r>
        <w:t xml:space="preserve">Three Indian State governments </w:t>
      </w:r>
      <w:r w:rsidR="00064546">
        <w:t xml:space="preserve">maintain or </w:t>
      </w:r>
      <w:r>
        <w:t xml:space="preserve">have maintained programmes that </w:t>
      </w:r>
      <w:r w:rsidR="00B117D8">
        <w:t>provide</w:t>
      </w:r>
      <w:r>
        <w:t xml:space="preserve"> assistance to sugarcane producers </w:t>
      </w:r>
      <w:r w:rsidRPr="000D71EC">
        <w:rPr>
          <w:u w:val="single"/>
        </w:rPr>
        <w:t>in addition to</w:t>
      </w:r>
      <w:r w:rsidR="00F76368">
        <w:t xml:space="preserve"> </w:t>
      </w:r>
      <w:r w:rsidRPr="005C2F20">
        <w:t>th</w:t>
      </w:r>
      <w:r w:rsidR="00F76368" w:rsidRPr="005C2F20">
        <w:t>e</w:t>
      </w:r>
      <w:r w:rsidR="00F76368">
        <w:t xml:space="preserve"> support provided by the</w:t>
      </w:r>
      <w:r>
        <w:t xml:space="preserve"> minimum sugarcane price.</w:t>
      </w:r>
    </w:p>
    <w:p w14:paraId="44485C01" w14:textId="05742E11" w:rsidR="00495466" w:rsidRDefault="00495466" w:rsidP="00E37A92">
      <w:pPr>
        <w:pStyle w:val="HL4HeadingLevel4"/>
      </w:pPr>
      <w:bookmarkStart w:id="9" w:name="_Toc72430862"/>
      <w:r w:rsidRPr="00495466">
        <w:t xml:space="preserve">Andhra Pradesh: Purchase </w:t>
      </w:r>
      <w:r w:rsidR="00064546">
        <w:t>t</w:t>
      </w:r>
      <w:r w:rsidRPr="00495466">
        <w:t xml:space="preserve">ax </w:t>
      </w:r>
      <w:r w:rsidR="00064546">
        <w:t>r</w:t>
      </w:r>
      <w:r w:rsidRPr="00495466">
        <w:t>emittance</w:t>
      </w:r>
      <w:bookmarkEnd w:id="9"/>
    </w:p>
    <w:p w14:paraId="083F1940" w14:textId="6B9D9B89" w:rsidR="008668D0" w:rsidRDefault="008668D0" w:rsidP="008668D0">
      <w:pPr>
        <w:pStyle w:val="P1-N1Paragraph1-Number1"/>
      </w:pPr>
      <w:r w:rsidRPr="00AE3E47">
        <w:t xml:space="preserve">Andhra </w:t>
      </w:r>
      <w:r w:rsidRPr="00AE3E47">
        <w:rPr>
          <w:color w:val="333333"/>
        </w:rPr>
        <w:t>Pradesh</w:t>
      </w:r>
      <w:r w:rsidRPr="008A1CDC">
        <w:rPr>
          <w:color w:val="333333"/>
        </w:rPr>
        <w:t xml:space="preserve"> </w:t>
      </w:r>
      <w:r w:rsidRPr="008376CE">
        <w:t>offer</w:t>
      </w:r>
      <w:r>
        <w:t>ed</w:t>
      </w:r>
      <w:r w:rsidRPr="008376CE">
        <w:t xml:space="preserve"> a purchase tax remittance of INR</w:t>
      </w:r>
      <w:r w:rsidR="00F6039E">
        <w:t> </w:t>
      </w:r>
      <w:r w:rsidRPr="008376CE">
        <w:t>60 per metric tonne</w:t>
      </w:r>
      <w:r>
        <w:t xml:space="preserve"> in </w:t>
      </w:r>
      <w:r w:rsidR="001D46C9">
        <w:t xml:space="preserve">the </w:t>
      </w:r>
      <w:r>
        <w:t xml:space="preserve">2014–15 and 2015–16 sugar seasons. Under this </w:t>
      </w:r>
      <w:r w:rsidR="004568F5">
        <w:t>programme</w:t>
      </w:r>
      <w:r w:rsidR="00ED4C9F">
        <w:t>,</w:t>
      </w:r>
      <w:r>
        <w:t xml:space="preserve"> </w:t>
      </w:r>
      <w:r w:rsidR="00F6039E">
        <w:t xml:space="preserve">the purchase tax that would </w:t>
      </w:r>
      <w:r w:rsidR="00F6039E">
        <w:lastRenderedPageBreak/>
        <w:t>otherwise have been payable by sugar mills was foregone, and the benefit was passed on to sugarcane farmers who therefore received a price higher than the FRP</w:t>
      </w:r>
      <w:r>
        <w:t>.</w:t>
      </w:r>
      <w:r w:rsidRPr="00142B1B">
        <w:rPr>
          <w:rStyle w:val="FootnoteReference"/>
          <w:rFonts w:asciiTheme="minorHAnsi" w:hAnsiTheme="minorHAnsi"/>
        </w:rPr>
        <w:footnoteReference w:id="12"/>
      </w:r>
    </w:p>
    <w:p w14:paraId="1BFBF1F4" w14:textId="3B271CC8" w:rsidR="004568F5" w:rsidRPr="00142B1B" w:rsidRDefault="004568F5" w:rsidP="008668D0">
      <w:pPr>
        <w:pStyle w:val="P1-N1Paragraph1-Number1"/>
      </w:pPr>
      <w:r>
        <w:t xml:space="preserve">India </w:t>
      </w:r>
      <w:r w:rsidR="008B5B6C">
        <w:t>claims that no</w:t>
      </w:r>
      <w:r>
        <w:t xml:space="preserve"> expenditure </w:t>
      </w:r>
      <w:r w:rsidR="008B5B6C">
        <w:t>was</w:t>
      </w:r>
      <w:r>
        <w:t xml:space="preserve"> made under this programme.</w:t>
      </w:r>
      <w:r w:rsidR="008B5B6C">
        <w:rPr>
          <w:rStyle w:val="FootnoteReference"/>
        </w:rPr>
        <w:footnoteReference w:id="13"/>
      </w:r>
      <w:r>
        <w:t xml:space="preserve"> </w:t>
      </w:r>
      <w:r w:rsidR="008B5B6C">
        <w:t>Australia disagrees.</w:t>
      </w:r>
      <w:r w:rsidR="008B5B6C">
        <w:rPr>
          <w:rStyle w:val="FootnoteReference"/>
        </w:rPr>
        <w:footnoteReference w:id="14"/>
      </w:r>
    </w:p>
    <w:p w14:paraId="5F08AF0A" w14:textId="39D25E84" w:rsidR="00495466" w:rsidRDefault="008668D0" w:rsidP="00E37A92">
      <w:pPr>
        <w:pStyle w:val="HL4HeadingLevel4"/>
      </w:pPr>
      <w:bookmarkStart w:id="10" w:name="_Toc72430863"/>
      <w:r w:rsidRPr="008668D0">
        <w:t xml:space="preserve">Karnataka: Incentive </w:t>
      </w:r>
      <w:r w:rsidR="00064546">
        <w:t>p</w:t>
      </w:r>
      <w:r w:rsidRPr="008668D0">
        <w:t xml:space="preserve">rice </w:t>
      </w:r>
      <w:r w:rsidR="00064546">
        <w:t>p</w:t>
      </w:r>
      <w:r w:rsidRPr="008668D0">
        <w:t>ayment</w:t>
      </w:r>
      <w:bookmarkEnd w:id="10"/>
    </w:p>
    <w:p w14:paraId="2AFFBEDF" w14:textId="3A55DEAC" w:rsidR="008668D0" w:rsidRDefault="008668D0" w:rsidP="008668D0">
      <w:pPr>
        <w:pStyle w:val="P1-N1Paragraph1-Number1"/>
      </w:pPr>
      <w:r w:rsidRPr="008668D0">
        <w:t>In the 2017</w:t>
      </w:r>
      <w:r w:rsidR="00F24DAE">
        <w:t>–</w:t>
      </w:r>
      <w:r w:rsidRPr="008668D0">
        <w:t>18 sugar season</w:t>
      </w:r>
      <w:r w:rsidR="00F24DAE">
        <w:t>,</w:t>
      </w:r>
      <w:r w:rsidRPr="008668D0">
        <w:t xml:space="preserve"> Karnataka provided a "Payment of Incentive Price for Sugar Cane through Sugar Factories"</w:t>
      </w:r>
      <w:r w:rsidR="00D6053F">
        <w:t xml:space="preserve"> under which sugarcane farmers received – via the sugar mills – an incentive sugarcane price higher than the FRP.</w:t>
      </w:r>
      <w:r w:rsidRPr="008668D0">
        <w:rPr>
          <w:vertAlign w:val="superscript"/>
        </w:rPr>
        <w:footnoteReference w:id="15"/>
      </w:r>
      <w:r w:rsidRPr="008668D0">
        <w:t xml:space="preserve"> </w:t>
      </w:r>
    </w:p>
    <w:p w14:paraId="2AB45F87" w14:textId="52D9298E" w:rsidR="004568F5" w:rsidRDefault="004568F5" w:rsidP="008668D0">
      <w:pPr>
        <w:pStyle w:val="P1-N1Paragraph1-Number1"/>
      </w:pPr>
      <w:r>
        <w:t xml:space="preserve">India </w:t>
      </w:r>
      <w:r w:rsidR="00D4156E">
        <w:t xml:space="preserve">argues that </w:t>
      </w:r>
      <w:r w:rsidR="00A754AC">
        <w:t>no</w:t>
      </w:r>
      <w:r>
        <w:t xml:space="preserve"> expenditure </w:t>
      </w:r>
      <w:r w:rsidR="00A754AC">
        <w:t>was</w:t>
      </w:r>
      <w:r>
        <w:t xml:space="preserve"> made</w:t>
      </w:r>
      <w:r w:rsidR="00D4156E">
        <w:t xml:space="preserve"> under this programme</w:t>
      </w:r>
      <w:r>
        <w:t>.</w:t>
      </w:r>
      <w:r w:rsidR="009446C0">
        <w:rPr>
          <w:rStyle w:val="FootnoteReference"/>
        </w:rPr>
        <w:footnoteReference w:id="16"/>
      </w:r>
      <w:r w:rsidR="002B7F38">
        <w:t xml:space="preserve"> Australia dis</w:t>
      </w:r>
      <w:r w:rsidR="00D4156E">
        <w:t>agrees.</w:t>
      </w:r>
      <w:r w:rsidR="00D4156E">
        <w:rPr>
          <w:rStyle w:val="FootnoteReference"/>
        </w:rPr>
        <w:footnoteReference w:id="17"/>
      </w:r>
    </w:p>
    <w:p w14:paraId="319E0196" w14:textId="1426E52B" w:rsidR="008668D0" w:rsidRDefault="008668D0" w:rsidP="00E37A92">
      <w:pPr>
        <w:pStyle w:val="HL4HeadingLevel4"/>
      </w:pPr>
      <w:bookmarkStart w:id="11" w:name="_Toc72430864"/>
      <w:r w:rsidRPr="008668D0">
        <w:t xml:space="preserve">Tamil Nadu: Production </w:t>
      </w:r>
      <w:r w:rsidR="00064546">
        <w:t>i</w:t>
      </w:r>
      <w:r w:rsidRPr="008668D0">
        <w:t xml:space="preserve">ncentive </w:t>
      </w:r>
      <w:r w:rsidR="00064546">
        <w:t>p</w:t>
      </w:r>
      <w:r w:rsidRPr="008668D0">
        <w:t>ayment</w:t>
      </w:r>
      <w:bookmarkEnd w:id="11"/>
    </w:p>
    <w:p w14:paraId="165B0D22" w14:textId="02A18226" w:rsidR="00CA44D6" w:rsidRDefault="00064546" w:rsidP="00CA44D6">
      <w:pPr>
        <w:pStyle w:val="P1-N1Paragraph1-Number1"/>
      </w:pPr>
      <w:r>
        <w:t xml:space="preserve">Under </w:t>
      </w:r>
      <w:r w:rsidR="00CA44D6">
        <w:t>Tamil Nadu</w:t>
      </w:r>
      <w:r>
        <w:t xml:space="preserve">'s </w:t>
      </w:r>
      <w:r w:rsidR="00CA44D6">
        <w:t>"production incentive to sugarcane farmers"</w:t>
      </w:r>
      <w:r>
        <w:t xml:space="preserve"> programme, the State government pays, directly to sugarcane farmers, the</w:t>
      </w:r>
      <w:r w:rsidRPr="00064546">
        <w:t xml:space="preserve"> </w:t>
      </w:r>
      <w:r>
        <w:t>difference between Tamil Nadu's SAP for the 2016</w:t>
      </w:r>
      <w:r w:rsidRPr="00946FB9">
        <w:t>–</w:t>
      </w:r>
      <w:r>
        <w:t>17 sugar season and the relevant season's base FRP.</w:t>
      </w:r>
      <w:r w:rsidR="00B17ED9">
        <w:rPr>
          <w:rStyle w:val="FootnoteReference"/>
        </w:rPr>
        <w:footnoteReference w:id="18"/>
      </w:r>
      <w:r w:rsidR="00B17ED9">
        <w:t xml:space="preserve"> Australia has adduced evidence of the amounts disbursed under this programme in the 2017–18 and 2018–19 sugar seasons.</w:t>
      </w:r>
      <w:r w:rsidR="00B17ED9">
        <w:rPr>
          <w:rStyle w:val="FootnoteReference"/>
        </w:rPr>
        <w:footnoteReference w:id="19"/>
      </w:r>
      <w:r w:rsidR="00CA44D6">
        <w:t xml:space="preserve"> </w:t>
      </w:r>
      <w:r w:rsidR="007416E4">
        <w:t>India has not challenged that evidence.</w:t>
      </w:r>
    </w:p>
    <w:p w14:paraId="6EB4792A" w14:textId="01855B4C" w:rsidR="00CA44D6" w:rsidRDefault="00CA44D6" w:rsidP="00B17F62">
      <w:pPr>
        <w:pStyle w:val="HL3HeadingLevel3"/>
      </w:pPr>
      <w:bookmarkStart w:id="12" w:name="_Toc72430865"/>
      <w:r>
        <w:t xml:space="preserve">Other </w:t>
      </w:r>
      <w:r w:rsidR="00F16669">
        <w:t>measures</w:t>
      </w:r>
      <w:r w:rsidR="00874647">
        <w:t xml:space="preserve"> involving payments to maintain the FRP and SAPs</w:t>
      </w:r>
      <w:bookmarkEnd w:id="12"/>
    </w:p>
    <w:p w14:paraId="0B5A0F94" w14:textId="617E291D" w:rsidR="00305F56" w:rsidRDefault="00F16669" w:rsidP="00F16669">
      <w:pPr>
        <w:pStyle w:val="P1-N1Paragraph1-Number1"/>
      </w:pPr>
      <w:r w:rsidRPr="00142B1B">
        <w:t xml:space="preserve">India implements a range of other measures at both the </w:t>
      </w:r>
      <w:r w:rsidR="00D33932">
        <w:t>C</w:t>
      </w:r>
      <w:r w:rsidRPr="00142B1B">
        <w:t xml:space="preserve">entral and </w:t>
      </w:r>
      <w:r w:rsidR="00D33932">
        <w:t>S</w:t>
      </w:r>
      <w:r w:rsidRPr="00142B1B">
        <w:t xml:space="preserve">tate levels that provide </w:t>
      </w:r>
      <w:r w:rsidR="00D33932">
        <w:t xml:space="preserve">domestic </w:t>
      </w:r>
      <w:r w:rsidRPr="00142B1B">
        <w:t>support in favour of sugarcane</w:t>
      </w:r>
      <w:r w:rsidR="00204023" w:rsidRPr="00204023">
        <w:t xml:space="preserve"> </w:t>
      </w:r>
      <w:r w:rsidR="00204023" w:rsidRPr="00142B1B">
        <w:t>producers</w:t>
      </w:r>
      <w:r w:rsidRPr="00142B1B">
        <w:t xml:space="preserve">. </w:t>
      </w:r>
      <w:r w:rsidR="0003273A">
        <w:t>Th</w:t>
      </w:r>
      <w:r w:rsidR="00127790">
        <w:t>ose measures are</w:t>
      </w:r>
      <w:r w:rsidR="0003273A">
        <w:t xml:space="preserve"> production subsidies</w:t>
      </w:r>
      <w:r w:rsidR="001F4052">
        <w:t>;</w:t>
      </w:r>
      <w:r w:rsidR="0003273A">
        <w:t xml:space="preserve"> soft loans</w:t>
      </w:r>
      <w:r w:rsidR="001F4052">
        <w:t>;</w:t>
      </w:r>
      <w:r w:rsidR="0003273A">
        <w:t xml:space="preserve"> buffer stock subsidies</w:t>
      </w:r>
      <w:r w:rsidR="001F4052">
        <w:t>;</w:t>
      </w:r>
      <w:r w:rsidR="0003273A">
        <w:t xml:space="preserve"> transport, freight and marketing subsidies</w:t>
      </w:r>
      <w:r w:rsidR="001F4052">
        <w:t>;</w:t>
      </w:r>
      <w:r w:rsidR="0003273A">
        <w:t xml:space="preserve"> and other </w:t>
      </w:r>
      <w:r w:rsidR="003E6C76">
        <w:t>S</w:t>
      </w:r>
      <w:r w:rsidR="0003273A">
        <w:t xml:space="preserve">tate-level measures. </w:t>
      </w:r>
      <w:r w:rsidR="003E6C76">
        <w:t>Although t</w:t>
      </w:r>
      <w:r w:rsidR="00B72A9A" w:rsidRPr="00142B1B">
        <w:t>he measures are directed to sugar mills</w:t>
      </w:r>
      <w:r w:rsidR="003E6C76">
        <w:t>,</w:t>
      </w:r>
      <w:r w:rsidR="00824CE2">
        <w:t xml:space="preserve"> </w:t>
      </w:r>
      <w:r w:rsidR="00B72A9A" w:rsidRPr="00142B1B">
        <w:t xml:space="preserve">the funds </w:t>
      </w:r>
      <w:r w:rsidR="00912083" w:rsidRPr="00142B1B">
        <w:t xml:space="preserve">are paid to mills to support their payment of the </w:t>
      </w:r>
      <w:r w:rsidR="00912083">
        <w:t>FRP or applicable SAP, or</w:t>
      </w:r>
      <w:r w:rsidR="00912083" w:rsidRPr="00142B1B">
        <w:t xml:space="preserve"> </w:t>
      </w:r>
      <w:r w:rsidR="00B72A9A" w:rsidRPr="00142B1B">
        <w:t>are paid to sugarcane farmers on</w:t>
      </w:r>
      <w:r w:rsidR="00216D6F">
        <w:t xml:space="preserve"> mills'</w:t>
      </w:r>
      <w:r w:rsidR="00B72A9A" w:rsidRPr="00142B1B">
        <w:t xml:space="preserve"> behalf to clear </w:t>
      </w:r>
      <w:r w:rsidR="003E6C76">
        <w:t xml:space="preserve">the mills' </w:t>
      </w:r>
      <w:r w:rsidR="002628EA">
        <w:t xml:space="preserve">sugarcane price </w:t>
      </w:r>
      <w:r w:rsidR="00127790">
        <w:t>debts</w:t>
      </w:r>
      <w:r w:rsidR="00B72A9A" w:rsidRPr="00142B1B">
        <w:t>.</w:t>
      </w:r>
      <w:r w:rsidR="003E6C76">
        <w:rPr>
          <w:rStyle w:val="FootnoteReference"/>
        </w:rPr>
        <w:footnoteReference w:id="20"/>
      </w:r>
      <w:r w:rsidR="00B72A9A">
        <w:t xml:space="preserve"> </w:t>
      </w:r>
    </w:p>
    <w:p w14:paraId="01E98EFF" w14:textId="110A9AA9" w:rsidR="00F16669" w:rsidRDefault="00B72A9A" w:rsidP="00F16669">
      <w:pPr>
        <w:pStyle w:val="P1-N1Paragraph1-Number1"/>
      </w:pPr>
      <w:r>
        <w:t xml:space="preserve">With one minor exception, </w:t>
      </w:r>
      <w:r w:rsidRPr="00C007B0">
        <w:t xml:space="preserve">India does not dispute the </w:t>
      </w:r>
      <w:r w:rsidR="006643DF">
        <w:t>facts regarding</w:t>
      </w:r>
      <w:r w:rsidRPr="00C007B0">
        <w:t xml:space="preserve"> these measures</w:t>
      </w:r>
      <w:r>
        <w:t>.</w:t>
      </w:r>
      <w:r>
        <w:rPr>
          <w:rStyle w:val="FootnoteReference"/>
        </w:rPr>
        <w:footnoteReference w:id="21"/>
      </w:r>
      <w:r>
        <w:t xml:space="preserve"> </w:t>
      </w:r>
      <w:r w:rsidR="00D33932">
        <w:t>Australia also challenges</w:t>
      </w:r>
      <w:r w:rsidR="00824CE2">
        <w:t xml:space="preserve"> some of the same measures</w:t>
      </w:r>
      <w:r w:rsidR="00D33932">
        <w:t xml:space="preserve"> as providing </w:t>
      </w:r>
      <w:r w:rsidR="0069515F">
        <w:t xml:space="preserve">export </w:t>
      </w:r>
      <w:r w:rsidR="00975C33">
        <w:t>subsidies</w:t>
      </w:r>
      <w:r w:rsidR="00D33932">
        <w:t xml:space="preserve">. </w:t>
      </w:r>
    </w:p>
    <w:p w14:paraId="3C745DAF" w14:textId="77777777" w:rsidR="00FA16A8" w:rsidRDefault="00FA16A8" w:rsidP="00FA16A8">
      <w:pPr>
        <w:pStyle w:val="HL2HeadingLevel2"/>
      </w:pPr>
      <w:bookmarkStart w:id="13" w:name="_Toc72430866"/>
      <w:r>
        <w:lastRenderedPageBreak/>
        <w:t>Export subsidies</w:t>
      </w:r>
      <w:bookmarkEnd w:id="13"/>
    </w:p>
    <w:p w14:paraId="573AD9CA" w14:textId="1B287D03" w:rsidR="00FA16A8" w:rsidRDefault="00FA16A8" w:rsidP="00FA16A8">
      <w:pPr>
        <w:pStyle w:val="P1-N1Paragraph1-Number1"/>
      </w:pPr>
      <w:r w:rsidRPr="00946FB9">
        <w:t>India violates its obligations under the Agreement on Agriculture and the SCM Agreement through the measures described below, which provide export</w:t>
      </w:r>
      <w:r w:rsidR="009C451C">
        <w:t>-</w:t>
      </w:r>
      <w:r w:rsidRPr="00946FB9">
        <w:t xml:space="preserve">contingent subsidies. </w:t>
      </w:r>
    </w:p>
    <w:p w14:paraId="07C204B6" w14:textId="29BA4274" w:rsidR="00FA16A8" w:rsidRPr="00946FB9" w:rsidRDefault="00FA16A8" w:rsidP="00FA16A8">
      <w:pPr>
        <w:pStyle w:val="P1-N1Paragraph1-Number1"/>
      </w:pPr>
      <w:r w:rsidRPr="00946FB9">
        <w:t xml:space="preserve">A central feature of India's regime of export subsidies for sugar are its Minimum Indicative Export Quotas (MIEQ) and Maximum Admissible Export Quantities (MAEQ), under which India allocates sugar export quotas to sugar mills on a per-mill basis. India ties MIEQ and MAEQ to direct payment schemes, making </w:t>
      </w:r>
      <w:r w:rsidR="0069515F">
        <w:t>financial assistance,</w:t>
      </w:r>
      <w:r w:rsidRPr="00946FB9">
        <w:t xml:space="preserve"> or the value </w:t>
      </w:r>
      <w:r w:rsidR="0069515F">
        <w:t>of that assistance</w:t>
      </w:r>
      <w:r w:rsidRPr="00946FB9">
        <w:t>, contingent upon compliance with government orders or directives imposing MIEQ and MAEQ.</w:t>
      </w:r>
      <w:r w:rsidRPr="00946FB9">
        <w:rPr>
          <w:vertAlign w:val="superscript"/>
        </w:rPr>
        <w:footnoteReference w:id="22"/>
      </w:r>
      <w:r w:rsidRPr="00946FB9">
        <w:t xml:space="preserve"> </w:t>
      </w:r>
    </w:p>
    <w:p w14:paraId="393B63EE" w14:textId="77777777" w:rsidR="00FA16A8" w:rsidRDefault="00FA16A8" w:rsidP="00FA16A8">
      <w:pPr>
        <w:pStyle w:val="HL3HeadingLevel3"/>
      </w:pPr>
      <w:bookmarkStart w:id="14" w:name="_Toc72430867"/>
      <w:r w:rsidRPr="00946FB9">
        <w:t>Production subsidy schemes operating in conjunction with Minimum Indicative Export Quota orders</w:t>
      </w:r>
      <w:bookmarkEnd w:id="14"/>
    </w:p>
    <w:p w14:paraId="36756293" w14:textId="777EC234" w:rsidR="00FA16A8" w:rsidRDefault="00FA16A8" w:rsidP="00FA16A8">
      <w:pPr>
        <w:pStyle w:val="P1-N1Paragraph1-Number1"/>
      </w:pPr>
      <w:r w:rsidRPr="00946FB9">
        <w:t>India provides production subsidies to sugar mills to help clear their debts to sugarcane farmers arising from the obligation to pay the FRP. These schemes are the "Scheme for extending production subsidy to sugar mills"</w:t>
      </w:r>
      <w:r w:rsidR="0069515F">
        <w:t>,</w:t>
      </w:r>
      <w:r w:rsidRPr="00946FB9">
        <w:t xml:space="preserve"> implemented in the 2015–16 sugar season</w:t>
      </w:r>
      <w:r w:rsidR="0069515F">
        <w:t>,</w:t>
      </w:r>
      <w:r w:rsidRPr="00946FB9">
        <w:t xml:space="preserve"> and the "Scheme for Assistance to Sugar Mills"</w:t>
      </w:r>
      <w:r w:rsidR="0069515F">
        <w:t>,</w:t>
      </w:r>
      <w:r w:rsidRPr="00946FB9">
        <w:t xml:space="preserve"> implemented in the 2017–18 and 2018–19 sugar seasons. Mills' eligibility to receive the subsidy is, under each iteration of the scheme, subject to compliance with MIEQ orders.</w:t>
      </w:r>
      <w:r w:rsidRPr="00946FB9">
        <w:rPr>
          <w:vertAlign w:val="superscript"/>
        </w:rPr>
        <w:footnoteReference w:id="23"/>
      </w:r>
    </w:p>
    <w:p w14:paraId="50537552" w14:textId="77777777" w:rsidR="00FA16A8" w:rsidRDefault="00FA16A8" w:rsidP="00FA16A8">
      <w:pPr>
        <w:pStyle w:val="HL3HeadingLevel3"/>
      </w:pPr>
      <w:bookmarkStart w:id="15" w:name="_Toc72430868"/>
      <w:r w:rsidRPr="009B1E8A">
        <w:t>Buffer stock subsidy schemes operating in conjunction with Minimum Indicative Export Quota orders</w:t>
      </w:r>
      <w:bookmarkEnd w:id="15"/>
    </w:p>
    <w:p w14:paraId="2CC8B56A" w14:textId="6A108F6E" w:rsidR="00FA16A8" w:rsidRDefault="00FA16A8" w:rsidP="00FA16A8">
      <w:pPr>
        <w:pStyle w:val="P1-N1Paragraph1-Number1"/>
      </w:pPr>
      <w:r w:rsidRPr="009B1E8A">
        <w:t xml:space="preserve">India provides buffer stock subsidies to </w:t>
      </w:r>
      <w:r w:rsidR="00204023">
        <w:t>assist</w:t>
      </w:r>
      <w:r w:rsidRPr="009B1E8A">
        <w:t xml:space="preserve"> sugar mills</w:t>
      </w:r>
      <w:r w:rsidR="00204023">
        <w:t xml:space="preserve"> to</w:t>
      </w:r>
      <w:r w:rsidRPr="009B1E8A">
        <w:t xml:space="preserve"> clear sugarcane </w:t>
      </w:r>
      <w:r w:rsidR="00DA3887">
        <w:t>price debts</w:t>
      </w:r>
      <w:r w:rsidRPr="009B1E8A">
        <w:t xml:space="preserve"> arising from the obligation to pay </w:t>
      </w:r>
      <w:r w:rsidR="00DA3887">
        <w:t xml:space="preserve">farmers </w:t>
      </w:r>
      <w:r w:rsidRPr="009B1E8A">
        <w:t>the FRP.  These schemes are the "Scheme for Creation and Maintenance of Buffer Stock of 30 Lakh MT", introduced in 2018, and the "Scheme for the Creation and Maintenance of Buffer Stock of 40 Lakh MT", introduced in 2019. The 2018 iteration of the scheme linked compliance with MIEQ with eligibility to receive payments, while the 2019 iteration linked favourable MIEQ performance with the value of available payments.</w:t>
      </w:r>
      <w:r w:rsidR="00C000F1">
        <w:rPr>
          <w:rStyle w:val="FootnoteReference"/>
        </w:rPr>
        <w:footnoteReference w:id="24"/>
      </w:r>
      <w:r w:rsidRPr="009B1E8A">
        <w:t xml:space="preserve">  </w:t>
      </w:r>
    </w:p>
    <w:p w14:paraId="2AE46931" w14:textId="3D20DAF2" w:rsidR="00FA16A8" w:rsidRDefault="00FA16A8" w:rsidP="00FA16A8">
      <w:pPr>
        <w:pStyle w:val="HL3HeadingLevel3"/>
      </w:pPr>
      <w:bookmarkStart w:id="16" w:name="_Toc72430869"/>
      <w:r w:rsidRPr="009B1E8A">
        <w:t>Purported transport, freight and marketing subsidy scheme operating in conjunction with Maximum Admissible Export Quantities</w:t>
      </w:r>
      <w:r>
        <w:t xml:space="preserve"> orders</w:t>
      </w:r>
      <w:bookmarkEnd w:id="16"/>
    </w:p>
    <w:p w14:paraId="17A453CC" w14:textId="2C0BE766" w:rsidR="00FA16A8" w:rsidRDefault="00FA16A8" w:rsidP="00FA16A8">
      <w:pPr>
        <w:pStyle w:val="P1-N1Paragraph1-Number1"/>
      </w:pPr>
      <w:r w:rsidRPr="009B1E8A">
        <w:t xml:space="preserve">India provides self-described "transport, freight and marketing" subsidies to sugar mills to help them clear sugarcane </w:t>
      </w:r>
      <w:r w:rsidR="00DA3887">
        <w:t>price debts</w:t>
      </w:r>
      <w:r w:rsidRPr="009B1E8A">
        <w:t xml:space="preserve"> arising from the obligation to pay the FRP. India provides these subsidies through the "Scheme for providing assistance to sugar mills for expenses on marketing costs including handling, upgrading and other processing costs and </w:t>
      </w:r>
      <w:r w:rsidRPr="009B1E8A">
        <w:lastRenderedPageBreak/>
        <w:t>costs of international and internal transport and freight charges on export of sugar" (MAEQ</w:t>
      </w:r>
      <w:r w:rsidR="00A25BC9">
        <w:t> </w:t>
      </w:r>
      <w:r w:rsidRPr="009B1E8A">
        <w:t>scheme)</w:t>
      </w:r>
      <w:r w:rsidR="00DC7D31">
        <w:t>, which applied from 1 October 2019 to 31 December 2020</w:t>
      </w:r>
      <w:r w:rsidRPr="009B1E8A">
        <w:t>. Eligibility to receive the subsidy is subject to mills exporting</w:t>
      </w:r>
      <w:r w:rsidR="00BF7233">
        <w:t xml:space="preserve"> at least</w:t>
      </w:r>
      <w:r w:rsidRPr="009B1E8A">
        <w:t xml:space="preserve"> 50% of their MAEQ allocations.</w:t>
      </w:r>
      <w:r w:rsidRPr="009B1E8A">
        <w:rPr>
          <w:vertAlign w:val="superscript"/>
        </w:rPr>
        <w:footnoteReference w:id="25"/>
      </w:r>
    </w:p>
    <w:p w14:paraId="162F682B" w14:textId="77777777" w:rsidR="00FA16A8" w:rsidRDefault="00FA16A8" w:rsidP="00FA16A8">
      <w:pPr>
        <w:pStyle w:val="HL3HeadingLevel3"/>
      </w:pPr>
      <w:bookmarkStart w:id="17" w:name="_Toc72430870"/>
      <w:r w:rsidRPr="00202EC9">
        <w:t>Duty Free Import Authorisation scheme</w:t>
      </w:r>
      <w:bookmarkEnd w:id="17"/>
    </w:p>
    <w:p w14:paraId="33BBEFCC" w14:textId="2F6BE21B" w:rsidR="00FA16A8" w:rsidRPr="00202EC9" w:rsidRDefault="00FA16A8" w:rsidP="00FA16A8">
      <w:pPr>
        <w:pStyle w:val="P1-N1Paragraph1-Number1"/>
      </w:pPr>
      <w:bookmarkStart w:id="18" w:name="_Ref72335790"/>
      <w:r w:rsidRPr="00202EC9">
        <w:t>India incentivizes mills to export sugar during seasons of overproduction by offering to forego sugar import duties in subsequent seasons. In Ma</w:t>
      </w:r>
      <w:r w:rsidR="009D107A">
        <w:t>rch</w:t>
      </w:r>
      <w:r w:rsidRPr="00202EC9">
        <w:t xml:space="preserve"> 2018</w:t>
      </w:r>
      <w:r w:rsidR="00C000F1">
        <w:t xml:space="preserve">, India </w:t>
      </w:r>
      <w:r w:rsidR="009D107A">
        <w:t>amended</w:t>
      </w:r>
      <w:r w:rsidRPr="00202EC9">
        <w:t xml:space="preserve"> </w:t>
      </w:r>
      <w:r w:rsidR="0078698C">
        <w:t>its</w:t>
      </w:r>
      <w:r w:rsidR="0078698C" w:rsidRPr="00202EC9">
        <w:t xml:space="preserve"> </w:t>
      </w:r>
      <w:r w:rsidRPr="00202EC9">
        <w:t>D</w:t>
      </w:r>
      <w:r w:rsidR="00F138FF">
        <w:t xml:space="preserve">uty </w:t>
      </w:r>
      <w:r w:rsidRPr="00202EC9">
        <w:t>F</w:t>
      </w:r>
      <w:r w:rsidR="00F138FF">
        <w:t xml:space="preserve">ree </w:t>
      </w:r>
      <w:r w:rsidRPr="00202EC9">
        <w:t>I</w:t>
      </w:r>
      <w:r w:rsidR="00F138FF">
        <w:t xml:space="preserve">mport </w:t>
      </w:r>
      <w:r w:rsidRPr="00202EC9">
        <w:t>A</w:t>
      </w:r>
      <w:r w:rsidR="00F138FF">
        <w:t>uthorisation</w:t>
      </w:r>
      <w:r w:rsidRPr="00202EC9">
        <w:t xml:space="preserve"> </w:t>
      </w:r>
      <w:r w:rsidR="00822F13">
        <w:t xml:space="preserve">(DFIA) </w:t>
      </w:r>
      <w:r w:rsidRPr="00202EC9">
        <w:t>scheme</w:t>
      </w:r>
      <w:r w:rsidR="00F138FF">
        <w:t xml:space="preserve"> </w:t>
      </w:r>
      <w:r w:rsidR="0078698C">
        <w:t>in order to entitle</w:t>
      </w:r>
      <w:r w:rsidRPr="00202EC9">
        <w:t xml:space="preserve"> </w:t>
      </w:r>
      <w:r w:rsidR="00C000F1">
        <w:t xml:space="preserve">sugar </w:t>
      </w:r>
      <w:r w:rsidRPr="00202EC9">
        <w:t xml:space="preserve">mills that exported </w:t>
      </w:r>
      <w:r w:rsidR="00204023">
        <w:t xml:space="preserve">refined </w:t>
      </w:r>
      <w:r w:rsidRPr="00202EC9">
        <w:t xml:space="preserve">sugar during </w:t>
      </w:r>
      <w:r w:rsidR="00C000F1">
        <w:t xml:space="preserve">a six-month period in </w:t>
      </w:r>
      <w:r w:rsidRPr="00202EC9">
        <w:t>the 2017–18 sugar season to import raw sugar duty free during the 2019–20 and 2020–21 seasons.</w:t>
      </w:r>
      <w:r>
        <w:rPr>
          <w:rStyle w:val="FootnoteReference"/>
        </w:rPr>
        <w:footnoteReference w:id="26"/>
      </w:r>
      <w:bookmarkEnd w:id="18"/>
      <w:r w:rsidRPr="00202EC9">
        <w:t xml:space="preserve"> </w:t>
      </w:r>
    </w:p>
    <w:p w14:paraId="40CE15D0" w14:textId="7042D7E0" w:rsidR="00202EC9" w:rsidRDefault="00202EC9" w:rsidP="00202EC9">
      <w:pPr>
        <w:pStyle w:val="HL2HeadingLevel2"/>
      </w:pPr>
      <w:bookmarkStart w:id="19" w:name="_Toc72430871"/>
      <w:r>
        <w:t>Failure to notify measures</w:t>
      </w:r>
      <w:bookmarkEnd w:id="19"/>
    </w:p>
    <w:p w14:paraId="4F608F6E" w14:textId="033C42AF" w:rsidR="00202EC9" w:rsidRDefault="00202EC9" w:rsidP="00202EC9">
      <w:pPr>
        <w:pStyle w:val="P1-N1Paragraph1-Number1"/>
      </w:pPr>
      <w:r w:rsidRPr="00202EC9">
        <w:t>India has not notified Members of its annual domestic support for sugarcane subsequent to 1995–1996, and India has not submitted an export subsidy notification for sugar since 2009–10.</w:t>
      </w:r>
      <w:r w:rsidRPr="00202EC9">
        <w:rPr>
          <w:vertAlign w:val="superscript"/>
        </w:rPr>
        <w:footnoteReference w:id="27"/>
      </w:r>
      <w:r w:rsidRPr="00202EC9">
        <w:t xml:space="preserve"> </w:t>
      </w:r>
      <w:r w:rsidR="00F138FF">
        <w:t xml:space="preserve">India does not dispute these facts. </w:t>
      </w:r>
      <w:r w:rsidR="00822F13">
        <w:t xml:space="preserve">This </w:t>
      </w:r>
      <w:r w:rsidRPr="00202EC9">
        <w:t>failure to submit notification</w:t>
      </w:r>
      <w:r w:rsidR="00A83D01">
        <w:t>s</w:t>
      </w:r>
      <w:r w:rsidRPr="00202EC9">
        <w:t xml:space="preserve"> of its measures breaches </w:t>
      </w:r>
      <w:r w:rsidR="00822F13">
        <w:t>India's</w:t>
      </w:r>
      <w:r w:rsidR="00822F13" w:rsidRPr="00202EC9">
        <w:t xml:space="preserve"> </w:t>
      </w:r>
      <w:r w:rsidRPr="00202EC9">
        <w:t>obligations under the Agreement on Agriculture and the SCM Agreement or, in the alternative, under the GATT 1994.</w:t>
      </w:r>
    </w:p>
    <w:p w14:paraId="3EC788CB" w14:textId="45EB62D3" w:rsidR="00202EC9" w:rsidRDefault="00D20086" w:rsidP="00D20086">
      <w:pPr>
        <w:pStyle w:val="HL1HeadingLevel1"/>
      </w:pPr>
      <w:bookmarkStart w:id="20" w:name="_Toc71565763"/>
      <w:bookmarkStart w:id="21" w:name="_Toc72430872"/>
      <w:r w:rsidRPr="00D20086">
        <w:t>India's Domestic Support in favour of Sugarcane producers violates its obligations under the Agreement on Agriculture</w:t>
      </w:r>
      <w:bookmarkEnd w:id="20"/>
      <w:bookmarkEnd w:id="21"/>
    </w:p>
    <w:p w14:paraId="6D8F0FB7" w14:textId="503CB4C9" w:rsidR="007D331B" w:rsidRPr="007D331B" w:rsidRDefault="007D331B" w:rsidP="007D331B">
      <w:pPr>
        <w:numPr>
          <w:ilvl w:val="0"/>
          <w:numId w:val="1"/>
        </w:numPr>
        <w:spacing w:line="288" w:lineRule="auto"/>
      </w:pPr>
      <w:r w:rsidRPr="007D331B">
        <w:t>Under the Agreement on Agriculture, India may provide domestic support in favour of its agricultural producers</w:t>
      </w:r>
      <w:r w:rsidR="002951F6">
        <w:t>,</w:t>
      </w:r>
      <w:r w:rsidRPr="007D331B">
        <w:t xml:space="preserve"> provided that support does not exceed its commitment levels. In the context of the Agreement on Agriculture, domestic support is expressed in numerical – monetary – terms</w:t>
      </w:r>
      <w:r w:rsidRPr="007D331B">
        <w:rPr>
          <w:vertAlign w:val="superscript"/>
        </w:rPr>
        <w:footnoteReference w:id="28"/>
      </w:r>
      <w:r w:rsidRPr="007D331B">
        <w:t xml:space="preserve"> as an annual level of support, referred to as the "Aggregate Measurement of Support" (AMS). Domestic support may be product-specific support provided for an agricultural product in favour of the producers of that product, or it may be non-product</w:t>
      </w:r>
      <w:r w:rsidR="00A25BC9">
        <w:t>-</w:t>
      </w:r>
      <w:r w:rsidRPr="007D331B">
        <w:t xml:space="preserve"> specific support provided in favour of agricultural producers in general.</w:t>
      </w:r>
      <w:r w:rsidRPr="007D331B">
        <w:rPr>
          <w:vertAlign w:val="superscript"/>
        </w:rPr>
        <w:footnoteReference w:id="29"/>
      </w:r>
      <w:r w:rsidRPr="007D331B">
        <w:t xml:space="preserve"> A Member's Total AMS is the sum of all of its non-exempt domestic support in favour of agricultural producers</w:t>
      </w:r>
      <w:r w:rsidR="009C3E25">
        <w:t>,</w:t>
      </w:r>
      <w:r w:rsidR="006C7D83">
        <w:t xml:space="preserve"> excluding support that does not exceed a permitted </w:t>
      </w:r>
      <w:r w:rsidR="006C7D83" w:rsidRPr="006C7D83">
        <w:rPr>
          <w:i/>
          <w:iCs/>
        </w:rPr>
        <w:t>de minimis</w:t>
      </w:r>
      <w:r w:rsidR="006C7D83">
        <w:t xml:space="preserve"> level</w:t>
      </w:r>
      <w:r w:rsidRPr="007D331B">
        <w:t>.</w:t>
      </w:r>
      <w:r w:rsidRPr="007D331B">
        <w:rPr>
          <w:vertAlign w:val="superscript"/>
        </w:rPr>
        <w:footnoteReference w:id="30"/>
      </w:r>
    </w:p>
    <w:p w14:paraId="245ADB0A" w14:textId="4627BEE9" w:rsidR="007D331B" w:rsidRPr="007D331B" w:rsidRDefault="007D331B" w:rsidP="007D331B">
      <w:pPr>
        <w:numPr>
          <w:ilvl w:val="0"/>
          <w:numId w:val="1"/>
        </w:numPr>
        <w:spacing w:line="288" w:lineRule="auto"/>
      </w:pPr>
      <w:r w:rsidRPr="007D331B">
        <w:t>Articles 6.4 and 7.2(b) of the Agreement on Agriculture provide that, where a developing country Member has no Total AMS commitment in Part IV of its Schedule</w:t>
      </w:r>
      <w:r w:rsidR="00470685" w:rsidRPr="00470685">
        <w:t xml:space="preserve"> </w:t>
      </w:r>
      <w:r w:rsidR="00470685" w:rsidRPr="007D331B">
        <w:t>of Concessions on Goods</w:t>
      </w:r>
      <w:r w:rsidR="00470685">
        <w:t xml:space="preserve"> (Schedule)</w:t>
      </w:r>
      <w:r w:rsidRPr="007D331B">
        <w:t>, th</w:t>
      </w:r>
      <w:r w:rsidR="00470685">
        <w:t>e</w:t>
      </w:r>
      <w:r w:rsidRPr="007D331B">
        <w:t xml:space="preserve"> Member must not provide non-exempt</w:t>
      </w:r>
      <w:r w:rsidR="00470685">
        <w:t>,</w:t>
      </w:r>
      <w:r w:rsidRPr="007D331B">
        <w:t xml:space="preserve"> product-</w:t>
      </w:r>
      <w:r w:rsidRPr="007D331B">
        <w:lastRenderedPageBreak/>
        <w:t xml:space="preserve">specific domestic support in excess of the </w:t>
      </w:r>
      <w:r w:rsidRPr="007D331B">
        <w:rPr>
          <w:i/>
          <w:iCs/>
        </w:rPr>
        <w:t>de minimis</w:t>
      </w:r>
      <w:r w:rsidRPr="007D331B">
        <w:t xml:space="preserve"> level of 10 per cent of the total value of production of a basic agricultural product during the relevant year.</w:t>
      </w:r>
      <w:r w:rsidRPr="007D331B">
        <w:rPr>
          <w:vertAlign w:val="superscript"/>
        </w:rPr>
        <w:footnoteReference w:id="31"/>
      </w:r>
    </w:p>
    <w:p w14:paraId="4C91D657" w14:textId="5B88B63E" w:rsidR="007D331B" w:rsidRPr="007D331B" w:rsidRDefault="007D331B" w:rsidP="007D331B">
      <w:pPr>
        <w:numPr>
          <w:ilvl w:val="0"/>
          <w:numId w:val="1"/>
        </w:numPr>
        <w:spacing w:line="288" w:lineRule="auto"/>
      </w:pPr>
      <w:r w:rsidRPr="007D331B">
        <w:t>India is a developing country Member and</w:t>
      </w:r>
      <w:r w:rsidR="006D5C52">
        <w:t xml:space="preserve"> agrees that it</w:t>
      </w:r>
      <w:r w:rsidRPr="007D331B">
        <w:t xml:space="preserve"> has no Total AMS commitment in Part </w:t>
      </w:r>
      <w:r w:rsidR="00280601">
        <w:t>IV</w:t>
      </w:r>
      <w:r w:rsidRPr="007D331B">
        <w:t>, Section I of its Schedule.</w:t>
      </w:r>
      <w:r w:rsidRPr="007D331B">
        <w:rPr>
          <w:vertAlign w:val="superscript"/>
        </w:rPr>
        <w:footnoteReference w:id="32"/>
      </w:r>
      <w:r w:rsidRPr="007D331B">
        <w:t xml:space="preserve"> Thus, India's non-exempt domestic support for sugarcane producers must not exceed 10 per cent of the total value of sugarcane production in any sugar season.</w:t>
      </w:r>
      <w:r w:rsidRPr="007D331B">
        <w:rPr>
          <w:vertAlign w:val="superscript"/>
        </w:rPr>
        <w:footnoteReference w:id="33"/>
      </w:r>
    </w:p>
    <w:p w14:paraId="11D89AEE" w14:textId="77777777" w:rsidR="007D331B" w:rsidRPr="007D331B" w:rsidRDefault="007D331B" w:rsidP="007D331B">
      <w:pPr>
        <w:numPr>
          <w:ilvl w:val="0"/>
          <w:numId w:val="1"/>
        </w:numPr>
        <w:spacing w:line="288" w:lineRule="auto"/>
      </w:pPr>
      <w:r w:rsidRPr="007D331B">
        <w:t>Some domestic support measures are exempt from reduction commitments pursuant to Articles 6.2 or 6.5, or Annex 2.</w:t>
      </w:r>
      <w:r w:rsidRPr="007D331B">
        <w:rPr>
          <w:vertAlign w:val="superscript"/>
        </w:rPr>
        <w:footnoteReference w:id="34"/>
      </w:r>
      <w:r w:rsidRPr="007D331B">
        <w:t xml:space="preserve"> These measures are not included in the calculation of a Member's Total AMS.</w:t>
      </w:r>
      <w:r w:rsidRPr="007D331B">
        <w:rPr>
          <w:vertAlign w:val="superscript"/>
        </w:rPr>
        <w:footnoteReference w:id="35"/>
      </w:r>
      <w:r w:rsidRPr="007D331B">
        <w:t xml:space="preserve"> India has not argued or adduced evidence that any of the domestic support measures challenged by Australia are exempt.</w:t>
      </w:r>
      <w:r w:rsidRPr="007D331B">
        <w:rPr>
          <w:vertAlign w:val="superscript"/>
        </w:rPr>
        <w:footnoteReference w:id="36"/>
      </w:r>
    </w:p>
    <w:p w14:paraId="3DBC4F56" w14:textId="7F6A01B5" w:rsidR="007D331B" w:rsidRPr="007D331B" w:rsidRDefault="007D331B" w:rsidP="007D331B">
      <w:pPr>
        <w:numPr>
          <w:ilvl w:val="0"/>
          <w:numId w:val="1"/>
        </w:numPr>
        <w:spacing w:line="288" w:lineRule="auto"/>
      </w:pPr>
      <w:bookmarkStart w:id="22" w:name="_Ref72317212"/>
      <w:r w:rsidRPr="005A3DB1">
        <w:t>Annex 3</w:t>
      </w:r>
      <w:r w:rsidRPr="007D331B">
        <w:t xml:space="preserve"> of the Agreement on Agriculture, which is titled "Domestic Support: Calculation of Aggregate Measurement of Support", describes how to calculate a Member's AMS.</w:t>
      </w:r>
      <w:r w:rsidRPr="007D331B">
        <w:rPr>
          <w:vertAlign w:val="superscript"/>
        </w:rPr>
        <w:footnoteReference w:id="37"/>
      </w:r>
      <w:r w:rsidRPr="007D331B">
        <w:t xml:space="preserve"> Paragraph 1 of Annex 3 provides that the product-specific AMS </w:t>
      </w:r>
      <w:r w:rsidR="009F44CC">
        <w:t>shall</w:t>
      </w:r>
      <w:r w:rsidR="00204023">
        <w:t xml:space="preserve"> be calculated </w:t>
      </w:r>
      <w:r w:rsidRPr="007D331B">
        <w:t xml:space="preserve">for </w:t>
      </w:r>
      <w:r w:rsidR="00204023">
        <w:t>each</w:t>
      </w:r>
      <w:r w:rsidRPr="007D331B">
        <w:t xml:space="preserve"> basic agricultural product </w:t>
      </w:r>
      <w:r w:rsidR="00204023">
        <w:t>receiving</w:t>
      </w:r>
      <w:r w:rsidRPr="007D331B">
        <w:t xml:space="preserve"> "market price support, non-exempt direct payments, or any other subsidy not exempted from the reduction commitment (</w:t>
      </w:r>
      <w:r w:rsidR="00204023">
        <w:t>'</w:t>
      </w:r>
      <w:r w:rsidRPr="007D331B">
        <w:t>other non-exempt policies</w:t>
      </w:r>
      <w:r w:rsidR="00204023">
        <w:t>'</w:t>
      </w:r>
      <w:r w:rsidRPr="007D331B">
        <w:t>)".</w:t>
      </w:r>
      <w:r w:rsidRPr="007D331B">
        <w:rPr>
          <w:vertAlign w:val="superscript"/>
        </w:rPr>
        <w:footnoteReference w:id="38"/>
      </w:r>
      <w:r w:rsidRPr="007D331B">
        <w:t xml:space="preserve"> Annex 3 as well as Annex 4 stipulate how to quantify the monetary value of each of these kinds of support to calculate a product-specific AMS.</w:t>
      </w:r>
      <w:bookmarkEnd w:id="22"/>
      <w:r w:rsidRPr="007D331B">
        <w:t xml:space="preserve"> </w:t>
      </w:r>
    </w:p>
    <w:p w14:paraId="7C3C7CE4" w14:textId="69F4300A" w:rsidR="007D331B" w:rsidRPr="007D331B" w:rsidRDefault="007D331B" w:rsidP="007D331B">
      <w:pPr>
        <w:numPr>
          <w:ilvl w:val="0"/>
          <w:numId w:val="1"/>
        </w:numPr>
        <w:spacing w:line="288" w:lineRule="auto"/>
      </w:pPr>
      <w:r w:rsidRPr="007D331B">
        <w:t>To determine whether non-exempt product-specific domestic support exceeds</w:t>
      </w:r>
      <w:r w:rsidR="00204023">
        <w:t xml:space="preserve"> the</w:t>
      </w:r>
      <w:r w:rsidRPr="007D331B">
        <w:t xml:space="preserve"> </w:t>
      </w:r>
      <w:r w:rsidRPr="007D331B">
        <w:rPr>
          <w:i/>
        </w:rPr>
        <w:t>de minimis</w:t>
      </w:r>
      <w:r w:rsidR="00204023">
        <w:rPr>
          <w:iCs/>
        </w:rPr>
        <w:t xml:space="preserve"> percentage</w:t>
      </w:r>
      <w:r w:rsidRPr="007D331B">
        <w:t>, the product-specific AMS is divided by the total value of production of the relevant basic agricultural product in the relevant year.</w:t>
      </w:r>
      <w:r w:rsidRPr="007D331B">
        <w:rPr>
          <w:vertAlign w:val="superscript"/>
        </w:rPr>
        <w:footnoteReference w:id="39"/>
      </w:r>
    </w:p>
    <w:p w14:paraId="37903130" w14:textId="77777777" w:rsidR="007D331B" w:rsidRPr="007D331B" w:rsidRDefault="007D331B" w:rsidP="007D331B">
      <w:pPr>
        <w:numPr>
          <w:ilvl w:val="0"/>
          <w:numId w:val="1"/>
        </w:numPr>
        <w:spacing w:line="288" w:lineRule="auto"/>
      </w:pPr>
      <w:r w:rsidRPr="007D331B">
        <w:t>India's domestic support measures in favour of its sugarcane producers constitute market price support and other non-exempt support.</w:t>
      </w:r>
    </w:p>
    <w:p w14:paraId="31BBC9BE" w14:textId="77777777" w:rsidR="007D331B" w:rsidRPr="007D331B" w:rsidRDefault="007D331B" w:rsidP="007D331B">
      <w:pPr>
        <w:keepNext/>
        <w:keepLines/>
        <w:numPr>
          <w:ilvl w:val="1"/>
          <w:numId w:val="2"/>
        </w:numPr>
        <w:spacing w:line="240" w:lineRule="auto"/>
        <w:outlineLvl w:val="1"/>
        <w:rPr>
          <w:rFonts w:eastAsiaTheme="majorEastAsia" w:cstheme="majorBidi"/>
          <w:b/>
          <w:smallCaps/>
          <w:sz w:val="28"/>
          <w:szCs w:val="26"/>
        </w:rPr>
      </w:pPr>
      <w:bookmarkStart w:id="23" w:name="_Toc72430873"/>
      <w:r w:rsidRPr="007D331B">
        <w:rPr>
          <w:rFonts w:eastAsiaTheme="majorEastAsia" w:cstheme="majorBidi"/>
          <w:b/>
          <w:smallCaps/>
          <w:sz w:val="28"/>
          <w:szCs w:val="26"/>
        </w:rPr>
        <w:t>Market price support</w:t>
      </w:r>
      <w:bookmarkEnd w:id="23"/>
    </w:p>
    <w:p w14:paraId="0C37468F" w14:textId="77777777" w:rsidR="007D331B" w:rsidRPr="007D331B" w:rsidRDefault="007D331B" w:rsidP="007D331B">
      <w:pPr>
        <w:keepNext/>
        <w:keepLines/>
        <w:numPr>
          <w:ilvl w:val="2"/>
          <w:numId w:val="2"/>
        </w:numPr>
        <w:spacing w:line="240" w:lineRule="auto"/>
        <w:ind w:left="2552"/>
        <w:outlineLvl w:val="2"/>
        <w:rPr>
          <w:rFonts w:eastAsiaTheme="majorEastAsia" w:cstheme="majorBidi"/>
          <w:b/>
        </w:rPr>
      </w:pPr>
      <w:bookmarkStart w:id="24" w:name="_Toc72430874"/>
      <w:r w:rsidRPr="007D331B">
        <w:rPr>
          <w:rFonts w:eastAsiaTheme="majorEastAsia" w:cstheme="majorBidi"/>
          <w:b/>
        </w:rPr>
        <w:t>The meaning of market price support</w:t>
      </w:r>
      <w:bookmarkEnd w:id="24"/>
    </w:p>
    <w:p w14:paraId="618C0ED1" w14:textId="68917A4E" w:rsidR="007C6664" w:rsidRDefault="007C6664" w:rsidP="007D331B">
      <w:pPr>
        <w:numPr>
          <w:ilvl w:val="0"/>
          <w:numId w:val="1"/>
        </w:numPr>
        <w:spacing w:line="288" w:lineRule="auto"/>
      </w:pPr>
      <w:r w:rsidRPr="007D331B">
        <w:t xml:space="preserve">Australia considers that "market price support" must be interpreted in accordance with its ordinary meaning, read in context, and in light of the Agreement on Agriculture's </w:t>
      </w:r>
      <w:r w:rsidRPr="007D331B">
        <w:lastRenderedPageBreak/>
        <w:t>object and purpose.</w:t>
      </w:r>
      <w:bookmarkStart w:id="25" w:name="_Ref63622584"/>
      <w:r w:rsidRPr="007D331B">
        <w:rPr>
          <w:vertAlign w:val="superscript"/>
        </w:rPr>
        <w:footnoteReference w:id="40"/>
      </w:r>
      <w:bookmarkEnd w:id="25"/>
      <w:r w:rsidR="00323A10">
        <w:t xml:space="preserve"> Market price support will exist when a Member </w:t>
      </w:r>
      <w:r w:rsidR="00AF294B">
        <w:t>sets</w:t>
      </w:r>
      <w:r w:rsidR="00323A10">
        <w:t xml:space="preserve"> a price for a basic agricultural product through administrative action</w:t>
      </w:r>
      <w:r w:rsidR="00E41205">
        <w:t xml:space="preserve"> and determines the production eligible to receive that price.</w:t>
      </w:r>
      <w:r w:rsidR="007E18DE">
        <w:rPr>
          <w:rStyle w:val="FootnoteReference"/>
        </w:rPr>
        <w:footnoteReference w:id="41"/>
      </w:r>
    </w:p>
    <w:p w14:paraId="1D313C14" w14:textId="03109999" w:rsidR="007D331B" w:rsidRPr="007D331B" w:rsidRDefault="007D331B" w:rsidP="003222F6">
      <w:pPr>
        <w:numPr>
          <w:ilvl w:val="0"/>
          <w:numId w:val="1"/>
        </w:numPr>
        <w:spacing w:line="288" w:lineRule="auto"/>
      </w:pPr>
      <w:r w:rsidRPr="007D331B">
        <w:t>India</w:t>
      </w:r>
      <w:r w:rsidR="004E4CB8">
        <w:t>, on the other hand,</w:t>
      </w:r>
      <w:r w:rsidRPr="007D331B">
        <w:t xml:space="preserve"> advocates for an unjustifiably narrow interpretation of market price support</w:t>
      </w:r>
      <w:r w:rsidR="003222F6">
        <w:t>.</w:t>
      </w:r>
      <w:r w:rsidR="001E0406">
        <w:rPr>
          <w:rStyle w:val="FootnoteReference"/>
        </w:rPr>
        <w:footnoteReference w:id="42"/>
      </w:r>
      <w:r w:rsidRPr="007D331B">
        <w:t xml:space="preserve"> </w:t>
      </w:r>
      <w:r w:rsidR="001A0E88">
        <w:t>A proper interpretation of the Agreement on Agriculture demonstrates that India's arguments are erroneous.</w:t>
      </w:r>
    </w:p>
    <w:p w14:paraId="04DA9EE4" w14:textId="77777777" w:rsidR="007D331B" w:rsidRPr="007D331B" w:rsidRDefault="007D331B" w:rsidP="007D331B">
      <w:pPr>
        <w:keepNext/>
        <w:keepLines/>
        <w:numPr>
          <w:ilvl w:val="3"/>
          <w:numId w:val="2"/>
        </w:numPr>
        <w:spacing w:line="240" w:lineRule="auto"/>
        <w:ind w:left="3403"/>
        <w:outlineLvl w:val="3"/>
        <w:rPr>
          <w:rFonts w:eastAsiaTheme="majorEastAsia" w:cstheme="majorBidi"/>
          <w:iCs/>
          <w:u w:val="single"/>
        </w:rPr>
      </w:pPr>
      <w:bookmarkStart w:id="26" w:name="_Toc72430875"/>
      <w:r w:rsidRPr="007D331B">
        <w:rPr>
          <w:rFonts w:eastAsiaTheme="majorEastAsia" w:cstheme="majorBidi"/>
          <w:iCs/>
          <w:u w:val="single"/>
        </w:rPr>
        <w:t>Ordinary meaning</w:t>
      </w:r>
      <w:bookmarkEnd w:id="26"/>
    </w:p>
    <w:p w14:paraId="7EACE354" w14:textId="11934834" w:rsidR="001E0406" w:rsidRDefault="007D331B" w:rsidP="007D331B">
      <w:pPr>
        <w:numPr>
          <w:ilvl w:val="0"/>
          <w:numId w:val="1"/>
        </w:numPr>
        <w:spacing w:line="288" w:lineRule="auto"/>
      </w:pPr>
      <w:r w:rsidRPr="007D331B">
        <w:t>"Market price support" is not defined in Article 1 of the Agreement on Agriculture, which defin</w:t>
      </w:r>
      <w:r w:rsidR="00AF294B">
        <w:t>es</w:t>
      </w:r>
      <w:r w:rsidRPr="007D331B">
        <w:t xml:space="preserve"> a range of terms used in the Agreement.  Annex 4 of the Agreement states that market price support is "defined in Annex 3".</w:t>
      </w:r>
      <w:r w:rsidRPr="007D331B">
        <w:rPr>
          <w:vertAlign w:val="superscript"/>
        </w:rPr>
        <w:footnoteReference w:id="43"/>
      </w:r>
      <w:r w:rsidRPr="007D331B">
        <w:t xml:space="preserve"> </w:t>
      </w:r>
    </w:p>
    <w:p w14:paraId="7A296DA3" w14:textId="55EE6065" w:rsidR="008C41F2" w:rsidRDefault="007D331B" w:rsidP="007D331B">
      <w:pPr>
        <w:numPr>
          <w:ilvl w:val="0"/>
          <w:numId w:val="1"/>
        </w:numPr>
        <w:spacing w:line="288" w:lineRule="auto"/>
      </w:pPr>
      <w:r w:rsidRPr="007D331B">
        <w:t>Paragraphs 1 and 8 of Annex 3 both refer to "market price support"</w:t>
      </w:r>
      <w:r w:rsidR="00AF294B">
        <w:t>,</w:t>
      </w:r>
      <w:r w:rsidR="001A0E88">
        <w:t xml:space="preserve"> so the interpretation of the term should begin with those paragraphs</w:t>
      </w:r>
      <w:r w:rsidRPr="007D331B">
        <w:t>.</w:t>
      </w:r>
    </w:p>
    <w:p w14:paraId="520E3937" w14:textId="48E2C252" w:rsidR="007D331B" w:rsidRPr="007D331B" w:rsidRDefault="007D331B" w:rsidP="007D331B">
      <w:pPr>
        <w:numPr>
          <w:ilvl w:val="0"/>
          <w:numId w:val="1"/>
        </w:numPr>
        <w:spacing w:line="288" w:lineRule="auto"/>
      </w:pPr>
      <w:r w:rsidRPr="007D331B">
        <w:t xml:space="preserve"> Australia recalls that paragraph 1 lists the three kinds of domestic support that are, subject to Article 6, to be included in the calculation of </w:t>
      </w:r>
      <w:r w:rsidR="0092033F">
        <w:t xml:space="preserve">the </w:t>
      </w:r>
      <w:r w:rsidR="0092033F" w:rsidRPr="007D331B">
        <w:t xml:space="preserve">product-specific </w:t>
      </w:r>
      <w:r w:rsidRPr="007D331B">
        <w:t>AMS.</w:t>
      </w:r>
      <w:r w:rsidR="00406208">
        <w:rPr>
          <w:rStyle w:val="FootnoteReference"/>
        </w:rPr>
        <w:footnoteReference w:id="44"/>
      </w:r>
    </w:p>
    <w:p w14:paraId="52BCBDB9" w14:textId="02A6E005" w:rsidR="001E0406" w:rsidRDefault="001E0406" w:rsidP="001E0406">
      <w:pPr>
        <w:numPr>
          <w:ilvl w:val="0"/>
          <w:numId w:val="1"/>
        </w:numPr>
        <w:spacing w:line="288" w:lineRule="auto"/>
      </w:pPr>
      <w:r w:rsidRPr="007D331B">
        <w:t>India argues that the phrase "or any other subsidy"</w:t>
      </w:r>
      <w:r>
        <w:t xml:space="preserve"> in paragraph 1</w:t>
      </w:r>
      <w:r w:rsidRPr="007D331B">
        <w:t xml:space="preserve"> means that market price support must take the form of a subsidy.</w:t>
      </w:r>
      <w:r w:rsidRPr="00271A8D">
        <w:rPr>
          <w:vertAlign w:val="superscript"/>
        </w:rPr>
        <w:footnoteReference w:id="45"/>
      </w:r>
      <w:r w:rsidRPr="00271A8D">
        <w:t xml:space="preserve"> </w:t>
      </w:r>
      <w:r w:rsidRPr="007D331B">
        <w:t xml:space="preserve">Australia </w:t>
      </w:r>
      <w:r w:rsidR="00271A8D">
        <w:t>disagrees. T</w:t>
      </w:r>
      <w:r w:rsidRPr="007D331B">
        <w:t xml:space="preserve">he </w:t>
      </w:r>
      <w:r w:rsidR="00AF294B">
        <w:t>words</w:t>
      </w:r>
      <w:r w:rsidRPr="007D331B">
        <w:t xml:space="preserve"> "any other" reflect an intent to ensure that </w:t>
      </w:r>
      <w:r w:rsidRPr="00F17AC4">
        <w:rPr>
          <w:u w:val="single"/>
        </w:rPr>
        <w:t>all</w:t>
      </w:r>
      <w:r w:rsidRPr="007D331B">
        <w:t xml:space="preserve"> non-exempt domestic support – including support that is neither market price support nor a direct payment – is included in the AMS.</w:t>
      </w:r>
      <w:r w:rsidR="00271A8D">
        <w:rPr>
          <w:rStyle w:val="FootnoteReference"/>
        </w:rPr>
        <w:footnoteReference w:id="46"/>
      </w:r>
    </w:p>
    <w:p w14:paraId="7ECE7E93" w14:textId="37C40EC5" w:rsidR="00AB4765" w:rsidRDefault="00C234DF" w:rsidP="00C234DF">
      <w:pPr>
        <w:numPr>
          <w:ilvl w:val="0"/>
          <w:numId w:val="1"/>
        </w:numPr>
        <w:spacing w:line="288" w:lineRule="auto"/>
      </w:pPr>
      <w:r>
        <w:t xml:space="preserve">Building on the tenuous foundation of its interpretation of paragraph 1 of Annex 3, India contends – based on the words "shall include both" – that paragraph 2 of that Annex </w:t>
      </w:r>
      <w:r w:rsidRPr="007D331B">
        <w:t>provide</w:t>
      </w:r>
      <w:r>
        <w:t>s</w:t>
      </w:r>
      <w:r w:rsidRPr="007D331B">
        <w:t xml:space="preserve"> an exhaustive definition of what may constitute a subsidy under paragraph 1</w:t>
      </w:r>
      <w:r w:rsidR="00AB4765" w:rsidRPr="007D331B">
        <w:t>.</w:t>
      </w:r>
      <w:r w:rsidR="00AB4765" w:rsidRPr="007D331B">
        <w:rPr>
          <w:vertAlign w:val="superscript"/>
        </w:rPr>
        <w:footnoteReference w:id="47"/>
      </w:r>
      <w:r w:rsidR="00AB4765" w:rsidRPr="007D331B">
        <w:t xml:space="preserve"> A</w:t>
      </w:r>
      <w:r w:rsidR="00AB4765">
        <w:t>gain, A</w:t>
      </w:r>
      <w:r w:rsidR="00AB4765" w:rsidRPr="007D331B">
        <w:t xml:space="preserve">ustralia disagrees. Paragraph 2 simply provides that "both budgetary outlays </w:t>
      </w:r>
      <w:r w:rsidR="00AB4765" w:rsidRPr="00FE26AF">
        <w:rPr>
          <w:u w:val="single"/>
        </w:rPr>
        <w:t>and</w:t>
      </w:r>
      <w:r w:rsidR="00AB4765" w:rsidRPr="007D331B">
        <w:t xml:space="preserve"> revenue foregone by governments or their agents"</w:t>
      </w:r>
      <w:r w:rsidR="00FE26AF">
        <w:rPr>
          <w:rStyle w:val="FootnoteReference"/>
        </w:rPr>
        <w:footnoteReference w:id="48"/>
      </w:r>
      <w:r w:rsidR="00AB4765" w:rsidRPr="007D331B">
        <w:t xml:space="preserve"> are subsidies</w:t>
      </w:r>
      <w:r w:rsidR="00FE26AF">
        <w:t xml:space="preserve"> that are included in the </w:t>
      </w:r>
      <w:r w:rsidR="00AB4765" w:rsidRPr="007D331B">
        <w:lastRenderedPageBreak/>
        <w:t>AMS calculation. The term "includes" is not exclusive or restrictive</w:t>
      </w:r>
      <w:r w:rsidR="0083159E">
        <w:t>, and the term "both" provides emphasis</w:t>
      </w:r>
      <w:r w:rsidR="00AB4765" w:rsidRPr="007D331B">
        <w:t>.</w:t>
      </w:r>
      <w:r>
        <w:rPr>
          <w:rStyle w:val="FootnoteReference"/>
        </w:rPr>
        <w:footnoteReference w:id="49"/>
      </w:r>
    </w:p>
    <w:p w14:paraId="5D9B3248" w14:textId="639A99C5" w:rsidR="00CE4D31" w:rsidRDefault="00FE26AF" w:rsidP="001E0406">
      <w:pPr>
        <w:numPr>
          <w:ilvl w:val="0"/>
          <w:numId w:val="1"/>
        </w:numPr>
        <w:spacing w:line="288" w:lineRule="auto"/>
      </w:pPr>
      <w:r>
        <w:t xml:space="preserve">The critical flaws in India's arguments become even more apparent in light of the only other paragraph in Annex 3 that includes the words "market price support": paragraph 8. </w:t>
      </w:r>
      <w:r w:rsidR="00893409">
        <w:t>That paragraph undermines India's defence,</w:t>
      </w:r>
      <w:r w:rsidR="00893409">
        <w:rPr>
          <w:rStyle w:val="FootnoteReference"/>
        </w:rPr>
        <w:footnoteReference w:id="50"/>
      </w:r>
      <w:r w:rsidR="00893409">
        <w:t xml:space="preserve"> which is why India has opted </w:t>
      </w:r>
      <w:r w:rsidR="00447641">
        <w:t xml:space="preserve">either </w:t>
      </w:r>
      <w:r w:rsidR="00893409">
        <w:t>to ignore</w:t>
      </w:r>
      <w:r w:rsidR="00893409">
        <w:rPr>
          <w:rStyle w:val="FootnoteReference"/>
        </w:rPr>
        <w:footnoteReference w:id="51"/>
      </w:r>
      <w:r w:rsidR="00893409">
        <w:t xml:space="preserve"> or to downplay</w:t>
      </w:r>
      <w:r w:rsidR="00893409">
        <w:rPr>
          <w:rStyle w:val="FootnoteReference"/>
        </w:rPr>
        <w:footnoteReference w:id="52"/>
      </w:r>
      <w:r w:rsidR="00893409">
        <w:t xml:space="preserve"> its significance.</w:t>
      </w:r>
    </w:p>
    <w:p w14:paraId="06B5C927" w14:textId="43D1D78A" w:rsidR="007D331B" w:rsidRPr="007D331B" w:rsidRDefault="007D331B" w:rsidP="007D331B">
      <w:pPr>
        <w:numPr>
          <w:ilvl w:val="0"/>
          <w:numId w:val="1"/>
        </w:numPr>
        <w:spacing w:line="288" w:lineRule="auto"/>
      </w:pPr>
      <w:r w:rsidRPr="007D331B">
        <w:t xml:space="preserve">Paragraph 8 of Annex 3 provides: </w:t>
      </w:r>
    </w:p>
    <w:p w14:paraId="06F28C4D" w14:textId="77777777" w:rsidR="007D331B" w:rsidRPr="007D331B" w:rsidRDefault="007D331B" w:rsidP="007D331B">
      <w:pPr>
        <w:spacing w:line="240" w:lineRule="auto"/>
        <w:ind w:left="851"/>
        <w:rPr>
          <w:sz w:val="22"/>
        </w:rPr>
      </w:pPr>
      <w:r w:rsidRPr="007D331B">
        <w:rPr>
          <w:sz w:val="22"/>
        </w:rPr>
        <w:t>Market price support: market price support shall be calculated using the gap between a fixed external reference price and the applied administered price multiplied by the quantity of production eligible to receive the applied administered price. Budgetary payments made to maintain this gap, such as buying-in or storage costs, shall not be included in the AMS.</w:t>
      </w:r>
    </w:p>
    <w:p w14:paraId="21FD231E" w14:textId="77777777" w:rsidR="007D331B" w:rsidRPr="007D331B" w:rsidRDefault="007D331B" w:rsidP="007D331B">
      <w:pPr>
        <w:numPr>
          <w:ilvl w:val="0"/>
          <w:numId w:val="1"/>
        </w:numPr>
        <w:spacing w:line="288" w:lineRule="auto"/>
      </w:pPr>
      <w:r w:rsidRPr="007D331B">
        <w:t xml:space="preserve">The first sentence of paragraph 8 sets out the formula for calculating the value of market price support to be included in the AMS, which may be represented by the following equation:  </w:t>
      </w:r>
    </w:p>
    <w:p w14:paraId="0738F1C5" w14:textId="6B733C89" w:rsidR="007D331B" w:rsidRPr="007D331B" w:rsidRDefault="007D331B" w:rsidP="007D331B">
      <w:pPr>
        <w:spacing w:line="240" w:lineRule="auto"/>
        <w:ind w:left="851"/>
        <w:rPr>
          <w:sz w:val="22"/>
        </w:rPr>
      </w:pPr>
      <w:r w:rsidRPr="007D331B">
        <w:rPr>
          <w:sz w:val="22"/>
        </w:rPr>
        <w:t xml:space="preserve">(Applied Administered Price – Fixed External Reference Price) x Quantity of </w:t>
      </w:r>
      <w:r w:rsidR="00E651F4" w:rsidRPr="007D331B">
        <w:rPr>
          <w:sz w:val="22"/>
        </w:rPr>
        <w:t xml:space="preserve">Eligible </w:t>
      </w:r>
      <w:r w:rsidRPr="007D331B">
        <w:rPr>
          <w:sz w:val="22"/>
        </w:rPr>
        <w:t>Production = value of market price support</w:t>
      </w:r>
    </w:p>
    <w:p w14:paraId="2E9FCB10" w14:textId="65673134" w:rsidR="007D331B" w:rsidRDefault="001C3806" w:rsidP="007D331B">
      <w:pPr>
        <w:numPr>
          <w:ilvl w:val="0"/>
          <w:numId w:val="1"/>
        </w:numPr>
        <w:spacing w:line="288" w:lineRule="auto"/>
      </w:pPr>
      <w:bookmarkStart w:id="27" w:name="_Ref72337456"/>
      <w:r>
        <w:t>The formula has three components</w:t>
      </w:r>
      <w:r w:rsidR="00FA38AE">
        <w:t>:</w:t>
      </w:r>
      <w:r>
        <w:t xml:space="preserve"> an Applied Administered Price (AAP), the Fixed External Reference Price (FERP) and</w:t>
      </w:r>
      <w:r w:rsidR="00406208">
        <w:t xml:space="preserve"> a</w:t>
      </w:r>
      <w:r>
        <w:t xml:space="preserve"> Quantity of Eligible Production (QEP).</w:t>
      </w:r>
      <w:r w:rsidR="009A13CE">
        <w:t xml:space="preserve"> Pursuant to the second sentence of paragraph 8, budgetary payments made to maintain the "gap" between the FERP and the AAP are not included in the AMS.</w:t>
      </w:r>
      <w:r w:rsidR="00FA38AE" w:rsidRPr="007D331B">
        <w:rPr>
          <w:vertAlign w:val="superscript"/>
        </w:rPr>
        <w:footnoteReference w:id="53"/>
      </w:r>
      <w:bookmarkEnd w:id="27"/>
    </w:p>
    <w:p w14:paraId="619FF979" w14:textId="2E3B5F1A" w:rsidR="001C3806" w:rsidRDefault="001C3806" w:rsidP="001C3806">
      <w:pPr>
        <w:numPr>
          <w:ilvl w:val="0"/>
          <w:numId w:val="1"/>
        </w:numPr>
        <w:spacing w:line="288" w:lineRule="auto"/>
      </w:pPr>
      <w:r w:rsidRPr="000D150F">
        <w:t xml:space="preserve">An </w:t>
      </w:r>
      <w:r w:rsidRPr="00E651F4">
        <w:rPr>
          <w:u w:val="single"/>
        </w:rPr>
        <w:t>AAP</w:t>
      </w:r>
      <w:r>
        <w:t xml:space="preserve"> is </w:t>
      </w:r>
      <w:r w:rsidRPr="001C3806">
        <w:t xml:space="preserve">a price that is set, determined, made effective or brought to bear by administrative action (including regulatory action), rather than being determined </w:t>
      </w:r>
      <w:r w:rsidR="00E651F4">
        <w:t xml:space="preserve">only </w:t>
      </w:r>
      <w:r w:rsidRPr="001C3806">
        <w:t>by market forces.  It need not be a price that is achieved by government expenditure and it need not involve budgetary payments or procurement.</w:t>
      </w:r>
      <w:r w:rsidRPr="001C3806">
        <w:rPr>
          <w:vertAlign w:val="superscript"/>
        </w:rPr>
        <w:footnoteReference w:id="54"/>
      </w:r>
      <w:r w:rsidR="00E651F4">
        <w:t xml:space="preserve"> I</w:t>
      </w:r>
      <w:r>
        <w:t xml:space="preserve">n </w:t>
      </w:r>
      <w:r w:rsidRPr="00F17AC4">
        <w:rPr>
          <w:i/>
          <w:iCs/>
        </w:rPr>
        <w:t>China – Agricultural Producers</w:t>
      </w:r>
      <w:r w:rsidR="00E651F4">
        <w:t xml:space="preserve">, the panel found that </w:t>
      </w:r>
      <w:r>
        <w:t>"applied administered price"</w:t>
      </w:r>
      <w:r w:rsidR="00E651F4">
        <w:t xml:space="preserve"> means</w:t>
      </w:r>
      <w:r>
        <w:t xml:space="preserve"> "… the price set by the government at which specified entities will purchase certain basic agricultural products</w:t>
      </w:r>
      <w:r w:rsidR="00406208">
        <w:t>"</w:t>
      </w:r>
      <w:r w:rsidR="0092033F">
        <w:t>.</w:t>
      </w:r>
      <w:r w:rsidRPr="00D61B53">
        <w:rPr>
          <w:vertAlign w:val="superscript"/>
        </w:rPr>
        <w:footnoteReference w:id="55"/>
      </w:r>
      <w:r w:rsidRPr="00E651F4">
        <w:rPr>
          <w:rFonts w:ascii="Times New Roman" w:hAnsi="Times New Roman" w:cs="Times New Roman"/>
        </w:rPr>
        <w:t xml:space="preserve"> </w:t>
      </w:r>
      <w:r>
        <w:t xml:space="preserve">  </w:t>
      </w:r>
    </w:p>
    <w:p w14:paraId="04606203" w14:textId="34DEC01C" w:rsidR="001C3806" w:rsidRDefault="001C3806" w:rsidP="001C3806">
      <w:pPr>
        <w:numPr>
          <w:ilvl w:val="0"/>
          <w:numId w:val="1"/>
        </w:numPr>
        <w:spacing w:line="288" w:lineRule="auto"/>
      </w:pPr>
      <w:bookmarkStart w:id="28" w:name="_Ref72422609"/>
      <w:r w:rsidRPr="001C3806">
        <w:lastRenderedPageBreak/>
        <w:t xml:space="preserve">The </w:t>
      </w:r>
      <w:r w:rsidRPr="000D150F">
        <w:rPr>
          <w:u w:val="single"/>
        </w:rPr>
        <w:t>FERP</w:t>
      </w:r>
      <w:r>
        <w:t xml:space="preserve"> is</w:t>
      </w:r>
      <w:r w:rsidRPr="001C3806">
        <w:t xml:space="preserve"> a reference price for the basic agricultural product from a base period (the years 1986–88 for original Members), which may be adjusted for quality differences as necessary.</w:t>
      </w:r>
      <w:r w:rsidRPr="001C3806">
        <w:rPr>
          <w:vertAlign w:val="superscript"/>
        </w:rPr>
        <w:footnoteReference w:id="56"/>
      </w:r>
      <w:bookmarkEnd w:id="28"/>
    </w:p>
    <w:p w14:paraId="0CCFB51C" w14:textId="62FF518A" w:rsidR="00A36B1B" w:rsidRDefault="001C3806" w:rsidP="002D0594">
      <w:pPr>
        <w:numPr>
          <w:ilvl w:val="0"/>
          <w:numId w:val="1"/>
        </w:numPr>
        <w:spacing w:line="288" w:lineRule="auto"/>
      </w:pPr>
      <w:r w:rsidRPr="001C3806">
        <w:t xml:space="preserve">The </w:t>
      </w:r>
      <w:r w:rsidRPr="000D150F">
        <w:rPr>
          <w:u w:val="single"/>
        </w:rPr>
        <w:t>QEP</w:t>
      </w:r>
      <w:r>
        <w:t xml:space="preserve"> is </w:t>
      </w:r>
      <w:r w:rsidRPr="001C3806">
        <w:t xml:space="preserve">the quantity or volume of production entitled, fit or able to receive the AAP </w:t>
      </w:r>
      <w:r w:rsidR="004124C5" w:rsidRPr="00ED57B0">
        <w:t>according to the terms of the measure</w:t>
      </w:r>
      <w:r w:rsidR="004124C5">
        <w:t xml:space="preserve"> </w:t>
      </w:r>
      <w:r w:rsidRPr="001C3806">
        <w:t>– not the amount that actually receives the AAP.</w:t>
      </w:r>
      <w:r w:rsidRPr="001C3806">
        <w:rPr>
          <w:vertAlign w:val="superscript"/>
        </w:rPr>
        <w:footnoteReference w:id="57"/>
      </w:r>
      <w:bookmarkStart w:id="29" w:name="_Hlk71901263"/>
      <w:r w:rsidR="002D0594">
        <w:t xml:space="preserve"> As the panel i</w:t>
      </w:r>
      <w:r w:rsidR="00A36B1B" w:rsidRPr="00F85DF8">
        <w:t xml:space="preserve">n </w:t>
      </w:r>
      <w:r w:rsidR="00A36B1B" w:rsidRPr="00F17AC4">
        <w:rPr>
          <w:i/>
          <w:iCs/>
        </w:rPr>
        <w:t>China – Agricultural Producers</w:t>
      </w:r>
      <w:r w:rsidR="00A36B1B">
        <w:t xml:space="preserve"> </w:t>
      </w:r>
      <w:r w:rsidR="00A36B1B" w:rsidRPr="00A36B1B">
        <w:t>observed, "the pertinent question</w:t>
      </w:r>
      <w:r w:rsidR="00A36B1B">
        <w:t xml:space="preserve"> [to determine the QEP]</w:t>
      </w:r>
      <w:r w:rsidR="00A36B1B" w:rsidRPr="00A36B1B">
        <w:t xml:space="preserve"> is whether the [product] that was produced would be able to benefit from the [</w:t>
      </w:r>
      <w:r w:rsidR="002D0594">
        <w:t>AAP</w:t>
      </w:r>
      <w:r w:rsidR="00A36B1B" w:rsidRPr="00A36B1B">
        <w:t>] if the seller so desired".</w:t>
      </w:r>
      <w:r w:rsidR="00A36B1B" w:rsidRPr="00A36B1B">
        <w:rPr>
          <w:vertAlign w:val="superscript"/>
        </w:rPr>
        <w:footnoteReference w:id="58"/>
      </w:r>
      <w:r w:rsidR="00A36B1B">
        <w:t xml:space="preserve"> </w:t>
      </w:r>
    </w:p>
    <w:bookmarkEnd w:id="29"/>
    <w:p w14:paraId="0458EE3A" w14:textId="7AF6C907" w:rsidR="00FA38AE" w:rsidRDefault="007D331B" w:rsidP="007D331B">
      <w:pPr>
        <w:numPr>
          <w:ilvl w:val="0"/>
          <w:numId w:val="1"/>
        </w:numPr>
        <w:spacing w:line="288" w:lineRule="auto"/>
      </w:pPr>
      <w:r w:rsidRPr="007D331B">
        <w:t xml:space="preserve">Accordingly, market price support will exist and have a value measurable under paragraph 8 when a Member sets an AAP </w:t>
      </w:r>
      <w:r w:rsidR="00AA13FD">
        <w:t xml:space="preserve">for a basic agricultural product </w:t>
      </w:r>
      <w:r w:rsidRPr="007D331B">
        <w:t>that is higher than the relevant FERP, and determines the production eligible to receive th</w:t>
      </w:r>
      <w:r w:rsidR="00EF09FD">
        <w:t>e</w:t>
      </w:r>
      <w:r w:rsidRPr="007D331B">
        <w:t xml:space="preserve"> AAP.</w:t>
      </w:r>
      <w:r w:rsidRPr="007D331B">
        <w:rPr>
          <w:vertAlign w:val="superscript"/>
        </w:rPr>
        <w:footnoteReference w:id="59"/>
      </w:r>
      <w:r w:rsidRPr="007D331B">
        <w:t xml:space="preserve"> </w:t>
      </w:r>
    </w:p>
    <w:p w14:paraId="687B99AB" w14:textId="211C6D1A" w:rsidR="007D331B" w:rsidRDefault="00EF09FD" w:rsidP="00FA38AE">
      <w:pPr>
        <w:numPr>
          <w:ilvl w:val="0"/>
          <w:numId w:val="1"/>
        </w:numPr>
        <w:spacing w:line="288" w:lineRule="auto"/>
      </w:pPr>
      <w:r>
        <w:t>P</w:t>
      </w:r>
      <w:r w:rsidR="007C6664" w:rsidRPr="007D331B">
        <w:t xml:space="preserve">aragraph 8 does </w:t>
      </w:r>
      <w:r w:rsidR="007C6664" w:rsidRPr="007D331B">
        <w:rPr>
          <w:u w:val="single"/>
        </w:rPr>
        <w:t>not</w:t>
      </w:r>
      <w:r w:rsidR="007C6664" w:rsidRPr="007D331B">
        <w:t xml:space="preserve"> stipulate or imply that the government or its agents must procure the product at the AAP</w:t>
      </w:r>
      <w:r w:rsidR="007C6664">
        <w:t>.</w:t>
      </w:r>
      <w:r w:rsidR="00FA38AE">
        <w:t xml:space="preserve"> </w:t>
      </w:r>
      <w:r w:rsidR="007D331B" w:rsidRPr="007D331B">
        <w:t xml:space="preserve">Thus, India's argument that </w:t>
      </w:r>
      <w:r w:rsidR="00942F4C">
        <w:t xml:space="preserve">market price support requires </w:t>
      </w:r>
      <w:r w:rsidR="005C59B4">
        <w:t>government</w:t>
      </w:r>
      <w:r w:rsidR="007D331B" w:rsidRPr="007D331B">
        <w:t xml:space="preserve"> procurement is incompatible with the ordinary meaning of paragraphs 1 and 8 of Annex 3 and read</w:t>
      </w:r>
      <w:r w:rsidR="00A25BC9">
        <w:t>s</w:t>
      </w:r>
      <w:r w:rsidR="007D331B" w:rsidRPr="007D331B">
        <w:t xml:space="preserve"> into the text a limitation that is not there.</w:t>
      </w:r>
      <w:r w:rsidR="0092033F" w:rsidRPr="007D331B">
        <w:rPr>
          <w:vertAlign w:val="superscript"/>
        </w:rPr>
        <w:footnoteReference w:id="60"/>
      </w:r>
    </w:p>
    <w:p w14:paraId="17350655" w14:textId="14F1340C" w:rsidR="005702AC" w:rsidRPr="007D331B" w:rsidRDefault="005702AC" w:rsidP="00FA38AE">
      <w:pPr>
        <w:numPr>
          <w:ilvl w:val="0"/>
          <w:numId w:val="1"/>
        </w:numPr>
        <w:spacing w:line="288" w:lineRule="auto"/>
      </w:pPr>
      <w:r>
        <w:t xml:space="preserve">India </w:t>
      </w:r>
      <w:r w:rsidR="00A25BC9">
        <w:t>seeks</w:t>
      </w:r>
      <w:r>
        <w:t xml:space="preserve"> to diminish the importance of paragraph 8 by arguing that it only provides how to </w:t>
      </w:r>
      <w:r w:rsidRPr="00593B5C">
        <w:rPr>
          <w:u w:val="single"/>
        </w:rPr>
        <w:t>calculate</w:t>
      </w:r>
      <w:r>
        <w:t xml:space="preserve"> market price support. According to India, it is paragraphs 1 and 2 of Annex 3 that determine </w:t>
      </w:r>
      <w:r w:rsidRPr="00593B5C">
        <w:rPr>
          <w:u w:val="single"/>
        </w:rPr>
        <w:t>when</w:t>
      </w:r>
      <w:r>
        <w:t xml:space="preserve"> market price support will exist.</w:t>
      </w:r>
      <w:r w:rsidR="00593B5C">
        <w:rPr>
          <w:rStyle w:val="FootnoteReference"/>
        </w:rPr>
        <w:footnoteReference w:id="61"/>
      </w:r>
      <w:r w:rsidRPr="005702AC">
        <w:t xml:space="preserve"> India's argument finds no support in the text of Annex 3.  As Australia has already outlined, the purpose of Annex 3 is to stipulate the method for calculating in monetary terms a Member's non-exempt domestic support or AMS.</w:t>
      </w:r>
      <w:r w:rsidR="0092033F" w:rsidRPr="005702AC">
        <w:rPr>
          <w:vertAlign w:val="superscript"/>
        </w:rPr>
        <w:footnoteReference w:id="62"/>
      </w:r>
      <w:r w:rsidRPr="005702AC">
        <w:t xml:space="preserve"> The Annex does </w:t>
      </w:r>
      <w:r w:rsidRPr="005702AC">
        <w:rPr>
          <w:u w:val="single"/>
        </w:rPr>
        <w:t>not differentiate</w:t>
      </w:r>
      <w:r w:rsidRPr="005702AC">
        <w:t xml:space="preserve"> between </w:t>
      </w:r>
      <w:r w:rsidRPr="005702AC">
        <w:rPr>
          <w:u w:val="single"/>
        </w:rPr>
        <w:t>when</w:t>
      </w:r>
      <w:r w:rsidRPr="005702AC">
        <w:t xml:space="preserve"> market price support exists and </w:t>
      </w:r>
      <w:r w:rsidRPr="005702AC">
        <w:rPr>
          <w:u w:val="single"/>
        </w:rPr>
        <w:t>how</w:t>
      </w:r>
      <w:r w:rsidRPr="005702AC">
        <w:t xml:space="preserve"> to calculate the value of such support, as India argues.</w:t>
      </w:r>
      <w:r>
        <w:rPr>
          <w:rStyle w:val="FootnoteReference"/>
        </w:rPr>
        <w:footnoteReference w:id="63"/>
      </w:r>
      <w:r w:rsidRPr="005702AC">
        <w:t xml:space="preserve">  </w:t>
      </w:r>
    </w:p>
    <w:p w14:paraId="68C31327" w14:textId="77777777" w:rsidR="007D331B" w:rsidRPr="007D331B" w:rsidRDefault="007D331B" w:rsidP="007D331B">
      <w:pPr>
        <w:keepNext/>
        <w:keepLines/>
        <w:numPr>
          <w:ilvl w:val="3"/>
          <w:numId w:val="2"/>
        </w:numPr>
        <w:spacing w:line="240" w:lineRule="auto"/>
        <w:ind w:left="3403"/>
        <w:outlineLvl w:val="3"/>
        <w:rPr>
          <w:rFonts w:eastAsiaTheme="majorEastAsia" w:cstheme="majorBidi"/>
          <w:iCs/>
          <w:u w:val="single"/>
        </w:rPr>
      </w:pPr>
      <w:bookmarkStart w:id="30" w:name="_Toc72430876"/>
      <w:r w:rsidRPr="007D331B">
        <w:rPr>
          <w:rFonts w:eastAsiaTheme="majorEastAsia" w:cstheme="majorBidi"/>
          <w:iCs/>
          <w:u w:val="single"/>
        </w:rPr>
        <w:t>Context</w:t>
      </w:r>
      <w:bookmarkEnd w:id="30"/>
    </w:p>
    <w:p w14:paraId="1EC2BDCD" w14:textId="29458788" w:rsidR="007D331B" w:rsidRPr="007D331B" w:rsidRDefault="007D331B" w:rsidP="007D331B">
      <w:pPr>
        <w:numPr>
          <w:ilvl w:val="0"/>
          <w:numId w:val="1"/>
        </w:numPr>
        <w:spacing w:line="288" w:lineRule="auto"/>
      </w:pPr>
      <w:r w:rsidRPr="007D331B">
        <w:t>Articles 6.1 and 6.2</w:t>
      </w:r>
      <w:r w:rsidR="0092033F">
        <w:t>,</w:t>
      </w:r>
      <w:r w:rsidRPr="007D331B">
        <w:t xml:space="preserve"> and Annex 4</w:t>
      </w:r>
      <w:r w:rsidR="0092033F">
        <w:t>,</w:t>
      </w:r>
      <w:r w:rsidRPr="007D331B">
        <w:t xml:space="preserve"> of the Agreement on Agriculture, as well as India's Schedule, each provide relevant context for interpreting "market price support" in this dispute</w:t>
      </w:r>
      <w:r w:rsidR="0083406A">
        <w:t>, which serve</w:t>
      </w:r>
      <w:r w:rsidR="005A3DB1">
        <w:t>s</w:t>
      </w:r>
      <w:r w:rsidR="0083406A">
        <w:t xml:space="preserve"> to reinforce the ordinary meaning of the term.</w:t>
      </w:r>
      <w:r w:rsidRPr="007D331B">
        <w:t xml:space="preserve"> </w:t>
      </w:r>
    </w:p>
    <w:p w14:paraId="2FF813E7" w14:textId="65ABCD5E" w:rsidR="007D331B" w:rsidRPr="007D331B" w:rsidRDefault="007D331B" w:rsidP="007D331B">
      <w:pPr>
        <w:numPr>
          <w:ilvl w:val="0"/>
          <w:numId w:val="1"/>
        </w:numPr>
        <w:spacing w:line="288" w:lineRule="auto"/>
      </w:pPr>
      <w:r w:rsidRPr="007D331B">
        <w:rPr>
          <w:u w:val="single"/>
        </w:rPr>
        <w:t>Article 6.1</w:t>
      </w:r>
      <w:r w:rsidRPr="007D331B">
        <w:t xml:space="preserve"> provides that a Member's domestic support commitments "apply to </w:t>
      </w:r>
      <w:r w:rsidRPr="007D331B">
        <w:rPr>
          <w:u w:val="single"/>
        </w:rPr>
        <w:t>all</w:t>
      </w:r>
      <w:r w:rsidRPr="007D331B">
        <w:t xml:space="preserve"> of its </w:t>
      </w:r>
      <w:r w:rsidR="00AB3D0E">
        <w:t xml:space="preserve">[non-exempt] </w:t>
      </w:r>
      <w:r w:rsidRPr="007D331B">
        <w:t>domestic support measure</w:t>
      </w:r>
      <w:r w:rsidR="00447641">
        <w:t>s</w:t>
      </w:r>
      <w:r w:rsidRPr="007D331B">
        <w:t xml:space="preserve"> in favour of agricultural producers</w:t>
      </w:r>
      <w:r w:rsidR="00AB3D0E">
        <w:t>…</w:t>
      </w:r>
      <w:r w:rsidRPr="007D331B">
        <w:t>"</w:t>
      </w:r>
      <w:r w:rsidR="00AB3D0E">
        <w:rPr>
          <w:rStyle w:val="FootnoteReference"/>
        </w:rPr>
        <w:footnoteReference w:id="64"/>
      </w:r>
      <w:r w:rsidRPr="007D331B">
        <w:t xml:space="preserve">. </w:t>
      </w:r>
      <w:r w:rsidR="003B0CC5">
        <w:t xml:space="preserve">The </w:t>
      </w:r>
      <w:r w:rsidRPr="007D331B">
        <w:lastRenderedPageBreak/>
        <w:t>Article</w:t>
      </w:r>
      <w:r w:rsidR="00AB3D0E">
        <w:t> </w:t>
      </w:r>
      <w:r w:rsidRPr="007D331B">
        <w:t xml:space="preserve">confirms that the </w:t>
      </w:r>
      <w:r w:rsidRPr="007D331B">
        <w:rPr>
          <w:u w:val="single"/>
        </w:rPr>
        <w:t>only</w:t>
      </w:r>
      <w:r w:rsidRPr="007D331B">
        <w:t xml:space="preserve"> domestic support measures that are </w:t>
      </w:r>
      <w:r w:rsidRPr="007D331B">
        <w:rPr>
          <w:u w:val="single"/>
        </w:rPr>
        <w:t>not</w:t>
      </w:r>
      <w:r w:rsidRPr="007D331B">
        <w:t xml:space="preserve"> subject to a Member's commitments are those that are </w:t>
      </w:r>
      <w:r w:rsidRPr="007D331B">
        <w:rPr>
          <w:u w:val="single"/>
        </w:rPr>
        <w:t>exempt</w:t>
      </w:r>
      <w:r w:rsidRPr="007D331B">
        <w:t>.</w:t>
      </w:r>
      <w:r w:rsidR="00AB3D0E">
        <w:rPr>
          <w:rStyle w:val="FootnoteReference"/>
        </w:rPr>
        <w:footnoteReference w:id="65"/>
      </w:r>
    </w:p>
    <w:p w14:paraId="5B2041C2" w14:textId="33A92541" w:rsidR="007D331B" w:rsidRPr="007D331B" w:rsidRDefault="007D331B" w:rsidP="007D331B">
      <w:pPr>
        <w:numPr>
          <w:ilvl w:val="0"/>
          <w:numId w:val="1"/>
        </w:numPr>
        <w:spacing w:line="288" w:lineRule="auto"/>
      </w:pPr>
      <w:r w:rsidRPr="007D331B">
        <w:rPr>
          <w:u w:val="single"/>
        </w:rPr>
        <w:t>Article 6.2</w:t>
      </w:r>
      <w:r w:rsidRPr="007D331B">
        <w:t xml:space="preserve"> </w:t>
      </w:r>
      <w:r w:rsidR="003B0CC5">
        <w:t>provides</w:t>
      </w:r>
      <w:r w:rsidRPr="007D331B">
        <w:t xml:space="preserve"> that both "direct" and "indirect" governmental measures of assistance are subject to domestic support reduction commitments unless they are exempt.  It </w:t>
      </w:r>
      <w:r w:rsidR="003B0CC5">
        <w:t xml:space="preserve">indicates </w:t>
      </w:r>
      <w:r w:rsidRPr="007D331B">
        <w:t xml:space="preserve">that domestic support </w:t>
      </w:r>
      <w:r w:rsidR="003B0CC5">
        <w:t>measures disciplined by the Agreement on Agriculture may</w:t>
      </w:r>
      <w:r w:rsidRPr="007D331B">
        <w:t xml:space="preserve"> be provided </w:t>
      </w:r>
      <w:r w:rsidR="00A25BC9" w:rsidRPr="007D331B">
        <w:t xml:space="preserve">to producers </w:t>
      </w:r>
      <w:r w:rsidRPr="007D331B">
        <w:rPr>
          <w:u w:val="single"/>
        </w:rPr>
        <w:t>directly</w:t>
      </w:r>
      <w:r w:rsidRPr="007D331B">
        <w:t xml:space="preserve"> by government (or its agents) or through </w:t>
      </w:r>
      <w:r w:rsidRPr="007D331B">
        <w:rPr>
          <w:u w:val="single"/>
        </w:rPr>
        <w:t>indirect</w:t>
      </w:r>
      <w:r w:rsidRPr="007D331B">
        <w:t xml:space="preserve"> means, such as by regulating the price paid by consumers of a basic agricultural product.</w:t>
      </w:r>
      <w:r w:rsidR="003B0CC5">
        <w:rPr>
          <w:rStyle w:val="FootnoteReference"/>
        </w:rPr>
        <w:footnoteReference w:id="66"/>
      </w:r>
      <w:r w:rsidRPr="007D331B">
        <w:t xml:space="preserve">  </w:t>
      </w:r>
    </w:p>
    <w:p w14:paraId="10801983" w14:textId="5602A48E" w:rsidR="007D331B" w:rsidRPr="007D331B" w:rsidRDefault="007D331B" w:rsidP="007D331B">
      <w:pPr>
        <w:numPr>
          <w:ilvl w:val="0"/>
          <w:numId w:val="1"/>
        </w:numPr>
        <w:spacing w:line="288" w:lineRule="auto"/>
      </w:pPr>
      <w:r w:rsidRPr="007D331B">
        <w:rPr>
          <w:u w:val="single"/>
        </w:rPr>
        <w:t>Annex 4</w:t>
      </w:r>
      <w:r w:rsidRPr="007D331B">
        <w:t xml:space="preserve"> describes how to calculate an equivalent measurement of support when market price support exists but it "is not practicable"</w:t>
      </w:r>
      <w:r w:rsidRPr="007D331B">
        <w:rPr>
          <w:vertAlign w:val="superscript"/>
        </w:rPr>
        <w:footnoteReference w:id="67"/>
      </w:r>
      <w:r w:rsidRPr="007D331B">
        <w:t xml:space="preserve"> to calculate that component of the AMS.  </w:t>
      </w:r>
      <w:r w:rsidR="00EF09FD">
        <w:t>B</w:t>
      </w:r>
      <w:r w:rsidRPr="007D331B">
        <w:t xml:space="preserve">udgetary outlays may only be used to calculate the value of market price support when it is </w:t>
      </w:r>
      <w:r w:rsidRPr="007D331B">
        <w:rPr>
          <w:u w:val="single"/>
        </w:rPr>
        <w:t>not</w:t>
      </w:r>
      <w:r w:rsidRPr="007D331B">
        <w:t xml:space="preserve"> practicable to use the formula in paragraph 8 of Annex 3 </w:t>
      </w:r>
      <w:r w:rsidRPr="007D331B">
        <w:rPr>
          <w:u w:val="single"/>
        </w:rPr>
        <w:t>or</w:t>
      </w:r>
      <w:r w:rsidRPr="007D331B">
        <w:t xml:space="preserve"> the alternative methodology in paragraph 2 of Annex 4. Also, the budgetary outlays are </w:t>
      </w:r>
      <w:r w:rsidRPr="007D331B">
        <w:rPr>
          <w:u w:val="single"/>
        </w:rPr>
        <w:t>not</w:t>
      </w:r>
      <w:r w:rsidRPr="007D331B">
        <w:t xml:space="preserve"> limited to those used for government procurement of the product – the outlays must simply be used to maintain the price.  Annex 4</w:t>
      </w:r>
      <w:r w:rsidR="00B3529A">
        <w:t>, therefore,</w:t>
      </w:r>
      <w:r w:rsidRPr="007D331B">
        <w:t xml:space="preserve"> adds further weight to the argument that market price support may exist in the absence of budgetary outlays used to procure the product at the AAP.</w:t>
      </w:r>
      <w:r w:rsidRPr="007D331B">
        <w:rPr>
          <w:vertAlign w:val="superscript"/>
        </w:rPr>
        <w:footnoteReference w:id="68"/>
      </w:r>
    </w:p>
    <w:p w14:paraId="1D5F6712" w14:textId="415D72E7" w:rsidR="007D331B" w:rsidRDefault="007D331B" w:rsidP="007D331B">
      <w:pPr>
        <w:numPr>
          <w:ilvl w:val="0"/>
          <w:numId w:val="1"/>
        </w:numPr>
        <w:spacing w:line="288" w:lineRule="auto"/>
      </w:pPr>
      <w:r w:rsidRPr="007D331B">
        <w:t>Finally,</w:t>
      </w:r>
      <w:r w:rsidR="00C11712">
        <w:t xml:space="preserve"> </w:t>
      </w:r>
      <w:r w:rsidR="00C11712" w:rsidRPr="00C11712">
        <w:t>the tables of supporting material incorporated by reference in Part IV of</w:t>
      </w:r>
      <w:r w:rsidRPr="007D331B">
        <w:t xml:space="preserve"> </w:t>
      </w:r>
      <w:r w:rsidRPr="005A3DB1">
        <w:rPr>
          <w:u w:val="single"/>
        </w:rPr>
        <w:t>India's Schedule</w:t>
      </w:r>
      <w:r w:rsidRPr="007D331B">
        <w:t xml:space="preserve"> confirm that India considered the Sugarcane (Control) Order 1966 in force during the base period </w:t>
      </w:r>
      <w:r w:rsidR="00A25BC9">
        <w:t xml:space="preserve">had </w:t>
      </w:r>
      <w:r w:rsidRPr="007D331B">
        <w:t>established an AAP and constituted market price support.</w:t>
      </w:r>
      <w:r w:rsidRPr="007D331B">
        <w:rPr>
          <w:vertAlign w:val="superscript"/>
        </w:rPr>
        <w:footnoteReference w:id="69"/>
      </w:r>
      <w:r w:rsidRPr="007D331B">
        <w:t xml:space="preserve"> That Order, which was amended in 2009 to introduce the FRP</w:t>
      </w:r>
      <w:r w:rsidR="00B3529A">
        <w:t>,</w:t>
      </w:r>
      <w:r w:rsidRPr="007D331B">
        <w:t xml:space="preserve"> fixed the minimum price of sugarcane to be paid by all producers of sugar (the mills) to the producers of sugarcane (the farmers). Like the FRP, the floor price was paid by the mills, not by the Indian government.</w:t>
      </w:r>
      <w:r w:rsidR="00B3529A">
        <w:rPr>
          <w:rStyle w:val="FootnoteReference"/>
        </w:rPr>
        <w:footnoteReference w:id="70"/>
      </w:r>
    </w:p>
    <w:p w14:paraId="6BF821ED" w14:textId="42C7FDB3" w:rsidR="00F33619" w:rsidRPr="007D331B" w:rsidRDefault="00C11712" w:rsidP="007D331B">
      <w:pPr>
        <w:numPr>
          <w:ilvl w:val="0"/>
          <w:numId w:val="1"/>
        </w:numPr>
        <w:spacing w:line="288" w:lineRule="auto"/>
      </w:pPr>
      <w:r>
        <w:t xml:space="preserve">India </w:t>
      </w:r>
      <w:r w:rsidR="004351AB">
        <w:t>argues that Members' Schedule</w:t>
      </w:r>
      <w:r w:rsidR="00A25BC9">
        <w:t>s</w:t>
      </w:r>
      <w:r w:rsidR="004351AB">
        <w:t xml:space="preserve"> are not relevant to interpret</w:t>
      </w:r>
      <w:r w:rsidR="0092033F">
        <w:t>ing</w:t>
      </w:r>
      <w:r w:rsidR="004351AB">
        <w:t xml:space="preserve"> the meaning of "market price support", and that relying on Schedules would result in terms having multiple meanings.</w:t>
      </w:r>
      <w:r w:rsidR="004351AB">
        <w:rPr>
          <w:rStyle w:val="FootnoteReference"/>
        </w:rPr>
        <w:footnoteReference w:id="71"/>
      </w:r>
      <w:r w:rsidR="004351AB">
        <w:t xml:space="preserve"> </w:t>
      </w:r>
      <w:r w:rsidR="00F33619" w:rsidRPr="00F33619">
        <w:t>Australia disagrees. Members' Schedules may provide relevant context for interpreting Members' legal obligations.</w:t>
      </w:r>
      <w:r w:rsidR="00F33619" w:rsidRPr="00F33619">
        <w:rPr>
          <w:vertAlign w:val="superscript"/>
        </w:rPr>
        <w:footnoteReference w:id="72"/>
      </w:r>
      <w:r w:rsidR="00F33619" w:rsidRPr="00F33619">
        <w:t xml:space="preserve"> A Member's Schedule cannot override the ordinary meaning of the terms of the Agreement on Agriculture, as India implies it would, but a Schedule may provide relevant context for interpreting those terms. In this instance, the context provided by India's supporting tables reinforces the ordinary meaning of </w:t>
      </w:r>
      <w:r w:rsidR="00207FC3">
        <w:t xml:space="preserve">"market price </w:t>
      </w:r>
      <w:r w:rsidR="00207FC3">
        <w:lastRenderedPageBreak/>
        <w:t>support" and</w:t>
      </w:r>
      <w:r w:rsidR="00F33619" w:rsidRPr="00F33619">
        <w:t xml:space="preserve"> underscore</w:t>
      </w:r>
      <w:r w:rsidR="002C7FD2">
        <w:t>s</w:t>
      </w:r>
      <w:r w:rsidR="00F33619" w:rsidRPr="00F33619">
        <w:t xml:space="preserve"> India's </w:t>
      </w:r>
      <w:r w:rsidR="00F33619" w:rsidRPr="00207FC3">
        <w:rPr>
          <w:u w:val="single"/>
        </w:rPr>
        <w:t>own</w:t>
      </w:r>
      <w:r w:rsidR="00F33619" w:rsidRPr="00F33619">
        <w:t xml:space="preserve"> interpretation of the term at the time of constituting its Schedule.</w:t>
      </w:r>
      <w:r w:rsidR="00FE3B71">
        <w:rPr>
          <w:rStyle w:val="FootnoteReference"/>
        </w:rPr>
        <w:footnoteReference w:id="73"/>
      </w:r>
    </w:p>
    <w:p w14:paraId="7001E505" w14:textId="77777777" w:rsidR="007D331B" w:rsidRPr="007D331B" w:rsidRDefault="007D331B" w:rsidP="007D331B">
      <w:pPr>
        <w:keepNext/>
        <w:keepLines/>
        <w:numPr>
          <w:ilvl w:val="3"/>
          <w:numId w:val="2"/>
        </w:numPr>
        <w:spacing w:line="240" w:lineRule="auto"/>
        <w:ind w:left="3403"/>
        <w:outlineLvl w:val="3"/>
        <w:rPr>
          <w:rFonts w:eastAsiaTheme="majorEastAsia" w:cstheme="majorBidi"/>
          <w:iCs/>
          <w:u w:val="single"/>
        </w:rPr>
      </w:pPr>
      <w:bookmarkStart w:id="31" w:name="_Toc72430877"/>
      <w:r w:rsidRPr="007D331B">
        <w:rPr>
          <w:rFonts w:eastAsiaTheme="majorEastAsia" w:cstheme="majorBidi"/>
          <w:iCs/>
          <w:u w:val="single"/>
        </w:rPr>
        <w:t>Object and purpose</w:t>
      </w:r>
      <w:bookmarkEnd w:id="31"/>
    </w:p>
    <w:p w14:paraId="2CE94527" w14:textId="11AA4BA9" w:rsidR="0016068C" w:rsidRDefault="007D331B" w:rsidP="007D331B">
      <w:pPr>
        <w:numPr>
          <w:ilvl w:val="0"/>
          <w:numId w:val="1"/>
        </w:numPr>
        <w:spacing w:line="288" w:lineRule="auto"/>
      </w:pPr>
      <w:r w:rsidRPr="007D331B">
        <w:t xml:space="preserve">The </w:t>
      </w:r>
      <w:r w:rsidR="00195C31" w:rsidRPr="007D331B">
        <w:t>object and purpose</w:t>
      </w:r>
      <w:r w:rsidR="00195C31">
        <w:t xml:space="preserve"> of the </w:t>
      </w:r>
      <w:r w:rsidRPr="007D331B">
        <w:t xml:space="preserve">Agreement on Agriculture </w:t>
      </w:r>
      <w:r w:rsidR="00195C31">
        <w:t xml:space="preserve">support an interpretation of "market price support" that is </w:t>
      </w:r>
      <w:r w:rsidR="00195C31" w:rsidRPr="00F17AC4">
        <w:rPr>
          <w:u w:val="single"/>
        </w:rPr>
        <w:t>not</w:t>
      </w:r>
      <w:r w:rsidR="00195C31">
        <w:t xml:space="preserve"> limited to government procurement of a product at the AAP. The Agreement's object and purpose</w:t>
      </w:r>
      <w:r w:rsidRPr="007D331B">
        <w:t>, as stated in its preamble, is relevantly</w:t>
      </w:r>
      <w:r w:rsidR="0016068C">
        <w:t>:</w:t>
      </w:r>
    </w:p>
    <w:p w14:paraId="2ECB0349" w14:textId="165C4A83" w:rsidR="0016068C" w:rsidRDefault="007D331B" w:rsidP="00CE6C63">
      <w:pPr>
        <w:pStyle w:val="P2-B1Paragraph2-Bullet1"/>
      </w:pPr>
      <w:r w:rsidRPr="007D331B">
        <w:t xml:space="preserve">to </w:t>
      </w:r>
      <w:r w:rsidR="0016068C" w:rsidRPr="007D331B">
        <w:rPr>
          <w:lang w:val="en-US"/>
        </w:rPr>
        <w:t>achieve "</w:t>
      </w:r>
      <w:r w:rsidR="0016068C" w:rsidRPr="007D331B">
        <w:t>substantial progressive reductions in agricultural support" through specific binding commitments including with respect to "domestic support"</w:t>
      </w:r>
      <w:r w:rsidR="00676447">
        <w:t>;</w:t>
      </w:r>
      <w:r w:rsidR="0016068C" w:rsidRPr="007D331B">
        <w:rPr>
          <w:vertAlign w:val="superscript"/>
        </w:rPr>
        <w:footnoteReference w:id="74"/>
      </w:r>
      <w:r w:rsidR="00676447">
        <w:t xml:space="preserve"> and</w:t>
      </w:r>
    </w:p>
    <w:p w14:paraId="3BC81CE8" w14:textId="268A7ED1" w:rsidR="0016068C" w:rsidRDefault="00676447" w:rsidP="00CE6C63">
      <w:pPr>
        <w:pStyle w:val="P2-B1Paragraph2-Bullet1"/>
      </w:pPr>
      <w:r>
        <w:t xml:space="preserve">to </w:t>
      </w:r>
      <w:r w:rsidR="007D331B" w:rsidRPr="007D331B">
        <w:t>discipline and reduce domestic support measures, with a view to preventing distortions in world agricultural markets and establishing a "fair and market-oriented agricultural trading system".</w:t>
      </w:r>
      <w:r w:rsidR="007D331B" w:rsidRPr="007D331B">
        <w:rPr>
          <w:vertAlign w:val="superscript"/>
        </w:rPr>
        <w:footnoteReference w:id="75"/>
      </w:r>
      <w:r w:rsidR="007D331B" w:rsidRPr="007D331B">
        <w:t xml:space="preserve"> </w:t>
      </w:r>
    </w:p>
    <w:p w14:paraId="59AEDD9E" w14:textId="4A6C6A1E" w:rsidR="0016068C" w:rsidRDefault="00676447" w:rsidP="00E37A92">
      <w:pPr>
        <w:numPr>
          <w:ilvl w:val="0"/>
          <w:numId w:val="1"/>
        </w:numPr>
        <w:spacing w:line="288" w:lineRule="auto"/>
      </w:pPr>
      <w:r>
        <w:t>Thus, the Agreement's objective</w:t>
      </w:r>
      <w:r w:rsidR="00ED152F">
        <w:t>s are</w:t>
      </w:r>
      <w:r>
        <w:t xml:space="preserve"> broader than that of limiting domestic </w:t>
      </w:r>
      <w:r w:rsidRPr="00F17AC4">
        <w:rPr>
          <w:u w:val="single"/>
        </w:rPr>
        <w:t>subsidies</w:t>
      </w:r>
      <w:r>
        <w:t xml:space="preserve"> in favour of agricultural products. </w:t>
      </w:r>
      <w:r w:rsidR="0016068C" w:rsidRPr="007D331B">
        <w:t xml:space="preserve">If Members' domestic support commitments were limited to subsidies, </w:t>
      </w:r>
      <w:r w:rsidR="00EF25F3">
        <w:t xml:space="preserve">as India contends, </w:t>
      </w:r>
      <w:r w:rsidR="0016068C" w:rsidRPr="007D331B">
        <w:t>the Agreement</w:t>
      </w:r>
      <w:r>
        <w:t xml:space="preserve"> on Agriculture</w:t>
      </w:r>
      <w:r w:rsidR="0016068C" w:rsidRPr="007D331B">
        <w:t xml:space="preserve"> would simply refer to subsidies for agricultural products, rather than specifying three distinct kinds of domestic support, each with alternative methods of calculation.</w:t>
      </w:r>
      <w:r w:rsidR="00EF25F3">
        <w:rPr>
          <w:rStyle w:val="FootnoteReference"/>
        </w:rPr>
        <w:footnoteReference w:id="76"/>
      </w:r>
    </w:p>
    <w:p w14:paraId="6D2959C1" w14:textId="79FCA3D4" w:rsidR="00EF25F3" w:rsidRDefault="00195C31" w:rsidP="00195C31">
      <w:pPr>
        <w:numPr>
          <w:ilvl w:val="0"/>
          <w:numId w:val="1"/>
        </w:numPr>
        <w:spacing w:line="288" w:lineRule="auto"/>
      </w:pPr>
      <w:r>
        <w:t xml:space="preserve">India's </w:t>
      </w:r>
      <w:r w:rsidR="00EF25F3">
        <w:t>argument that market price support</w:t>
      </w:r>
      <w:r>
        <w:t xml:space="preserve"> requir</w:t>
      </w:r>
      <w:r w:rsidR="00EF25F3">
        <w:t>es</w:t>
      </w:r>
      <w:r>
        <w:t xml:space="preserve"> procurement by government (or its agents) </w:t>
      </w:r>
      <w:r w:rsidR="00EF25F3">
        <w:t xml:space="preserve">would also undermine the domestic support disciplines in the Agreement by enabling Members to </w:t>
      </w:r>
      <w:r w:rsidR="00ED152F">
        <w:t xml:space="preserve">easily </w:t>
      </w:r>
      <w:r w:rsidR="00EF25F3">
        <w:t xml:space="preserve">circumvent their commitments </w:t>
      </w:r>
      <w:r w:rsidR="00EF25F3" w:rsidRPr="007D331B">
        <w:t>by ensuring they (or their agents) did not procure the product</w:t>
      </w:r>
      <w:r w:rsidR="00EF25F3">
        <w:t>.</w:t>
      </w:r>
      <w:r w:rsidR="00EF25F3">
        <w:rPr>
          <w:rStyle w:val="FootnoteReference"/>
        </w:rPr>
        <w:footnoteReference w:id="77"/>
      </w:r>
    </w:p>
    <w:p w14:paraId="353194B5" w14:textId="50090A0A" w:rsidR="008F7262" w:rsidRDefault="00EF25F3" w:rsidP="001E0406">
      <w:pPr>
        <w:numPr>
          <w:ilvl w:val="0"/>
          <w:numId w:val="1"/>
        </w:numPr>
        <w:spacing w:line="288" w:lineRule="auto"/>
      </w:pPr>
      <w:r>
        <w:t xml:space="preserve">Finally, India's interpretation of market price support </w:t>
      </w:r>
      <w:r w:rsidR="00ED152F">
        <w:t>would undermine</w:t>
      </w:r>
      <w:r w:rsidR="00195C31">
        <w:t xml:space="preserve"> the Agreement </w:t>
      </w:r>
      <w:r w:rsidR="00866225">
        <w:t xml:space="preserve">on Agriculture's </w:t>
      </w:r>
      <w:r w:rsidR="00F21650">
        <w:t>goal of</w:t>
      </w:r>
      <w:r w:rsidR="00195C31">
        <w:t xml:space="preserve"> prevent</w:t>
      </w:r>
      <w:r w:rsidR="00F21650">
        <w:t>ing</w:t>
      </w:r>
      <w:r w:rsidR="00195C31">
        <w:t xml:space="preserve"> distortions in global agricultural markets</w:t>
      </w:r>
      <w:r w:rsidR="00195C31" w:rsidRPr="007D331B">
        <w:t>.</w:t>
      </w:r>
      <w:r>
        <w:t xml:space="preserve"> </w:t>
      </w:r>
      <w:r w:rsidR="00195C31">
        <w:t>The Agreement recognises p</w:t>
      </w:r>
      <w:r w:rsidR="007D331B" w:rsidRPr="007D331B">
        <w:t>rice support as being inherently trade-distorting and as having production effects.</w:t>
      </w:r>
      <w:r w:rsidR="007D331B" w:rsidRPr="007D331B">
        <w:rPr>
          <w:vertAlign w:val="superscript"/>
        </w:rPr>
        <w:footnoteReference w:id="78"/>
      </w:r>
      <w:r w:rsidR="00195C31">
        <w:t xml:space="preserve"> </w:t>
      </w:r>
      <w:r w:rsidR="007D331B" w:rsidRPr="007D331B">
        <w:t xml:space="preserve">As demonstrated by India's FRP and SAP measures, government mandated floor prices for basic agricultural products impact production decisions and distort trade </w:t>
      </w:r>
      <w:r w:rsidR="007D331B" w:rsidRPr="00195C31">
        <w:rPr>
          <w:u w:val="single"/>
        </w:rPr>
        <w:t>irrespective of who purchases the product</w:t>
      </w:r>
      <w:r w:rsidR="007D331B" w:rsidRPr="007D331B">
        <w:t>.</w:t>
      </w:r>
      <w:r w:rsidR="007D331B" w:rsidRPr="007D331B">
        <w:rPr>
          <w:vertAlign w:val="superscript"/>
        </w:rPr>
        <w:footnoteReference w:id="79"/>
      </w:r>
      <w:r w:rsidR="007D331B" w:rsidRPr="007D331B">
        <w:t xml:space="preserve">  </w:t>
      </w:r>
    </w:p>
    <w:p w14:paraId="5867F6B0" w14:textId="77777777" w:rsidR="007D331B" w:rsidRPr="007D331B" w:rsidRDefault="007D331B" w:rsidP="007D331B">
      <w:pPr>
        <w:keepNext/>
        <w:keepLines/>
        <w:numPr>
          <w:ilvl w:val="3"/>
          <w:numId w:val="2"/>
        </w:numPr>
        <w:spacing w:line="240" w:lineRule="auto"/>
        <w:ind w:left="3403"/>
        <w:outlineLvl w:val="3"/>
        <w:rPr>
          <w:rFonts w:eastAsiaTheme="majorEastAsia" w:cstheme="majorBidi"/>
          <w:iCs/>
          <w:u w:val="single"/>
        </w:rPr>
      </w:pPr>
      <w:bookmarkStart w:id="32" w:name="_Toc72430878"/>
      <w:r w:rsidRPr="007D331B">
        <w:rPr>
          <w:rFonts w:eastAsiaTheme="majorEastAsia" w:cstheme="majorBidi"/>
          <w:iCs/>
          <w:u w:val="single"/>
        </w:rPr>
        <w:lastRenderedPageBreak/>
        <w:t>Conclusion</w:t>
      </w:r>
      <w:bookmarkEnd w:id="32"/>
    </w:p>
    <w:p w14:paraId="276F9861" w14:textId="2D0D0486" w:rsidR="007D331B" w:rsidRPr="007D331B" w:rsidRDefault="007D331B" w:rsidP="007D331B">
      <w:pPr>
        <w:numPr>
          <w:ilvl w:val="0"/>
          <w:numId w:val="1"/>
        </w:numPr>
        <w:spacing w:line="288" w:lineRule="auto"/>
      </w:pPr>
      <w:r w:rsidRPr="007D331B">
        <w:t xml:space="preserve">"Market price support" under the Agreement on Agriculture will exist when a Member establishes an AAP and determines the production eligible to receive that AAP. </w:t>
      </w:r>
      <w:r w:rsidR="00F21650" w:rsidRPr="007D331B">
        <w:t>India's argument that procurement at the AAP by a governm</w:t>
      </w:r>
      <w:r w:rsidR="00F21650">
        <w:t xml:space="preserve">ent (or its agent) is essential </w:t>
      </w:r>
      <w:r w:rsidR="00F21650" w:rsidRPr="007D331B">
        <w:t xml:space="preserve">is incompatible with </w:t>
      </w:r>
      <w:r w:rsidR="00F21650">
        <w:t>a</w:t>
      </w:r>
      <w:r w:rsidRPr="007D331B">
        <w:t xml:space="preserve"> proper interpretation of "market price support"</w:t>
      </w:r>
      <w:r w:rsidR="00F21650">
        <w:t>.</w:t>
      </w:r>
      <w:r w:rsidR="00866225">
        <w:rPr>
          <w:rStyle w:val="FootnoteReference"/>
        </w:rPr>
        <w:footnoteReference w:id="80"/>
      </w:r>
    </w:p>
    <w:p w14:paraId="278F285B" w14:textId="77777777" w:rsidR="007D331B" w:rsidRPr="007D331B" w:rsidRDefault="007D331B" w:rsidP="007D331B">
      <w:pPr>
        <w:keepNext/>
        <w:keepLines/>
        <w:numPr>
          <w:ilvl w:val="2"/>
          <w:numId w:val="2"/>
        </w:numPr>
        <w:spacing w:line="240" w:lineRule="auto"/>
        <w:ind w:left="2552"/>
        <w:outlineLvl w:val="2"/>
        <w:rPr>
          <w:rFonts w:eastAsiaTheme="majorEastAsia" w:cstheme="majorBidi"/>
          <w:b/>
        </w:rPr>
      </w:pPr>
      <w:bookmarkStart w:id="33" w:name="_Toc72430879"/>
      <w:r w:rsidRPr="007D331B">
        <w:rPr>
          <w:rFonts w:eastAsiaTheme="majorEastAsia" w:cstheme="majorBidi"/>
          <w:b/>
        </w:rPr>
        <w:t>Calculation of India's market price support for sugarcane</w:t>
      </w:r>
      <w:bookmarkEnd w:id="33"/>
    </w:p>
    <w:p w14:paraId="3A0BFBE8" w14:textId="06F0EA9E" w:rsidR="007D331B" w:rsidRPr="007D331B" w:rsidRDefault="0092033F" w:rsidP="007D331B">
      <w:pPr>
        <w:keepNext/>
        <w:keepLines/>
        <w:numPr>
          <w:ilvl w:val="3"/>
          <w:numId w:val="2"/>
        </w:numPr>
        <w:spacing w:line="240" w:lineRule="auto"/>
        <w:ind w:left="3403"/>
        <w:outlineLvl w:val="3"/>
        <w:rPr>
          <w:rFonts w:eastAsiaTheme="majorEastAsia" w:cstheme="majorBidi"/>
          <w:iCs/>
          <w:u w:val="single"/>
        </w:rPr>
      </w:pPr>
      <w:bookmarkStart w:id="34" w:name="_Toc72430880"/>
      <w:r>
        <w:rPr>
          <w:rFonts w:eastAsiaTheme="majorEastAsia" w:cstheme="majorBidi"/>
          <w:iCs/>
          <w:u w:val="single"/>
        </w:rPr>
        <w:t xml:space="preserve">The </w:t>
      </w:r>
      <w:r w:rsidR="007D331B" w:rsidRPr="007D331B">
        <w:rPr>
          <w:rFonts w:eastAsiaTheme="majorEastAsia" w:cstheme="majorBidi"/>
          <w:iCs/>
          <w:u w:val="single"/>
        </w:rPr>
        <w:t>FRP and SAP measures are AAPs</w:t>
      </w:r>
      <w:bookmarkEnd w:id="34"/>
    </w:p>
    <w:p w14:paraId="4027D2CE" w14:textId="7231AACD" w:rsidR="00F93F23" w:rsidRPr="007D331B" w:rsidRDefault="00F93F23" w:rsidP="006D4599">
      <w:pPr>
        <w:numPr>
          <w:ilvl w:val="0"/>
          <w:numId w:val="1"/>
        </w:numPr>
        <w:spacing w:line="288" w:lineRule="auto"/>
      </w:pPr>
      <w:r>
        <w:t xml:space="preserve">The FRP and SAPs are </w:t>
      </w:r>
      <w:r w:rsidR="00850024">
        <w:t xml:space="preserve">mandatory minimum </w:t>
      </w:r>
      <w:r>
        <w:t>prices</w:t>
      </w:r>
      <w:r w:rsidR="00850024">
        <w:t xml:space="preserve"> for sugarcane</w:t>
      </w:r>
      <w:r>
        <w:t xml:space="preserve"> that are determined by the administrative action of India's Central and State governments. </w:t>
      </w:r>
      <w:r w:rsidR="00850024">
        <w:t>The FRP and SAPs are, therefore, AAPs within the meaning of the Agreement on Agriculture.</w:t>
      </w:r>
      <w:r w:rsidR="00850024">
        <w:rPr>
          <w:rStyle w:val="FootnoteReference"/>
        </w:rPr>
        <w:footnoteReference w:id="81"/>
      </w:r>
      <w:r>
        <w:t xml:space="preserve"> </w:t>
      </w:r>
    </w:p>
    <w:p w14:paraId="3D7A9095" w14:textId="77777777" w:rsidR="007D331B" w:rsidRPr="007D331B" w:rsidRDefault="007D331B" w:rsidP="007D331B">
      <w:pPr>
        <w:keepNext/>
        <w:keepLines/>
        <w:numPr>
          <w:ilvl w:val="3"/>
          <w:numId w:val="2"/>
        </w:numPr>
        <w:spacing w:line="240" w:lineRule="auto"/>
        <w:ind w:left="3403"/>
        <w:outlineLvl w:val="3"/>
        <w:rPr>
          <w:rFonts w:eastAsiaTheme="majorEastAsia" w:cstheme="majorBidi"/>
          <w:iCs/>
          <w:u w:val="single"/>
        </w:rPr>
      </w:pPr>
      <w:bookmarkStart w:id="35" w:name="_Toc72430881"/>
      <w:r w:rsidRPr="007D331B">
        <w:rPr>
          <w:rFonts w:eastAsiaTheme="majorEastAsia" w:cstheme="majorBidi"/>
          <w:iCs/>
          <w:u w:val="single"/>
        </w:rPr>
        <w:t>India's FERP for sugarcane</w:t>
      </w:r>
      <w:bookmarkEnd w:id="35"/>
    </w:p>
    <w:p w14:paraId="22096BD6" w14:textId="45CBFC0A" w:rsidR="007D331B" w:rsidRPr="007D331B" w:rsidRDefault="007D331B" w:rsidP="007D331B">
      <w:pPr>
        <w:numPr>
          <w:ilvl w:val="0"/>
          <w:numId w:val="1"/>
        </w:numPr>
        <w:spacing w:line="288" w:lineRule="auto"/>
      </w:pPr>
      <w:r w:rsidRPr="007D331B">
        <w:t>India's supporting table incorporated by reference in Part IV of its Schedule confirms that its FERP is INR 156.16 per metric tonne for sugarcane with a recovery rate of 8.5</w:t>
      </w:r>
      <w:r w:rsidR="00794FDA">
        <w:t xml:space="preserve"> per cent</w:t>
      </w:r>
      <w:r w:rsidRPr="007D331B">
        <w:t xml:space="preserve">. </w:t>
      </w:r>
      <w:r w:rsidR="0067792B">
        <w:t>Australia recalls that the FERP may be adjusted for quality differences.</w:t>
      </w:r>
      <w:r w:rsidR="0067792B">
        <w:rPr>
          <w:rStyle w:val="FootnoteReference"/>
        </w:rPr>
        <w:footnoteReference w:id="82"/>
      </w:r>
      <w:r w:rsidR="0067792B">
        <w:t xml:space="preserve"> </w:t>
      </w:r>
      <w:r w:rsidRPr="007D331B">
        <w:t>As the average recovery rates – or quality – of sugarcane in India today are higher than this historical recovery rate, Australia considers it necessary to adjust India's FERP to allow the AAP and the FERP to be compared at the same quality level</w:t>
      </w:r>
      <w:r w:rsidR="008F7262" w:rsidRPr="008F7262">
        <w:t>.</w:t>
      </w:r>
      <w:r w:rsidR="008F7262">
        <w:rPr>
          <w:rStyle w:val="FootnoteReference"/>
        </w:rPr>
        <w:footnoteReference w:id="83"/>
      </w:r>
    </w:p>
    <w:p w14:paraId="5E7AC410" w14:textId="04006C0B" w:rsidR="007D331B" w:rsidRPr="007D331B" w:rsidRDefault="007D331B" w:rsidP="007D331B">
      <w:pPr>
        <w:keepNext/>
        <w:keepLines/>
        <w:numPr>
          <w:ilvl w:val="3"/>
          <w:numId w:val="2"/>
        </w:numPr>
        <w:spacing w:line="240" w:lineRule="auto"/>
        <w:ind w:left="3403"/>
        <w:outlineLvl w:val="3"/>
        <w:rPr>
          <w:rFonts w:eastAsiaTheme="majorEastAsia" w:cstheme="majorBidi"/>
          <w:iCs/>
          <w:u w:val="single"/>
        </w:rPr>
      </w:pPr>
      <w:bookmarkStart w:id="36" w:name="_Toc72430882"/>
      <w:r w:rsidRPr="007D331B">
        <w:rPr>
          <w:rFonts w:eastAsiaTheme="majorEastAsia" w:cstheme="majorBidi"/>
          <w:iCs/>
          <w:u w:val="single"/>
        </w:rPr>
        <w:t>Q</w:t>
      </w:r>
      <w:r w:rsidR="009F226C">
        <w:rPr>
          <w:rFonts w:eastAsiaTheme="majorEastAsia" w:cstheme="majorBidi"/>
          <w:iCs/>
          <w:u w:val="single"/>
        </w:rPr>
        <w:t>EP</w:t>
      </w:r>
      <w:bookmarkEnd w:id="36"/>
    </w:p>
    <w:p w14:paraId="26C0730E" w14:textId="6A844A86" w:rsidR="007D331B" w:rsidRPr="007D331B" w:rsidRDefault="007D331B" w:rsidP="007D331B">
      <w:pPr>
        <w:numPr>
          <w:ilvl w:val="0"/>
          <w:numId w:val="1"/>
        </w:numPr>
        <w:spacing w:line="288" w:lineRule="auto"/>
      </w:pPr>
      <w:r w:rsidRPr="007D331B">
        <w:t xml:space="preserve">All sugarcane in India is fit or entitled to receive the </w:t>
      </w:r>
      <w:r w:rsidR="0067792B">
        <w:t>FRP</w:t>
      </w:r>
      <w:r w:rsidRPr="007D331B">
        <w:t xml:space="preserve"> and, in States where SAPs apply, all sugarcane produced is able to receive the relevant SAP. The</w:t>
      </w:r>
      <w:r w:rsidR="0067792B">
        <w:t xml:space="preserve"> relevant measures do not impose any</w:t>
      </w:r>
      <w:r w:rsidRPr="007D331B">
        <w:t xml:space="preserve"> condition</w:t>
      </w:r>
      <w:r w:rsidR="0067792B">
        <w:t>s</w:t>
      </w:r>
      <w:r w:rsidRPr="007D331B">
        <w:t xml:space="preserve"> or limitation</w:t>
      </w:r>
      <w:r w:rsidR="0067792B">
        <w:t>s</w:t>
      </w:r>
      <w:r w:rsidRPr="007D331B">
        <w:t xml:space="preserve"> on </w:t>
      </w:r>
      <w:r w:rsidR="009C5F79">
        <w:t xml:space="preserve">sugarcane </w:t>
      </w:r>
      <w:r w:rsidRPr="007D331B">
        <w:t>that is eligible to be purchased at the FRP or SAP</w:t>
      </w:r>
      <w:r w:rsidR="00C315C0">
        <w:t>.</w:t>
      </w:r>
      <w:r w:rsidR="0067792B" w:rsidRPr="007D331B">
        <w:rPr>
          <w:vertAlign w:val="superscript"/>
        </w:rPr>
        <w:footnoteReference w:id="84"/>
      </w:r>
      <w:r w:rsidR="00C315C0">
        <w:t xml:space="preserve"> </w:t>
      </w:r>
      <w:r w:rsidR="009C5F79">
        <w:t>The price payable may</w:t>
      </w:r>
      <w:r w:rsidR="00005301">
        <w:t xml:space="preserve"> </w:t>
      </w:r>
      <w:r w:rsidR="009C5F79">
        <w:t>vary based on the quality of the sugarcane but all sugarcane – regardless of quality – is entitled to receive</w:t>
      </w:r>
      <w:r w:rsidR="00005301">
        <w:t xml:space="preserve"> a minimum price</w:t>
      </w:r>
      <w:r w:rsidR="009C5F79">
        <w:t>.</w:t>
      </w:r>
      <w:r w:rsidR="00005301">
        <w:rPr>
          <w:rStyle w:val="FootnoteReference"/>
        </w:rPr>
        <w:footnoteReference w:id="85"/>
      </w:r>
    </w:p>
    <w:p w14:paraId="45E8EDB6" w14:textId="618D055C" w:rsidR="008D4895" w:rsidRDefault="008D4895" w:rsidP="007D331B">
      <w:pPr>
        <w:keepNext/>
        <w:keepLines/>
        <w:numPr>
          <w:ilvl w:val="3"/>
          <w:numId w:val="2"/>
        </w:numPr>
        <w:spacing w:line="240" w:lineRule="auto"/>
        <w:ind w:left="3403"/>
        <w:outlineLvl w:val="3"/>
        <w:rPr>
          <w:rFonts w:eastAsiaTheme="majorEastAsia" w:cstheme="majorBidi"/>
          <w:iCs/>
          <w:u w:val="single"/>
        </w:rPr>
      </w:pPr>
      <w:bookmarkStart w:id="37" w:name="_Toc72430883"/>
      <w:r w:rsidRPr="008D4895">
        <w:rPr>
          <w:rFonts w:eastAsiaTheme="majorEastAsia" w:cstheme="majorBidi"/>
          <w:iCs/>
          <w:u w:val="single"/>
        </w:rPr>
        <w:t>India's measures involving payments to maintain the "gap" between the FERP and the AAP</w:t>
      </w:r>
      <w:bookmarkEnd w:id="37"/>
    </w:p>
    <w:p w14:paraId="7A1391A1" w14:textId="378A6AB8" w:rsidR="008D4895" w:rsidRPr="008D4895" w:rsidRDefault="008D4895" w:rsidP="008D4895">
      <w:pPr>
        <w:pStyle w:val="P1-N1Paragraph1-Number1"/>
      </w:pPr>
      <w:r>
        <w:t>Australia considers that India maintains measures – at both the Central and State levels – that achieve or maintain the AAPs for sugarcane, being the FRP or SAPs.</w:t>
      </w:r>
      <w:r>
        <w:rPr>
          <w:rStyle w:val="FootnoteReference"/>
        </w:rPr>
        <w:footnoteReference w:id="86"/>
      </w:r>
      <w:r>
        <w:t xml:space="preserve"> Consistent with the second sentence of paragraph 8 of Annex 3, Australia has </w:t>
      </w:r>
      <w:r w:rsidRPr="00F17AC4">
        <w:rPr>
          <w:u w:val="single"/>
        </w:rPr>
        <w:t>not</w:t>
      </w:r>
      <w:r>
        <w:t xml:space="preserve"> included the budgetary outlays for these measures in calculating India's AMS for sugarcane. However, Australia </w:t>
      </w:r>
      <w:r>
        <w:lastRenderedPageBreak/>
        <w:t>nonetheless considers that they are measures through which India is providing or has provided non-exempt domestic support, which should be covered by the Panel's findings.</w:t>
      </w:r>
      <w:r>
        <w:rPr>
          <w:rStyle w:val="FootnoteReference"/>
        </w:rPr>
        <w:footnoteReference w:id="87"/>
      </w:r>
    </w:p>
    <w:p w14:paraId="400AA060" w14:textId="390668A2" w:rsidR="007D331B" w:rsidRPr="007D331B" w:rsidRDefault="007D331B" w:rsidP="007D331B">
      <w:pPr>
        <w:keepNext/>
        <w:keepLines/>
        <w:numPr>
          <w:ilvl w:val="3"/>
          <w:numId w:val="2"/>
        </w:numPr>
        <w:spacing w:line="240" w:lineRule="auto"/>
        <w:ind w:left="3403"/>
        <w:outlineLvl w:val="3"/>
        <w:rPr>
          <w:rFonts w:eastAsiaTheme="majorEastAsia" w:cstheme="majorBidi"/>
          <w:iCs/>
          <w:u w:val="single"/>
        </w:rPr>
      </w:pPr>
      <w:bookmarkStart w:id="38" w:name="_Toc72430884"/>
      <w:r w:rsidRPr="007D331B">
        <w:rPr>
          <w:rFonts w:eastAsiaTheme="majorEastAsia" w:cstheme="majorBidi"/>
          <w:iCs/>
          <w:u w:val="single"/>
        </w:rPr>
        <w:t>India's market price support exceeds its permitted level</w:t>
      </w:r>
      <w:bookmarkEnd w:id="38"/>
    </w:p>
    <w:p w14:paraId="041E4FFA" w14:textId="1B11198D" w:rsidR="00BE243E" w:rsidRDefault="00FA1330" w:rsidP="008D4895">
      <w:pPr>
        <w:numPr>
          <w:ilvl w:val="0"/>
          <w:numId w:val="1"/>
        </w:numPr>
        <w:spacing w:line="288" w:lineRule="auto"/>
      </w:pPr>
      <w:r>
        <w:t xml:space="preserve">Australia has calculated India's market price support for sugarcane producers in the sugar seasons 2014–15 to 2018–19 </w:t>
      </w:r>
      <w:r w:rsidR="00992DB1">
        <w:t xml:space="preserve">using </w:t>
      </w:r>
      <w:r>
        <w:t xml:space="preserve">the formula in Annex 3 of the Agreement on Agriculture and data from official Indian government </w:t>
      </w:r>
      <w:r w:rsidR="0092033F">
        <w:t xml:space="preserve">instruments and </w:t>
      </w:r>
      <w:r>
        <w:t xml:space="preserve">publications. </w:t>
      </w:r>
      <w:r w:rsidR="00013F4E">
        <w:t>These calculations, a</w:t>
      </w:r>
      <w:r w:rsidR="007E0229">
        <w:t xml:space="preserve"> summary of </w:t>
      </w:r>
      <w:r w:rsidR="00013F4E">
        <w:t>which</w:t>
      </w:r>
      <w:r>
        <w:t xml:space="preserve"> </w:t>
      </w:r>
      <w:r w:rsidR="007E0229">
        <w:t>is</w:t>
      </w:r>
      <w:r w:rsidR="00E75213">
        <w:t xml:space="preserve"> at Annex A</w:t>
      </w:r>
      <w:r w:rsidR="00013F4E">
        <w:t>,</w:t>
      </w:r>
      <w:r w:rsidR="00E75213">
        <w:t xml:space="preserve"> </w:t>
      </w:r>
      <w:r>
        <w:t xml:space="preserve">demonstrate that India's market price support, provided through its FRP and SAP measures, </w:t>
      </w:r>
      <w:r w:rsidRPr="00F17AC4">
        <w:rPr>
          <w:u w:val="single"/>
        </w:rPr>
        <w:t>vastly exceeds</w:t>
      </w:r>
      <w:r>
        <w:t xml:space="preserve"> its permitted </w:t>
      </w:r>
      <w:r w:rsidRPr="00F17AC4">
        <w:rPr>
          <w:i/>
          <w:iCs/>
        </w:rPr>
        <w:t>de minimis</w:t>
      </w:r>
      <w:r>
        <w:t xml:space="preserve"> level.</w:t>
      </w:r>
      <w:r>
        <w:rPr>
          <w:rStyle w:val="FootnoteReference"/>
        </w:rPr>
        <w:footnoteReference w:id="88"/>
      </w:r>
      <w:r>
        <w:t xml:space="preserve"> Thus, through its market price support alone, India violates its </w:t>
      </w:r>
      <w:r w:rsidRPr="007D331B">
        <w:t>obligations under the Agreement on Agriculture.</w:t>
      </w:r>
    </w:p>
    <w:p w14:paraId="7E8C743C" w14:textId="02C241B9" w:rsidR="007D331B" w:rsidRDefault="007D331B" w:rsidP="007D331B">
      <w:pPr>
        <w:keepNext/>
        <w:keepLines/>
        <w:numPr>
          <w:ilvl w:val="1"/>
          <w:numId w:val="2"/>
        </w:numPr>
        <w:spacing w:line="240" w:lineRule="auto"/>
        <w:outlineLvl w:val="1"/>
        <w:rPr>
          <w:rFonts w:eastAsiaTheme="majorEastAsia" w:cstheme="majorBidi"/>
          <w:b/>
          <w:smallCaps/>
          <w:sz w:val="28"/>
          <w:szCs w:val="26"/>
        </w:rPr>
      </w:pPr>
      <w:bookmarkStart w:id="39" w:name="_Toc72430885"/>
      <w:r w:rsidRPr="007D331B">
        <w:rPr>
          <w:rFonts w:eastAsiaTheme="majorEastAsia" w:cstheme="majorBidi"/>
          <w:b/>
          <w:smallCaps/>
          <w:sz w:val="28"/>
          <w:szCs w:val="26"/>
        </w:rPr>
        <w:t>Other non-exempt domestic support</w:t>
      </w:r>
      <w:bookmarkEnd w:id="39"/>
    </w:p>
    <w:p w14:paraId="71600316" w14:textId="424BCBAF" w:rsidR="00436DDC" w:rsidRPr="007D331B" w:rsidRDefault="00436DDC" w:rsidP="00436DDC">
      <w:pPr>
        <w:numPr>
          <w:ilvl w:val="0"/>
          <w:numId w:val="1"/>
        </w:numPr>
        <w:spacing w:line="288" w:lineRule="auto"/>
      </w:pPr>
      <w:r>
        <w:t>I</w:t>
      </w:r>
      <w:r w:rsidRPr="00436DDC">
        <w:t xml:space="preserve">n addition to </w:t>
      </w:r>
      <w:r>
        <w:t xml:space="preserve">market price support, India also provides other non-exempt domestic support to it sugarcane producers in the form of non-exempt direct payments or </w:t>
      </w:r>
      <w:r w:rsidR="0092033F">
        <w:t xml:space="preserve">other </w:t>
      </w:r>
      <w:r>
        <w:t>policies.</w:t>
      </w:r>
    </w:p>
    <w:p w14:paraId="6D543015" w14:textId="77777777" w:rsidR="007D331B" w:rsidRPr="007D331B" w:rsidRDefault="007D331B" w:rsidP="007D331B">
      <w:pPr>
        <w:keepNext/>
        <w:keepLines/>
        <w:numPr>
          <w:ilvl w:val="2"/>
          <w:numId w:val="2"/>
        </w:numPr>
        <w:spacing w:line="240" w:lineRule="auto"/>
        <w:ind w:left="2552"/>
        <w:outlineLvl w:val="2"/>
        <w:rPr>
          <w:rFonts w:eastAsiaTheme="majorEastAsia" w:cstheme="majorBidi"/>
          <w:b/>
        </w:rPr>
      </w:pPr>
      <w:bookmarkStart w:id="40" w:name="_Toc72430886"/>
      <w:r w:rsidRPr="007D331B">
        <w:rPr>
          <w:rFonts w:eastAsiaTheme="majorEastAsia" w:cstheme="majorBidi"/>
          <w:b/>
        </w:rPr>
        <w:t>Calculation of India's other non-exempt domestic support for sugarcane</w:t>
      </w:r>
      <w:bookmarkEnd w:id="40"/>
    </w:p>
    <w:p w14:paraId="1EF06D43" w14:textId="45C2E510" w:rsidR="008C3547" w:rsidRDefault="008C3547" w:rsidP="007D331B">
      <w:pPr>
        <w:numPr>
          <w:ilvl w:val="0"/>
          <w:numId w:val="1"/>
        </w:numPr>
        <w:spacing w:line="288" w:lineRule="auto"/>
      </w:pPr>
      <w:r>
        <w:t xml:space="preserve">Paragraphs 10, 12 and 13 of Annex 3 </w:t>
      </w:r>
      <w:r w:rsidR="002C3646">
        <w:t xml:space="preserve">of the Agreement on Agriculture </w:t>
      </w:r>
      <w:r>
        <w:t>provide that the value of other non-exempt domestic support measures may be measured using budgetary outlays.</w:t>
      </w:r>
      <w:r w:rsidR="00D77202">
        <w:rPr>
          <w:rStyle w:val="FootnoteReference"/>
        </w:rPr>
        <w:footnoteReference w:id="89"/>
      </w:r>
      <w:r>
        <w:t xml:space="preserve"> Australia recalls that the value of these measures should only be added to the product-specific AMS if the budgetary payments are </w:t>
      </w:r>
      <w:r w:rsidRPr="00013F4E">
        <w:rPr>
          <w:u w:val="single"/>
        </w:rPr>
        <w:t>not</w:t>
      </w:r>
      <w:r>
        <w:t xml:space="preserve"> made to maintain the gap between the FERP and the AAP.</w:t>
      </w:r>
      <w:r>
        <w:rPr>
          <w:rStyle w:val="FootnoteReference"/>
        </w:rPr>
        <w:footnoteReference w:id="90"/>
      </w:r>
    </w:p>
    <w:p w14:paraId="23B5E244" w14:textId="1C9FEBEA" w:rsidR="007D331B" w:rsidRDefault="007D331B" w:rsidP="007D331B">
      <w:pPr>
        <w:keepNext/>
        <w:keepLines/>
        <w:numPr>
          <w:ilvl w:val="2"/>
          <w:numId w:val="2"/>
        </w:numPr>
        <w:spacing w:line="240" w:lineRule="auto"/>
        <w:ind w:left="2552"/>
        <w:outlineLvl w:val="2"/>
        <w:rPr>
          <w:rFonts w:eastAsiaTheme="majorEastAsia" w:cstheme="majorBidi"/>
          <w:b/>
        </w:rPr>
      </w:pPr>
      <w:bookmarkStart w:id="41" w:name="_Toc72430887"/>
      <w:r w:rsidRPr="007D331B">
        <w:rPr>
          <w:rFonts w:eastAsiaTheme="majorEastAsia" w:cstheme="majorBidi"/>
          <w:b/>
        </w:rPr>
        <w:t xml:space="preserve">The </w:t>
      </w:r>
      <w:r w:rsidR="00867ED2">
        <w:rPr>
          <w:rFonts w:eastAsiaTheme="majorEastAsia" w:cstheme="majorBidi"/>
          <w:b/>
        </w:rPr>
        <w:t>Andhra Pradesh, Karnataka and Tamil Nadu</w:t>
      </w:r>
      <w:r w:rsidRPr="007D331B">
        <w:rPr>
          <w:rFonts w:eastAsiaTheme="majorEastAsia" w:cstheme="majorBidi"/>
          <w:b/>
        </w:rPr>
        <w:t xml:space="preserve"> programmes</w:t>
      </w:r>
      <w:bookmarkEnd w:id="41"/>
    </w:p>
    <w:p w14:paraId="45F95E0C" w14:textId="78A3F46F" w:rsidR="00082636" w:rsidRDefault="007F51C4" w:rsidP="007F51C4">
      <w:pPr>
        <w:pStyle w:val="P1-N1Paragraph1-Number1"/>
      </w:pPr>
      <w:r>
        <w:t>The Andhra Pradesh purchase tax remittance, the Karnataka incentive price payment and the Tamil Nadu production incentive payment</w:t>
      </w:r>
      <w:r w:rsidR="00D93C6F">
        <w:t xml:space="preserve"> programmes constitute</w:t>
      </w:r>
      <w:r>
        <w:t xml:space="preserve"> "non-exempt direct payments" or "other subsid[ies] not exempted from the reduction commitment".</w:t>
      </w:r>
      <w:r>
        <w:rPr>
          <w:rStyle w:val="FootnoteReference"/>
        </w:rPr>
        <w:footnoteReference w:id="91"/>
      </w:r>
      <w:r>
        <w:t xml:space="preserve"> </w:t>
      </w:r>
      <w:r w:rsidR="00633E98">
        <w:t xml:space="preserve">Under those programmes, the State governments provide funds </w:t>
      </w:r>
      <w:r w:rsidR="00633E98" w:rsidRPr="00633E98">
        <w:rPr>
          <w:u w:val="single"/>
        </w:rPr>
        <w:t>not</w:t>
      </w:r>
      <w:r w:rsidR="00633E98">
        <w:t xml:space="preserve"> directed towards paying</w:t>
      </w:r>
      <w:r w:rsidR="00D93C6F">
        <w:t xml:space="preserve"> – or, in other words, maintaining – the FRP</w:t>
      </w:r>
      <w:r w:rsidR="004E4CB8">
        <w:t>,</w:t>
      </w:r>
      <w:r w:rsidR="00D93C6F">
        <w:t xml:space="preserve"> which result in the sugarcane farmers receiving additional income</w:t>
      </w:r>
      <w:r w:rsidR="00633E98">
        <w:t xml:space="preserve">. </w:t>
      </w:r>
      <w:r>
        <w:t>Thus, the budgetary outlays for these programmes may be added to India's AMS for sugarcane</w:t>
      </w:r>
      <w:r w:rsidR="002C3646">
        <w:t>, as Australia has done in its calculations</w:t>
      </w:r>
      <w:r>
        <w:t>.</w:t>
      </w:r>
      <w:r w:rsidR="00134925">
        <w:rPr>
          <w:rStyle w:val="FootnoteReference"/>
        </w:rPr>
        <w:footnoteReference w:id="92"/>
      </w:r>
      <w:r>
        <w:t xml:space="preserve"> </w:t>
      </w:r>
    </w:p>
    <w:p w14:paraId="35371A5F" w14:textId="7D608277" w:rsidR="007F51C4" w:rsidRPr="007D331B" w:rsidRDefault="002C3646" w:rsidP="007F51C4">
      <w:pPr>
        <w:pStyle w:val="P1-N1Paragraph1-Number1"/>
      </w:pPr>
      <w:r>
        <w:t>However, in view of the very marginal increases in India's AMS for sugarcane that arise from including the</w:t>
      </w:r>
      <w:r w:rsidR="00D93C6F">
        <w:t xml:space="preserve"> programmes'</w:t>
      </w:r>
      <w:r>
        <w:t xml:space="preserve"> budgetary outlays, </w:t>
      </w:r>
      <w:r w:rsidR="009336C1">
        <w:t xml:space="preserve">if the Panel finds that India's market </w:t>
      </w:r>
      <w:r w:rsidR="009336C1">
        <w:lastRenderedPageBreak/>
        <w:t xml:space="preserve">price support exceeds its permitted level, </w:t>
      </w:r>
      <w:r>
        <w:t xml:space="preserve">Australia considers that the Panel may decide to </w:t>
      </w:r>
      <w:r w:rsidR="009336C1">
        <w:t>no</w:t>
      </w:r>
      <w:r w:rsidR="00DD4ECC">
        <w:t>t</w:t>
      </w:r>
      <w:r w:rsidR="009336C1">
        <w:t xml:space="preserve"> </w:t>
      </w:r>
      <w:r w:rsidR="00DD4ECC">
        <w:t>to include</w:t>
      </w:r>
      <w:r w:rsidR="009336C1">
        <w:t xml:space="preserve"> these programmes in India's AMS</w:t>
      </w:r>
      <w:r>
        <w:t>.</w:t>
      </w:r>
      <w:r w:rsidR="00082636">
        <w:t xml:space="preserve"> If the Panel were to exercise judicial economy, Australia considers that the Panel's ruling should </w:t>
      </w:r>
      <w:r w:rsidR="00610994">
        <w:t xml:space="preserve">nevertheless </w:t>
      </w:r>
      <w:r w:rsidR="00082636">
        <w:t xml:space="preserve">apply to </w:t>
      </w:r>
      <w:r w:rsidR="00082636" w:rsidRPr="009030A2">
        <w:rPr>
          <w:u w:val="single"/>
        </w:rPr>
        <w:t>all</w:t>
      </w:r>
      <w:r w:rsidR="00082636">
        <w:t xml:space="preserve"> forms of </w:t>
      </w:r>
      <w:r w:rsidR="00610994">
        <w:t xml:space="preserve">India's </w:t>
      </w:r>
      <w:r w:rsidR="00082636">
        <w:t xml:space="preserve">non-exempt domestic support, whether or not these </w:t>
      </w:r>
      <w:r w:rsidR="00610994">
        <w:t>were</w:t>
      </w:r>
      <w:r w:rsidR="00082636">
        <w:t xml:space="preserve"> </w:t>
      </w:r>
      <w:r w:rsidR="004E4CB8">
        <w:t>included in</w:t>
      </w:r>
      <w:r w:rsidR="00082636">
        <w:t xml:space="preserve"> the AMS.</w:t>
      </w:r>
      <w:r w:rsidR="00082636">
        <w:rPr>
          <w:rStyle w:val="FootnoteReference"/>
        </w:rPr>
        <w:footnoteReference w:id="93"/>
      </w:r>
    </w:p>
    <w:p w14:paraId="4B62F429" w14:textId="2582ED87" w:rsidR="007D331B" w:rsidRPr="007D331B" w:rsidRDefault="007D331B" w:rsidP="007D331B">
      <w:pPr>
        <w:keepNext/>
        <w:keepLines/>
        <w:numPr>
          <w:ilvl w:val="1"/>
          <w:numId w:val="2"/>
        </w:numPr>
        <w:spacing w:line="240" w:lineRule="auto"/>
        <w:outlineLvl w:val="1"/>
        <w:rPr>
          <w:rFonts w:eastAsiaTheme="majorEastAsia" w:cstheme="majorBidi"/>
          <w:b/>
          <w:i/>
          <w:iCs/>
          <w:smallCaps/>
          <w:sz w:val="28"/>
          <w:szCs w:val="26"/>
        </w:rPr>
      </w:pPr>
      <w:bookmarkStart w:id="42" w:name="_Toc72430888"/>
      <w:r w:rsidRPr="007D331B">
        <w:rPr>
          <w:rFonts w:eastAsiaTheme="majorEastAsia" w:cstheme="majorBidi"/>
          <w:b/>
          <w:smallCaps/>
          <w:sz w:val="28"/>
          <w:szCs w:val="26"/>
        </w:rPr>
        <w:t xml:space="preserve">India's AMS for sugarcane producers vastly exceeds its permitted </w:t>
      </w:r>
      <w:r w:rsidRPr="007D331B">
        <w:rPr>
          <w:rFonts w:eastAsiaTheme="majorEastAsia" w:cstheme="majorBidi"/>
          <w:b/>
          <w:i/>
          <w:iCs/>
          <w:smallCaps/>
          <w:sz w:val="28"/>
          <w:szCs w:val="26"/>
        </w:rPr>
        <w:t>de</w:t>
      </w:r>
      <w:r w:rsidR="00CE6C63">
        <w:rPr>
          <w:rFonts w:eastAsiaTheme="majorEastAsia" w:cstheme="majorBidi"/>
          <w:b/>
          <w:i/>
          <w:iCs/>
          <w:smallCaps/>
          <w:sz w:val="28"/>
          <w:szCs w:val="26"/>
        </w:rPr>
        <w:t> </w:t>
      </w:r>
      <w:r w:rsidRPr="007D331B">
        <w:rPr>
          <w:rFonts w:eastAsiaTheme="majorEastAsia" w:cstheme="majorBidi"/>
          <w:b/>
          <w:i/>
          <w:iCs/>
          <w:smallCaps/>
          <w:sz w:val="28"/>
          <w:szCs w:val="26"/>
        </w:rPr>
        <w:t>minimis</w:t>
      </w:r>
      <w:r w:rsidRPr="007D331B">
        <w:rPr>
          <w:rFonts w:eastAsiaTheme="majorEastAsia" w:cstheme="majorBidi"/>
          <w:b/>
          <w:smallCaps/>
          <w:sz w:val="28"/>
          <w:szCs w:val="26"/>
        </w:rPr>
        <w:t xml:space="preserve"> level</w:t>
      </w:r>
      <w:bookmarkEnd w:id="42"/>
    </w:p>
    <w:p w14:paraId="18176859" w14:textId="57F27DB7" w:rsidR="00F87B88" w:rsidRDefault="00D77202" w:rsidP="007D331B">
      <w:pPr>
        <w:numPr>
          <w:ilvl w:val="0"/>
          <w:numId w:val="1"/>
        </w:numPr>
        <w:spacing w:line="288" w:lineRule="auto"/>
      </w:pPr>
      <w:r>
        <w:t xml:space="preserve">Australia has established, through argument and evidence, that </w:t>
      </w:r>
      <w:r w:rsidR="007D331B" w:rsidRPr="007D331B">
        <w:t xml:space="preserve">India's domestic support in favour of its sugarcane producers </w:t>
      </w:r>
      <w:r>
        <w:t>– consisting of</w:t>
      </w:r>
      <w:r w:rsidR="007D331B" w:rsidRPr="007D331B">
        <w:t xml:space="preserve"> market price support and other non-exempt support</w:t>
      </w:r>
      <w:r>
        <w:t xml:space="preserve"> –</w:t>
      </w:r>
      <w:r w:rsidR="007D331B" w:rsidRPr="007D331B">
        <w:t xml:space="preserve"> vastly exceeds its permitted </w:t>
      </w:r>
      <w:r w:rsidRPr="00265FAD">
        <w:rPr>
          <w:i/>
          <w:iCs/>
        </w:rPr>
        <w:t>de minimis</w:t>
      </w:r>
      <w:r>
        <w:t xml:space="preserve"> </w:t>
      </w:r>
      <w:r w:rsidR="007D331B" w:rsidRPr="007D331B">
        <w:t xml:space="preserve">level. </w:t>
      </w:r>
      <w:r>
        <w:t>Australia's calculations of India's domestic support in the sugar seasons from 2014–15 to 2018–19</w:t>
      </w:r>
      <w:r w:rsidR="00E75213">
        <w:t xml:space="preserve">, as summarized in Annex A, </w:t>
      </w:r>
      <w:r w:rsidR="0077734D">
        <w:t>demonstrate the magnitude of India's violation.</w:t>
      </w:r>
      <w:r w:rsidR="0077734D">
        <w:rPr>
          <w:rStyle w:val="FootnoteReference"/>
        </w:rPr>
        <w:footnoteReference w:id="94"/>
      </w:r>
    </w:p>
    <w:p w14:paraId="26C53ABC" w14:textId="21D7B495" w:rsidR="00EB0F18" w:rsidRDefault="00F87B88" w:rsidP="007D331B">
      <w:pPr>
        <w:numPr>
          <w:ilvl w:val="0"/>
          <w:numId w:val="1"/>
        </w:numPr>
        <w:spacing w:line="288" w:lineRule="auto"/>
      </w:pPr>
      <w:r>
        <w:t>By India's own admission, the principal measures through which it maintains this level of domestic support – the FRP and SAPs – remain in effect.</w:t>
      </w:r>
      <w:r>
        <w:rPr>
          <w:rStyle w:val="FootnoteReference"/>
        </w:rPr>
        <w:footnoteReference w:id="95"/>
      </w:r>
    </w:p>
    <w:p w14:paraId="19C03DFD" w14:textId="30DDE663" w:rsidR="00981715" w:rsidRDefault="00981715" w:rsidP="00981715">
      <w:pPr>
        <w:pStyle w:val="HL1HeadingLevel1"/>
      </w:pPr>
      <w:bookmarkStart w:id="43" w:name="_Toc71306241"/>
      <w:bookmarkStart w:id="44" w:name="_Toc72430889"/>
      <w:r w:rsidRPr="00981715">
        <w:t>India's Export Subsidies For Sugar are inconsistent with its obligations under the Agreement on Agriculture and the SCM Agreement</w:t>
      </w:r>
      <w:bookmarkEnd w:id="43"/>
      <w:bookmarkEnd w:id="44"/>
    </w:p>
    <w:p w14:paraId="42386E69" w14:textId="128CE197" w:rsidR="00856674" w:rsidRDefault="00C3654A" w:rsidP="00C3654A">
      <w:pPr>
        <w:pStyle w:val="P1-N1Paragraph1-Number1"/>
      </w:pPr>
      <w:bookmarkStart w:id="45" w:name="_Toc71306247"/>
      <w:r>
        <w:t>Under the Agreement on Agriculture,</w:t>
      </w:r>
      <w:r w:rsidDel="00A54906">
        <w:t xml:space="preserve"> </w:t>
      </w:r>
      <w:r w:rsidR="00856674">
        <w:t xml:space="preserve">India has committed to limit its export subsidies to producers of agricultural products. Pursuant to Articles </w:t>
      </w:r>
      <w:r w:rsidR="0092033F">
        <w:t xml:space="preserve">3.1(a) </w:t>
      </w:r>
      <w:r w:rsidR="00856674">
        <w:t xml:space="preserve">and </w:t>
      </w:r>
      <w:r w:rsidR="0092033F">
        <w:t xml:space="preserve">8 </w:t>
      </w:r>
      <w:r w:rsidR="00856674">
        <w:t xml:space="preserve">of the Agreement, </w:t>
      </w:r>
      <w:r>
        <w:t>India</w:t>
      </w:r>
      <w:r w:rsidR="00856674">
        <w:t xml:space="preserve"> has also undertaken not to provide export subsidies otherwise than in conformity with its scheduled reduction commitments.  </w:t>
      </w:r>
    </w:p>
    <w:p w14:paraId="69F26E57" w14:textId="0AC63A4C" w:rsidR="00856674" w:rsidRDefault="00856674" w:rsidP="00856674">
      <w:pPr>
        <w:pStyle w:val="P1-N1Paragraph1-Number1"/>
      </w:pPr>
      <w:r>
        <w:t xml:space="preserve">Under Article 3.3 of the Agreement on Agriculture, India has committed </w:t>
      </w:r>
      <w:r w:rsidRPr="00C3654A">
        <w:rPr>
          <w:u w:val="single"/>
        </w:rPr>
        <w:t>not</w:t>
      </w:r>
      <w:r>
        <w:t xml:space="preserve"> to provide </w:t>
      </w:r>
      <w:r w:rsidRPr="00C3654A">
        <w:rPr>
          <w:u w:val="single"/>
        </w:rPr>
        <w:t>any</w:t>
      </w:r>
      <w:r>
        <w:t xml:space="preserve"> export subsidies of the kinds listed in Article 9.1 for </w:t>
      </w:r>
      <w:r w:rsidRPr="00C3654A">
        <w:rPr>
          <w:u w:val="single"/>
        </w:rPr>
        <w:t>unscheduled</w:t>
      </w:r>
      <w:r>
        <w:t xml:space="preserve"> agricultural products. </w:t>
      </w:r>
      <w:r w:rsidR="00C3654A">
        <w:t>Further, i</w:t>
      </w:r>
      <w:r>
        <w:t>t has committed, under Article 10.1, not to use export subsidies of kinds not listed in Article 9.1, in a manner that results in, or threatens to lead to, circumvention of its export subsidies reduction commitments.</w:t>
      </w:r>
      <w:r w:rsidR="00C3654A">
        <w:t xml:space="preserve"> </w:t>
      </w:r>
      <w:r>
        <w:t>Th</w:t>
      </w:r>
      <w:r w:rsidR="007F7555">
        <w:t>e</w:t>
      </w:r>
      <w:r>
        <w:t xml:space="preserve"> prohibition </w:t>
      </w:r>
      <w:r w:rsidR="007F7555">
        <w:t xml:space="preserve">in Article 3.3 </w:t>
      </w:r>
      <w:r>
        <w:t>applies subject to Article 9.4, which concerns only export subsidies of the kinds listed in Articles</w:t>
      </w:r>
      <w:r w:rsidR="0048106E">
        <w:t> </w:t>
      </w:r>
      <w:r>
        <w:t>9.1(d) and (e).</w:t>
      </w:r>
      <w:r w:rsidR="008977A4">
        <w:rPr>
          <w:rStyle w:val="FootnoteReference"/>
        </w:rPr>
        <w:footnoteReference w:id="96"/>
      </w:r>
    </w:p>
    <w:p w14:paraId="147FF3D2" w14:textId="575819CA" w:rsidR="00856674" w:rsidRDefault="00A84A3D" w:rsidP="00856674">
      <w:pPr>
        <w:pStyle w:val="P1-N1Paragraph1-Number1"/>
      </w:pPr>
      <w:r>
        <w:t xml:space="preserve">India agrees that </w:t>
      </w:r>
      <w:r w:rsidR="00856674">
        <w:t>Part IV, Section II</w:t>
      </w:r>
      <w:r w:rsidR="00B4700E">
        <w:t>,</w:t>
      </w:r>
      <w:r w:rsidR="00856674">
        <w:t xml:space="preserve"> of </w:t>
      </w:r>
      <w:r>
        <w:t xml:space="preserve">its </w:t>
      </w:r>
      <w:r w:rsidR="00856674">
        <w:t xml:space="preserve">Schedule </w:t>
      </w:r>
      <w:r w:rsidR="00C3654A">
        <w:t>contains</w:t>
      </w:r>
      <w:r w:rsidR="00856674">
        <w:t xml:space="preserve"> no</w:t>
      </w:r>
      <w:r w:rsidR="00C3654A">
        <w:t xml:space="preserve"> export subsidy</w:t>
      </w:r>
      <w:r w:rsidR="00856674">
        <w:t xml:space="preserve"> reduction commitments in relation to sugar.</w:t>
      </w:r>
      <w:r>
        <w:rPr>
          <w:rStyle w:val="FootnoteReference"/>
        </w:rPr>
        <w:footnoteReference w:id="97"/>
      </w:r>
      <w:r w:rsidR="00856674">
        <w:t xml:space="preserve"> Sugar is, therefore, an </w:t>
      </w:r>
      <w:r w:rsidR="00856674">
        <w:rPr>
          <w:u w:val="single"/>
        </w:rPr>
        <w:t>unscheduled</w:t>
      </w:r>
      <w:r w:rsidR="00856674">
        <w:t xml:space="preserve"> agricultural product</w:t>
      </w:r>
      <w:r w:rsidR="00B4700E">
        <w:t>,</w:t>
      </w:r>
      <w:r w:rsidR="00856674">
        <w:t xml:space="preserve"> for which India must not provide </w:t>
      </w:r>
      <w:r w:rsidR="00856674">
        <w:rPr>
          <w:u w:val="single"/>
        </w:rPr>
        <w:t>any</w:t>
      </w:r>
      <w:r w:rsidR="00856674">
        <w:t xml:space="preserve"> Article 9.1 export subsidies.</w:t>
      </w:r>
      <w:r w:rsidR="008977A4">
        <w:rPr>
          <w:rStyle w:val="FootnoteReference"/>
        </w:rPr>
        <w:footnoteReference w:id="98"/>
      </w:r>
    </w:p>
    <w:p w14:paraId="3D813B5A" w14:textId="3D5D10E4" w:rsidR="00A54906" w:rsidRDefault="00856674" w:rsidP="00856674">
      <w:pPr>
        <w:pStyle w:val="P1-N1Paragraph1-Number1"/>
      </w:pPr>
      <w:r>
        <w:t xml:space="preserve">Articles 3.1(a) and 3.2 of the SCM Agreement also prohibit India from granting or maintaining export subsidies.  </w:t>
      </w:r>
      <w:r w:rsidR="008977A4">
        <w:t xml:space="preserve">Pursuant to </w:t>
      </w:r>
      <w:r w:rsidR="00C3654A">
        <w:t>Article 1.1. of t</w:t>
      </w:r>
      <w:r>
        <w:t>he SCM Agreement</w:t>
      </w:r>
      <w:r w:rsidR="008977A4">
        <w:t>,</w:t>
      </w:r>
      <w:r>
        <w:t xml:space="preserve"> a "subsidy"</w:t>
      </w:r>
      <w:r w:rsidR="008977A4">
        <w:t xml:space="preserve"> is </w:t>
      </w:r>
      <w:r w:rsidR="008977A4">
        <w:lastRenderedPageBreak/>
        <w:t>deemed</w:t>
      </w:r>
      <w:r>
        <w:t xml:space="preserve"> to exist where there is a "financial contribution" by a "government or public body" that confers a "benefit" on its recipient.</w:t>
      </w:r>
      <w:r w:rsidR="00A84A3D">
        <w:rPr>
          <w:rStyle w:val="FootnoteReference"/>
        </w:rPr>
        <w:footnoteReference w:id="99"/>
      </w:r>
      <w:r>
        <w:t xml:space="preserve">  </w:t>
      </w:r>
    </w:p>
    <w:p w14:paraId="0BB98E91" w14:textId="5D3E89A8" w:rsidR="00856674" w:rsidRDefault="00A54906" w:rsidP="00856674">
      <w:pPr>
        <w:pStyle w:val="P1-N1Paragraph1-Number1"/>
      </w:pPr>
      <w:r>
        <w:t xml:space="preserve">India's sugar export subsidies are contrary to its obligations under both </w:t>
      </w:r>
      <w:r w:rsidR="00AC2617">
        <w:t>a</w:t>
      </w:r>
      <w:r>
        <w:t>greement</w:t>
      </w:r>
      <w:r w:rsidR="00AC2617">
        <w:t>s</w:t>
      </w:r>
      <w:r>
        <w:t xml:space="preserve">. </w:t>
      </w:r>
      <w:r w:rsidR="0085184C">
        <w:t>Australia begins its analysis with the Agreement on Agriculture because, t</w:t>
      </w:r>
      <w:r w:rsidR="00856674">
        <w:t>o the extent of any inconsistency between the two agreements, the Agreement on Agriculture prevails.</w:t>
      </w:r>
      <w:r w:rsidR="00856674">
        <w:rPr>
          <w:rStyle w:val="FootnoteReference"/>
        </w:rPr>
        <w:footnoteReference w:id="100"/>
      </w:r>
      <w:r w:rsidR="0085184C">
        <w:t xml:space="preserve"> India acknowledges th</w:t>
      </w:r>
      <w:r w:rsidR="00AC2617">
        <w:t>is</w:t>
      </w:r>
      <w:r w:rsidR="0085184C">
        <w:t xml:space="preserve"> hierarchy between the two Agreements.</w:t>
      </w:r>
      <w:r w:rsidR="0085184C">
        <w:rPr>
          <w:rStyle w:val="FootnoteReference"/>
        </w:rPr>
        <w:footnoteReference w:id="101"/>
      </w:r>
    </w:p>
    <w:p w14:paraId="689F0AE5" w14:textId="77777777" w:rsidR="00856674" w:rsidRDefault="00856674" w:rsidP="00856674">
      <w:pPr>
        <w:pStyle w:val="HL2HeadingLevel2"/>
      </w:pPr>
      <w:bookmarkStart w:id="46" w:name="_Toc72430890"/>
      <w:r w:rsidRPr="000A42BF">
        <w:t>India provides "direct subsidies" that are "contingent on export performance" within the meaning of Article 9.1(A) of the Agreement on Agriculture</w:t>
      </w:r>
      <w:bookmarkEnd w:id="46"/>
    </w:p>
    <w:p w14:paraId="3871D234" w14:textId="0E861177" w:rsidR="00856674" w:rsidRDefault="00856674" w:rsidP="00856674">
      <w:pPr>
        <w:pStyle w:val="P1-N1Paragraph1-Number1"/>
      </w:pPr>
      <w:r w:rsidRPr="000A42BF">
        <w:t>Article 1(e) of the Agreement on Agriculture defines "export subsidies" as "subsidies contingent on export performance", including the practices listed in Article 9.1.  Article 9.1(a) of the Agreement concerns direct subsidies including payments-in-kind, that are provided by governments or their agencies to a firm, an industry, producers of an agricultural product, a cooperative or other association of such producers, or to a marketing board, and that are contingent on export performance.</w:t>
      </w:r>
      <w:r w:rsidR="00CD3D91">
        <w:rPr>
          <w:rStyle w:val="FootnoteReference"/>
        </w:rPr>
        <w:footnoteReference w:id="102"/>
      </w:r>
    </w:p>
    <w:p w14:paraId="0199D4A9" w14:textId="77777777" w:rsidR="00856674" w:rsidRDefault="00856674" w:rsidP="00856674">
      <w:pPr>
        <w:pStyle w:val="HL3HeadingLevel3"/>
      </w:pPr>
      <w:bookmarkStart w:id="47" w:name="_Toc71306243"/>
      <w:bookmarkStart w:id="48" w:name="_Toc72430891"/>
      <w:r w:rsidRPr="000F57D9">
        <w:t>India's production subsidies, buffer stock subsidies and its MAEQ and DFIA schemes are Article 9.1(a) subsidies</w:t>
      </w:r>
      <w:bookmarkEnd w:id="47"/>
      <w:bookmarkEnd w:id="48"/>
    </w:p>
    <w:p w14:paraId="057FFA9D" w14:textId="77777777" w:rsidR="00856674" w:rsidRDefault="00856674" w:rsidP="00856674">
      <w:pPr>
        <w:pStyle w:val="P1-N1Paragraph1-Number1"/>
      </w:pPr>
      <w:bookmarkStart w:id="49" w:name="_Ref72339360"/>
      <w:r>
        <w:t>India's production and buffer stock subsidies and its MAEQ and DFIA schemes are export subsidies within the meaning of Article 9.1(a).</w:t>
      </w:r>
      <w:bookmarkEnd w:id="49"/>
      <w:r>
        <w:t xml:space="preserve">  </w:t>
      </w:r>
    </w:p>
    <w:p w14:paraId="1C90AFC3" w14:textId="52A3E2E0" w:rsidR="004A1B4C" w:rsidRDefault="00856674" w:rsidP="00856674">
      <w:pPr>
        <w:pStyle w:val="P1-N1Paragraph1-Number1"/>
      </w:pPr>
      <w:r>
        <w:t>Each scheme involves a direct transfer of economic resources from the Indian government to sugar mills for less than full consideration.</w:t>
      </w:r>
      <w:r>
        <w:rPr>
          <w:rStyle w:val="CommentReference"/>
        </w:rPr>
        <w:t xml:space="preserve"> </w:t>
      </w:r>
      <w:r w:rsidR="004A1B4C">
        <w:t>Pursuant to the production and buffer stock subsidies and the MAEQ</w:t>
      </w:r>
      <w:r>
        <w:t xml:space="preserve"> scheme, India's Department of Food and Public Distribution makes funds available to clear</w:t>
      </w:r>
      <w:r w:rsidR="00013AD6">
        <w:t xml:space="preserve"> sugar</w:t>
      </w:r>
      <w:r>
        <w:t xml:space="preserve"> mills' debts to </w:t>
      </w:r>
      <w:r w:rsidR="00A754AC">
        <w:t>sugar</w:t>
      </w:r>
      <w:r>
        <w:t>cane farmers</w:t>
      </w:r>
      <w:r w:rsidR="004A1B4C">
        <w:t>. Under</w:t>
      </w:r>
      <w:r>
        <w:t xml:space="preserve"> the DFIA scheme, the government foregoes import tax revenue </w:t>
      </w:r>
      <w:r w:rsidR="00013AD6">
        <w:t xml:space="preserve">that </w:t>
      </w:r>
      <w:r>
        <w:t xml:space="preserve">mills would otherwise owe it. </w:t>
      </w:r>
    </w:p>
    <w:p w14:paraId="19BE1AC0" w14:textId="1BFC51C4" w:rsidR="00856674" w:rsidRDefault="00856674" w:rsidP="00856674">
      <w:pPr>
        <w:pStyle w:val="P1-N1Paragraph1-Number1"/>
      </w:pPr>
      <w:bookmarkStart w:id="50" w:name="_Ref72339362"/>
      <w:r>
        <w:t xml:space="preserve">Sugar mills </w:t>
      </w:r>
      <w:r w:rsidR="002B31DD">
        <w:t>are</w:t>
      </w:r>
      <w:r>
        <w:t xml:space="preserve"> "producers of an agricultural product".</w:t>
      </w:r>
      <w:r>
        <w:rPr>
          <w:rStyle w:val="FootnoteReference"/>
        </w:rPr>
        <w:footnoteReference w:id="103"/>
      </w:r>
      <w:r>
        <w:t xml:space="preserve"> However, noting the degree of overlap between the categories of subsidy recipient in Article 9.1(a),</w:t>
      </w:r>
      <w:r w:rsidR="00905B21">
        <w:rPr>
          <w:rStyle w:val="FootnoteReference"/>
        </w:rPr>
        <w:footnoteReference w:id="104"/>
      </w:r>
      <w:r>
        <w:t xml:space="preserve"> they may also qualify individually as "firms" or collectively as an "industry"</w:t>
      </w:r>
      <w:r w:rsidR="00C56025">
        <w:t>. The characterization of mills, collectively, as</w:t>
      </w:r>
      <w:r>
        <w:t xml:space="preserve"> "a cooperative or other association of such producers"</w:t>
      </w:r>
      <w:r w:rsidR="00C56025">
        <w:t xml:space="preserve"> may also be appropriate as </w:t>
      </w:r>
      <w:r w:rsidR="002B31DD">
        <w:t>Indian sugar mills are commonly owned and operated by cooperatives</w:t>
      </w:r>
      <w:r>
        <w:t>.</w:t>
      </w:r>
      <w:r w:rsidR="002B31DD">
        <w:rPr>
          <w:rStyle w:val="FootnoteReference"/>
        </w:rPr>
        <w:footnoteReference w:id="105"/>
      </w:r>
      <w:r>
        <w:t xml:space="preserve"> The schemes leave recipient mills better off than they would otherwise have been. Finally, all are export</w:t>
      </w:r>
      <w:r w:rsidR="009C451C">
        <w:t>-</w:t>
      </w:r>
      <w:r>
        <w:lastRenderedPageBreak/>
        <w:t>contingent, linking the availability of subsidies to the achievement of export quotas or targets, or to past export performance.</w:t>
      </w:r>
      <w:r>
        <w:rPr>
          <w:rStyle w:val="FootnoteReference"/>
        </w:rPr>
        <w:footnoteReference w:id="106"/>
      </w:r>
      <w:bookmarkEnd w:id="50"/>
      <w:r>
        <w:t xml:space="preserve">  </w:t>
      </w:r>
    </w:p>
    <w:p w14:paraId="2D150230" w14:textId="58C213BF" w:rsidR="00856674" w:rsidRDefault="00856674" w:rsidP="00856674">
      <w:pPr>
        <w:pStyle w:val="HL3HeadingLevel3"/>
      </w:pPr>
      <w:bookmarkStart w:id="51" w:name="_Toc72430892"/>
      <w:r>
        <w:t>India misinterprets Article 9.1</w:t>
      </w:r>
      <w:bookmarkEnd w:id="51"/>
    </w:p>
    <w:p w14:paraId="287C664C" w14:textId="3DDD00B4" w:rsidR="002B0317" w:rsidRPr="00A23F6D" w:rsidRDefault="002B0317" w:rsidP="00265FAD">
      <w:pPr>
        <w:pStyle w:val="P1-N1Paragraph1-Number1"/>
      </w:pPr>
      <w:r>
        <w:t xml:space="preserve">Australia and India agree on the elements </w:t>
      </w:r>
      <w:r w:rsidR="00013AD6">
        <w:t>required</w:t>
      </w:r>
      <w:r>
        <w:t xml:space="preserve"> to satisfy the legal standard under Article 9.1(a) and that the "subsidy" definition in Article 1.1 of the SCM Agreement is relevant to the interpretation of th</w:t>
      </w:r>
      <w:r w:rsidR="00D4124C">
        <w:t>e</w:t>
      </w:r>
      <w:r>
        <w:t xml:space="preserve"> term</w:t>
      </w:r>
      <w:r w:rsidR="00D93F36">
        <w:t>s</w:t>
      </w:r>
      <w:r w:rsidR="00D4124C">
        <w:t xml:space="preserve"> "subsidy"</w:t>
      </w:r>
      <w:r w:rsidR="00D93F36">
        <w:t xml:space="preserve"> and "subsidies" as they</w:t>
      </w:r>
      <w:r w:rsidR="00D4124C">
        <w:t xml:space="preserve"> appear</w:t>
      </w:r>
      <w:r>
        <w:t xml:space="preserve"> in the Agreement on Agriculture.</w:t>
      </w:r>
      <w:r>
        <w:rPr>
          <w:rStyle w:val="FootnoteReference"/>
        </w:rPr>
        <w:footnoteReference w:id="107"/>
      </w:r>
      <w:r>
        <w:t xml:space="preserve">  However, </w:t>
      </w:r>
      <w:r w:rsidR="00A23F6D">
        <w:t xml:space="preserve">Australia and India do not </w:t>
      </w:r>
      <w:r w:rsidR="00D93F36">
        <w:t>agree</w:t>
      </w:r>
      <w:r>
        <w:t xml:space="preserve"> </w:t>
      </w:r>
      <w:r w:rsidR="00D93F36">
        <w:t xml:space="preserve">on what is required to demonstrate the elements of a subsidy </w:t>
      </w:r>
      <w:r w:rsidR="00AC2617">
        <w:t>for the purposes</w:t>
      </w:r>
      <w:r w:rsidR="00D93F36">
        <w:t xml:space="preserve"> of </w:t>
      </w:r>
      <w:r>
        <w:t>Article 9.1</w:t>
      </w:r>
      <w:r w:rsidR="00D93F36">
        <w:t xml:space="preserve">(a). </w:t>
      </w:r>
      <w:r w:rsidR="00AC2617">
        <w:t xml:space="preserve">Specifically, </w:t>
      </w:r>
      <w:r w:rsidR="00D93F36">
        <w:t>Ind</w:t>
      </w:r>
      <w:r w:rsidR="00506570">
        <w:t>ia</w:t>
      </w:r>
      <w:r w:rsidR="00AC2617">
        <w:t xml:space="preserve"> bases its interpretation of the legal standard applicable under Article 9.1(a)</w:t>
      </w:r>
      <w:r w:rsidR="00506570">
        <w:t xml:space="preserve"> </w:t>
      </w:r>
      <w:r w:rsidR="00AC2617">
        <w:t>on a</w:t>
      </w:r>
      <w:r w:rsidR="00506570">
        <w:t xml:space="preserve"> flawed </w:t>
      </w:r>
      <w:r w:rsidR="00AC2617">
        <w:t>understanding</w:t>
      </w:r>
      <w:r w:rsidR="00506570">
        <w:t xml:space="preserve"> of the </w:t>
      </w:r>
      <w:r w:rsidR="00AC2617">
        <w:t xml:space="preserve">two </w:t>
      </w:r>
      <w:r w:rsidR="00506570">
        <w:t xml:space="preserve">elements </w:t>
      </w:r>
      <w:r w:rsidR="0092033F">
        <w:t>of</w:t>
      </w:r>
      <w:r w:rsidR="00506570">
        <w:t xml:space="preserve"> the SCM Agreement's subsidy definition</w:t>
      </w:r>
      <w:r w:rsidR="00AC2617">
        <w:t>.</w:t>
      </w:r>
      <w:r w:rsidR="0092033F">
        <w:rPr>
          <w:rStyle w:val="FootnoteReference"/>
        </w:rPr>
        <w:footnoteReference w:id="108"/>
      </w:r>
    </w:p>
    <w:p w14:paraId="1A01BC1F" w14:textId="55B1B72E" w:rsidR="00856674" w:rsidRDefault="00D42E3C" w:rsidP="00856674">
      <w:pPr>
        <w:pStyle w:val="HL4HeadingLevel4"/>
      </w:pPr>
      <w:bookmarkStart w:id="52" w:name="_Toc72430893"/>
      <w:r>
        <w:t xml:space="preserve">Evidence of actual </w:t>
      </w:r>
      <w:r w:rsidR="003134BE">
        <w:t>funds disbursements</w:t>
      </w:r>
      <w:r>
        <w:t xml:space="preserve"> is not required</w:t>
      </w:r>
      <w:bookmarkEnd w:id="52"/>
    </w:p>
    <w:p w14:paraId="4F9A9E4B" w14:textId="595687FE" w:rsidR="00856674" w:rsidRDefault="00856674" w:rsidP="00856674">
      <w:pPr>
        <w:pStyle w:val="P1-N1Paragraph1-Number1"/>
      </w:pPr>
      <w:bookmarkStart w:id="53" w:name="_Ref72338248"/>
      <w:r>
        <w:t xml:space="preserve">India insists that because the SCM Agreement deems a subsidy to exist where "there </w:t>
      </w:r>
      <w:r>
        <w:rPr>
          <w:u w:val="single"/>
        </w:rPr>
        <w:t>is</w:t>
      </w:r>
      <w:r>
        <w:t xml:space="preserve"> a financial contribution",</w:t>
      </w:r>
      <w:r w:rsidR="0092033F">
        <w:rPr>
          <w:rStyle w:val="FootnoteReference"/>
        </w:rPr>
        <w:footnoteReference w:id="109"/>
      </w:r>
      <w:r>
        <w:t xml:space="preserve"> </w:t>
      </w:r>
      <w:r w:rsidR="002B0317">
        <w:t>Australia</w:t>
      </w:r>
      <w:r>
        <w:t xml:space="preserve"> must provide evidence of actual disbursements of government funds to substantiate the existence of </w:t>
      </w:r>
      <w:r w:rsidR="002B0317">
        <w:t>India's</w:t>
      </w:r>
      <w:r>
        <w:t xml:space="preserve"> subsidies.</w:t>
      </w:r>
      <w:r>
        <w:rPr>
          <w:rStyle w:val="FootnoteReference"/>
        </w:rPr>
        <w:footnoteReference w:id="110"/>
      </w:r>
      <w:bookmarkEnd w:id="53"/>
      <w:r>
        <w:t xml:space="preserve">      </w:t>
      </w:r>
    </w:p>
    <w:p w14:paraId="79B78373" w14:textId="333520F1" w:rsidR="00856674" w:rsidRDefault="00856674" w:rsidP="00856674">
      <w:pPr>
        <w:pStyle w:val="P1-N1Paragraph1-Number1"/>
      </w:pPr>
      <w:r>
        <w:t xml:space="preserve">Australia disagrees. Article 9.1(a) concerns the "provision" of subsidies.  "To provide" funds, is "to make [them] available", as, for example, when a government </w:t>
      </w:r>
      <w:r w:rsidR="00BF47D0">
        <w:t xml:space="preserve">provides the legislative authority </w:t>
      </w:r>
      <w:r>
        <w:t xml:space="preserve">to make payments under a scheme </w:t>
      </w:r>
      <w:r w:rsidR="00BF47D0">
        <w:t xml:space="preserve">or </w:t>
      </w:r>
      <w:r>
        <w:t xml:space="preserve">makes a </w:t>
      </w:r>
      <w:r w:rsidR="00BF47D0">
        <w:t xml:space="preserve">relevant </w:t>
      </w:r>
      <w:r>
        <w:t>budgetary allocation.</w:t>
      </w:r>
      <w:r>
        <w:rPr>
          <w:rStyle w:val="FootnoteReference"/>
        </w:rPr>
        <w:footnoteReference w:id="111"/>
      </w:r>
      <w:r>
        <w:t xml:space="preserve"> </w:t>
      </w:r>
    </w:p>
    <w:p w14:paraId="103ADBAD" w14:textId="6754CCB0" w:rsidR="00856674" w:rsidRDefault="00436059" w:rsidP="00856674">
      <w:pPr>
        <w:pStyle w:val="P1-N1Paragraph1-Number1"/>
      </w:pPr>
      <w:r>
        <w:t xml:space="preserve">Further, </w:t>
      </w:r>
      <w:r w:rsidR="0079078E">
        <w:t>t</w:t>
      </w:r>
      <w:r w:rsidR="00856674">
        <w:t>he immediate context of Article 9.1(a) within the Agreement on Agriculture makes clear that the Agreement contemplates a subsidy being demonstrable on an allocation of funds alone. Specifically, Article 9.2(a)(i) provi</w:t>
      </w:r>
      <w:r w:rsidR="00D42E3C">
        <w:t>d</w:t>
      </w:r>
      <w:r w:rsidR="00856674">
        <w:t>es that a Member's compliance with its scheduled export subsidy reduction commitments may be measured based on budgetary outlays "</w:t>
      </w:r>
      <w:r w:rsidR="00856674" w:rsidRPr="008F4D60">
        <w:rPr>
          <w:u w:val="single"/>
        </w:rPr>
        <w:t>allocated</w:t>
      </w:r>
      <w:r w:rsidR="00856674">
        <w:t xml:space="preserve"> or incurred."</w:t>
      </w:r>
      <w:r w:rsidR="00856674">
        <w:rPr>
          <w:rStyle w:val="FootnoteReference"/>
        </w:rPr>
        <w:footnoteReference w:id="112"/>
      </w:r>
      <w:r w:rsidR="00856674">
        <w:t xml:space="preserve"> </w:t>
      </w:r>
    </w:p>
    <w:p w14:paraId="3D0A29EE" w14:textId="37CCB867" w:rsidR="00856674" w:rsidRDefault="00856674" w:rsidP="00856674">
      <w:pPr>
        <w:pStyle w:val="P1-N1Paragraph1-Number1"/>
      </w:pPr>
      <w:r>
        <w:t>Article 1.1(a)(1)(i) of the SCM Agreement, similarly, provides that "</w:t>
      </w:r>
      <w:r>
        <w:rPr>
          <w:u w:val="single"/>
        </w:rPr>
        <w:t>potential</w:t>
      </w:r>
      <w:r>
        <w:t xml:space="preserve"> direct transfers of [government] funds" may constitute a "financial contribution" for the purposes of a subsidy, thereby acknowledging that a subsidy may exist in situations where actual payments are prospective.</w:t>
      </w:r>
      <w:r>
        <w:rPr>
          <w:rStyle w:val="FootnoteReference"/>
        </w:rPr>
        <w:footnoteReference w:id="113"/>
      </w:r>
      <w:r>
        <w:t xml:space="preserve"> </w:t>
      </w:r>
      <w:r w:rsidR="0016243D">
        <w:t xml:space="preserve">In fact, </w:t>
      </w:r>
      <w:r w:rsidR="00ED5236">
        <w:t xml:space="preserve">the </w:t>
      </w:r>
      <w:r w:rsidR="00BF47D0">
        <w:t>App</w:t>
      </w:r>
      <w:r w:rsidR="0016243D">
        <w:t xml:space="preserve">ellate Body </w:t>
      </w:r>
      <w:r w:rsidR="00240DD7">
        <w:t xml:space="preserve">and previous panels </w:t>
      </w:r>
      <w:r w:rsidR="0016243D">
        <w:t xml:space="preserve">have considered "conduct on the part of the government by which money, financial resources, and/or financial </w:t>
      </w:r>
      <w:r w:rsidR="0016243D">
        <w:lastRenderedPageBreak/>
        <w:t xml:space="preserve">claims are </w:t>
      </w:r>
      <w:r w:rsidR="0016243D" w:rsidRPr="00240DD7">
        <w:t>made available</w:t>
      </w:r>
      <w:r w:rsidR="0016243D">
        <w:t xml:space="preserve"> to a recipient"</w:t>
      </w:r>
      <w:r w:rsidR="00666556">
        <w:rPr>
          <w:rStyle w:val="FootnoteReference"/>
        </w:rPr>
        <w:footnoteReference w:id="114"/>
      </w:r>
      <w:r w:rsidR="0016243D">
        <w:t xml:space="preserve"> suffic</w:t>
      </w:r>
      <w:r w:rsidR="00240DD7">
        <w:t>ient</w:t>
      </w:r>
      <w:r w:rsidR="0016243D">
        <w:t xml:space="preserve"> to demonstrate a "direct funds transfer", and that the </w:t>
      </w:r>
      <w:r w:rsidR="00666556">
        <w:t>phrase</w:t>
      </w:r>
      <w:r w:rsidR="0016243D">
        <w:t xml:space="preserve"> encompasses situations in which some payments under a measure are yet to be made.</w:t>
      </w:r>
      <w:r w:rsidR="0016243D">
        <w:rPr>
          <w:rStyle w:val="FootnoteReference"/>
        </w:rPr>
        <w:footnoteReference w:id="115"/>
      </w:r>
      <w:r w:rsidR="0016243D">
        <w:t xml:space="preserve"> </w:t>
      </w:r>
    </w:p>
    <w:p w14:paraId="49F75E23" w14:textId="006D90EC" w:rsidR="00856674" w:rsidRDefault="00856674" w:rsidP="00856674">
      <w:pPr>
        <w:pStyle w:val="P1-N1Paragraph1-Number1"/>
      </w:pPr>
      <w:r>
        <w:t>Australia does not accept</w:t>
      </w:r>
      <w:r w:rsidR="001B7B49">
        <w:t xml:space="preserve"> either that</w:t>
      </w:r>
      <w:r>
        <w:t xml:space="preserve"> the reference in Article 9.1(a) to "payments-in-kind" or the fact that the </w:t>
      </w:r>
      <w:r w:rsidR="002B0317">
        <w:t xml:space="preserve">challenged </w:t>
      </w:r>
      <w:r>
        <w:t>measures involve "grants", support India's contention that only evidence of actual payments can demonstrate the existence of a "financial contribution" in relation to its export subsidies.</w:t>
      </w:r>
      <w:r w:rsidR="00F84BC7">
        <w:rPr>
          <w:rStyle w:val="FootnoteReference"/>
        </w:rPr>
        <w:footnoteReference w:id="116"/>
      </w:r>
      <w:r>
        <w:t xml:space="preserve"> The textual references India relies on are simply examples that illustrate the variety of forms a "financial contribution" may take.</w:t>
      </w:r>
      <w:r w:rsidR="001B7B49" w:rsidRPr="001B7B49">
        <w:rPr>
          <w:rStyle w:val="FootnoteReference"/>
        </w:rPr>
        <w:t xml:space="preserve"> </w:t>
      </w:r>
      <w:r w:rsidR="001B7B49">
        <w:rPr>
          <w:rStyle w:val="FootnoteReference"/>
        </w:rPr>
        <w:footnoteReference w:id="117"/>
      </w:r>
      <w:r>
        <w:t xml:space="preserve">  </w:t>
      </w:r>
    </w:p>
    <w:p w14:paraId="31E333EA" w14:textId="14E51C40" w:rsidR="00856674" w:rsidRDefault="00856674" w:rsidP="00856674">
      <w:pPr>
        <w:pStyle w:val="P1-N1Paragraph1-Number1"/>
      </w:pPr>
      <w:bookmarkStart w:id="54" w:name="_Ref72338256"/>
      <w:r w:rsidRPr="000F57D9">
        <w:t xml:space="preserve">India's understanding of what is required to demonstrate the existence of a financial contribution is, in any event, moot because </w:t>
      </w:r>
      <w:r>
        <w:t xml:space="preserve">Australia </w:t>
      </w:r>
      <w:r w:rsidRPr="002E5819">
        <w:rPr>
          <w:u w:val="single"/>
        </w:rPr>
        <w:t>has</w:t>
      </w:r>
      <w:r w:rsidRPr="000F57D9">
        <w:t xml:space="preserve"> provided evidence of actual payments to sugar mills under the challenged measures.</w:t>
      </w:r>
      <w:r w:rsidR="004F2561">
        <w:rPr>
          <w:rStyle w:val="FootnoteReference"/>
        </w:rPr>
        <w:footnoteReference w:id="118"/>
      </w:r>
      <w:bookmarkEnd w:id="54"/>
    </w:p>
    <w:p w14:paraId="744B719F" w14:textId="383BC9D0" w:rsidR="00856674" w:rsidRDefault="00D42E3C" w:rsidP="00856674">
      <w:pPr>
        <w:pStyle w:val="HL4HeadingLevel4"/>
      </w:pPr>
      <w:bookmarkStart w:id="55" w:name="_Toc72430894"/>
      <w:r>
        <w:t>Australia has demonstrated the existence of a "b</w:t>
      </w:r>
      <w:r w:rsidR="00856674">
        <w:t>enefit</w:t>
      </w:r>
      <w:r>
        <w:t>"</w:t>
      </w:r>
      <w:bookmarkEnd w:id="55"/>
    </w:p>
    <w:p w14:paraId="0D52C3E5" w14:textId="0F0DB6BF" w:rsidR="00856674" w:rsidRDefault="00856674" w:rsidP="00856674">
      <w:pPr>
        <w:pStyle w:val="P1-N1Paragraph1-Number1"/>
      </w:pPr>
      <w:r>
        <w:t xml:space="preserve">India </w:t>
      </w:r>
      <w:r w:rsidR="00A23F6D">
        <w:t xml:space="preserve">also </w:t>
      </w:r>
      <w:r>
        <w:t>alleges</w:t>
      </w:r>
      <w:r w:rsidR="00BE7681">
        <w:t xml:space="preserve"> that Australia has failed</w:t>
      </w:r>
      <w:r>
        <w:t xml:space="preserve"> to conduct the market comparison necessary to demonstrate the existence of a "benefit" for the purposes of </w:t>
      </w:r>
      <w:r w:rsidR="00F84BC7">
        <w:t xml:space="preserve">the </w:t>
      </w:r>
      <w:r w:rsidR="00436059">
        <w:t xml:space="preserve">subsidy definition in the </w:t>
      </w:r>
      <w:r w:rsidR="00F84BC7">
        <w:t>SCM Agreement</w:t>
      </w:r>
      <w:r>
        <w:t xml:space="preserve">. Australia </w:t>
      </w:r>
      <w:r w:rsidR="00BE7681">
        <w:t xml:space="preserve">disagrees. Australia </w:t>
      </w:r>
      <w:r>
        <w:t xml:space="preserve">accepts that the market provides a useful benchmark against which </w:t>
      </w:r>
      <w:r w:rsidR="00C017DA">
        <w:t xml:space="preserve">to </w:t>
      </w:r>
      <w:r>
        <w:t>test the existence of a benefit.</w:t>
      </w:r>
      <w:r w:rsidR="00F84BC7">
        <w:rPr>
          <w:rStyle w:val="FootnoteReference"/>
        </w:rPr>
        <w:footnoteReference w:id="119"/>
      </w:r>
      <w:r>
        <w:t xml:space="preserve"> However, the market comparison exercise required in this context is simple because it is readily apparent that the market for financial services involving the provision of funds does not offer the sort of non-reciprocal gifts or grants available to sugar mills under the challenged measures.</w:t>
      </w:r>
      <w:r>
        <w:rPr>
          <w:rStyle w:val="FootnoteReference"/>
        </w:rPr>
        <w:footnoteReference w:id="120"/>
      </w:r>
      <w:r>
        <w:t xml:space="preserve"> </w:t>
      </w:r>
    </w:p>
    <w:p w14:paraId="3B31E7A8" w14:textId="77777777" w:rsidR="00856674" w:rsidRDefault="00856674" w:rsidP="00856674">
      <w:pPr>
        <w:pStyle w:val="HL3HeadingLevel3"/>
      </w:pPr>
      <w:bookmarkStart w:id="56" w:name="_Toc72430895"/>
      <w:r w:rsidRPr="00FA5D25">
        <w:t>India</w:t>
      </w:r>
      <w:r w:rsidRPr="00A76BFB">
        <w:rPr>
          <w:color w:val="FF0000"/>
        </w:rPr>
        <w:t xml:space="preserve"> </w:t>
      </w:r>
      <w:r w:rsidRPr="000F57D9">
        <w:t>has not established a defence under Article 9.4 in relation to the MAEQ scheme</w:t>
      </w:r>
      <w:bookmarkEnd w:id="56"/>
    </w:p>
    <w:p w14:paraId="0490EC1B" w14:textId="774F95AC" w:rsidR="00856674" w:rsidRDefault="00856674" w:rsidP="00856674">
      <w:pPr>
        <w:pStyle w:val="P1-N1Paragraph1-Number1"/>
      </w:pPr>
      <w:r>
        <w:t xml:space="preserve">In response to Australia's </w:t>
      </w:r>
      <w:r>
        <w:rPr>
          <w:i/>
        </w:rPr>
        <w:t>prima facie</w:t>
      </w:r>
      <w:r>
        <w:t xml:space="preserve"> case that the MAEQ scheme is an Article 9.1(a) export subsidy, India has argued that the scheme falls withi</w:t>
      </w:r>
      <w:r w:rsidR="004B517A">
        <w:t>n Article 9.4 of the Agreement</w:t>
      </w:r>
      <w:r w:rsidR="00A23F6D" w:rsidRPr="00A23F6D">
        <w:t xml:space="preserve"> </w:t>
      </w:r>
      <w:r w:rsidR="00A23F6D">
        <w:t>on Agriculture</w:t>
      </w:r>
      <w:r w:rsidR="004B517A">
        <w:t>.</w:t>
      </w:r>
      <w:r>
        <w:t xml:space="preserve"> I</w:t>
      </w:r>
      <w:r w:rsidR="00A23F6D">
        <w:t>ndia</w:t>
      </w:r>
      <w:r>
        <w:t xml:space="preserve"> has not substantiated that assertion with any evidence that the MAEQ scheme falls under either of Articles 9.1(d) or (e) of the Agreement</w:t>
      </w:r>
      <w:r w:rsidR="00127077">
        <w:t>, which identify the types of export subsidies to which the flexibility in Article 9.4 applies</w:t>
      </w:r>
      <w:r>
        <w:t xml:space="preserve">.     </w:t>
      </w:r>
    </w:p>
    <w:p w14:paraId="46BE73A4" w14:textId="3FABCB32" w:rsidR="00856674" w:rsidRDefault="00342948" w:rsidP="00856674">
      <w:pPr>
        <w:pStyle w:val="P1-N1Paragraph1-Number1"/>
      </w:pPr>
      <w:r>
        <w:t xml:space="preserve">India </w:t>
      </w:r>
      <w:r>
        <w:rPr>
          <w:u w:val="single"/>
        </w:rPr>
        <w:t>has</w:t>
      </w:r>
      <w:r>
        <w:t xml:space="preserve"> pointed to the</w:t>
      </w:r>
      <w:r w:rsidR="00856674">
        <w:t xml:space="preserve"> MAEQ scheme's notification, which </w:t>
      </w:r>
      <w:r>
        <w:t xml:space="preserve">partially </w:t>
      </w:r>
      <w:r w:rsidR="00856674">
        <w:t>replicates the languag</w:t>
      </w:r>
      <w:r>
        <w:t>e of Articles 9.1(d) and (e).</w:t>
      </w:r>
      <w:r>
        <w:rPr>
          <w:rStyle w:val="FootnoteReference"/>
        </w:rPr>
        <w:footnoteReference w:id="121"/>
      </w:r>
      <w:r>
        <w:t xml:space="preserve"> However, that language</w:t>
      </w:r>
      <w:r w:rsidR="00127077">
        <w:t xml:space="preserve"> represents</w:t>
      </w:r>
      <w:r w:rsidR="00856674">
        <w:t xml:space="preserve"> the extent of </w:t>
      </w:r>
      <w:r w:rsidR="00127077">
        <w:t>the scheme's</w:t>
      </w:r>
      <w:r w:rsidR="00856674">
        <w:t xml:space="preserve"> con</w:t>
      </w:r>
      <w:r>
        <w:t xml:space="preserve">nection with the transport, freight and marketing subsidies to which </w:t>
      </w:r>
      <w:r>
        <w:lastRenderedPageBreak/>
        <w:t>Articles</w:t>
      </w:r>
      <w:r w:rsidR="00210C36">
        <w:t> </w:t>
      </w:r>
      <w:r>
        <w:t>9.1(d) and (e) apply. Merely pointing to WTO-consistent language in the scheme's notification</w:t>
      </w:r>
      <w:r w:rsidR="00856674">
        <w:t xml:space="preserve"> is no substitute for an objective assessment of the scheme's design,</w:t>
      </w:r>
      <w:r>
        <w:t xml:space="preserve"> operation and purpose</w:t>
      </w:r>
      <w:r w:rsidR="00CA34F5">
        <w:t xml:space="preserve"> – </w:t>
      </w:r>
      <w:r>
        <w:t>none of which reveal</w:t>
      </w:r>
      <w:r w:rsidR="004E4CB8">
        <w:t>s</w:t>
      </w:r>
      <w:r>
        <w:t xml:space="preserve"> any link to the types of costs </w:t>
      </w:r>
      <w:r w:rsidR="00CA34F5">
        <w:t xml:space="preserve">that </w:t>
      </w:r>
      <w:r>
        <w:t>Articles 9.1(d) and (e) contemplate.</w:t>
      </w:r>
      <w:r>
        <w:rPr>
          <w:rStyle w:val="FootnoteReference"/>
        </w:rPr>
        <w:footnoteReference w:id="122"/>
      </w:r>
      <w:r>
        <w:t xml:space="preserve"> </w:t>
      </w:r>
    </w:p>
    <w:p w14:paraId="3671CF5D" w14:textId="7DAB01E5" w:rsidR="004B517A" w:rsidRDefault="00A53DCE" w:rsidP="00856674">
      <w:pPr>
        <w:pStyle w:val="P1-N1Paragraph1-Number1"/>
      </w:pPr>
      <w:r>
        <w:t>To meet the legal standard</w:t>
      </w:r>
      <w:r w:rsidR="004B517A">
        <w:t xml:space="preserve"> applicable </w:t>
      </w:r>
      <w:r>
        <w:t>under</w:t>
      </w:r>
      <w:r w:rsidR="004B517A">
        <w:t xml:space="preserve"> Article</w:t>
      </w:r>
      <w:r>
        <w:t xml:space="preserve"> 9.1(d), the</w:t>
      </w:r>
      <w:r w:rsidR="004B517A">
        <w:t xml:space="preserve"> subsidy</w:t>
      </w:r>
      <w:r>
        <w:t xml:space="preserve"> in question</w:t>
      </w:r>
      <w:r w:rsidR="004B517A">
        <w:t xml:space="preserve"> </w:t>
      </w:r>
      <w:r>
        <w:t>must be</w:t>
      </w:r>
      <w:r w:rsidR="004B517A">
        <w:t xml:space="preserve"> provided for the </w:t>
      </w:r>
      <w:r w:rsidR="004B517A" w:rsidRPr="004B517A">
        <w:rPr>
          <w:u w:val="single"/>
        </w:rPr>
        <w:t>distinct purpose</w:t>
      </w:r>
      <w:r w:rsidR="004B517A">
        <w:t xml:space="preserve"> of covering "costs of marketing exports of agricultural products", including "the costs of international transport and freight"</w:t>
      </w:r>
      <w:r>
        <w:t xml:space="preserve">. Under Article 9.1(e), there must be evidence of governmental action taken for the </w:t>
      </w:r>
      <w:r>
        <w:rPr>
          <w:u w:val="single"/>
        </w:rPr>
        <w:t>distinct purpose</w:t>
      </w:r>
      <w:r>
        <w:t xml:space="preserve"> of creating advantageous conditions for "internal transport and freight charges on export shipments" vis-à-vis domestic shipments. </w:t>
      </w:r>
      <w:r w:rsidR="00C017DA">
        <w:t>T</w:t>
      </w:r>
      <w:r>
        <w:t>h</w:t>
      </w:r>
      <w:r w:rsidR="00C017DA">
        <w:t>is</w:t>
      </w:r>
      <w:r>
        <w:t xml:space="preserve"> relationship between the subsidy and the purposes identified in Articles 9.1(d) and (e)</w:t>
      </w:r>
      <w:r w:rsidR="00C017DA">
        <w:t xml:space="preserve"> respectively</w:t>
      </w:r>
      <w:r>
        <w:t xml:space="preserve"> must also be quantifiable, with the assistance provided reducing but not exceeding actual costs or charges.</w:t>
      </w:r>
      <w:r>
        <w:rPr>
          <w:rStyle w:val="FootnoteReference"/>
        </w:rPr>
        <w:footnoteReference w:id="123"/>
      </w:r>
      <w:r w:rsidR="00D17FFD">
        <w:t xml:space="preserve"> India agrees that subsidies </w:t>
      </w:r>
      <w:r w:rsidR="00436059">
        <w:t>that fall within</w:t>
      </w:r>
      <w:r w:rsidR="00D17FFD">
        <w:t xml:space="preserve"> Articles 9.1(d) </w:t>
      </w:r>
      <w:r w:rsidR="00091D4B">
        <w:t>and</w:t>
      </w:r>
      <w:r w:rsidR="00D17FFD">
        <w:t xml:space="preserve"> (e) must not exce</w:t>
      </w:r>
      <w:r w:rsidR="00610994">
        <w:t>ed</w:t>
      </w:r>
      <w:r w:rsidR="00D17FFD">
        <w:t xml:space="preserve"> the costs incurred.</w:t>
      </w:r>
      <w:r w:rsidR="00D17FFD">
        <w:rPr>
          <w:rStyle w:val="FootnoteReference"/>
        </w:rPr>
        <w:footnoteReference w:id="124"/>
      </w:r>
    </w:p>
    <w:p w14:paraId="73449A3C" w14:textId="7C67BEE3" w:rsidR="00271259" w:rsidRDefault="00720086" w:rsidP="00856674">
      <w:pPr>
        <w:pStyle w:val="P1-N1Paragraph1-Number1"/>
      </w:pPr>
      <w:r>
        <w:t xml:space="preserve">Australia has </w:t>
      </w:r>
      <w:r w:rsidR="00A23F6D">
        <w:t>adduced</w:t>
      </w:r>
      <w:r>
        <w:t xml:space="preserve"> </w:t>
      </w:r>
      <w:r w:rsidR="00091D4B">
        <w:t xml:space="preserve">compelling </w:t>
      </w:r>
      <w:r>
        <w:t xml:space="preserve">evidence that the MAEQ scheme does </w:t>
      </w:r>
      <w:r w:rsidRPr="000373F7">
        <w:rPr>
          <w:u w:val="single"/>
        </w:rPr>
        <w:t>not</w:t>
      </w:r>
      <w:r>
        <w:t xml:space="preserve"> satisfy the legal standard</w:t>
      </w:r>
      <w:r w:rsidR="00C017DA">
        <w:t>s</w:t>
      </w:r>
      <w:r>
        <w:t xml:space="preserve"> </w:t>
      </w:r>
      <w:r w:rsidR="002E5819">
        <w:t xml:space="preserve">applicable under </w:t>
      </w:r>
      <w:r>
        <w:t>Article</w:t>
      </w:r>
      <w:r w:rsidR="00A23F6D">
        <w:t>s</w:t>
      </w:r>
      <w:r>
        <w:t xml:space="preserve"> 9.1(d) </w:t>
      </w:r>
      <w:r w:rsidR="00C017DA">
        <w:t>and</w:t>
      </w:r>
      <w:r>
        <w:t xml:space="preserve"> (e). </w:t>
      </w:r>
      <w:r w:rsidR="00B65AB7">
        <w:t>The scheme's purposes, as in</w:t>
      </w:r>
      <w:r w:rsidR="00EB5AC8">
        <w:t>dicated in its notification,</w:t>
      </w:r>
      <w:r w:rsidR="00B65AB7">
        <w:t xml:space="preserve"> are to help sugar mills offset the cost of buying sugarcane by satisfying </w:t>
      </w:r>
      <w:r w:rsidR="00EB5AC8">
        <w:t>debts</w:t>
      </w:r>
      <w:r w:rsidR="00B65AB7">
        <w:t xml:space="preserve"> owed to sugarcane farmers and to incentivize export by making eligibility to claim assistance conditional upon meeting an export target.</w:t>
      </w:r>
      <w:r w:rsidR="00B65AB7">
        <w:rPr>
          <w:rStyle w:val="FootnoteReference"/>
        </w:rPr>
        <w:footnoteReference w:id="125"/>
      </w:r>
      <w:r w:rsidR="00EB5AC8">
        <w:t xml:space="preserve">  </w:t>
      </w:r>
    </w:p>
    <w:p w14:paraId="5D27AE1B" w14:textId="4C2DCE8A" w:rsidR="00B42267" w:rsidRDefault="00EB5AC8" w:rsidP="00CF48BA">
      <w:pPr>
        <w:pStyle w:val="P1-N1Paragraph1-Number1"/>
      </w:pPr>
      <w:r>
        <w:t xml:space="preserve">Moreover, the </w:t>
      </w:r>
      <w:r w:rsidR="00A23F6D">
        <w:t xml:space="preserve">MAEQ </w:t>
      </w:r>
      <w:r>
        <w:t>scheme gives no indication of a link between assistance provided and actual costs of the kinds identified in Articles 9.1(d) and (e)</w:t>
      </w:r>
      <w:r w:rsidR="00271259">
        <w:t>. The only metric used to calculate the subsidy's value is the number of tonnes of sugar exported.</w:t>
      </w:r>
      <w:r w:rsidR="00271259">
        <w:rPr>
          <w:rStyle w:val="FootnoteReference"/>
        </w:rPr>
        <w:footnoteReference w:id="126"/>
      </w:r>
      <w:r w:rsidR="00271259">
        <w:t xml:space="preserve"> India's contention that the subsidies </w:t>
      </w:r>
      <w:r w:rsidR="0062457A">
        <w:t>improve sugar mills' financial position</w:t>
      </w:r>
      <w:r w:rsidR="00271259">
        <w:t xml:space="preserve"> and therefore ultimately reduce transport, freight and marketing costs reflects an unacceptably broad interpretation of the applicable legal standard</w:t>
      </w:r>
      <w:r w:rsidR="00CF48BA">
        <w:t>s, which require evidence of a direct relationship between relevant subsidies</w:t>
      </w:r>
      <w:r w:rsidR="00271259">
        <w:t xml:space="preserve"> and</w:t>
      </w:r>
      <w:r w:rsidR="00CF48BA">
        <w:t xml:space="preserve"> costs of the kinds identified in</w:t>
      </w:r>
      <w:r w:rsidR="00271259">
        <w:t xml:space="preserve"> </w:t>
      </w:r>
      <w:r w:rsidR="00CF48BA">
        <w:t>Article</w:t>
      </w:r>
      <w:r w:rsidR="00A23F6D">
        <w:t>s </w:t>
      </w:r>
      <w:r w:rsidR="00CF48BA">
        <w:t xml:space="preserve">9.1(d) </w:t>
      </w:r>
      <w:r w:rsidR="00C017DA">
        <w:t>and</w:t>
      </w:r>
      <w:r w:rsidR="00CF48BA">
        <w:t xml:space="preserve"> (e).</w:t>
      </w:r>
      <w:r w:rsidR="00271259">
        <w:rPr>
          <w:rStyle w:val="FootnoteReference"/>
        </w:rPr>
        <w:footnoteReference w:id="127"/>
      </w:r>
      <w:r w:rsidR="00CF48BA">
        <w:t xml:space="preserve"> </w:t>
      </w:r>
    </w:p>
    <w:p w14:paraId="2E71E862" w14:textId="10505B6F" w:rsidR="00CF48BA" w:rsidRDefault="00B42267" w:rsidP="00CF48BA">
      <w:pPr>
        <w:pStyle w:val="P1-N1Paragraph1-Number1"/>
      </w:pPr>
      <w:r>
        <w:t>Despite</w:t>
      </w:r>
      <w:r w:rsidR="00CF48BA">
        <w:t xml:space="preserve"> asserting that </w:t>
      </w:r>
      <w:r w:rsidR="00FE4503">
        <w:t xml:space="preserve">it </w:t>
      </w:r>
      <w:r w:rsidR="00CF48BA">
        <w:t>determin</w:t>
      </w:r>
      <w:r w:rsidR="00FE4503">
        <w:t>ed</w:t>
      </w:r>
      <w:r w:rsidR="00CF48BA">
        <w:t xml:space="preserve"> </w:t>
      </w:r>
      <w:r w:rsidR="00091D4B">
        <w:t xml:space="preserve">the value of </w:t>
      </w:r>
      <w:r w:rsidR="00CF48BA">
        <w:t xml:space="preserve">MAEQ </w:t>
      </w:r>
      <w:r w:rsidR="00091D4B">
        <w:t>payments</w:t>
      </w:r>
      <w:r w:rsidR="00CF48BA">
        <w:t xml:space="preserve"> follow</w:t>
      </w:r>
      <w:r w:rsidR="00FE4503">
        <w:t>ing</w:t>
      </w:r>
      <w:r w:rsidR="00CF48BA">
        <w:t xml:space="preserve"> </w:t>
      </w:r>
      <w:r w:rsidR="00FE4503">
        <w:t>significant</w:t>
      </w:r>
      <w:r w:rsidR="00CF48BA">
        <w:t xml:space="preserve"> stakeholder consultation, India has not adduced any probative evidence of such </w:t>
      </w:r>
      <w:r w:rsidR="00882F5A">
        <w:t>consultations and, consequently, of the</w:t>
      </w:r>
      <w:r w:rsidR="00CF48BA">
        <w:t xml:space="preserve"> relationship</w:t>
      </w:r>
      <w:r w:rsidR="00882F5A">
        <w:t xml:space="preserve"> </w:t>
      </w:r>
      <w:r w:rsidR="00CA34F5">
        <w:t xml:space="preserve">required by </w:t>
      </w:r>
      <w:r w:rsidR="00882F5A">
        <w:t>the legal standard</w:t>
      </w:r>
      <w:r w:rsidR="009F5D2C">
        <w:t>s applicable under Articles 9.1(d) and (e)</w:t>
      </w:r>
      <w:r w:rsidR="00CF48BA">
        <w:t>.</w:t>
      </w:r>
      <w:r w:rsidR="00CF48BA">
        <w:rPr>
          <w:rStyle w:val="FootnoteReference"/>
        </w:rPr>
        <w:footnoteReference w:id="128"/>
      </w:r>
      <w:r w:rsidR="00882F5A">
        <w:t xml:space="preserve"> Austral</w:t>
      </w:r>
      <w:r>
        <w:t>ia, on the other hand, has shown</w:t>
      </w:r>
      <w:r w:rsidR="001048D6">
        <w:t xml:space="preserve"> that </w:t>
      </w:r>
      <w:r w:rsidR="00356542">
        <w:t xml:space="preserve">the </w:t>
      </w:r>
      <w:r w:rsidR="001048D6">
        <w:t>MAEQ</w:t>
      </w:r>
      <w:r w:rsidR="00A23F6D">
        <w:t xml:space="preserve"> </w:t>
      </w:r>
      <w:r w:rsidR="00A23F6D">
        <w:lastRenderedPageBreak/>
        <w:t>scheme</w:t>
      </w:r>
      <w:r w:rsidR="00765AAD">
        <w:t xml:space="preserve">'s design fails to ensure that </w:t>
      </w:r>
      <w:r w:rsidR="00A23F6D">
        <w:t xml:space="preserve">the </w:t>
      </w:r>
      <w:r w:rsidR="00765AAD">
        <w:t xml:space="preserve">assistance </w:t>
      </w:r>
      <w:r w:rsidR="00A23F6D">
        <w:t>provided</w:t>
      </w:r>
      <w:r w:rsidR="00765AAD">
        <w:t xml:space="preserve"> does not exceed</w:t>
      </w:r>
      <w:r w:rsidR="00CA34F5">
        <w:t xml:space="preserve"> the</w:t>
      </w:r>
      <w:r w:rsidR="00765AAD">
        <w:t xml:space="preserve"> actual </w:t>
      </w:r>
      <w:r w:rsidR="00286D8F">
        <w:t xml:space="preserve">transport, freight and marketing </w:t>
      </w:r>
      <w:r w:rsidR="00765AAD">
        <w:t xml:space="preserve">costs </w:t>
      </w:r>
      <w:r w:rsidR="00CA34F5">
        <w:t xml:space="preserve">that </w:t>
      </w:r>
      <w:r w:rsidR="00765AAD">
        <w:t>sugar mills typically incur.</w:t>
      </w:r>
      <w:r w:rsidR="00765AAD">
        <w:rPr>
          <w:rStyle w:val="FootnoteReference"/>
        </w:rPr>
        <w:footnoteReference w:id="129"/>
      </w:r>
    </w:p>
    <w:p w14:paraId="13673E63" w14:textId="490403BF" w:rsidR="00856674" w:rsidRPr="00D013BB" w:rsidRDefault="00B42267" w:rsidP="00856674">
      <w:pPr>
        <w:pStyle w:val="P1-N1Paragraph1-Number1"/>
      </w:pPr>
      <w:bookmarkStart w:id="57" w:name="_Ref72339679"/>
      <w:r>
        <w:t>Finally, Australia</w:t>
      </w:r>
      <w:r w:rsidR="00856674">
        <w:t xml:space="preserve"> does not accept India's assertion that the proper characterization of Article 9.4 is as an "autonomous right" rather than a typical "exception" or "defence"</w:t>
      </w:r>
      <w:r w:rsidR="003E19BA">
        <w:t>,</w:t>
      </w:r>
      <w:r w:rsidR="00856674">
        <w:t xml:space="preserve"> or </w:t>
      </w:r>
      <w:r w:rsidR="00FA5460">
        <w:t>India's</w:t>
      </w:r>
      <w:r w:rsidR="00856674">
        <w:t xml:space="preserve"> related argument that Australia bore the burden of </w:t>
      </w:r>
      <w:r w:rsidR="00C30822">
        <w:t xml:space="preserve">both </w:t>
      </w:r>
      <w:r w:rsidR="00856674">
        <w:t>raising and proving the provision did not apply to the MAEQ scheme in its first written submission.</w:t>
      </w:r>
      <w:r w:rsidR="00856674">
        <w:rPr>
          <w:rStyle w:val="FootnoteReference"/>
        </w:rPr>
        <w:footnoteReference w:id="130"/>
      </w:r>
      <w:r>
        <w:t xml:space="preserve"> </w:t>
      </w:r>
      <w:r w:rsidR="005E2253">
        <w:t>To oblige a complainant to anticipate any provision a respondent may raise in its defence and to explain why that provision does not apply would place an unsustainable evidentiary burden on complainants and compromise the efficiency of dispute settlement.</w:t>
      </w:r>
      <w:r w:rsidR="005E2253">
        <w:rPr>
          <w:rStyle w:val="FootnoteReference"/>
        </w:rPr>
        <w:footnoteReference w:id="131"/>
      </w:r>
      <w:r w:rsidR="005E2253">
        <w:t xml:space="preserve"> If a respondent asserts, in response to evidence and argument that it maintains Article 9.1(a) export subsidies, that those subsidies in fact fall within the meaning of Articles 9.1(d) or (e), it is for the respondent to prove the affirmative of that assertion.</w:t>
      </w:r>
      <w:r w:rsidR="005E2253">
        <w:rPr>
          <w:rStyle w:val="FootnoteReference"/>
        </w:rPr>
        <w:footnoteReference w:id="132"/>
      </w:r>
      <w:r w:rsidR="005E2253">
        <w:t xml:space="preserve"> </w:t>
      </w:r>
      <w:r>
        <w:t xml:space="preserve">India's argument is, </w:t>
      </w:r>
      <w:r w:rsidR="0006066B">
        <w:t>in any case</w:t>
      </w:r>
      <w:r>
        <w:t xml:space="preserve">, moot, given Australia's </w:t>
      </w:r>
      <w:r w:rsidR="00091D4B">
        <w:t xml:space="preserve">comprehensive </w:t>
      </w:r>
      <w:r w:rsidR="00702371">
        <w:t>evidence and argument</w:t>
      </w:r>
      <w:r>
        <w:t xml:space="preserve"> that the scheme does not satisfy the legal standards applicable under Articles 9.1(d) and (e).</w:t>
      </w:r>
      <w:r>
        <w:rPr>
          <w:rStyle w:val="FootnoteReference"/>
        </w:rPr>
        <w:footnoteReference w:id="133"/>
      </w:r>
      <w:r>
        <w:t xml:space="preserve"> </w:t>
      </w:r>
      <w:r w:rsidR="00856674">
        <w:t xml:space="preserve"> </w:t>
      </w:r>
      <w:bookmarkEnd w:id="57"/>
    </w:p>
    <w:p w14:paraId="70E4CC2E" w14:textId="46BF2C4B" w:rsidR="000F57D9" w:rsidRDefault="000F57D9" w:rsidP="000F57D9">
      <w:pPr>
        <w:pStyle w:val="HL2HeadingLevel2"/>
      </w:pPr>
      <w:bookmarkStart w:id="58" w:name="_Toc72430896"/>
      <w:r w:rsidRPr="000F57D9">
        <w:t>India provides prohibited subsidies within the meaning of Article</w:t>
      </w:r>
      <w:r>
        <w:t> </w:t>
      </w:r>
      <w:r w:rsidRPr="000F57D9">
        <w:t>3.1(A) of the SCM Agreement</w:t>
      </w:r>
      <w:bookmarkEnd w:id="45"/>
      <w:bookmarkEnd w:id="58"/>
    </w:p>
    <w:p w14:paraId="085B6390" w14:textId="13ADD934" w:rsidR="00A9550F" w:rsidRDefault="00A9550F" w:rsidP="00A9550F">
      <w:pPr>
        <w:pStyle w:val="P1-N1Paragraph1-Number1"/>
      </w:pPr>
      <w:r>
        <w:t>The Agreement on Agriculture does not authorize India's export subsidies, which therefore remain subject to the disciplines of the SCM Agreement and are inconsistent India's obligations under Articles 3.1(a) and 3.2.</w:t>
      </w:r>
      <w:r w:rsidR="00637C9D">
        <w:t xml:space="preserve">  </w:t>
      </w:r>
    </w:p>
    <w:p w14:paraId="021890BF" w14:textId="7CCAF9B8" w:rsidR="000F57D9" w:rsidRDefault="000F57D9" w:rsidP="00B17F62">
      <w:pPr>
        <w:pStyle w:val="HL3HeadingLevel3"/>
      </w:pPr>
      <w:bookmarkStart w:id="59" w:name="_Toc72430897"/>
      <w:r w:rsidRPr="000F57D9">
        <w:t>India's production subsidies, buffer stock subsidies and its MAEQ and DFIA schemes are Article 3.1(a) subsidies</w:t>
      </w:r>
      <w:bookmarkEnd w:id="59"/>
    </w:p>
    <w:p w14:paraId="65F87EAC" w14:textId="2F99BA24" w:rsidR="00637C9D" w:rsidRDefault="00637C9D" w:rsidP="002C777E">
      <w:pPr>
        <w:pStyle w:val="P1-N1Paragraph1-Number1"/>
      </w:pPr>
      <w:r>
        <w:t>A measure that satisfies the definition of a "subsidy" in Article 1.1 of the SCM Agreement will involve a "financial contribution", by a "government or public body"</w:t>
      </w:r>
      <w:r w:rsidR="00091D4B">
        <w:t>,</w:t>
      </w:r>
      <w:r w:rsidR="00F8283F">
        <w:t xml:space="preserve"> that confers a "benefit" on its recipient.  Article 3.1(a) "prohibits subsidies that are conditional upon…</w:t>
      </w:r>
      <w:r w:rsidR="00CA34F5">
        <w:t xml:space="preserve"> </w:t>
      </w:r>
      <w:r w:rsidR="00F8283F">
        <w:t>or are dependent for their existence on", or are "tied to" export performance.</w:t>
      </w:r>
      <w:r w:rsidR="00F8283F">
        <w:rPr>
          <w:rStyle w:val="FootnoteReference"/>
        </w:rPr>
        <w:footnoteReference w:id="134"/>
      </w:r>
      <w:r w:rsidR="00F8283F">
        <w:t xml:space="preserve"> </w:t>
      </w:r>
    </w:p>
    <w:p w14:paraId="11DB10BE" w14:textId="3A87C214" w:rsidR="000F57D9" w:rsidRPr="000F57D9" w:rsidRDefault="00BE226D" w:rsidP="002C777E">
      <w:pPr>
        <w:pStyle w:val="P1-N1Paragraph1-Number1"/>
      </w:pPr>
      <w:r>
        <w:t>Under each of India's production</w:t>
      </w:r>
      <w:r w:rsidR="00A9550F">
        <w:t xml:space="preserve"> and buffer stock subsidies and its MAEQ </w:t>
      </w:r>
      <w:r>
        <w:t>scheme, there is a "financial contribution"</w:t>
      </w:r>
      <w:r w:rsidR="002C777E">
        <w:t xml:space="preserve"> in the form of a</w:t>
      </w:r>
      <w:r>
        <w:t xml:space="preserve"> </w:t>
      </w:r>
      <w:r w:rsidR="002C777E">
        <w:t>"government practice" involving the "direct transfer of funds</w:t>
      </w:r>
      <w:r w:rsidR="00FA5460">
        <w:t>"</w:t>
      </w:r>
      <w:r w:rsidR="002C777E">
        <w:t xml:space="preserve"> </w:t>
      </w:r>
      <w:r w:rsidR="00A9550F">
        <w:t>within the meaning of Article 1.1</w:t>
      </w:r>
      <w:r w:rsidR="00E75F69">
        <w:t>(a)(1</w:t>
      </w:r>
      <w:r w:rsidR="002C777E">
        <w:t>)(i) of the SCM Agreement</w:t>
      </w:r>
      <w:r>
        <w:t>. Each</w:t>
      </w:r>
      <w:r w:rsidR="002C777E">
        <w:t xml:space="preserve"> scheme</w:t>
      </w:r>
      <w:r>
        <w:t xml:space="preserve"> involves </w:t>
      </w:r>
      <w:r w:rsidR="002C777E">
        <w:t>the transfer of funds from a</w:t>
      </w:r>
      <w:r>
        <w:t xml:space="preserve"> government agency</w:t>
      </w:r>
      <w:r w:rsidR="002C777E">
        <w:t xml:space="preserve"> </w:t>
      </w:r>
      <w:r w:rsidR="00E75F69">
        <w:t>either to sugarcane farmers on behalf of mills or to sugar mills directly.</w:t>
      </w:r>
      <w:r w:rsidR="00F8283F">
        <w:t xml:space="preserve"> </w:t>
      </w:r>
      <w:r w:rsidR="002C777E">
        <w:t xml:space="preserve">Under the DFIA scheme, there is a "financial contribution" within the meaning of Article 1.1(a)(1)(ii), with </w:t>
      </w:r>
      <w:r w:rsidR="00637C9D">
        <w:t>a</w:t>
      </w:r>
      <w:r w:rsidR="002C777E">
        <w:t xml:space="preserve"> government</w:t>
      </w:r>
      <w:r w:rsidR="00637C9D">
        <w:t xml:space="preserve"> agency</w:t>
      </w:r>
      <w:r w:rsidR="002C777E">
        <w:t xml:space="preserve"> foregoing </w:t>
      </w:r>
      <w:r w:rsidR="002C777E">
        <w:lastRenderedPageBreak/>
        <w:t xml:space="preserve">revenue </w:t>
      </w:r>
      <w:r w:rsidR="00637C9D">
        <w:t xml:space="preserve">by waiving </w:t>
      </w:r>
      <w:r w:rsidR="00CA34F5">
        <w:t xml:space="preserve">the </w:t>
      </w:r>
      <w:r w:rsidR="00637C9D">
        <w:t xml:space="preserve">customs duties </w:t>
      </w:r>
      <w:r w:rsidR="002C777E">
        <w:t>sugar mills would otherwise owe it.</w:t>
      </w:r>
      <w:r w:rsidR="00637C9D">
        <w:rPr>
          <w:rStyle w:val="FootnoteReference"/>
        </w:rPr>
        <w:footnoteReference w:id="135"/>
      </w:r>
      <w:r w:rsidR="00637C9D">
        <w:t xml:space="preserve"> All schemes confer a "benefit" on recipient mills,</w:t>
      </w:r>
      <w:r w:rsidR="00B56574">
        <w:t xml:space="preserve"> leaving them better off, </w:t>
      </w:r>
      <w:r w:rsidR="00F8283F">
        <w:t>with respect to debt</w:t>
      </w:r>
      <w:r w:rsidR="00CA34F5">
        <w:t>s</w:t>
      </w:r>
      <w:r w:rsidR="00F8283F">
        <w:t xml:space="preserve"> owed, funds accrued or tax liability</w:t>
      </w:r>
      <w:r w:rsidR="00B56574">
        <w:t>, than they would otherwise be</w:t>
      </w:r>
      <w:r w:rsidR="00F8283F">
        <w:t>.</w:t>
      </w:r>
      <w:r w:rsidR="00F8283F">
        <w:rPr>
          <w:rStyle w:val="FootnoteReference"/>
        </w:rPr>
        <w:footnoteReference w:id="136"/>
      </w:r>
      <w:r w:rsidR="00637C9D">
        <w:t xml:space="preserve"> </w:t>
      </w:r>
      <w:r w:rsidR="00F8283F">
        <w:t>All schemes are export</w:t>
      </w:r>
      <w:r w:rsidR="009C451C">
        <w:t>-</w:t>
      </w:r>
      <w:r w:rsidR="00F8283F">
        <w:t>contingent, with the availability of financial assistance tied to export performance.</w:t>
      </w:r>
      <w:r w:rsidR="00F8283F">
        <w:rPr>
          <w:rStyle w:val="FootnoteReference"/>
        </w:rPr>
        <w:footnoteReference w:id="137"/>
      </w:r>
    </w:p>
    <w:p w14:paraId="3563BBC2" w14:textId="1009EE9B" w:rsidR="000F57D9" w:rsidRDefault="000F57D9" w:rsidP="00B17F62">
      <w:pPr>
        <w:pStyle w:val="HL3HeadingLevel3"/>
      </w:pPr>
      <w:bookmarkStart w:id="60" w:name="_Toc72430898"/>
      <w:r w:rsidRPr="000F57D9">
        <w:t>India</w:t>
      </w:r>
      <w:r>
        <w:t xml:space="preserve"> </w:t>
      </w:r>
      <w:r w:rsidRPr="000F57D9">
        <w:t>misinterpret</w:t>
      </w:r>
      <w:r>
        <w:t>s</w:t>
      </w:r>
      <w:r w:rsidRPr="000F57D9">
        <w:t xml:space="preserve"> the legal standard applicable for establishing the existence of an Article 1.1 subsidy</w:t>
      </w:r>
      <w:bookmarkEnd w:id="60"/>
    </w:p>
    <w:p w14:paraId="26763794" w14:textId="06DBB03B" w:rsidR="000F57D9" w:rsidRDefault="00B56574" w:rsidP="000F57D9">
      <w:pPr>
        <w:pStyle w:val="P1-N1Paragraph1-Number1"/>
      </w:pPr>
      <w:r>
        <w:t xml:space="preserve">In response to Australia's </w:t>
      </w:r>
      <w:r>
        <w:rPr>
          <w:i/>
        </w:rPr>
        <w:t>prima facie</w:t>
      </w:r>
      <w:r>
        <w:t xml:space="preserve"> case that India maintains export subsidies contrary to its obligations under Articles 3.1(a) and 3.2 of the SCM Agreem</w:t>
      </w:r>
      <w:r w:rsidR="0066757B">
        <w:t>ent, India repeats its argument</w:t>
      </w:r>
      <w:r>
        <w:t xml:space="preserve"> that evidence of actual funds transfers </w:t>
      </w:r>
      <w:r w:rsidR="0066757B">
        <w:t>is</w:t>
      </w:r>
      <w:r>
        <w:t xml:space="preserve"> required to demonstrate</w:t>
      </w:r>
      <w:r w:rsidR="0066757B">
        <w:t xml:space="preserve"> </w:t>
      </w:r>
      <w:r>
        <w:t xml:space="preserve">the existence of a </w:t>
      </w:r>
      <w:r w:rsidR="0066757B">
        <w:t>"financial contribution" for the purposes of the "subsidy" definition in Article</w:t>
      </w:r>
      <w:r w:rsidR="00CA34F5">
        <w:t> </w:t>
      </w:r>
      <w:r w:rsidR="0066757B">
        <w:t>1.1 of the SCM Agreement.</w:t>
      </w:r>
      <w:r w:rsidR="009F5D2C">
        <w:rPr>
          <w:rStyle w:val="FootnoteReference"/>
        </w:rPr>
        <w:footnoteReference w:id="138"/>
      </w:r>
      <w:r w:rsidR="0066757B">
        <w:t xml:space="preserve"> India</w:t>
      </w:r>
      <w:r w:rsidR="00091D4B">
        <w:t xml:space="preserve"> also </w:t>
      </w:r>
      <w:r w:rsidR="0066757B">
        <w:t>recycles its argument that a complex market comparison is needed to establish the "benefit" component of the Article 1.1 subsidy definition.</w:t>
      </w:r>
      <w:r w:rsidR="00AF39F4">
        <w:rPr>
          <w:rStyle w:val="FootnoteReference"/>
        </w:rPr>
        <w:footnoteReference w:id="139"/>
      </w:r>
      <w:r w:rsidR="0066757B">
        <w:t xml:space="preserve">  Australia disagrees, for the reasons outlined above in relation to India's subsidies under Article</w:t>
      </w:r>
      <w:r w:rsidR="00CA34F5">
        <w:t> </w:t>
      </w:r>
      <w:r w:rsidR="0066757B">
        <w:t>9.1(a) of the Agreement on Agriculture.</w:t>
      </w:r>
      <w:r w:rsidR="0066757B">
        <w:rPr>
          <w:rStyle w:val="FootnoteReference"/>
        </w:rPr>
        <w:footnoteReference w:id="140"/>
      </w:r>
    </w:p>
    <w:p w14:paraId="0EE97996" w14:textId="6A2C9DBA" w:rsidR="000F57D9" w:rsidRDefault="000F57D9" w:rsidP="00B17F62">
      <w:pPr>
        <w:pStyle w:val="HL3HeadingLevel3"/>
      </w:pPr>
      <w:bookmarkStart w:id="61" w:name="_Toc72430899"/>
      <w:r w:rsidRPr="000F57D9">
        <w:t>India misinterpret</w:t>
      </w:r>
      <w:r>
        <w:t>s</w:t>
      </w:r>
      <w:r w:rsidRPr="000F57D9">
        <w:t xml:space="preserve"> Article 27 and Annex VII</w:t>
      </w:r>
      <w:bookmarkEnd w:id="61"/>
    </w:p>
    <w:p w14:paraId="223D5B9C" w14:textId="478131DC" w:rsidR="00047BEE" w:rsidRDefault="00005878" w:rsidP="00B31B0A">
      <w:pPr>
        <w:pStyle w:val="P1-N1Paragraph1-Number1"/>
      </w:pPr>
      <w:r>
        <w:t>India</w:t>
      </w:r>
      <w:r w:rsidR="00436059">
        <w:t xml:space="preserve"> contends that it</w:t>
      </w:r>
      <w:r>
        <w:t xml:space="preserve"> is exempt from </w:t>
      </w:r>
      <w:r w:rsidR="007D28A9">
        <w:t xml:space="preserve">the </w:t>
      </w:r>
      <w:r>
        <w:t>export subsidy prohibition in Article 3.1(a) of the SCM Agreement by virtue of the flexibility</w:t>
      </w:r>
      <w:r w:rsidR="007D28A9">
        <w:t xml:space="preserve"> </w:t>
      </w:r>
      <w:r>
        <w:t>Article</w:t>
      </w:r>
      <w:r w:rsidR="00436059">
        <w:t> </w:t>
      </w:r>
      <w:r>
        <w:t>27</w:t>
      </w:r>
      <w:r w:rsidR="007D28A9">
        <w:t>.2</w:t>
      </w:r>
      <w:r>
        <w:t xml:space="preserve"> of the Agreem</w:t>
      </w:r>
      <w:r w:rsidR="007D28A9">
        <w:t>ent affords developing country Members</w:t>
      </w:r>
      <w:r>
        <w:t>.</w:t>
      </w:r>
      <w:r>
        <w:rPr>
          <w:rStyle w:val="FootnoteReference"/>
        </w:rPr>
        <w:footnoteReference w:id="141"/>
      </w:r>
      <w:r w:rsidR="007D28A9">
        <w:t xml:space="preserve"> </w:t>
      </w:r>
      <w:r w:rsidR="00436059">
        <w:t xml:space="preserve">Australia </w:t>
      </w:r>
      <w:r w:rsidR="00AF39F4">
        <w:t>disagrees</w:t>
      </w:r>
      <w:r w:rsidR="00436059">
        <w:t>.</w:t>
      </w:r>
      <w:r w:rsidR="00CA34F5">
        <w:t xml:space="preserve"> </w:t>
      </w:r>
      <w:r w:rsidR="00231B52">
        <w:t xml:space="preserve">Article 27.2(b) provides that the Article 3.1(a) prohibition </w:t>
      </w:r>
      <w:r w:rsidR="00141CED">
        <w:t xml:space="preserve">shall </w:t>
      </w:r>
      <w:r w:rsidR="00231B52">
        <w:t xml:space="preserve">not apply to "other developing country Members" </w:t>
      </w:r>
      <w:r w:rsidR="003F4055">
        <w:t xml:space="preserve">– i.e. those </w:t>
      </w:r>
      <w:r w:rsidR="00231B52">
        <w:t xml:space="preserve">not referred to in Annex VII to the Agreement </w:t>
      </w:r>
      <w:r w:rsidR="003F4055">
        <w:t xml:space="preserve">– </w:t>
      </w:r>
      <w:r w:rsidR="00231B52">
        <w:t>for a period of</w:t>
      </w:r>
      <w:r w:rsidR="00231B52" w:rsidRPr="00231B52">
        <w:t xml:space="preserve"> </w:t>
      </w:r>
      <w:r w:rsidR="00231B52">
        <w:t xml:space="preserve">eight years after the WTO Agreement's entry into force. </w:t>
      </w:r>
      <w:r w:rsidR="00B31B0A">
        <w:t>O</w:t>
      </w:r>
      <w:r w:rsidR="007D28A9">
        <w:t xml:space="preserve">n a plain reading of </w:t>
      </w:r>
      <w:r w:rsidR="00B31B0A">
        <w:t>the text of the provision itself, Article</w:t>
      </w:r>
      <w:r w:rsidR="00CA34F5">
        <w:t> </w:t>
      </w:r>
      <w:r w:rsidR="00B31B0A">
        <w:t xml:space="preserve">27.2(b) </w:t>
      </w:r>
      <w:r w:rsidR="00B31B0A" w:rsidRPr="00CA34F5">
        <w:rPr>
          <w:u w:val="single"/>
        </w:rPr>
        <w:t>expired</w:t>
      </w:r>
      <w:r w:rsidR="007D28A9">
        <w:t xml:space="preserve"> on 1 January 2003</w:t>
      </w:r>
      <w:r w:rsidR="00B31B0A">
        <w:t xml:space="preserve">. </w:t>
      </w:r>
    </w:p>
    <w:p w14:paraId="1B101CE0" w14:textId="7CB3AF88" w:rsidR="00B31B0A" w:rsidRDefault="00141CED" w:rsidP="00B31B0A">
      <w:pPr>
        <w:pStyle w:val="P1-N1Paragraph1-Number1"/>
      </w:pPr>
      <w:r>
        <w:t>Accepting "the clarity of the plain textual meaning"</w:t>
      </w:r>
      <w:r>
        <w:rPr>
          <w:rStyle w:val="FootnoteReference"/>
        </w:rPr>
        <w:footnoteReference w:id="142"/>
      </w:r>
      <w:r>
        <w:t xml:space="preserve"> of </w:t>
      </w:r>
      <w:r w:rsidR="00047BEE">
        <w:t>Article 27.2(b)</w:t>
      </w:r>
      <w:r>
        <w:t xml:space="preserve"> is consistent with customary rules of treaty interpretation</w:t>
      </w:r>
      <w:r>
        <w:rPr>
          <w:rStyle w:val="FootnoteReference"/>
        </w:rPr>
        <w:footnoteReference w:id="143"/>
      </w:r>
      <w:r>
        <w:t xml:space="preserve"> and </w:t>
      </w:r>
      <w:r w:rsidR="00047BEE">
        <w:t>does not</w:t>
      </w:r>
      <w:r w:rsidR="009E23BC" w:rsidRPr="009E23BC">
        <w:t xml:space="preserve"> </w:t>
      </w:r>
      <w:r w:rsidR="009E23BC">
        <w:t>render</w:t>
      </w:r>
      <w:r w:rsidR="00047BEE">
        <w:t>, as India argues, parts of the SCM Agreement useless or redundant vis-à-vis some developing country Members.</w:t>
      </w:r>
      <w:r>
        <w:rPr>
          <w:rStyle w:val="FootnoteReference"/>
        </w:rPr>
        <w:footnoteReference w:id="144"/>
      </w:r>
      <w:r w:rsidR="00047BEE">
        <w:t xml:space="preserve"> </w:t>
      </w:r>
      <w:r w:rsidR="003F4055">
        <w:t xml:space="preserve">Nor </w:t>
      </w:r>
      <w:r w:rsidR="00047BEE">
        <w:t xml:space="preserve">does </w:t>
      </w:r>
      <w:r w:rsidR="003F4055">
        <w:t xml:space="preserve">it </w:t>
      </w:r>
      <w:r w:rsidR="00047BEE">
        <w:t>undermine the mandatory language of Annex VII(b), pursuant to which listed developing countries "</w:t>
      </w:r>
      <w:r w:rsidR="00047BEE">
        <w:rPr>
          <w:u w:val="single"/>
        </w:rPr>
        <w:t>shall</w:t>
      </w:r>
      <w:r w:rsidR="00047BEE">
        <w:t xml:space="preserve"> be subject to the provisions which are applicable to other developing country Members"</w:t>
      </w:r>
      <w:r w:rsidR="00436059">
        <w:rPr>
          <w:rStyle w:val="FootnoteReference"/>
        </w:rPr>
        <w:footnoteReference w:id="145"/>
      </w:r>
      <w:r w:rsidR="00047BEE">
        <w:t xml:space="preserve"> upon their graduation from the Annex. The mandatory language in Annex VII(b) concerns the </w:t>
      </w:r>
      <w:r w:rsidR="00047BEE" w:rsidRPr="00C56901">
        <w:rPr>
          <w:u w:val="single"/>
        </w:rPr>
        <w:t>applicability</w:t>
      </w:r>
      <w:r w:rsidR="00047BEE">
        <w:t>, to graduating developing country Members</w:t>
      </w:r>
      <w:r w:rsidR="00C56901">
        <w:t>,</w:t>
      </w:r>
      <w:r w:rsidR="00047BEE">
        <w:t xml:space="preserve"> of Article 27.2(b). It does </w:t>
      </w:r>
      <w:r w:rsidR="00C56901" w:rsidRPr="00C56901">
        <w:rPr>
          <w:u w:val="single"/>
        </w:rPr>
        <w:t>not</w:t>
      </w:r>
      <w:r w:rsidR="00C56901">
        <w:t xml:space="preserve"> concern the </w:t>
      </w:r>
      <w:r w:rsidR="00047BEE">
        <w:t xml:space="preserve">provision's content, </w:t>
      </w:r>
      <w:r w:rsidR="00C56901">
        <w:t xml:space="preserve">including </w:t>
      </w:r>
      <w:r w:rsidR="00047BEE">
        <w:t xml:space="preserve">its temporal </w:t>
      </w:r>
      <w:r w:rsidR="00047BEE">
        <w:lastRenderedPageBreak/>
        <w:t xml:space="preserve">limit. </w:t>
      </w:r>
      <w:r w:rsidR="006F75E3">
        <w:t>Moreover, as the inclusion in Annex VII(b) of the sub</w:t>
      </w:r>
      <w:r w:rsidR="00CA34F5">
        <w:t>-</w:t>
      </w:r>
      <w:r w:rsidR="006F75E3">
        <w:t xml:space="preserve">clause "which are applicable to other developing country Members" makes clear, Article 27.2(b) </w:t>
      </w:r>
      <w:r w:rsidR="000963D2">
        <w:t>applies</w:t>
      </w:r>
      <w:r w:rsidR="006F75E3">
        <w:t xml:space="preserve"> to graduates from Annex VII(b) on exactly the same terms</w:t>
      </w:r>
      <w:r w:rsidR="000963D2">
        <w:t>, including with respect to its expiry,</w:t>
      </w:r>
      <w:r w:rsidR="006F75E3">
        <w:t xml:space="preserve"> as it does for "other developing</w:t>
      </w:r>
      <w:r w:rsidR="000963D2">
        <w:t xml:space="preserve"> country Members."</w:t>
      </w:r>
      <w:r w:rsidR="000963D2">
        <w:rPr>
          <w:rStyle w:val="FootnoteReference"/>
        </w:rPr>
        <w:footnoteReference w:id="146"/>
      </w:r>
      <w:r w:rsidR="000963D2">
        <w:t xml:space="preserve"> </w:t>
      </w:r>
    </w:p>
    <w:p w14:paraId="16139B6E" w14:textId="08A0C5F3" w:rsidR="00231B52" w:rsidRDefault="00091D4B" w:rsidP="00B31B0A">
      <w:pPr>
        <w:pStyle w:val="P1-N1Paragraph1-Number1"/>
      </w:pPr>
      <w:r>
        <w:t>Further</w:t>
      </w:r>
      <w:r w:rsidR="00A8514C">
        <w:t>, a</w:t>
      </w:r>
      <w:r w:rsidR="000963D2">
        <w:t xml:space="preserve"> plain reading of Article 27.2(b) </w:t>
      </w:r>
      <w:r w:rsidR="00A8514C">
        <w:t xml:space="preserve">does </w:t>
      </w:r>
      <w:r w:rsidR="00A8514C" w:rsidRPr="00A8514C">
        <w:rPr>
          <w:u w:val="single"/>
        </w:rPr>
        <w:t>not</w:t>
      </w:r>
      <w:r>
        <w:t xml:space="preserve">, as India claims, </w:t>
      </w:r>
      <w:r w:rsidR="000963D2" w:rsidRPr="00A8514C">
        <w:t>frustrate</w:t>
      </w:r>
      <w:r w:rsidR="000963D2">
        <w:t xml:space="preserve"> a harmonious reading of Article</w:t>
      </w:r>
      <w:r w:rsidR="00231B52">
        <w:t> </w:t>
      </w:r>
      <w:r w:rsidR="000963D2">
        <w:t xml:space="preserve">27 as a whole.  </w:t>
      </w:r>
      <w:r w:rsidR="00A8514C">
        <w:t>India contends</w:t>
      </w:r>
      <w:r w:rsidR="00617149">
        <w:t>, for example,</w:t>
      </w:r>
      <w:r w:rsidR="00A8514C">
        <w:t xml:space="preserve"> that </w:t>
      </w:r>
      <w:r w:rsidR="000963D2">
        <w:t>Article</w:t>
      </w:r>
      <w:r w:rsidR="00884632">
        <w:t> </w:t>
      </w:r>
      <w:r w:rsidR="000963D2">
        <w:t>27.4 anticipate</w:t>
      </w:r>
      <w:r w:rsidR="00617149">
        <w:t>s</w:t>
      </w:r>
      <w:r w:rsidR="000963D2">
        <w:t xml:space="preserve"> different eight-year export subsidy phase ou</w:t>
      </w:r>
      <w:r w:rsidR="00CA34F5">
        <w:t>t</w:t>
      </w:r>
      <w:r w:rsidR="000963D2">
        <w:t xml:space="preserve"> periods for different categories of developing country Member.</w:t>
      </w:r>
      <w:r w:rsidR="000963D2">
        <w:rPr>
          <w:rStyle w:val="FootnoteReference"/>
        </w:rPr>
        <w:footnoteReference w:id="147"/>
      </w:r>
      <w:r w:rsidR="000963D2">
        <w:t xml:space="preserve"> </w:t>
      </w:r>
      <w:r w:rsidR="00A8514C">
        <w:t xml:space="preserve">Australia disagrees. </w:t>
      </w:r>
      <w:r w:rsidR="000963D2">
        <w:t>Article 27.4 both cross-reference</w:t>
      </w:r>
      <w:r w:rsidR="00A8514C">
        <w:t>s</w:t>
      </w:r>
      <w:r w:rsidR="000963D2">
        <w:t xml:space="preserve"> Article</w:t>
      </w:r>
      <w:r w:rsidR="00436059">
        <w:t> </w:t>
      </w:r>
      <w:r w:rsidR="000963D2">
        <w:t>27.2(b) and refers twice to "</w:t>
      </w:r>
      <w:r w:rsidR="000963D2" w:rsidRPr="000963D2">
        <w:rPr>
          <w:u w:val="single"/>
        </w:rPr>
        <w:t>the</w:t>
      </w:r>
      <w:r w:rsidR="000963D2">
        <w:t xml:space="preserve"> eight-year period"</w:t>
      </w:r>
      <w:r w:rsidR="00A8514C">
        <w:t>.</w:t>
      </w:r>
      <w:r w:rsidR="000963D2">
        <w:rPr>
          <w:rStyle w:val="FootnoteReference"/>
        </w:rPr>
        <w:footnoteReference w:id="148"/>
      </w:r>
      <w:r w:rsidR="00A8514C">
        <w:t xml:space="preserve"> </w:t>
      </w:r>
      <w:r w:rsidR="00617149">
        <w:t>As th</w:t>
      </w:r>
      <w:r>
        <w:t>is</w:t>
      </w:r>
      <w:r w:rsidR="00617149">
        <w:t xml:space="preserve"> </w:t>
      </w:r>
      <w:r w:rsidR="000963D2">
        <w:t xml:space="preserve">use of the definite article </w:t>
      </w:r>
      <w:r w:rsidR="00617149">
        <w:t xml:space="preserve">"the" makes clear, </w:t>
      </w:r>
      <w:r w:rsidR="000963D2">
        <w:t>Article</w:t>
      </w:r>
      <w:r>
        <w:t xml:space="preserve"> 27.4</w:t>
      </w:r>
      <w:r w:rsidR="000963D2">
        <w:t xml:space="preserve"> refer</w:t>
      </w:r>
      <w:r>
        <w:t>s</w:t>
      </w:r>
      <w:r w:rsidR="000963D2">
        <w:t xml:space="preserve"> to </w:t>
      </w:r>
      <w:r w:rsidR="00617149" w:rsidRPr="00436059">
        <w:rPr>
          <w:u w:val="single"/>
        </w:rPr>
        <w:t>the</w:t>
      </w:r>
      <w:r w:rsidR="000963D2" w:rsidRPr="00436059">
        <w:rPr>
          <w:u w:val="single"/>
        </w:rPr>
        <w:t xml:space="preserve"> s</w:t>
      </w:r>
      <w:r w:rsidR="000963D2" w:rsidRPr="000963D2">
        <w:rPr>
          <w:u w:val="single"/>
        </w:rPr>
        <w:t>pecific</w:t>
      </w:r>
      <w:r w:rsidR="000963D2">
        <w:t xml:space="preserve"> eight-year period</w:t>
      </w:r>
      <w:r w:rsidR="00617149">
        <w:t xml:space="preserve"> introduced in Article</w:t>
      </w:r>
      <w:r w:rsidR="00805305">
        <w:t> </w:t>
      </w:r>
      <w:r w:rsidR="00617149">
        <w:t>27.2(b).</w:t>
      </w:r>
      <w:r w:rsidR="007A7A9B">
        <w:rPr>
          <w:rStyle w:val="FootnoteReference"/>
        </w:rPr>
        <w:footnoteReference w:id="149"/>
      </w:r>
      <w:r w:rsidR="000963D2">
        <w:t xml:space="preserve"> </w:t>
      </w:r>
    </w:p>
    <w:p w14:paraId="06E15026" w14:textId="33A3A107" w:rsidR="00231B52" w:rsidRDefault="00617149" w:rsidP="00B31B0A">
      <w:pPr>
        <w:pStyle w:val="P1-N1Paragraph1-Number1"/>
      </w:pPr>
      <w:r>
        <w:t xml:space="preserve"> </w:t>
      </w:r>
      <w:r w:rsidR="00F87F5A">
        <w:t>Far from denying developing country Members equal trea</w:t>
      </w:r>
      <w:r w:rsidR="00F3057D">
        <w:t>tment as India argues,</w:t>
      </w:r>
      <w:r w:rsidR="007A7A9B">
        <w:rPr>
          <w:rStyle w:val="FootnoteReference"/>
        </w:rPr>
        <w:footnoteReference w:id="150"/>
      </w:r>
      <w:r w:rsidR="00F3057D">
        <w:t xml:space="preserve"> a plain reading of Article 27.2(b) is consistent with the different levels of flexibility </w:t>
      </w:r>
      <w:r w:rsidR="00CA34F5">
        <w:t xml:space="preserve">that </w:t>
      </w:r>
      <w:r w:rsidR="00F3057D">
        <w:t>Article</w:t>
      </w:r>
      <w:r w:rsidR="00590508">
        <w:t> </w:t>
      </w:r>
      <w:r w:rsidR="00F3057D">
        <w:t>27 and Annex VII afford developing country Members according to their circumstances.</w:t>
      </w:r>
      <w:r w:rsidR="007A7A9B">
        <w:rPr>
          <w:rStyle w:val="FootnoteReference"/>
        </w:rPr>
        <w:footnoteReference w:id="151"/>
      </w:r>
      <w:r w:rsidR="00F3057D">
        <w:t xml:space="preserve"> </w:t>
      </w:r>
    </w:p>
    <w:p w14:paraId="41BF8627" w14:textId="156C9FBF" w:rsidR="007D28A9" w:rsidRDefault="00F3057D" w:rsidP="00B31B0A">
      <w:pPr>
        <w:pStyle w:val="P1-N1Paragraph1-Number1"/>
      </w:pPr>
      <w:r>
        <w:t>India graduated from Annex VII(b) to the SCM Agreement in 2017. It was, thereafter, subject to the export subsidies prohibition in Article 3.1(a). Until 2017</w:t>
      </w:r>
      <w:r w:rsidR="00617149">
        <w:t>,</w:t>
      </w:r>
      <w:r>
        <w:t xml:space="preserve"> </w:t>
      </w:r>
      <w:r w:rsidR="00FF7221">
        <w:t>India benefited from an extended</w:t>
      </w:r>
      <w:r w:rsidR="00B31B0A">
        <w:t xml:space="preserve"> period of</w:t>
      </w:r>
      <w:r w:rsidR="00FF7221">
        <w:t xml:space="preserve"> exemption from the Agreement's export subsidies prohibition</w:t>
      </w:r>
      <w:r w:rsidR="00C27ED7">
        <w:t xml:space="preserve"> appropriate to its evolving income level</w:t>
      </w:r>
      <w:r w:rsidR="00B31B0A">
        <w:t>.</w:t>
      </w:r>
      <w:r w:rsidR="00C27ED7">
        <w:rPr>
          <w:rStyle w:val="FootnoteReference"/>
        </w:rPr>
        <w:footnoteReference w:id="152"/>
      </w:r>
    </w:p>
    <w:p w14:paraId="50B3F2A4" w14:textId="14C7FEB0" w:rsidR="000F57D9" w:rsidRDefault="000F57D9" w:rsidP="00B17F62">
      <w:pPr>
        <w:pStyle w:val="HL3HeadingLevel3"/>
      </w:pPr>
      <w:bookmarkStart w:id="62" w:name="_Toc72430900"/>
      <w:r w:rsidRPr="000F57D9">
        <w:t>The DFIA scheme does not fall within footnote 1</w:t>
      </w:r>
      <w:bookmarkEnd w:id="62"/>
    </w:p>
    <w:p w14:paraId="09E8892B" w14:textId="06F2561D" w:rsidR="00495B01" w:rsidRDefault="00876692" w:rsidP="00495B01">
      <w:pPr>
        <w:pStyle w:val="P1-N1Paragraph1-Number1"/>
      </w:pPr>
      <w:r>
        <w:t>India's DFIA scheme is, as outlined above, an export subsidy within the meaning of Article 9.1(a)</w:t>
      </w:r>
      <w:r w:rsidR="00B85FA7">
        <w:t xml:space="preserve"> of th</w:t>
      </w:r>
      <w:r w:rsidR="00FB60D3">
        <w:t>e Agreement on Agriculture</w:t>
      </w:r>
      <w:r w:rsidR="008F150C">
        <w:t>.</w:t>
      </w:r>
      <w:r w:rsidR="00436059">
        <w:rPr>
          <w:rStyle w:val="FootnoteReference"/>
        </w:rPr>
        <w:footnoteReference w:id="153"/>
      </w:r>
      <w:r w:rsidR="00B85FA7">
        <w:t xml:space="preserve"> </w:t>
      </w:r>
      <w:r w:rsidR="00C86D8B">
        <w:t xml:space="preserve">The DFIA scheme is not authorized by the </w:t>
      </w:r>
      <w:r w:rsidR="00FB60D3">
        <w:t>Agreement on Agriculture</w:t>
      </w:r>
      <w:r w:rsidR="00C86D8B">
        <w:t>. It does not</w:t>
      </w:r>
      <w:r w:rsidR="00EA1F70">
        <w:t>, moreover,</w:t>
      </w:r>
      <w:r w:rsidR="00C86D8B">
        <w:t xml:space="preserve"> fall within the carve</w:t>
      </w:r>
      <w:r w:rsidR="00E559D9">
        <w:t>-</w:t>
      </w:r>
      <w:r w:rsidR="00C86D8B">
        <w:t xml:space="preserve">out, in footnote 1 to the SCM Agreement, </w:t>
      </w:r>
      <w:r w:rsidR="007A7A9B">
        <w:t>from</w:t>
      </w:r>
      <w:r w:rsidR="00C86D8B">
        <w:t xml:space="preserve"> that Agreement's definition</w:t>
      </w:r>
      <w:r w:rsidR="00436059">
        <w:t xml:space="preserve"> of </w:t>
      </w:r>
      <w:r w:rsidR="007A7A9B">
        <w:t xml:space="preserve">a </w:t>
      </w:r>
      <w:r w:rsidR="00436059">
        <w:t>"subsidy"</w:t>
      </w:r>
      <w:r w:rsidR="00C86D8B">
        <w:t>. T</w:t>
      </w:r>
      <w:r w:rsidR="008F150C">
        <w:t xml:space="preserve">he </w:t>
      </w:r>
      <w:r w:rsidR="00FB60D3">
        <w:t xml:space="preserve">DFIA scheme </w:t>
      </w:r>
      <w:r w:rsidR="00C86D8B">
        <w:t xml:space="preserve">therefore </w:t>
      </w:r>
      <w:r w:rsidR="00FB60D3">
        <w:t xml:space="preserve">remains subject to the </w:t>
      </w:r>
      <w:r w:rsidR="008F150C">
        <w:t xml:space="preserve">prohibition on export subsidies in </w:t>
      </w:r>
      <w:r>
        <w:t>Articles</w:t>
      </w:r>
      <w:r w:rsidR="003F6643">
        <w:t> </w:t>
      </w:r>
      <w:r>
        <w:t>3.1(a) and 3.2 of the SCM Agreement</w:t>
      </w:r>
      <w:r w:rsidR="00C86D8B">
        <w:t>.</w:t>
      </w:r>
    </w:p>
    <w:p w14:paraId="5A92CB82" w14:textId="25DFB146" w:rsidR="00961031" w:rsidRDefault="00650C30" w:rsidP="00961031">
      <w:pPr>
        <w:pStyle w:val="P1-N1Paragraph1-Number1"/>
      </w:pPr>
      <w:r>
        <w:t>Footnote 1</w:t>
      </w:r>
      <w:r w:rsidR="00E559D9" w:rsidRPr="00E559D9">
        <w:t xml:space="preserve"> </w:t>
      </w:r>
      <w:r w:rsidR="00E559D9">
        <w:t>to the SCM Agreement</w:t>
      </w:r>
      <w:r>
        <w:t>, read together with Annex I(i), provides that, a measure will not be deemed to be a subsidy if it comprises</w:t>
      </w:r>
      <w:r w:rsidR="00E559D9">
        <w:t>:</w:t>
      </w:r>
      <w:r>
        <w:t xml:space="preserve"> </w:t>
      </w:r>
      <w:r w:rsidR="00A339F8">
        <w:t xml:space="preserve">(i) </w:t>
      </w:r>
      <w:r>
        <w:t xml:space="preserve">a remission or drawback, including full or partial exemption or deferral; </w:t>
      </w:r>
      <w:r w:rsidR="00A339F8">
        <w:t xml:space="preserve">(ii) </w:t>
      </w:r>
      <w:r>
        <w:t>of import charges</w:t>
      </w:r>
      <w:r w:rsidR="00A339F8">
        <w:t>; (iii) on</w:t>
      </w:r>
      <w:r>
        <w:t xml:space="preserve"> imported inputs </w:t>
      </w:r>
      <w:r>
        <w:lastRenderedPageBreak/>
        <w:t xml:space="preserve">consumed in the production of an exported product; and </w:t>
      </w:r>
      <w:r w:rsidR="00A339F8">
        <w:t xml:space="preserve">(iv) </w:t>
      </w:r>
      <w:r>
        <w:t>the remission or drawback is not in excess of those charges levied on the inputs.</w:t>
      </w:r>
      <w:r>
        <w:rPr>
          <w:rStyle w:val="FootnoteReference"/>
        </w:rPr>
        <w:footnoteReference w:id="154"/>
      </w:r>
      <w:r w:rsidR="00A339F8">
        <w:t xml:space="preserve"> </w:t>
      </w:r>
    </w:p>
    <w:p w14:paraId="2AE5D046" w14:textId="04116EA9" w:rsidR="000F57D9" w:rsidRDefault="00961031" w:rsidP="00961031">
      <w:pPr>
        <w:pStyle w:val="P1-N1Paragraph1-Number1"/>
      </w:pPr>
      <w:r>
        <w:t>To satisfy the third element of this</w:t>
      </w:r>
      <w:r w:rsidR="00A339F8">
        <w:t xml:space="preserve"> legal standard </w:t>
      </w:r>
      <w:r>
        <w:t>a</w:t>
      </w:r>
      <w:r w:rsidR="006873F0">
        <w:t xml:space="preserve"> measure</w:t>
      </w:r>
      <w:r>
        <w:t xml:space="preserve"> must follow a se</w:t>
      </w:r>
      <w:r w:rsidR="00B655E5">
        <w:t>quencing</w:t>
      </w:r>
      <w:r>
        <w:t xml:space="preserve"> that </w:t>
      </w:r>
      <w:r w:rsidR="00B655E5">
        <w:t>ensures it</w:t>
      </w:r>
      <w:r>
        <w:t xml:space="preserve"> applies to imported inputs that are</w:t>
      </w:r>
      <w:r w:rsidR="00B655E5">
        <w:t xml:space="preserve"> </w:t>
      </w:r>
      <w:r w:rsidR="0008417C">
        <w:t>"</w:t>
      </w:r>
      <w:r w:rsidR="00B655E5" w:rsidRPr="00B655E5">
        <w:rPr>
          <w:u w:val="single"/>
        </w:rPr>
        <w:t>consumed</w:t>
      </w:r>
      <w:r>
        <w:t xml:space="preserve"> in the production of </w:t>
      </w:r>
      <w:r w:rsidR="0008417C">
        <w:t>[</w:t>
      </w:r>
      <w:r>
        <w:t>an</w:t>
      </w:r>
      <w:r w:rsidR="0008417C">
        <w:t>]</w:t>
      </w:r>
      <w:r>
        <w:t xml:space="preserve"> exported product</w:t>
      </w:r>
      <w:r w:rsidR="0008417C">
        <w:t>"</w:t>
      </w:r>
      <w:r w:rsidR="00884632">
        <w:t>.</w:t>
      </w:r>
      <w:r w:rsidR="0008417C" w:rsidRPr="00884632">
        <w:rPr>
          <w:rStyle w:val="FootnoteReference"/>
        </w:rPr>
        <w:footnoteReference w:id="155"/>
      </w:r>
      <w:r>
        <w:t xml:space="preserve"> </w:t>
      </w:r>
      <w:r w:rsidR="00C03B01">
        <w:t>As the guidance in Annexes II to III to the SCM Agreement articulates, inputs</w:t>
      </w:r>
      <w:r w:rsidR="00B655E5">
        <w:t xml:space="preserve"> so</w:t>
      </w:r>
      <w:r w:rsidR="00C03B01">
        <w:t xml:space="preserve"> "consumed" include, relevantly, those "physically incorporated"</w:t>
      </w:r>
      <w:r w:rsidR="006873F0">
        <w:rPr>
          <w:rStyle w:val="FootnoteReference"/>
        </w:rPr>
        <w:footnoteReference w:id="156"/>
      </w:r>
      <w:r w:rsidR="00C03B01">
        <w:t>, in the sense that they are "physically present"</w:t>
      </w:r>
      <w:r w:rsidR="006873F0">
        <w:t>,</w:t>
      </w:r>
      <w:r w:rsidR="006873F0">
        <w:rPr>
          <w:rStyle w:val="FootnoteReference"/>
        </w:rPr>
        <w:footnoteReference w:id="157"/>
      </w:r>
      <w:r w:rsidR="006873F0">
        <w:t xml:space="preserve"> </w:t>
      </w:r>
      <w:r w:rsidR="00C03B01">
        <w:t>in the exported product.</w:t>
      </w:r>
      <w:r w:rsidR="006873F0">
        <w:rPr>
          <w:rStyle w:val="FootnoteReference"/>
        </w:rPr>
        <w:footnoteReference w:id="158"/>
      </w:r>
      <w:r w:rsidR="006873F0">
        <w:t xml:space="preserve"> </w:t>
      </w:r>
    </w:p>
    <w:p w14:paraId="0FC90166" w14:textId="0D3E70B2" w:rsidR="006873F0" w:rsidRDefault="003F6643" w:rsidP="00961031">
      <w:pPr>
        <w:pStyle w:val="P1-N1Paragraph1-Number1"/>
      </w:pPr>
      <w:r>
        <w:t>Australia recalls that t</w:t>
      </w:r>
      <w:r w:rsidR="006873F0">
        <w:t>he DFIA scheme permits mills that exported white sugar during a 6-month period in the 2017–18 sugar season to import raw sugar duty free during two subsequent seasons.</w:t>
      </w:r>
      <w:r>
        <w:rPr>
          <w:rStyle w:val="FootnoteReference"/>
        </w:rPr>
        <w:footnoteReference w:id="159"/>
      </w:r>
      <w:r w:rsidR="006873F0">
        <w:t xml:space="preserve"> This sequencing reverses the logic of footnote 1, read with Annex I(i), and interpreted</w:t>
      </w:r>
      <w:r w:rsidR="0008417C">
        <w:t>, as footnote 1 directs,</w:t>
      </w:r>
      <w:r w:rsidR="00EA1F70">
        <w:t xml:space="preserve"> </w:t>
      </w:r>
      <w:r w:rsidR="006873F0">
        <w:t xml:space="preserve">in context with the guidance in Annexes II to III to </w:t>
      </w:r>
      <w:r w:rsidR="00416073">
        <w:t xml:space="preserve">the </w:t>
      </w:r>
      <w:r w:rsidR="006873F0">
        <w:t>SCM Agreement. Raw sugar imported from 2019 to 2021 cannot be either "physically incorporated" or "physically present" in refined sugar exported in 2018.</w:t>
      </w:r>
      <w:r w:rsidR="006873F0">
        <w:rPr>
          <w:rStyle w:val="FootnoteReference"/>
        </w:rPr>
        <w:footnoteReference w:id="160"/>
      </w:r>
      <w:r w:rsidR="006873F0">
        <w:t xml:space="preserve"> </w:t>
      </w:r>
    </w:p>
    <w:p w14:paraId="40F04476" w14:textId="28218653" w:rsidR="00EB50B7" w:rsidRDefault="00B655E5" w:rsidP="00961031">
      <w:pPr>
        <w:pStyle w:val="P1-N1Paragraph1-Number1"/>
      </w:pPr>
      <w:r>
        <w:t>Additionally</w:t>
      </w:r>
      <w:r w:rsidR="00FD1E8E">
        <w:t xml:space="preserve">, the existence of a verification system to ensure that the DFIA scheme's beneficiaries do not receive duty waivers for </w:t>
      </w:r>
      <w:r w:rsidR="00FD1E8E">
        <w:rPr>
          <w:u w:val="single"/>
        </w:rPr>
        <w:t>more</w:t>
      </w:r>
      <w:r w:rsidR="00FD1E8E">
        <w:t xml:space="preserve"> imported raw sugar than they use to produce white sugar exports cannot</w:t>
      </w:r>
      <w:r w:rsidR="00EB50B7">
        <w:t xml:space="preserve"> </w:t>
      </w:r>
      <w:r w:rsidR="00FD1E8E">
        <w:t>guarantee that the scheme falls within footnote 1 to the SCM Agreement.</w:t>
      </w:r>
      <w:r w:rsidR="006335F5" w:rsidDel="006335F5">
        <w:rPr>
          <w:rStyle w:val="FootnoteReference"/>
        </w:rPr>
        <w:t xml:space="preserve"> </w:t>
      </w:r>
      <w:r w:rsidR="00EB50B7">
        <w:t xml:space="preserve"> The verification system associated with the DFIA scheme, regardless of its </w:t>
      </w:r>
      <w:r w:rsidR="00EA1F70">
        <w:t>efficacy in</w:t>
      </w:r>
      <w:r w:rsidR="00EB50B7">
        <w:t xml:space="preserve"> prevent</w:t>
      </w:r>
      <w:r w:rsidR="00EA1F70">
        <w:t>ing</w:t>
      </w:r>
      <w:r w:rsidR="00EB50B7">
        <w:t xml:space="preserve"> excess remissions, cannot alter the scheme's inconsistency with the temporal requirements of footnote 1, read with Annex I(i)</w:t>
      </w:r>
      <w:r w:rsidR="0008417C">
        <w:t>,</w:t>
      </w:r>
      <w:r w:rsidR="00EB50B7">
        <w:t xml:space="preserve"> to the SCM Agreement.</w:t>
      </w:r>
      <w:r w:rsidR="00EB50B7">
        <w:rPr>
          <w:rStyle w:val="FootnoteReference"/>
        </w:rPr>
        <w:footnoteReference w:id="161"/>
      </w:r>
      <w:r w:rsidR="00EB50B7">
        <w:t xml:space="preserve"> </w:t>
      </w:r>
    </w:p>
    <w:p w14:paraId="43C9E675" w14:textId="6E58799D" w:rsidR="00583AF1" w:rsidRDefault="00EB50B7" w:rsidP="008E2952">
      <w:pPr>
        <w:pStyle w:val="P1-N1Paragraph1-Number1"/>
      </w:pPr>
      <w:bookmarkStart w:id="63" w:name="_Toc71565781"/>
      <w:r>
        <w:t xml:space="preserve">Australia does not, as India claims, argue that footnote 1, read with Annex I(i), is so restrictive as to apply only when </w:t>
      </w:r>
      <w:r w:rsidRPr="00B655E5">
        <w:rPr>
          <w:u w:val="single"/>
        </w:rPr>
        <w:t>precisely the same</w:t>
      </w:r>
      <w:r>
        <w:t xml:space="preserve"> inputs imported duty free are physically pr</w:t>
      </w:r>
      <w:r w:rsidR="005B343E">
        <w:t>esent in an exported product.</w:t>
      </w:r>
      <w:r w:rsidR="005B343E">
        <w:rPr>
          <w:rStyle w:val="FootnoteReference"/>
        </w:rPr>
        <w:footnoteReference w:id="162"/>
      </w:r>
      <w:r>
        <w:t xml:space="preserve"> Australia </w:t>
      </w:r>
      <w:r w:rsidR="005B343E">
        <w:t>recognises that Annex I(i) allows "where appropriate" for "substitution."</w:t>
      </w:r>
      <w:r w:rsidR="005B343E">
        <w:rPr>
          <w:rStyle w:val="FootnoteReference"/>
        </w:rPr>
        <w:footnoteReference w:id="163"/>
      </w:r>
      <w:r w:rsidR="00583AF1">
        <w:t xml:space="preserve"> This flexibility makes sense where</w:t>
      </w:r>
      <w:r>
        <w:t xml:space="preserve"> domestic and imported inputs </w:t>
      </w:r>
      <w:r w:rsidR="00583AF1">
        <w:t>are</w:t>
      </w:r>
      <w:r>
        <w:t xml:space="preserve"> co</w:t>
      </w:r>
      <w:r w:rsidR="00416073">
        <w:t>m</w:t>
      </w:r>
      <w:r>
        <w:t>mingled in the production of products destined for domestic and export markets</w:t>
      </w:r>
      <w:r w:rsidR="00583AF1">
        <w:t xml:space="preserve">. </w:t>
      </w:r>
      <w:r>
        <w:t xml:space="preserve">However, </w:t>
      </w:r>
      <w:r w:rsidR="00583AF1">
        <w:t xml:space="preserve">it does </w:t>
      </w:r>
      <w:r w:rsidR="00583AF1" w:rsidRPr="00583AF1">
        <w:rPr>
          <w:u w:val="single"/>
        </w:rPr>
        <w:t>not</w:t>
      </w:r>
      <w:r w:rsidR="00583AF1">
        <w:t xml:space="preserve"> follow </w:t>
      </w:r>
      <w:r w:rsidRPr="00583AF1">
        <w:t>that</w:t>
      </w:r>
      <w:r>
        <w:t xml:space="preserve">, in allowing an equivalent quantity of home market inputs to be substituted for imported inputs, Annex I(i) to the SCM Agreement </w:t>
      </w:r>
      <w:r w:rsidR="00583AF1">
        <w:t xml:space="preserve">also </w:t>
      </w:r>
      <w:r>
        <w:t xml:space="preserve">permits the substitution of </w:t>
      </w:r>
      <w:r w:rsidRPr="00583AF1">
        <w:rPr>
          <w:u w:val="single"/>
        </w:rPr>
        <w:t>future</w:t>
      </w:r>
      <w:r>
        <w:t xml:space="preserve"> imported inputs for equivalent quantities of imported inputs used to produce </w:t>
      </w:r>
      <w:r w:rsidRPr="00583AF1">
        <w:rPr>
          <w:u w:val="single"/>
        </w:rPr>
        <w:t>past</w:t>
      </w:r>
      <w:r>
        <w:t xml:space="preserve"> exports.</w:t>
      </w:r>
      <w:r w:rsidR="0008417C">
        <w:rPr>
          <w:rStyle w:val="FootnoteReference"/>
        </w:rPr>
        <w:footnoteReference w:id="164"/>
      </w:r>
      <w:r>
        <w:t xml:space="preserve"> </w:t>
      </w:r>
    </w:p>
    <w:p w14:paraId="53B1F78C" w14:textId="379144A5" w:rsidR="00583AF1" w:rsidRDefault="003D3604" w:rsidP="008E2952">
      <w:pPr>
        <w:pStyle w:val="P1-N1Paragraph1-Number1"/>
      </w:pPr>
      <w:r w:rsidRPr="005F5883">
        <w:lastRenderedPageBreak/>
        <w:t xml:space="preserve">Finally, </w:t>
      </w:r>
      <w:r w:rsidR="009720F3" w:rsidRPr="005F5883">
        <w:t xml:space="preserve">Australia does not accept </w:t>
      </w:r>
      <w:r w:rsidR="005F5883">
        <w:t>India's</w:t>
      </w:r>
      <w:r w:rsidR="009720F3" w:rsidRPr="005F5883">
        <w:t xml:space="preserve"> contention, based on </w:t>
      </w:r>
      <w:r w:rsidR="005F5883">
        <w:t>its</w:t>
      </w:r>
      <w:r w:rsidR="009720F3" w:rsidRPr="005F5883">
        <w:t xml:space="preserve"> position that footnote 1 to the SCM Agreement (read with Annex I(i)) is not a typical "exception" or "defence", that Australia bore the burden of proving no later than in its first written submission that the DFIA scheme did not fall within footnote</w:t>
      </w:r>
      <w:r w:rsidR="005F5883">
        <w:t xml:space="preserve"> 1</w:t>
      </w:r>
      <w:r w:rsidR="009720F3" w:rsidRPr="005F5883">
        <w:t>.</w:t>
      </w:r>
      <w:r w:rsidR="009720F3" w:rsidRPr="005F5883">
        <w:rPr>
          <w:rStyle w:val="FootnoteReference"/>
        </w:rPr>
        <w:footnoteReference w:id="165"/>
      </w:r>
      <w:r w:rsidR="009720F3" w:rsidRPr="005F5883">
        <w:t xml:space="preserve">  </w:t>
      </w:r>
      <w:r w:rsidR="005F5883">
        <w:t xml:space="preserve">As </w:t>
      </w:r>
      <w:r w:rsidR="00583AF1">
        <w:t xml:space="preserve">Australia </w:t>
      </w:r>
      <w:r w:rsidR="005F5883">
        <w:t xml:space="preserve">articulated </w:t>
      </w:r>
      <w:r w:rsidR="00583AF1">
        <w:t>with respect to the allocation of burden under Article 9.4 of the Agreement on Agriculture</w:t>
      </w:r>
      <w:r w:rsidR="005F5883">
        <w:t>,</w:t>
      </w:r>
      <w:r w:rsidR="00583AF1">
        <w:rPr>
          <w:rStyle w:val="FootnoteReference"/>
        </w:rPr>
        <w:footnoteReference w:id="166"/>
      </w:r>
      <w:r w:rsidR="00583AF1">
        <w:t xml:space="preserve"> </w:t>
      </w:r>
      <w:r w:rsidR="005F5883">
        <w:t>t</w:t>
      </w:r>
      <w:r w:rsidR="00583AF1">
        <w:t xml:space="preserve">he characterization of a provision other than as a typical exception or affirmative </w:t>
      </w:r>
      <w:r w:rsidR="00EA1F70">
        <w:t xml:space="preserve">defence </w:t>
      </w:r>
      <w:r w:rsidR="00583AF1">
        <w:t xml:space="preserve">does </w:t>
      </w:r>
      <w:r w:rsidR="00583AF1" w:rsidRPr="00583AF1">
        <w:rPr>
          <w:u w:val="single"/>
        </w:rPr>
        <w:t>not</w:t>
      </w:r>
      <w:r w:rsidR="00583AF1">
        <w:t xml:space="preserve"> determine which party bears the initial burden of </w:t>
      </w:r>
      <w:r w:rsidR="00583AF1" w:rsidRPr="00583AF1">
        <w:rPr>
          <w:u w:val="single"/>
        </w:rPr>
        <w:t>raising</w:t>
      </w:r>
      <w:r w:rsidR="00583AF1">
        <w:t xml:space="preserve"> </w:t>
      </w:r>
      <w:r w:rsidR="00906BE9">
        <w:t>that</w:t>
      </w:r>
      <w:r w:rsidR="00583AF1">
        <w:t xml:space="preserve"> provision</w:t>
      </w:r>
      <w:r w:rsidR="00906BE9">
        <w:t xml:space="preserve">. The proper characterization of footnote 1 and the implications of that characterization, including for the allocation of burden of proof, is in any case moot. Australia has addressed comprehensively the question of whether the </w:t>
      </w:r>
      <w:r w:rsidR="005F5883">
        <w:t xml:space="preserve">DFIA </w:t>
      </w:r>
      <w:r w:rsidR="00906BE9">
        <w:t>scheme falls within footnote 1 and India had ample opportunity to respond.</w:t>
      </w:r>
      <w:r w:rsidR="00906BE9">
        <w:rPr>
          <w:rStyle w:val="FootnoteReference"/>
        </w:rPr>
        <w:footnoteReference w:id="167"/>
      </w:r>
    </w:p>
    <w:p w14:paraId="00443BDC" w14:textId="6625F4AF" w:rsidR="005D7E15" w:rsidRDefault="005D7E15" w:rsidP="005D7E15">
      <w:pPr>
        <w:pStyle w:val="HL1HeadingLevel1"/>
      </w:pPr>
      <w:bookmarkStart w:id="64" w:name="_Toc72430901"/>
      <w:r w:rsidRPr="005D7E15">
        <w:t>India has failed to notify its domestic support in favour of sugarcane producers and export subsidies for sugar in breach of its WTO obligations</w:t>
      </w:r>
      <w:bookmarkEnd w:id="63"/>
      <w:bookmarkEnd w:id="64"/>
    </w:p>
    <w:p w14:paraId="393F69A2" w14:textId="60DE9544" w:rsidR="0006481F" w:rsidRPr="0006481F" w:rsidRDefault="0006481F" w:rsidP="0006481F">
      <w:pPr>
        <w:pStyle w:val="P1-N1Paragraph1-Number1"/>
      </w:pPr>
      <w:r w:rsidRPr="0006481F">
        <w:t>Australia has established that India maintains domestic support for sugarcane producers and export subsidies for sugar. India has not submitted notifications of these measures, in breach of its obligations under the Agreement on Agriculture and the SCM Agreement, or, in the alternative, under the GATT 1994.</w:t>
      </w:r>
    </w:p>
    <w:p w14:paraId="649DA2E8" w14:textId="4A2009E3" w:rsidR="005D7E15" w:rsidRDefault="00457160" w:rsidP="005D7E15">
      <w:pPr>
        <w:pStyle w:val="HL2HeadingLevel2"/>
      </w:pPr>
      <w:bookmarkStart w:id="65" w:name="_Toc71565782"/>
      <w:bookmarkStart w:id="66" w:name="_Toc72430902"/>
      <w:r>
        <w:t>India's n</w:t>
      </w:r>
      <w:r w:rsidR="005D7E15" w:rsidRPr="005D7E15">
        <w:t>otification obligations under the Agreement on Agriculture, the SCM Agreement and the GATT 1994</w:t>
      </w:r>
      <w:bookmarkEnd w:id="65"/>
      <w:bookmarkEnd w:id="66"/>
    </w:p>
    <w:p w14:paraId="23EEAA10" w14:textId="4E751739" w:rsidR="0006481F" w:rsidRDefault="0006481F" w:rsidP="009F226C">
      <w:pPr>
        <w:pStyle w:val="P1-N1Paragraph1-Number1"/>
        <w:keepNext/>
        <w:numPr>
          <w:ilvl w:val="2"/>
          <w:numId w:val="2"/>
        </w:numPr>
        <w:ind w:left="2552"/>
        <w:rPr>
          <w:b/>
        </w:rPr>
      </w:pPr>
      <w:bookmarkStart w:id="67" w:name="_Toc63966862"/>
      <w:r w:rsidRPr="0006481F">
        <w:rPr>
          <w:b/>
        </w:rPr>
        <w:t>Agreement on Agriculture</w:t>
      </w:r>
      <w:bookmarkEnd w:id="67"/>
    </w:p>
    <w:p w14:paraId="0AFC2CA9" w14:textId="77777777" w:rsidR="00457160" w:rsidRPr="0006481F" w:rsidRDefault="00457160" w:rsidP="009F226C">
      <w:pPr>
        <w:pStyle w:val="P1-N1Paragraph1-Number1"/>
        <w:keepNext/>
      </w:pPr>
      <w:r w:rsidRPr="0006481F">
        <w:t>Article 18 of the Agreement on Agriculture provides, in mandatory terms, that:</w:t>
      </w:r>
    </w:p>
    <w:p w14:paraId="074A1442" w14:textId="77777777" w:rsidR="00457160" w:rsidRPr="0006481F" w:rsidRDefault="00457160" w:rsidP="00457160">
      <w:pPr>
        <w:pStyle w:val="P1-N1Paragraph1-Number1"/>
        <w:numPr>
          <w:ilvl w:val="1"/>
          <w:numId w:val="1"/>
        </w:numPr>
      </w:pPr>
      <w:r w:rsidRPr="0006481F">
        <w:t xml:space="preserve">progress in the implementation of commitments negotiated under the Uruguay Round reform programme </w:t>
      </w:r>
      <w:r w:rsidRPr="0006481F">
        <w:rPr>
          <w:u w:val="single"/>
        </w:rPr>
        <w:t>shall</w:t>
      </w:r>
      <w:r w:rsidRPr="0006481F">
        <w:t xml:space="preserve"> be reviewed by the Committee on Agriculture (Article 18.1);</w:t>
      </w:r>
    </w:p>
    <w:p w14:paraId="3FF7D8AE" w14:textId="77777777" w:rsidR="00457160" w:rsidRPr="0006481F" w:rsidRDefault="00457160" w:rsidP="00457160">
      <w:pPr>
        <w:pStyle w:val="P1-N1Paragraph1-Number1"/>
        <w:numPr>
          <w:ilvl w:val="1"/>
          <w:numId w:val="1"/>
        </w:numPr>
      </w:pPr>
      <w:r w:rsidRPr="0006481F">
        <w:t xml:space="preserve">the review process </w:t>
      </w:r>
      <w:r w:rsidRPr="0006481F">
        <w:rPr>
          <w:u w:val="single"/>
        </w:rPr>
        <w:t>shall</w:t>
      </w:r>
      <w:r w:rsidRPr="0006481F">
        <w:t xml:space="preserve"> be undertaken on the basis of notifications </w:t>
      </w:r>
      <w:r w:rsidRPr="0006481F">
        <w:rPr>
          <w:u w:val="single"/>
        </w:rPr>
        <w:t>submitted by Members</w:t>
      </w:r>
      <w:r w:rsidRPr="0006481F">
        <w:t xml:space="preserve"> in relation to such matters and at such intervals as shall be determined (Article 18.2);</w:t>
      </w:r>
    </w:p>
    <w:p w14:paraId="2240679A" w14:textId="77777777" w:rsidR="00457160" w:rsidRPr="0006481F" w:rsidRDefault="00457160" w:rsidP="00457160">
      <w:pPr>
        <w:pStyle w:val="P1-N1Paragraph1-Number1"/>
        <w:numPr>
          <w:ilvl w:val="1"/>
          <w:numId w:val="1"/>
        </w:numPr>
      </w:pPr>
      <w:r w:rsidRPr="0006481F">
        <w:t xml:space="preserve">in addition to the notifications </w:t>
      </w:r>
      <w:r w:rsidRPr="0006481F">
        <w:rPr>
          <w:u w:val="single"/>
        </w:rPr>
        <w:t>to be submitted</w:t>
      </w:r>
      <w:r w:rsidRPr="0006481F">
        <w:t xml:space="preserve"> to inform the review process (under Article 18.2), any new domestic support measure, or modification of an existing measure, for which exemption from reduction is claimed </w:t>
      </w:r>
      <w:r w:rsidRPr="0006481F">
        <w:rPr>
          <w:u w:val="single"/>
        </w:rPr>
        <w:t>shall</w:t>
      </w:r>
      <w:r w:rsidRPr="0006481F">
        <w:t xml:space="preserve"> be notified promptly by Members (Article 18.3); and</w:t>
      </w:r>
    </w:p>
    <w:p w14:paraId="1BD33100" w14:textId="77777777" w:rsidR="00457160" w:rsidRPr="0006481F" w:rsidRDefault="00457160" w:rsidP="00457160">
      <w:pPr>
        <w:pStyle w:val="P1-N1Paragraph1-Number1"/>
        <w:numPr>
          <w:ilvl w:val="1"/>
          <w:numId w:val="1"/>
        </w:numPr>
      </w:pPr>
      <w:r w:rsidRPr="0006481F">
        <w:lastRenderedPageBreak/>
        <w:t xml:space="preserve">domestic support notifications </w:t>
      </w:r>
      <w:r w:rsidRPr="0006481F">
        <w:rPr>
          <w:u w:val="single"/>
        </w:rPr>
        <w:t>shall</w:t>
      </w:r>
      <w:r w:rsidRPr="0006481F">
        <w:t xml:space="preserve"> contain details of the relevant new or modified measure and its conformity with criteria set out in in the Agreement on Agriculture (Article 18.3).</w:t>
      </w:r>
    </w:p>
    <w:p w14:paraId="7D08C3BD" w14:textId="2C440894" w:rsidR="00457160" w:rsidRPr="00457160" w:rsidRDefault="00457160" w:rsidP="00457160">
      <w:pPr>
        <w:pStyle w:val="P1-N1Paragraph1-Number1"/>
      </w:pPr>
      <w:r w:rsidRPr="0006481F">
        <w:t>Accordingly, India is required to submit notifications concerning its domestic support and export subsidies to the Membership through the Committee on Agriculture. Notifications are essential for ensuring transparency and enabling the Committee to monitor the implementation of Members' commitments effectively.</w:t>
      </w:r>
      <w:r w:rsidRPr="0006481F">
        <w:rPr>
          <w:vertAlign w:val="superscript"/>
        </w:rPr>
        <w:footnoteReference w:id="168"/>
      </w:r>
    </w:p>
    <w:p w14:paraId="70FC205E" w14:textId="5AD5EF58" w:rsidR="005D7E15" w:rsidRDefault="005D7E15" w:rsidP="00E37A92">
      <w:pPr>
        <w:pStyle w:val="HL4HeadingLevel4"/>
      </w:pPr>
      <w:bookmarkStart w:id="68" w:name="_Toc71565783"/>
      <w:bookmarkStart w:id="69" w:name="_Toc72430903"/>
      <w:r w:rsidRPr="005D7E15">
        <w:t>India misinterpret</w:t>
      </w:r>
      <w:r w:rsidR="00783D94">
        <w:t>s</w:t>
      </w:r>
      <w:r w:rsidRPr="005D7E15">
        <w:t xml:space="preserve"> Article 18 of the Agreement on Agriculture</w:t>
      </w:r>
      <w:bookmarkEnd w:id="68"/>
      <w:bookmarkEnd w:id="69"/>
    </w:p>
    <w:p w14:paraId="0961D39E" w14:textId="5A9D21C2" w:rsidR="00457160" w:rsidRDefault="00457160" w:rsidP="00457160">
      <w:pPr>
        <w:pStyle w:val="P1-N1Paragraph1-Number1"/>
      </w:pPr>
      <w:bookmarkStart w:id="70" w:name="_Toc63966864"/>
      <w:r>
        <w:t xml:space="preserve">India claims that Article 18 of the Agreement on Agriculture does not place any obligations on Members, but merely </w:t>
      </w:r>
      <w:r w:rsidR="009F3E12">
        <w:t>grants</w:t>
      </w:r>
      <w:r>
        <w:t xml:space="preserve"> the Committee on Agriculture the discretion to determine </w:t>
      </w:r>
      <w:r w:rsidR="009F3E12">
        <w:t>how</w:t>
      </w:r>
      <w:r>
        <w:t xml:space="preserve"> the review process</w:t>
      </w:r>
      <w:r w:rsidR="009F3E12">
        <w:t xml:space="preserve"> is conducted</w:t>
      </w:r>
      <w:r>
        <w:t>.</w:t>
      </w:r>
      <w:r w:rsidRPr="00240318">
        <w:rPr>
          <w:vertAlign w:val="superscript"/>
        </w:rPr>
        <w:footnoteReference w:id="169"/>
      </w:r>
      <w:r>
        <w:t xml:space="preserve"> In making this argument, India ignores the mandatory language and overall scheme of Article 18. Contrary to India's assertion, the Committee's role is not to be determined as a matter of discretion. Rather, the Committee </w:t>
      </w:r>
      <w:r w:rsidRPr="00416073">
        <w:rPr>
          <w:u w:val="single"/>
        </w:rPr>
        <w:t>shall</w:t>
      </w:r>
      <w:r>
        <w:t xml:space="preserve"> review Members' progress in the implementation of their commitments and its review </w:t>
      </w:r>
      <w:r w:rsidRPr="00416073">
        <w:rPr>
          <w:u w:val="single"/>
        </w:rPr>
        <w:t>shall</w:t>
      </w:r>
      <w:r>
        <w:t xml:space="preserve"> be undertaken on the basis of notifications </w:t>
      </w:r>
      <w:r w:rsidRPr="00416073">
        <w:rPr>
          <w:u w:val="single"/>
        </w:rPr>
        <w:t>to be submitted</w:t>
      </w:r>
      <w:r>
        <w:t xml:space="preserve"> by Members.</w:t>
      </w:r>
      <w:r>
        <w:rPr>
          <w:rStyle w:val="FootnoteReference"/>
        </w:rPr>
        <w:footnoteReference w:id="170"/>
      </w:r>
      <w:r>
        <w:t xml:space="preserve"> If Members had no obligation to submit notifications, the Committee would be unable to discharge its mandatory function.</w:t>
      </w:r>
    </w:p>
    <w:p w14:paraId="646E2930" w14:textId="3E29A749" w:rsidR="00457160" w:rsidRDefault="00457160" w:rsidP="00457160">
      <w:pPr>
        <w:pStyle w:val="P1-N1Paragraph1-Number1"/>
      </w:pPr>
      <w:r>
        <w:t>Further, India argues that Committee document G/AG/2, which sets out the notification requirements and formats under Article 18,</w:t>
      </w:r>
      <w:r>
        <w:rPr>
          <w:rStyle w:val="FootnoteReference"/>
        </w:rPr>
        <w:footnoteReference w:id="171"/>
      </w:r>
      <w:r>
        <w:t xml:space="preserve"> uses hortatory language that is suggestive in nature and </w:t>
      </w:r>
      <w:r w:rsidR="00190B56">
        <w:t xml:space="preserve">does </w:t>
      </w:r>
      <w:r>
        <w:t>not</w:t>
      </w:r>
      <w:r w:rsidR="00190B56">
        <w:t xml:space="preserve"> give rise to</w:t>
      </w:r>
      <w:r>
        <w:t xml:space="preserve"> a binding obligation.</w:t>
      </w:r>
      <w:r>
        <w:rPr>
          <w:rStyle w:val="FootnoteReference"/>
        </w:rPr>
        <w:footnoteReference w:id="172"/>
      </w:r>
      <w:r>
        <w:t xml:space="preserve"> India's argument is without merit. The document G/AG/2 is not a treaty-level instrument and does </w:t>
      </w:r>
      <w:r w:rsidRPr="00590508">
        <w:rPr>
          <w:u w:val="single"/>
        </w:rPr>
        <w:t>not</w:t>
      </w:r>
      <w:r>
        <w:t xml:space="preserve"> modify Members' obligations under Article 18. Australia's claim is under Article 18, not under G/AG/2.</w:t>
      </w:r>
      <w:r>
        <w:rPr>
          <w:rStyle w:val="FootnoteReference"/>
        </w:rPr>
        <w:footnoteReference w:id="173"/>
      </w:r>
    </w:p>
    <w:p w14:paraId="712EFE96" w14:textId="6045B761" w:rsidR="00457160" w:rsidRDefault="00457160" w:rsidP="00457160">
      <w:pPr>
        <w:pStyle w:val="P1-N1Paragraph1-Number1"/>
      </w:pPr>
      <w:r w:rsidRPr="00FE1A3F">
        <w:t xml:space="preserve">Australia </w:t>
      </w:r>
      <w:r w:rsidR="003F6643">
        <w:t>asks</w:t>
      </w:r>
      <w:r w:rsidRPr="00FE1A3F">
        <w:t xml:space="preserve"> the Panel </w:t>
      </w:r>
      <w:r w:rsidR="003F6643">
        <w:t>to</w:t>
      </w:r>
      <w:r w:rsidRPr="00FE1A3F">
        <w:t xml:space="preserve"> </w:t>
      </w:r>
      <w:r>
        <w:t xml:space="preserve">find that Article 18 </w:t>
      </w:r>
      <w:r w:rsidRPr="00FE1A3F">
        <w:t>impose</w:t>
      </w:r>
      <w:r>
        <w:t>s</w:t>
      </w:r>
      <w:r w:rsidRPr="00FE1A3F">
        <w:t xml:space="preserve"> binding </w:t>
      </w:r>
      <w:r>
        <w:t xml:space="preserve">notification </w:t>
      </w:r>
      <w:r w:rsidRPr="00FE1A3F">
        <w:t>obligations on Members.</w:t>
      </w:r>
    </w:p>
    <w:p w14:paraId="7B030653" w14:textId="6120B8AF" w:rsidR="00557825" w:rsidRPr="00557825" w:rsidRDefault="00557825" w:rsidP="006335F5">
      <w:pPr>
        <w:pStyle w:val="P1-N1Paragraph1-Number1"/>
        <w:keepNext/>
        <w:numPr>
          <w:ilvl w:val="2"/>
          <w:numId w:val="2"/>
        </w:numPr>
        <w:ind w:left="2552"/>
        <w:rPr>
          <w:b/>
        </w:rPr>
      </w:pPr>
      <w:r w:rsidRPr="00557825">
        <w:rPr>
          <w:b/>
        </w:rPr>
        <w:t>SCM Agreement</w:t>
      </w:r>
      <w:bookmarkEnd w:id="70"/>
    </w:p>
    <w:p w14:paraId="3E169F4B" w14:textId="3A18D3DF" w:rsidR="00557825" w:rsidRPr="00557825" w:rsidRDefault="00557825" w:rsidP="00557825">
      <w:pPr>
        <w:pStyle w:val="P1-N1Paragraph1-Number1"/>
      </w:pPr>
      <w:r w:rsidRPr="00557825">
        <w:t xml:space="preserve">Article 25 of the SCM Agreement requires India to notify the Members of subsidies falling within Article 1.1, which are specific within the meaning of Article 2, that India grants </w:t>
      </w:r>
      <w:r w:rsidRPr="00557825">
        <w:lastRenderedPageBreak/>
        <w:t>or maintains within its territory.</w:t>
      </w:r>
      <w:r w:rsidRPr="00557825">
        <w:rPr>
          <w:vertAlign w:val="superscript"/>
        </w:rPr>
        <w:footnoteReference w:id="174"/>
      </w:r>
      <w:r w:rsidR="00EE4320">
        <w:t xml:space="preserve"> Such notifications must be submitted not later than 30 June of each year and must conform to Articles 25.2 to 25.6.</w:t>
      </w:r>
      <w:r w:rsidR="00EE4320">
        <w:rPr>
          <w:rStyle w:val="FootnoteReference"/>
        </w:rPr>
        <w:footnoteReference w:id="175"/>
      </w:r>
    </w:p>
    <w:p w14:paraId="04E9C928" w14:textId="77777777" w:rsidR="00557825" w:rsidRPr="00557825" w:rsidRDefault="00557825" w:rsidP="00557825">
      <w:pPr>
        <w:pStyle w:val="P1-N1Paragraph1-Number1"/>
      </w:pPr>
      <w:r w:rsidRPr="00557825">
        <w:t>India does not dispute that Article 25 imposes mandatory notification obligations.</w:t>
      </w:r>
      <w:r w:rsidRPr="00557825">
        <w:rPr>
          <w:vertAlign w:val="superscript"/>
        </w:rPr>
        <w:footnoteReference w:id="176"/>
      </w:r>
    </w:p>
    <w:p w14:paraId="17D6ACE5" w14:textId="77777777" w:rsidR="00557825" w:rsidRPr="00557825" w:rsidRDefault="00557825" w:rsidP="00EE4320">
      <w:pPr>
        <w:pStyle w:val="P1-N1Paragraph1-Number1"/>
        <w:keepNext/>
        <w:numPr>
          <w:ilvl w:val="2"/>
          <w:numId w:val="2"/>
        </w:numPr>
        <w:ind w:left="2552"/>
        <w:rPr>
          <w:b/>
        </w:rPr>
      </w:pPr>
      <w:bookmarkStart w:id="71" w:name="_Toc63966865"/>
      <w:r w:rsidRPr="00557825">
        <w:rPr>
          <w:b/>
        </w:rPr>
        <w:t>GATT 1994</w:t>
      </w:r>
      <w:bookmarkEnd w:id="71"/>
    </w:p>
    <w:p w14:paraId="21B38ADC" w14:textId="3623B413" w:rsidR="00557825" w:rsidRPr="00557825" w:rsidRDefault="00557825" w:rsidP="00557825">
      <w:pPr>
        <w:pStyle w:val="P1-N1Paragraph1-Number1"/>
      </w:pPr>
      <w:r w:rsidRPr="00557825">
        <w:t>India is obliged under Article XVI:1 of the GATT 1994 to notify other Members of the extent, nature and estimated effects on trade, of any subsidy it grants or maintains, including income or price support, which operates directly or indirectly to increase exports of any product from its territory.</w:t>
      </w:r>
      <w:r w:rsidRPr="00557825">
        <w:rPr>
          <w:vertAlign w:val="superscript"/>
        </w:rPr>
        <w:footnoteReference w:id="177"/>
      </w:r>
    </w:p>
    <w:p w14:paraId="7FE2E033" w14:textId="4D67B633" w:rsidR="00557825" w:rsidRPr="00557825" w:rsidRDefault="00557825" w:rsidP="00557825">
      <w:pPr>
        <w:pStyle w:val="P1-N1Paragraph1-Number1"/>
      </w:pPr>
      <w:r w:rsidRPr="00557825">
        <w:t>India does not dispute that Article XVI</w:t>
      </w:r>
      <w:r w:rsidR="00EE62C0">
        <w:t>:1</w:t>
      </w:r>
      <w:r w:rsidRPr="00557825">
        <w:t xml:space="preserve"> imposes mandatory notification obligations.</w:t>
      </w:r>
      <w:r w:rsidRPr="00557825">
        <w:rPr>
          <w:vertAlign w:val="superscript"/>
        </w:rPr>
        <w:footnoteReference w:id="178"/>
      </w:r>
      <w:r w:rsidRPr="00557825">
        <w:t xml:space="preserve"> </w:t>
      </w:r>
    </w:p>
    <w:p w14:paraId="650F267C" w14:textId="6BD760DF" w:rsidR="005D7E15" w:rsidRDefault="005D7E15" w:rsidP="005D7E15">
      <w:pPr>
        <w:pStyle w:val="HL2HeadingLevel2"/>
      </w:pPr>
      <w:bookmarkStart w:id="72" w:name="_Toc71565784"/>
      <w:bookmarkStart w:id="73" w:name="_Toc72430904"/>
      <w:r w:rsidRPr="005D7E15">
        <w:t>India has breached its notification obligations by failing to notify its domestic support in favour of sugarcane producers and its export subsidies for sugar</w:t>
      </w:r>
      <w:bookmarkEnd w:id="72"/>
      <w:bookmarkEnd w:id="73"/>
    </w:p>
    <w:p w14:paraId="6C145E36" w14:textId="0E76D2B9" w:rsidR="00457160" w:rsidRDefault="00457160" w:rsidP="00457160">
      <w:pPr>
        <w:pStyle w:val="P1-N1Paragraph1-Number1"/>
      </w:pPr>
      <w:r w:rsidRPr="00FA0332">
        <w:t xml:space="preserve">India </w:t>
      </w:r>
      <w:r>
        <w:t xml:space="preserve">does not dispute that it </w:t>
      </w:r>
      <w:r w:rsidRPr="00FA0332">
        <w:t xml:space="preserve">last notified its domestic support to sugarcane in its 1995–96 notification to the Committee on Agriculture </w:t>
      </w:r>
      <w:r>
        <w:t>and that its</w:t>
      </w:r>
      <w:r w:rsidRPr="00FA0332">
        <w:t xml:space="preserve"> most recent notification of its export subsidies for sugar was in 2009–10, which covered the marketing years 2004–05 to 2009–10. Thus, India has not met its legal obligations </w:t>
      </w:r>
      <w:r>
        <w:t xml:space="preserve">under the Agreement on Agriculture and the SCM Agreement </w:t>
      </w:r>
      <w:r w:rsidRPr="00FA0332">
        <w:t xml:space="preserve">to notify the Membership of its domestic support </w:t>
      </w:r>
      <w:r>
        <w:t>for</w:t>
      </w:r>
      <w:r w:rsidRPr="00FA0332">
        <w:t xml:space="preserve"> sugarcane </w:t>
      </w:r>
      <w:r>
        <w:t xml:space="preserve">producers </w:t>
      </w:r>
      <w:r w:rsidRPr="00FA0332">
        <w:t>and its export subsidies for sugar.</w:t>
      </w:r>
      <w:r w:rsidR="003F6643" w:rsidRPr="00FA0332">
        <w:rPr>
          <w:vertAlign w:val="superscript"/>
        </w:rPr>
        <w:footnoteReference w:id="179"/>
      </w:r>
    </w:p>
    <w:p w14:paraId="646F2577" w14:textId="128F230C" w:rsidR="00457160" w:rsidRDefault="00457160" w:rsidP="00457160">
      <w:pPr>
        <w:pStyle w:val="P1-N1Paragraph1-Number1"/>
      </w:pPr>
      <w:r>
        <w:t xml:space="preserve">In the alternative, India </w:t>
      </w:r>
      <w:r w:rsidR="00831B82">
        <w:t>is in</w:t>
      </w:r>
      <w:r>
        <w:t xml:space="preserve"> breach</w:t>
      </w:r>
      <w:r w:rsidR="00831B82">
        <w:t xml:space="preserve"> of</w:t>
      </w:r>
      <w:r>
        <w:t xml:space="preserve"> its obligation pursuant to Article XVI:1 of the GATT 1994 to notify Members of India's subsidies that operate directly or indirectly to increase its sugar exports.</w:t>
      </w:r>
      <w:r>
        <w:rPr>
          <w:rStyle w:val="FootnoteReference"/>
        </w:rPr>
        <w:footnoteReference w:id="180"/>
      </w:r>
    </w:p>
    <w:p w14:paraId="2DB8F4B9" w14:textId="19F2F98C" w:rsidR="005D7E15" w:rsidRDefault="005D7E15" w:rsidP="005D7E15">
      <w:pPr>
        <w:pStyle w:val="HL1HeadingLevel1"/>
      </w:pPr>
      <w:bookmarkStart w:id="74" w:name="_Toc72430905"/>
      <w:r>
        <w:t>CONCLUSION</w:t>
      </w:r>
      <w:bookmarkEnd w:id="74"/>
    </w:p>
    <w:p w14:paraId="195C3CAA" w14:textId="19BA6145" w:rsidR="005D7E15" w:rsidRDefault="00BF6786" w:rsidP="00BF6786">
      <w:pPr>
        <w:pStyle w:val="P1-N1Paragraph1-Number1"/>
        <w:keepNext/>
      </w:pPr>
      <w:r w:rsidRPr="00BF6786">
        <w:t>For the foregoing reasons, Australia submits that:</w:t>
      </w:r>
    </w:p>
    <w:p w14:paraId="1E3243A6" w14:textId="4B79014D" w:rsidR="00BF6786" w:rsidRDefault="00BF6786" w:rsidP="00CE6C63">
      <w:pPr>
        <w:pStyle w:val="P2-B1Paragraph2-Bullet1"/>
      </w:pPr>
      <w:r w:rsidRPr="00BF6786">
        <w:t xml:space="preserve">Through its market price support and other non-exempt domestic support, India maintains domestic support for sugarcane producers that exceeds the </w:t>
      </w:r>
      <w:r w:rsidRPr="00BF6786">
        <w:rPr>
          <w:i/>
          <w:iCs/>
        </w:rPr>
        <w:t>de minimis</w:t>
      </w:r>
      <w:r w:rsidRPr="00BF6786">
        <w:t xml:space="preserve"> level of 10 per cent of the</w:t>
      </w:r>
      <w:r w:rsidR="008F09CE">
        <w:t xml:space="preserve"> total</w:t>
      </w:r>
      <w:r w:rsidRPr="00BF6786">
        <w:t xml:space="preserve"> value of production of sugarcane contrary to India's obligation under Article 7.2(b) of the Agreement on Agriculture.</w:t>
      </w:r>
    </w:p>
    <w:p w14:paraId="1F33A377" w14:textId="3F58D397" w:rsidR="00BF6786" w:rsidRDefault="00BF6786" w:rsidP="00CE6C63">
      <w:pPr>
        <w:pStyle w:val="P2-B1Paragraph2-Bullet1"/>
      </w:pPr>
      <w:r w:rsidRPr="00BF6786">
        <w:lastRenderedPageBreak/>
        <w:t xml:space="preserve">India’s production and buffer stock subsidies operating in conjunction with the MIEQ orders, </w:t>
      </w:r>
      <w:r w:rsidR="00F8312B">
        <w:t xml:space="preserve">and its </w:t>
      </w:r>
      <w:r w:rsidRPr="00BF6786">
        <w:t>MAEQ and DFIA scheme</w:t>
      </w:r>
      <w:r w:rsidR="00F8312B">
        <w:t>s</w:t>
      </w:r>
      <w:r w:rsidRPr="00BF6786">
        <w:t xml:space="preserve"> constitute:</w:t>
      </w:r>
    </w:p>
    <w:p w14:paraId="71A7AE25" w14:textId="77777777" w:rsidR="00BF6786" w:rsidRDefault="00BF6786" w:rsidP="00BF6786">
      <w:pPr>
        <w:pStyle w:val="P3-B2Paragraph3-Bullet2"/>
      </w:pPr>
      <w:r w:rsidRPr="00180A54">
        <w:t>export subsidies within the meaning of Article 9.1(a) of the Agreement on Agriculture, and are therefore inconsistent with India’s obligations under Articles 3.3 and 8 of the Agreement on Agriculture, or, in the alternative Articles 8 and 10.1; and</w:t>
      </w:r>
    </w:p>
    <w:p w14:paraId="48D0B37B" w14:textId="77777777" w:rsidR="00BF6786" w:rsidRDefault="00BF6786" w:rsidP="00BF6786">
      <w:pPr>
        <w:pStyle w:val="P3-B2Paragraph3-Bullet2"/>
      </w:pPr>
      <w:r w:rsidRPr="00180A54">
        <w:t>prohibited export subsidies that are inconsistent with India’s obligations under Articles 3.1(a) and 3.2 of the SCM Agreement.</w:t>
      </w:r>
    </w:p>
    <w:p w14:paraId="7B391FCE" w14:textId="38F1784D" w:rsidR="00BF6786" w:rsidRDefault="00BF6786" w:rsidP="00CE6C63">
      <w:pPr>
        <w:pStyle w:val="P2-B1Paragraph2-Bullet1"/>
      </w:pPr>
      <w:r w:rsidRPr="00BF6786">
        <w:t>By failing to notify its annual domestic support for sugarcane and sugar subsequent to 1995–96 or to submit an export subsidy notification since 2009–10, India has acted inconsistently with its obligations under Articles</w:t>
      </w:r>
      <w:r w:rsidR="005A4F0A">
        <w:t> </w:t>
      </w:r>
      <w:r w:rsidRPr="00BF6786">
        <w:t>18.2 and 18.3 of the Agreement on Agriculture and Article 25 of the SCM Agreement, or, in the alternative, Article XVI:1 of the GATT 1994.</w:t>
      </w:r>
    </w:p>
    <w:p w14:paraId="33F351E0" w14:textId="07A68E94" w:rsidR="00BF6786" w:rsidRPr="005D7E15" w:rsidRDefault="00BF6786" w:rsidP="00BF6786">
      <w:pPr>
        <w:pStyle w:val="P1-N1Paragraph1-Number1"/>
      </w:pPr>
      <w:r w:rsidRPr="00BF6786">
        <w:t>Australia respectfully requests the Panel to find accordingly.</w:t>
      </w:r>
    </w:p>
    <w:p w14:paraId="2202F76F" w14:textId="77777777" w:rsidR="002A0626" w:rsidRPr="002A0626" w:rsidRDefault="002A0626" w:rsidP="002A0626">
      <w:pPr>
        <w:pStyle w:val="P1-N1Paragraph1-Number1"/>
        <w:numPr>
          <w:ilvl w:val="0"/>
          <w:numId w:val="0"/>
        </w:numPr>
      </w:pPr>
    </w:p>
    <w:p w14:paraId="386E4AAE" w14:textId="77777777" w:rsidR="007E0229" w:rsidRDefault="007E0229">
      <w:pPr>
        <w:sectPr w:rsidR="007E0229" w:rsidSect="00042CBB">
          <w:pgSz w:w="11906" w:h="16838" w:code="9"/>
          <w:pgMar w:top="1418" w:right="1418" w:bottom="1418" w:left="1418" w:header="567" w:footer="567" w:gutter="0"/>
          <w:pgNumType w:start="1"/>
          <w:cols w:space="708"/>
          <w:docGrid w:linePitch="360"/>
        </w:sectPr>
      </w:pPr>
    </w:p>
    <w:p w14:paraId="50E954C7" w14:textId="24CEAD5B" w:rsidR="00D52A17" w:rsidRDefault="007E0229" w:rsidP="007E0229">
      <w:pPr>
        <w:pStyle w:val="AHL1AnnexHeadingLevel1"/>
      </w:pPr>
      <w:bookmarkStart w:id="75" w:name="_Toc72430906"/>
      <w:r w:rsidRPr="007E0229">
        <w:lastRenderedPageBreak/>
        <w:t>Summary of Australia's calculations of India's AMS for sugarcane in the sugar seasons 2014–15 to 2018–19</w:t>
      </w:r>
      <w:bookmarkEnd w:id="75"/>
    </w:p>
    <w:tbl>
      <w:tblPr>
        <w:tblStyle w:val="TableGrid"/>
        <w:tblW w:w="0" w:type="auto"/>
        <w:tblLayout w:type="fixed"/>
        <w:tblLook w:val="04A0" w:firstRow="1" w:lastRow="0" w:firstColumn="1" w:lastColumn="0" w:noHBand="0" w:noVBand="1"/>
      </w:tblPr>
      <w:tblGrid>
        <w:gridCol w:w="6979"/>
        <w:gridCol w:w="6979"/>
      </w:tblGrid>
      <w:tr w:rsidR="007E0229" w:rsidRPr="005D1394" w14:paraId="237707CB" w14:textId="77777777" w:rsidTr="007E0229">
        <w:tc>
          <w:tcPr>
            <w:tcW w:w="6979" w:type="dxa"/>
            <w:tcBorders>
              <w:top w:val="nil"/>
              <w:left w:val="nil"/>
              <w:bottom w:val="nil"/>
              <w:right w:val="nil"/>
            </w:tcBorders>
          </w:tcPr>
          <w:p w14:paraId="5B254A16" w14:textId="7D47B94C" w:rsidR="007E0229" w:rsidRPr="005D1394" w:rsidRDefault="007E0229" w:rsidP="003D6437">
            <w:pPr>
              <w:spacing w:before="240"/>
              <w:rPr>
                <w:b/>
                <w:bCs/>
              </w:rPr>
            </w:pPr>
            <w:r w:rsidRPr="005D1394">
              <w:rPr>
                <w:b/>
                <w:bCs/>
              </w:rPr>
              <w:t xml:space="preserve">Option 1 </w:t>
            </w:r>
          </w:p>
        </w:tc>
        <w:tc>
          <w:tcPr>
            <w:tcW w:w="6979" w:type="dxa"/>
            <w:tcBorders>
              <w:top w:val="nil"/>
              <w:left w:val="nil"/>
              <w:bottom w:val="nil"/>
              <w:right w:val="nil"/>
            </w:tcBorders>
          </w:tcPr>
          <w:p w14:paraId="409807FB" w14:textId="439C978A" w:rsidR="007E0229" w:rsidRPr="005D1394" w:rsidRDefault="007E0229" w:rsidP="003D6437">
            <w:pPr>
              <w:spacing w:before="240"/>
              <w:rPr>
                <w:b/>
                <w:bCs/>
              </w:rPr>
            </w:pPr>
            <w:r w:rsidRPr="005D1394">
              <w:rPr>
                <w:b/>
                <w:bCs/>
              </w:rPr>
              <w:t xml:space="preserve">Option 2 </w:t>
            </w:r>
          </w:p>
        </w:tc>
      </w:tr>
      <w:tr w:rsidR="007E0229" w14:paraId="71FB1554" w14:textId="77777777" w:rsidTr="007E0229">
        <w:tc>
          <w:tcPr>
            <w:tcW w:w="6979" w:type="dxa"/>
            <w:tcBorders>
              <w:top w:val="nil"/>
              <w:left w:val="nil"/>
              <w:bottom w:val="nil"/>
              <w:right w:val="nil"/>
            </w:tcBorders>
          </w:tcPr>
          <w:p w14:paraId="2872C7E5" w14:textId="69548877" w:rsidR="007E0229" w:rsidRDefault="00F97157" w:rsidP="007E0229">
            <w:r w:rsidRPr="001001B3">
              <w:rPr>
                <w:noProof/>
              </w:rPr>
              <w:drawing>
                <wp:inline distT="0" distB="0" distL="0" distR="0" wp14:anchorId="6B042DD8" wp14:editId="41A15B6C">
                  <wp:extent cx="4347341" cy="4356000"/>
                  <wp:effectExtent l="0" t="0" r="0" b="6985"/>
                  <wp:docPr id="1" name="Picture 1" descr="Downloadable table is available on the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wnloadable table is available on the webs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7341" cy="4356000"/>
                          </a:xfrm>
                          <a:prstGeom prst="rect">
                            <a:avLst/>
                          </a:prstGeom>
                          <a:noFill/>
                          <a:ln>
                            <a:noFill/>
                          </a:ln>
                        </pic:spPr>
                      </pic:pic>
                    </a:graphicData>
                  </a:graphic>
                </wp:inline>
              </w:drawing>
            </w:r>
          </w:p>
        </w:tc>
        <w:tc>
          <w:tcPr>
            <w:tcW w:w="6979" w:type="dxa"/>
            <w:tcBorders>
              <w:top w:val="nil"/>
              <w:left w:val="nil"/>
              <w:bottom w:val="nil"/>
              <w:right w:val="nil"/>
            </w:tcBorders>
          </w:tcPr>
          <w:p w14:paraId="566B6B2A" w14:textId="5CAE043D" w:rsidR="007E0229" w:rsidRDefault="00F97157" w:rsidP="007E0229">
            <w:r w:rsidRPr="001001B3">
              <w:rPr>
                <w:noProof/>
              </w:rPr>
              <w:drawing>
                <wp:inline distT="0" distB="0" distL="0" distR="0" wp14:anchorId="1AE56DCE" wp14:editId="29BAACD1">
                  <wp:extent cx="4347329" cy="4356000"/>
                  <wp:effectExtent l="0" t="0" r="0" b="6985"/>
                  <wp:docPr id="2" name="Picture 2" descr="Downloadable table is available on the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wnloadable table is available on the webs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7329" cy="4356000"/>
                          </a:xfrm>
                          <a:prstGeom prst="rect">
                            <a:avLst/>
                          </a:prstGeom>
                          <a:noFill/>
                          <a:ln>
                            <a:noFill/>
                          </a:ln>
                        </pic:spPr>
                      </pic:pic>
                    </a:graphicData>
                  </a:graphic>
                </wp:inline>
              </w:drawing>
            </w:r>
          </w:p>
        </w:tc>
      </w:tr>
    </w:tbl>
    <w:p w14:paraId="486E2702" w14:textId="77777777" w:rsidR="007E0229" w:rsidRPr="003F54A7" w:rsidRDefault="007E0229" w:rsidP="007E0229">
      <w:pPr>
        <w:spacing w:after="0" w:line="240" w:lineRule="auto"/>
        <w:rPr>
          <w:sz w:val="16"/>
          <w:szCs w:val="16"/>
        </w:rPr>
      </w:pPr>
      <w:r w:rsidRPr="007E0229">
        <w:rPr>
          <w:b/>
          <w:bCs/>
          <w:sz w:val="16"/>
          <w:szCs w:val="16"/>
        </w:rPr>
        <w:t>Notes:</w:t>
      </w:r>
      <w:r w:rsidRPr="003F54A7">
        <w:rPr>
          <w:sz w:val="16"/>
          <w:szCs w:val="16"/>
        </w:rPr>
        <w:t xml:space="preserve"> </w:t>
      </w:r>
    </w:p>
    <w:p w14:paraId="44DB5C5B" w14:textId="0075E55D" w:rsidR="007E0229" w:rsidRPr="003F54A7" w:rsidRDefault="007E0229" w:rsidP="007E0229">
      <w:pPr>
        <w:pStyle w:val="ListParagraph"/>
        <w:numPr>
          <w:ilvl w:val="0"/>
          <w:numId w:val="23"/>
        </w:numPr>
        <w:spacing w:after="0" w:line="240" w:lineRule="auto"/>
        <w:jc w:val="left"/>
        <w:rPr>
          <w:sz w:val="16"/>
          <w:szCs w:val="16"/>
        </w:rPr>
      </w:pPr>
      <w:r w:rsidRPr="003F54A7">
        <w:rPr>
          <w:sz w:val="16"/>
          <w:szCs w:val="16"/>
        </w:rPr>
        <w:t>For calculations, refer to Australia's domestic support calculations, Microsoft Excel workbooks</w:t>
      </w:r>
      <w:r w:rsidR="00884632">
        <w:rPr>
          <w:sz w:val="16"/>
          <w:szCs w:val="16"/>
        </w:rPr>
        <w:t>, Revision 3</w:t>
      </w:r>
      <w:r w:rsidRPr="003F54A7">
        <w:rPr>
          <w:sz w:val="16"/>
          <w:szCs w:val="16"/>
        </w:rPr>
        <w:t xml:space="preserve"> (</w:t>
      </w:r>
      <w:r w:rsidRPr="003F54A7">
        <w:rPr>
          <w:b/>
          <w:bCs/>
          <w:sz w:val="16"/>
          <w:szCs w:val="16"/>
        </w:rPr>
        <w:t>Exhibit AUS-1 (Revision 3)</w:t>
      </w:r>
      <w:r w:rsidRPr="003F54A7">
        <w:rPr>
          <w:sz w:val="16"/>
          <w:szCs w:val="16"/>
        </w:rPr>
        <w:t xml:space="preserve">). </w:t>
      </w:r>
    </w:p>
    <w:p w14:paraId="2E72E6BA" w14:textId="7285DC09" w:rsidR="007E0229" w:rsidRPr="003F54A7" w:rsidRDefault="007E0229" w:rsidP="007E0229">
      <w:pPr>
        <w:pStyle w:val="ListParagraph"/>
        <w:numPr>
          <w:ilvl w:val="0"/>
          <w:numId w:val="23"/>
        </w:numPr>
        <w:spacing w:after="0" w:line="240" w:lineRule="auto"/>
        <w:jc w:val="left"/>
        <w:rPr>
          <w:sz w:val="16"/>
          <w:szCs w:val="16"/>
        </w:rPr>
      </w:pPr>
      <w:r w:rsidRPr="003F54A7">
        <w:rPr>
          <w:sz w:val="16"/>
          <w:szCs w:val="16"/>
        </w:rPr>
        <w:t xml:space="preserve">Australia considers there are two potential options for India's total value of production, both of which are reasonable. Option 1 </w:t>
      </w:r>
      <w:r>
        <w:rPr>
          <w:sz w:val="16"/>
          <w:szCs w:val="16"/>
        </w:rPr>
        <w:t>uses as the</w:t>
      </w:r>
      <w:r w:rsidRPr="003F54A7">
        <w:rPr>
          <w:sz w:val="16"/>
          <w:szCs w:val="16"/>
        </w:rPr>
        <w:t xml:space="preserve"> value of production </w:t>
      </w:r>
      <w:r>
        <w:rPr>
          <w:sz w:val="16"/>
          <w:szCs w:val="16"/>
        </w:rPr>
        <w:t xml:space="preserve">the </w:t>
      </w:r>
      <w:r w:rsidRPr="003F54A7">
        <w:rPr>
          <w:sz w:val="16"/>
          <w:szCs w:val="16"/>
        </w:rPr>
        <w:t xml:space="preserve">figures </w:t>
      </w:r>
      <w:r>
        <w:rPr>
          <w:sz w:val="16"/>
          <w:szCs w:val="16"/>
        </w:rPr>
        <w:t>in</w:t>
      </w:r>
      <w:r w:rsidRPr="003F54A7">
        <w:rPr>
          <w:sz w:val="16"/>
          <w:szCs w:val="16"/>
        </w:rPr>
        <w:t xml:space="preserve"> Row 4.1</w:t>
      </w:r>
      <w:r>
        <w:rPr>
          <w:sz w:val="16"/>
          <w:szCs w:val="16"/>
        </w:rPr>
        <w:t xml:space="preserve"> "Sugarcane" of</w:t>
      </w:r>
      <w:r w:rsidRPr="003F54A7">
        <w:rPr>
          <w:sz w:val="16"/>
          <w:szCs w:val="16"/>
        </w:rPr>
        <w:t xml:space="preserve"> </w:t>
      </w:r>
      <w:r>
        <w:rPr>
          <w:sz w:val="16"/>
          <w:szCs w:val="16"/>
        </w:rPr>
        <w:t xml:space="preserve">India's </w:t>
      </w:r>
      <w:r w:rsidRPr="003F54A7">
        <w:rPr>
          <w:sz w:val="16"/>
          <w:szCs w:val="16"/>
        </w:rPr>
        <w:t>Ministry of Statistics and Programme Implementation</w:t>
      </w:r>
      <w:r>
        <w:rPr>
          <w:sz w:val="16"/>
          <w:szCs w:val="16"/>
        </w:rPr>
        <w:t xml:space="preserve">, </w:t>
      </w:r>
      <w:r w:rsidRPr="003F54A7">
        <w:rPr>
          <w:sz w:val="16"/>
          <w:szCs w:val="16"/>
        </w:rPr>
        <w:t>National Accounts Statistics 2020</w:t>
      </w:r>
      <w:r>
        <w:rPr>
          <w:sz w:val="16"/>
          <w:szCs w:val="16"/>
        </w:rPr>
        <w:t xml:space="preserve">, </w:t>
      </w:r>
      <w:r w:rsidRPr="003F54A7">
        <w:rPr>
          <w:sz w:val="16"/>
          <w:szCs w:val="16"/>
        </w:rPr>
        <w:t>Statement 8.1.2</w:t>
      </w:r>
      <w:r>
        <w:rPr>
          <w:sz w:val="16"/>
          <w:szCs w:val="16"/>
        </w:rPr>
        <w:t xml:space="preserve"> Crop-wise value of output</w:t>
      </w:r>
      <w:r w:rsidRPr="003F54A7">
        <w:rPr>
          <w:sz w:val="16"/>
          <w:szCs w:val="16"/>
        </w:rPr>
        <w:t xml:space="preserve"> (</w:t>
      </w:r>
      <w:r w:rsidRPr="003F54A7">
        <w:rPr>
          <w:b/>
          <w:bCs/>
          <w:sz w:val="16"/>
          <w:szCs w:val="16"/>
        </w:rPr>
        <w:t>Exhibit JE-147</w:t>
      </w:r>
      <w:r w:rsidRPr="003F54A7">
        <w:rPr>
          <w:sz w:val="16"/>
          <w:szCs w:val="16"/>
        </w:rPr>
        <w:t xml:space="preserve">). Option 2 </w:t>
      </w:r>
      <w:r>
        <w:rPr>
          <w:sz w:val="16"/>
          <w:szCs w:val="16"/>
        </w:rPr>
        <w:t>uses as</w:t>
      </w:r>
      <w:r w:rsidRPr="003F54A7">
        <w:rPr>
          <w:sz w:val="16"/>
          <w:szCs w:val="16"/>
        </w:rPr>
        <w:t xml:space="preserve"> the value of production </w:t>
      </w:r>
      <w:r>
        <w:rPr>
          <w:sz w:val="16"/>
          <w:szCs w:val="16"/>
        </w:rPr>
        <w:t>the sum of the figures in</w:t>
      </w:r>
      <w:r w:rsidRPr="003F54A7">
        <w:rPr>
          <w:sz w:val="16"/>
          <w:szCs w:val="16"/>
        </w:rPr>
        <w:t xml:space="preserve"> Rows 4.1</w:t>
      </w:r>
      <w:r>
        <w:rPr>
          <w:sz w:val="16"/>
          <w:szCs w:val="16"/>
        </w:rPr>
        <w:t xml:space="preserve"> "Sugarcane"</w:t>
      </w:r>
      <w:r w:rsidRPr="003F54A7">
        <w:rPr>
          <w:sz w:val="16"/>
          <w:szCs w:val="16"/>
        </w:rPr>
        <w:t xml:space="preserve"> and 4.2 </w:t>
      </w:r>
      <w:r>
        <w:rPr>
          <w:sz w:val="16"/>
          <w:szCs w:val="16"/>
        </w:rPr>
        <w:t xml:space="preserve">"gur" </w:t>
      </w:r>
      <w:r w:rsidRPr="003F54A7">
        <w:rPr>
          <w:sz w:val="16"/>
          <w:szCs w:val="16"/>
        </w:rPr>
        <w:t xml:space="preserve">of Exhibit JE-147. See Australia's response to Panel question 60, paras. 1–14. </w:t>
      </w:r>
    </w:p>
    <w:p w14:paraId="090A34FB" w14:textId="4D7F450B" w:rsidR="007E0229" w:rsidRPr="003F54A7" w:rsidRDefault="0003218C" w:rsidP="007E0229">
      <w:pPr>
        <w:pStyle w:val="ListParagraph"/>
        <w:numPr>
          <w:ilvl w:val="0"/>
          <w:numId w:val="23"/>
        </w:numPr>
        <w:spacing w:after="0" w:line="240" w:lineRule="auto"/>
        <w:jc w:val="left"/>
        <w:rPr>
          <w:sz w:val="16"/>
          <w:szCs w:val="16"/>
        </w:rPr>
      </w:pPr>
      <w:r>
        <w:rPr>
          <w:sz w:val="16"/>
          <w:szCs w:val="16"/>
        </w:rPr>
        <w:t>"</w:t>
      </w:r>
      <w:r w:rsidR="007E0229" w:rsidRPr="003F54A7">
        <w:rPr>
          <w:sz w:val="16"/>
          <w:szCs w:val="16"/>
        </w:rPr>
        <w:t>MPS</w:t>
      </w:r>
      <w:r>
        <w:rPr>
          <w:sz w:val="16"/>
          <w:szCs w:val="16"/>
        </w:rPr>
        <w:t>"</w:t>
      </w:r>
      <w:r w:rsidR="007E0229" w:rsidRPr="003F54A7">
        <w:rPr>
          <w:sz w:val="16"/>
          <w:szCs w:val="16"/>
        </w:rPr>
        <w:t xml:space="preserve"> is market price support</w:t>
      </w:r>
      <w:r>
        <w:rPr>
          <w:sz w:val="16"/>
          <w:szCs w:val="16"/>
        </w:rPr>
        <w:t>; "Rs" is Indian Rupees.</w:t>
      </w:r>
    </w:p>
    <w:p w14:paraId="27DD3275" w14:textId="51DD043C" w:rsidR="007E0229" w:rsidRPr="007E0229" w:rsidRDefault="007E0229" w:rsidP="007E0229">
      <w:pPr>
        <w:pStyle w:val="ListParagraph"/>
        <w:numPr>
          <w:ilvl w:val="0"/>
          <w:numId w:val="23"/>
        </w:numPr>
        <w:spacing w:after="0" w:line="240" w:lineRule="auto"/>
        <w:jc w:val="left"/>
        <w:rPr>
          <w:sz w:val="16"/>
          <w:szCs w:val="16"/>
        </w:rPr>
      </w:pPr>
      <w:r w:rsidRPr="003F54A7">
        <w:rPr>
          <w:sz w:val="16"/>
          <w:szCs w:val="16"/>
        </w:rPr>
        <w:t xml:space="preserve">References to Annexes are to Annexes in Australia's first written submission. </w:t>
      </w:r>
    </w:p>
    <w:sectPr w:rsidR="007E0229" w:rsidRPr="007E0229" w:rsidSect="007E0229">
      <w:headerReference w:type="default" r:id="rId12"/>
      <w:footerReference w:type="default" r:id="rId13"/>
      <w:pgSz w:w="16838" w:h="11906" w:orient="landscape"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CE773" w14:textId="77777777" w:rsidR="009F060F" w:rsidRDefault="009F060F" w:rsidP="00006269">
      <w:pPr>
        <w:spacing w:after="0" w:line="240" w:lineRule="auto"/>
      </w:pPr>
      <w:r>
        <w:separator/>
      </w:r>
    </w:p>
  </w:endnote>
  <w:endnote w:type="continuationSeparator" w:id="0">
    <w:p w14:paraId="3E954A31" w14:textId="77777777" w:rsidR="009F060F" w:rsidRDefault="009F060F" w:rsidP="0000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47F96" w14:textId="3EDA4EEE" w:rsidR="009F060F" w:rsidRDefault="009F060F">
    <w:pPr>
      <w:pStyle w:val="Footer"/>
    </w:pPr>
    <w:r>
      <w:ptab w:relativeTo="margin" w:alignment="right" w:leader="none"/>
    </w:r>
    <w:r w:rsidRPr="00006269">
      <w:fldChar w:fldCharType="begin"/>
    </w:r>
    <w:r w:rsidRPr="00006269">
      <w:instrText xml:space="preserve"> PAGE   \* MERGEFORMAT </w:instrText>
    </w:r>
    <w:r w:rsidRPr="00006269">
      <w:fldChar w:fldCharType="separate"/>
    </w:r>
    <w:r>
      <w:rPr>
        <w:noProof/>
      </w:rPr>
      <w:t>14</w:t>
    </w:r>
    <w:r w:rsidRPr="0000626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2EA7F" w14:textId="287ADFDF" w:rsidR="009F060F" w:rsidRDefault="009F060F">
    <w:pPr>
      <w:pStyle w:val="Footer"/>
    </w:pPr>
    <w:r>
      <w:ptab w:relativeTo="margin" w:alignment="right" w:leader="none"/>
    </w:r>
    <w:r w:rsidRPr="00006269">
      <w:fldChar w:fldCharType="begin"/>
    </w:r>
    <w:r w:rsidRPr="00006269">
      <w:instrText xml:space="preserve"> PAGE   \* MERGEFORMAT </w:instrText>
    </w:r>
    <w:r w:rsidRPr="00006269">
      <w:fldChar w:fldCharType="separate"/>
    </w:r>
    <w:r>
      <w:rPr>
        <w:noProof/>
      </w:rPr>
      <w:t>28</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8937C" w14:textId="77777777" w:rsidR="009F060F" w:rsidRDefault="009F060F" w:rsidP="00006269">
      <w:pPr>
        <w:spacing w:after="0" w:line="240" w:lineRule="auto"/>
      </w:pPr>
      <w:r>
        <w:separator/>
      </w:r>
    </w:p>
  </w:footnote>
  <w:footnote w:type="continuationSeparator" w:id="0">
    <w:p w14:paraId="5D957459" w14:textId="77777777" w:rsidR="009F060F" w:rsidRDefault="009F060F" w:rsidP="00006269">
      <w:pPr>
        <w:spacing w:after="0" w:line="240" w:lineRule="auto"/>
      </w:pPr>
      <w:r>
        <w:continuationSeparator/>
      </w:r>
    </w:p>
  </w:footnote>
  <w:footnote w:id="1">
    <w:p w14:paraId="43EFF953" w14:textId="6C5D4B95" w:rsidR="009F060F" w:rsidRDefault="009F060F">
      <w:pPr>
        <w:pStyle w:val="FootnoteText"/>
      </w:pPr>
      <w:r>
        <w:rPr>
          <w:rStyle w:val="FootnoteReference"/>
        </w:rPr>
        <w:footnoteRef/>
      </w:r>
      <w:r>
        <w:t xml:space="preserve"> India's first written submission, paras. 32–46. </w:t>
      </w:r>
    </w:p>
  </w:footnote>
  <w:footnote w:id="2">
    <w:p w14:paraId="2C743410" w14:textId="749EBC0E" w:rsidR="009F060F" w:rsidRDefault="009F060F">
      <w:pPr>
        <w:pStyle w:val="FootnoteText"/>
      </w:pPr>
      <w:r>
        <w:rPr>
          <w:rStyle w:val="FootnoteReference"/>
        </w:rPr>
        <w:footnoteRef/>
      </w:r>
      <w:r>
        <w:t xml:space="preserve"> Australia's comments on India's request for a preliminary ruling; Australia's comments on India's response regarding India's request for a preliminary ruling.</w:t>
      </w:r>
    </w:p>
  </w:footnote>
  <w:footnote w:id="3">
    <w:p w14:paraId="6FD32F79" w14:textId="4BB8991A" w:rsidR="009F060F" w:rsidRDefault="009F060F">
      <w:pPr>
        <w:pStyle w:val="FootnoteText"/>
      </w:pPr>
      <w:r>
        <w:rPr>
          <w:rStyle w:val="FootnoteReference"/>
        </w:rPr>
        <w:footnoteRef/>
      </w:r>
      <w:r>
        <w:t xml:space="preserve"> India's sugar season begins on 1 October and ends on 31 September of the following year.</w:t>
      </w:r>
    </w:p>
  </w:footnote>
  <w:footnote w:id="4">
    <w:p w14:paraId="3A4C6C3A" w14:textId="4659EB2A" w:rsidR="009F060F" w:rsidRDefault="009F060F">
      <w:pPr>
        <w:pStyle w:val="FootnoteText"/>
      </w:pPr>
      <w:r>
        <w:rPr>
          <w:rStyle w:val="FootnoteReference"/>
        </w:rPr>
        <w:footnoteRef/>
      </w:r>
      <w:r>
        <w:t xml:space="preserve"> Australia's first written submission, para. 23.</w:t>
      </w:r>
    </w:p>
  </w:footnote>
  <w:footnote w:id="5">
    <w:p w14:paraId="67F50942" w14:textId="2E831861" w:rsidR="009F060F" w:rsidRDefault="009F060F">
      <w:pPr>
        <w:pStyle w:val="FootnoteText"/>
      </w:pPr>
      <w:r>
        <w:rPr>
          <w:rStyle w:val="FootnoteReference"/>
        </w:rPr>
        <w:footnoteRef/>
      </w:r>
      <w:r>
        <w:t xml:space="preserve"> Sugarcane (Control) Order 1966 (</w:t>
      </w:r>
      <w:r w:rsidRPr="002D2418">
        <w:rPr>
          <w:b/>
          <w:bCs/>
        </w:rPr>
        <w:t>Exhibit JE-45</w:t>
      </w:r>
      <w:r>
        <w:t>); Essential Commodities Act 1955 (</w:t>
      </w:r>
      <w:r w:rsidRPr="002D2418">
        <w:rPr>
          <w:b/>
          <w:bCs/>
        </w:rPr>
        <w:t>Exhibit JE-43</w:t>
      </w:r>
      <w:r>
        <w:t xml:space="preserve">); Australia's first written submission, paras. 24–26. </w:t>
      </w:r>
    </w:p>
  </w:footnote>
  <w:footnote w:id="6">
    <w:p w14:paraId="62B33625" w14:textId="51DF86E8" w:rsidR="009F060F" w:rsidRDefault="009F060F">
      <w:pPr>
        <w:pStyle w:val="FootnoteText"/>
      </w:pPr>
      <w:r>
        <w:rPr>
          <w:rStyle w:val="FootnoteReference"/>
        </w:rPr>
        <w:footnoteRef/>
      </w:r>
      <w:r>
        <w:t xml:space="preserve"> Essential Commodities Act 1955 (</w:t>
      </w:r>
      <w:r w:rsidRPr="002959A4">
        <w:rPr>
          <w:b/>
          <w:bCs/>
        </w:rPr>
        <w:t>Exhibit JE-43</w:t>
      </w:r>
      <w:r>
        <w:t>), Section 7; Australia's first written submission, para. 37.</w:t>
      </w:r>
    </w:p>
  </w:footnote>
  <w:footnote w:id="7">
    <w:p w14:paraId="28343E29" w14:textId="586636C5" w:rsidR="009F060F" w:rsidRDefault="009F060F">
      <w:pPr>
        <w:pStyle w:val="FootnoteText"/>
      </w:pPr>
      <w:r>
        <w:rPr>
          <w:rStyle w:val="FootnoteReference"/>
        </w:rPr>
        <w:footnoteRef/>
      </w:r>
      <w:r>
        <w:t xml:space="preserve"> India's first written submission, paras. 16–18, 41; Australia's first written submission, Table 2.</w:t>
      </w:r>
    </w:p>
  </w:footnote>
  <w:footnote w:id="8">
    <w:p w14:paraId="1CDD8A0E" w14:textId="6511D0BA" w:rsidR="009F060F" w:rsidRDefault="009F060F">
      <w:pPr>
        <w:pStyle w:val="FootnoteText"/>
      </w:pPr>
      <w:r>
        <w:rPr>
          <w:rStyle w:val="FootnoteReference"/>
        </w:rPr>
        <w:footnoteRef/>
      </w:r>
      <w:r>
        <w:t xml:space="preserve"> Australia's first written submission, para. 41.</w:t>
      </w:r>
    </w:p>
  </w:footnote>
  <w:footnote w:id="9">
    <w:p w14:paraId="129B28D9" w14:textId="5175C38C" w:rsidR="009F060F" w:rsidRDefault="009F060F">
      <w:pPr>
        <w:pStyle w:val="FootnoteText"/>
      </w:pPr>
      <w:r>
        <w:rPr>
          <w:rStyle w:val="FootnoteReference"/>
        </w:rPr>
        <w:footnoteRef/>
      </w:r>
      <w:r>
        <w:t xml:space="preserve"> Australia's first written submission, para. 43.</w:t>
      </w:r>
    </w:p>
  </w:footnote>
  <w:footnote w:id="10">
    <w:p w14:paraId="7FE762FB" w14:textId="7DB00809" w:rsidR="009F060F" w:rsidRDefault="009F060F">
      <w:pPr>
        <w:pStyle w:val="FootnoteText"/>
      </w:pPr>
      <w:r>
        <w:rPr>
          <w:rStyle w:val="FootnoteReference"/>
        </w:rPr>
        <w:footnoteRef/>
      </w:r>
      <w:r>
        <w:t xml:space="preserve"> India does not dispute that Haryana, Punjab, Uttarakhand and Uttar Pradesh set SAPs: India's first written submission, paras. 29–30. India argues that Bihar and Tamil Nadu no longer set SAPs but does not dispute that those States did, in the relevant past sugar seasons, set SAPs: India's first written submission, paras. 30, 42(vii). </w:t>
      </w:r>
      <w:r w:rsidRPr="003329A0">
        <w:rPr>
          <w:i/>
          <w:iCs/>
        </w:rPr>
        <w:t>See also</w:t>
      </w:r>
      <w:r>
        <w:t xml:space="preserve">, Australia's second written submission, paras. 18–20. </w:t>
      </w:r>
    </w:p>
  </w:footnote>
  <w:footnote w:id="11">
    <w:p w14:paraId="347C29C0" w14:textId="1265C98F" w:rsidR="009F060F" w:rsidRDefault="009F060F">
      <w:pPr>
        <w:pStyle w:val="FootnoteText"/>
      </w:pPr>
      <w:r>
        <w:rPr>
          <w:rStyle w:val="FootnoteReference"/>
        </w:rPr>
        <w:footnoteRef/>
      </w:r>
      <w:r>
        <w:t xml:space="preserve"> For details of the applicable sugar seasons and the SAPs in these States, see Australia's first written submission, paras. 48–61, Tables 4–9. </w:t>
      </w:r>
    </w:p>
  </w:footnote>
  <w:footnote w:id="12">
    <w:p w14:paraId="77B858E7" w14:textId="52CF786B" w:rsidR="009F060F" w:rsidRPr="00CF2C54" w:rsidRDefault="009F060F" w:rsidP="008668D0">
      <w:pPr>
        <w:pStyle w:val="FootnoteText"/>
        <w:rPr>
          <w:rFonts w:asciiTheme="minorHAnsi" w:hAnsiTheme="minorHAnsi" w:cstheme="minorHAnsi"/>
          <w:szCs w:val="18"/>
        </w:rPr>
      </w:pPr>
      <w:r w:rsidRPr="00CF2C54">
        <w:rPr>
          <w:rStyle w:val="FootnoteReference"/>
          <w:rFonts w:asciiTheme="minorHAnsi" w:hAnsiTheme="minorHAnsi" w:cstheme="minorHAnsi"/>
          <w:szCs w:val="18"/>
        </w:rPr>
        <w:footnoteRef/>
      </w:r>
      <w:r w:rsidRPr="00CF2C54">
        <w:rPr>
          <w:rFonts w:asciiTheme="minorHAnsi" w:hAnsiTheme="minorHAnsi" w:cstheme="minorHAnsi"/>
          <w:szCs w:val="18"/>
        </w:rPr>
        <w:t xml:space="preserve"> </w:t>
      </w:r>
      <w:r w:rsidRPr="00CF2C54">
        <w:rPr>
          <w:rFonts w:asciiTheme="minorHAnsi" w:hAnsiTheme="minorHAnsi" w:cstheme="minorHAnsi"/>
        </w:rPr>
        <w:t>Australia's first written submission,</w:t>
      </w:r>
      <w:r>
        <w:rPr>
          <w:rFonts w:asciiTheme="minorHAnsi" w:hAnsiTheme="minorHAnsi" w:cstheme="minorHAnsi"/>
        </w:rPr>
        <w:t xml:space="preserve"> paras. 190–192; Australia's responses to Panel questions 28(c) (paras. 84</w:t>
      </w:r>
      <w:r>
        <w:t>–</w:t>
      </w:r>
      <w:r>
        <w:rPr>
          <w:rFonts w:asciiTheme="minorHAnsi" w:hAnsiTheme="minorHAnsi" w:cstheme="minorHAnsi"/>
        </w:rPr>
        <w:t>86), 28(d) (paras. 87–91).</w:t>
      </w:r>
    </w:p>
  </w:footnote>
  <w:footnote w:id="13">
    <w:p w14:paraId="258E125D" w14:textId="2E5E6A35" w:rsidR="009F060F" w:rsidRDefault="009F060F">
      <w:pPr>
        <w:pStyle w:val="FootnoteText"/>
      </w:pPr>
      <w:r>
        <w:rPr>
          <w:rStyle w:val="FootnoteReference"/>
        </w:rPr>
        <w:footnoteRef/>
      </w:r>
      <w:r>
        <w:t xml:space="preserve"> India's responses to Panel questions 28(d) (p. 20), 74(b) (p. 11).</w:t>
      </w:r>
    </w:p>
  </w:footnote>
  <w:footnote w:id="14">
    <w:p w14:paraId="614AD0A5" w14:textId="41D25CAB" w:rsidR="009F060F" w:rsidRDefault="009F060F">
      <w:pPr>
        <w:pStyle w:val="FootnoteText"/>
      </w:pPr>
      <w:r>
        <w:rPr>
          <w:rStyle w:val="FootnoteReference"/>
        </w:rPr>
        <w:footnoteRef/>
      </w:r>
      <w:r>
        <w:t xml:space="preserve"> Australia's comments on India's response to Panel question 74(b), paras. 31–32. </w:t>
      </w:r>
    </w:p>
  </w:footnote>
  <w:footnote w:id="15">
    <w:p w14:paraId="3924E5BA" w14:textId="72CDC425" w:rsidR="009F060F" w:rsidRPr="00CF2C54" w:rsidRDefault="009F060F" w:rsidP="008668D0">
      <w:pPr>
        <w:pStyle w:val="FootnoteText"/>
        <w:rPr>
          <w:rFonts w:asciiTheme="minorHAnsi" w:hAnsiTheme="minorHAnsi" w:cstheme="minorHAnsi"/>
          <w:szCs w:val="18"/>
        </w:rPr>
      </w:pPr>
      <w:r w:rsidRPr="00CF2C54">
        <w:rPr>
          <w:rStyle w:val="FootnoteReference"/>
          <w:rFonts w:asciiTheme="minorHAnsi" w:hAnsiTheme="minorHAnsi" w:cstheme="minorHAnsi"/>
          <w:szCs w:val="18"/>
        </w:rPr>
        <w:footnoteRef/>
      </w:r>
      <w:r w:rsidRPr="00CF2C54">
        <w:rPr>
          <w:rFonts w:asciiTheme="minorHAnsi" w:hAnsiTheme="minorHAnsi" w:cstheme="minorHAnsi"/>
          <w:szCs w:val="18"/>
        </w:rPr>
        <w:t xml:space="preserve"> </w:t>
      </w:r>
      <w:r w:rsidRPr="00CF2C54">
        <w:rPr>
          <w:rFonts w:asciiTheme="minorHAnsi" w:hAnsiTheme="minorHAnsi" w:cstheme="minorHAnsi"/>
        </w:rPr>
        <w:t xml:space="preserve">Australia's first written submission, </w:t>
      </w:r>
      <w:r>
        <w:rPr>
          <w:rFonts w:asciiTheme="minorHAnsi" w:hAnsiTheme="minorHAnsi" w:cstheme="minorHAnsi"/>
          <w:szCs w:val="18"/>
        </w:rPr>
        <w:t xml:space="preserve">para. 195; Australia's response to Panel question 77, paras. 94–98. </w:t>
      </w:r>
    </w:p>
  </w:footnote>
  <w:footnote w:id="16">
    <w:p w14:paraId="2D455F5B" w14:textId="630AA391" w:rsidR="009F060F" w:rsidRDefault="009F060F">
      <w:pPr>
        <w:pStyle w:val="FootnoteText"/>
      </w:pPr>
      <w:r>
        <w:rPr>
          <w:rStyle w:val="FootnoteReference"/>
        </w:rPr>
        <w:footnoteRef/>
      </w:r>
      <w:r>
        <w:t xml:space="preserve"> India's response to Guatemala's question 3, p. 2.</w:t>
      </w:r>
    </w:p>
  </w:footnote>
  <w:footnote w:id="17">
    <w:p w14:paraId="6730D726" w14:textId="08600FFE" w:rsidR="009F060F" w:rsidRDefault="009F060F">
      <w:pPr>
        <w:pStyle w:val="FootnoteText"/>
      </w:pPr>
      <w:r>
        <w:rPr>
          <w:rStyle w:val="FootnoteReference"/>
        </w:rPr>
        <w:footnoteRef/>
      </w:r>
      <w:r>
        <w:t xml:space="preserve"> </w:t>
      </w:r>
      <w:r>
        <w:rPr>
          <w:rFonts w:asciiTheme="minorHAnsi" w:hAnsiTheme="minorHAnsi" w:cstheme="minorHAnsi"/>
          <w:szCs w:val="18"/>
        </w:rPr>
        <w:t>Australia's comments on India's response to Guatemala's question 3, paras. 60–61.</w:t>
      </w:r>
    </w:p>
  </w:footnote>
  <w:footnote w:id="18">
    <w:p w14:paraId="4AA200F3" w14:textId="3D79F027" w:rsidR="009F060F" w:rsidRDefault="009F060F">
      <w:pPr>
        <w:pStyle w:val="FootnoteText"/>
      </w:pPr>
      <w:r>
        <w:rPr>
          <w:rStyle w:val="FootnoteReference"/>
        </w:rPr>
        <w:footnoteRef/>
      </w:r>
      <w:r>
        <w:t xml:space="preserve"> Australia's first written submission, paras. 198–201. The "base FRP" is the minimum price payable for sugarcane at or below the FRP's basic recovery rate (or quality). In the 2018–19 sugar season, sugarcane with a recovery rate below the FRP's basic recovery rate received a minimum price</w:t>
      </w:r>
      <w:r w:rsidR="00167AAB">
        <w:t xml:space="preserve"> lower than the base FRP</w:t>
      </w:r>
      <w:r>
        <w:t>: Australia's first written submission, paras. 28–35, Table 2.</w:t>
      </w:r>
    </w:p>
  </w:footnote>
  <w:footnote w:id="19">
    <w:p w14:paraId="3876968C" w14:textId="5AC46A76" w:rsidR="009F060F" w:rsidRDefault="009F060F" w:rsidP="00B17ED9">
      <w:pPr>
        <w:pStyle w:val="FootnoteText"/>
      </w:pPr>
      <w:r>
        <w:rPr>
          <w:rStyle w:val="FootnoteReference"/>
        </w:rPr>
        <w:footnoteRef/>
      </w:r>
      <w:r>
        <w:t xml:space="preserve"> Australia's response to Panel question 73, paras. 71–75.</w:t>
      </w:r>
    </w:p>
  </w:footnote>
  <w:footnote w:id="20">
    <w:p w14:paraId="1DA208A9" w14:textId="7E908D9F" w:rsidR="009F060F" w:rsidRDefault="009F060F" w:rsidP="003E6C76">
      <w:pPr>
        <w:pStyle w:val="FootnoteText"/>
      </w:pPr>
      <w:r>
        <w:rPr>
          <w:rStyle w:val="FootnoteReference"/>
        </w:rPr>
        <w:footnoteRef/>
      </w:r>
      <w:r>
        <w:t xml:space="preserve"> These measures are listed in Australia's first written submission, paras. 181–184, Annexes A–E.</w:t>
      </w:r>
    </w:p>
  </w:footnote>
  <w:footnote w:id="21">
    <w:p w14:paraId="0F5623F2" w14:textId="46375545" w:rsidR="009F060F" w:rsidRDefault="009F060F" w:rsidP="00B72A9A">
      <w:pPr>
        <w:pStyle w:val="FootnoteText"/>
      </w:pPr>
      <w:r>
        <w:rPr>
          <w:rStyle w:val="FootnoteReference"/>
        </w:rPr>
        <w:footnoteRef/>
      </w:r>
      <w:r>
        <w:t xml:space="preserve"> </w:t>
      </w:r>
      <w:r w:rsidRPr="00E433EE">
        <w:t>India's first written submission, para. 43</w:t>
      </w:r>
      <w:r>
        <w:t>; Australia's second written submission, paras. 22–23</w:t>
      </w:r>
      <w:r w:rsidRPr="00E433EE">
        <w:t>.</w:t>
      </w:r>
    </w:p>
  </w:footnote>
  <w:footnote w:id="22">
    <w:p w14:paraId="323F6881" w14:textId="77777777" w:rsidR="009F060F" w:rsidRDefault="009F060F" w:rsidP="00FA16A8">
      <w:pPr>
        <w:pStyle w:val="FootnoteText"/>
      </w:pPr>
      <w:r>
        <w:rPr>
          <w:rStyle w:val="FootnoteReference"/>
        </w:rPr>
        <w:footnoteRef/>
      </w:r>
      <w:r>
        <w:t xml:space="preserve"> Australia's first written submission, paras. 219–220. </w:t>
      </w:r>
    </w:p>
  </w:footnote>
  <w:footnote w:id="23">
    <w:p w14:paraId="1942BD4C" w14:textId="77777777" w:rsidR="009F060F" w:rsidRDefault="009F060F" w:rsidP="00FA16A8">
      <w:pPr>
        <w:pStyle w:val="FootnoteText"/>
      </w:pPr>
      <w:r>
        <w:rPr>
          <w:rStyle w:val="FootnoteReference"/>
        </w:rPr>
        <w:footnoteRef/>
      </w:r>
      <w:r>
        <w:t xml:space="preserve"> Australia's first written submission, para. 230.</w:t>
      </w:r>
    </w:p>
  </w:footnote>
  <w:footnote w:id="24">
    <w:p w14:paraId="217F1D87" w14:textId="4F60811F" w:rsidR="009F060F" w:rsidRDefault="009F060F">
      <w:pPr>
        <w:pStyle w:val="FootnoteText"/>
      </w:pPr>
      <w:r>
        <w:rPr>
          <w:rStyle w:val="FootnoteReference"/>
        </w:rPr>
        <w:footnoteRef/>
      </w:r>
      <w:r>
        <w:t xml:space="preserve"> Australia's first written submission, paras. 231–233, Annex C. </w:t>
      </w:r>
    </w:p>
  </w:footnote>
  <w:footnote w:id="25">
    <w:p w14:paraId="3064C841" w14:textId="5BDF3AFC" w:rsidR="009F060F" w:rsidRDefault="009F060F" w:rsidP="00FA16A8">
      <w:pPr>
        <w:pStyle w:val="FootnoteText"/>
      </w:pPr>
      <w:r>
        <w:rPr>
          <w:rStyle w:val="FootnoteReference"/>
        </w:rPr>
        <w:footnoteRef/>
      </w:r>
      <w:r>
        <w:t xml:space="preserve"> Australia's first written submission, para. 234, Annex D-03; Australia's opening statement at the first substantive meeting, para. 76.</w:t>
      </w:r>
    </w:p>
  </w:footnote>
  <w:footnote w:id="26">
    <w:p w14:paraId="25632F92" w14:textId="0C8B345C" w:rsidR="009F060F" w:rsidRDefault="009F060F" w:rsidP="00FA16A8">
      <w:pPr>
        <w:pStyle w:val="FootnoteText"/>
      </w:pPr>
      <w:r>
        <w:rPr>
          <w:rStyle w:val="FootnoteReference"/>
        </w:rPr>
        <w:footnoteRef/>
      </w:r>
      <w:r>
        <w:t xml:space="preserve"> </w:t>
      </w:r>
      <w:r w:rsidRPr="00202EC9">
        <w:t>Australia's first written submission, para. 235</w:t>
      </w:r>
      <w:r>
        <w:t>; Australia's second written submission, paras. 214–217</w:t>
      </w:r>
      <w:r w:rsidRPr="00202EC9">
        <w:t>.</w:t>
      </w:r>
    </w:p>
  </w:footnote>
  <w:footnote w:id="27">
    <w:p w14:paraId="0CBCA989" w14:textId="77777777" w:rsidR="009F060F" w:rsidRDefault="009F060F" w:rsidP="00202EC9">
      <w:pPr>
        <w:pStyle w:val="FootnoteText"/>
      </w:pPr>
      <w:r>
        <w:rPr>
          <w:rStyle w:val="FootnoteReference"/>
        </w:rPr>
        <w:footnoteRef/>
      </w:r>
      <w:r>
        <w:t xml:space="preserve"> Australia's first written submission, paras. 450–466.</w:t>
      </w:r>
    </w:p>
  </w:footnote>
  <w:footnote w:id="28">
    <w:p w14:paraId="3339AAC6" w14:textId="375B39E3" w:rsidR="009F060F" w:rsidRPr="00594F06" w:rsidRDefault="009F060F" w:rsidP="007D331B">
      <w:pPr>
        <w:pStyle w:val="FootnoteText"/>
      </w:pPr>
      <w:r w:rsidRPr="00796C66">
        <w:rPr>
          <w:rStyle w:val="FootnoteReference"/>
          <w:rFonts w:asciiTheme="minorHAnsi" w:hAnsiTheme="minorHAnsi" w:cstheme="minorHAnsi"/>
          <w:szCs w:val="18"/>
        </w:rPr>
        <w:footnoteRef/>
      </w:r>
      <w:r w:rsidRPr="00796C66">
        <w:rPr>
          <w:rFonts w:asciiTheme="minorHAnsi" w:hAnsiTheme="minorHAnsi" w:cstheme="minorHAnsi"/>
          <w:szCs w:val="18"/>
        </w:rPr>
        <w:t xml:space="preserve"> </w:t>
      </w:r>
      <w:r w:rsidRPr="00594F06">
        <w:t>Agreement on Agriculture</w:t>
      </w:r>
      <w:r>
        <w:t>,</w:t>
      </w:r>
      <w:r w:rsidRPr="00594F06">
        <w:t xml:space="preserve"> Article 1(a) and Annex 3, para</w:t>
      </w:r>
      <w:r>
        <w:t>graph</w:t>
      </w:r>
      <w:r w:rsidRPr="00594F06">
        <w:t xml:space="preserve"> 6</w:t>
      </w:r>
      <w:r>
        <w:t xml:space="preserve">. </w:t>
      </w:r>
      <w:r w:rsidRPr="002951F6">
        <w:rPr>
          <w:i/>
          <w:iCs/>
        </w:rPr>
        <w:t>See also</w:t>
      </w:r>
      <w:r>
        <w:t>, Australia's first written submission, para. 84.</w:t>
      </w:r>
    </w:p>
  </w:footnote>
  <w:footnote w:id="29">
    <w:p w14:paraId="46594C44" w14:textId="77777777" w:rsidR="009F060F" w:rsidRDefault="009F060F" w:rsidP="007D331B">
      <w:pPr>
        <w:pStyle w:val="FootnoteText"/>
      </w:pPr>
      <w:r>
        <w:rPr>
          <w:rStyle w:val="FootnoteReference"/>
        </w:rPr>
        <w:footnoteRef/>
      </w:r>
      <w:r>
        <w:t xml:space="preserve"> Agreement on Agriculture, Article 1(a). </w:t>
      </w:r>
      <w:r w:rsidRPr="00C11712">
        <w:rPr>
          <w:i/>
          <w:iCs/>
        </w:rPr>
        <w:t>See also</w:t>
      </w:r>
      <w:r>
        <w:t xml:space="preserve">, Article 6.4(a) and Annex 3; Australia's first written submission, para. 86. </w:t>
      </w:r>
    </w:p>
  </w:footnote>
  <w:footnote w:id="30">
    <w:p w14:paraId="6ACF9A7A" w14:textId="14BD4B82" w:rsidR="009F060F" w:rsidRDefault="009F060F" w:rsidP="007D331B">
      <w:pPr>
        <w:pStyle w:val="FootnoteText"/>
      </w:pPr>
      <w:r>
        <w:rPr>
          <w:rStyle w:val="FootnoteReference"/>
        </w:rPr>
        <w:footnoteRef/>
      </w:r>
      <w:r>
        <w:t xml:space="preserve"> Agreement on Agriculture, Articles 1(h), 6.4 and 7.2(a). </w:t>
      </w:r>
      <w:r w:rsidRPr="009C3E25">
        <w:rPr>
          <w:i/>
          <w:iCs/>
        </w:rPr>
        <w:t>See also</w:t>
      </w:r>
      <w:r>
        <w:t>, Australia's first written submission, paras. 87, 90, 94.</w:t>
      </w:r>
    </w:p>
  </w:footnote>
  <w:footnote w:id="31">
    <w:p w14:paraId="396628FD" w14:textId="3B777AE2" w:rsidR="009F060F" w:rsidRDefault="009F060F" w:rsidP="007D331B">
      <w:pPr>
        <w:pStyle w:val="FootnoteText"/>
      </w:pPr>
      <w:r>
        <w:rPr>
          <w:rStyle w:val="FootnoteReference"/>
        </w:rPr>
        <w:footnoteRef/>
      </w:r>
      <w:r>
        <w:t xml:space="preserve"> Australia's first written submission, paras. 98–100, 148. </w:t>
      </w:r>
      <w:r w:rsidRPr="007218FF">
        <w:t>The Agreement on Agriculture provides in Article 1 that "unless the context otherwise requires… (i) </w:t>
      </w:r>
      <w:r>
        <w:t>'</w:t>
      </w:r>
      <w:r w:rsidRPr="007218FF">
        <w:t>year</w:t>
      </w:r>
      <w:r>
        <w:t>'</w:t>
      </w:r>
      <w:r w:rsidRPr="007218FF">
        <w:t>… in relation to the specific commitments of a Member refers to the calendar, financial or marketing year specified in the Schedule relating to that Member."</w:t>
      </w:r>
    </w:p>
  </w:footnote>
  <w:footnote w:id="32">
    <w:p w14:paraId="1F3F56B1" w14:textId="7170104E" w:rsidR="009F060F" w:rsidRDefault="009F060F" w:rsidP="007D331B">
      <w:pPr>
        <w:pStyle w:val="FootnoteText"/>
      </w:pPr>
      <w:r>
        <w:rPr>
          <w:rStyle w:val="FootnoteReference"/>
        </w:rPr>
        <w:footnoteRef/>
      </w:r>
      <w:r>
        <w:t xml:space="preserve"> India's response to Panel question 46, p. 4; Australia's first written submission, paras. 103–107. </w:t>
      </w:r>
    </w:p>
  </w:footnote>
  <w:footnote w:id="33">
    <w:p w14:paraId="5BED838A" w14:textId="77777777" w:rsidR="009F060F" w:rsidRDefault="009F060F" w:rsidP="007D331B">
      <w:pPr>
        <w:pStyle w:val="FootnoteText"/>
      </w:pPr>
      <w:r>
        <w:rPr>
          <w:rStyle w:val="FootnoteReference"/>
        </w:rPr>
        <w:footnoteRef/>
      </w:r>
      <w:r>
        <w:t xml:space="preserve"> Australia's first written submission, para. 108.</w:t>
      </w:r>
    </w:p>
  </w:footnote>
  <w:footnote w:id="34">
    <w:p w14:paraId="41DC2AA9" w14:textId="77777777" w:rsidR="009F060F" w:rsidRDefault="009F060F" w:rsidP="007D331B">
      <w:pPr>
        <w:pStyle w:val="FootnoteText"/>
      </w:pPr>
      <w:r>
        <w:rPr>
          <w:rStyle w:val="FootnoteReference"/>
        </w:rPr>
        <w:footnoteRef/>
      </w:r>
      <w:r>
        <w:t xml:space="preserve"> Australia's first written submission, para. 142.</w:t>
      </w:r>
    </w:p>
  </w:footnote>
  <w:footnote w:id="35">
    <w:p w14:paraId="365D73F4" w14:textId="77777777" w:rsidR="009F060F" w:rsidRDefault="009F060F" w:rsidP="007D331B">
      <w:pPr>
        <w:pStyle w:val="FootnoteText"/>
      </w:pPr>
      <w:r>
        <w:rPr>
          <w:rStyle w:val="FootnoteReference"/>
        </w:rPr>
        <w:footnoteRef/>
      </w:r>
      <w:r>
        <w:t xml:space="preserve"> Agreement on Agriculture, Article 7.2(a). </w:t>
      </w:r>
    </w:p>
  </w:footnote>
  <w:footnote w:id="36">
    <w:p w14:paraId="3A363A52" w14:textId="77777777" w:rsidR="009F060F" w:rsidRDefault="009F060F" w:rsidP="007D331B">
      <w:pPr>
        <w:pStyle w:val="FootnoteText"/>
      </w:pPr>
      <w:r>
        <w:rPr>
          <w:rStyle w:val="FootnoteReference"/>
        </w:rPr>
        <w:footnoteRef/>
      </w:r>
      <w:r>
        <w:t xml:space="preserve"> Australia's response to Panel question 51, para. 17.</w:t>
      </w:r>
    </w:p>
  </w:footnote>
  <w:footnote w:id="37">
    <w:p w14:paraId="4D683E18" w14:textId="77777777" w:rsidR="009F060F" w:rsidRDefault="009F060F" w:rsidP="007D331B">
      <w:pPr>
        <w:pStyle w:val="FootnoteText"/>
      </w:pPr>
      <w:r>
        <w:rPr>
          <w:rStyle w:val="FootnoteReference"/>
        </w:rPr>
        <w:footnoteRef/>
      </w:r>
      <w:r>
        <w:t xml:space="preserve"> Agreement on Agriculture, Article 1(a)(ii).</w:t>
      </w:r>
    </w:p>
  </w:footnote>
  <w:footnote w:id="38">
    <w:p w14:paraId="3323048C" w14:textId="77777777" w:rsidR="009F060F" w:rsidRDefault="009F060F" w:rsidP="007D331B">
      <w:pPr>
        <w:pStyle w:val="FootnoteText"/>
      </w:pPr>
      <w:r>
        <w:rPr>
          <w:rStyle w:val="FootnoteReference"/>
        </w:rPr>
        <w:footnoteRef/>
      </w:r>
      <w:r>
        <w:t xml:space="preserve"> Agreement on Agriculture, Annex 3, paragraph 1. </w:t>
      </w:r>
    </w:p>
  </w:footnote>
  <w:footnote w:id="39">
    <w:p w14:paraId="617242ED" w14:textId="47740F96" w:rsidR="009F060F" w:rsidRPr="00D85757" w:rsidRDefault="009F060F" w:rsidP="007D331B">
      <w:pPr>
        <w:pStyle w:val="FootnoteText"/>
        <w:rPr>
          <w:rFonts w:asciiTheme="minorHAnsi" w:hAnsiTheme="minorHAnsi" w:cstheme="minorHAnsi"/>
        </w:rPr>
      </w:pPr>
      <w:r w:rsidRPr="00D85757">
        <w:rPr>
          <w:rStyle w:val="FootnoteReference"/>
          <w:rFonts w:asciiTheme="minorHAnsi" w:hAnsiTheme="minorHAnsi" w:cstheme="minorHAnsi"/>
        </w:rPr>
        <w:footnoteRef/>
      </w:r>
      <w:r w:rsidRPr="00D85757">
        <w:rPr>
          <w:rFonts w:asciiTheme="minorHAnsi" w:hAnsiTheme="minorHAnsi" w:cstheme="minorHAnsi"/>
        </w:rPr>
        <w:t xml:space="preserve"> </w:t>
      </w:r>
      <w:r>
        <w:rPr>
          <w:rFonts w:asciiTheme="minorHAnsi" w:hAnsiTheme="minorHAnsi" w:cstheme="minorHAnsi"/>
        </w:rPr>
        <w:t xml:space="preserve">Agreement on Agriculture, Article 6.4(a)(i). </w:t>
      </w:r>
      <w:r w:rsidRPr="003F2C52">
        <w:rPr>
          <w:rFonts w:asciiTheme="minorHAnsi" w:hAnsiTheme="minorHAnsi" w:cstheme="minorHAnsi"/>
          <w:szCs w:val="18"/>
        </w:rPr>
        <w:t>See</w:t>
      </w:r>
      <w:r w:rsidRPr="00D85757">
        <w:rPr>
          <w:rFonts w:asciiTheme="minorHAnsi" w:hAnsiTheme="minorHAnsi" w:cstheme="minorHAnsi"/>
          <w:szCs w:val="18"/>
        </w:rPr>
        <w:t xml:space="preserve">, for example, the panel's approach in </w:t>
      </w:r>
      <w:r w:rsidRPr="00D85757">
        <w:rPr>
          <w:rFonts w:asciiTheme="minorHAnsi" w:hAnsiTheme="minorHAnsi" w:cstheme="minorHAnsi"/>
          <w:i/>
          <w:szCs w:val="18"/>
        </w:rPr>
        <w:t>China – Agricultural Producers</w:t>
      </w:r>
      <w:r w:rsidRPr="00D85757">
        <w:rPr>
          <w:rFonts w:asciiTheme="minorHAnsi" w:hAnsiTheme="minorHAnsi" w:cstheme="minorHAnsi"/>
          <w:szCs w:val="18"/>
        </w:rPr>
        <w:t xml:space="preserve">, </w:t>
      </w:r>
      <w:r>
        <w:rPr>
          <w:rFonts w:asciiTheme="minorHAnsi" w:hAnsiTheme="minorHAnsi" w:cstheme="minorHAnsi"/>
          <w:szCs w:val="18"/>
        </w:rPr>
        <w:t>T</w:t>
      </w:r>
      <w:r w:rsidRPr="00D85757">
        <w:rPr>
          <w:rFonts w:asciiTheme="minorHAnsi" w:hAnsiTheme="minorHAnsi" w:cstheme="minorHAnsi"/>
          <w:szCs w:val="18"/>
        </w:rPr>
        <w:t>ables</w:t>
      </w:r>
      <w:r>
        <w:rPr>
          <w:rFonts w:asciiTheme="minorHAnsi" w:hAnsiTheme="minorHAnsi" w:cstheme="minorHAnsi"/>
          <w:szCs w:val="18"/>
        </w:rPr>
        <w:t> </w:t>
      </w:r>
      <w:r w:rsidRPr="00D85757">
        <w:rPr>
          <w:rFonts w:asciiTheme="minorHAnsi" w:hAnsiTheme="minorHAnsi" w:cstheme="minorHAnsi"/>
          <w:szCs w:val="18"/>
        </w:rPr>
        <w:t>9–16, and para 7.412.</w:t>
      </w:r>
      <w:r>
        <w:rPr>
          <w:rFonts w:asciiTheme="minorHAnsi" w:hAnsiTheme="minorHAnsi" w:cstheme="minorHAnsi"/>
          <w:szCs w:val="18"/>
        </w:rPr>
        <w:t xml:space="preserve"> </w:t>
      </w:r>
      <w:r w:rsidRPr="00F17AC4">
        <w:rPr>
          <w:rFonts w:asciiTheme="minorHAnsi" w:hAnsiTheme="minorHAnsi" w:cstheme="minorHAnsi"/>
          <w:i/>
          <w:iCs/>
          <w:szCs w:val="18"/>
        </w:rPr>
        <w:t>See also</w:t>
      </w:r>
      <w:r>
        <w:rPr>
          <w:rFonts w:asciiTheme="minorHAnsi" w:hAnsiTheme="minorHAnsi" w:cstheme="minorHAnsi"/>
          <w:szCs w:val="18"/>
        </w:rPr>
        <w:t xml:space="preserve">, Australia's first written submission, paras. 145–147. </w:t>
      </w:r>
    </w:p>
  </w:footnote>
  <w:footnote w:id="40">
    <w:p w14:paraId="5C091F39" w14:textId="14B36002" w:rsidR="009F060F" w:rsidRDefault="009F060F" w:rsidP="007C6664">
      <w:pPr>
        <w:pStyle w:val="FootnoteText"/>
      </w:pPr>
      <w:r>
        <w:rPr>
          <w:rStyle w:val="FootnoteReference"/>
        </w:rPr>
        <w:footnoteRef/>
      </w:r>
      <w:r>
        <w:t xml:space="preserve"> Consistent with Article 31(1) of the Vienna Convention on the Law of Treaties, which forms part of the customary rules of interpretation of public international law: Appellate Body Report, </w:t>
      </w:r>
      <w:r w:rsidRPr="00366DD6">
        <w:rPr>
          <w:i/>
          <w:iCs/>
        </w:rPr>
        <w:t>US – Gasoline</w:t>
      </w:r>
      <w:r>
        <w:t>, p. 17. Article 3.2 of the Understanding on Rules and Procedures Governing the Settlement of Disputes provides that the WTO covered agreements are to be interpreted in accordance with these rules</w:t>
      </w:r>
      <w:r w:rsidR="00E025DA">
        <w:t>: Australia's second written submission, footnote 32</w:t>
      </w:r>
      <w:r>
        <w:t xml:space="preserve">. </w:t>
      </w:r>
    </w:p>
  </w:footnote>
  <w:footnote w:id="41">
    <w:p w14:paraId="09E7E28D" w14:textId="0B6549F4" w:rsidR="009F060F" w:rsidRDefault="009F060F">
      <w:pPr>
        <w:pStyle w:val="FootnoteText"/>
      </w:pPr>
      <w:r>
        <w:rPr>
          <w:rStyle w:val="FootnoteReference"/>
        </w:rPr>
        <w:footnoteRef/>
      </w:r>
      <w:r>
        <w:t xml:space="preserve"> Australia's second written submission, paras. 33, 50.  </w:t>
      </w:r>
    </w:p>
  </w:footnote>
  <w:footnote w:id="42">
    <w:p w14:paraId="421A316B" w14:textId="4ACD00A9" w:rsidR="009F060F" w:rsidRDefault="009F060F">
      <w:pPr>
        <w:pStyle w:val="FootnoteText"/>
      </w:pPr>
      <w:r>
        <w:rPr>
          <w:rStyle w:val="FootnoteReference"/>
        </w:rPr>
        <w:footnoteRef/>
      </w:r>
      <w:r>
        <w:t xml:space="preserve"> India's first written submission, paras. 62–63; India's responses to Panel questions 18(a) (p. 14), 25(b) (p. 18); India's opening statement at the first substantive meeting, para. 9; India's closing statement at the first substantive meeting, paras. 24–28.</w:t>
      </w:r>
    </w:p>
  </w:footnote>
  <w:footnote w:id="43">
    <w:p w14:paraId="499AEED6" w14:textId="77777777" w:rsidR="009F060F" w:rsidRDefault="009F060F" w:rsidP="007D331B">
      <w:pPr>
        <w:pStyle w:val="FootnoteText"/>
      </w:pPr>
      <w:r>
        <w:rPr>
          <w:rStyle w:val="FootnoteReference"/>
        </w:rPr>
        <w:footnoteRef/>
      </w:r>
      <w:r>
        <w:t xml:space="preserve"> Agreement on Agriculture, Annex 4, para. 1. </w:t>
      </w:r>
    </w:p>
  </w:footnote>
  <w:footnote w:id="44">
    <w:p w14:paraId="7A273897" w14:textId="2214729B" w:rsidR="009F060F" w:rsidRDefault="009F060F">
      <w:pPr>
        <w:pStyle w:val="FootnoteText"/>
      </w:pPr>
      <w:r>
        <w:rPr>
          <w:rStyle w:val="FootnoteReference"/>
        </w:rPr>
        <w:footnoteRef/>
      </w:r>
      <w:r>
        <w:t xml:space="preserve"> See paragraph </w:t>
      </w:r>
      <w:r>
        <w:fldChar w:fldCharType="begin"/>
      </w:r>
      <w:r>
        <w:instrText xml:space="preserve"> REF _Ref72317212 \r \h </w:instrText>
      </w:r>
      <w:r>
        <w:fldChar w:fldCharType="separate"/>
      </w:r>
      <w:r w:rsidR="00AC7864">
        <w:t>31</w:t>
      </w:r>
      <w:r>
        <w:fldChar w:fldCharType="end"/>
      </w:r>
      <w:r>
        <w:t xml:space="preserve"> above. </w:t>
      </w:r>
      <w:r w:rsidRPr="005A3DB1">
        <w:rPr>
          <w:i/>
          <w:iCs/>
        </w:rPr>
        <w:t>See also</w:t>
      </w:r>
      <w:r>
        <w:t xml:space="preserve">, </w:t>
      </w:r>
      <w:r w:rsidRPr="00406208">
        <w:t>Australia's second written submission, para. 56</w:t>
      </w:r>
      <w:r>
        <w:t>,</w:t>
      </w:r>
      <w:r w:rsidRPr="00406208">
        <w:t xml:space="preserve"> citing Chairman’s note on options in the agricultural negotiations, MTN.GNG/AG/W/1/Add.4 (</w:t>
      </w:r>
      <w:r w:rsidRPr="00406208">
        <w:rPr>
          <w:b/>
          <w:bCs/>
        </w:rPr>
        <w:t>Exhibit JE-156</w:t>
      </w:r>
      <w:r w:rsidRPr="00406208">
        <w:t>), para. 3.</w:t>
      </w:r>
      <w:r w:rsidRPr="00406208">
        <w:rPr>
          <w:i/>
          <w:iCs/>
        </w:rPr>
        <w:t xml:space="preserve"> </w:t>
      </w:r>
    </w:p>
  </w:footnote>
  <w:footnote w:id="45">
    <w:p w14:paraId="2DC74484" w14:textId="7BC8BA0D" w:rsidR="009F060F" w:rsidRDefault="009F060F" w:rsidP="001E0406">
      <w:pPr>
        <w:pStyle w:val="FootnoteText"/>
      </w:pPr>
      <w:r>
        <w:rPr>
          <w:rStyle w:val="FootnoteReference"/>
        </w:rPr>
        <w:footnoteRef/>
      </w:r>
      <w:r>
        <w:t xml:space="preserve"> India's responses to Panel questions 18(a) (p. 14), 18(c) (p. 14); India's opening statement at the first substantive meeting, paras. 24–25; India's second written submission, paras. 16–18.</w:t>
      </w:r>
    </w:p>
  </w:footnote>
  <w:footnote w:id="46">
    <w:p w14:paraId="6C235A87" w14:textId="03271EAF" w:rsidR="009F060F" w:rsidRDefault="009F060F">
      <w:pPr>
        <w:pStyle w:val="FootnoteText"/>
      </w:pPr>
      <w:r>
        <w:rPr>
          <w:rStyle w:val="FootnoteReference"/>
        </w:rPr>
        <w:footnoteRef/>
      </w:r>
      <w:r>
        <w:t xml:space="preserve"> Australia's second written submission, para. 57.</w:t>
      </w:r>
    </w:p>
  </w:footnote>
  <w:footnote w:id="47">
    <w:p w14:paraId="643E487A" w14:textId="3AF2E60D" w:rsidR="009F060F" w:rsidRDefault="009F060F" w:rsidP="00AB4765">
      <w:pPr>
        <w:pStyle w:val="FootnoteText"/>
      </w:pPr>
      <w:r>
        <w:rPr>
          <w:rStyle w:val="FootnoteReference"/>
        </w:rPr>
        <w:footnoteRef/>
      </w:r>
      <w:r>
        <w:t xml:space="preserve"> India's opening statement at the first substantive meeting, paras. 26–28; India's closing statement at the first substantive meeting, para. 28; India's second written submission, paras. 20–24.</w:t>
      </w:r>
    </w:p>
  </w:footnote>
  <w:footnote w:id="48">
    <w:p w14:paraId="45E67260" w14:textId="58292360" w:rsidR="009F060F" w:rsidRDefault="009F060F">
      <w:pPr>
        <w:pStyle w:val="FootnoteText"/>
      </w:pPr>
      <w:r>
        <w:rPr>
          <w:rStyle w:val="FootnoteReference"/>
        </w:rPr>
        <w:footnoteRef/>
      </w:r>
      <w:r>
        <w:t xml:space="preserve"> Agreement on Agriculture, Annex 3, paragraph 2 (emphasis added).</w:t>
      </w:r>
    </w:p>
  </w:footnote>
  <w:footnote w:id="49">
    <w:p w14:paraId="212946FA" w14:textId="34976E07" w:rsidR="009F060F" w:rsidRDefault="009F060F">
      <w:pPr>
        <w:pStyle w:val="FootnoteText"/>
      </w:pPr>
      <w:r>
        <w:rPr>
          <w:rStyle w:val="FootnoteReference"/>
        </w:rPr>
        <w:footnoteRef/>
      </w:r>
      <w:r>
        <w:t xml:space="preserve"> Australia's second written submission, paras. 59–64.</w:t>
      </w:r>
    </w:p>
  </w:footnote>
  <w:footnote w:id="50">
    <w:p w14:paraId="223F9E4F" w14:textId="77777777" w:rsidR="009F060F" w:rsidRDefault="009F060F" w:rsidP="00893409">
      <w:pPr>
        <w:pStyle w:val="FootnoteText"/>
      </w:pPr>
      <w:r>
        <w:rPr>
          <w:rStyle w:val="FootnoteReference"/>
        </w:rPr>
        <w:footnoteRef/>
      </w:r>
      <w:r>
        <w:t xml:space="preserve"> </w:t>
      </w:r>
      <w:r w:rsidRPr="00ED1500">
        <w:t>Australia's opening statement at the first substantive meeting, para. 48;</w:t>
      </w:r>
      <w:r>
        <w:t xml:space="preserve"> Australia's </w:t>
      </w:r>
      <w:r w:rsidRPr="00E00740">
        <w:t>opening statement at the second substantive meeting, para.</w:t>
      </w:r>
      <w:r>
        <w:t xml:space="preserve"> 38. </w:t>
      </w:r>
    </w:p>
  </w:footnote>
  <w:footnote w:id="51">
    <w:p w14:paraId="7DA8F019" w14:textId="77777777" w:rsidR="009F060F" w:rsidRDefault="009F060F" w:rsidP="00893409">
      <w:pPr>
        <w:pStyle w:val="FootnoteText"/>
      </w:pPr>
      <w:r>
        <w:rPr>
          <w:rStyle w:val="FootnoteReference"/>
        </w:rPr>
        <w:footnoteRef/>
      </w:r>
      <w:r>
        <w:t xml:space="preserve"> Australia's opening statement at the first substantive meeting, para. 48; Australia's second written submission, para. 36; Australia's opening statement at the second substantive meeting, para. 35. </w:t>
      </w:r>
    </w:p>
  </w:footnote>
  <w:footnote w:id="52">
    <w:p w14:paraId="550FE026" w14:textId="77777777" w:rsidR="009F060F" w:rsidRDefault="009F060F" w:rsidP="00893409">
      <w:pPr>
        <w:pStyle w:val="FootnoteText"/>
      </w:pPr>
      <w:r>
        <w:rPr>
          <w:rStyle w:val="FootnoteReference"/>
        </w:rPr>
        <w:footnoteRef/>
      </w:r>
      <w:r>
        <w:t xml:space="preserve"> Australia's second written submission, paras. 25, 68–70; Australia's </w:t>
      </w:r>
      <w:r w:rsidRPr="00ED1500">
        <w:t>opening statement at the second substantive meeting, para</w:t>
      </w:r>
      <w:r>
        <w:t xml:space="preserve">s. 36–39. </w:t>
      </w:r>
    </w:p>
  </w:footnote>
  <w:footnote w:id="53">
    <w:p w14:paraId="14406258" w14:textId="77777777" w:rsidR="009F060F" w:rsidRDefault="009F060F" w:rsidP="00FA38AE">
      <w:pPr>
        <w:pStyle w:val="FootnoteText"/>
      </w:pPr>
      <w:r>
        <w:rPr>
          <w:rStyle w:val="FootnoteReference"/>
        </w:rPr>
        <w:footnoteRef/>
      </w:r>
      <w:r>
        <w:t xml:space="preserve"> Australia's first written submission, paras. </w:t>
      </w:r>
      <w:r w:rsidRPr="00731133">
        <w:t>113–115</w:t>
      </w:r>
      <w:r>
        <w:t>; Australia's</w:t>
      </w:r>
      <w:r w:rsidRPr="00E9014F">
        <w:t xml:space="preserve"> opening statement at the first substantive meeting, para.</w:t>
      </w:r>
      <w:r>
        <w:t> 49</w:t>
      </w:r>
      <w:r w:rsidRPr="00E9014F">
        <w:t>.</w:t>
      </w:r>
    </w:p>
  </w:footnote>
  <w:footnote w:id="54">
    <w:p w14:paraId="18381CC9" w14:textId="481A07F9" w:rsidR="009F060F" w:rsidRDefault="009F060F" w:rsidP="001C3806">
      <w:pPr>
        <w:pStyle w:val="FootnoteText"/>
      </w:pPr>
      <w:r>
        <w:rPr>
          <w:rStyle w:val="FootnoteReference"/>
        </w:rPr>
        <w:footnoteRef/>
      </w:r>
      <w:r>
        <w:t xml:space="preserve"> Australia's first written submission, paras. 116–119,</w:t>
      </w:r>
      <w:r w:rsidRPr="00A36B1B">
        <w:rPr>
          <w:rFonts w:asciiTheme="minorHAnsi" w:hAnsiTheme="minorHAnsi" w:cstheme="minorHAnsi"/>
          <w:szCs w:val="18"/>
        </w:rPr>
        <w:t xml:space="preserve"> </w:t>
      </w:r>
      <w:r>
        <w:t>citing</w:t>
      </w:r>
      <w:r w:rsidRPr="00A36B1B">
        <w:t xml:space="preserve"> Panel Report, </w:t>
      </w:r>
      <w:r w:rsidRPr="00A36B1B">
        <w:rPr>
          <w:i/>
          <w:lang w:val="en-US"/>
        </w:rPr>
        <w:t>Korea – Various Measures on Beef</w:t>
      </w:r>
      <w:r w:rsidRPr="00A36B1B">
        <w:t>, para. 827.</w:t>
      </w:r>
    </w:p>
  </w:footnote>
  <w:footnote w:id="55">
    <w:p w14:paraId="6D1F11DB" w14:textId="65AB51AA" w:rsidR="009F060F" w:rsidRPr="00D61B53" w:rsidRDefault="009F060F" w:rsidP="001C3806">
      <w:pPr>
        <w:pStyle w:val="FootnoteText"/>
        <w:rPr>
          <w:rFonts w:asciiTheme="minorHAnsi" w:hAnsiTheme="minorHAnsi" w:cstheme="minorHAnsi"/>
          <w:szCs w:val="18"/>
        </w:rPr>
      </w:pPr>
      <w:r w:rsidRPr="00D61B53">
        <w:rPr>
          <w:rStyle w:val="FootnoteReference"/>
          <w:rFonts w:asciiTheme="minorHAnsi" w:hAnsiTheme="minorHAnsi" w:cstheme="minorHAnsi"/>
        </w:rPr>
        <w:footnoteRef/>
      </w:r>
      <w:r w:rsidRPr="00D61B53">
        <w:rPr>
          <w:rFonts w:asciiTheme="minorHAnsi" w:hAnsiTheme="minorHAnsi" w:cstheme="minorHAnsi"/>
          <w:szCs w:val="18"/>
        </w:rPr>
        <w:t xml:space="preserve"> </w:t>
      </w:r>
      <w:r>
        <w:rPr>
          <w:rFonts w:asciiTheme="minorHAnsi" w:hAnsiTheme="minorHAnsi" w:cstheme="minorHAnsi"/>
          <w:szCs w:val="18"/>
        </w:rPr>
        <w:t xml:space="preserve">Australia's first written submission, para. 117, citing </w:t>
      </w:r>
      <w:r w:rsidRPr="00D61B53">
        <w:rPr>
          <w:rFonts w:asciiTheme="minorHAnsi" w:hAnsiTheme="minorHAnsi" w:cstheme="minorHAnsi"/>
          <w:szCs w:val="18"/>
        </w:rPr>
        <w:t xml:space="preserve">Panel Report, </w:t>
      </w:r>
      <w:r w:rsidRPr="00D61B53">
        <w:rPr>
          <w:rFonts w:asciiTheme="minorHAnsi" w:hAnsiTheme="minorHAnsi" w:cstheme="minorHAnsi"/>
          <w:i/>
          <w:szCs w:val="18"/>
        </w:rPr>
        <w:t>China – Agricultural Producers</w:t>
      </w:r>
      <w:r w:rsidRPr="00D61B53">
        <w:rPr>
          <w:rFonts w:asciiTheme="minorHAnsi" w:hAnsiTheme="minorHAnsi" w:cstheme="minorHAnsi"/>
          <w:szCs w:val="18"/>
        </w:rPr>
        <w:t>, para. 7.177.</w:t>
      </w:r>
    </w:p>
  </w:footnote>
  <w:footnote w:id="56">
    <w:p w14:paraId="1A7736A0" w14:textId="38BDDB07" w:rsidR="009F060F" w:rsidRDefault="009F060F" w:rsidP="001C3806">
      <w:pPr>
        <w:pStyle w:val="FootnoteText"/>
      </w:pPr>
      <w:r>
        <w:rPr>
          <w:rStyle w:val="FootnoteReference"/>
        </w:rPr>
        <w:footnoteRef/>
      </w:r>
      <w:r>
        <w:t xml:space="preserve"> Agreement on Agriculture, Annex 3, paragraph 9. </w:t>
      </w:r>
      <w:r w:rsidRPr="002D0594">
        <w:rPr>
          <w:i/>
          <w:iCs/>
        </w:rPr>
        <w:t>See also</w:t>
      </w:r>
      <w:r>
        <w:t xml:space="preserve">, Australia's first written submission, paras. 120–122. </w:t>
      </w:r>
    </w:p>
  </w:footnote>
  <w:footnote w:id="57">
    <w:p w14:paraId="502B1B08" w14:textId="226F945D" w:rsidR="009F060F" w:rsidRDefault="009F060F" w:rsidP="001C3806">
      <w:pPr>
        <w:pStyle w:val="FootnoteText"/>
      </w:pPr>
      <w:r>
        <w:rPr>
          <w:rStyle w:val="FootnoteReference"/>
        </w:rPr>
        <w:footnoteRef/>
      </w:r>
      <w:r>
        <w:t xml:space="preserve"> Appellate Body Report, </w:t>
      </w:r>
      <w:r w:rsidRPr="002D0594">
        <w:rPr>
          <w:i/>
          <w:iCs/>
        </w:rPr>
        <w:t>Korea – Various Measures on Beef</w:t>
      </w:r>
      <w:r>
        <w:t>, para. 120</w:t>
      </w:r>
      <w:r w:rsidRPr="001775FD">
        <w:t>.</w:t>
      </w:r>
      <w:r>
        <w:t xml:space="preserve"> </w:t>
      </w:r>
      <w:r w:rsidRPr="002D0594">
        <w:rPr>
          <w:i/>
          <w:iCs/>
        </w:rPr>
        <w:t>See also</w:t>
      </w:r>
      <w:r>
        <w:t xml:space="preserve">, Panel Report, </w:t>
      </w:r>
      <w:r w:rsidRPr="00EF09FD">
        <w:rPr>
          <w:i/>
          <w:iCs/>
        </w:rPr>
        <w:t>China – Agricultural Producers</w:t>
      </w:r>
      <w:r>
        <w:t xml:space="preserve">, paras. 7.282–286; Australia's first written submission, paras. 123–130.   </w:t>
      </w:r>
    </w:p>
  </w:footnote>
  <w:footnote w:id="58">
    <w:p w14:paraId="53E8F0D5" w14:textId="2DF658A7" w:rsidR="009F060F" w:rsidRDefault="009F060F" w:rsidP="00A36B1B">
      <w:pPr>
        <w:pStyle w:val="FootnoteText"/>
      </w:pPr>
      <w:r>
        <w:rPr>
          <w:rStyle w:val="FootnoteReference"/>
        </w:rPr>
        <w:footnoteRef/>
      </w:r>
      <w:r>
        <w:t xml:space="preserve"> </w:t>
      </w:r>
      <w:r w:rsidRPr="00F85DF8">
        <w:t xml:space="preserve">Panel Report, </w:t>
      </w:r>
      <w:r w:rsidRPr="00F85DF8">
        <w:rPr>
          <w:i/>
        </w:rPr>
        <w:t>China – Agricultural Producers</w:t>
      </w:r>
      <w:r w:rsidRPr="00F85DF8">
        <w:t>, para. 7.314.</w:t>
      </w:r>
      <w:r>
        <w:t xml:space="preserve"> </w:t>
      </w:r>
      <w:r w:rsidRPr="00A36B1B">
        <w:rPr>
          <w:i/>
          <w:iCs/>
        </w:rPr>
        <w:t>See also</w:t>
      </w:r>
      <w:r>
        <w:t xml:space="preserve">, </w:t>
      </w:r>
      <w:r w:rsidRPr="001775FD">
        <w:t>Australia's first written submission, paras. 1</w:t>
      </w:r>
      <w:r>
        <w:t>23</w:t>
      </w:r>
      <w:r w:rsidRPr="001775FD">
        <w:t>–1</w:t>
      </w:r>
      <w:r>
        <w:t>30.</w:t>
      </w:r>
    </w:p>
  </w:footnote>
  <w:footnote w:id="59">
    <w:p w14:paraId="6ECEC5D5" w14:textId="2802D4FF" w:rsidR="009F060F" w:rsidRDefault="009F060F" w:rsidP="007D331B">
      <w:pPr>
        <w:pStyle w:val="FootnoteText"/>
      </w:pPr>
      <w:r>
        <w:rPr>
          <w:rStyle w:val="FootnoteReference"/>
        </w:rPr>
        <w:footnoteRef/>
      </w:r>
      <w:r>
        <w:t xml:space="preserve"> Australia's second written submission, para. 33. Market price support may also exist in the absence of a FERP, in which case such support is calculated in accordance with the Agreement on Agriculture, Annex 4, para. 2. </w:t>
      </w:r>
    </w:p>
  </w:footnote>
  <w:footnote w:id="60">
    <w:p w14:paraId="54B5B91C" w14:textId="3A41206D" w:rsidR="009F060F" w:rsidRDefault="009F060F" w:rsidP="0092033F">
      <w:pPr>
        <w:pStyle w:val="FootnoteText"/>
      </w:pPr>
      <w:r>
        <w:rPr>
          <w:rStyle w:val="FootnoteReference"/>
        </w:rPr>
        <w:footnoteRef/>
      </w:r>
      <w:r>
        <w:t xml:space="preserve"> Australia's second written submission, paras. 34–35. </w:t>
      </w:r>
    </w:p>
  </w:footnote>
  <w:footnote w:id="61">
    <w:p w14:paraId="0E15E689" w14:textId="66A15113" w:rsidR="009F060F" w:rsidRDefault="009F060F">
      <w:pPr>
        <w:pStyle w:val="FootnoteText"/>
      </w:pPr>
      <w:r>
        <w:rPr>
          <w:rStyle w:val="FootnoteReference"/>
        </w:rPr>
        <w:footnoteRef/>
      </w:r>
      <w:r>
        <w:t xml:space="preserve"> India's closing statement at the first substantive meeting, para. 14; India's second written submission, para. 39.</w:t>
      </w:r>
    </w:p>
  </w:footnote>
  <w:footnote w:id="62">
    <w:p w14:paraId="4993EE3B" w14:textId="35866138" w:rsidR="009F060F" w:rsidRDefault="009F060F" w:rsidP="0092033F">
      <w:pPr>
        <w:pStyle w:val="FootnoteText"/>
      </w:pPr>
      <w:r>
        <w:rPr>
          <w:rStyle w:val="FootnoteReference"/>
        </w:rPr>
        <w:footnoteRef/>
      </w:r>
      <w:r>
        <w:t xml:space="preserve"> See paragraph </w:t>
      </w:r>
      <w:r>
        <w:fldChar w:fldCharType="begin"/>
      </w:r>
      <w:r>
        <w:instrText xml:space="preserve"> REF _Ref72317212 \r \h </w:instrText>
      </w:r>
      <w:r>
        <w:fldChar w:fldCharType="separate"/>
      </w:r>
      <w:r w:rsidR="00AC7864">
        <w:t>31</w:t>
      </w:r>
      <w:r>
        <w:fldChar w:fldCharType="end"/>
      </w:r>
      <w:r>
        <w:t xml:space="preserve"> above. </w:t>
      </w:r>
    </w:p>
  </w:footnote>
  <w:footnote w:id="63">
    <w:p w14:paraId="184ED468" w14:textId="05AF739F" w:rsidR="009F060F" w:rsidRDefault="009F060F">
      <w:pPr>
        <w:pStyle w:val="FootnoteText"/>
      </w:pPr>
      <w:r>
        <w:rPr>
          <w:rStyle w:val="FootnoteReference"/>
        </w:rPr>
        <w:footnoteRef/>
      </w:r>
      <w:r>
        <w:t xml:space="preserve"> Australia's second written submission, paras. 68–70; Australia's opening statement at the second substantive meeting, paras. 35–39. </w:t>
      </w:r>
    </w:p>
  </w:footnote>
  <w:footnote w:id="64">
    <w:p w14:paraId="021A93BA" w14:textId="30796DF5" w:rsidR="009F060F" w:rsidRDefault="009F060F">
      <w:pPr>
        <w:pStyle w:val="FootnoteText"/>
      </w:pPr>
      <w:r>
        <w:rPr>
          <w:rStyle w:val="FootnoteReference"/>
        </w:rPr>
        <w:footnoteRef/>
      </w:r>
      <w:r>
        <w:t xml:space="preserve"> Agreement on Agriculture, Article 6.1 (emphasis added).</w:t>
      </w:r>
    </w:p>
  </w:footnote>
  <w:footnote w:id="65">
    <w:p w14:paraId="4B368A04" w14:textId="104C9B21" w:rsidR="009F060F" w:rsidRDefault="009F060F">
      <w:pPr>
        <w:pStyle w:val="FootnoteText"/>
      </w:pPr>
      <w:r>
        <w:rPr>
          <w:rStyle w:val="FootnoteReference"/>
        </w:rPr>
        <w:footnoteRef/>
      </w:r>
      <w:r>
        <w:t xml:space="preserve"> Australia's second written submission, paras. 38–39. </w:t>
      </w:r>
    </w:p>
  </w:footnote>
  <w:footnote w:id="66">
    <w:p w14:paraId="76A61EF2" w14:textId="23AA9410" w:rsidR="009F060F" w:rsidRDefault="009F060F">
      <w:pPr>
        <w:pStyle w:val="FootnoteText"/>
      </w:pPr>
      <w:r>
        <w:rPr>
          <w:rStyle w:val="FootnoteReference"/>
        </w:rPr>
        <w:footnoteRef/>
      </w:r>
      <w:r>
        <w:t xml:space="preserve"> Australia's second written submission, para. 40.</w:t>
      </w:r>
    </w:p>
  </w:footnote>
  <w:footnote w:id="67">
    <w:p w14:paraId="781D46AE" w14:textId="77777777" w:rsidR="009F060F" w:rsidRDefault="009F060F" w:rsidP="007D331B">
      <w:pPr>
        <w:pStyle w:val="FootnoteText"/>
      </w:pPr>
      <w:r>
        <w:rPr>
          <w:rStyle w:val="FootnoteReference"/>
        </w:rPr>
        <w:footnoteRef/>
      </w:r>
      <w:r>
        <w:t xml:space="preserve"> Agreement on Agriculture, Annex 4, para. 1. </w:t>
      </w:r>
    </w:p>
  </w:footnote>
  <w:footnote w:id="68">
    <w:p w14:paraId="3CF48522" w14:textId="79139D5B" w:rsidR="009F060F" w:rsidRDefault="009F060F" w:rsidP="007D331B">
      <w:pPr>
        <w:pStyle w:val="FootnoteText"/>
      </w:pPr>
      <w:r>
        <w:rPr>
          <w:rStyle w:val="FootnoteReference"/>
        </w:rPr>
        <w:footnoteRef/>
      </w:r>
      <w:r>
        <w:t xml:space="preserve"> Australia's second written submission, para. 42.</w:t>
      </w:r>
    </w:p>
  </w:footnote>
  <w:footnote w:id="69">
    <w:p w14:paraId="0BA42ED0" w14:textId="77777777" w:rsidR="009F060F" w:rsidRDefault="009F060F" w:rsidP="007D331B">
      <w:pPr>
        <w:pStyle w:val="FootnoteText"/>
      </w:pPr>
      <w:r>
        <w:rPr>
          <w:rStyle w:val="FootnoteReference"/>
        </w:rPr>
        <w:footnoteRef/>
      </w:r>
      <w:r>
        <w:t xml:space="preserve"> G/AG/AGST/IND, p. 28 incorporated by reference by India's Schedule, Part IV, Section I, Column 3. In notifying its market price support for the base period (1986–88), in a table titled "Aggregate Measurement of Support: Market Price Support", India lists the prices fixed by the Sugarcane (Control) Order 1966 then in force as an "Applied administered price" and uses that price to calculate its market price support for sugarcane.  </w:t>
      </w:r>
    </w:p>
  </w:footnote>
  <w:footnote w:id="70">
    <w:p w14:paraId="17B6F2F6" w14:textId="3AE018E7" w:rsidR="009F060F" w:rsidRDefault="009F060F">
      <w:pPr>
        <w:pStyle w:val="FootnoteText"/>
      </w:pPr>
      <w:r>
        <w:rPr>
          <w:rStyle w:val="FootnoteReference"/>
        </w:rPr>
        <w:footnoteRef/>
      </w:r>
      <w:r>
        <w:t xml:space="preserve"> Australia's first written submission, para. 25; Australia's opening statement at the first substantive meeting, para. 54; Australia's second written submission, para. 43.</w:t>
      </w:r>
    </w:p>
  </w:footnote>
  <w:footnote w:id="71">
    <w:p w14:paraId="1F217B65" w14:textId="1D5AF862" w:rsidR="009F060F" w:rsidRDefault="009F060F">
      <w:pPr>
        <w:pStyle w:val="FootnoteText"/>
      </w:pPr>
      <w:r>
        <w:rPr>
          <w:rStyle w:val="FootnoteReference"/>
        </w:rPr>
        <w:footnoteRef/>
      </w:r>
      <w:r>
        <w:t xml:space="preserve"> India's second written submission, para. 50. </w:t>
      </w:r>
      <w:r w:rsidRPr="004351AB">
        <w:rPr>
          <w:i/>
          <w:iCs/>
        </w:rPr>
        <w:t>See also</w:t>
      </w:r>
      <w:r>
        <w:t>, India's responses to Panel questions 48(e) (p. 6), 63 (p. 5).</w:t>
      </w:r>
    </w:p>
  </w:footnote>
  <w:footnote w:id="72">
    <w:p w14:paraId="1A815A62" w14:textId="7A92AD1E" w:rsidR="009F060F" w:rsidRDefault="009F060F" w:rsidP="00F33619">
      <w:pPr>
        <w:pStyle w:val="FootnoteText"/>
      </w:pPr>
      <w:r>
        <w:rPr>
          <w:rStyle w:val="FootnoteReference"/>
        </w:rPr>
        <w:footnoteRef/>
      </w:r>
      <w:r>
        <w:t xml:space="preserve"> Australia's second written submission, para. 45, citing Panel Report, </w:t>
      </w:r>
      <w:r w:rsidRPr="00842765">
        <w:rPr>
          <w:i/>
          <w:iCs/>
        </w:rPr>
        <w:t>China – Agricultural Producers</w:t>
      </w:r>
      <w:r>
        <w:t xml:space="preserve">, para. 7.263 and Appellate Body Report, </w:t>
      </w:r>
      <w:r w:rsidRPr="00842765">
        <w:rPr>
          <w:i/>
          <w:iCs/>
        </w:rPr>
        <w:t>US – Gambling</w:t>
      </w:r>
      <w:r>
        <w:t>, paras. 178, 182.</w:t>
      </w:r>
    </w:p>
  </w:footnote>
  <w:footnote w:id="73">
    <w:p w14:paraId="225E80E4" w14:textId="714414CF" w:rsidR="009F060F" w:rsidRDefault="009F060F">
      <w:pPr>
        <w:pStyle w:val="FootnoteText"/>
      </w:pPr>
      <w:r>
        <w:rPr>
          <w:rStyle w:val="FootnoteReference"/>
        </w:rPr>
        <w:footnoteRef/>
      </w:r>
      <w:r>
        <w:t xml:space="preserve"> Australia's second written submission, paras. 44–45; Australia's comments on India's response to Panel question 63, paras. 7–11.</w:t>
      </w:r>
    </w:p>
  </w:footnote>
  <w:footnote w:id="74">
    <w:p w14:paraId="2DF7F9AB" w14:textId="77777777" w:rsidR="009F060F" w:rsidRDefault="009F060F" w:rsidP="0016068C">
      <w:pPr>
        <w:pStyle w:val="FootnoteText"/>
      </w:pPr>
      <w:r>
        <w:rPr>
          <w:rStyle w:val="FootnoteReference"/>
        </w:rPr>
        <w:footnoteRef/>
      </w:r>
      <w:r>
        <w:t xml:space="preserve"> Agreement on Agriculture, Preamble, recitals 3 and 4. </w:t>
      </w:r>
    </w:p>
  </w:footnote>
  <w:footnote w:id="75">
    <w:p w14:paraId="44330C56" w14:textId="77777777" w:rsidR="009F060F" w:rsidRDefault="009F060F" w:rsidP="007D331B">
      <w:pPr>
        <w:pStyle w:val="FootnoteText"/>
      </w:pPr>
      <w:r>
        <w:rPr>
          <w:rStyle w:val="FootnoteReference"/>
        </w:rPr>
        <w:footnoteRef/>
      </w:r>
      <w:r>
        <w:t xml:space="preserve"> Agreement on Agriculture, Preamble, recitals 2 and 3. </w:t>
      </w:r>
      <w:r w:rsidRPr="003B208A">
        <w:rPr>
          <w:i/>
          <w:iCs/>
        </w:rPr>
        <w:t>See also</w:t>
      </w:r>
      <w:r>
        <w:t>, Australia's first written submission, para. 126.</w:t>
      </w:r>
    </w:p>
  </w:footnote>
  <w:footnote w:id="76">
    <w:p w14:paraId="7AA03BFF" w14:textId="2D19D968" w:rsidR="009F060F" w:rsidRDefault="009F060F">
      <w:pPr>
        <w:pStyle w:val="FootnoteText"/>
      </w:pPr>
      <w:r>
        <w:rPr>
          <w:rStyle w:val="FootnoteReference"/>
        </w:rPr>
        <w:footnoteRef/>
      </w:r>
      <w:r>
        <w:t xml:space="preserve"> Australia's second written submission, para. 58.</w:t>
      </w:r>
    </w:p>
  </w:footnote>
  <w:footnote w:id="77">
    <w:p w14:paraId="21583EE2" w14:textId="7E99D435" w:rsidR="009F060F" w:rsidRDefault="009F060F">
      <w:pPr>
        <w:pStyle w:val="FootnoteText"/>
      </w:pPr>
      <w:r>
        <w:rPr>
          <w:rStyle w:val="FootnoteReference"/>
        </w:rPr>
        <w:footnoteRef/>
      </w:r>
      <w:r>
        <w:t xml:space="preserve"> Australia's second written submission, para. 47.</w:t>
      </w:r>
    </w:p>
  </w:footnote>
  <w:footnote w:id="78">
    <w:p w14:paraId="756D0ED0" w14:textId="0E749FEB" w:rsidR="009F060F" w:rsidRDefault="009F060F" w:rsidP="007D331B">
      <w:pPr>
        <w:pStyle w:val="FootnoteText"/>
      </w:pPr>
      <w:r>
        <w:rPr>
          <w:rStyle w:val="FootnoteReference"/>
        </w:rPr>
        <w:footnoteRef/>
      </w:r>
      <w:r>
        <w:t xml:space="preserve"> Agreement on Agriculture, Annex 2, paragraph 1(b). </w:t>
      </w:r>
      <w:r w:rsidRPr="00222A10">
        <w:rPr>
          <w:i/>
          <w:iCs/>
        </w:rPr>
        <w:t>See also</w:t>
      </w:r>
      <w:r>
        <w:t xml:space="preserve">, </w:t>
      </w:r>
      <w:r w:rsidRPr="003B208A">
        <w:t>Australia's first written submission, para. 126.</w:t>
      </w:r>
    </w:p>
  </w:footnote>
  <w:footnote w:id="79">
    <w:p w14:paraId="73DE3E04" w14:textId="757C5957" w:rsidR="009F060F" w:rsidRDefault="009F060F" w:rsidP="007D331B">
      <w:pPr>
        <w:pStyle w:val="FootnoteText"/>
      </w:pPr>
      <w:r>
        <w:rPr>
          <w:rStyle w:val="FootnoteReference"/>
        </w:rPr>
        <w:footnoteRef/>
      </w:r>
      <w:r>
        <w:t xml:space="preserve"> See the evidence that India's FRP and SAP measures impact production decisions cited in footnote 171 of Australia's first written submission, para. 126. </w:t>
      </w:r>
      <w:r w:rsidRPr="00F17AC4">
        <w:rPr>
          <w:i/>
          <w:iCs/>
        </w:rPr>
        <w:t>See also</w:t>
      </w:r>
      <w:r>
        <w:t>, Australia's second written submission, para. 47.</w:t>
      </w:r>
    </w:p>
  </w:footnote>
  <w:footnote w:id="80">
    <w:p w14:paraId="0E467360" w14:textId="1CF08BF9" w:rsidR="009F060F" w:rsidRDefault="009F060F">
      <w:pPr>
        <w:pStyle w:val="FootnoteText"/>
      </w:pPr>
      <w:r>
        <w:rPr>
          <w:rStyle w:val="FootnoteReference"/>
        </w:rPr>
        <w:footnoteRef/>
      </w:r>
      <w:r>
        <w:t xml:space="preserve"> Australia's second written submission, para. 50.</w:t>
      </w:r>
    </w:p>
  </w:footnote>
  <w:footnote w:id="81">
    <w:p w14:paraId="4C4E3437" w14:textId="29039187" w:rsidR="009F060F" w:rsidRDefault="009F060F">
      <w:pPr>
        <w:pStyle w:val="FootnoteText"/>
      </w:pPr>
      <w:r>
        <w:rPr>
          <w:rStyle w:val="FootnoteReference"/>
        </w:rPr>
        <w:footnoteRef/>
      </w:r>
      <w:r>
        <w:t xml:space="preserve"> Australia's first written submission, paras. 153–156. </w:t>
      </w:r>
    </w:p>
  </w:footnote>
  <w:footnote w:id="82">
    <w:p w14:paraId="47E69320" w14:textId="30055AF4" w:rsidR="009F060F" w:rsidRDefault="009F060F">
      <w:pPr>
        <w:pStyle w:val="FootnoteText"/>
      </w:pPr>
      <w:r>
        <w:rPr>
          <w:rStyle w:val="FootnoteReference"/>
        </w:rPr>
        <w:footnoteRef/>
      </w:r>
      <w:r>
        <w:t xml:space="preserve"> Agreement on Agriculture, Annex 3, paragraph 9. See paragraph </w:t>
      </w:r>
      <w:r>
        <w:fldChar w:fldCharType="begin"/>
      </w:r>
      <w:r>
        <w:instrText xml:space="preserve"> REF _Ref72422609 \r \h </w:instrText>
      </w:r>
      <w:r>
        <w:fldChar w:fldCharType="separate"/>
      </w:r>
      <w:r w:rsidR="00AC7864">
        <w:t>46</w:t>
      </w:r>
      <w:r>
        <w:fldChar w:fldCharType="end"/>
      </w:r>
      <w:r>
        <w:t xml:space="preserve"> above.</w:t>
      </w:r>
    </w:p>
  </w:footnote>
  <w:footnote w:id="83">
    <w:p w14:paraId="4911DE19" w14:textId="31939D10" w:rsidR="009F060F" w:rsidRDefault="009F060F">
      <w:pPr>
        <w:pStyle w:val="FootnoteText"/>
      </w:pPr>
      <w:r>
        <w:rPr>
          <w:rStyle w:val="FootnoteReference"/>
        </w:rPr>
        <w:footnoteRef/>
      </w:r>
      <w:r>
        <w:t xml:space="preserve"> Australia's first written submission, paras. 158–162; Australia's response to Panel question 62(a), paras. 26–32.</w:t>
      </w:r>
    </w:p>
  </w:footnote>
  <w:footnote w:id="84">
    <w:p w14:paraId="0AE3D6F1" w14:textId="55D258E4" w:rsidR="009F060F" w:rsidRDefault="009F060F" w:rsidP="0067792B">
      <w:pPr>
        <w:pStyle w:val="FootnoteText"/>
      </w:pPr>
      <w:r>
        <w:rPr>
          <w:rStyle w:val="FootnoteReference"/>
        </w:rPr>
        <w:footnoteRef/>
      </w:r>
      <w:r>
        <w:t xml:space="preserve"> Australia's first written submission, para. 164. </w:t>
      </w:r>
    </w:p>
  </w:footnote>
  <w:footnote w:id="85">
    <w:p w14:paraId="31150485" w14:textId="524E6F14" w:rsidR="009F060F" w:rsidRDefault="009F060F">
      <w:pPr>
        <w:pStyle w:val="FootnoteText"/>
      </w:pPr>
      <w:r>
        <w:rPr>
          <w:rStyle w:val="FootnoteReference"/>
        </w:rPr>
        <w:footnoteRef/>
      </w:r>
      <w:r>
        <w:t xml:space="preserve"> For instance, the FRP consists of a minimum or base price payable for sugarcane of a basic recovery rate but premiums are payable for cane with higher recovery rates. In the 2018–19 and 2019–20 sugar seasons, sugarcane with a recovery rate below the basic recovery rate received a lower floor price: Australia's first written submission, paras. 28–35, Table 2.</w:t>
      </w:r>
    </w:p>
  </w:footnote>
  <w:footnote w:id="86">
    <w:p w14:paraId="3F1A6CFC" w14:textId="77777777" w:rsidR="009F060F" w:rsidRDefault="009F060F" w:rsidP="008D4895">
      <w:pPr>
        <w:pStyle w:val="FootnoteText"/>
      </w:pPr>
      <w:r>
        <w:rPr>
          <w:rStyle w:val="FootnoteReference"/>
        </w:rPr>
        <w:footnoteRef/>
      </w:r>
      <w:r>
        <w:t xml:space="preserve"> These measures are listed in Australia's first written submission, paras. 182–183. </w:t>
      </w:r>
    </w:p>
  </w:footnote>
  <w:footnote w:id="87">
    <w:p w14:paraId="73D3C407" w14:textId="77777777" w:rsidR="009F060F" w:rsidRDefault="009F060F" w:rsidP="008D4895">
      <w:pPr>
        <w:pStyle w:val="FootnoteText"/>
      </w:pPr>
      <w:r>
        <w:rPr>
          <w:rStyle w:val="FootnoteReference"/>
        </w:rPr>
        <w:footnoteRef/>
      </w:r>
      <w:r>
        <w:t xml:space="preserve"> Australia's first written submission, paras. 181–186; Australia's response to Panel question 20(b), paras. 47–51. </w:t>
      </w:r>
    </w:p>
  </w:footnote>
  <w:footnote w:id="88">
    <w:p w14:paraId="5C8B05AE" w14:textId="77777777" w:rsidR="009F060F" w:rsidRDefault="009F060F" w:rsidP="00FA1330">
      <w:pPr>
        <w:pStyle w:val="FootnoteText"/>
      </w:pPr>
      <w:r>
        <w:rPr>
          <w:rStyle w:val="FootnoteReference"/>
        </w:rPr>
        <w:footnoteRef/>
      </w:r>
      <w:r>
        <w:t xml:space="preserve"> Australia's domestic support calculations, Microsoft Excel workbooks, Revision 3 (</w:t>
      </w:r>
      <w:r w:rsidRPr="00F17AC4">
        <w:rPr>
          <w:b/>
          <w:bCs/>
        </w:rPr>
        <w:t>Exhibit AUS-1 (Revision 3)</w:t>
      </w:r>
      <w:r>
        <w:t>).</w:t>
      </w:r>
    </w:p>
  </w:footnote>
  <w:footnote w:id="89">
    <w:p w14:paraId="60DA7DFD" w14:textId="5CEBDA47" w:rsidR="009F060F" w:rsidRDefault="009F060F">
      <w:pPr>
        <w:pStyle w:val="FootnoteText"/>
      </w:pPr>
      <w:r>
        <w:rPr>
          <w:rStyle w:val="FootnoteReference"/>
        </w:rPr>
        <w:footnoteRef/>
      </w:r>
      <w:r>
        <w:t xml:space="preserve"> Australia's first written submission, paras. 135–143.</w:t>
      </w:r>
    </w:p>
  </w:footnote>
  <w:footnote w:id="90">
    <w:p w14:paraId="1DF3A397" w14:textId="1AD9E162" w:rsidR="009F060F" w:rsidRDefault="009F060F">
      <w:pPr>
        <w:pStyle w:val="FootnoteText"/>
      </w:pPr>
      <w:r>
        <w:rPr>
          <w:rStyle w:val="FootnoteReference"/>
        </w:rPr>
        <w:footnoteRef/>
      </w:r>
      <w:r>
        <w:t xml:space="preserve"> Agreement on Agriculture, Annex 3, paragraph 8. See paragraph </w:t>
      </w:r>
      <w:r>
        <w:fldChar w:fldCharType="begin"/>
      </w:r>
      <w:r>
        <w:instrText xml:space="preserve"> REF _Ref72337456 \r \h </w:instrText>
      </w:r>
      <w:r>
        <w:fldChar w:fldCharType="separate"/>
      </w:r>
      <w:r w:rsidR="00AC7864">
        <w:t>44</w:t>
      </w:r>
      <w:r>
        <w:fldChar w:fldCharType="end"/>
      </w:r>
      <w:r>
        <w:t xml:space="preserve"> above. </w:t>
      </w:r>
    </w:p>
  </w:footnote>
  <w:footnote w:id="91">
    <w:p w14:paraId="7FD961E1" w14:textId="7017C7A0" w:rsidR="009F060F" w:rsidRDefault="009F060F">
      <w:pPr>
        <w:pStyle w:val="FootnoteText"/>
      </w:pPr>
      <w:r>
        <w:rPr>
          <w:rStyle w:val="FootnoteReference"/>
        </w:rPr>
        <w:footnoteRef/>
      </w:r>
      <w:r>
        <w:t xml:space="preserve"> Agreement on Agriculture, Annex 3, paragraph 1; Australia's first written submission, paras. 189–202; Australia's responses to Panel questions 26(a) (paras. 61–62), 27 (paras. 71–83), 50 (paras. 8–12). </w:t>
      </w:r>
    </w:p>
  </w:footnote>
  <w:footnote w:id="92">
    <w:p w14:paraId="20866F3A" w14:textId="2AE85D2B" w:rsidR="009F060F" w:rsidRDefault="009F060F">
      <w:pPr>
        <w:pStyle w:val="FootnoteText"/>
      </w:pPr>
      <w:r>
        <w:rPr>
          <w:rStyle w:val="FootnoteReference"/>
        </w:rPr>
        <w:footnoteRef/>
      </w:r>
      <w:r>
        <w:t xml:space="preserve"> Australia's domestic support calculations, Microsoft Excel workbooks, Revision 3 (</w:t>
      </w:r>
      <w:r w:rsidRPr="006B7D9E">
        <w:rPr>
          <w:b/>
          <w:bCs/>
        </w:rPr>
        <w:t>Exhibit AUS-1 (Revision 3)</w:t>
      </w:r>
      <w:r>
        <w:t>).</w:t>
      </w:r>
    </w:p>
  </w:footnote>
  <w:footnote w:id="93">
    <w:p w14:paraId="07AA55BD" w14:textId="77777777" w:rsidR="009F060F" w:rsidRDefault="009F060F" w:rsidP="00082636">
      <w:pPr>
        <w:pStyle w:val="FootnoteText"/>
      </w:pPr>
      <w:r>
        <w:rPr>
          <w:rStyle w:val="FootnoteReference"/>
        </w:rPr>
        <w:footnoteRef/>
      </w:r>
      <w:r>
        <w:t xml:space="preserve"> Australia's response to Panel question 23(a), paras. 53–54. </w:t>
      </w:r>
    </w:p>
  </w:footnote>
  <w:footnote w:id="94">
    <w:p w14:paraId="5596AB8A" w14:textId="1C5B9283" w:rsidR="009F060F" w:rsidRDefault="009F060F">
      <w:pPr>
        <w:pStyle w:val="FootnoteText"/>
      </w:pPr>
      <w:r>
        <w:rPr>
          <w:rStyle w:val="FootnoteReference"/>
        </w:rPr>
        <w:footnoteRef/>
      </w:r>
      <w:r>
        <w:t xml:space="preserve"> Australia's domestic support calculations, Microsoft Excel workbooks, Revision 3 (</w:t>
      </w:r>
      <w:r w:rsidRPr="006B7D9E">
        <w:rPr>
          <w:b/>
          <w:bCs/>
        </w:rPr>
        <w:t>Exhibit AUS-1 (Revision 3)</w:t>
      </w:r>
      <w:r>
        <w:t>).</w:t>
      </w:r>
    </w:p>
  </w:footnote>
  <w:footnote w:id="95">
    <w:p w14:paraId="6B376F80" w14:textId="7E688D93" w:rsidR="009F060F" w:rsidRDefault="009F060F">
      <w:pPr>
        <w:pStyle w:val="FootnoteText"/>
      </w:pPr>
      <w:r>
        <w:rPr>
          <w:rStyle w:val="FootnoteReference"/>
        </w:rPr>
        <w:footnoteRef/>
      </w:r>
      <w:r>
        <w:t xml:space="preserve"> India's first written submission, paras. 16–18, 29–30; Australia's opening statement at the first substantive meeting, para. 8.</w:t>
      </w:r>
    </w:p>
  </w:footnote>
  <w:footnote w:id="96">
    <w:p w14:paraId="6808F32B" w14:textId="161EA0A8" w:rsidR="009F060F" w:rsidRDefault="009F060F" w:rsidP="008977A4">
      <w:pPr>
        <w:pStyle w:val="FootnoteText"/>
      </w:pPr>
      <w:r>
        <w:rPr>
          <w:rStyle w:val="FootnoteReference"/>
        </w:rPr>
        <w:footnoteRef/>
      </w:r>
      <w:r>
        <w:t xml:space="preserve"> Australia's first written submission, paras. 236–252; Australia's second written submission, para. 90.</w:t>
      </w:r>
    </w:p>
  </w:footnote>
  <w:footnote w:id="97">
    <w:p w14:paraId="0B0A075B" w14:textId="38026E66" w:rsidR="009F060F" w:rsidRDefault="009F060F">
      <w:pPr>
        <w:pStyle w:val="FootnoteText"/>
      </w:pPr>
      <w:r>
        <w:rPr>
          <w:rStyle w:val="FootnoteReference"/>
        </w:rPr>
        <w:footnoteRef/>
      </w:r>
      <w:r>
        <w:t xml:space="preserve"> India's response to Panel question 38, pp. 25–26.</w:t>
      </w:r>
    </w:p>
  </w:footnote>
  <w:footnote w:id="98">
    <w:p w14:paraId="56F0EA73" w14:textId="6DFDEDA8" w:rsidR="009F060F" w:rsidRDefault="009F060F">
      <w:pPr>
        <w:pStyle w:val="FootnoteText"/>
      </w:pPr>
      <w:r>
        <w:rPr>
          <w:rStyle w:val="FootnoteReference"/>
        </w:rPr>
        <w:footnoteRef/>
      </w:r>
      <w:r>
        <w:t xml:space="preserve"> Australia's first written submission, paras. 247–251; Australia's second written submission, para. 91.</w:t>
      </w:r>
    </w:p>
  </w:footnote>
  <w:footnote w:id="99">
    <w:p w14:paraId="2CC07C4F" w14:textId="10D53FDD" w:rsidR="009F060F" w:rsidRDefault="009F060F">
      <w:pPr>
        <w:pStyle w:val="FootnoteText"/>
      </w:pPr>
      <w:r>
        <w:rPr>
          <w:rStyle w:val="FootnoteReference"/>
        </w:rPr>
        <w:footnoteRef/>
      </w:r>
      <w:r>
        <w:t xml:space="preserve"> Australia's first written submission, paras. 372–388.</w:t>
      </w:r>
    </w:p>
  </w:footnote>
  <w:footnote w:id="100">
    <w:p w14:paraId="7DFC79DC" w14:textId="471E9D24" w:rsidR="009F060F" w:rsidRDefault="009F060F" w:rsidP="00856674">
      <w:pPr>
        <w:pStyle w:val="FootnoteText"/>
      </w:pPr>
      <w:r>
        <w:rPr>
          <w:rStyle w:val="FootnoteReference"/>
        </w:rPr>
        <w:footnoteRef/>
      </w:r>
      <w:r>
        <w:t xml:space="preserve"> Agreement on Agriculture, Article 21.1. </w:t>
      </w:r>
      <w:r w:rsidRPr="007F7555">
        <w:rPr>
          <w:i/>
          <w:iCs/>
        </w:rPr>
        <w:t>See also</w:t>
      </w:r>
      <w:r>
        <w:t>, Australia's first written submission, paras. 212–216; Australia's second written submission, para. 89.</w:t>
      </w:r>
    </w:p>
  </w:footnote>
  <w:footnote w:id="101">
    <w:p w14:paraId="6DFA0E48" w14:textId="6A1378DC" w:rsidR="009F060F" w:rsidRDefault="009F060F">
      <w:pPr>
        <w:pStyle w:val="FootnoteText"/>
      </w:pPr>
      <w:r>
        <w:rPr>
          <w:rStyle w:val="FootnoteReference"/>
        </w:rPr>
        <w:footnoteRef/>
      </w:r>
      <w:r>
        <w:t xml:space="preserve"> India's first written submission, paras. 91–92. </w:t>
      </w:r>
    </w:p>
  </w:footnote>
  <w:footnote w:id="102">
    <w:p w14:paraId="03DD6C3C" w14:textId="18ACAA1C" w:rsidR="009F060F" w:rsidRDefault="009F060F">
      <w:pPr>
        <w:pStyle w:val="FootnoteText"/>
      </w:pPr>
      <w:r>
        <w:rPr>
          <w:rStyle w:val="FootnoteReference"/>
        </w:rPr>
        <w:footnoteRef/>
      </w:r>
      <w:r>
        <w:t xml:space="preserve"> Australia's first written submission, paras. 253–284; Australia's second written submission, paras. 94–95. </w:t>
      </w:r>
    </w:p>
  </w:footnote>
  <w:footnote w:id="103">
    <w:p w14:paraId="59DBEA5A" w14:textId="77777777" w:rsidR="009F060F" w:rsidRDefault="009F060F" w:rsidP="00856674">
      <w:pPr>
        <w:pStyle w:val="FootnoteText"/>
      </w:pPr>
      <w:r>
        <w:rPr>
          <w:rStyle w:val="FootnoteReference"/>
        </w:rPr>
        <w:footnoteRef/>
      </w:r>
      <w:r>
        <w:t xml:space="preserve"> Agreement on Agriculture, Article 9.1(a).</w:t>
      </w:r>
    </w:p>
  </w:footnote>
  <w:footnote w:id="104">
    <w:p w14:paraId="451C3747" w14:textId="6CB76F43" w:rsidR="009F060F" w:rsidRDefault="009F060F">
      <w:pPr>
        <w:pStyle w:val="FootnoteText"/>
      </w:pPr>
      <w:r>
        <w:rPr>
          <w:rStyle w:val="FootnoteReference"/>
        </w:rPr>
        <w:footnoteRef/>
      </w:r>
      <w:r>
        <w:t xml:space="preserve"> Australia's first written submission, para. 275; Australia's response to Panel question 54, para. 25.</w:t>
      </w:r>
    </w:p>
  </w:footnote>
  <w:footnote w:id="105">
    <w:p w14:paraId="441E2110" w14:textId="0B75E7FE" w:rsidR="009F060F" w:rsidRDefault="009F060F">
      <w:pPr>
        <w:pStyle w:val="FootnoteText"/>
      </w:pPr>
      <w:r>
        <w:rPr>
          <w:rStyle w:val="FootnoteReference"/>
        </w:rPr>
        <w:footnoteRef/>
      </w:r>
      <w:r>
        <w:t xml:space="preserve"> Australia's first written submission, para. 296.</w:t>
      </w:r>
    </w:p>
  </w:footnote>
  <w:footnote w:id="106">
    <w:p w14:paraId="64BA5B3B" w14:textId="0993A320" w:rsidR="009F060F" w:rsidRDefault="009F060F" w:rsidP="00856674">
      <w:pPr>
        <w:pStyle w:val="FootnoteText"/>
      </w:pPr>
      <w:r>
        <w:rPr>
          <w:rStyle w:val="FootnoteReference"/>
        </w:rPr>
        <w:footnoteRef/>
      </w:r>
      <w:r>
        <w:t xml:space="preserve"> Australia's second written submission, para. 96. </w:t>
      </w:r>
      <w:r w:rsidRPr="00D4124C">
        <w:rPr>
          <w:i/>
          <w:iCs/>
        </w:rPr>
        <w:t>See also</w:t>
      </w:r>
      <w:r>
        <w:t>, Australia's first written submission, paras. 288–365.</w:t>
      </w:r>
    </w:p>
  </w:footnote>
  <w:footnote w:id="107">
    <w:p w14:paraId="2A7363D8" w14:textId="616664E8" w:rsidR="009F060F" w:rsidRDefault="009F060F" w:rsidP="002B0317">
      <w:pPr>
        <w:pStyle w:val="FootnoteText"/>
      </w:pPr>
      <w:r>
        <w:rPr>
          <w:rStyle w:val="FootnoteReference"/>
        </w:rPr>
        <w:footnoteRef/>
      </w:r>
      <w:r>
        <w:t xml:space="preserve"> Australia's second written submission, paras. 98–99; India's responses to Panel questions 29 (p. 21), 54(a) (p. 9).</w:t>
      </w:r>
    </w:p>
  </w:footnote>
  <w:footnote w:id="108">
    <w:p w14:paraId="169A11D9" w14:textId="7995991F" w:rsidR="009F060F" w:rsidRDefault="009F060F">
      <w:pPr>
        <w:pStyle w:val="FootnoteText"/>
      </w:pPr>
      <w:r>
        <w:rPr>
          <w:rStyle w:val="FootnoteReference"/>
        </w:rPr>
        <w:footnoteRef/>
      </w:r>
      <w:r>
        <w:t xml:space="preserve"> SCM Agreement, Articles 1.1(a) and 1.1(b).</w:t>
      </w:r>
    </w:p>
  </w:footnote>
  <w:footnote w:id="109">
    <w:p w14:paraId="67ABF8EF" w14:textId="467B5D33" w:rsidR="009F060F" w:rsidRDefault="009F060F">
      <w:pPr>
        <w:pStyle w:val="FootnoteText"/>
      </w:pPr>
      <w:r>
        <w:rPr>
          <w:rStyle w:val="FootnoteReference"/>
        </w:rPr>
        <w:footnoteRef/>
      </w:r>
      <w:r>
        <w:t xml:space="preserve"> SCM Agreement, Article 1.1(a)(1) (emphasis added); India's first written submission, para. 107; India's second written submission, paras. 69, 76, 89.</w:t>
      </w:r>
    </w:p>
  </w:footnote>
  <w:footnote w:id="110">
    <w:p w14:paraId="3C9F1981" w14:textId="31588F3C" w:rsidR="009F060F" w:rsidRDefault="009F060F" w:rsidP="00856674">
      <w:pPr>
        <w:pStyle w:val="FootnoteText"/>
      </w:pPr>
      <w:r>
        <w:rPr>
          <w:rStyle w:val="FootnoteReference"/>
        </w:rPr>
        <w:footnoteRef/>
      </w:r>
      <w:r>
        <w:t xml:space="preserve"> India's first written submission, paras. 105–109; India's second written submission, paras. 67–89.</w:t>
      </w:r>
    </w:p>
  </w:footnote>
  <w:footnote w:id="111">
    <w:p w14:paraId="3EA24593" w14:textId="50CD2558" w:rsidR="009F060F" w:rsidRDefault="009F060F" w:rsidP="00856674">
      <w:pPr>
        <w:pStyle w:val="FootnoteText"/>
      </w:pPr>
      <w:r>
        <w:rPr>
          <w:rStyle w:val="FootnoteReference"/>
        </w:rPr>
        <w:footnoteRef/>
      </w:r>
      <w:r>
        <w:t xml:space="preserve"> Australia's second written submission, paras. 101, 105; Australia's opening statement at the second substantive meeting, para. 57.</w:t>
      </w:r>
    </w:p>
  </w:footnote>
  <w:footnote w:id="112">
    <w:p w14:paraId="7253FED4" w14:textId="334D7423" w:rsidR="009F060F" w:rsidRDefault="009F060F" w:rsidP="00856674">
      <w:pPr>
        <w:pStyle w:val="FootnoteText"/>
      </w:pPr>
      <w:r>
        <w:rPr>
          <w:rStyle w:val="FootnoteReference"/>
        </w:rPr>
        <w:footnoteRef/>
      </w:r>
      <w:r>
        <w:t xml:space="preserve"> Agreement on Agriculture, Article 9.2(a)(i) (emphasis added); Australia's second written submission, para. 106.</w:t>
      </w:r>
    </w:p>
  </w:footnote>
  <w:footnote w:id="113">
    <w:p w14:paraId="1B63F079" w14:textId="77777777" w:rsidR="009F060F" w:rsidRDefault="009F060F" w:rsidP="00856674">
      <w:pPr>
        <w:pStyle w:val="FootnoteText"/>
      </w:pPr>
      <w:r>
        <w:rPr>
          <w:rStyle w:val="FootnoteReference"/>
        </w:rPr>
        <w:footnoteRef/>
      </w:r>
      <w:r>
        <w:t xml:space="preserve"> Australia's second written submission, para. 107.</w:t>
      </w:r>
    </w:p>
  </w:footnote>
  <w:footnote w:id="114">
    <w:p w14:paraId="7C475E17" w14:textId="0E9EA63C" w:rsidR="009F060F" w:rsidRDefault="009F060F" w:rsidP="00666556">
      <w:pPr>
        <w:pStyle w:val="FootnoteText"/>
      </w:pPr>
      <w:r>
        <w:rPr>
          <w:rStyle w:val="FootnoteReference"/>
        </w:rPr>
        <w:footnoteRef/>
      </w:r>
      <w:r>
        <w:t xml:space="preserve"> Appellate Body Report, </w:t>
      </w:r>
      <w:r w:rsidRPr="00240DD7">
        <w:rPr>
          <w:i/>
        </w:rPr>
        <w:t>US – Large Civil Aircraft (2nd complaint)</w:t>
      </w:r>
      <w:r>
        <w:t>, para. 614; Australia's response to Panel question 59, para. 77.</w:t>
      </w:r>
    </w:p>
  </w:footnote>
  <w:footnote w:id="115">
    <w:p w14:paraId="20CE0BEC" w14:textId="7CCE4C44" w:rsidR="009F060F" w:rsidRDefault="009F060F">
      <w:pPr>
        <w:pStyle w:val="FootnoteText"/>
      </w:pPr>
      <w:r>
        <w:rPr>
          <w:rStyle w:val="FootnoteReference"/>
        </w:rPr>
        <w:footnoteRef/>
      </w:r>
      <w:r>
        <w:t xml:space="preserve"> Panel Report, </w:t>
      </w:r>
      <w:r w:rsidRPr="00240DD7">
        <w:rPr>
          <w:i/>
        </w:rPr>
        <w:t>EC and certain member States – Large Civil Aircraft</w:t>
      </w:r>
      <w:r>
        <w:t xml:space="preserve"> (Article 21.5 – US), para. 6.290; Australia's response to Panel question 59, para. 77.</w:t>
      </w:r>
    </w:p>
  </w:footnote>
  <w:footnote w:id="116">
    <w:p w14:paraId="23ABFD82" w14:textId="517807F3" w:rsidR="009F060F" w:rsidRDefault="009F060F">
      <w:pPr>
        <w:pStyle w:val="FootnoteText"/>
      </w:pPr>
      <w:r>
        <w:rPr>
          <w:rStyle w:val="FootnoteReference"/>
        </w:rPr>
        <w:footnoteRef/>
      </w:r>
      <w:r>
        <w:t xml:space="preserve"> India's second written submission, paras. 72–74.</w:t>
      </w:r>
    </w:p>
  </w:footnote>
  <w:footnote w:id="117">
    <w:p w14:paraId="0FB122FA" w14:textId="77777777" w:rsidR="009F060F" w:rsidRDefault="009F060F" w:rsidP="001B7B49">
      <w:pPr>
        <w:pStyle w:val="FootnoteText"/>
      </w:pPr>
      <w:r>
        <w:rPr>
          <w:rStyle w:val="FootnoteReference"/>
        </w:rPr>
        <w:footnoteRef/>
      </w:r>
      <w:r>
        <w:t xml:space="preserve"> Australia's opening statement at the second substantive meeting, paras. 49–50, 60–61. </w:t>
      </w:r>
    </w:p>
  </w:footnote>
  <w:footnote w:id="118">
    <w:p w14:paraId="347989AF" w14:textId="77A8161F" w:rsidR="009F060F" w:rsidRDefault="009F060F">
      <w:pPr>
        <w:pStyle w:val="FootnoteText"/>
      </w:pPr>
      <w:r>
        <w:rPr>
          <w:rStyle w:val="FootnoteReference"/>
        </w:rPr>
        <w:footnoteRef/>
      </w:r>
      <w:r>
        <w:t xml:space="preserve"> Australia's second written submission, paras. 112–113; Australia's response to Panel question 59, para. 82.</w:t>
      </w:r>
    </w:p>
  </w:footnote>
  <w:footnote w:id="119">
    <w:p w14:paraId="086D4B8B" w14:textId="478E774E" w:rsidR="009F060F" w:rsidRDefault="009F060F">
      <w:pPr>
        <w:pStyle w:val="FootnoteText"/>
      </w:pPr>
      <w:r>
        <w:rPr>
          <w:rStyle w:val="FootnoteReference"/>
        </w:rPr>
        <w:footnoteRef/>
      </w:r>
      <w:r>
        <w:t xml:space="preserve"> Australia's opening statement at the second substantive meeting, para. 69.</w:t>
      </w:r>
    </w:p>
  </w:footnote>
  <w:footnote w:id="120">
    <w:p w14:paraId="6245C89E" w14:textId="508DD621" w:rsidR="009F060F" w:rsidRDefault="009F060F" w:rsidP="00856674">
      <w:pPr>
        <w:pStyle w:val="FootnoteText"/>
      </w:pPr>
      <w:r>
        <w:rPr>
          <w:rStyle w:val="FootnoteReference"/>
        </w:rPr>
        <w:footnoteRef/>
      </w:r>
      <w:r>
        <w:t xml:space="preserve"> Australia's second written submission, para. 110; Australia's opening statement at the second substantive meeting, paras. 69–72. </w:t>
      </w:r>
      <w:r>
        <w:rPr>
          <w:i/>
        </w:rPr>
        <w:t xml:space="preserve">See also, </w:t>
      </w:r>
      <w:r>
        <w:t>Australia's response to Panel question 53, paras. 20–22; Australia's first written submission, para. 269.</w:t>
      </w:r>
    </w:p>
  </w:footnote>
  <w:footnote w:id="121">
    <w:p w14:paraId="3C6B1A47" w14:textId="7E05DEFE" w:rsidR="009F060F" w:rsidRDefault="009F060F">
      <w:pPr>
        <w:pStyle w:val="FootnoteText"/>
      </w:pPr>
      <w:r>
        <w:rPr>
          <w:rStyle w:val="FootnoteReference"/>
        </w:rPr>
        <w:footnoteRef/>
      </w:r>
      <w:r>
        <w:t xml:space="preserve"> India's first written submission, paras. 119–120, 122. </w:t>
      </w:r>
    </w:p>
  </w:footnote>
  <w:footnote w:id="122">
    <w:p w14:paraId="2F2BBF9D" w14:textId="786A1E01" w:rsidR="009F060F" w:rsidRDefault="009F060F">
      <w:pPr>
        <w:pStyle w:val="FootnoteText"/>
      </w:pPr>
      <w:r>
        <w:rPr>
          <w:rStyle w:val="FootnoteReference"/>
        </w:rPr>
        <w:footnoteRef/>
      </w:r>
      <w:r>
        <w:t xml:space="preserve"> Australia's response to Panel question 43, para. 128; Australia's second written submission, paras. 128–133.</w:t>
      </w:r>
    </w:p>
  </w:footnote>
  <w:footnote w:id="123">
    <w:p w14:paraId="2AA4F457" w14:textId="77A7996E" w:rsidR="009F060F" w:rsidRDefault="009F060F">
      <w:pPr>
        <w:pStyle w:val="FootnoteText"/>
      </w:pPr>
      <w:r>
        <w:rPr>
          <w:rStyle w:val="FootnoteReference"/>
        </w:rPr>
        <w:footnoteRef/>
      </w:r>
      <w:r>
        <w:t xml:space="preserve"> Australia's second written submission, paras. 120–122; Australia's response to Panel question 56(a), para 39.</w:t>
      </w:r>
    </w:p>
  </w:footnote>
  <w:footnote w:id="124">
    <w:p w14:paraId="63560D46" w14:textId="46A26CEF" w:rsidR="009F060F" w:rsidRDefault="009F060F">
      <w:pPr>
        <w:pStyle w:val="FootnoteText"/>
      </w:pPr>
      <w:r>
        <w:rPr>
          <w:rStyle w:val="FootnoteReference"/>
        </w:rPr>
        <w:footnoteRef/>
      </w:r>
      <w:r>
        <w:t xml:space="preserve"> India's response to Panel question 81, p. 14.</w:t>
      </w:r>
    </w:p>
  </w:footnote>
  <w:footnote w:id="125">
    <w:p w14:paraId="16090745" w14:textId="17887A3F" w:rsidR="009F060F" w:rsidRDefault="009F060F">
      <w:pPr>
        <w:pStyle w:val="FootnoteText"/>
      </w:pPr>
      <w:r>
        <w:rPr>
          <w:rStyle w:val="FootnoteReference"/>
        </w:rPr>
        <w:footnoteRef/>
      </w:r>
      <w:r>
        <w:t xml:space="preserve"> Australia's second written submission, paras. 125, 130–133. </w:t>
      </w:r>
    </w:p>
  </w:footnote>
  <w:footnote w:id="126">
    <w:p w14:paraId="7FB5CCD6" w14:textId="154413C9" w:rsidR="009F060F" w:rsidRDefault="009F060F">
      <w:pPr>
        <w:pStyle w:val="FootnoteText"/>
      </w:pPr>
      <w:r>
        <w:rPr>
          <w:rStyle w:val="FootnoteReference"/>
        </w:rPr>
        <w:footnoteRef/>
      </w:r>
      <w:r>
        <w:t xml:space="preserve"> Australia's second written submission, para. 131.</w:t>
      </w:r>
    </w:p>
  </w:footnote>
  <w:footnote w:id="127">
    <w:p w14:paraId="6BE61E72" w14:textId="07D0B4EF" w:rsidR="009F060F" w:rsidRDefault="009F060F">
      <w:pPr>
        <w:pStyle w:val="FootnoteText"/>
      </w:pPr>
      <w:r>
        <w:rPr>
          <w:rStyle w:val="FootnoteReference"/>
        </w:rPr>
        <w:footnoteRef/>
      </w:r>
      <w:r>
        <w:t xml:space="preserve"> India's opening statement at the first substantive meeting, para. 15; Australia's second written submission, paras. 138–140. </w:t>
      </w:r>
    </w:p>
  </w:footnote>
  <w:footnote w:id="128">
    <w:p w14:paraId="1319BFDD" w14:textId="46758295" w:rsidR="009F060F" w:rsidRDefault="009F060F">
      <w:pPr>
        <w:pStyle w:val="FootnoteText"/>
      </w:pPr>
      <w:r>
        <w:rPr>
          <w:rStyle w:val="FootnoteReference"/>
        </w:rPr>
        <w:footnoteRef/>
      </w:r>
      <w:r>
        <w:t xml:space="preserve"> India's opening statement at the first substantive meeting, para. 17; Australia's second written submission, paras. 141–146; Australia's response to Panel question 82, paras. 104–109. </w:t>
      </w:r>
    </w:p>
  </w:footnote>
  <w:footnote w:id="129">
    <w:p w14:paraId="0A766446" w14:textId="64464B51" w:rsidR="009F060F" w:rsidRDefault="009F060F">
      <w:pPr>
        <w:pStyle w:val="FootnoteText"/>
      </w:pPr>
      <w:r>
        <w:rPr>
          <w:rStyle w:val="FootnoteReference"/>
        </w:rPr>
        <w:footnoteRef/>
      </w:r>
      <w:r>
        <w:t xml:space="preserve"> Australia's second written submission, paras. 147–169; Australia's response to Panel question 84, para. 115.</w:t>
      </w:r>
    </w:p>
  </w:footnote>
  <w:footnote w:id="130">
    <w:p w14:paraId="2A2E2F17" w14:textId="55A3E295" w:rsidR="009F060F" w:rsidRDefault="009F060F" w:rsidP="00856674">
      <w:pPr>
        <w:pStyle w:val="FootnoteText"/>
      </w:pPr>
      <w:r>
        <w:rPr>
          <w:rStyle w:val="FootnoteReference"/>
        </w:rPr>
        <w:footnoteRef/>
      </w:r>
      <w:r>
        <w:t xml:space="preserve"> India's opening statement at the second substantive meeting, paras. 77–83; Australia's responses to Panel questions 92(a) (paras. 143–148), 92(b), (paras. 149–153, 156). </w:t>
      </w:r>
    </w:p>
  </w:footnote>
  <w:footnote w:id="131">
    <w:p w14:paraId="225F76C2" w14:textId="6FAFCA3C" w:rsidR="009F060F" w:rsidRDefault="009F060F">
      <w:pPr>
        <w:pStyle w:val="FootnoteText"/>
      </w:pPr>
      <w:r>
        <w:rPr>
          <w:rStyle w:val="FootnoteReference"/>
        </w:rPr>
        <w:footnoteRef/>
      </w:r>
      <w:r>
        <w:t xml:space="preserve"> Australia's response to Panel question 92(b), para. 152; Panel Report</w:t>
      </w:r>
      <w:r w:rsidRPr="005E2253">
        <w:rPr>
          <w:i/>
        </w:rPr>
        <w:t>, India – Export Related Measures</w:t>
      </w:r>
      <w:r>
        <w:t>, para. 7.11.</w:t>
      </w:r>
    </w:p>
  </w:footnote>
  <w:footnote w:id="132">
    <w:p w14:paraId="1DEE5C9C" w14:textId="6353364E" w:rsidR="009F060F" w:rsidRDefault="009F060F">
      <w:pPr>
        <w:pStyle w:val="FootnoteText"/>
      </w:pPr>
      <w:r>
        <w:rPr>
          <w:rStyle w:val="FootnoteReference"/>
        </w:rPr>
        <w:footnoteRef/>
      </w:r>
      <w:r>
        <w:t xml:space="preserve"> Australia's second written submission, para. 119, citing Appellate Body Report, </w:t>
      </w:r>
      <w:r w:rsidRPr="005E2253">
        <w:rPr>
          <w:i/>
        </w:rPr>
        <w:t>US – Wool Shirts and Blouses</w:t>
      </w:r>
      <w:r>
        <w:t>, p. 14; Australia's response to Panel question 92(b), para. 152.</w:t>
      </w:r>
    </w:p>
  </w:footnote>
  <w:footnote w:id="133">
    <w:p w14:paraId="4B2D2CD7" w14:textId="4497E08B" w:rsidR="009F060F" w:rsidRDefault="009F060F">
      <w:pPr>
        <w:pStyle w:val="FootnoteText"/>
      </w:pPr>
      <w:r>
        <w:rPr>
          <w:rStyle w:val="FootnoteReference"/>
        </w:rPr>
        <w:footnoteRef/>
      </w:r>
      <w:r>
        <w:t xml:space="preserve"> Australia's response to Panel question 92(b), para. 154. </w:t>
      </w:r>
    </w:p>
  </w:footnote>
  <w:footnote w:id="134">
    <w:p w14:paraId="1A889B50" w14:textId="27664C47" w:rsidR="009F060F" w:rsidRDefault="009F060F">
      <w:pPr>
        <w:pStyle w:val="FootnoteText"/>
      </w:pPr>
      <w:r>
        <w:rPr>
          <w:rStyle w:val="FootnoteReference"/>
        </w:rPr>
        <w:footnoteRef/>
      </w:r>
      <w:r>
        <w:t xml:space="preserve"> Australia's second written submission, paras. 203–204. </w:t>
      </w:r>
    </w:p>
  </w:footnote>
  <w:footnote w:id="135">
    <w:p w14:paraId="3D259D3A" w14:textId="22914458" w:rsidR="009F060F" w:rsidRDefault="009F060F">
      <w:pPr>
        <w:pStyle w:val="FootnoteText"/>
      </w:pPr>
      <w:r>
        <w:rPr>
          <w:rStyle w:val="FootnoteReference"/>
        </w:rPr>
        <w:footnoteRef/>
      </w:r>
      <w:r>
        <w:t xml:space="preserve"> Australia's first written submission, paras. 394–397, 405–408, 413–416, 426. </w:t>
      </w:r>
    </w:p>
  </w:footnote>
  <w:footnote w:id="136">
    <w:p w14:paraId="697C1B3F" w14:textId="45B67565" w:rsidR="009F060F" w:rsidRDefault="009F060F">
      <w:pPr>
        <w:pStyle w:val="FootnoteText"/>
      </w:pPr>
      <w:r>
        <w:rPr>
          <w:rStyle w:val="FootnoteReference"/>
        </w:rPr>
        <w:footnoteRef/>
      </w:r>
      <w:r>
        <w:t xml:space="preserve"> Australia's first written submission, paras. 398–400, 409, 417, 427–427. </w:t>
      </w:r>
    </w:p>
  </w:footnote>
  <w:footnote w:id="137">
    <w:p w14:paraId="28F778EC" w14:textId="43F1A782" w:rsidR="009F060F" w:rsidRDefault="009F060F">
      <w:pPr>
        <w:pStyle w:val="FootnoteText"/>
      </w:pPr>
      <w:r>
        <w:rPr>
          <w:rStyle w:val="FootnoteReference"/>
        </w:rPr>
        <w:footnoteRef/>
      </w:r>
      <w:r>
        <w:t xml:space="preserve"> Australia's first written submission, paras. 401–403, 410–411, 420–422, 430–431.</w:t>
      </w:r>
    </w:p>
  </w:footnote>
  <w:footnote w:id="138">
    <w:p w14:paraId="34602E89" w14:textId="64A8274A" w:rsidR="009F060F" w:rsidRDefault="009F060F">
      <w:pPr>
        <w:pStyle w:val="FootnoteText"/>
      </w:pPr>
      <w:r>
        <w:rPr>
          <w:rStyle w:val="FootnoteReference"/>
        </w:rPr>
        <w:footnoteRef/>
      </w:r>
      <w:r>
        <w:t xml:space="preserve"> India's first written submission, paras. 146–147. </w:t>
      </w:r>
      <w:r>
        <w:rPr>
          <w:i/>
        </w:rPr>
        <w:t xml:space="preserve">See also, </w:t>
      </w:r>
      <w:r>
        <w:t>India's second written submission, paras. 67–89.</w:t>
      </w:r>
    </w:p>
  </w:footnote>
  <w:footnote w:id="139">
    <w:p w14:paraId="29E599A1" w14:textId="4A669058" w:rsidR="009F060F" w:rsidRDefault="009F060F">
      <w:pPr>
        <w:pStyle w:val="FootnoteText"/>
      </w:pPr>
      <w:r>
        <w:rPr>
          <w:rStyle w:val="FootnoteReference"/>
        </w:rPr>
        <w:footnoteRef/>
      </w:r>
      <w:r>
        <w:t xml:space="preserve"> India's first written submission, para. 147. </w:t>
      </w:r>
      <w:r>
        <w:rPr>
          <w:i/>
        </w:rPr>
        <w:t>See also</w:t>
      </w:r>
      <w:r>
        <w:t xml:space="preserve">, India's second written submission, paras. 90–97. </w:t>
      </w:r>
    </w:p>
  </w:footnote>
  <w:footnote w:id="140">
    <w:p w14:paraId="51331F93" w14:textId="46C67F3C" w:rsidR="009F060F" w:rsidRDefault="009F060F">
      <w:pPr>
        <w:pStyle w:val="FootnoteText"/>
      </w:pPr>
      <w:r w:rsidRPr="00ED5236">
        <w:rPr>
          <w:rStyle w:val="FootnoteReference"/>
        </w:rPr>
        <w:footnoteRef/>
      </w:r>
      <w:r w:rsidRPr="00ED5236">
        <w:t xml:space="preserve"> See paragraphs </w:t>
      </w:r>
      <w:r w:rsidRPr="00ED5236">
        <w:fldChar w:fldCharType="begin"/>
      </w:r>
      <w:r w:rsidRPr="00ED5236">
        <w:instrText xml:space="preserve"> REF _Ref72338248 \r \h  \* MERGEFORMAT </w:instrText>
      </w:r>
      <w:r w:rsidRPr="00ED5236">
        <w:fldChar w:fldCharType="separate"/>
      </w:r>
      <w:r w:rsidR="00AC7864">
        <w:t>83</w:t>
      </w:r>
      <w:r w:rsidRPr="00ED5236">
        <w:fldChar w:fldCharType="end"/>
      </w:r>
      <w:r w:rsidRPr="00ED5236">
        <w:t xml:space="preserve"> to </w:t>
      </w:r>
      <w:r w:rsidRPr="00ED5236">
        <w:fldChar w:fldCharType="begin"/>
      </w:r>
      <w:r w:rsidRPr="00ED5236">
        <w:instrText xml:space="preserve"> REF _Ref72338256 \r \h  \* MERGEFORMAT </w:instrText>
      </w:r>
      <w:r w:rsidRPr="00ED5236">
        <w:fldChar w:fldCharType="separate"/>
      </w:r>
      <w:r w:rsidR="00AC7864">
        <w:t>88</w:t>
      </w:r>
      <w:r w:rsidRPr="00ED5236">
        <w:fldChar w:fldCharType="end"/>
      </w:r>
      <w:r w:rsidRPr="00ED5236">
        <w:t xml:space="preserve"> above.</w:t>
      </w:r>
    </w:p>
  </w:footnote>
  <w:footnote w:id="141">
    <w:p w14:paraId="5440876C" w14:textId="4EC76449" w:rsidR="009F060F" w:rsidRDefault="009F060F">
      <w:pPr>
        <w:pStyle w:val="FootnoteText"/>
      </w:pPr>
      <w:r>
        <w:rPr>
          <w:rStyle w:val="FootnoteReference"/>
        </w:rPr>
        <w:footnoteRef/>
      </w:r>
      <w:r>
        <w:t xml:space="preserve"> India's first written submission, paras. 129–145. </w:t>
      </w:r>
    </w:p>
  </w:footnote>
  <w:footnote w:id="142">
    <w:p w14:paraId="3B969224" w14:textId="5EF4F3C1" w:rsidR="009F060F" w:rsidRPr="00141CED" w:rsidRDefault="009F060F">
      <w:pPr>
        <w:pStyle w:val="FootnoteText"/>
      </w:pPr>
      <w:r>
        <w:rPr>
          <w:rStyle w:val="FootnoteReference"/>
        </w:rPr>
        <w:footnoteRef/>
      </w:r>
      <w:r>
        <w:t xml:space="preserve"> Appellate Body Report, </w:t>
      </w:r>
      <w:r>
        <w:rPr>
          <w:i/>
        </w:rPr>
        <w:t xml:space="preserve">Peru – Agricultural Products, </w:t>
      </w:r>
      <w:r>
        <w:t>para. 5.94.</w:t>
      </w:r>
    </w:p>
  </w:footnote>
  <w:footnote w:id="143">
    <w:p w14:paraId="3D0CE778" w14:textId="0F8C8607" w:rsidR="009F060F" w:rsidRPr="007B740D" w:rsidRDefault="009F060F">
      <w:pPr>
        <w:pStyle w:val="FootnoteText"/>
      </w:pPr>
      <w:r w:rsidRPr="00ED5236">
        <w:rPr>
          <w:rStyle w:val="FootnoteReference"/>
        </w:rPr>
        <w:footnoteRef/>
      </w:r>
      <w:r w:rsidRPr="00ED5236">
        <w:t xml:space="preserve"> </w:t>
      </w:r>
      <w:r w:rsidRPr="00ED5236">
        <w:rPr>
          <w:iCs/>
        </w:rPr>
        <w:t>See</w:t>
      </w:r>
      <w:r w:rsidRPr="00ED5236">
        <w:t xml:space="preserve"> footnote </w:t>
      </w:r>
      <w:r w:rsidRPr="00ED5236">
        <w:fldChar w:fldCharType="begin"/>
      </w:r>
      <w:r w:rsidRPr="00ED5236">
        <w:instrText xml:space="preserve"> NOTEREF _Ref63622584 \h </w:instrText>
      </w:r>
      <w:r>
        <w:instrText xml:space="preserve"> \* MERGEFORMAT </w:instrText>
      </w:r>
      <w:r w:rsidRPr="00ED5236">
        <w:fldChar w:fldCharType="separate"/>
      </w:r>
      <w:r w:rsidR="00AC7864">
        <w:t>40</w:t>
      </w:r>
      <w:r w:rsidRPr="00ED5236">
        <w:fldChar w:fldCharType="end"/>
      </w:r>
      <w:r w:rsidRPr="00ED5236">
        <w:t xml:space="preserve"> above.</w:t>
      </w:r>
    </w:p>
  </w:footnote>
  <w:footnote w:id="144">
    <w:p w14:paraId="3B7B03B2" w14:textId="77777777" w:rsidR="009F060F" w:rsidRDefault="009F060F" w:rsidP="00141CED">
      <w:pPr>
        <w:pStyle w:val="FootnoteText"/>
      </w:pPr>
      <w:r>
        <w:rPr>
          <w:rStyle w:val="FootnoteReference"/>
        </w:rPr>
        <w:footnoteRef/>
      </w:r>
      <w:r>
        <w:t xml:space="preserve"> India's first written submission, para. 137. </w:t>
      </w:r>
    </w:p>
  </w:footnote>
  <w:footnote w:id="145">
    <w:p w14:paraId="2CD415B5" w14:textId="2676DDCB" w:rsidR="009F060F" w:rsidRDefault="009F060F">
      <w:pPr>
        <w:pStyle w:val="FootnoteText"/>
      </w:pPr>
      <w:r>
        <w:rPr>
          <w:rStyle w:val="FootnoteReference"/>
        </w:rPr>
        <w:footnoteRef/>
      </w:r>
      <w:r>
        <w:t xml:space="preserve"> SCM Agreement, Annex VII(b) (emphasis added). </w:t>
      </w:r>
    </w:p>
  </w:footnote>
  <w:footnote w:id="146">
    <w:p w14:paraId="7DA0566D" w14:textId="5A3F449C" w:rsidR="009F060F" w:rsidRDefault="009F060F">
      <w:pPr>
        <w:pStyle w:val="FootnoteText"/>
      </w:pPr>
      <w:r>
        <w:rPr>
          <w:rStyle w:val="FootnoteReference"/>
        </w:rPr>
        <w:footnoteRef/>
      </w:r>
      <w:r>
        <w:t xml:space="preserve"> Australia's second written submission, paras. 185–190. </w:t>
      </w:r>
    </w:p>
  </w:footnote>
  <w:footnote w:id="147">
    <w:p w14:paraId="36CEA24B" w14:textId="44FBE5EF" w:rsidR="009F060F" w:rsidRDefault="009F060F">
      <w:pPr>
        <w:pStyle w:val="FootnoteText"/>
      </w:pPr>
      <w:r>
        <w:rPr>
          <w:rStyle w:val="FootnoteReference"/>
        </w:rPr>
        <w:footnoteRef/>
      </w:r>
      <w:r>
        <w:t xml:space="preserve"> India's first written submission, para. 141.</w:t>
      </w:r>
    </w:p>
  </w:footnote>
  <w:footnote w:id="148">
    <w:p w14:paraId="50454128" w14:textId="3C2FA692" w:rsidR="009F060F" w:rsidRDefault="009F060F">
      <w:pPr>
        <w:pStyle w:val="FootnoteText"/>
      </w:pPr>
      <w:r>
        <w:rPr>
          <w:rStyle w:val="FootnoteReference"/>
        </w:rPr>
        <w:footnoteRef/>
      </w:r>
      <w:r>
        <w:t xml:space="preserve"> SCM Agreement, Article 27.4 (emphasis added). </w:t>
      </w:r>
    </w:p>
  </w:footnote>
  <w:footnote w:id="149">
    <w:p w14:paraId="44FD0B20" w14:textId="406DC1D9" w:rsidR="009F060F" w:rsidRDefault="009F060F">
      <w:pPr>
        <w:pStyle w:val="FootnoteText"/>
      </w:pPr>
      <w:r>
        <w:rPr>
          <w:rStyle w:val="FootnoteReference"/>
        </w:rPr>
        <w:footnoteRef/>
      </w:r>
      <w:r>
        <w:t xml:space="preserve"> Australia's second written submission, para. 192.</w:t>
      </w:r>
    </w:p>
  </w:footnote>
  <w:footnote w:id="150">
    <w:p w14:paraId="462A77BD" w14:textId="58A8C1F2" w:rsidR="009F060F" w:rsidRDefault="009F060F">
      <w:pPr>
        <w:pStyle w:val="FootnoteText"/>
      </w:pPr>
      <w:r>
        <w:rPr>
          <w:rStyle w:val="FootnoteReference"/>
        </w:rPr>
        <w:footnoteRef/>
      </w:r>
      <w:r>
        <w:t xml:space="preserve"> India's first written submission, paras. 139–140.</w:t>
      </w:r>
    </w:p>
  </w:footnote>
  <w:footnote w:id="151">
    <w:p w14:paraId="093AB743" w14:textId="70E90A7D" w:rsidR="009F060F" w:rsidRDefault="009F060F">
      <w:pPr>
        <w:pStyle w:val="FootnoteText"/>
      </w:pPr>
      <w:r>
        <w:rPr>
          <w:rStyle w:val="FootnoteReference"/>
        </w:rPr>
        <w:footnoteRef/>
      </w:r>
      <w:r>
        <w:t xml:space="preserve"> Australia's second written submission, paras. 198–199.</w:t>
      </w:r>
    </w:p>
  </w:footnote>
  <w:footnote w:id="152">
    <w:p w14:paraId="2698C687" w14:textId="4CBE9C1F" w:rsidR="009F060F" w:rsidRDefault="009F060F">
      <w:pPr>
        <w:pStyle w:val="FootnoteText"/>
      </w:pPr>
      <w:r>
        <w:rPr>
          <w:rStyle w:val="FootnoteReference"/>
        </w:rPr>
        <w:footnoteRef/>
      </w:r>
      <w:r>
        <w:t xml:space="preserve"> Australia's second written submission, paras. 195–201. </w:t>
      </w:r>
    </w:p>
  </w:footnote>
  <w:footnote w:id="153">
    <w:p w14:paraId="1B40F986" w14:textId="5BDAA60C" w:rsidR="009F060F" w:rsidRDefault="009F060F" w:rsidP="00436059">
      <w:pPr>
        <w:pStyle w:val="FootnoteText"/>
      </w:pPr>
      <w:r>
        <w:rPr>
          <w:rStyle w:val="FootnoteReference"/>
        </w:rPr>
        <w:footnoteRef/>
      </w:r>
      <w:r>
        <w:t xml:space="preserve"> See paragraphs </w:t>
      </w:r>
      <w:r>
        <w:fldChar w:fldCharType="begin"/>
      </w:r>
      <w:r>
        <w:instrText xml:space="preserve"> REF _Ref72339360 \r \h </w:instrText>
      </w:r>
      <w:r>
        <w:fldChar w:fldCharType="separate"/>
      </w:r>
      <w:r w:rsidR="00AC7864">
        <w:t>79</w:t>
      </w:r>
      <w:r>
        <w:fldChar w:fldCharType="end"/>
      </w:r>
      <w:r>
        <w:t xml:space="preserve"> to </w:t>
      </w:r>
      <w:r>
        <w:fldChar w:fldCharType="begin"/>
      </w:r>
      <w:r>
        <w:instrText xml:space="preserve"> REF _Ref72339362 \r \h </w:instrText>
      </w:r>
      <w:r>
        <w:fldChar w:fldCharType="separate"/>
      </w:r>
      <w:r w:rsidR="00AC7864">
        <w:t>81</w:t>
      </w:r>
      <w:r>
        <w:fldChar w:fldCharType="end"/>
      </w:r>
      <w:r>
        <w:t xml:space="preserve"> above. </w:t>
      </w:r>
    </w:p>
  </w:footnote>
  <w:footnote w:id="154">
    <w:p w14:paraId="293D5F82" w14:textId="6726654A" w:rsidR="009F060F" w:rsidRDefault="009F060F">
      <w:pPr>
        <w:pStyle w:val="FootnoteText"/>
      </w:pPr>
      <w:r>
        <w:rPr>
          <w:rStyle w:val="FootnoteReference"/>
        </w:rPr>
        <w:footnoteRef/>
      </w:r>
      <w:r>
        <w:t xml:space="preserve"> Australia's response to Panel question 58(b), para. 65; Australia's second written submission, para. 211, citing Panel Report, </w:t>
      </w:r>
      <w:r w:rsidRPr="0008417C">
        <w:rPr>
          <w:i/>
          <w:iCs/>
        </w:rPr>
        <w:t>India – Export Related Measures</w:t>
      </w:r>
      <w:r>
        <w:t>, para. 7.178, Table 2.</w:t>
      </w:r>
    </w:p>
  </w:footnote>
  <w:footnote w:id="155">
    <w:p w14:paraId="11794A58" w14:textId="63762127" w:rsidR="009F060F" w:rsidRDefault="009F060F" w:rsidP="0008417C">
      <w:pPr>
        <w:pStyle w:val="FootnoteText"/>
      </w:pPr>
      <w:r>
        <w:rPr>
          <w:rStyle w:val="FootnoteReference"/>
        </w:rPr>
        <w:footnoteRef/>
      </w:r>
      <w:r>
        <w:t xml:space="preserve"> SCM Agreement, Annex I(i) (emphasis added).</w:t>
      </w:r>
    </w:p>
  </w:footnote>
  <w:footnote w:id="156">
    <w:p w14:paraId="5A77792D" w14:textId="77777777" w:rsidR="009F060F" w:rsidRDefault="009F060F" w:rsidP="006873F0">
      <w:pPr>
        <w:pStyle w:val="FootnoteText"/>
      </w:pPr>
      <w:r>
        <w:rPr>
          <w:rStyle w:val="FootnoteReference"/>
        </w:rPr>
        <w:footnoteRef/>
      </w:r>
      <w:r>
        <w:t xml:space="preserve"> SCM Agreement, footnote 61.</w:t>
      </w:r>
    </w:p>
  </w:footnote>
  <w:footnote w:id="157">
    <w:p w14:paraId="12038909" w14:textId="77777777" w:rsidR="009F060F" w:rsidRDefault="009F060F" w:rsidP="006873F0">
      <w:pPr>
        <w:pStyle w:val="FootnoteText"/>
      </w:pPr>
      <w:r>
        <w:rPr>
          <w:rStyle w:val="FootnoteReference"/>
        </w:rPr>
        <w:footnoteRef/>
      </w:r>
      <w:r>
        <w:t xml:space="preserve"> SCM Agreement, Annex II(II)(3).</w:t>
      </w:r>
    </w:p>
  </w:footnote>
  <w:footnote w:id="158">
    <w:p w14:paraId="3EB38C90" w14:textId="2B5D7788" w:rsidR="009F060F" w:rsidRDefault="009F060F">
      <w:pPr>
        <w:pStyle w:val="FootnoteText"/>
      </w:pPr>
      <w:r>
        <w:rPr>
          <w:rStyle w:val="FootnoteReference"/>
        </w:rPr>
        <w:footnoteRef/>
      </w:r>
      <w:r>
        <w:t xml:space="preserve"> Australia's response to Panel question 85, paras. 119–123. </w:t>
      </w:r>
    </w:p>
  </w:footnote>
  <w:footnote w:id="159">
    <w:p w14:paraId="449BF22A" w14:textId="02E8C752" w:rsidR="009F060F" w:rsidRDefault="009F060F">
      <w:pPr>
        <w:pStyle w:val="FootnoteText"/>
      </w:pPr>
      <w:r>
        <w:rPr>
          <w:rStyle w:val="FootnoteReference"/>
        </w:rPr>
        <w:footnoteRef/>
      </w:r>
      <w:r>
        <w:t xml:space="preserve"> See paragraph </w:t>
      </w:r>
      <w:r>
        <w:fldChar w:fldCharType="begin"/>
      </w:r>
      <w:r>
        <w:instrText xml:space="preserve"> REF _Ref72335790 \r \h </w:instrText>
      </w:r>
      <w:r>
        <w:fldChar w:fldCharType="separate"/>
      </w:r>
      <w:r w:rsidR="00AC7864">
        <w:t>25</w:t>
      </w:r>
      <w:r>
        <w:fldChar w:fldCharType="end"/>
      </w:r>
      <w:r>
        <w:t xml:space="preserve"> above. </w:t>
      </w:r>
    </w:p>
  </w:footnote>
  <w:footnote w:id="160">
    <w:p w14:paraId="22C7A4BD" w14:textId="77777777" w:rsidR="009F060F" w:rsidRDefault="009F060F" w:rsidP="006873F0">
      <w:pPr>
        <w:pStyle w:val="FootnoteText"/>
      </w:pPr>
      <w:r>
        <w:rPr>
          <w:rStyle w:val="FootnoteReference"/>
        </w:rPr>
        <w:footnoteRef/>
      </w:r>
      <w:r>
        <w:t xml:space="preserve"> Australia's response to Panel question 85, paras. 119 and 126. </w:t>
      </w:r>
    </w:p>
  </w:footnote>
  <w:footnote w:id="161">
    <w:p w14:paraId="1DFA3D9F" w14:textId="75332A8C" w:rsidR="009F060F" w:rsidRDefault="009F060F">
      <w:pPr>
        <w:pStyle w:val="FootnoteText"/>
      </w:pPr>
      <w:r>
        <w:rPr>
          <w:rStyle w:val="FootnoteReference"/>
        </w:rPr>
        <w:footnoteRef/>
      </w:r>
      <w:r>
        <w:t xml:space="preserve"> Australia's comments on India's response to Panel question 88, paras. 49–52.</w:t>
      </w:r>
    </w:p>
  </w:footnote>
  <w:footnote w:id="162">
    <w:p w14:paraId="68358957" w14:textId="46DE287B" w:rsidR="009F060F" w:rsidRDefault="009F060F">
      <w:pPr>
        <w:pStyle w:val="FootnoteText"/>
      </w:pPr>
      <w:r>
        <w:rPr>
          <w:rStyle w:val="FootnoteReference"/>
        </w:rPr>
        <w:footnoteRef/>
      </w:r>
      <w:r>
        <w:t xml:space="preserve"> India's opening statement at the second substantive meeting, para. 90; Australia's closing statement at the second substantive meeting, para. 24.</w:t>
      </w:r>
    </w:p>
  </w:footnote>
  <w:footnote w:id="163">
    <w:p w14:paraId="19100EE2" w14:textId="06CD7B62" w:rsidR="009F060F" w:rsidRDefault="009F060F">
      <w:pPr>
        <w:pStyle w:val="FootnoteText"/>
      </w:pPr>
      <w:r>
        <w:rPr>
          <w:rStyle w:val="FootnoteReference"/>
        </w:rPr>
        <w:footnoteRef/>
      </w:r>
      <w:r>
        <w:t xml:space="preserve"> SCM Agreement, Annex II(I)(2).</w:t>
      </w:r>
    </w:p>
  </w:footnote>
  <w:footnote w:id="164">
    <w:p w14:paraId="05164280" w14:textId="7976496E" w:rsidR="009F060F" w:rsidRDefault="009F060F">
      <w:pPr>
        <w:pStyle w:val="FootnoteText"/>
      </w:pPr>
      <w:r>
        <w:rPr>
          <w:rStyle w:val="FootnoteReference"/>
        </w:rPr>
        <w:footnoteRef/>
      </w:r>
      <w:r>
        <w:t xml:space="preserve"> Australia's comments on India's response to Panel question 88, paras. 53–54.</w:t>
      </w:r>
    </w:p>
  </w:footnote>
  <w:footnote w:id="165">
    <w:p w14:paraId="649A3235" w14:textId="2BBD9DE5" w:rsidR="009F060F" w:rsidRDefault="009F060F">
      <w:pPr>
        <w:pStyle w:val="FootnoteText"/>
      </w:pPr>
      <w:r>
        <w:rPr>
          <w:rStyle w:val="FootnoteReference"/>
        </w:rPr>
        <w:footnoteRef/>
      </w:r>
      <w:r>
        <w:t xml:space="preserve"> India's opening statement at the second substantive meeting, para. 89.</w:t>
      </w:r>
    </w:p>
  </w:footnote>
  <w:footnote w:id="166">
    <w:p w14:paraId="12525796" w14:textId="47289634" w:rsidR="009F060F" w:rsidRDefault="009F060F" w:rsidP="00583AF1">
      <w:pPr>
        <w:pStyle w:val="FootnoteText"/>
      </w:pPr>
      <w:r>
        <w:rPr>
          <w:rStyle w:val="FootnoteReference"/>
        </w:rPr>
        <w:footnoteRef/>
      </w:r>
      <w:r>
        <w:t xml:space="preserve"> See paragraph </w:t>
      </w:r>
      <w:r>
        <w:fldChar w:fldCharType="begin"/>
      </w:r>
      <w:r>
        <w:instrText xml:space="preserve"> REF _Ref72339679 \r \h </w:instrText>
      </w:r>
      <w:r>
        <w:fldChar w:fldCharType="separate"/>
      </w:r>
      <w:r w:rsidR="00AC7864">
        <w:t>96</w:t>
      </w:r>
      <w:r>
        <w:fldChar w:fldCharType="end"/>
      </w:r>
      <w:r>
        <w:t xml:space="preserve"> above.</w:t>
      </w:r>
    </w:p>
  </w:footnote>
  <w:footnote w:id="167">
    <w:p w14:paraId="31101874" w14:textId="6DDBF83D" w:rsidR="009F060F" w:rsidRDefault="009F060F">
      <w:pPr>
        <w:pStyle w:val="FootnoteText"/>
      </w:pPr>
      <w:r>
        <w:rPr>
          <w:rStyle w:val="FootnoteReference"/>
        </w:rPr>
        <w:footnoteRef/>
      </w:r>
      <w:r>
        <w:t xml:space="preserve"> Australia's comments on India's response to Panel question 86(a), paras. 44–46.</w:t>
      </w:r>
    </w:p>
  </w:footnote>
  <w:footnote w:id="168">
    <w:p w14:paraId="263B03C0" w14:textId="77777777" w:rsidR="009F060F" w:rsidRDefault="009F060F" w:rsidP="00457160">
      <w:pPr>
        <w:pStyle w:val="FootnoteText"/>
      </w:pPr>
      <w:r>
        <w:rPr>
          <w:rStyle w:val="FootnoteReference"/>
        </w:rPr>
        <w:footnoteRef/>
      </w:r>
      <w:r>
        <w:t xml:space="preserve"> Australia's first written submission, paras. 437–443; Australia's response to Panel question 44(b), para. 141; Australia's second written submission, paras. 223–224.</w:t>
      </w:r>
    </w:p>
  </w:footnote>
  <w:footnote w:id="169">
    <w:p w14:paraId="32E9ACC4" w14:textId="77777777" w:rsidR="009F060F" w:rsidRDefault="009F060F" w:rsidP="00457160">
      <w:pPr>
        <w:pStyle w:val="FootnoteText"/>
      </w:pPr>
      <w:r>
        <w:rPr>
          <w:rStyle w:val="FootnoteReference"/>
        </w:rPr>
        <w:footnoteRef/>
      </w:r>
      <w:r>
        <w:t xml:space="preserve"> India's first written submission, para. 158.</w:t>
      </w:r>
    </w:p>
  </w:footnote>
  <w:footnote w:id="170">
    <w:p w14:paraId="4995A0D0" w14:textId="77777777" w:rsidR="009F060F" w:rsidRDefault="009F060F" w:rsidP="00457160">
      <w:pPr>
        <w:pStyle w:val="FootnoteText"/>
      </w:pPr>
      <w:r>
        <w:rPr>
          <w:rStyle w:val="FootnoteReference"/>
        </w:rPr>
        <w:footnoteRef/>
      </w:r>
      <w:r>
        <w:t xml:space="preserve"> Agreement on Agriculture, Articles 18.1 and 18.2.</w:t>
      </w:r>
    </w:p>
  </w:footnote>
  <w:footnote w:id="171">
    <w:p w14:paraId="0C471B97" w14:textId="77777777" w:rsidR="009F060F" w:rsidRDefault="009F060F" w:rsidP="00457160">
      <w:pPr>
        <w:pStyle w:val="FootnoteText"/>
      </w:pPr>
      <w:r>
        <w:rPr>
          <w:rStyle w:val="FootnoteReference"/>
        </w:rPr>
        <w:footnoteRef/>
      </w:r>
      <w:r>
        <w:t xml:space="preserve"> </w:t>
      </w:r>
      <w:r w:rsidRPr="0061059A">
        <w:t>G/AG/2, 30 June 1995, p. 24.</w:t>
      </w:r>
    </w:p>
  </w:footnote>
  <w:footnote w:id="172">
    <w:p w14:paraId="1EFA2309" w14:textId="77777777" w:rsidR="009F060F" w:rsidRDefault="009F060F" w:rsidP="00457160">
      <w:pPr>
        <w:pStyle w:val="FootnoteText"/>
      </w:pPr>
      <w:r>
        <w:rPr>
          <w:rStyle w:val="FootnoteReference"/>
        </w:rPr>
        <w:footnoteRef/>
      </w:r>
      <w:r>
        <w:t xml:space="preserve"> India's first written submission, para. 158.</w:t>
      </w:r>
    </w:p>
  </w:footnote>
  <w:footnote w:id="173">
    <w:p w14:paraId="7D1EC611" w14:textId="77777777" w:rsidR="009F060F" w:rsidRDefault="009F060F" w:rsidP="00457160">
      <w:pPr>
        <w:pStyle w:val="FootnoteText"/>
      </w:pPr>
      <w:r>
        <w:rPr>
          <w:rStyle w:val="FootnoteReference"/>
        </w:rPr>
        <w:footnoteRef/>
      </w:r>
      <w:r>
        <w:t xml:space="preserve"> Australia's response to Panel question 44(b), para. 140; Australia's second written submission, paras. 225–229.</w:t>
      </w:r>
    </w:p>
  </w:footnote>
  <w:footnote w:id="174">
    <w:p w14:paraId="3DC01344" w14:textId="49525BC2" w:rsidR="009F060F" w:rsidRDefault="009F060F" w:rsidP="00557825">
      <w:pPr>
        <w:pStyle w:val="FootnoteText"/>
      </w:pPr>
      <w:r>
        <w:rPr>
          <w:rStyle w:val="FootnoteReference"/>
        </w:rPr>
        <w:footnoteRef/>
      </w:r>
      <w:r>
        <w:t xml:space="preserve"> SCM Agreement, Article 25.2; Australia's first written submission, paras. 444–446. </w:t>
      </w:r>
    </w:p>
  </w:footnote>
  <w:footnote w:id="175">
    <w:p w14:paraId="4423295A" w14:textId="51C14726" w:rsidR="009F060F" w:rsidRDefault="009F060F">
      <w:pPr>
        <w:pStyle w:val="FootnoteText"/>
      </w:pPr>
      <w:r>
        <w:rPr>
          <w:rStyle w:val="FootnoteReference"/>
        </w:rPr>
        <w:footnoteRef/>
      </w:r>
      <w:r>
        <w:t xml:space="preserve"> SCM Agreement, Article 25.1. </w:t>
      </w:r>
    </w:p>
  </w:footnote>
  <w:footnote w:id="176">
    <w:p w14:paraId="0CAFF298" w14:textId="77777777" w:rsidR="009F060F" w:rsidRDefault="009F060F" w:rsidP="00557825">
      <w:pPr>
        <w:pStyle w:val="FootnoteText"/>
      </w:pPr>
      <w:r>
        <w:rPr>
          <w:rStyle w:val="FootnoteReference"/>
        </w:rPr>
        <w:footnoteRef/>
      </w:r>
      <w:r>
        <w:t xml:space="preserve"> India's first written submission, para. 157.</w:t>
      </w:r>
    </w:p>
  </w:footnote>
  <w:footnote w:id="177">
    <w:p w14:paraId="54FA715B" w14:textId="77777777" w:rsidR="009F060F" w:rsidRDefault="009F060F" w:rsidP="00557825">
      <w:pPr>
        <w:pStyle w:val="FootnoteText"/>
      </w:pPr>
      <w:r>
        <w:rPr>
          <w:rStyle w:val="FootnoteReference"/>
        </w:rPr>
        <w:footnoteRef/>
      </w:r>
      <w:r>
        <w:t xml:space="preserve"> Australia's first written submission, paras. 447–448.</w:t>
      </w:r>
    </w:p>
  </w:footnote>
  <w:footnote w:id="178">
    <w:p w14:paraId="26DB9C7B" w14:textId="77777777" w:rsidR="009F060F" w:rsidRDefault="009F060F" w:rsidP="00557825">
      <w:pPr>
        <w:pStyle w:val="FootnoteText"/>
      </w:pPr>
      <w:r>
        <w:rPr>
          <w:rStyle w:val="FootnoteReference"/>
        </w:rPr>
        <w:footnoteRef/>
      </w:r>
      <w:r>
        <w:t xml:space="preserve"> India's first written submission, para. 157.</w:t>
      </w:r>
    </w:p>
  </w:footnote>
  <w:footnote w:id="179">
    <w:p w14:paraId="700F4481" w14:textId="7C5373B5" w:rsidR="009F060F" w:rsidRDefault="009F060F" w:rsidP="003F6643">
      <w:pPr>
        <w:pStyle w:val="FootnoteText"/>
      </w:pPr>
      <w:r>
        <w:rPr>
          <w:rStyle w:val="FootnoteReference"/>
        </w:rPr>
        <w:footnoteRef/>
      </w:r>
      <w:r>
        <w:t xml:space="preserve"> </w:t>
      </w:r>
      <w:r w:rsidRPr="001F5374">
        <w:t>Australia's first written submission, para. 45</w:t>
      </w:r>
      <w:r>
        <w:t>0–458</w:t>
      </w:r>
      <w:r w:rsidRPr="001F5374">
        <w:t>.</w:t>
      </w:r>
    </w:p>
  </w:footnote>
  <w:footnote w:id="180">
    <w:p w14:paraId="2D668296" w14:textId="77777777" w:rsidR="009F060F" w:rsidRDefault="009F060F" w:rsidP="00457160">
      <w:pPr>
        <w:pStyle w:val="FootnoteText"/>
      </w:pPr>
      <w:r>
        <w:rPr>
          <w:rStyle w:val="FootnoteReference"/>
        </w:rPr>
        <w:footnoteRef/>
      </w:r>
      <w:r>
        <w:t xml:space="preserve"> Australia's first written submission, paras. 459–466.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D2CAD" w14:textId="5D668EE3" w:rsidR="009F060F" w:rsidRPr="00CD034E" w:rsidRDefault="009F060F">
    <w:pPr>
      <w:pStyle w:val="Header"/>
      <w:rPr>
        <w:sz w:val="18"/>
        <w:szCs w:val="18"/>
      </w:rPr>
    </w:pPr>
    <w:r w:rsidRPr="00CD034E">
      <w:rPr>
        <w:i/>
        <w:iCs/>
        <w:sz w:val="18"/>
        <w:szCs w:val="18"/>
      </w:rPr>
      <w:fldChar w:fldCharType="begin"/>
    </w:r>
    <w:r w:rsidRPr="00CD034E">
      <w:rPr>
        <w:i/>
        <w:iCs/>
        <w:sz w:val="18"/>
        <w:szCs w:val="18"/>
      </w:rPr>
      <w:instrText xml:space="preserve"> STYLEREF  "[WTODT] WTO Dispute Title"  \* MERGEFORMAT </w:instrText>
    </w:r>
    <w:r w:rsidRPr="00CD034E">
      <w:rPr>
        <w:i/>
        <w:iCs/>
        <w:sz w:val="18"/>
        <w:szCs w:val="18"/>
      </w:rPr>
      <w:fldChar w:fldCharType="separate"/>
    </w:r>
    <w:r w:rsidR="00092334">
      <w:rPr>
        <w:i/>
        <w:iCs/>
        <w:noProof/>
        <w:sz w:val="18"/>
        <w:szCs w:val="18"/>
      </w:rPr>
      <w:t>India – Measures Concerning Sugar and Sugarcane</w:t>
    </w:r>
    <w:r w:rsidRPr="00CD034E">
      <w:rPr>
        <w:i/>
        <w:iCs/>
        <w:sz w:val="18"/>
        <w:szCs w:val="18"/>
      </w:rPr>
      <w:fldChar w:fldCharType="end"/>
    </w:r>
    <w:r w:rsidRPr="00CD034E">
      <w:rPr>
        <w:sz w:val="18"/>
        <w:szCs w:val="18"/>
      </w:rPr>
      <w:ptab w:relativeTo="margin" w:alignment="right" w:leader="none"/>
    </w:r>
    <w:r w:rsidRPr="00CD034E">
      <w:rPr>
        <w:sz w:val="18"/>
        <w:szCs w:val="18"/>
      </w:rPr>
      <w:fldChar w:fldCharType="begin"/>
    </w:r>
    <w:r w:rsidRPr="00CD034E">
      <w:rPr>
        <w:sz w:val="18"/>
        <w:szCs w:val="18"/>
      </w:rPr>
      <w:instrText xml:space="preserve"> STYLEREF  "[DT] Document Title"  \* MERGEFORMAT </w:instrText>
    </w:r>
    <w:r w:rsidRPr="00CD034E">
      <w:rPr>
        <w:sz w:val="18"/>
        <w:szCs w:val="18"/>
      </w:rPr>
      <w:fldChar w:fldCharType="separate"/>
    </w:r>
    <w:r w:rsidR="00092334">
      <w:rPr>
        <w:noProof/>
        <w:sz w:val="18"/>
        <w:szCs w:val="18"/>
      </w:rPr>
      <w:t>Australia's Integrated Executive Summary</w:t>
    </w:r>
    <w:r w:rsidRPr="00CD034E">
      <w:rPr>
        <w:noProof/>
        <w:sz w:val="18"/>
        <w:szCs w:val="18"/>
      </w:rPr>
      <w:fldChar w:fldCharType="end"/>
    </w:r>
  </w:p>
  <w:p w14:paraId="5D579BF3" w14:textId="19E62851" w:rsidR="009F060F" w:rsidRPr="00CD034E" w:rsidRDefault="009F060F">
    <w:pPr>
      <w:pStyle w:val="Header"/>
      <w:rPr>
        <w:sz w:val="18"/>
        <w:szCs w:val="18"/>
      </w:rPr>
    </w:pPr>
    <w:r w:rsidRPr="00CD034E">
      <w:rPr>
        <w:sz w:val="18"/>
        <w:szCs w:val="18"/>
      </w:rPr>
      <w:fldChar w:fldCharType="begin"/>
    </w:r>
    <w:r w:rsidRPr="00CD034E">
      <w:rPr>
        <w:sz w:val="18"/>
        <w:szCs w:val="18"/>
      </w:rPr>
      <w:instrText xml:space="preserve"> STYLEREF  "[DSN] DS Number"  \* MERGEFORMAT </w:instrText>
    </w:r>
    <w:r w:rsidRPr="00CD034E">
      <w:rPr>
        <w:noProof/>
        <w:sz w:val="18"/>
        <w:szCs w:val="18"/>
      </w:rPr>
      <w:fldChar w:fldCharType="end"/>
    </w:r>
    <w:r w:rsidRPr="00CD034E">
      <w:rPr>
        <w:sz w:val="18"/>
        <w:szCs w:val="18"/>
      </w:rPr>
      <w:ptab w:relativeTo="margin" w:alignment="right" w:leader="none"/>
    </w:r>
    <w:r w:rsidRPr="00CD034E">
      <w:rPr>
        <w:sz w:val="18"/>
        <w:szCs w:val="18"/>
      </w:rPr>
      <w:fldChar w:fldCharType="begin"/>
    </w:r>
    <w:r w:rsidRPr="00CD034E">
      <w:rPr>
        <w:sz w:val="18"/>
        <w:szCs w:val="18"/>
      </w:rPr>
      <w:instrText xml:space="preserve"> STYLEREF  "[DD] Document Date"  \* MERGEFORMAT </w:instrText>
    </w:r>
    <w:r w:rsidRPr="00CD034E">
      <w:rPr>
        <w:sz w:val="18"/>
        <w:szCs w:val="18"/>
      </w:rPr>
      <w:fldChar w:fldCharType="separate"/>
    </w:r>
    <w:r w:rsidR="00092334">
      <w:rPr>
        <w:noProof/>
        <w:sz w:val="18"/>
        <w:szCs w:val="18"/>
      </w:rPr>
      <w:t>20 May 2021</w:t>
    </w:r>
    <w:r w:rsidRPr="00CD034E">
      <w:rPr>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BDF69" w14:textId="5815F77A" w:rsidR="009F060F" w:rsidRPr="00CD034E" w:rsidRDefault="009F060F">
    <w:pPr>
      <w:pStyle w:val="Header"/>
      <w:rPr>
        <w:sz w:val="18"/>
        <w:szCs w:val="18"/>
      </w:rPr>
    </w:pPr>
    <w:r w:rsidRPr="00CD034E">
      <w:rPr>
        <w:i/>
        <w:iCs/>
        <w:sz w:val="18"/>
        <w:szCs w:val="18"/>
      </w:rPr>
      <w:fldChar w:fldCharType="begin"/>
    </w:r>
    <w:r w:rsidRPr="00CD034E">
      <w:rPr>
        <w:i/>
        <w:iCs/>
        <w:sz w:val="18"/>
        <w:szCs w:val="18"/>
      </w:rPr>
      <w:instrText xml:space="preserve"> STYLEREF  "[WTODT] WTO Dispute Title"  \* MERGEFORMAT </w:instrText>
    </w:r>
    <w:r w:rsidRPr="00CD034E">
      <w:rPr>
        <w:i/>
        <w:iCs/>
        <w:sz w:val="18"/>
        <w:szCs w:val="18"/>
      </w:rPr>
      <w:fldChar w:fldCharType="separate"/>
    </w:r>
    <w:r w:rsidR="00092334">
      <w:rPr>
        <w:i/>
        <w:iCs/>
        <w:noProof/>
        <w:sz w:val="18"/>
        <w:szCs w:val="18"/>
      </w:rPr>
      <w:t>India – Measures Concerning Sugar and Sugarcane</w:t>
    </w:r>
    <w:r w:rsidRPr="00CD034E">
      <w:rPr>
        <w:i/>
        <w:iCs/>
        <w:sz w:val="18"/>
        <w:szCs w:val="18"/>
      </w:rPr>
      <w:fldChar w:fldCharType="end"/>
    </w:r>
    <w:r w:rsidRPr="00CD034E">
      <w:rPr>
        <w:sz w:val="18"/>
        <w:szCs w:val="18"/>
      </w:rPr>
      <w:ptab w:relativeTo="margin" w:alignment="right" w:leader="none"/>
    </w:r>
    <w:r w:rsidRPr="00CD034E">
      <w:rPr>
        <w:sz w:val="18"/>
        <w:szCs w:val="18"/>
      </w:rPr>
      <w:fldChar w:fldCharType="begin"/>
    </w:r>
    <w:r w:rsidRPr="00CD034E">
      <w:rPr>
        <w:sz w:val="18"/>
        <w:szCs w:val="18"/>
      </w:rPr>
      <w:instrText xml:space="preserve"> STYLEREF  "[DT] Document Title"  \* MERGEFORMAT </w:instrText>
    </w:r>
    <w:r w:rsidRPr="00CD034E">
      <w:rPr>
        <w:sz w:val="18"/>
        <w:szCs w:val="18"/>
      </w:rPr>
      <w:fldChar w:fldCharType="separate"/>
    </w:r>
    <w:r w:rsidR="00092334">
      <w:rPr>
        <w:noProof/>
        <w:sz w:val="18"/>
        <w:szCs w:val="18"/>
      </w:rPr>
      <w:t>Australia's Integrated Executive Summary</w:t>
    </w:r>
    <w:r w:rsidRPr="00CD034E">
      <w:rPr>
        <w:noProof/>
        <w:sz w:val="18"/>
        <w:szCs w:val="18"/>
      </w:rPr>
      <w:fldChar w:fldCharType="end"/>
    </w:r>
  </w:p>
  <w:p w14:paraId="58368055" w14:textId="4258038F" w:rsidR="009F060F" w:rsidRPr="00CD034E" w:rsidRDefault="009F060F">
    <w:pPr>
      <w:pStyle w:val="Header"/>
      <w:rPr>
        <w:sz w:val="18"/>
        <w:szCs w:val="18"/>
      </w:rPr>
    </w:pPr>
    <w:r w:rsidRPr="00CD034E">
      <w:rPr>
        <w:sz w:val="18"/>
        <w:szCs w:val="18"/>
      </w:rPr>
      <w:fldChar w:fldCharType="begin"/>
    </w:r>
    <w:r w:rsidRPr="00CD034E">
      <w:rPr>
        <w:sz w:val="18"/>
        <w:szCs w:val="18"/>
      </w:rPr>
      <w:instrText xml:space="preserve"> STYLEREF  "[DSN] DS Number"  \* MERGEFORMAT </w:instrText>
    </w:r>
    <w:r w:rsidRPr="00CD034E">
      <w:rPr>
        <w:noProof/>
        <w:sz w:val="18"/>
        <w:szCs w:val="18"/>
      </w:rPr>
      <w:fldChar w:fldCharType="end"/>
    </w:r>
    <w:r w:rsidRPr="00CD034E">
      <w:rPr>
        <w:sz w:val="18"/>
        <w:szCs w:val="18"/>
      </w:rPr>
      <w:ptab w:relativeTo="margin" w:alignment="right" w:leader="none"/>
    </w:r>
    <w:r w:rsidRPr="00CD034E">
      <w:rPr>
        <w:sz w:val="18"/>
        <w:szCs w:val="18"/>
      </w:rPr>
      <w:fldChar w:fldCharType="begin"/>
    </w:r>
    <w:r w:rsidRPr="00CD034E">
      <w:rPr>
        <w:sz w:val="18"/>
        <w:szCs w:val="18"/>
      </w:rPr>
      <w:instrText xml:space="preserve"> STYLEREF  "[DD] Document Date"  \* MERGEFORMAT </w:instrText>
    </w:r>
    <w:r w:rsidRPr="00CD034E">
      <w:rPr>
        <w:sz w:val="18"/>
        <w:szCs w:val="18"/>
      </w:rPr>
      <w:fldChar w:fldCharType="separate"/>
    </w:r>
    <w:r w:rsidR="00092334">
      <w:rPr>
        <w:noProof/>
        <w:sz w:val="18"/>
        <w:szCs w:val="18"/>
      </w:rPr>
      <w:t>20 May 2021</w:t>
    </w:r>
    <w:r w:rsidRPr="00CD034E">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4596"/>
    <w:multiLevelType w:val="multilevel"/>
    <w:tmpl w:val="402C27B2"/>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i w:val="0"/>
        <w:iCs w:val="0"/>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2" w15:restartNumberingAfterBreak="0">
    <w:nsid w:val="28243105"/>
    <w:multiLevelType w:val="hybridMultilevel"/>
    <w:tmpl w:val="9C7227D0"/>
    <w:lvl w:ilvl="0" w:tplc="5372A8DC">
      <w:start w:val="1"/>
      <w:numFmt w:val="decimal"/>
      <w:pStyle w:val="P1-N1Paragraph1-Number1"/>
      <w:lvlText w:val="%1."/>
      <w:lvlJc w:val="left"/>
      <w:pPr>
        <w:tabs>
          <w:tab w:val="num" w:pos="851"/>
        </w:tabs>
        <w:ind w:left="0" w:firstLine="0"/>
      </w:pPr>
      <w:rPr>
        <w:rFonts w:hint="default"/>
        <w:b w:val="0"/>
        <w:bCs/>
      </w:rPr>
    </w:lvl>
    <w:lvl w:ilvl="1" w:tplc="E4284EF2">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1-N1Paragraph1-Number1"/>
      <w:lvlText w:val=""/>
      <w:lvlJc w:val="left"/>
      <w:pPr>
        <w:tabs>
          <w:tab w:val="num" w:pos="5103"/>
        </w:tabs>
        <w:ind w:left="5103" w:hanging="850"/>
      </w:pPr>
      <w:rPr>
        <w:rFonts w:ascii="Wingdings" w:hAnsi="Wingdings" w:hint="default"/>
      </w:rPr>
    </w:lvl>
    <w:lvl w:ilvl="6" w:tplc="B914B13C">
      <w:start w:val="1"/>
      <w:numFmt w:val="bullet"/>
      <w:pStyle w:val="P2-B1Paragraph2-Bullet1"/>
      <w:lvlText w:val=""/>
      <w:lvlJc w:val="left"/>
      <w:pPr>
        <w:tabs>
          <w:tab w:val="num" w:pos="5954"/>
        </w:tabs>
        <w:ind w:left="5954" w:hanging="851"/>
      </w:pPr>
      <w:rPr>
        <w:rFonts w:ascii="Symbol" w:hAnsi="Symbol" w:hint="default"/>
      </w:rPr>
    </w:lvl>
    <w:lvl w:ilvl="7" w:tplc="B136EC4E">
      <w:start w:val="1"/>
      <w:numFmt w:val="bullet"/>
      <w:pStyle w:val="P3-B2Paragraph3-Bullet2"/>
      <w:lvlText w:val="–"/>
      <w:lvlJc w:val="left"/>
      <w:pPr>
        <w:tabs>
          <w:tab w:val="num" w:pos="6804"/>
        </w:tabs>
        <w:ind w:left="6804" w:hanging="850"/>
      </w:pPr>
      <w:rPr>
        <w:rFonts w:ascii="Calibri" w:eastAsiaTheme="minorHAnsi" w:hAnsi="Calibri" w:cs="Calibri" w:hint="default"/>
      </w:rPr>
    </w:lvl>
    <w:lvl w:ilvl="8" w:tplc="7B3C086C">
      <w:start w:val="1"/>
      <w:numFmt w:val="bullet"/>
      <w:pStyle w:val="P4-B3Paragraph4-Bullet3"/>
      <w:lvlText w:val="o"/>
      <w:lvlJc w:val="left"/>
      <w:pPr>
        <w:tabs>
          <w:tab w:val="num" w:pos="7655"/>
        </w:tabs>
        <w:ind w:left="7655" w:hanging="851"/>
      </w:pPr>
      <w:rPr>
        <w:rFonts w:ascii="Courier New" w:hAnsi="Courier New" w:hint="default"/>
      </w:rPr>
    </w:lvl>
  </w:abstractNum>
  <w:abstractNum w:abstractNumId="3" w15:restartNumberingAfterBreak="0">
    <w:nsid w:val="36A6374C"/>
    <w:multiLevelType w:val="hybridMultilevel"/>
    <w:tmpl w:val="62D610FE"/>
    <w:lvl w:ilvl="0" w:tplc="9AD8EC64">
      <w:start w:val="1"/>
      <w:numFmt w:val="decimal"/>
      <w:lvlText w:val="%1."/>
      <w:lvlJc w:val="left"/>
      <w:pPr>
        <w:ind w:left="2520" w:hanging="360"/>
      </w:pPr>
      <w:rPr>
        <w:rFonts w:ascii="Times New Roman" w:hAnsi="Times New Roman" w:cs="Times New Roman" w:hint="default"/>
        <w:b w:val="0"/>
        <w:i w:val="0"/>
        <w:color w:val="auto"/>
        <w:sz w:val="24"/>
        <w:szCs w:val="22"/>
      </w:rPr>
    </w:lvl>
    <w:lvl w:ilvl="1" w:tplc="EE5CF4B6">
      <w:start w:val="1"/>
      <w:numFmt w:val="lowerLetter"/>
      <w:lvlText w:val="(%2)"/>
      <w:lvlJc w:val="left"/>
      <w:pPr>
        <w:ind w:left="3240" w:hanging="360"/>
      </w:pPr>
      <w:rPr>
        <w:rFonts w:hint="default"/>
        <w:i w:val="0"/>
      </w:rPr>
    </w:lvl>
    <w:lvl w:ilvl="2" w:tplc="A35EB852">
      <w:start w:val="1"/>
      <w:numFmt w:val="decimal"/>
      <w:lvlText w:val="%3."/>
      <w:lvlJc w:val="left"/>
      <w:pPr>
        <w:ind w:left="3960" w:hanging="180"/>
      </w:pPr>
    </w:lvl>
    <w:lvl w:ilvl="3" w:tplc="0C09000F">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 w15:restartNumberingAfterBreak="0">
    <w:nsid w:val="595D1099"/>
    <w:multiLevelType w:val="multilevel"/>
    <w:tmpl w:val="691E429E"/>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5"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3D1E12"/>
    <w:multiLevelType w:val="hybridMultilevel"/>
    <w:tmpl w:val="B6DE0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2"/>
    <w:lvlOverride w:ilvl="0">
      <w:startOverride w:val="1"/>
    </w:lvlOverride>
  </w:num>
  <w:num w:numId="4">
    <w:abstractNumId w:val="0"/>
  </w:num>
  <w:num w:numId="5">
    <w:abstractNumId w:val="5"/>
  </w:num>
  <w:num w:numId="6">
    <w:abstractNumId w:val="4"/>
  </w:num>
  <w:num w:numId="7">
    <w:abstractNumId w:val="4"/>
  </w:num>
  <w:num w:numId="8">
    <w:abstractNumId w:val="1"/>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3"/>
  </w:num>
  <w:num w:numId="21">
    <w:abstractNumId w:val="2"/>
  </w:num>
  <w:num w:numId="22">
    <w:abstractNumId w:val="2"/>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851"/>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F6"/>
    <w:rsid w:val="000035AD"/>
    <w:rsid w:val="00004009"/>
    <w:rsid w:val="00005301"/>
    <w:rsid w:val="00005878"/>
    <w:rsid w:val="00006269"/>
    <w:rsid w:val="00006EC6"/>
    <w:rsid w:val="00013AD6"/>
    <w:rsid w:val="00013F4E"/>
    <w:rsid w:val="00013F6E"/>
    <w:rsid w:val="00023C47"/>
    <w:rsid w:val="00025483"/>
    <w:rsid w:val="00030A32"/>
    <w:rsid w:val="00031577"/>
    <w:rsid w:val="00031FD5"/>
    <w:rsid w:val="0003218C"/>
    <w:rsid w:val="0003273A"/>
    <w:rsid w:val="000373F7"/>
    <w:rsid w:val="000378A3"/>
    <w:rsid w:val="00040482"/>
    <w:rsid w:val="00042CBB"/>
    <w:rsid w:val="000453F8"/>
    <w:rsid w:val="00046BAF"/>
    <w:rsid w:val="00047BEE"/>
    <w:rsid w:val="0006066B"/>
    <w:rsid w:val="00060FD4"/>
    <w:rsid w:val="00061D56"/>
    <w:rsid w:val="00064546"/>
    <w:rsid w:val="0006481F"/>
    <w:rsid w:val="000662B0"/>
    <w:rsid w:val="00066D7E"/>
    <w:rsid w:val="000716BD"/>
    <w:rsid w:val="00072791"/>
    <w:rsid w:val="0007327B"/>
    <w:rsid w:val="00077AA0"/>
    <w:rsid w:val="00081602"/>
    <w:rsid w:val="00082549"/>
    <w:rsid w:val="00082636"/>
    <w:rsid w:val="0008417C"/>
    <w:rsid w:val="0008429A"/>
    <w:rsid w:val="00091D4B"/>
    <w:rsid w:val="00092334"/>
    <w:rsid w:val="00093175"/>
    <w:rsid w:val="000950D2"/>
    <w:rsid w:val="000963D2"/>
    <w:rsid w:val="000A12B5"/>
    <w:rsid w:val="000A26D5"/>
    <w:rsid w:val="000A42BF"/>
    <w:rsid w:val="000B51C7"/>
    <w:rsid w:val="000C14F5"/>
    <w:rsid w:val="000C35E1"/>
    <w:rsid w:val="000C5ADA"/>
    <w:rsid w:val="000C69EE"/>
    <w:rsid w:val="000D150F"/>
    <w:rsid w:val="000D6310"/>
    <w:rsid w:val="000D71EC"/>
    <w:rsid w:val="000F57D9"/>
    <w:rsid w:val="000F7B80"/>
    <w:rsid w:val="001048D6"/>
    <w:rsid w:val="0010497A"/>
    <w:rsid w:val="00111408"/>
    <w:rsid w:val="0011547E"/>
    <w:rsid w:val="0012151F"/>
    <w:rsid w:val="001242ED"/>
    <w:rsid w:val="00125202"/>
    <w:rsid w:val="00127077"/>
    <w:rsid w:val="00127790"/>
    <w:rsid w:val="00130164"/>
    <w:rsid w:val="00130EE3"/>
    <w:rsid w:val="00131DE3"/>
    <w:rsid w:val="001345A4"/>
    <w:rsid w:val="00134925"/>
    <w:rsid w:val="00141CED"/>
    <w:rsid w:val="00145DDC"/>
    <w:rsid w:val="001538CC"/>
    <w:rsid w:val="001570CB"/>
    <w:rsid w:val="0016068C"/>
    <w:rsid w:val="0016243D"/>
    <w:rsid w:val="00165108"/>
    <w:rsid w:val="00167AAB"/>
    <w:rsid w:val="0017192E"/>
    <w:rsid w:val="00171BB3"/>
    <w:rsid w:val="00182727"/>
    <w:rsid w:val="00190B56"/>
    <w:rsid w:val="00195C31"/>
    <w:rsid w:val="00196AC9"/>
    <w:rsid w:val="001A0E88"/>
    <w:rsid w:val="001A41B7"/>
    <w:rsid w:val="001A4607"/>
    <w:rsid w:val="001B0E74"/>
    <w:rsid w:val="001B3DF8"/>
    <w:rsid w:val="001B7B49"/>
    <w:rsid w:val="001B7BB4"/>
    <w:rsid w:val="001C3806"/>
    <w:rsid w:val="001D0450"/>
    <w:rsid w:val="001D46C9"/>
    <w:rsid w:val="001E0406"/>
    <w:rsid w:val="001F4052"/>
    <w:rsid w:val="001F46B7"/>
    <w:rsid w:val="001F5852"/>
    <w:rsid w:val="002001BF"/>
    <w:rsid w:val="00202EC9"/>
    <w:rsid w:val="00203761"/>
    <w:rsid w:val="00204023"/>
    <w:rsid w:val="002070FA"/>
    <w:rsid w:val="002074D5"/>
    <w:rsid w:val="002075E1"/>
    <w:rsid w:val="00207FC3"/>
    <w:rsid w:val="00210C36"/>
    <w:rsid w:val="00212CBA"/>
    <w:rsid w:val="00213702"/>
    <w:rsid w:val="00216D6F"/>
    <w:rsid w:val="00220FE4"/>
    <w:rsid w:val="00221649"/>
    <w:rsid w:val="00227881"/>
    <w:rsid w:val="00230197"/>
    <w:rsid w:val="00231B52"/>
    <w:rsid w:val="00231BEE"/>
    <w:rsid w:val="0023272D"/>
    <w:rsid w:val="0023587D"/>
    <w:rsid w:val="00240318"/>
    <w:rsid w:val="00240DD7"/>
    <w:rsid w:val="00245FA1"/>
    <w:rsid w:val="00253186"/>
    <w:rsid w:val="002603E6"/>
    <w:rsid w:val="0026128E"/>
    <w:rsid w:val="002628EA"/>
    <w:rsid w:val="002637B3"/>
    <w:rsid w:val="00264EA4"/>
    <w:rsid w:val="00265FAD"/>
    <w:rsid w:val="00271259"/>
    <w:rsid w:val="00271A8D"/>
    <w:rsid w:val="0027741C"/>
    <w:rsid w:val="002774D9"/>
    <w:rsid w:val="00280171"/>
    <w:rsid w:val="00280601"/>
    <w:rsid w:val="00283DB2"/>
    <w:rsid w:val="00286D8F"/>
    <w:rsid w:val="002945DD"/>
    <w:rsid w:val="002949E6"/>
    <w:rsid w:val="002951F6"/>
    <w:rsid w:val="002A0626"/>
    <w:rsid w:val="002B0317"/>
    <w:rsid w:val="002B2AFE"/>
    <w:rsid w:val="002B31DD"/>
    <w:rsid w:val="002B7F38"/>
    <w:rsid w:val="002C3646"/>
    <w:rsid w:val="002C777E"/>
    <w:rsid w:val="002C7FD2"/>
    <w:rsid w:val="002D0594"/>
    <w:rsid w:val="002D2418"/>
    <w:rsid w:val="002D54BB"/>
    <w:rsid w:val="002E5819"/>
    <w:rsid w:val="002F1025"/>
    <w:rsid w:val="002F433F"/>
    <w:rsid w:val="003005A3"/>
    <w:rsid w:val="003006B3"/>
    <w:rsid w:val="00305F56"/>
    <w:rsid w:val="0031054B"/>
    <w:rsid w:val="003134BE"/>
    <w:rsid w:val="003222F6"/>
    <w:rsid w:val="00323A10"/>
    <w:rsid w:val="00323D58"/>
    <w:rsid w:val="0032782A"/>
    <w:rsid w:val="00330582"/>
    <w:rsid w:val="003329A0"/>
    <w:rsid w:val="00341536"/>
    <w:rsid w:val="0034182B"/>
    <w:rsid w:val="00342948"/>
    <w:rsid w:val="00343761"/>
    <w:rsid w:val="00343C7D"/>
    <w:rsid w:val="00344B44"/>
    <w:rsid w:val="00354A06"/>
    <w:rsid w:val="00355394"/>
    <w:rsid w:val="00356542"/>
    <w:rsid w:val="00376809"/>
    <w:rsid w:val="00376F76"/>
    <w:rsid w:val="00380306"/>
    <w:rsid w:val="00380454"/>
    <w:rsid w:val="00380795"/>
    <w:rsid w:val="00382B3B"/>
    <w:rsid w:val="00392B4B"/>
    <w:rsid w:val="003969FF"/>
    <w:rsid w:val="00396B82"/>
    <w:rsid w:val="003A10EE"/>
    <w:rsid w:val="003A3FC8"/>
    <w:rsid w:val="003A56A4"/>
    <w:rsid w:val="003A5EE8"/>
    <w:rsid w:val="003B0CC5"/>
    <w:rsid w:val="003D3604"/>
    <w:rsid w:val="003D6437"/>
    <w:rsid w:val="003E19BA"/>
    <w:rsid w:val="003E55AC"/>
    <w:rsid w:val="003E6C76"/>
    <w:rsid w:val="003F2C52"/>
    <w:rsid w:val="003F2C72"/>
    <w:rsid w:val="003F3EB2"/>
    <w:rsid w:val="003F4055"/>
    <w:rsid w:val="003F6643"/>
    <w:rsid w:val="004009DD"/>
    <w:rsid w:val="0040108F"/>
    <w:rsid w:val="00401F5A"/>
    <w:rsid w:val="00406208"/>
    <w:rsid w:val="004122EF"/>
    <w:rsid w:val="004124C5"/>
    <w:rsid w:val="004156FF"/>
    <w:rsid w:val="00416073"/>
    <w:rsid w:val="0041679E"/>
    <w:rsid w:val="00420443"/>
    <w:rsid w:val="00421CB6"/>
    <w:rsid w:val="004253D1"/>
    <w:rsid w:val="00431E3D"/>
    <w:rsid w:val="0043404C"/>
    <w:rsid w:val="004351AB"/>
    <w:rsid w:val="00436059"/>
    <w:rsid w:val="00436DDC"/>
    <w:rsid w:val="004421F6"/>
    <w:rsid w:val="00442AAE"/>
    <w:rsid w:val="00447641"/>
    <w:rsid w:val="004524CE"/>
    <w:rsid w:val="00453C32"/>
    <w:rsid w:val="00453C6C"/>
    <w:rsid w:val="00454A8F"/>
    <w:rsid w:val="004568F5"/>
    <w:rsid w:val="00457160"/>
    <w:rsid w:val="004623C7"/>
    <w:rsid w:val="00462780"/>
    <w:rsid w:val="00464485"/>
    <w:rsid w:val="0046624F"/>
    <w:rsid w:val="00470685"/>
    <w:rsid w:val="00477519"/>
    <w:rsid w:val="0048106E"/>
    <w:rsid w:val="00487301"/>
    <w:rsid w:val="00495466"/>
    <w:rsid w:val="00495B01"/>
    <w:rsid w:val="00497050"/>
    <w:rsid w:val="00497CB7"/>
    <w:rsid w:val="004A1B4C"/>
    <w:rsid w:val="004B517A"/>
    <w:rsid w:val="004C0D8E"/>
    <w:rsid w:val="004C0F72"/>
    <w:rsid w:val="004C335E"/>
    <w:rsid w:val="004D6BFA"/>
    <w:rsid w:val="004D7079"/>
    <w:rsid w:val="004D7C3F"/>
    <w:rsid w:val="004E4CB8"/>
    <w:rsid w:val="004F2561"/>
    <w:rsid w:val="0050080F"/>
    <w:rsid w:val="00505CB1"/>
    <w:rsid w:val="00506534"/>
    <w:rsid w:val="00506570"/>
    <w:rsid w:val="0050790E"/>
    <w:rsid w:val="00513A57"/>
    <w:rsid w:val="00521579"/>
    <w:rsid w:val="005218A9"/>
    <w:rsid w:val="00523353"/>
    <w:rsid w:val="00525CB3"/>
    <w:rsid w:val="005330EE"/>
    <w:rsid w:val="0054492E"/>
    <w:rsid w:val="0054720A"/>
    <w:rsid w:val="00547F08"/>
    <w:rsid w:val="00550F24"/>
    <w:rsid w:val="00553804"/>
    <w:rsid w:val="0055531A"/>
    <w:rsid w:val="00557825"/>
    <w:rsid w:val="005702AC"/>
    <w:rsid w:val="005714C3"/>
    <w:rsid w:val="00581A81"/>
    <w:rsid w:val="00583AF1"/>
    <w:rsid w:val="0058590A"/>
    <w:rsid w:val="00587416"/>
    <w:rsid w:val="00590508"/>
    <w:rsid w:val="0059313C"/>
    <w:rsid w:val="00593B5C"/>
    <w:rsid w:val="00594F06"/>
    <w:rsid w:val="005A3DB1"/>
    <w:rsid w:val="005A4F0A"/>
    <w:rsid w:val="005B2851"/>
    <w:rsid w:val="005B343E"/>
    <w:rsid w:val="005B6710"/>
    <w:rsid w:val="005C0E21"/>
    <w:rsid w:val="005C20CA"/>
    <w:rsid w:val="005C2F20"/>
    <w:rsid w:val="005C30FF"/>
    <w:rsid w:val="005C56F4"/>
    <w:rsid w:val="005C59B4"/>
    <w:rsid w:val="005D0800"/>
    <w:rsid w:val="005D0EF4"/>
    <w:rsid w:val="005D68DA"/>
    <w:rsid w:val="005D7E15"/>
    <w:rsid w:val="005E065F"/>
    <w:rsid w:val="005E115B"/>
    <w:rsid w:val="005E2253"/>
    <w:rsid w:val="005E4300"/>
    <w:rsid w:val="005E66D1"/>
    <w:rsid w:val="005E6A4E"/>
    <w:rsid w:val="005E7CD7"/>
    <w:rsid w:val="005F0DD5"/>
    <w:rsid w:val="005F16EF"/>
    <w:rsid w:val="005F4454"/>
    <w:rsid w:val="005F5883"/>
    <w:rsid w:val="00610994"/>
    <w:rsid w:val="00617149"/>
    <w:rsid w:val="0062041F"/>
    <w:rsid w:val="0062191C"/>
    <w:rsid w:val="006220E2"/>
    <w:rsid w:val="0062457A"/>
    <w:rsid w:val="006247DB"/>
    <w:rsid w:val="00631C3B"/>
    <w:rsid w:val="006335F5"/>
    <w:rsid w:val="00633E98"/>
    <w:rsid w:val="00637C9D"/>
    <w:rsid w:val="00642A08"/>
    <w:rsid w:val="00645076"/>
    <w:rsid w:val="00650C30"/>
    <w:rsid w:val="00650CCA"/>
    <w:rsid w:val="0065507A"/>
    <w:rsid w:val="006550D0"/>
    <w:rsid w:val="006634B2"/>
    <w:rsid w:val="006643DF"/>
    <w:rsid w:val="006649F6"/>
    <w:rsid w:val="00665DDE"/>
    <w:rsid w:val="00666556"/>
    <w:rsid w:val="006667C2"/>
    <w:rsid w:val="00666FFB"/>
    <w:rsid w:val="0066757B"/>
    <w:rsid w:val="00670656"/>
    <w:rsid w:val="0067084D"/>
    <w:rsid w:val="00671710"/>
    <w:rsid w:val="0067426C"/>
    <w:rsid w:val="00675218"/>
    <w:rsid w:val="00675C55"/>
    <w:rsid w:val="00676447"/>
    <w:rsid w:val="006767B9"/>
    <w:rsid w:val="006772F6"/>
    <w:rsid w:val="006778A5"/>
    <w:rsid w:val="0067792B"/>
    <w:rsid w:val="00686F40"/>
    <w:rsid w:val="006873F0"/>
    <w:rsid w:val="0069515F"/>
    <w:rsid w:val="00695D05"/>
    <w:rsid w:val="006B1C9A"/>
    <w:rsid w:val="006B4445"/>
    <w:rsid w:val="006C1D90"/>
    <w:rsid w:val="006C6EBC"/>
    <w:rsid w:val="006C7D83"/>
    <w:rsid w:val="006D4599"/>
    <w:rsid w:val="006D5C52"/>
    <w:rsid w:val="006E2F9F"/>
    <w:rsid w:val="006E314A"/>
    <w:rsid w:val="006F189E"/>
    <w:rsid w:val="006F1CC8"/>
    <w:rsid w:val="006F75E3"/>
    <w:rsid w:val="00701992"/>
    <w:rsid w:val="00701EB8"/>
    <w:rsid w:val="00702371"/>
    <w:rsid w:val="00706CC5"/>
    <w:rsid w:val="00706E5D"/>
    <w:rsid w:val="007116E8"/>
    <w:rsid w:val="00720086"/>
    <w:rsid w:val="007218FF"/>
    <w:rsid w:val="007332BA"/>
    <w:rsid w:val="007416E4"/>
    <w:rsid w:val="007429D0"/>
    <w:rsid w:val="00746699"/>
    <w:rsid w:val="00750408"/>
    <w:rsid w:val="00752167"/>
    <w:rsid w:val="007536DE"/>
    <w:rsid w:val="007539B3"/>
    <w:rsid w:val="007630FC"/>
    <w:rsid w:val="0076488C"/>
    <w:rsid w:val="00765AAD"/>
    <w:rsid w:val="00767045"/>
    <w:rsid w:val="0077734D"/>
    <w:rsid w:val="00783D94"/>
    <w:rsid w:val="00785050"/>
    <w:rsid w:val="00786397"/>
    <w:rsid w:val="0078698C"/>
    <w:rsid w:val="0079078E"/>
    <w:rsid w:val="00791E95"/>
    <w:rsid w:val="00794FDA"/>
    <w:rsid w:val="007A3EF1"/>
    <w:rsid w:val="007A50A6"/>
    <w:rsid w:val="007A7A9B"/>
    <w:rsid w:val="007B220C"/>
    <w:rsid w:val="007B4AFE"/>
    <w:rsid w:val="007B740D"/>
    <w:rsid w:val="007C3788"/>
    <w:rsid w:val="007C5A23"/>
    <w:rsid w:val="007C6664"/>
    <w:rsid w:val="007D1A40"/>
    <w:rsid w:val="007D28A9"/>
    <w:rsid w:val="007D2D7C"/>
    <w:rsid w:val="007D331B"/>
    <w:rsid w:val="007D77DD"/>
    <w:rsid w:val="007E0229"/>
    <w:rsid w:val="007E18DE"/>
    <w:rsid w:val="007E2A73"/>
    <w:rsid w:val="007E7DB4"/>
    <w:rsid w:val="007F0619"/>
    <w:rsid w:val="007F1B65"/>
    <w:rsid w:val="007F3A18"/>
    <w:rsid w:val="007F51C4"/>
    <w:rsid w:val="007F5E7B"/>
    <w:rsid w:val="007F7555"/>
    <w:rsid w:val="00800159"/>
    <w:rsid w:val="00805305"/>
    <w:rsid w:val="0081327D"/>
    <w:rsid w:val="00821B1C"/>
    <w:rsid w:val="00822F13"/>
    <w:rsid w:val="00824CE2"/>
    <w:rsid w:val="0083159E"/>
    <w:rsid w:val="00831B82"/>
    <w:rsid w:val="0083406A"/>
    <w:rsid w:val="00841202"/>
    <w:rsid w:val="00847F61"/>
    <w:rsid w:val="00850024"/>
    <w:rsid w:val="0085184C"/>
    <w:rsid w:val="0085394B"/>
    <w:rsid w:val="00856674"/>
    <w:rsid w:val="0086017C"/>
    <w:rsid w:val="008615B9"/>
    <w:rsid w:val="008638F4"/>
    <w:rsid w:val="00866225"/>
    <w:rsid w:val="008668D0"/>
    <w:rsid w:val="00867ED2"/>
    <w:rsid w:val="008705F5"/>
    <w:rsid w:val="00874647"/>
    <w:rsid w:val="008747F2"/>
    <w:rsid w:val="00876692"/>
    <w:rsid w:val="00876A03"/>
    <w:rsid w:val="00880EE1"/>
    <w:rsid w:val="00882F5A"/>
    <w:rsid w:val="0088439F"/>
    <w:rsid w:val="00884632"/>
    <w:rsid w:val="00887792"/>
    <w:rsid w:val="00892175"/>
    <w:rsid w:val="008929A5"/>
    <w:rsid w:val="00893409"/>
    <w:rsid w:val="00893611"/>
    <w:rsid w:val="00895760"/>
    <w:rsid w:val="00896AE3"/>
    <w:rsid w:val="008977A4"/>
    <w:rsid w:val="008A06C9"/>
    <w:rsid w:val="008A1191"/>
    <w:rsid w:val="008A3E7D"/>
    <w:rsid w:val="008A3F4A"/>
    <w:rsid w:val="008A4C51"/>
    <w:rsid w:val="008A6D06"/>
    <w:rsid w:val="008B19C5"/>
    <w:rsid w:val="008B5B6C"/>
    <w:rsid w:val="008C1917"/>
    <w:rsid w:val="008C302F"/>
    <w:rsid w:val="008C3547"/>
    <w:rsid w:val="008C41F2"/>
    <w:rsid w:val="008C6DFB"/>
    <w:rsid w:val="008C7AFF"/>
    <w:rsid w:val="008D4895"/>
    <w:rsid w:val="008D543A"/>
    <w:rsid w:val="008E0031"/>
    <w:rsid w:val="008E0CB0"/>
    <w:rsid w:val="008E2952"/>
    <w:rsid w:val="008E4514"/>
    <w:rsid w:val="008F09CE"/>
    <w:rsid w:val="008F150C"/>
    <w:rsid w:val="008F3200"/>
    <w:rsid w:val="008F5ACF"/>
    <w:rsid w:val="008F5B14"/>
    <w:rsid w:val="008F7262"/>
    <w:rsid w:val="008F7779"/>
    <w:rsid w:val="009030A2"/>
    <w:rsid w:val="00905B21"/>
    <w:rsid w:val="00906BE9"/>
    <w:rsid w:val="009106EA"/>
    <w:rsid w:val="00912083"/>
    <w:rsid w:val="00915A5D"/>
    <w:rsid w:val="0092033F"/>
    <w:rsid w:val="00920A41"/>
    <w:rsid w:val="00926349"/>
    <w:rsid w:val="0093054A"/>
    <w:rsid w:val="009313BF"/>
    <w:rsid w:val="009336C1"/>
    <w:rsid w:val="009410A9"/>
    <w:rsid w:val="00941297"/>
    <w:rsid w:val="00942F4C"/>
    <w:rsid w:val="009441C2"/>
    <w:rsid w:val="009442A5"/>
    <w:rsid w:val="009446C0"/>
    <w:rsid w:val="00945DAA"/>
    <w:rsid w:val="00946FB9"/>
    <w:rsid w:val="0094701E"/>
    <w:rsid w:val="0094726A"/>
    <w:rsid w:val="00950517"/>
    <w:rsid w:val="00961031"/>
    <w:rsid w:val="00962C06"/>
    <w:rsid w:val="009720F3"/>
    <w:rsid w:val="00975C33"/>
    <w:rsid w:val="0098141F"/>
    <w:rsid w:val="00981715"/>
    <w:rsid w:val="00982172"/>
    <w:rsid w:val="00982909"/>
    <w:rsid w:val="00986213"/>
    <w:rsid w:val="00991386"/>
    <w:rsid w:val="00991E72"/>
    <w:rsid w:val="00992DB1"/>
    <w:rsid w:val="009950B3"/>
    <w:rsid w:val="009A0B22"/>
    <w:rsid w:val="009A13CE"/>
    <w:rsid w:val="009A3676"/>
    <w:rsid w:val="009B17B4"/>
    <w:rsid w:val="009B1E8A"/>
    <w:rsid w:val="009C0952"/>
    <w:rsid w:val="009C3E25"/>
    <w:rsid w:val="009C451C"/>
    <w:rsid w:val="009C5F79"/>
    <w:rsid w:val="009D107A"/>
    <w:rsid w:val="009E0C5E"/>
    <w:rsid w:val="009E23BC"/>
    <w:rsid w:val="009E55E1"/>
    <w:rsid w:val="009F060F"/>
    <w:rsid w:val="009F226C"/>
    <w:rsid w:val="009F3E12"/>
    <w:rsid w:val="009F44CC"/>
    <w:rsid w:val="009F5D2C"/>
    <w:rsid w:val="009F736B"/>
    <w:rsid w:val="00A0678F"/>
    <w:rsid w:val="00A137E6"/>
    <w:rsid w:val="00A17191"/>
    <w:rsid w:val="00A2001D"/>
    <w:rsid w:val="00A23F6D"/>
    <w:rsid w:val="00A24CA2"/>
    <w:rsid w:val="00A25BC9"/>
    <w:rsid w:val="00A261D8"/>
    <w:rsid w:val="00A300F6"/>
    <w:rsid w:val="00A31E82"/>
    <w:rsid w:val="00A339F8"/>
    <w:rsid w:val="00A344FE"/>
    <w:rsid w:val="00A351B1"/>
    <w:rsid w:val="00A35F65"/>
    <w:rsid w:val="00A36B1B"/>
    <w:rsid w:val="00A4462B"/>
    <w:rsid w:val="00A5375A"/>
    <w:rsid w:val="00A53DCE"/>
    <w:rsid w:val="00A54906"/>
    <w:rsid w:val="00A54F00"/>
    <w:rsid w:val="00A629B6"/>
    <w:rsid w:val="00A62B63"/>
    <w:rsid w:val="00A62C92"/>
    <w:rsid w:val="00A7257B"/>
    <w:rsid w:val="00A754AC"/>
    <w:rsid w:val="00A83175"/>
    <w:rsid w:val="00A83A1E"/>
    <w:rsid w:val="00A83D01"/>
    <w:rsid w:val="00A84A3D"/>
    <w:rsid w:val="00A8514C"/>
    <w:rsid w:val="00A900B6"/>
    <w:rsid w:val="00A902C7"/>
    <w:rsid w:val="00A92DAA"/>
    <w:rsid w:val="00A9550F"/>
    <w:rsid w:val="00A977A6"/>
    <w:rsid w:val="00AA0A64"/>
    <w:rsid w:val="00AA13FD"/>
    <w:rsid w:val="00AB3D0E"/>
    <w:rsid w:val="00AB4765"/>
    <w:rsid w:val="00AC2617"/>
    <w:rsid w:val="00AC2B64"/>
    <w:rsid w:val="00AC4A0D"/>
    <w:rsid w:val="00AC6936"/>
    <w:rsid w:val="00AC7321"/>
    <w:rsid w:val="00AC7864"/>
    <w:rsid w:val="00AD0459"/>
    <w:rsid w:val="00AD31C4"/>
    <w:rsid w:val="00AD52FF"/>
    <w:rsid w:val="00AE1760"/>
    <w:rsid w:val="00AF03AD"/>
    <w:rsid w:val="00AF1A41"/>
    <w:rsid w:val="00AF294B"/>
    <w:rsid w:val="00AF39F4"/>
    <w:rsid w:val="00AF4DE4"/>
    <w:rsid w:val="00B02A05"/>
    <w:rsid w:val="00B039BC"/>
    <w:rsid w:val="00B03F76"/>
    <w:rsid w:val="00B04162"/>
    <w:rsid w:val="00B045AB"/>
    <w:rsid w:val="00B05794"/>
    <w:rsid w:val="00B07638"/>
    <w:rsid w:val="00B07A80"/>
    <w:rsid w:val="00B10942"/>
    <w:rsid w:val="00B117D8"/>
    <w:rsid w:val="00B11B06"/>
    <w:rsid w:val="00B12761"/>
    <w:rsid w:val="00B15D11"/>
    <w:rsid w:val="00B17ED9"/>
    <w:rsid w:val="00B17F62"/>
    <w:rsid w:val="00B20115"/>
    <w:rsid w:val="00B20577"/>
    <w:rsid w:val="00B30B4B"/>
    <w:rsid w:val="00B319D0"/>
    <w:rsid w:val="00B31B0A"/>
    <w:rsid w:val="00B3529A"/>
    <w:rsid w:val="00B36BF4"/>
    <w:rsid w:val="00B36F52"/>
    <w:rsid w:val="00B37033"/>
    <w:rsid w:val="00B42267"/>
    <w:rsid w:val="00B42AC8"/>
    <w:rsid w:val="00B455DD"/>
    <w:rsid w:val="00B4700E"/>
    <w:rsid w:val="00B51F0A"/>
    <w:rsid w:val="00B56574"/>
    <w:rsid w:val="00B61586"/>
    <w:rsid w:val="00B61ED2"/>
    <w:rsid w:val="00B62B1A"/>
    <w:rsid w:val="00B6454F"/>
    <w:rsid w:val="00B655E5"/>
    <w:rsid w:val="00B65AB7"/>
    <w:rsid w:val="00B72A9A"/>
    <w:rsid w:val="00B80E42"/>
    <w:rsid w:val="00B843D1"/>
    <w:rsid w:val="00B85FA7"/>
    <w:rsid w:val="00B90D33"/>
    <w:rsid w:val="00B917BD"/>
    <w:rsid w:val="00B96619"/>
    <w:rsid w:val="00B96F77"/>
    <w:rsid w:val="00B9740F"/>
    <w:rsid w:val="00BA7965"/>
    <w:rsid w:val="00BB5262"/>
    <w:rsid w:val="00BB6B7C"/>
    <w:rsid w:val="00BC16D0"/>
    <w:rsid w:val="00BD053B"/>
    <w:rsid w:val="00BD0E60"/>
    <w:rsid w:val="00BE0B1C"/>
    <w:rsid w:val="00BE226D"/>
    <w:rsid w:val="00BE243E"/>
    <w:rsid w:val="00BE6168"/>
    <w:rsid w:val="00BE7681"/>
    <w:rsid w:val="00BF19D2"/>
    <w:rsid w:val="00BF1BD2"/>
    <w:rsid w:val="00BF2270"/>
    <w:rsid w:val="00BF2E2B"/>
    <w:rsid w:val="00BF47D0"/>
    <w:rsid w:val="00BF4AE2"/>
    <w:rsid w:val="00BF6786"/>
    <w:rsid w:val="00BF7233"/>
    <w:rsid w:val="00C000F1"/>
    <w:rsid w:val="00C017DA"/>
    <w:rsid w:val="00C03B01"/>
    <w:rsid w:val="00C105A7"/>
    <w:rsid w:val="00C10D29"/>
    <w:rsid w:val="00C11712"/>
    <w:rsid w:val="00C15C33"/>
    <w:rsid w:val="00C172D0"/>
    <w:rsid w:val="00C22056"/>
    <w:rsid w:val="00C234DF"/>
    <w:rsid w:val="00C23809"/>
    <w:rsid w:val="00C24A27"/>
    <w:rsid w:val="00C27027"/>
    <w:rsid w:val="00C27ED7"/>
    <w:rsid w:val="00C30822"/>
    <w:rsid w:val="00C315C0"/>
    <w:rsid w:val="00C34D3C"/>
    <w:rsid w:val="00C3654A"/>
    <w:rsid w:val="00C368F3"/>
    <w:rsid w:val="00C45722"/>
    <w:rsid w:val="00C45EAB"/>
    <w:rsid w:val="00C504E7"/>
    <w:rsid w:val="00C56025"/>
    <w:rsid w:val="00C56901"/>
    <w:rsid w:val="00C62017"/>
    <w:rsid w:val="00C67C5F"/>
    <w:rsid w:val="00C715A9"/>
    <w:rsid w:val="00C73188"/>
    <w:rsid w:val="00C7372D"/>
    <w:rsid w:val="00C737AF"/>
    <w:rsid w:val="00C740D8"/>
    <w:rsid w:val="00C74121"/>
    <w:rsid w:val="00C802FA"/>
    <w:rsid w:val="00C83D06"/>
    <w:rsid w:val="00C84084"/>
    <w:rsid w:val="00C86D8B"/>
    <w:rsid w:val="00C870FE"/>
    <w:rsid w:val="00C90011"/>
    <w:rsid w:val="00C90D90"/>
    <w:rsid w:val="00C93194"/>
    <w:rsid w:val="00C971A5"/>
    <w:rsid w:val="00CA2A62"/>
    <w:rsid w:val="00CA34F5"/>
    <w:rsid w:val="00CA44D6"/>
    <w:rsid w:val="00CB069D"/>
    <w:rsid w:val="00CB3DA9"/>
    <w:rsid w:val="00CB41F0"/>
    <w:rsid w:val="00CB7404"/>
    <w:rsid w:val="00CC4A2F"/>
    <w:rsid w:val="00CC71ED"/>
    <w:rsid w:val="00CC75EF"/>
    <w:rsid w:val="00CD034E"/>
    <w:rsid w:val="00CD3D91"/>
    <w:rsid w:val="00CD5454"/>
    <w:rsid w:val="00CE49EF"/>
    <w:rsid w:val="00CE4D31"/>
    <w:rsid w:val="00CE6C63"/>
    <w:rsid w:val="00CF48BA"/>
    <w:rsid w:val="00CF53B5"/>
    <w:rsid w:val="00CF659C"/>
    <w:rsid w:val="00D1502F"/>
    <w:rsid w:val="00D15F38"/>
    <w:rsid w:val="00D17FFD"/>
    <w:rsid w:val="00D20086"/>
    <w:rsid w:val="00D25818"/>
    <w:rsid w:val="00D33932"/>
    <w:rsid w:val="00D350D3"/>
    <w:rsid w:val="00D36481"/>
    <w:rsid w:val="00D36654"/>
    <w:rsid w:val="00D373BD"/>
    <w:rsid w:val="00D40604"/>
    <w:rsid w:val="00D4124C"/>
    <w:rsid w:val="00D4156E"/>
    <w:rsid w:val="00D42748"/>
    <w:rsid w:val="00D42E3C"/>
    <w:rsid w:val="00D456CA"/>
    <w:rsid w:val="00D47F18"/>
    <w:rsid w:val="00D52037"/>
    <w:rsid w:val="00D52A17"/>
    <w:rsid w:val="00D52EFC"/>
    <w:rsid w:val="00D54AC5"/>
    <w:rsid w:val="00D55C93"/>
    <w:rsid w:val="00D6053F"/>
    <w:rsid w:val="00D61B53"/>
    <w:rsid w:val="00D70E07"/>
    <w:rsid w:val="00D75F50"/>
    <w:rsid w:val="00D77202"/>
    <w:rsid w:val="00D80C26"/>
    <w:rsid w:val="00D81E5C"/>
    <w:rsid w:val="00D83F97"/>
    <w:rsid w:val="00D86C9C"/>
    <w:rsid w:val="00D875D9"/>
    <w:rsid w:val="00D91204"/>
    <w:rsid w:val="00D93C6F"/>
    <w:rsid w:val="00D93DCE"/>
    <w:rsid w:val="00D93F36"/>
    <w:rsid w:val="00D94896"/>
    <w:rsid w:val="00DA3887"/>
    <w:rsid w:val="00DA5381"/>
    <w:rsid w:val="00DB0228"/>
    <w:rsid w:val="00DB2340"/>
    <w:rsid w:val="00DB47EC"/>
    <w:rsid w:val="00DB6281"/>
    <w:rsid w:val="00DB630C"/>
    <w:rsid w:val="00DB68EC"/>
    <w:rsid w:val="00DB7728"/>
    <w:rsid w:val="00DC1307"/>
    <w:rsid w:val="00DC15AF"/>
    <w:rsid w:val="00DC7D31"/>
    <w:rsid w:val="00DD4BA0"/>
    <w:rsid w:val="00DD4ECC"/>
    <w:rsid w:val="00DF3BC8"/>
    <w:rsid w:val="00DF544C"/>
    <w:rsid w:val="00DF61D9"/>
    <w:rsid w:val="00E025DA"/>
    <w:rsid w:val="00E21513"/>
    <w:rsid w:val="00E25E73"/>
    <w:rsid w:val="00E37A92"/>
    <w:rsid w:val="00E41205"/>
    <w:rsid w:val="00E559D9"/>
    <w:rsid w:val="00E611D2"/>
    <w:rsid w:val="00E63BBC"/>
    <w:rsid w:val="00E651F4"/>
    <w:rsid w:val="00E67583"/>
    <w:rsid w:val="00E6761B"/>
    <w:rsid w:val="00E717FB"/>
    <w:rsid w:val="00E73FFE"/>
    <w:rsid w:val="00E75213"/>
    <w:rsid w:val="00E75F69"/>
    <w:rsid w:val="00E8692B"/>
    <w:rsid w:val="00E904F5"/>
    <w:rsid w:val="00E90685"/>
    <w:rsid w:val="00E92AEE"/>
    <w:rsid w:val="00EA1F70"/>
    <w:rsid w:val="00EB0F18"/>
    <w:rsid w:val="00EB1FFA"/>
    <w:rsid w:val="00EB3D6B"/>
    <w:rsid w:val="00EB47D0"/>
    <w:rsid w:val="00EB4994"/>
    <w:rsid w:val="00EB50B7"/>
    <w:rsid w:val="00EB5AC8"/>
    <w:rsid w:val="00EB6B9B"/>
    <w:rsid w:val="00EC0B79"/>
    <w:rsid w:val="00EC2633"/>
    <w:rsid w:val="00EC5221"/>
    <w:rsid w:val="00EC668A"/>
    <w:rsid w:val="00ED152F"/>
    <w:rsid w:val="00ED1747"/>
    <w:rsid w:val="00ED3D2C"/>
    <w:rsid w:val="00ED4C9F"/>
    <w:rsid w:val="00ED5236"/>
    <w:rsid w:val="00ED57B0"/>
    <w:rsid w:val="00EE0497"/>
    <w:rsid w:val="00EE1947"/>
    <w:rsid w:val="00EE4320"/>
    <w:rsid w:val="00EE47D1"/>
    <w:rsid w:val="00EE62C0"/>
    <w:rsid w:val="00EE6583"/>
    <w:rsid w:val="00EE6C76"/>
    <w:rsid w:val="00EF043D"/>
    <w:rsid w:val="00EF09FD"/>
    <w:rsid w:val="00EF25F3"/>
    <w:rsid w:val="00EF4D82"/>
    <w:rsid w:val="00F01A73"/>
    <w:rsid w:val="00F02094"/>
    <w:rsid w:val="00F035D5"/>
    <w:rsid w:val="00F075EB"/>
    <w:rsid w:val="00F07A4C"/>
    <w:rsid w:val="00F10E86"/>
    <w:rsid w:val="00F138FF"/>
    <w:rsid w:val="00F13BEC"/>
    <w:rsid w:val="00F16669"/>
    <w:rsid w:val="00F16AF1"/>
    <w:rsid w:val="00F17867"/>
    <w:rsid w:val="00F17AC4"/>
    <w:rsid w:val="00F20263"/>
    <w:rsid w:val="00F21650"/>
    <w:rsid w:val="00F24279"/>
    <w:rsid w:val="00F24DAE"/>
    <w:rsid w:val="00F3057D"/>
    <w:rsid w:val="00F33619"/>
    <w:rsid w:val="00F4161F"/>
    <w:rsid w:val="00F4221D"/>
    <w:rsid w:val="00F51A9E"/>
    <w:rsid w:val="00F57DC7"/>
    <w:rsid w:val="00F6039E"/>
    <w:rsid w:val="00F60F8B"/>
    <w:rsid w:val="00F70CEC"/>
    <w:rsid w:val="00F71532"/>
    <w:rsid w:val="00F73818"/>
    <w:rsid w:val="00F76368"/>
    <w:rsid w:val="00F8283F"/>
    <w:rsid w:val="00F8312B"/>
    <w:rsid w:val="00F84BC7"/>
    <w:rsid w:val="00F85DF8"/>
    <w:rsid w:val="00F87B88"/>
    <w:rsid w:val="00F87F5A"/>
    <w:rsid w:val="00F9146D"/>
    <w:rsid w:val="00F93F23"/>
    <w:rsid w:val="00F93F5B"/>
    <w:rsid w:val="00F945DB"/>
    <w:rsid w:val="00F97157"/>
    <w:rsid w:val="00FA0332"/>
    <w:rsid w:val="00FA1330"/>
    <w:rsid w:val="00FA16A8"/>
    <w:rsid w:val="00FA3211"/>
    <w:rsid w:val="00FA38AE"/>
    <w:rsid w:val="00FA5460"/>
    <w:rsid w:val="00FA5D25"/>
    <w:rsid w:val="00FA5D2A"/>
    <w:rsid w:val="00FB202B"/>
    <w:rsid w:val="00FB5926"/>
    <w:rsid w:val="00FB59EA"/>
    <w:rsid w:val="00FB60D3"/>
    <w:rsid w:val="00FC103A"/>
    <w:rsid w:val="00FC335B"/>
    <w:rsid w:val="00FC671F"/>
    <w:rsid w:val="00FD1E8E"/>
    <w:rsid w:val="00FD25CE"/>
    <w:rsid w:val="00FD6590"/>
    <w:rsid w:val="00FE26AF"/>
    <w:rsid w:val="00FE3B71"/>
    <w:rsid w:val="00FE4122"/>
    <w:rsid w:val="00FE4503"/>
    <w:rsid w:val="00FE6931"/>
    <w:rsid w:val="00FF1BC3"/>
    <w:rsid w:val="00FF2BB1"/>
    <w:rsid w:val="00FF42DC"/>
    <w:rsid w:val="00FF72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C1BFB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33"/>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BodyText">
    <w:name w:val="[BT] Body Text"/>
    <w:basedOn w:val="Normal"/>
    <w:link w:val="BTBodyTextChar"/>
    <w:uiPriority w:val="2"/>
    <w:qFormat/>
    <w:rsid w:val="00354A06"/>
  </w:style>
  <w:style w:type="character" w:customStyle="1" w:styleId="BTBodyTextChar">
    <w:name w:val="[BT] Body Text Char"/>
    <w:basedOn w:val="DefaultParagraphFont"/>
    <w:link w:val="BTBodyText"/>
    <w:uiPriority w:val="2"/>
    <w:rsid w:val="00AD0459"/>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IBodyTextIndentedChar">
    <w:name w:val="[BTI] Body Text Indented Char"/>
    <w:basedOn w:val="BTBodyTextChar"/>
    <w:link w:val="BTIBodyTextIndented"/>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IBodyTextTwiceIndentedChar">
    <w:name w:val="[BTII] Body Text Twice Indented Char"/>
    <w:basedOn w:val="BTBodyTextChar"/>
    <w:link w:val="BTIIBodyTextTwiceIndented"/>
    <w:uiPriority w:val="2"/>
    <w:rsid w:val="00AD0459"/>
  </w:style>
  <w:style w:type="paragraph" w:styleId="ListParagraph">
    <w:name w:val="List Paragraph"/>
    <w:basedOn w:val="Normal"/>
    <w:uiPriority w:val="34"/>
    <w:qFormat/>
    <w:rsid w:val="003A10EE"/>
    <w:pPr>
      <w:ind w:left="851"/>
    </w:pPr>
  </w:style>
  <w:style w:type="paragraph" w:styleId="NoSpacing">
    <w:name w:val="No Spacing"/>
    <w:link w:val="NoSpacingChar"/>
    <w:uiPriority w:val="1"/>
    <w:rsid w:val="001F46B7"/>
    <w:pPr>
      <w:spacing w:after="0" w:line="240" w:lineRule="auto"/>
    </w:pPr>
  </w:style>
  <w:style w:type="character" w:customStyle="1" w:styleId="NoSpacingChar">
    <w:name w:val="No Spacing Char"/>
    <w:basedOn w:val="DefaultParagraphFont"/>
    <w:link w:val="NoSpacing"/>
    <w:uiPriority w:val="1"/>
    <w:rsid w:val="001F46B7"/>
  </w:style>
  <w:style w:type="paragraph" w:customStyle="1" w:styleId="BTNSBodyTextNoSpacing">
    <w:name w:val="[BTNS] Body Text No Spacing"/>
    <w:basedOn w:val="NoSpacing"/>
    <w:link w:val="BTNSBodyTextNoSpacingChar"/>
    <w:uiPriority w:val="2"/>
    <w:qFormat/>
    <w:rsid w:val="001F46B7"/>
  </w:style>
  <w:style w:type="character" w:customStyle="1" w:styleId="BTNSBodyTextNoSpacingChar">
    <w:name w:val="[BTNS] Body Text No Spacing Char"/>
    <w:basedOn w:val="NoSpacingChar"/>
    <w:link w:val="BTNSBodyTextNoSpacing"/>
    <w:uiPriority w:val="2"/>
    <w:rsid w:val="00B10942"/>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495466"/>
    <w:pPr>
      <w:numPr>
        <w:numId w:val="1"/>
      </w:numPr>
      <w:spacing w:line="288" w:lineRule="auto"/>
    </w:pPr>
  </w:style>
  <w:style w:type="character" w:customStyle="1" w:styleId="P1-N1Paragraph1-Number1Char">
    <w:name w:val="[P1-N1] Paragraph 1 - Number 1 Char"/>
    <w:basedOn w:val="BTBodyTextChar"/>
    <w:link w:val="P1-N1Paragraph1-Number1"/>
    <w:uiPriority w:val="6"/>
    <w:rsid w:val="00495466"/>
  </w:style>
  <w:style w:type="paragraph" w:customStyle="1" w:styleId="P2-B1Paragraph2-Bullet1">
    <w:name w:val="[P2-B1] Paragraph 2 - Bullet 1"/>
    <w:basedOn w:val="BTBodyText"/>
    <w:link w:val="P2-B1Paragraph2-Bullet1Char"/>
    <w:autoRedefine/>
    <w:uiPriority w:val="6"/>
    <w:qFormat/>
    <w:rsid w:val="00CE6C63"/>
    <w:pPr>
      <w:keepLines/>
      <w:numPr>
        <w:ilvl w:val="1"/>
        <w:numId w:val="1"/>
      </w:numPr>
      <w:spacing w:after="120" w:line="288" w:lineRule="auto"/>
      <w:ind w:left="1702" w:hanging="851"/>
    </w:pPr>
  </w:style>
  <w:style w:type="character" w:customStyle="1" w:styleId="P2-B1Paragraph2-Bullet1Char">
    <w:name w:val="[P2-B1] Paragraph 2 - Bullet 1 Char"/>
    <w:basedOn w:val="BTBodyTextChar"/>
    <w:link w:val="P2-B1Paragraph2-Bullet1"/>
    <w:uiPriority w:val="6"/>
    <w:rsid w:val="00CE6C63"/>
  </w:style>
  <w:style w:type="paragraph" w:customStyle="1" w:styleId="P3-B2Paragraph3-Bullet2">
    <w:name w:val="[P3-B2] Paragraph 3 - Bullet 2"/>
    <w:basedOn w:val="BTBodyText"/>
    <w:link w:val="P3-B2Paragraph3-Bullet2Char"/>
    <w:uiPriority w:val="6"/>
    <w:qFormat/>
    <w:rsid w:val="00BF6786"/>
    <w:pPr>
      <w:numPr>
        <w:ilvl w:val="2"/>
        <w:numId w:val="1"/>
      </w:numPr>
      <w:spacing w:after="120" w:line="288" w:lineRule="auto"/>
    </w:pPr>
  </w:style>
  <w:style w:type="character" w:customStyle="1" w:styleId="P3-B2Paragraph3-Bullet2Char">
    <w:name w:val="[P3-B2] Paragraph 3 - Bullet 2 Char"/>
    <w:basedOn w:val="BTBodyTextChar"/>
    <w:link w:val="P3-B2Paragraph3-Bullet2"/>
    <w:uiPriority w:val="6"/>
    <w:rsid w:val="00BF6786"/>
  </w:style>
  <w:style w:type="paragraph" w:customStyle="1" w:styleId="P4-B3Paragraph4-Bullet3">
    <w:name w:val="[P4-B3] Paragraph 4 - Bullet 3"/>
    <w:basedOn w:val="BTBodyText"/>
    <w:link w:val="P4-B3Paragraph4-Bullet3Char"/>
    <w:uiPriority w:val="6"/>
    <w:rsid w:val="00C45722"/>
    <w:pPr>
      <w:numPr>
        <w:ilvl w:val="3"/>
        <w:numId w:val="1"/>
      </w:numPr>
      <w:spacing w:after="120"/>
      <w:ind w:left="3403" w:hanging="851"/>
    </w:pPr>
  </w:style>
  <w:style w:type="character" w:customStyle="1" w:styleId="P4-B3Paragraph4-Bullet3Char">
    <w:name w:val="[P4-B3] Paragraph 4 - Bullet 3 Char"/>
    <w:basedOn w:val="BTBodyTextChar"/>
    <w:link w:val="P4-B3Paragraph4-Bullet3"/>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spacing w:after="120"/>
    </w:pPr>
  </w:style>
  <w:style w:type="character" w:customStyle="1" w:styleId="P5-B4Paragraph5-Bullet4Char">
    <w:name w:val="[P5-B4] Paragraph 5 - Bullet 4 Char"/>
    <w:basedOn w:val="BTBodyTextChar"/>
    <w:link w:val="P5-B4Paragraph5-Bullet4"/>
    <w:uiPriority w:val="6"/>
    <w:rsid w:val="00C45722"/>
  </w:style>
  <w:style w:type="paragraph" w:customStyle="1" w:styleId="P6-B5Paragraph6-Bullet5">
    <w:name w:val="[P6-B5] Paragraph 6 - Bullet 5"/>
    <w:basedOn w:val="BTBodyText"/>
    <w:link w:val="P6-B5Paragraph6-Bullet5Char"/>
    <w:uiPriority w:val="6"/>
    <w:rsid w:val="00C45722"/>
    <w:pPr>
      <w:tabs>
        <w:tab w:val="num" w:pos="5103"/>
      </w:tabs>
      <w:spacing w:after="120"/>
      <w:ind w:left="5104" w:hanging="851"/>
    </w:pPr>
  </w:style>
  <w:style w:type="character" w:customStyle="1" w:styleId="P6-B5Paragraph6-Bullet5Char">
    <w:name w:val="[P6-B5] Paragraph 6 - Bullet 5 Char"/>
    <w:basedOn w:val="BTBodyTextChar"/>
    <w:link w:val="P6-B5Paragraph6-Bullet5"/>
    <w:uiPriority w:val="6"/>
    <w:rsid w:val="00C45722"/>
  </w:style>
  <w:style w:type="paragraph" w:customStyle="1" w:styleId="P7-B6Paragraph7-Bullet6">
    <w:name w:val="[P7-B6] Paragraph 7 - Bullet 6"/>
    <w:basedOn w:val="BTBodyText"/>
    <w:link w:val="P7-B6Paragraph7-Bullet6Char"/>
    <w:uiPriority w:val="6"/>
    <w:semiHidden/>
    <w:rsid w:val="00C45722"/>
    <w:pPr>
      <w:tabs>
        <w:tab w:val="num" w:pos="5954"/>
      </w:tabs>
      <w:spacing w:after="120"/>
      <w:ind w:left="5954" w:hanging="851"/>
    </w:pPr>
  </w:style>
  <w:style w:type="character" w:customStyle="1" w:styleId="P7-B6Paragraph7-Bullet6Char">
    <w:name w:val="[P7-B6] Paragraph 7 - Bullet 6 Char"/>
    <w:basedOn w:val="BTBodyTextChar"/>
    <w:link w:val="P7-B6Paragraph7-Bullet6"/>
    <w:uiPriority w:val="6"/>
    <w:semiHidden/>
    <w:rsid w:val="00C45722"/>
  </w:style>
  <w:style w:type="paragraph" w:customStyle="1" w:styleId="P8-B7Paragraph8-Bullet7">
    <w:name w:val="[P8-B7] Paragraph 8 - Bullet 7"/>
    <w:basedOn w:val="BTBodyText"/>
    <w:link w:val="P8-B7Paragraph8-Bullet7Char"/>
    <w:uiPriority w:val="6"/>
    <w:semiHidden/>
    <w:rsid w:val="00C45722"/>
    <w:pPr>
      <w:tabs>
        <w:tab w:val="num" w:pos="6804"/>
      </w:tabs>
      <w:spacing w:after="120"/>
      <w:ind w:left="6805" w:hanging="851"/>
    </w:pPr>
  </w:style>
  <w:style w:type="character" w:customStyle="1" w:styleId="P8-B7Paragraph8-Bullet7Char">
    <w:name w:val="[P8-B7] Paragraph 8 - Bullet 7 Char"/>
    <w:basedOn w:val="BTBodyTextChar"/>
    <w:link w:val="P8-B7Paragraph8-Bullet7"/>
    <w:uiPriority w:val="6"/>
    <w:semiHidden/>
    <w:rsid w:val="00C45722"/>
  </w:style>
  <w:style w:type="paragraph" w:customStyle="1" w:styleId="P9-B8Paragraph9-Bullet8">
    <w:name w:val="[P9-B8] Paragraph 9 - Bullet 8"/>
    <w:basedOn w:val="BTBodyText"/>
    <w:link w:val="P9-B8Paragraph9-Bullet8Char"/>
    <w:uiPriority w:val="6"/>
    <w:semiHidden/>
    <w:rsid w:val="00C45722"/>
    <w:pPr>
      <w:tabs>
        <w:tab w:val="num" w:pos="7655"/>
      </w:tabs>
      <w:spacing w:after="120"/>
      <w:ind w:left="7655" w:hanging="851"/>
    </w:pPr>
  </w:style>
  <w:style w:type="character" w:customStyle="1" w:styleId="P9-B8Paragraph9-Bullet8Char">
    <w:name w:val="[P9-B8] Paragraph 9 - Bullet 8 Char"/>
    <w:basedOn w:val="BTBodyTextChar"/>
    <w:link w:val="P9-B8Paragraph9-Bullet8"/>
    <w:uiPriority w:val="6"/>
    <w:semiHidden/>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QQuotationChar">
    <w:name w:val="[Q] Quotation Char"/>
    <w:basedOn w:val="BTIBodyTextIndentedChar"/>
    <w:link w:val="QQuotation"/>
    <w:uiPriority w:val="8"/>
    <w:rsid w:val="00EF4D82"/>
    <w:rPr>
      <w:sz w:val="22"/>
    </w:rPr>
  </w:style>
  <w:style w:type="paragraph" w:customStyle="1" w:styleId="HL1HeadingLevel1">
    <w:name w:val="[HL1] Heading Level 1"/>
    <w:basedOn w:val="Heading1"/>
    <w:next w:val="P1-N1Paragraph1-Number1"/>
    <w:link w:val="HL1HeadingLevel1Char"/>
    <w:uiPriority w:val="4"/>
    <w:qFormat/>
    <w:rsid w:val="00AE1760"/>
    <w:pPr>
      <w:numPr>
        <w:numId w:val="2"/>
      </w:numPr>
      <w:spacing w:line="240" w:lineRule="auto"/>
    </w:pPr>
  </w:style>
  <w:style w:type="character" w:customStyle="1" w:styleId="HL1HeadingLevel1Char">
    <w:name w:val="[HL1] Heading Level 1 Char"/>
    <w:basedOn w:val="BTBodyTextChar"/>
    <w:link w:val="HL1HeadingLevel1"/>
    <w:uiPriority w:val="4"/>
    <w:rsid w:val="00AE1760"/>
    <w:rPr>
      <w:rFonts w:eastAsiaTheme="majorEastAsia" w:cstheme="majorBidi"/>
      <w:b/>
      <w:caps/>
      <w:sz w:val="28"/>
      <w:szCs w:val="32"/>
    </w:rPr>
  </w:style>
  <w:style w:type="paragraph" w:customStyle="1" w:styleId="HL2HeadingLevel2">
    <w:name w:val="[HL2] Heading Level 2"/>
    <w:basedOn w:val="Heading2"/>
    <w:next w:val="P1-N1Paragraph1-Number1"/>
    <w:link w:val="HL2HeadingLevel2Char"/>
    <w:autoRedefine/>
    <w:uiPriority w:val="4"/>
    <w:qFormat/>
    <w:rsid w:val="00AE1760"/>
    <w:pPr>
      <w:numPr>
        <w:ilvl w:val="1"/>
        <w:numId w:val="2"/>
      </w:numPr>
      <w:spacing w:line="240" w:lineRule="auto"/>
    </w:pPr>
  </w:style>
  <w:style w:type="character" w:customStyle="1" w:styleId="HL2HeadingLevel2Char">
    <w:name w:val="[HL2] Heading Level 2 Char"/>
    <w:basedOn w:val="BTBodyTextChar"/>
    <w:link w:val="HL2HeadingLevel2"/>
    <w:uiPriority w:val="4"/>
    <w:rsid w:val="00AE1760"/>
    <w:rPr>
      <w:rFonts w:eastAsiaTheme="majorEastAsia" w:cstheme="majorBidi"/>
      <w:b/>
      <w:smallCaps/>
      <w:sz w:val="28"/>
      <w:szCs w:val="26"/>
    </w:rPr>
  </w:style>
  <w:style w:type="paragraph" w:customStyle="1" w:styleId="HL3HeadingLevel3">
    <w:name w:val="[HL3] Heading Level 3"/>
    <w:basedOn w:val="Heading3"/>
    <w:next w:val="P1-N1Paragraph1-Number1"/>
    <w:link w:val="HL3HeadingLevel3Char"/>
    <w:autoRedefine/>
    <w:uiPriority w:val="4"/>
    <w:qFormat/>
    <w:rsid w:val="00B17F62"/>
    <w:pPr>
      <w:numPr>
        <w:ilvl w:val="2"/>
        <w:numId w:val="2"/>
      </w:numPr>
      <w:spacing w:line="240" w:lineRule="auto"/>
      <w:ind w:left="2552"/>
    </w:pPr>
  </w:style>
  <w:style w:type="character" w:customStyle="1" w:styleId="HL3HeadingLevel3Char">
    <w:name w:val="[HL3] Heading Level 3 Char"/>
    <w:basedOn w:val="BTBodyTextChar"/>
    <w:link w:val="HL3HeadingLevel3"/>
    <w:uiPriority w:val="4"/>
    <w:rsid w:val="00B17F62"/>
    <w:rPr>
      <w:rFonts w:eastAsiaTheme="majorEastAsia" w:cstheme="majorBidi"/>
      <w:b/>
    </w:rPr>
  </w:style>
  <w:style w:type="paragraph" w:customStyle="1" w:styleId="HL4HeadingLevel4">
    <w:name w:val="[HL4] Heading Level 4"/>
    <w:basedOn w:val="Heading4"/>
    <w:next w:val="P1-N1Paragraph1-Number1"/>
    <w:link w:val="HL4HeadingLevel4Char"/>
    <w:autoRedefine/>
    <w:uiPriority w:val="4"/>
    <w:qFormat/>
    <w:rsid w:val="00E37A92"/>
    <w:pPr>
      <w:numPr>
        <w:ilvl w:val="3"/>
        <w:numId w:val="2"/>
      </w:numPr>
      <w:spacing w:line="240" w:lineRule="auto"/>
      <w:ind w:left="3403"/>
    </w:pPr>
  </w:style>
  <w:style w:type="character" w:customStyle="1" w:styleId="HL4HeadingLevel4Char">
    <w:name w:val="[HL4] Heading Level 4 Char"/>
    <w:basedOn w:val="BTBodyTextChar"/>
    <w:link w:val="HL4HeadingLevel4"/>
    <w:uiPriority w:val="4"/>
    <w:rsid w:val="00E37A92"/>
    <w:rPr>
      <w:rFonts w:eastAsiaTheme="majorEastAsia" w:cstheme="majorBidi"/>
      <w:iCs/>
      <w:u w:val="single"/>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Heading">
    <w:name w:val="TOC Heading"/>
    <w:basedOn w:val="Normal"/>
    <w:next w:val="Normal"/>
    <w:uiPriority w:val="39"/>
    <w:unhideWhenUsed/>
    <w:rsid w:val="00AC4A0D"/>
    <w:pPr>
      <w:spacing w:after="0" w:line="240" w:lineRule="auto"/>
      <w:jc w:val="center"/>
    </w:pPr>
    <w:rPr>
      <w:b/>
      <w:caps/>
      <w:lang w:val="en-US"/>
    </w:rPr>
  </w:style>
  <w:style w:type="paragraph" w:styleId="TOC1">
    <w:name w:val="toc 1"/>
    <w:basedOn w:val="Normal"/>
    <w:next w:val="Normal"/>
    <w:autoRedefine/>
    <w:uiPriority w:val="39"/>
    <w:unhideWhenUsed/>
    <w:rsid w:val="0062041F"/>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character" w:customStyle="1" w:styleId="TCTableCaptionChar">
    <w:name w:val="[TC] Table Caption Char"/>
    <w:basedOn w:val="BTBodyTextChar"/>
    <w:link w:val="TCTableCaption"/>
    <w:uiPriority w:val="10"/>
    <w:rsid w:val="00093175"/>
    <w:rPr>
      <w:b/>
    </w:r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character" w:customStyle="1" w:styleId="TTTableTextChar">
    <w:name w:val="[TT] Table Text Char"/>
    <w:basedOn w:val="BTBodyTextChar"/>
    <w:link w:val="TTTableText"/>
    <w:uiPriority w:val="19"/>
    <w:rsid w:val="00093175"/>
  </w:style>
  <w:style w:type="paragraph" w:customStyle="1" w:styleId="THTableHeading">
    <w:name w:val="[TH] Table Heading"/>
    <w:basedOn w:val="TTTableText"/>
    <w:link w:val="THTableHeadingChar"/>
    <w:uiPriority w:val="19"/>
    <w:qFormat/>
    <w:rsid w:val="008E0031"/>
    <w:rPr>
      <w:b/>
    </w:rPr>
  </w:style>
  <w:style w:type="character" w:customStyle="1" w:styleId="THTableHeadingChar">
    <w:name w:val="[TH] Table Heading Char"/>
    <w:basedOn w:val="TTTableTextChar"/>
    <w:link w:val="THTableHeading"/>
    <w:uiPriority w:val="19"/>
    <w:rsid w:val="00093175"/>
    <w:rPr>
      <w:b/>
    </w:rPr>
  </w:style>
  <w:style w:type="paragraph" w:customStyle="1" w:styleId="AHL1AnnexHeadingLevel1">
    <w:name w:val="[AHL1] Annex Heading Level 1"/>
    <w:basedOn w:val="Heading1"/>
    <w:next w:val="P1-N1Paragraph1-Number1"/>
    <w:link w:val="AHL1AnnexHeadingLevel1Char"/>
    <w:autoRedefine/>
    <w:uiPriority w:val="15"/>
    <w:qFormat/>
    <w:rsid w:val="007E0229"/>
    <w:pPr>
      <w:numPr>
        <w:numId w:val="6"/>
      </w:numPr>
      <w:spacing w:after="0" w:line="240" w:lineRule="auto"/>
    </w:pPr>
    <w:rPr>
      <w:caps w:val="0"/>
      <w:sz w:val="24"/>
    </w:rPr>
  </w:style>
  <w:style w:type="character" w:customStyle="1" w:styleId="AHL1AnnexHeadingLevel1Char">
    <w:name w:val="[AHL1] Annex Heading Level 1 Char"/>
    <w:basedOn w:val="BTBodyTextChar"/>
    <w:link w:val="AHL1AnnexHeadingLevel1"/>
    <w:uiPriority w:val="15"/>
    <w:rsid w:val="007E0229"/>
    <w:rPr>
      <w:rFonts w:eastAsiaTheme="majorEastAsia" w:cstheme="majorBidi"/>
      <w:b/>
      <w:szCs w:val="32"/>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p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pPr>
    <w:rPr>
      <w:b/>
      <w:i w:val="0"/>
    </w:r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p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aliases w:val="fn,Footnotes,Footnote ak,ft,fn cafc,fn Char Char,footnote text Char Char,Footnotes Char Char,Footnote ak Char Char,Footnote Text Char2,Footnote Text Char1 Char1,Footnote Text Char Char Char,Footnote Text Char1,C,Car,f,Ca,footnote text"/>
    <w:basedOn w:val="Normal"/>
    <w:link w:val="FootnoteTextChar"/>
    <w:uiPriority w:val="99"/>
    <w:qFormat/>
    <w:rsid w:val="00EE47D1"/>
    <w:pPr>
      <w:spacing w:after="0" w:line="240" w:lineRule="auto"/>
    </w:pPr>
    <w:rPr>
      <w:sz w:val="18"/>
      <w:szCs w:val="20"/>
    </w:rPr>
  </w:style>
  <w:style w:type="character" w:customStyle="1" w:styleId="FootnoteTextChar">
    <w:name w:val="Footnote Text Char"/>
    <w:aliases w:val="fn Char,Footnotes Char,Footnote ak Char,ft Char,fn cafc Char,fn Char Char Char,footnote text Char Char Char,Footnotes Char Char Char,Footnote ak Char Char Char,Footnote Text Char2 Char,Footnote Text Char1 Char1 Char,C Char,Car Char"/>
    <w:basedOn w:val="DefaultParagraphFont"/>
    <w:link w:val="FootnoteText"/>
    <w:uiPriority w:val="99"/>
    <w:qFormat/>
    <w:rsid w:val="00EE47D1"/>
    <w:rPr>
      <w:sz w:val="18"/>
      <w:szCs w:val="20"/>
    </w:rPr>
  </w:style>
  <w:style w:type="character" w:styleId="FootnoteReference">
    <w:name w:val="footnote reference"/>
    <w:aliases w:val="Ref,de nota al pie,註腳內容,de nota al pie + (Asian) MS Mincho,11 pt,Footnote Reference1,Ref1,de nota al pie1,-E Fußnotenzeichen,16 Point,Superscript 6 Point,-E Fu§notenzeichen,-E Fuﬂnotenzeichen,11,11 p,????,註??腳內—e,註?腳Ò®é»,註?腳內Ñe,註?腳內—e"/>
    <w:basedOn w:val="DefaultParagraphFont"/>
    <w:link w:val="CharChar6CharCharCharCharCharChar"/>
    <w:uiPriority w:val="99"/>
    <w:qFormat/>
    <w:rsid w:val="00BD0E60"/>
    <w:rPr>
      <w:rFonts w:ascii="Calibri" w:hAnsi="Calibri"/>
      <w:vertAlign w:val="superscript"/>
    </w:rPr>
  </w:style>
  <w:style w:type="paragraph" w:customStyle="1" w:styleId="CharChar6CharCharCharCharCharChar">
    <w:name w:val="Char Char6 Char Char Char Char Char Char"/>
    <w:aliases w:val="Char6 Char Char Char Char Char Char Char"/>
    <w:basedOn w:val="Normal"/>
    <w:link w:val="FootnoteReference"/>
    <w:uiPriority w:val="99"/>
    <w:rsid w:val="00495466"/>
    <w:pPr>
      <w:spacing w:after="0"/>
      <w:jc w:val="center"/>
    </w:pPr>
    <w:rPr>
      <w:vertAlign w:val="superscript"/>
    </w:rPr>
  </w:style>
  <w:style w:type="character" w:customStyle="1" w:styleId="UnresolvedMention1">
    <w:name w:val="Unresolved Mention1"/>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DSNDSNumberChar">
    <w:name w:val="[DSN] DS Number Char"/>
    <w:basedOn w:val="BTBodyTextChar"/>
    <w:link w:val="DSNDSNumber"/>
    <w:uiPriority w:val="27"/>
    <w:rsid w:val="0026128E"/>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TDocumentTitleChar">
    <w:name w:val="[DT] Document Title Char"/>
    <w:basedOn w:val="BTBodyTextChar"/>
    <w:link w:val="DTDocumentTitle"/>
    <w:uiPriority w:val="27"/>
    <w:rsid w:val="0026128E"/>
    <w:rPr>
      <w:b/>
      <w:bCs/>
      <w:smallCaps/>
      <w:sz w:val="36"/>
      <w:szCs w:val="36"/>
    </w:rPr>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styleId="CommentReference">
    <w:name w:val="annotation reference"/>
    <w:basedOn w:val="DefaultParagraphFont"/>
    <w:uiPriority w:val="99"/>
    <w:semiHidden/>
    <w:unhideWhenUsed/>
    <w:rsid w:val="00495466"/>
    <w:rPr>
      <w:sz w:val="16"/>
      <w:szCs w:val="16"/>
    </w:rPr>
  </w:style>
  <w:style w:type="paragraph" w:styleId="CommentText">
    <w:name w:val="annotation text"/>
    <w:basedOn w:val="Normal"/>
    <w:link w:val="CommentTextChar"/>
    <w:uiPriority w:val="99"/>
    <w:unhideWhenUsed/>
    <w:rsid w:val="00495466"/>
    <w:pPr>
      <w:spacing w:line="240" w:lineRule="auto"/>
    </w:pPr>
    <w:rPr>
      <w:sz w:val="20"/>
      <w:szCs w:val="20"/>
    </w:rPr>
  </w:style>
  <w:style w:type="character" w:customStyle="1" w:styleId="CommentTextChar">
    <w:name w:val="Comment Text Char"/>
    <w:basedOn w:val="DefaultParagraphFont"/>
    <w:link w:val="CommentText"/>
    <w:uiPriority w:val="99"/>
    <w:rsid w:val="00495466"/>
    <w:rPr>
      <w:sz w:val="20"/>
      <w:szCs w:val="20"/>
    </w:rPr>
  </w:style>
  <w:style w:type="paragraph" w:styleId="CommentSubject">
    <w:name w:val="annotation subject"/>
    <w:basedOn w:val="CommentText"/>
    <w:next w:val="CommentText"/>
    <w:link w:val="CommentSubjectChar"/>
    <w:uiPriority w:val="99"/>
    <w:semiHidden/>
    <w:unhideWhenUsed/>
    <w:rsid w:val="00CA44D6"/>
    <w:rPr>
      <w:b/>
      <w:bCs/>
    </w:rPr>
  </w:style>
  <w:style w:type="character" w:customStyle="1" w:styleId="CommentSubjectChar">
    <w:name w:val="Comment Subject Char"/>
    <w:basedOn w:val="CommentTextChar"/>
    <w:link w:val="CommentSubject"/>
    <w:uiPriority w:val="99"/>
    <w:semiHidden/>
    <w:rsid w:val="00CA44D6"/>
    <w:rPr>
      <w:b/>
      <w:bCs/>
      <w:sz w:val="20"/>
      <w:szCs w:val="20"/>
    </w:rPr>
  </w:style>
  <w:style w:type="paragraph" w:styleId="Revision">
    <w:name w:val="Revision"/>
    <w:hidden/>
    <w:uiPriority w:val="99"/>
    <w:semiHidden/>
    <w:rsid w:val="00E37A92"/>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367DF-8AB5-4B03-A84C-E9DCD66B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9834</Words>
  <Characters>53721</Characters>
  <Application>Microsoft Office Word</Application>
  <DocSecurity>0</DocSecurity>
  <Lines>950</Lines>
  <Paragraphs>314</Paragraphs>
  <ScaleCrop>false</ScaleCrop>
  <Company/>
  <LinksUpToDate>false</LinksUpToDate>
  <CharactersWithSpaces>63372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cp:keywords>
  <dc:description/>
  <cp:lastModifiedBy/>
  <cp:revision>1</cp:revision>
  <dcterms:created xsi:type="dcterms:W3CDTF">2021-11-23T02:46:00Z</dcterms:created>
  <dcterms:modified xsi:type="dcterms:W3CDTF">2021-11-23T02:58:00Z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3B2CE9E25FEE43A6A7431AC313106B43</vt:lpwstr>
  </property>
  <property fmtid="{D5CDD505-2E9C-101B-9397-08002B2CF9AE}" pid="9" name="PM_ProtectiveMarkingValue_Footer">
    <vt:lpwstr>OFFICIAL</vt:lpwstr>
  </property>
  <property fmtid="{D5CDD505-2E9C-101B-9397-08002B2CF9AE}" pid="10" name="PM_Originator_Hash_SHA1">
    <vt:lpwstr>899E4EA469A04FB023F4432B63374BB33589BF8A</vt:lpwstr>
  </property>
  <property fmtid="{D5CDD505-2E9C-101B-9397-08002B2CF9AE}" pid="11" name="PM_OriginationTimeStamp">
    <vt:lpwstr>2021-11-23T02:58:22Z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D2E232813E1C270D5BF00BA7395E22A6</vt:lpwstr>
  </property>
  <property fmtid="{D5CDD505-2E9C-101B-9397-08002B2CF9AE}" pid="20" name="PM_Hash_Salt">
    <vt:lpwstr>45CC346C63ADD5249F71876343F9A301</vt:lpwstr>
  </property>
  <property fmtid="{D5CDD505-2E9C-101B-9397-08002B2CF9AE}" pid="21" name="PM_Hash_SHA1">
    <vt:lpwstr>934B38C41EF1BB0D52F79CEC38D1D0690E72F721</vt:lpwstr>
  </property>
  <property fmtid="{D5CDD505-2E9C-101B-9397-08002B2CF9AE}" pid="22" name="PM_SecurityClassification_Prev">
    <vt:lpwstr>OFFICIAL</vt:lpwstr>
  </property>
  <property fmtid="{D5CDD505-2E9C-101B-9397-08002B2CF9AE}" pid="23" name="PM_Qualifier_Prev">
    <vt:lpwstr/>
  </property>
</Properties>
</file>